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jc w:val="center"/>
        <w:rPr>
          <w:rFonts w:hint="default" w:ascii="Times New Roman" w:hAnsi="Times New Roman" w:eastAsia="宋体" w:cs="Times New Roman"/>
          <w:color w:val="auto"/>
        </w:rPr>
      </w:pPr>
    </w:p>
    <w:p>
      <w:pPr>
        <w:spacing w:line="240" w:lineRule="auto"/>
        <w:ind w:firstLine="0" w:firstLineChars="0"/>
        <w:jc w:val="center"/>
        <w:rPr>
          <w:rFonts w:hint="default" w:ascii="Times New Roman" w:hAnsi="Times New Roman" w:eastAsia="宋体" w:cs="Times New Roman"/>
          <w:color w:val="auto"/>
        </w:rPr>
      </w:pPr>
    </w:p>
    <w:p>
      <w:pPr>
        <w:spacing w:line="240" w:lineRule="auto"/>
        <w:ind w:firstLine="0" w:firstLineChars="0"/>
        <w:jc w:val="center"/>
        <w:rPr>
          <w:rFonts w:hint="default" w:ascii="Times New Roman" w:hAnsi="Times New Roman" w:eastAsia="宋体" w:cs="Times New Roman"/>
          <w:color w:val="auto"/>
        </w:rPr>
      </w:pPr>
    </w:p>
    <w:p>
      <w:pPr>
        <w:spacing w:line="240" w:lineRule="auto"/>
        <w:ind w:firstLine="0" w:firstLineChars="0"/>
        <w:jc w:val="center"/>
        <w:rPr>
          <w:rFonts w:hint="default" w:ascii="Times New Roman" w:hAnsi="Times New Roman" w:eastAsia="宋体" w:cs="Times New Roman"/>
          <w:bCs/>
          <w:color w:val="auto"/>
          <w:sz w:val="36"/>
          <w:szCs w:val="36"/>
        </w:rPr>
      </w:pPr>
    </w:p>
    <w:p>
      <w:pPr>
        <w:spacing w:line="240" w:lineRule="auto"/>
        <w:ind w:firstLine="0" w:firstLineChars="0"/>
        <w:jc w:val="center"/>
        <w:rPr>
          <w:rFonts w:hint="default" w:ascii="Times New Roman" w:hAnsi="Times New Roman" w:eastAsia="宋体" w:cs="Times New Roman"/>
          <w:bCs/>
          <w:color w:val="auto"/>
          <w:sz w:val="36"/>
          <w:szCs w:val="36"/>
        </w:rPr>
      </w:pPr>
    </w:p>
    <w:p>
      <w:pPr>
        <w:spacing w:line="240" w:lineRule="auto"/>
        <w:ind w:firstLine="0" w:firstLineChars="0"/>
        <w:jc w:val="center"/>
        <w:rPr>
          <w:rFonts w:hint="default" w:ascii="Times New Roman" w:hAnsi="Times New Roman" w:eastAsia="宋体" w:cs="Times New Roman"/>
          <w:bCs/>
          <w:color w:val="auto"/>
          <w:sz w:val="36"/>
          <w:szCs w:val="36"/>
        </w:rPr>
      </w:pPr>
    </w:p>
    <w:p>
      <w:pPr>
        <w:spacing w:line="360" w:lineRule="auto"/>
        <w:ind w:firstLine="0" w:firstLineChars="0"/>
        <w:jc w:val="center"/>
        <w:rPr>
          <w:rFonts w:hint="eastAsia" w:ascii="宋体" w:hAnsi="宋体"/>
          <w:b/>
          <w:bCs/>
          <w:color w:val="auto"/>
          <w:spacing w:val="-4"/>
          <w:sz w:val="48"/>
          <w:szCs w:val="48"/>
          <w:lang w:eastAsia="zh-CN"/>
        </w:rPr>
      </w:pPr>
      <w:r>
        <w:rPr>
          <w:rFonts w:hint="eastAsia" w:ascii="宋体" w:hAnsi="宋体"/>
          <w:b/>
          <w:bCs/>
          <w:color w:val="auto"/>
          <w:spacing w:val="-4"/>
          <w:sz w:val="48"/>
          <w:szCs w:val="48"/>
          <w:lang w:eastAsia="zh-CN"/>
        </w:rPr>
        <w:t>巴彦淖尔市亨泰农牧业有限责任公司</w:t>
      </w:r>
    </w:p>
    <w:p>
      <w:pPr>
        <w:spacing w:line="240" w:lineRule="auto"/>
        <w:ind w:firstLine="0" w:firstLineChars="0"/>
        <w:jc w:val="center"/>
        <w:rPr>
          <w:rFonts w:hint="default" w:ascii="Times New Roman" w:hAnsi="Times New Roman" w:eastAsia="宋体" w:cs="Times New Roman"/>
          <w:b/>
          <w:bCs/>
          <w:color w:val="auto"/>
          <w:spacing w:val="-4"/>
          <w:sz w:val="52"/>
          <w:szCs w:val="52"/>
        </w:rPr>
      </w:pPr>
      <w:r>
        <w:rPr>
          <w:rFonts w:hint="eastAsia" w:ascii="宋体" w:hAnsi="宋体"/>
          <w:b/>
          <w:bCs/>
          <w:color w:val="auto"/>
          <w:spacing w:val="-4"/>
          <w:sz w:val="48"/>
          <w:szCs w:val="48"/>
          <w:lang w:eastAsia="zh-CN"/>
        </w:rPr>
        <w:t>育肥猪养殖产业化项目</w:t>
      </w:r>
    </w:p>
    <w:p>
      <w:pPr>
        <w:spacing w:line="240" w:lineRule="auto"/>
        <w:ind w:firstLine="0" w:firstLineChars="0"/>
        <w:jc w:val="center"/>
        <w:rPr>
          <w:rFonts w:hint="default" w:ascii="Times New Roman" w:hAnsi="Times New Roman" w:eastAsia="宋体" w:cs="Times New Roman"/>
          <w:b/>
          <w:bCs/>
          <w:color w:val="auto"/>
          <w:spacing w:val="-4"/>
          <w:sz w:val="52"/>
          <w:szCs w:val="52"/>
        </w:rPr>
      </w:pPr>
    </w:p>
    <w:p>
      <w:pPr>
        <w:spacing w:line="240" w:lineRule="auto"/>
        <w:ind w:firstLine="0" w:firstLineChars="0"/>
        <w:jc w:val="center"/>
        <w:rPr>
          <w:rFonts w:hint="default" w:ascii="Times New Roman" w:hAnsi="Times New Roman" w:eastAsia="宋体" w:cs="Times New Roman"/>
          <w:b/>
          <w:bCs/>
          <w:color w:val="auto"/>
          <w:spacing w:val="-4"/>
          <w:sz w:val="52"/>
          <w:szCs w:val="52"/>
        </w:rPr>
      </w:pPr>
    </w:p>
    <w:p>
      <w:pPr>
        <w:spacing w:line="240" w:lineRule="auto"/>
        <w:ind w:firstLine="0" w:firstLineChars="0"/>
        <w:jc w:val="center"/>
        <w:rPr>
          <w:rFonts w:hint="default" w:ascii="Times New Roman" w:hAnsi="Times New Roman" w:eastAsia="宋体" w:cs="Times New Roman"/>
          <w:color w:val="auto"/>
          <w:sz w:val="72"/>
          <w:szCs w:val="72"/>
        </w:rPr>
      </w:pPr>
      <w:r>
        <w:rPr>
          <w:rFonts w:hint="default" w:ascii="Times New Roman" w:hAnsi="Times New Roman" w:eastAsia="宋体" w:cs="Times New Roman"/>
          <w:color w:val="auto"/>
          <w:spacing w:val="46"/>
          <w:sz w:val="96"/>
          <w:szCs w:val="96"/>
        </w:rPr>
        <w:t>环境影响报告书</w:t>
      </w: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outlineLvl w:val="0"/>
        <w:rPr>
          <w:rFonts w:hint="default" w:ascii="Times New Roman" w:hAnsi="Times New Roman" w:eastAsia="宋体" w:cs="Times New Roman"/>
          <w:b/>
          <w:color w:val="0000FF"/>
          <w:sz w:val="32"/>
          <w:szCs w:val="32"/>
        </w:rPr>
      </w:pPr>
      <w:bookmarkStart w:id="0" w:name="_Toc43220346"/>
      <w:bookmarkStart w:id="1" w:name="_Toc18457"/>
      <w:bookmarkStart w:id="2" w:name="_Toc518568235"/>
      <w:bookmarkStart w:id="3" w:name="_Toc3250"/>
      <w:bookmarkStart w:id="4" w:name="_Toc116090368"/>
      <w:bookmarkStart w:id="5" w:name="_Toc523322237"/>
      <w:bookmarkStart w:id="6" w:name="_Toc19199536"/>
      <w:bookmarkStart w:id="7" w:name="_Toc48918339"/>
      <w:bookmarkStart w:id="8" w:name="_Toc47974366"/>
      <w:bookmarkStart w:id="9" w:name="_Toc13601"/>
      <w:bookmarkStart w:id="10" w:name="_Toc47034408"/>
      <w:bookmarkStart w:id="11" w:name="_Toc47034170"/>
      <w:bookmarkStart w:id="12" w:name="_Toc521341561"/>
      <w:bookmarkStart w:id="13" w:name="_Toc8121"/>
      <w:bookmarkStart w:id="14" w:name="_Toc47981266"/>
      <w:bookmarkStart w:id="15" w:name="_Toc529441098"/>
      <w:bookmarkStart w:id="16" w:name="_Toc48828683"/>
      <w:bookmarkStart w:id="17" w:name="_Toc19786706"/>
      <w:bookmarkStart w:id="18" w:name="_Toc521342070"/>
      <w:bookmarkStart w:id="19" w:name="_Toc22809925"/>
      <w:bookmarkStart w:id="20" w:name="_Toc37774011"/>
      <w:bookmarkStart w:id="21" w:name="_Toc48807252"/>
      <w:bookmarkStart w:id="22" w:name="_Toc37776787"/>
      <w:bookmarkStart w:id="23" w:name="_Toc19788684"/>
      <w:bookmarkStart w:id="24" w:name="_Toc1078"/>
      <w:r>
        <w:rPr>
          <w:rFonts w:hint="default" w:ascii="Times New Roman" w:hAnsi="Times New Roman" w:eastAsia="宋体" w:cs="Times New Roman"/>
          <w:b/>
          <w:color w:val="FF0000"/>
          <w:sz w:val="32"/>
          <w:szCs w:val="32"/>
        </w:rPr>
        <w:t>（</w:t>
      </w:r>
      <w:r>
        <w:rPr>
          <w:rFonts w:hint="eastAsia" w:cs="Times New Roman"/>
          <w:b/>
          <w:color w:val="FF0000"/>
          <w:sz w:val="32"/>
          <w:szCs w:val="32"/>
          <w:lang w:eastAsia="zh-CN"/>
        </w:rPr>
        <w:t>报批</w:t>
      </w:r>
      <w:r>
        <w:rPr>
          <w:rFonts w:hint="default" w:ascii="Times New Roman" w:hAnsi="Times New Roman" w:eastAsia="宋体" w:cs="Times New Roman"/>
          <w:b/>
          <w:color w:val="FF0000"/>
          <w:sz w:val="32"/>
          <w:szCs w:val="32"/>
        </w:rPr>
        <w:t>稿）</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spacing w:line="240" w:lineRule="auto"/>
        <w:ind w:firstLine="0" w:firstLineChars="0"/>
        <w:jc w:val="center"/>
        <w:rPr>
          <w:rFonts w:hint="default" w:ascii="Times New Roman" w:hAnsi="Times New Roman" w:eastAsia="宋体" w:cs="Times New Roman"/>
          <w:color w:val="auto"/>
          <w:sz w:val="30"/>
        </w:rPr>
      </w:pPr>
    </w:p>
    <w:p>
      <w:pPr>
        <w:spacing w:line="240" w:lineRule="auto"/>
        <w:ind w:firstLine="0" w:firstLineChars="0"/>
        <w:jc w:val="center"/>
        <w:rPr>
          <w:rFonts w:hint="default" w:ascii="Times New Roman" w:hAnsi="Times New Roman" w:eastAsia="宋体" w:cs="Times New Roman"/>
          <w:color w:val="auto"/>
          <w:sz w:val="30"/>
        </w:rPr>
      </w:pPr>
    </w:p>
    <w:p>
      <w:pPr>
        <w:spacing w:line="240" w:lineRule="auto"/>
        <w:ind w:firstLine="0" w:firstLineChars="0"/>
        <w:jc w:val="center"/>
        <w:rPr>
          <w:rFonts w:hint="default" w:ascii="Times New Roman" w:hAnsi="Times New Roman" w:eastAsia="宋体" w:cs="Times New Roman"/>
          <w:color w:val="auto"/>
          <w:sz w:val="30"/>
        </w:rPr>
      </w:pPr>
    </w:p>
    <w:p>
      <w:pPr>
        <w:spacing w:line="240" w:lineRule="auto"/>
        <w:ind w:firstLine="0" w:firstLineChars="0"/>
        <w:jc w:val="center"/>
        <w:rPr>
          <w:rFonts w:hint="default" w:ascii="Times New Roman" w:hAnsi="Times New Roman" w:eastAsia="宋体" w:cs="Times New Roman"/>
          <w:color w:val="auto"/>
          <w:sz w:val="30"/>
        </w:rPr>
      </w:pPr>
    </w:p>
    <w:p>
      <w:pPr>
        <w:tabs>
          <w:tab w:val="left" w:pos="3675"/>
        </w:tabs>
        <w:spacing w:line="240" w:lineRule="auto"/>
        <w:ind w:firstLine="0" w:firstLineChars="0"/>
        <w:jc w:val="center"/>
        <w:rPr>
          <w:rFonts w:hint="default" w:ascii="Times New Roman" w:hAnsi="Times New Roman" w:eastAsia="宋体" w:cs="Times New Roman"/>
          <w:color w:val="auto"/>
          <w:sz w:val="30"/>
        </w:rPr>
      </w:pPr>
    </w:p>
    <w:p>
      <w:pPr>
        <w:spacing w:line="240" w:lineRule="auto"/>
        <w:ind w:firstLine="0" w:firstLineChars="0"/>
        <w:jc w:val="center"/>
        <w:rPr>
          <w:rFonts w:hint="default" w:ascii="Times New Roman" w:hAnsi="Times New Roman" w:eastAsia="宋体" w:cs="Times New Roman"/>
          <w:color w:val="auto"/>
          <w:sz w:val="30"/>
        </w:rPr>
      </w:pPr>
    </w:p>
    <w:p>
      <w:pPr>
        <w:spacing w:line="240" w:lineRule="auto"/>
        <w:ind w:firstLine="0" w:firstLineChars="0"/>
        <w:jc w:val="center"/>
        <w:rPr>
          <w:rFonts w:hint="default" w:ascii="Times New Roman" w:hAnsi="Times New Roman" w:eastAsia="宋体" w:cs="Times New Roman"/>
          <w:color w:val="auto"/>
          <w:sz w:val="30"/>
        </w:rPr>
      </w:pPr>
    </w:p>
    <w:p>
      <w:pPr>
        <w:spacing w:line="240" w:lineRule="auto"/>
        <w:ind w:firstLine="0" w:firstLineChars="0"/>
        <w:jc w:val="center"/>
        <w:rPr>
          <w:rFonts w:hint="default" w:ascii="Times New Roman" w:hAnsi="Times New Roman" w:eastAsia="宋体" w:cs="Times New Roman"/>
          <w:color w:val="auto"/>
          <w:sz w:val="30"/>
        </w:rPr>
      </w:pPr>
    </w:p>
    <w:p>
      <w:pPr>
        <w:spacing w:line="240" w:lineRule="auto"/>
        <w:ind w:firstLine="0" w:firstLineChars="0"/>
        <w:jc w:val="center"/>
        <w:rPr>
          <w:rFonts w:hint="default" w:ascii="Times New Roman" w:hAnsi="Times New Roman" w:eastAsia="宋体" w:cs="Times New Roman"/>
          <w:color w:val="auto"/>
          <w:sz w:val="30"/>
        </w:rPr>
      </w:pPr>
    </w:p>
    <w:tbl>
      <w:tblPr>
        <w:tblStyle w:val="34"/>
        <w:tblW w:w="6803" w:type="dxa"/>
        <w:jc w:val="center"/>
        <w:tblLayout w:type="fixed"/>
        <w:tblCellMar>
          <w:top w:w="0" w:type="dxa"/>
          <w:left w:w="0" w:type="dxa"/>
          <w:bottom w:w="0" w:type="dxa"/>
          <w:right w:w="0" w:type="dxa"/>
        </w:tblCellMar>
      </w:tblPr>
      <w:tblGrid>
        <w:gridCol w:w="1727"/>
        <w:gridCol w:w="5076"/>
      </w:tblGrid>
      <w:tr>
        <w:tblPrEx>
          <w:tblCellMar>
            <w:top w:w="0" w:type="dxa"/>
            <w:left w:w="0" w:type="dxa"/>
            <w:bottom w:w="0" w:type="dxa"/>
            <w:right w:w="0" w:type="dxa"/>
          </w:tblCellMar>
        </w:tblPrEx>
        <w:trPr>
          <w:trHeight w:val="510" w:hRule="atLeast"/>
          <w:jc w:val="center"/>
        </w:trPr>
        <w:tc>
          <w:tcPr>
            <w:tcW w:w="1459" w:type="dxa"/>
            <w:vAlign w:val="top"/>
          </w:tcPr>
          <w:p>
            <w:pPr>
              <w:spacing w:line="440" w:lineRule="exact"/>
              <w:ind w:firstLine="0" w:firstLineChars="0"/>
              <w:jc w:val="center"/>
              <w:rPr>
                <w:rFonts w:hint="default" w:ascii="Times New Roman" w:hAnsi="Times New Roman" w:eastAsia="宋体" w:cs="Times New Roman"/>
                <w:b/>
                <w:bCs/>
                <w:color w:val="auto"/>
                <w:sz w:val="28"/>
                <w:szCs w:val="28"/>
              </w:rPr>
            </w:pPr>
            <w:bookmarkStart w:id="25" w:name="_Hlk39311167"/>
            <w:r>
              <w:rPr>
                <w:rFonts w:hint="default" w:ascii="Times New Roman" w:hAnsi="Times New Roman" w:eastAsia="宋体" w:cs="Times New Roman"/>
                <w:b/>
                <w:bCs/>
                <w:color w:val="auto"/>
                <w:sz w:val="28"/>
                <w:szCs w:val="28"/>
              </w:rPr>
              <w:t>建设单位：</w:t>
            </w:r>
          </w:p>
        </w:tc>
        <w:tc>
          <w:tcPr>
            <w:tcW w:w="4288" w:type="dxa"/>
            <w:vAlign w:val="top"/>
          </w:tcPr>
          <w:p>
            <w:pPr>
              <w:spacing w:line="440" w:lineRule="exact"/>
              <w:ind w:firstLine="0" w:firstLineChars="0"/>
              <w:jc w:val="center"/>
              <w:rPr>
                <w:rFonts w:hint="default" w:ascii="Times New Roman" w:hAnsi="Times New Roman" w:eastAsia="宋体" w:cs="Times New Roman"/>
                <w:b/>
                <w:bCs/>
                <w:color w:val="auto"/>
                <w:sz w:val="28"/>
                <w:szCs w:val="28"/>
                <w:lang w:eastAsia="zh-CN"/>
              </w:rPr>
            </w:pPr>
            <w:r>
              <w:rPr>
                <w:rFonts w:hint="eastAsia" w:cs="Times New Roman"/>
                <w:b/>
                <w:bCs/>
                <w:color w:val="auto"/>
                <w:sz w:val="28"/>
                <w:szCs w:val="28"/>
                <w:lang w:eastAsia="zh-CN"/>
              </w:rPr>
              <w:t>巴彦淖尔市亨泰农牧业有限责任公司</w:t>
            </w:r>
          </w:p>
        </w:tc>
      </w:tr>
      <w:bookmarkEnd w:id="25"/>
      <w:tr>
        <w:tblPrEx>
          <w:tblCellMar>
            <w:top w:w="0" w:type="dxa"/>
            <w:left w:w="0" w:type="dxa"/>
            <w:bottom w:w="0" w:type="dxa"/>
            <w:right w:w="0" w:type="dxa"/>
          </w:tblCellMar>
        </w:tblPrEx>
        <w:trPr>
          <w:trHeight w:val="510" w:hRule="atLeast"/>
          <w:jc w:val="center"/>
        </w:trPr>
        <w:tc>
          <w:tcPr>
            <w:tcW w:w="1459" w:type="dxa"/>
            <w:vAlign w:val="top"/>
          </w:tcPr>
          <w:p>
            <w:pPr>
              <w:spacing w:line="440" w:lineRule="exact"/>
              <w:ind w:firstLine="0" w:firstLineChars="0"/>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环评单位：</w:t>
            </w:r>
          </w:p>
        </w:tc>
        <w:tc>
          <w:tcPr>
            <w:tcW w:w="4288" w:type="dxa"/>
            <w:vAlign w:val="top"/>
          </w:tcPr>
          <w:p>
            <w:pPr>
              <w:spacing w:line="440" w:lineRule="exact"/>
              <w:ind w:firstLine="0" w:firstLineChars="0"/>
              <w:jc w:val="center"/>
              <w:rPr>
                <w:rFonts w:hint="eastAsia" w:ascii="Times New Roman" w:hAnsi="Times New Roman" w:eastAsia="宋体" w:cs="Times New Roman"/>
                <w:b/>
                <w:bCs/>
                <w:color w:val="auto"/>
                <w:sz w:val="28"/>
                <w:szCs w:val="28"/>
                <w:lang w:eastAsia="zh-CN"/>
              </w:rPr>
            </w:pPr>
            <w:r>
              <w:rPr>
                <w:rFonts w:hint="eastAsia" w:cs="Times New Roman"/>
                <w:b/>
                <w:bCs/>
                <w:color w:val="auto"/>
                <w:sz w:val="28"/>
                <w:szCs w:val="28"/>
                <w:lang w:eastAsia="zh-CN"/>
              </w:rPr>
              <w:t>北京华夏国润环保科技有限公司</w:t>
            </w:r>
          </w:p>
        </w:tc>
      </w:tr>
      <w:tr>
        <w:tblPrEx>
          <w:tblCellMar>
            <w:top w:w="0" w:type="dxa"/>
            <w:left w:w="0" w:type="dxa"/>
            <w:bottom w:w="0" w:type="dxa"/>
            <w:right w:w="0" w:type="dxa"/>
          </w:tblCellMar>
        </w:tblPrEx>
        <w:trPr>
          <w:trHeight w:val="510" w:hRule="atLeast"/>
          <w:jc w:val="center"/>
        </w:trPr>
        <w:tc>
          <w:tcPr>
            <w:tcW w:w="1459" w:type="dxa"/>
            <w:vAlign w:val="top"/>
          </w:tcPr>
          <w:p>
            <w:pPr>
              <w:spacing w:line="440" w:lineRule="exact"/>
              <w:ind w:firstLine="0" w:firstLineChars="0"/>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编制时间：</w:t>
            </w:r>
          </w:p>
        </w:tc>
        <w:tc>
          <w:tcPr>
            <w:tcW w:w="4288" w:type="dxa"/>
            <w:vAlign w:val="top"/>
          </w:tcPr>
          <w:p>
            <w:pPr>
              <w:spacing w:line="440" w:lineRule="exact"/>
              <w:ind w:firstLine="0" w:firstLineChars="0"/>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FF0000"/>
                <w:sz w:val="28"/>
                <w:szCs w:val="28"/>
              </w:rPr>
              <w:t>二零二</w:t>
            </w:r>
            <w:r>
              <w:rPr>
                <w:rFonts w:hint="default" w:ascii="Times New Roman" w:hAnsi="Times New Roman" w:eastAsia="宋体" w:cs="Times New Roman"/>
                <w:b/>
                <w:bCs/>
                <w:color w:val="FF0000"/>
                <w:sz w:val="28"/>
                <w:szCs w:val="28"/>
                <w:lang w:val="en-US" w:eastAsia="zh-CN"/>
              </w:rPr>
              <w:t>一</w:t>
            </w:r>
            <w:r>
              <w:rPr>
                <w:rFonts w:hint="default" w:ascii="Times New Roman" w:hAnsi="Times New Roman" w:eastAsia="宋体" w:cs="Times New Roman"/>
                <w:b/>
                <w:bCs/>
                <w:color w:val="FF0000"/>
                <w:sz w:val="28"/>
                <w:szCs w:val="28"/>
              </w:rPr>
              <w:t>年</w:t>
            </w:r>
            <w:r>
              <w:rPr>
                <w:rFonts w:hint="eastAsia" w:cs="Times New Roman"/>
                <w:b/>
                <w:bCs/>
                <w:color w:val="FF0000"/>
                <w:sz w:val="28"/>
                <w:szCs w:val="28"/>
                <w:lang w:val="en-US" w:eastAsia="zh-CN"/>
              </w:rPr>
              <w:t>六</w:t>
            </w:r>
            <w:r>
              <w:rPr>
                <w:rFonts w:hint="default" w:ascii="Times New Roman" w:hAnsi="Times New Roman" w:eastAsia="宋体" w:cs="Times New Roman"/>
                <w:b/>
                <w:bCs/>
                <w:color w:val="FF0000"/>
                <w:sz w:val="28"/>
                <w:szCs w:val="28"/>
              </w:rPr>
              <w:t>月</w:t>
            </w:r>
          </w:p>
        </w:tc>
      </w:tr>
    </w:tbl>
    <w:p>
      <w:pPr>
        <w:keepNext w:val="0"/>
        <w:keepLines w:val="0"/>
        <w:pageBreakBefore w:val="0"/>
        <w:widowControl w:val="0"/>
        <w:kinsoku/>
        <w:wordWrap/>
        <w:overflowPunct/>
        <w:topLinePunct/>
        <w:autoSpaceDE w:val="0"/>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color w:val="auto"/>
          <w:sz w:val="32"/>
        </w:rPr>
      </w:pPr>
    </w:p>
    <w:p>
      <w:pPr>
        <w:pStyle w:val="2"/>
        <w:keepNext w:val="0"/>
        <w:keepLines w:val="0"/>
        <w:pageBreakBefore w:val="0"/>
        <w:widowControl w:val="0"/>
        <w:kinsoku/>
        <w:wordWrap/>
        <w:overflowPunct/>
        <w:topLinePunct/>
        <w:autoSpaceDE w:val="0"/>
        <w:autoSpaceDN/>
        <w:bidi w:val="0"/>
        <w:spacing w:after="0"/>
        <w:ind w:left="0" w:leftChars="0" w:firstLine="0" w:firstLineChars="0"/>
        <w:jc w:val="center"/>
        <w:textAlignment w:val="auto"/>
        <w:rPr>
          <w:rFonts w:hint="default" w:ascii="Times New Roman" w:hAnsi="Times New Roman" w:eastAsia="宋体" w:cs="Times New Roman"/>
          <w:b/>
          <w:color w:val="auto"/>
          <w:sz w:val="32"/>
        </w:rPr>
      </w:pPr>
    </w:p>
    <w:p>
      <w:pPr>
        <w:keepNext w:val="0"/>
        <w:keepLines w:val="0"/>
        <w:pageBreakBefore w:val="0"/>
        <w:widowControl w:val="0"/>
        <w:kinsoku/>
        <w:wordWrap/>
        <w:overflowPunct/>
        <w:topLinePunct/>
        <w:autoSpaceDE w:val="0"/>
        <w:autoSpaceDN/>
        <w:bidi w:val="0"/>
        <w:ind w:left="0" w:leftChars="0" w:firstLine="0" w:firstLineChars="0"/>
        <w:jc w:val="center"/>
        <w:textAlignment w:val="auto"/>
        <w:rPr>
          <w:rFonts w:hint="default" w:ascii="Times New Roman" w:hAnsi="Times New Roman" w:eastAsia="宋体" w:cs="Times New Roman"/>
          <w:b/>
          <w:color w:val="auto"/>
          <w:sz w:val="32"/>
        </w:rPr>
      </w:pPr>
    </w:p>
    <w:p>
      <w:pPr>
        <w:pStyle w:val="2"/>
        <w:keepNext w:val="0"/>
        <w:keepLines w:val="0"/>
        <w:pageBreakBefore w:val="0"/>
        <w:widowControl w:val="0"/>
        <w:kinsoku/>
        <w:wordWrap/>
        <w:overflowPunct/>
        <w:topLinePunct/>
        <w:autoSpaceDE w:val="0"/>
        <w:autoSpaceDN/>
        <w:bidi w:val="0"/>
        <w:spacing w:after="0"/>
        <w:ind w:left="0" w:leftChars="0" w:firstLine="0" w:firstLineChars="0"/>
        <w:jc w:val="center"/>
        <w:textAlignment w:val="auto"/>
        <w:rPr>
          <w:rFonts w:hint="default" w:ascii="Times New Roman" w:hAnsi="Times New Roman" w:eastAsia="宋体" w:cs="Times New Roman"/>
          <w:b/>
          <w:color w:val="auto"/>
          <w:sz w:val="32"/>
        </w:rPr>
      </w:pPr>
    </w:p>
    <w:p>
      <w:pPr>
        <w:rPr>
          <w:rFonts w:hint="default" w:ascii="Times New Roman" w:hAnsi="Times New Roman" w:eastAsia="宋体" w:cs="Times New Roman"/>
          <w:b/>
          <w:color w:val="auto"/>
          <w:sz w:val="32"/>
        </w:rPr>
      </w:pPr>
    </w:p>
    <w:p>
      <w:pPr>
        <w:pStyle w:val="2"/>
        <w:rPr>
          <w:rFonts w:hint="default" w:ascii="Times New Roman" w:hAnsi="Times New Roman" w:eastAsia="宋体" w:cs="Times New Roman"/>
          <w:b/>
          <w:color w:val="auto"/>
          <w:sz w:val="32"/>
        </w:rPr>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247" w:left="1701" w:header="851" w:footer="992" w:gutter="0"/>
          <w:pgBorders>
            <w:top w:val="none" w:sz="0" w:space="0"/>
            <w:left w:val="none" w:sz="0" w:space="0"/>
            <w:bottom w:val="none" w:sz="0" w:space="0"/>
            <w:right w:val="none" w:sz="0" w:space="0"/>
          </w:pgBorders>
          <w:pgNumType w:fmt="numberInDash" w:start="1"/>
          <w:cols w:space="425" w:num="1"/>
          <w:titlePg/>
          <w:docGrid w:linePitch="326" w:charSpace="0"/>
        </w:sectPr>
      </w:pPr>
    </w:p>
    <w:p>
      <w:pPr>
        <w:rPr>
          <w:rFonts w:hint="default"/>
          <w:color w:val="auto"/>
        </w:rPr>
      </w:pPr>
    </w:p>
    <w:p>
      <w:pPr>
        <w:rPr>
          <w:rFonts w:hint="default" w:ascii="Times New Roman" w:hAnsi="Times New Roman" w:eastAsia="宋体" w:cs="Times New Roman"/>
          <w:b/>
          <w:color w:val="auto"/>
          <w:sz w:val="32"/>
        </w:rPr>
      </w:pPr>
    </w:p>
    <w:p>
      <w:pPr>
        <w:pStyle w:val="2"/>
        <w:rPr>
          <w:rFonts w:hint="default" w:ascii="Times New Roman" w:hAnsi="Times New Roman" w:eastAsia="宋体" w:cs="Times New Roman"/>
          <w:b/>
          <w:color w:val="auto"/>
          <w:sz w:val="32"/>
        </w:rPr>
      </w:pPr>
    </w:p>
    <w:p>
      <w:pPr>
        <w:rPr>
          <w:rFonts w:hint="default"/>
          <w:color w:val="auto"/>
        </w:rPr>
      </w:pPr>
    </w:p>
    <w:p>
      <w:pPr>
        <w:widowControl/>
        <w:topLinePunct w:val="0"/>
        <w:autoSpaceDE/>
        <w:spacing w:before="120" w:after="120"/>
        <w:ind w:firstLine="0" w:firstLineChars="0"/>
        <w:rPr>
          <w:rFonts w:hint="default" w:ascii="Times New Roman" w:hAnsi="Times New Roman" w:eastAsia="宋体" w:cs="Times New Roman"/>
          <w:color w:val="auto"/>
        </w:rPr>
        <w:sectPr>
          <w:footerReference r:id="rId10" w:type="first"/>
          <w:footerReference r:id="rId9" w:type="default"/>
          <w:pgSz w:w="11906" w:h="16838"/>
          <w:pgMar w:top="1418" w:right="1418" w:bottom="1247" w:left="1701" w:header="851" w:footer="992" w:gutter="0"/>
          <w:pgBorders>
            <w:top w:val="none" w:sz="0" w:space="0"/>
            <w:left w:val="none" w:sz="0" w:space="0"/>
            <w:bottom w:val="none" w:sz="0" w:space="0"/>
            <w:right w:val="none" w:sz="0" w:space="0"/>
          </w:pgBorders>
          <w:pgNumType w:fmt="numberInDash" w:start="1"/>
          <w:cols w:space="425" w:num="1"/>
          <w:titlePg/>
          <w:docGrid w:linePitch="326" w:charSpace="0"/>
        </w:sectPr>
      </w:pPr>
    </w:p>
    <w:sdt>
      <w:sdtPr>
        <w:rPr>
          <w:rFonts w:hint="default" w:ascii="Times New Roman" w:hAnsi="Times New Roman" w:eastAsia="宋体" w:cs="Times New Roman"/>
          <w:b/>
          <w:bCs/>
          <w:color w:val="auto"/>
          <w:lang w:val="zh-CN"/>
        </w:rPr>
        <w:id w:val="0"/>
      </w:sdtPr>
      <w:sdtEndPr>
        <w:rPr>
          <w:rFonts w:hint="default" w:ascii="Times New Roman" w:hAnsi="Times New Roman" w:eastAsia="宋体" w:cs="Times New Roman"/>
          <w:b w:val="0"/>
          <w:bCs w:val="0"/>
          <w:color w:val="auto"/>
          <w:lang w:val="zh-CN"/>
        </w:rPr>
      </w:sdtEndPr>
      <w:sdtContent>
        <w:p>
          <w:pPr>
            <w:pStyle w:val="29"/>
            <w:tabs>
              <w:tab w:val="right" w:leader="dot" w:pos="8777"/>
            </w:tabs>
            <w:ind w:left="480" w:firstLine="480"/>
            <w:jc w:val="center"/>
            <w:outlineLvl w:val="0"/>
            <w:rPr>
              <w:rFonts w:hint="default" w:ascii="Times New Roman" w:hAnsi="Times New Roman" w:eastAsia="宋体" w:cs="Times New Roman"/>
              <w:bCs/>
              <w:color w:val="auto"/>
              <w:kern w:val="2"/>
              <w:sz w:val="24"/>
              <w:szCs w:val="24"/>
              <w:lang w:val="zh-CN" w:eastAsia="zh-CN" w:bidi="ar-SA"/>
            </w:rPr>
          </w:pPr>
          <w:bookmarkStart w:id="26" w:name="_Toc6412"/>
          <w:bookmarkStart w:id="27" w:name="_Toc19788685"/>
          <w:bookmarkStart w:id="28" w:name="_Toc37776788"/>
          <w:bookmarkStart w:id="29" w:name="_Toc36734621"/>
          <w:bookmarkStart w:id="30" w:name="_Toc47034171"/>
          <w:bookmarkStart w:id="31" w:name="_Toc1742"/>
          <w:bookmarkStart w:id="32" w:name="_Toc48918340"/>
          <w:bookmarkStart w:id="33" w:name="_Toc48828684"/>
          <w:bookmarkStart w:id="34" w:name="_Toc47974367"/>
          <w:bookmarkStart w:id="35" w:name="_Toc37774012"/>
          <w:bookmarkStart w:id="36" w:name="_Toc19199537"/>
          <w:bookmarkStart w:id="37" w:name="_Toc43220347"/>
          <w:bookmarkStart w:id="38" w:name="_Toc19786707"/>
          <w:bookmarkStart w:id="39" w:name="_Toc47981267"/>
          <w:bookmarkStart w:id="40" w:name="_Toc48807253"/>
          <w:bookmarkStart w:id="41" w:name="_Toc10218"/>
          <w:bookmarkStart w:id="42" w:name="_Toc47034409"/>
          <w:bookmarkStart w:id="43" w:name="_Toc22809926"/>
          <w:r>
            <w:rPr>
              <w:rFonts w:hint="default" w:ascii="Times New Roman" w:hAnsi="Times New Roman" w:eastAsia="宋体" w:cs="Times New Roman"/>
              <w:color w:val="auto"/>
              <w:sz w:val="36"/>
              <w:szCs w:val="36"/>
              <w:lang w:val="zh-CN"/>
            </w:rPr>
            <w:t>目  录</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Fonts w:hint="default" w:ascii="Times New Roman" w:hAnsi="Times New Roman" w:eastAsia="宋体" w:cs="Times New Roman"/>
              <w:color w:val="auto"/>
              <w:szCs w:val="24"/>
            </w:rPr>
            <w:fldChar w:fldCharType="begin"/>
          </w:r>
          <w:r>
            <w:rPr>
              <w:rFonts w:hint="default" w:ascii="Times New Roman" w:hAnsi="Times New Roman" w:eastAsia="宋体" w:cs="Times New Roman"/>
              <w:color w:val="auto"/>
              <w:szCs w:val="24"/>
            </w:rPr>
            <w:instrText xml:space="preserve"> TOC \o "1-3" \h \z \u </w:instrText>
          </w:r>
          <w:r>
            <w:rPr>
              <w:rFonts w:hint="default" w:ascii="Times New Roman" w:hAnsi="Times New Roman" w:eastAsia="宋体" w:cs="Times New Roman"/>
              <w:color w:val="auto"/>
              <w:szCs w:val="24"/>
            </w:rPr>
            <w:fldChar w:fldCharType="separate"/>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_Toc2747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bCs w:val="0"/>
              <w:szCs w:val="22"/>
            </w:rPr>
            <w:t>1概述</w:t>
          </w:r>
          <w:r>
            <w:tab/>
          </w:r>
          <w:r>
            <w:fldChar w:fldCharType="begin"/>
          </w:r>
          <w:r>
            <w:instrText xml:space="preserve"> PAGEREF _Toc2747 </w:instrText>
          </w:r>
          <w:r>
            <w:fldChar w:fldCharType="separate"/>
          </w:r>
          <w:r>
            <w:t>- 1 -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_Toc28614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bCs w:val="0"/>
              <w:szCs w:val="22"/>
            </w:rPr>
            <w:t>1.1项目建设背景</w:t>
          </w:r>
          <w:r>
            <w:tab/>
          </w:r>
          <w:r>
            <w:fldChar w:fldCharType="begin"/>
          </w:r>
          <w:r>
            <w:instrText xml:space="preserve"> PAGEREF _Toc28614 </w:instrText>
          </w:r>
          <w:r>
            <w:fldChar w:fldCharType="separate"/>
          </w:r>
          <w:r>
            <w:t>- 1 -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_Toc29264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1.2建设项目特点</w:t>
          </w:r>
          <w:r>
            <w:tab/>
          </w:r>
          <w:r>
            <w:fldChar w:fldCharType="begin"/>
          </w:r>
          <w:r>
            <w:instrText xml:space="preserve"> PAGEREF _Toc29264 </w:instrText>
          </w:r>
          <w:r>
            <w:fldChar w:fldCharType="separate"/>
          </w:r>
          <w:r>
            <w:t>- 1 -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_Toc30180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bCs w:val="0"/>
              <w:szCs w:val="22"/>
            </w:rPr>
            <w:t>1.3环境影响评价的工作过程</w:t>
          </w:r>
          <w:r>
            <w:tab/>
          </w:r>
          <w:r>
            <w:fldChar w:fldCharType="begin"/>
          </w:r>
          <w:r>
            <w:instrText xml:space="preserve"> PAGEREF _Toc30180 </w:instrText>
          </w:r>
          <w:r>
            <w:fldChar w:fldCharType="separate"/>
          </w:r>
          <w:r>
            <w:t>- 2 -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_Toc10499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bCs w:val="0"/>
              <w:szCs w:val="22"/>
            </w:rPr>
            <w:t>1.4项目可行性判定</w:t>
          </w:r>
          <w:r>
            <w:tab/>
          </w:r>
          <w:r>
            <w:fldChar w:fldCharType="begin"/>
          </w:r>
          <w:r>
            <w:instrText xml:space="preserve"> PAGEREF _Toc10499 </w:instrText>
          </w:r>
          <w:r>
            <w:fldChar w:fldCharType="separate"/>
          </w:r>
          <w:r>
            <w:t>- 3 -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_Toc30656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1.4.1产业政策符合性分析</w:t>
          </w:r>
          <w:r>
            <w:tab/>
          </w:r>
          <w:r>
            <w:fldChar w:fldCharType="begin"/>
          </w:r>
          <w:r>
            <w:instrText xml:space="preserve"> PAGEREF _Toc30656 </w:instrText>
          </w:r>
          <w:r>
            <w:fldChar w:fldCharType="separate"/>
          </w:r>
          <w:r>
            <w:t>- 3 -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_Toc11818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1.4.2项目选址合理性分析</w:t>
          </w:r>
          <w:r>
            <w:tab/>
          </w:r>
          <w:r>
            <w:fldChar w:fldCharType="begin"/>
          </w:r>
          <w:r>
            <w:instrText xml:space="preserve"> PAGEREF _Toc11818 </w:instrText>
          </w:r>
          <w:r>
            <w:fldChar w:fldCharType="separate"/>
          </w:r>
          <w:r>
            <w:t>- 4 -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_Toc21046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1.4.3“三线一单”符合性分析</w:t>
          </w:r>
          <w:r>
            <w:tab/>
          </w:r>
          <w:r>
            <w:fldChar w:fldCharType="begin"/>
          </w:r>
          <w:r>
            <w:instrText xml:space="preserve"> PAGEREF _Toc21046 </w:instrText>
          </w:r>
          <w:r>
            <w:fldChar w:fldCharType="separate"/>
          </w:r>
          <w:r>
            <w:t>- 4 -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_Toc17062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1.5重点关注环境问题及环境影响</w:t>
          </w:r>
          <w:r>
            <w:tab/>
          </w:r>
          <w:r>
            <w:fldChar w:fldCharType="begin"/>
          </w:r>
          <w:r>
            <w:instrText xml:space="preserve"> PAGEREF _Toc17062 </w:instrText>
          </w:r>
          <w:r>
            <w:fldChar w:fldCharType="separate"/>
          </w:r>
          <w:r>
            <w:t>- 5 -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_Toc1101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1.6环境影响评价主要结论</w:t>
          </w:r>
          <w:r>
            <w:tab/>
          </w:r>
          <w:r>
            <w:fldChar w:fldCharType="begin"/>
          </w:r>
          <w:r>
            <w:instrText xml:space="preserve"> PAGEREF _Toc1101 </w:instrText>
          </w:r>
          <w:r>
            <w:fldChar w:fldCharType="separate"/>
          </w:r>
          <w:r>
            <w:t>- 6 -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_Toc19550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2总则</w:t>
          </w:r>
          <w:r>
            <w:tab/>
          </w:r>
          <w:r>
            <w:fldChar w:fldCharType="begin"/>
          </w:r>
          <w:r>
            <w:instrText xml:space="preserve"> PAGEREF _Toc19550 </w:instrText>
          </w:r>
          <w:r>
            <w:fldChar w:fldCharType="separate"/>
          </w:r>
          <w:r>
            <w:t>- 7 -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_Toc15179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2.1编制依据</w:t>
          </w:r>
          <w:r>
            <w:tab/>
          </w:r>
          <w:r>
            <w:fldChar w:fldCharType="begin"/>
          </w:r>
          <w:r>
            <w:instrText xml:space="preserve"> PAGEREF _Toc15179 </w:instrText>
          </w:r>
          <w:r>
            <w:fldChar w:fldCharType="separate"/>
          </w:r>
          <w:r>
            <w:t>- 7 -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_Toc3737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2.1.1环境保护法律法规</w:t>
          </w:r>
          <w:r>
            <w:tab/>
          </w:r>
          <w:r>
            <w:fldChar w:fldCharType="begin"/>
          </w:r>
          <w:r>
            <w:instrText xml:space="preserve"> PAGEREF _Toc3737 </w:instrText>
          </w:r>
          <w:r>
            <w:fldChar w:fldCharType="separate"/>
          </w:r>
          <w:r>
            <w:t>- 7 -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_Toc5154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2.1.2相关产业政策</w:t>
          </w:r>
          <w:r>
            <w:tab/>
          </w:r>
          <w:r>
            <w:fldChar w:fldCharType="begin"/>
          </w:r>
          <w:r>
            <w:instrText xml:space="preserve"> PAGEREF _Toc5154 </w:instrText>
          </w:r>
          <w:r>
            <w:fldChar w:fldCharType="separate"/>
          </w:r>
          <w:r>
            <w:t>- 8 -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_Toc9755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2.1.3地方性法规及规范性文件</w:t>
          </w:r>
          <w:r>
            <w:tab/>
          </w:r>
          <w:r>
            <w:fldChar w:fldCharType="begin"/>
          </w:r>
          <w:r>
            <w:instrText xml:space="preserve"> PAGEREF _Toc9755 </w:instrText>
          </w:r>
          <w:r>
            <w:fldChar w:fldCharType="separate"/>
          </w:r>
          <w:r>
            <w:t>- 9 -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_Toc26017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2.1.4技术导则和规范</w:t>
          </w:r>
          <w:r>
            <w:tab/>
          </w:r>
          <w:r>
            <w:fldChar w:fldCharType="begin"/>
          </w:r>
          <w:r>
            <w:instrText xml:space="preserve"> PAGEREF _Toc26017 </w:instrText>
          </w:r>
          <w:r>
            <w:fldChar w:fldCharType="separate"/>
          </w:r>
          <w:r>
            <w:t>- 10 -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_Toc28465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2.1.5其他相关文件</w:t>
          </w:r>
          <w:r>
            <w:tab/>
          </w:r>
          <w:r>
            <w:fldChar w:fldCharType="begin"/>
          </w:r>
          <w:r>
            <w:instrText xml:space="preserve"> PAGEREF _Toc28465 </w:instrText>
          </w:r>
          <w:r>
            <w:fldChar w:fldCharType="separate"/>
          </w:r>
          <w:r>
            <w:t>- 11 -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_Toc16587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2.2评价目的及评价重点</w:t>
          </w:r>
          <w:r>
            <w:tab/>
          </w:r>
          <w:r>
            <w:fldChar w:fldCharType="begin"/>
          </w:r>
          <w:r>
            <w:instrText xml:space="preserve"> PAGEREF _Toc16587 </w:instrText>
          </w:r>
          <w:r>
            <w:fldChar w:fldCharType="separate"/>
          </w:r>
          <w:r>
            <w:t>- 11 -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_Toc27919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2.2.1评价目的</w:t>
          </w:r>
          <w:r>
            <w:tab/>
          </w:r>
          <w:r>
            <w:fldChar w:fldCharType="begin"/>
          </w:r>
          <w:r>
            <w:instrText xml:space="preserve"> PAGEREF _Toc27919 </w:instrText>
          </w:r>
          <w:r>
            <w:fldChar w:fldCharType="separate"/>
          </w:r>
          <w:r>
            <w:t>- 11 -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2.2.2评价重点</w:t>
          </w:r>
          <w:r>
            <w:tab/>
          </w:r>
          <w:r>
            <w:fldChar w:fldCharType="begin"/>
          </w:r>
          <w:r>
            <w:instrText xml:space="preserve"> PAGEREF _Toc318 </w:instrText>
          </w:r>
          <w:r>
            <w:fldChar w:fldCharType="separate"/>
          </w:r>
          <w:r>
            <w:t>- 12 -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_Toc17709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2.3环境影响识别</w:t>
          </w:r>
          <w:r>
            <w:tab/>
          </w:r>
          <w:r>
            <w:fldChar w:fldCharType="begin"/>
          </w:r>
          <w:r>
            <w:instrText xml:space="preserve"> PAGEREF _Toc17709 </w:instrText>
          </w:r>
          <w:r>
            <w:fldChar w:fldCharType="separate"/>
          </w:r>
          <w:r>
            <w:t>- 12 -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_Toc21916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2.3.1环境影响因素识别</w:t>
          </w:r>
          <w:r>
            <w:tab/>
          </w:r>
          <w:r>
            <w:fldChar w:fldCharType="begin"/>
          </w:r>
          <w:r>
            <w:instrText xml:space="preserve"> PAGEREF _Toc21916 </w:instrText>
          </w:r>
          <w:r>
            <w:fldChar w:fldCharType="separate"/>
          </w:r>
          <w:r>
            <w:t>- 12 -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_Toc13962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bCs/>
            </w:rPr>
            <w:t>2.3.2环境影响评价因子识别</w:t>
          </w:r>
          <w:r>
            <w:tab/>
          </w:r>
          <w:r>
            <w:fldChar w:fldCharType="begin"/>
          </w:r>
          <w:r>
            <w:instrText xml:space="preserve"> PAGEREF _Toc13962 </w:instrText>
          </w:r>
          <w:r>
            <w:fldChar w:fldCharType="separate"/>
          </w:r>
          <w:r>
            <w:t>- 13 -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_Toc10308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2.3.3评价因子</w:t>
          </w:r>
          <w:r>
            <w:tab/>
          </w:r>
          <w:r>
            <w:fldChar w:fldCharType="begin"/>
          </w:r>
          <w:r>
            <w:instrText xml:space="preserve"> PAGEREF _Toc10308 </w:instrText>
          </w:r>
          <w:r>
            <w:fldChar w:fldCharType="separate"/>
          </w:r>
          <w:r>
            <w:t>- 13 -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_Toc29687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2.4环境功能区划及评价标准</w:t>
          </w:r>
          <w:r>
            <w:tab/>
          </w:r>
          <w:r>
            <w:fldChar w:fldCharType="begin"/>
          </w:r>
          <w:r>
            <w:instrText xml:space="preserve"> PAGEREF _Toc29687 </w:instrText>
          </w:r>
          <w:r>
            <w:fldChar w:fldCharType="separate"/>
          </w:r>
          <w:r>
            <w:t>- 14 -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_Toc21225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2.4.1环境功能区划</w:t>
          </w:r>
          <w:r>
            <w:tab/>
          </w:r>
          <w:r>
            <w:fldChar w:fldCharType="begin"/>
          </w:r>
          <w:r>
            <w:instrText xml:space="preserve"> PAGEREF _Toc21225 </w:instrText>
          </w:r>
          <w:r>
            <w:fldChar w:fldCharType="separate"/>
          </w:r>
          <w:r>
            <w:t>- 14 -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_Toc16864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2.4.2环境质量标准</w:t>
          </w:r>
          <w:r>
            <w:tab/>
          </w:r>
          <w:r>
            <w:fldChar w:fldCharType="begin"/>
          </w:r>
          <w:r>
            <w:instrText xml:space="preserve"> PAGEREF _Toc16864 </w:instrText>
          </w:r>
          <w:r>
            <w:fldChar w:fldCharType="separate"/>
          </w:r>
          <w:r>
            <w:t>- 14 -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_Toc7110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2.4.3污染物排放标准</w:t>
          </w:r>
          <w:r>
            <w:tab/>
          </w:r>
          <w:r>
            <w:fldChar w:fldCharType="begin"/>
          </w:r>
          <w:r>
            <w:instrText xml:space="preserve"> PAGEREF _Toc7110 </w:instrText>
          </w:r>
          <w:r>
            <w:fldChar w:fldCharType="separate"/>
          </w:r>
          <w:r>
            <w:t>- 16 -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_Toc31527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2.5评价等级及评价范围</w:t>
          </w:r>
          <w:r>
            <w:tab/>
          </w:r>
          <w:r>
            <w:fldChar w:fldCharType="begin"/>
          </w:r>
          <w:r>
            <w:instrText xml:space="preserve"> PAGEREF _Toc31527 </w:instrText>
          </w:r>
          <w:r>
            <w:fldChar w:fldCharType="separate"/>
          </w:r>
          <w:r>
            <w:t>- 17 -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_Toc12666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2.5.1大气环境</w:t>
          </w:r>
          <w:r>
            <w:tab/>
          </w:r>
          <w:r>
            <w:fldChar w:fldCharType="begin"/>
          </w:r>
          <w:r>
            <w:instrText xml:space="preserve"> PAGEREF _Toc12666 </w:instrText>
          </w:r>
          <w:r>
            <w:fldChar w:fldCharType="separate"/>
          </w:r>
          <w:r>
            <w:t>- 17 -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_Toc32271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2.5.2地表水环境</w:t>
          </w:r>
          <w:r>
            <w:tab/>
          </w:r>
          <w:r>
            <w:fldChar w:fldCharType="begin"/>
          </w:r>
          <w:r>
            <w:instrText xml:space="preserve"> PAGEREF _Toc32271 </w:instrText>
          </w:r>
          <w:r>
            <w:fldChar w:fldCharType="separate"/>
          </w:r>
          <w:r>
            <w:t>- 20 -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_Toc17114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2.5.3地下水环境</w:t>
          </w:r>
          <w:r>
            <w:tab/>
          </w:r>
          <w:r>
            <w:fldChar w:fldCharType="begin"/>
          </w:r>
          <w:r>
            <w:instrText xml:space="preserve"> PAGEREF _Toc17114 </w:instrText>
          </w:r>
          <w:r>
            <w:fldChar w:fldCharType="separate"/>
          </w:r>
          <w:r>
            <w:t>- 21 -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_Toc18761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lang w:val="en-GB"/>
            </w:rPr>
            <w:t>2.5.4土壤环境</w:t>
          </w:r>
          <w:r>
            <w:tab/>
          </w:r>
          <w:r>
            <w:fldChar w:fldCharType="begin"/>
          </w:r>
          <w:r>
            <w:instrText xml:space="preserve"> PAGEREF _Toc18761 </w:instrText>
          </w:r>
          <w:r>
            <w:fldChar w:fldCharType="separate"/>
          </w:r>
          <w:r>
            <w:t>- 22 -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_Toc31289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lang w:val="en-GB"/>
            </w:rPr>
            <w:t>2.5.5声环境</w:t>
          </w:r>
          <w:r>
            <w:tab/>
          </w:r>
          <w:r>
            <w:fldChar w:fldCharType="begin"/>
          </w:r>
          <w:r>
            <w:instrText xml:space="preserve"> PAGEREF _Toc31289 </w:instrText>
          </w:r>
          <w:r>
            <w:fldChar w:fldCharType="separate"/>
          </w:r>
          <w:r>
            <w:t>- 23 -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_Toc4769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2.5.6环境风险</w:t>
          </w:r>
          <w:r>
            <w:tab/>
          </w:r>
          <w:r>
            <w:fldChar w:fldCharType="begin"/>
          </w:r>
          <w:r>
            <w:instrText xml:space="preserve"> PAGEREF _Toc4769 </w:instrText>
          </w:r>
          <w:r>
            <w:fldChar w:fldCharType="separate"/>
          </w:r>
          <w:r>
            <w:t>- 23 -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_Toc8175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2.5.7生态环境</w:t>
          </w:r>
          <w:r>
            <w:tab/>
          </w:r>
          <w:r>
            <w:fldChar w:fldCharType="begin"/>
          </w:r>
          <w:r>
            <w:instrText xml:space="preserve"> PAGEREF _Toc8175 </w:instrText>
          </w:r>
          <w:r>
            <w:fldChar w:fldCharType="separate"/>
          </w:r>
          <w:r>
            <w:t>- 24 -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_Toc11232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2.6环境保护目标</w:t>
          </w:r>
          <w:r>
            <w:tab/>
          </w:r>
          <w:r>
            <w:fldChar w:fldCharType="begin"/>
          </w:r>
          <w:r>
            <w:instrText xml:space="preserve"> PAGEREF _Toc11232 </w:instrText>
          </w:r>
          <w:r>
            <w:fldChar w:fldCharType="separate"/>
          </w:r>
          <w:r>
            <w:t>- 24 -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_Toc1582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2.7项目符合性分析</w:t>
          </w:r>
          <w:r>
            <w:tab/>
          </w:r>
          <w:r>
            <w:fldChar w:fldCharType="begin"/>
          </w:r>
          <w:r>
            <w:instrText xml:space="preserve"> PAGEREF _Toc1582 </w:instrText>
          </w:r>
          <w:r>
            <w:fldChar w:fldCharType="separate"/>
          </w:r>
          <w:r>
            <w:t>- 30 -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_Toc28628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2.7.1《产业结构调整指导目录（2019年本）》符合性</w:t>
          </w:r>
          <w:r>
            <w:tab/>
          </w:r>
          <w:r>
            <w:fldChar w:fldCharType="begin"/>
          </w:r>
          <w:r>
            <w:instrText xml:space="preserve"> PAGEREF _Toc28628 </w:instrText>
          </w:r>
          <w:r>
            <w:fldChar w:fldCharType="separate"/>
          </w:r>
          <w:r>
            <w:t>- 30 -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_Toc12385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2.7.2相关法律、法规的符合性</w:t>
          </w:r>
          <w:r>
            <w:tab/>
          </w:r>
          <w:r>
            <w:fldChar w:fldCharType="begin"/>
          </w:r>
          <w:r>
            <w:instrText xml:space="preserve"> PAGEREF _Toc12385 </w:instrText>
          </w:r>
          <w:r>
            <w:fldChar w:fldCharType="separate"/>
          </w:r>
          <w:r>
            <w:t>- 30 -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2.7.3相关规范符合性分析</w:t>
          </w:r>
          <w:r>
            <w:tab/>
          </w:r>
          <w:r>
            <w:fldChar w:fldCharType="begin"/>
          </w:r>
          <w:r>
            <w:instrText xml:space="preserve"> PAGEREF _Toc171 </w:instrText>
          </w:r>
          <w:r>
            <w:fldChar w:fldCharType="separate"/>
          </w:r>
          <w:r>
            <w:t>- 30 -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_Toc31405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2.7.4相关政策符合性分析</w:t>
          </w:r>
          <w:r>
            <w:tab/>
          </w:r>
          <w:r>
            <w:fldChar w:fldCharType="begin"/>
          </w:r>
          <w:r>
            <w:instrText xml:space="preserve"> PAGEREF _Toc31405 </w:instrText>
          </w:r>
          <w:r>
            <w:fldChar w:fldCharType="separate"/>
          </w:r>
          <w:r>
            <w:t>- 30 -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_Toc10745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2.7.5相关规划符合性分析</w:t>
          </w:r>
          <w:r>
            <w:tab/>
          </w:r>
          <w:r>
            <w:fldChar w:fldCharType="begin"/>
          </w:r>
          <w:r>
            <w:instrText xml:space="preserve"> PAGEREF _Toc10745 </w:instrText>
          </w:r>
          <w:r>
            <w:fldChar w:fldCharType="separate"/>
          </w:r>
          <w:r>
            <w:t>- 30 -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_Toc27211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2.7.6选址合理性分析</w:t>
          </w:r>
          <w:r>
            <w:tab/>
          </w:r>
          <w:r>
            <w:fldChar w:fldCharType="begin"/>
          </w:r>
          <w:r>
            <w:instrText xml:space="preserve"> PAGEREF _Toc27211 </w:instrText>
          </w:r>
          <w:r>
            <w:fldChar w:fldCharType="separate"/>
          </w:r>
          <w:r>
            <w:t>- 40 -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_Toc3110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2.8环境功能区符合性分析</w:t>
          </w:r>
          <w:r>
            <w:tab/>
          </w:r>
          <w:r>
            <w:fldChar w:fldCharType="begin"/>
          </w:r>
          <w:r>
            <w:instrText xml:space="preserve"> PAGEREF _Toc3110 </w:instrText>
          </w:r>
          <w:r>
            <w:fldChar w:fldCharType="separate"/>
          </w:r>
          <w:r>
            <w:t>- 44 -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_Toc21966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2.8.1环境容量</w:t>
          </w:r>
          <w:r>
            <w:tab/>
          </w:r>
          <w:r>
            <w:fldChar w:fldCharType="begin"/>
          </w:r>
          <w:r>
            <w:instrText xml:space="preserve"> PAGEREF _Toc21966 </w:instrText>
          </w:r>
          <w:r>
            <w:fldChar w:fldCharType="separate"/>
          </w:r>
          <w:r>
            <w:t>- 44 -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_Toc9242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2.8.2周边环境情况</w:t>
          </w:r>
          <w:r>
            <w:tab/>
          </w:r>
          <w:r>
            <w:fldChar w:fldCharType="begin"/>
          </w:r>
          <w:r>
            <w:instrText xml:space="preserve"> PAGEREF _Toc9242 </w:instrText>
          </w:r>
          <w:r>
            <w:fldChar w:fldCharType="separate"/>
          </w:r>
          <w:r>
            <w:t>- 44 -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_Toc19613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3工程分析</w:t>
          </w:r>
          <w:r>
            <w:tab/>
          </w:r>
          <w:r>
            <w:fldChar w:fldCharType="begin"/>
          </w:r>
          <w:r>
            <w:instrText xml:space="preserve"> PAGEREF _Toc19613 </w:instrText>
          </w:r>
          <w:r>
            <w:fldChar w:fldCharType="separate"/>
          </w:r>
          <w:r>
            <w:t>- 46 -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_Toc6484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3.1项目基本情况</w:t>
          </w:r>
          <w:r>
            <w:tab/>
          </w:r>
          <w:r>
            <w:fldChar w:fldCharType="begin"/>
          </w:r>
          <w:r>
            <w:instrText xml:space="preserve"> PAGEREF _Toc6484 </w:instrText>
          </w:r>
          <w:r>
            <w:fldChar w:fldCharType="separate"/>
          </w:r>
          <w:r>
            <w:t>- 46 -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_Toc7966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3.1.1项目基本概况</w:t>
          </w:r>
          <w:r>
            <w:tab/>
          </w:r>
          <w:r>
            <w:fldChar w:fldCharType="begin"/>
          </w:r>
          <w:r>
            <w:instrText xml:space="preserve"> PAGEREF _Toc7966 </w:instrText>
          </w:r>
          <w:r>
            <w:fldChar w:fldCharType="separate"/>
          </w:r>
          <w:r>
            <w:t>- 46 -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_Toc19935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3.1.2项目组成及建设内容</w:t>
          </w:r>
          <w:r>
            <w:tab/>
          </w:r>
          <w:r>
            <w:fldChar w:fldCharType="begin"/>
          </w:r>
          <w:r>
            <w:instrText xml:space="preserve"> PAGEREF _Toc19935 </w:instrText>
          </w:r>
          <w:r>
            <w:fldChar w:fldCharType="separate"/>
          </w:r>
          <w:r>
            <w:t>- 51 -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_Toc13678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3.1.3产品方案</w:t>
          </w:r>
          <w:r>
            <w:tab/>
          </w:r>
          <w:r>
            <w:fldChar w:fldCharType="begin"/>
          </w:r>
          <w:r>
            <w:instrText xml:space="preserve"> PAGEREF _Toc13678 </w:instrText>
          </w:r>
          <w:r>
            <w:fldChar w:fldCharType="separate"/>
          </w:r>
          <w:r>
            <w:t>- 53 -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_Toc18108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3.1.4主要原辅料</w:t>
          </w:r>
          <w:r>
            <w:rPr>
              <w:rFonts w:hint="eastAsia" w:cs="Times New Roman"/>
              <w:lang w:eastAsia="zh-CN"/>
            </w:rPr>
            <w:t>、</w:t>
          </w:r>
          <w:r>
            <w:rPr>
              <w:rFonts w:hint="default" w:ascii="Times New Roman" w:hAnsi="Times New Roman" w:eastAsia="宋体" w:cs="Times New Roman"/>
            </w:rPr>
            <w:t>能源消耗</w:t>
          </w:r>
          <w:r>
            <w:tab/>
          </w:r>
          <w:r>
            <w:fldChar w:fldCharType="begin"/>
          </w:r>
          <w:r>
            <w:instrText xml:space="preserve"> PAGEREF _Toc18108 </w:instrText>
          </w:r>
          <w:r>
            <w:fldChar w:fldCharType="separate"/>
          </w:r>
          <w:r>
            <w:t>- 53 -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_Toc4244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3.1.5主要设备</w:t>
          </w:r>
          <w:r>
            <w:tab/>
          </w:r>
          <w:r>
            <w:fldChar w:fldCharType="begin"/>
          </w:r>
          <w:r>
            <w:instrText xml:space="preserve"> PAGEREF _Toc4244 </w:instrText>
          </w:r>
          <w:r>
            <w:fldChar w:fldCharType="separate"/>
          </w:r>
          <w:r>
            <w:t>- 54 -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_Toc30898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3.1.6公用工程</w:t>
          </w:r>
          <w:r>
            <w:tab/>
          </w:r>
          <w:r>
            <w:fldChar w:fldCharType="begin"/>
          </w:r>
          <w:r>
            <w:instrText xml:space="preserve"> PAGEREF _Toc30898 </w:instrText>
          </w:r>
          <w:r>
            <w:fldChar w:fldCharType="separate"/>
          </w:r>
          <w:r>
            <w:t>- 55 -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_Toc29331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3.1.7储运工程</w:t>
          </w:r>
          <w:r>
            <w:tab/>
          </w:r>
          <w:r>
            <w:fldChar w:fldCharType="begin"/>
          </w:r>
          <w:r>
            <w:instrText xml:space="preserve"> PAGEREF _Toc29331 </w:instrText>
          </w:r>
          <w:r>
            <w:fldChar w:fldCharType="separate"/>
          </w:r>
          <w:r>
            <w:t>- 59 -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_Toc9393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3.1.8总平面布置</w:t>
          </w:r>
          <w:r>
            <w:tab/>
          </w:r>
          <w:r>
            <w:fldChar w:fldCharType="begin"/>
          </w:r>
          <w:r>
            <w:instrText xml:space="preserve"> PAGEREF _Toc9393 </w:instrText>
          </w:r>
          <w:r>
            <w:fldChar w:fldCharType="separate"/>
          </w:r>
          <w:r>
            <w:t>- 59 -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_Toc19399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3.2项目污染影响因素分析</w:t>
          </w:r>
          <w:r>
            <w:tab/>
          </w:r>
          <w:r>
            <w:fldChar w:fldCharType="begin"/>
          </w:r>
          <w:r>
            <w:instrText xml:space="preserve"> PAGEREF _Toc19399 </w:instrText>
          </w:r>
          <w:r>
            <w:fldChar w:fldCharType="separate"/>
          </w:r>
          <w:r>
            <w:t>- 62 -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_Toc2082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3.2.1</w:t>
          </w:r>
          <w:r>
            <w:rPr>
              <w:rFonts w:hint="eastAsia" w:cs="Times New Roman"/>
              <w:lang w:val="en-US" w:eastAsia="zh-CN"/>
            </w:rPr>
            <w:t>饲养</w:t>
          </w:r>
          <w:r>
            <w:rPr>
              <w:rFonts w:hint="default" w:ascii="Times New Roman" w:hAnsi="Times New Roman" w:eastAsia="宋体" w:cs="Times New Roman"/>
            </w:rPr>
            <w:t>流程简述</w:t>
          </w:r>
          <w:r>
            <w:tab/>
          </w:r>
          <w:r>
            <w:fldChar w:fldCharType="begin"/>
          </w:r>
          <w:r>
            <w:instrText xml:space="preserve"> PAGEREF _Toc2082 </w:instrText>
          </w:r>
          <w:r>
            <w:fldChar w:fldCharType="separate"/>
          </w:r>
          <w:r>
            <w:t>- 62 -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_Toc16496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3.2.2</w:t>
          </w:r>
          <w:r>
            <w:rPr>
              <w:rFonts w:hint="eastAsia" w:cs="Times New Roman"/>
              <w:lang w:val="en-US" w:eastAsia="zh-CN"/>
            </w:rPr>
            <w:t>粪污处理工艺</w:t>
          </w:r>
          <w:r>
            <w:rPr>
              <w:rFonts w:hint="default" w:ascii="Times New Roman" w:hAnsi="Times New Roman" w:eastAsia="宋体" w:cs="Times New Roman"/>
            </w:rPr>
            <w:t>简述</w:t>
          </w:r>
          <w:r>
            <w:tab/>
          </w:r>
          <w:r>
            <w:fldChar w:fldCharType="begin"/>
          </w:r>
          <w:r>
            <w:instrText xml:space="preserve"> PAGEREF _Toc16496 </w:instrText>
          </w:r>
          <w:r>
            <w:fldChar w:fldCharType="separate"/>
          </w:r>
          <w:r>
            <w:t>- 63 -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_Toc2263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3.2.3洗消中心工艺简述</w:t>
          </w:r>
          <w:r>
            <w:tab/>
          </w:r>
          <w:r>
            <w:fldChar w:fldCharType="begin"/>
          </w:r>
          <w:r>
            <w:instrText xml:space="preserve"> PAGEREF _Toc2263 </w:instrText>
          </w:r>
          <w:r>
            <w:fldChar w:fldCharType="separate"/>
          </w:r>
          <w:r>
            <w:t>- 63 -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_Toc28509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3.2.</w:t>
          </w:r>
          <w:r>
            <w:rPr>
              <w:rFonts w:hint="eastAsia" w:cs="Times New Roman"/>
              <w:lang w:val="en-US" w:eastAsia="zh-CN"/>
            </w:rPr>
            <w:t>4病死猪处理</w:t>
          </w:r>
          <w:r>
            <w:rPr>
              <w:rFonts w:hint="default" w:ascii="Times New Roman" w:hAnsi="Times New Roman" w:eastAsia="宋体" w:cs="Times New Roman"/>
            </w:rPr>
            <w:t>简述</w:t>
          </w:r>
          <w:r>
            <w:tab/>
          </w:r>
          <w:r>
            <w:fldChar w:fldCharType="begin"/>
          </w:r>
          <w:r>
            <w:instrText xml:space="preserve"> PAGEREF _Toc28509 </w:instrText>
          </w:r>
          <w:r>
            <w:fldChar w:fldCharType="separate"/>
          </w:r>
          <w:r>
            <w:t>- 64 -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_Toc389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3.3项目污染源源强核算</w:t>
          </w:r>
          <w:r>
            <w:tab/>
          </w:r>
          <w:r>
            <w:fldChar w:fldCharType="begin"/>
          </w:r>
          <w:r>
            <w:instrText xml:space="preserve"> PAGEREF _Toc389 </w:instrText>
          </w:r>
          <w:r>
            <w:fldChar w:fldCharType="separate"/>
          </w:r>
          <w:r>
            <w:t>- 66 -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_Toc11022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3.3.1大气污染物</w:t>
          </w:r>
          <w:r>
            <w:tab/>
          </w:r>
          <w:r>
            <w:fldChar w:fldCharType="begin"/>
          </w:r>
          <w:r>
            <w:instrText xml:space="preserve"> PAGEREF _Toc11022 </w:instrText>
          </w:r>
          <w:r>
            <w:fldChar w:fldCharType="separate"/>
          </w:r>
          <w:r>
            <w:t>- 66 -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_Toc15075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3.3.2水污染物</w:t>
          </w:r>
          <w:r>
            <w:tab/>
          </w:r>
          <w:r>
            <w:fldChar w:fldCharType="begin"/>
          </w:r>
          <w:r>
            <w:instrText xml:space="preserve"> PAGEREF _Toc15075 </w:instrText>
          </w:r>
          <w:r>
            <w:fldChar w:fldCharType="separate"/>
          </w:r>
          <w:r>
            <w:t>- 68 -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_Toc8391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szCs w:val="24"/>
            </w:rPr>
            <w:t>3.3.3噪声</w:t>
          </w:r>
          <w:r>
            <w:tab/>
          </w:r>
          <w:r>
            <w:fldChar w:fldCharType="begin"/>
          </w:r>
          <w:r>
            <w:instrText xml:space="preserve"> PAGEREF _Toc8391 </w:instrText>
          </w:r>
          <w:r>
            <w:fldChar w:fldCharType="separate"/>
          </w:r>
          <w:r>
            <w:t>- 69 -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_Toc16098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3.3.4固体废弃物</w:t>
          </w:r>
          <w:r>
            <w:tab/>
          </w:r>
          <w:r>
            <w:fldChar w:fldCharType="begin"/>
          </w:r>
          <w:r>
            <w:instrText xml:space="preserve"> PAGEREF _Toc16098 </w:instrText>
          </w:r>
          <w:r>
            <w:fldChar w:fldCharType="separate"/>
          </w:r>
          <w:r>
            <w:t>- 69 -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_Toc1390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3.4粪污资源化利用综述</w:t>
          </w:r>
          <w:r>
            <w:tab/>
          </w:r>
          <w:r>
            <w:fldChar w:fldCharType="begin"/>
          </w:r>
          <w:r>
            <w:instrText xml:space="preserve"> PAGEREF _Toc1390 </w:instrText>
          </w:r>
          <w:r>
            <w:fldChar w:fldCharType="separate"/>
          </w:r>
          <w:r>
            <w:t>- 71 -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_Toc24226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3.4.1有机肥产生量</w:t>
          </w:r>
          <w:r>
            <w:tab/>
          </w:r>
          <w:r>
            <w:fldChar w:fldCharType="begin"/>
          </w:r>
          <w:r>
            <w:instrText xml:space="preserve"> PAGEREF _Toc24226 </w:instrText>
          </w:r>
          <w:r>
            <w:fldChar w:fldCharType="separate"/>
          </w:r>
          <w:r>
            <w:t>- 71 -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_Toc24108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3.4.2土地消纳能力</w:t>
          </w:r>
          <w:r>
            <w:tab/>
          </w:r>
          <w:r>
            <w:fldChar w:fldCharType="begin"/>
          </w:r>
          <w:r>
            <w:instrText xml:space="preserve"> PAGEREF _Toc24108 </w:instrText>
          </w:r>
          <w:r>
            <w:fldChar w:fldCharType="separate"/>
          </w:r>
          <w:r>
            <w:t>- 71 -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_Toc18702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3.5污染物排放清单</w:t>
          </w:r>
          <w:r>
            <w:tab/>
          </w:r>
          <w:r>
            <w:fldChar w:fldCharType="begin"/>
          </w:r>
          <w:r>
            <w:instrText xml:space="preserve"> PAGEREF _Toc18702 </w:instrText>
          </w:r>
          <w:r>
            <w:fldChar w:fldCharType="separate"/>
          </w:r>
          <w:r>
            <w:t>- 72 -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_Toc27421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4环境现状调查及评价</w:t>
          </w:r>
          <w:r>
            <w:tab/>
          </w:r>
          <w:r>
            <w:fldChar w:fldCharType="begin"/>
          </w:r>
          <w:r>
            <w:instrText xml:space="preserve"> PAGEREF _Toc27421 </w:instrText>
          </w:r>
          <w:r>
            <w:fldChar w:fldCharType="separate"/>
          </w:r>
          <w:r>
            <w:t>- 76 -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_Toc16189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4.1自然环境现状调查与评价</w:t>
          </w:r>
          <w:r>
            <w:tab/>
          </w:r>
          <w:r>
            <w:fldChar w:fldCharType="begin"/>
          </w:r>
          <w:r>
            <w:instrText xml:space="preserve"> PAGEREF _Toc16189 </w:instrText>
          </w:r>
          <w:r>
            <w:fldChar w:fldCharType="separate"/>
          </w:r>
          <w:r>
            <w:t>- 76 -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_Toc11426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4.1.1地理位置</w:t>
          </w:r>
          <w:r>
            <w:tab/>
          </w:r>
          <w:r>
            <w:fldChar w:fldCharType="begin"/>
          </w:r>
          <w:r>
            <w:instrText xml:space="preserve"> PAGEREF _Toc11426 </w:instrText>
          </w:r>
          <w:r>
            <w:fldChar w:fldCharType="separate"/>
          </w:r>
          <w:r>
            <w:t>- 76 -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_Toc7444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4.1.2</w:t>
          </w:r>
          <w:r>
            <w:rPr>
              <w:rFonts w:hint="default" w:ascii="Times New Roman" w:hAnsi="Times New Roman" w:eastAsia="宋体" w:cs="Times New Roman"/>
              <w:szCs w:val="22"/>
            </w:rPr>
            <w:t>地形地貌</w:t>
          </w:r>
          <w:r>
            <w:tab/>
          </w:r>
          <w:r>
            <w:fldChar w:fldCharType="begin"/>
          </w:r>
          <w:r>
            <w:instrText xml:space="preserve"> PAGEREF _Toc7444 </w:instrText>
          </w:r>
          <w:r>
            <w:fldChar w:fldCharType="separate"/>
          </w:r>
          <w:r>
            <w:t>- 76 -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4.1.3</w:t>
          </w:r>
          <w:r>
            <w:rPr>
              <w:rFonts w:hint="default" w:ascii="Times New Roman" w:hAnsi="Times New Roman" w:eastAsia="宋体" w:cs="Times New Roman"/>
              <w:szCs w:val="22"/>
            </w:rPr>
            <w:t>气候特征</w:t>
          </w:r>
          <w:r>
            <w:tab/>
          </w:r>
          <w:r>
            <w:fldChar w:fldCharType="begin"/>
          </w:r>
          <w:r>
            <w:instrText xml:space="preserve"> PAGEREF _Toc9 </w:instrText>
          </w:r>
          <w:r>
            <w:fldChar w:fldCharType="separate"/>
          </w:r>
          <w:r>
            <w:t>- 76 -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_Toc24507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4.1.</w:t>
          </w:r>
          <w:r>
            <w:rPr>
              <w:rFonts w:hint="eastAsia" w:cs="Times New Roman"/>
              <w:lang w:val="en-US" w:eastAsia="zh-CN"/>
            </w:rPr>
            <w:t>4</w:t>
          </w:r>
          <w:r>
            <w:rPr>
              <w:rFonts w:hint="default" w:ascii="Times New Roman" w:hAnsi="Times New Roman" w:eastAsia="宋体" w:cs="Times New Roman"/>
            </w:rPr>
            <w:t>水文条件</w:t>
          </w:r>
          <w:r>
            <w:tab/>
          </w:r>
          <w:r>
            <w:fldChar w:fldCharType="begin"/>
          </w:r>
          <w:r>
            <w:instrText xml:space="preserve"> PAGEREF _Toc24507 </w:instrText>
          </w:r>
          <w:r>
            <w:fldChar w:fldCharType="separate"/>
          </w:r>
          <w:r>
            <w:t>- 76 -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_Toc30372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4.1.</w:t>
          </w:r>
          <w:r>
            <w:rPr>
              <w:rFonts w:hint="eastAsia" w:cs="Times New Roman"/>
              <w:lang w:val="en-US" w:eastAsia="zh-CN"/>
            </w:rPr>
            <w:t>5</w:t>
          </w:r>
          <w:r>
            <w:rPr>
              <w:rFonts w:hint="default" w:ascii="Times New Roman" w:hAnsi="Times New Roman" w:eastAsia="宋体" w:cs="Times New Roman"/>
            </w:rPr>
            <w:t>土壤</w:t>
          </w:r>
          <w:r>
            <w:tab/>
          </w:r>
          <w:r>
            <w:fldChar w:fldCharType="begin"/>
          </w:r>
          <w:r>
            <w:instrText xml:space="preserve"> PAGEREF _Toc30372 </w:instrText>
          </w:r>
          <w:r>
            <w:fldChar w:fldCharType="separate"/>
          </w:r>
          <w:r>
            <w:t>- 77 -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_Toc24794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4.1.7</w:t>
          </w:r>
          <w:r>
            <w:rPr>
              <w:rFonts w:hint="eastAsia" w:cs="Times New Roman"/>
              <w:lang w:val="en-US" w:eastAsia="zh-CN"/>
            </w:rPr>
            <w:t>动植物资源</w:t>
          </w:r>
          <w:r>
            <w:tab/>
          </w:r>
          <w:r>
            <w:fldChar w:fldCharType="begin"/>
          </w:r>
          <w:r>
            <w:instrText xml:space="preserve"> PAGEREF _Toc24794 </w:instrText>
          </w:r>
          <w:r>
            <w:fldChar w:fldCharType="separate"/>
          </w:r>
          <w:r>
            <w:t>- 77 -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_Toc25235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4.2环境质量现状调查与评价</w:t>
          </w:r>
          <w:r>
            <w:tab/>
          </w:r>
          <w:r>
            <w:fldChar w:fldCharType="begin"/>
          </w:r>
          <w:r>
            <w:instrText xml:space="preserve"> PAGEREF _Toc25235 </w:instrText>
          </w:r>
          <w:r>
            <w:fldChar w:fldCharType="separate"/>
          </w:r>
          <w:r>
            <w:t>- 77 -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_Toc29895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4.2.1环境空气质量现状</w:t>
          </w:r>
          <w:r>
            <w:tab/>
          </w:r>
          <w:r>
            <w:fldChar w:fldCharType="begin"/>
          </w:r>
          <w:r>
            <w:instrText xml:space="preserve"> PAGEREF _Toc29895 </w:instrText>
          </w:r>
          <w:r>
            <w:fldChar w:fldCharType="separate"/>
          </w:r>
          <w:r>
            <w:t>- 77 -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_Toc11969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4.2.2地下水质量现状调查与评价</w:t>
          </w:r>
          <w:r>
            <w:tab/>
          </w:r>
          <w:r>
            <w:fldChar w:fldCharType="begin"/>
          </w:r>
          <w:r>
            <w:instrText xml:space="preserve"> PAGEREF _Toc11969 </w:instrText>
          </w:r>
          <w:r>
            <w:fldChar w:fldCharType="separate"/>
          </w:r>
          <w:r>
            <w:t>- 81 -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_Toc19202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4.2.</w:t>
          </w:r>
          <w:r>
            <w:rPr>
              <w:rFonts w:hint="eastAsia" w:cs="Times New Roman"/>
              <w:lang w:val="en-US" w:eastAsia="zh-CN"/>
            </w:rPr>
            <w:t>3</w:t>
          </w:r>
          <w:r>
            <w:rPr>
              <w:rFonts w:hint="default" w:ascii="Times New Roman" w:hAnsi="Times New Roman" w:eastAsia="宋体" w:cs="Times New Roman"/>
            </w:rPr>
            <w:t>声环境质量现状调查与评价</w:t>
          </w:r>
          <w:r>
            <w:tab/>
          </w:r>
          <w:r>
            <w:fldChar w:fldCharType="begin"/>
          </w:r>
          <w:r>
            <w:instrText xml:space="preserve"> PAGEREF _Toc19202 </w:instrText>
          </w:r>
          <w:r>
            <w:fldChar w:fldCharType="separate"/>
          </w:r>
          <w:r>
            <w:t>- 87 -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_Toc997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4.2.</w:t>
          </w:r>
          <w:r>
            <w:rPr>
              <w:rFonts w:hint="eastAsia" w:cs="Times New Roman"/>
              <w:lang w:val="en-US" w:eastAsia="zh-CN"/>
            </w:rPr>
            <w:t>4</w:t>
          </w:r>
          <w:r>
            <w:rPr>
              <w:rFonts w:hint="default" w:ascii="Times New Roman" w:hAnsi="Times New Roman" w:eastAsia="宋体" w:cs="Times New Roman"/>
            </w:rPr>
            <w:t>生态环境现状调查与评价</w:t>
          </w:r>
          <w:r>
            <w:tab/>
          </w:r>
          <w:r>
            <w:fldChar w:fldCharType="begin"/>
          </w:r>
          <w:r>
            <w:instrText xml:space="preserve"> PAGEREF _Toc997 </w:instrText>
          </w:r>
          <w:r>
            <w:fldChar w:fldCharType="separate"/>
          </w:r>
          <w:r>
            <w:t>- 91 -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_Toc11188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5环境影响预测与评价</w:t>
          </w:r>
          <w:r>
            <w:tab/>
          </w:r>
          <w:r>
            <w:fldChar w:fldCharType="begin"/>
          </w:r>
          <w:r>
            <w:instrText xml:space="preserve"> PAGEREF _Toc11188 </w:instrText>
          </w:r>
          <w:r>
            <w:fldChar w:fldCharType="separate"/>
          </w:r>
          <w:r>
            <w:t>- 95 -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_Toc2705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5.1施工期环境影响分析</w:t>
          </w:r>
          <w:r>
            <w:tab/>
          </w:r>
          <w:r>
            <w:fldChar w:fldCharType="begin"/>
          </w:r>
          <w:r>
            <w:instrText xml:space="preserve"> PAGEREF _Toc2705 </w:instrText>
          </w:r>
          <w:r>
            <w:fldChar w:fldCharType="separate"/>
          </w:r>
          <w:r>
            <w:t>- 95 -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_Toc16911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5.1.1大气环境影响分析</w:t>
          </w:r>
          <w:r>
            <w:tab/>
          </w:r>
          <w:r>
            <w:fldChar w:fldCharType="begin"/>
          </w:r>
          <w:r>
            <w:instrText xml:space="preserve"> PAGEREF _Toc16911 </w:instrText>
          </w:r>
          <w:r>
            <w:fldChar w:fldCharType="separate"/>
          </w:r>
          <w:r>
            <w:t>- 95 -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_Toc23174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5.1.2水环境影响分析</w:t>
          </w:r>
          <w:r>
            <w:tab/>
          </w:r>
          <w:r>
            <w:fldChar w:fldCharType="begin"/>
          </w:r>
          <w:r>
            <w:instrText xml:space="preserve"> PAGEREF _Toc23174 </w:instrText>
          </w:r>
          <w:r>
            <w:fldChar w:fldCharType="separate"/>
          </w:r>
          <w:r>
            <w:t>- 98 -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_Toc25278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5.1.3施工期声环境影响分析</w:t>
          </w:r>
          <w:r>
            <w:tab/>
          </w:r>
          <w:r>
            <w:fldChar w:fldCharType="begin"/>
          </w:r>
          <w:r>
            <w:instrText xml:space="preserve"> PAGEREF _Toc25278 </w:instrText>
          </w:r>
          <w:r>
            <w:fldChar w:fldCharType="separate"/>
          </w:r>
          <w:r>
            <w:t>- 99 -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_Toc27117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5.1.4固废环境影响分析</w:t>
          </w:r>
          <w:r>
            <w:tab/>
          </w:r>
          <w:r>
            <w:fldChar w:fldCharType="begin"/>
          </w:r>
          <w:r>
            <w:instrText xml:space="preserve"> PAGEREF _Toc27117 </w:instrText>
          </w:r>
          <w:r>
            <w:fldChar w:fldCharType="separate"/>
          </w:r>
          <w:r>
            <w:t>- 99 -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_Toc30409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5.1.5施工期生态影响分析</w:t>
          </w:r>
          <w:r>
            <w:tab/>
          </w:r>
          <w:r>
            <w:fldChar w:fldCharType="begin"/>
          </w:r>
          <w:r>
            <w:instrText xml:space="preserve"> PAGEREF _Toc30409 </w:instrText>
          </w:r>
          <w:r>
            <w:fldChar w:fldCharType="separate"/>
          </w:r>
          <w:r>
            <w:t>- 100 -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_Toc9003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5.2运营期大气环境影响分析</w:t>
          </w:r>
          <w:r>
            <w:tab/>
          </w:r>
          <w:r>
            <w:fldChar w:fldCharType="begin"/>
          </w:r>
          <w:r>
            <w:instrText xml:space="preserve"> PAGEREF _Toc9003 </w:instrText>
          </w:r>
          <w:r>
            <w:fldChar w:fldCharType="separate"/>
          </w:r>
          <w:r>
            <w:t>- 102 -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_Toc13971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5.2.1区域气象资料</w:t>
          </w:r>
          <w:r>
            <w:tab/>
          </w:r>
          <w:r>
            <w:fldChar w:fldCharType="begin"/>
          </w:r>
          <w:r>
            <w:instrText xml:space="preserve"> PAGEREF _Toc13971 </w:instrText>
          </w:r>
          <w:r>
            <w:fldChar w:fldCharType="separate"/>
          </w:r>
          <w:r>
            <w:t>- 102 -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_Toc15967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5.2.2大气环境影响预测</w:t>
          </w:r>
          <w:r>
            <w:tab/>
          </w:r>
          <w:r>
            <w:fldChar w:fldCharType="begin"/>
          </w:r>
          <w:r>
            <w:instrText xml:space="preserve"> PAGEREF _Toc15967 </w:instrText>
          </w:r>
          <w:r>
            <w:fldChar w:fldCharType="separate"/>
          </w:r>
          <w:r>
            <w:t>- 110 -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_Toc32226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5.2.3大气环境影响评价结论与建议</w:t>
          </w:r>
          <w:r>
            <w:tab/>
          </w:r>
          <w:r>
            <w:fldChar w:fldCharType="begin"/>
          </w:r>
          <w:r>
            <w:instrText xml:space="preserve"> PAGEREF _Toc32226 </w:instrText>
          </w:r>
          <w:r>
            <w:fldChar w:fldCharType="separate"/>
          </w:r>
          <w:r>
            <w:t>- 114 -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_Toc9169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5.3运营期地表水环境影响分析</w:t>
          </w:r>
          <w:r>
            <w:tab/>
          </w:r>
          <w:r>
            <w:fldChar w:fldCharType="begin"/>
          </w:r>
          <w:r>
            <w:instrText xml:space="preserve"> PAGEREF _Toc9169 </w:instrText>
          </w:r>
          <w:r>
            <w:fldChar w:fldCharType="separate"/>
          </w:r>
          <w:r>
            <w:t>- 117 -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_Toc2322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5.3.1水污染控制和水环境影响减缓措施有效性评价</w:t>
          </w:r>
          <w:r>
            <w:tab/>
          </w:r>
          <w:r>
            <w:fldChar w:fldCharType="begin"/>
          </w:r>
          <w:r>
            <w:instrText xml:space="preserve"> PAGEREF _Toc2322 </w:instrText>
          </w:r>
          <w:r>
            <w:fldChar w:fldCharType="separate"/>
          </w:r>
          <w:r>
            <w:t>- 117 -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_Toc1752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5.3.2粪污资源化利用的环境可行性评价</w:t>
          </w:r>
          <w:r>
            <w:tab/>
          </w:r>
          <w:r>
            <w:fldChar w:fldCharType="begin"/>
          </w:r>
          <w:r>
            <w:instrText xml:space="preserve"> PAGEREF _Toc1752 </w:instrText>
          </w:r>
          <w:r>
            <w:fldChar w:fldCharType="separate"/>
          </w:r>
          <w:r>
            <w:t>- 117 -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_Toc11481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5.4运营期地下水环境影响</w:t>
          </w:r>
          <w:r>
            <w:tab/>
          </w:r>
          <w:r>
            <w:fldChar w:fldCharType="begin"/>
          </w:r>
          <w:r>
            <w:instrText xml:space="preserve"> PAGEREF _Toc11481 </w:instrText>
          </w:r>
          <w:r>
            <w:fldChar w:fldCharType="separate"/>
          </w:r>
          <w:r>
            <w:t>- 118 -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_Toc9480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5.4.1环境水文地质条件</w:t>
          </w:r>
          <w:r>
            <w:tab/>
          </w:r>
          <w:r>
            <w:fldChar w:fldCharType="begin"/>
          </w:r>
          <w:r>
            <w:instrText xml:space="preserve"> PAGEREF _Toc9480 </w:instrText>
          </w:r>
          <w:r>
            <w:fldChar w:fldCharType="separate"/>
          </w:r>
          <w:r>
            <w:t>- 118 -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_Toc25938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5.4.2地下水环境影响分析</w:t>
          </w:r>
          <w:r>
            <w:tab/>
          </w:r>
          <w:r>
            <w:fldChar w:fldCharType="begin"/>
          </w:r>
          <w:r>
            <w:instrText xml:space="preserve"> PAGEREF _Toc25938 </w:instrText>
          </w:r>
          <w:r>
            <w:fldChar w:fldCharType="separate"/>
          </w:r>
          <w:r>
            <w:t>- 119 -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_Toc13217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5.4.3预测结果分析评价</w:t>
          </w:r>
          <w:r>
            <w:tab/>
          </w:r>
          <w:r>
            <w:fldChar w:fldCharType="begin"/>
          </w:r>
          <w:r>
            <w:instrText xml:space="preserve"> PAGEREF _Toc13217 </w:instrText>
          </w:r>
          <w:r>
            <w:fldChar w:fldCharType="separate"/>
          </w:r>
          <w:r>
            <w:t>- 123 -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_Toc15903 </w:instrText>
          </w:r>
          <w:r>
            <w:rPr>
              <w:rFonts w:hint="default" w:ascii="Times New Roman" w:hAnsi="Times New Roman" w:eastAsia="宋体" w:cs="Times New Roman"/>
              <w:bCs/>
              <w:szCs w:val="24"/>
              <w:lang w:val="zh-CN"/>
            </w:rPr>
            <w:fldChar w:fldCharType="separate"/>
          </w:r>
          <w:r>
            <w:rPr>
              <w:rFonts w:hint="default"/>
              <w:lang w:val="en-US" w:eastAsia="zh-CN"/>
            </w:rPr>
            <w:t>5.5资源化利用土壤环境影响分析</w:t>
          </w:r>
          <w:r>
            <w:tab/>
          </w:r>
          <w:r>
            <w:fldChar w:fldCharType="begin"/>
          </w:r>
          <w:r>
            <w:instrText xml:space="preserve"> PAGEREF _Toc15903 </w:instrText>
          </w:r>
          <w:r>
            <w:fldChar w:fldCharType="separate"/>
          </w:r>
          <w:r>
            <w:t>- 123 -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_Toc5522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5.6运营期声环境影响分析</w:t>
          </w:r>
          <w:r>
            <w:tab/>
          </w:r>
          <w:r>
            <w:fldChar w:fldCharType="begin"/>
          </w:r>
          <w:r>
            <w:instrText xml:space="preserve"> PAGEREF _Toc5522 </w:instrText>
          </w:r>
          <w:r>
            <w:fldChar w:fldCharType="separate"/>
          </w:r>
          <w:r>
            <w:t>- 124 -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_Toc25830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5.6.1主要声源源强</w:t>
          </w:r>
          <w:r>
            <w:tab/>
          </w:r>
          <w:r>
            <w:fldChar w:fldCharType="begin"/>
          </w:r>
          <w:r>
            <w:instrText xml:space="preserve"> PAGEREF _Toc25830 </w:instrText>
          </w:r>
          <w:r>
            <w:fldChar w:fldCharType="separate"/>
          </w:r>
          <w:r>
            <w:t>- 124 -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_Toc1684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5.6.2声环境预测方法</w:t>
          </w:r>
          <w:r>
            <w:tab/>
          </w:r>
          <w:r>
            <w:fldChar w:fldCharType="begin"/>
          </w:r>
          <w:r>
            <w:instrText xml:space="preserve"> PAGEREF _Toc1684 </w:instrText>
          </w:r>
          <w:r>
            <w:fldChar w:fldCharType="separate"/>
          </w:r>
          <w:r>
            <w:t>- 124 -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_Toc121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5.6.3声环境预测结果及结论</w:t>
          </w:r>
          <w:r>
            <w:tab/>
          </w:r>
          <w:r>
            <w:fldChar w:fldCharType="begin"/>
          </w:r>
          <w:r>
            <w:instrText xml:space="preserve"> PAGEREF _Toc121 </w:instrText>
          </w:r>
          <w:r>
            <w:fldChar w:fldCharType="separate"/>
          </w:r>
          <w:r>
            <w:t>- 126 -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_Toc3116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5.7运营期固体废物环境影响分析</w:t>
          </w:r>
          <w:r>
            <w:tab/>
          </w:r>
          <w:r>
            <w:fldChar w:fldCharType="begin"/>
          </w:r>
          <w:r>
            <w:instrText xml:space="preserve"> PAGEREF _Toc3116 </w:instrText>
          </w:r>
          <w:r>
            <w:fldChar w:fldCharType="separate"/>
          </w:r>
          <w:r>
            <w:t>- 127 -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_Toc31327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5.7.1固体废物环境影响特点</w:t>
          </w:r>
          <w:r>
            <w:tab/>
          </w:r>
          <w:r>
            <w:fldChar w:fldCharType="begin"/>
          </w:r>
          <w:r>
            <w:instrText xml:space="preserve"> PAGEREF _Toc31327 </w:instrText>
          </w:r>
          <w:r>
            <w:fldChar w:fldCharType="separate"/>
          </w:r>
          <w:r>
            <w:t>- 127 -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_Toc17292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5.7.2固体废物污染途径</w:t>
          </w:r>
          <w:r>
            <w:tab/>
          </w:r>
          <w:r>
            <w:fldChar w:fldCharType="begin"/>
          </w:r>
          <w:r>
            <w:instrText xml:space="preserve"> PAGEREF _Toc17292 </w:instrText>
          </w:r>
          <w:r>
            <w:fldChar w:fldCharType="separate"/>
          </w:r>
          <w:r>
            <w:t>- 127 -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_Toc5541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5.7.3固废影响分析</w:t>
          </w:r>
          <w:r>
            <w:tab/>
          </w:r>
          <w:r>
            <w:fldChar w:fldCharType="begin"/>
          </w:r>
          <w:r>
            <w:instrText xml:space="preserve"> PAGEREF _Toc5541 </w:instrText>
          </w:r>
          <w:r>
            <w:fldChar w:fldCharType="separate"/>
          </w:r>
          <w:r>
            <w:t>- 128 -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_Toc7084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5.8运营期生态环境影响分析</w:t>
          </w:r>
          <w:r>
            <w:tab/>
          </w:r>
          <w:r>
            <w:fldChar w:fldCharType="begin"/>
          </w:r>
          <w:r>
            <w:instrText xml:space="preserve"> PAGEREF _Toc7084 </w:instrText>
          </w:r>
          <w:r>
            <w:fldChar w:fldCharType="separate"/>
          </w:r>
          <w:r>
            <w:t>- 128 -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_Toc17683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5.8.1土地利用影响评价</w:t>
          </w:r>
          <w:r>
            <w:tab/>
          </w:r>
          <w:r>
            <w:fldChar w:fldCharType="begin"/>
          </w:r>
          <w:r>
            <w:instrText xml:space="preserve"> PAGEREF _Toc17683 </w:instrText>
          </w:r>
          <w:r>
            <w:fldChar w:fldCharType="separate"/>
          </w:r>
          <w:r>
            <w:t>- 128 -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_Toc17690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5.8.2对动植物的影响分析</w:t>
          </w:r>
          <w:r>
            <w:tab/>
          </w:r>
          <w:r>
            <w:fldChar w:fldCharType="begin"/>
          </w:r>
          <w:r>
            <w:instrText xml:space="preserve"> PAGEREF _Toc17690 </w:instrText>
          </w:r>
          <w:r>
            <w:fldChar w:fldCharType="separate"/>
          </w:r>
          <w:r>
            <w:t>- 128 -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_Toc1088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5.8.3对土壤的污染影响分析</w:t>
          </w:r>
          <w:r>
            <w:tab/>
          </w:r>
          <w:r>
            <w:fldChar w:fldCharType="begin"/>
          </w:r>
          <w:r>
            <w:instrText xml:space="preserve"> PAGEREF _Toc1088 </w:instrText>
          </w:r>
          <w:r>
            <w:fldChar w:fldCharType="separate"/>
          </w:r>
          <w:r>
            <w:t>- 128 -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_Toc11596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6环境风险评价</w:t>
          </w:r>
          <w:r>
            <w:tab/>
          </w:r>
          <w:r>
            <w:fldChar w:fldCharType="begin"/>
          </w:r>
          <w:r>
            <w:instrText xml:space="preserve"> PAGEREF _Toc11596 </w:instrText>
          </w:r>
          <w:r>
            <w:fldChar w:fldCharType="separate"/>
          </w:r>
          <w:r>
            <w:t>- 130 -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_Toc21021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6.1风险评价目的</w:t>
          </w:r>
          <w:r>
            <w:tab/>
          </w:r>
          <w:r>
            <w:fldChar w:fldCharType="begin"/>
          </w:r>
          <w:r>
            <w:instrText xml:space="preserve"> PAGEREF _Toc21021 </w:instrText>
          </w:r>
          <w:r>
            <w:fldChar w:fldCharType="separate"/>
          </w:r>
          <w:r>
            <w:t>- 130 -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_Toc18810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6.2风险调查</w:t>
          </w:r>
          <w:r>
            <w:tab/>
          </w:r>
          <w:r>
            <w:fldChar w:fldCharType="begin"/>
          </w:r>
          <w:r>
            <w:instrText xml:space="preserve"> PAGEREF _Toc18810 </w:instrText>
          </w:r>
          <w:r>
            <w:fldChar w:fldCharType="separate"/>
          </w:r>
          <w:r>
            <w:t>- 130 -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_Toc8423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6.2.1建设项目风险源调查</w:t>
          </w:r>
          <w:r>
            <w:tab/>
          </w:r>
          <w:r>
            <w:fldChar w:fldCharType="begin"/>
          </w:r>
          <w:r>
            <w:instrText xml:space="preserve"> PAGEREF _Toc8423 </w:instrText>
          </w:r>
          <w:r>
            <w:fldChar w:fldCharType="separate"/>
          </w:r>
          <w:r>
            <w:t>- 130 -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_Toc21830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6.2.2环境敏感目标调查</w:t>
          </w:r>
          <w:r>
            <w:tab/>
          </w:r>
          <w:r>
            <w:fldChar w:fldCharType="begin"/>
          </w:r>
          <w:r>
            <w:instrText xml:space="preserve"> PAGEREF _Toc21830 </w:instrText>
          </w:r>
          <w:r>
            <w:fldChar w:fldCharType="separate"/>
          </w:r>
          <w:r>
            <w:t>- 130 -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_Toc28325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6.3评价等级划分及评价范围</w:t>
          </w:r>
          <w:r>
            <w:tab/>
          </w:r>
          <w:r>
            <w:fldChar w:fldCharType="begin"/>
          </w:r>
          <w:r>
            <w:instrText xml:space="preserve"> PAGEREF _Toc28325 </w:instrText>
          </w:r>
          <w:r>
            <w:fldChar w:fldCharType="separate"/>
          </w:r>
          <w:r>
            <w:t>- 131 -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_Toc3013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6.3.1危险物质及工艺系统危险性（P）的分级确定</w:t>
          </w:r>
          <w:r>
            <w:tab/>
          </w:r>
          <w:r>
            <w:fldChar w:fldCharType="begin"/>
          </w:r>
          <w:r>
            <w:instrText xml:space="preserve"> PAGEREF _Toc3013 </w:instrText>
          </w:r>
          <w:r>
            <w:fldChar w:fldCharType="separate"/>
          </w:r>
          <w:r>
            <w:t>- 131 -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_Toc4765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6.3.2环境影响评价等级及评价范围</w:t>
          </w:r>
          <w:r>
            <w:tab/>
          </w:r>
          <w:r>
            <w:fldChar w:fldCharType="begin"/>
          </w:r>
          <w:r>
            <w:instrText xml:space="preserve"> PAGEREF _Toc4765 </w:instrText>
          </w:r>
          <w:r>
            <w:fldChar w:fldCharType="separate"/>
          </w:r>
          <w:r>
            <w:t>- 131 -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_Toc21921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6.4环境风险分析</w:t>
          </w:r>
          <w:r>
            <w:tab/>
          </w:r>
          <w:r>
            <w:fldChar w:fldCharType="begin"/>
          </w:r>
          <w:r>
            <w:instrText xml:space="preserve"> PAGEREF _Toc21921 </w:instrText>
          </w:r>
          <w:r>
            <w:fldChar w:fldCharType="separate"/>
          </w:r>
          <w:r>
            <w:t>- 132 -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_Toc28514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6.4.1物质危险性识别</w:t>
          </w:r>
          <w:r>
            <w:tab/>
          </w:r>
          <w:r>
            <w:fldChar w:fldCharType="begin"/>
          </w:r>
          <w:r>
            <w:instrText xml:space="preserve"> PAGEREF _Toc28514 </w:instrText>
          </w:r>
          <w:r>
            <w:fldChar w:fldCharType="separate"/>
          </w:r>
          <w:r>
            <w:t>- 132 -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_Toc32103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6.4.2生产系统危险性识别</w:t>
          </w:r>
          <w:r>
            <w:tab/>
          </w:r>
          <w:r>
            <w:fldChar w:fldCharType="begin"/>
          </w:r>
          <w:r>
            <w:instrText xml:space="preserve"> PAGEREF _Toc32103 </w:instrText>
          </w:r>
          <w:r>
            <w:fldChar w:fldCharType="separate"/>
          </w:r>
          <w:r>
            <w:t>- 133 -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_Toc30316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6.5风险事故情形分析</w:t>
          </w:r>
          <w:r>
            <w:tab/>
          </w:r>
          <w:r>
            <w:fldChar w:fldCharType="begin"/>
          </w:r>
          <w:r>
            <w:instrText xml:space="preserve"> PAGEREF _Toc30316 </w:instrText>
          </w:r>
          <w:r>
            <w:fldChar w:fldCharType="separate"/>
          </w:r>
          <w:r>
            <w:t>- 133 -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_Toc17226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6.6环境风险管理</w:t>
          </w:r>
          <w:r>
            <w:tab/>
          </w:r>
          <w:r>
            <w:fldChar w:fldCharType="begin"/>
          </w:r>
          <w:r>
            <w:instrText xml:space="preserve"> PAGEREF _Toc17226 </w:instrText>
          </w:r>
          <w:r>
            <w:fldChar w:fldCharType="separate"/>
          </w:r>
          <w:r>
            <w:t>- 134 -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_Toc4444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6.6.1环境风险防范措施</w:t>
          </w:r>
          <w:r>
            <w:tab/>
          </w:r>
          <w:r>
            <w:fldChar w:fldCharType="begin"/>
          </w:r>
          <w:r>
            <w:instrText xml:space="preserve"> PAGEREF _Toc4444 </w:instrText>
          </w:r>
          <w:r>
            <w:fldChar w:fldCharType="separate"/>
          </w:r>
          <w:r>
            <w:t>- 134 -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_Toc13268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6.6.2突发环境事件应急预案编制要求</w:t>
          </w:r>
          <w:r>
            <w:tab/>
          </w:r>
          <w:r>
            <w:fldChar w:fldCharType="begin"/>
          </w:r>
          <w:r>
            <w:instrText xml:space="preserve"> PAGEREF _Toc13268 </w:instrText>
          </w:r>
          <w:r>
            <w:fldChar w:fldCharType="separate"/>
          </w:r>
          <w:r>
            <w:t>- 135 -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_Toc26191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6.7结论与建议</w:t>
          </w:r>
          <w:r>
            <w:tab/>
          </w:r>
          <w:r>
            <w:fldChar w:fldCharType="begin"/>
          </w:r>
          <w:r>
            <w:instrText xml:space="preserve"> PAGEREF _Toc26191 </w:instrText>
          </w:r>
          <w:r>
            <w:fldChar w:fldCharType="separate"/>
          </w:r>
          <w:r>
            <w:t>- 136 -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_Toc358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6.7.1结论</w:t>
          </w:r>
          <w:r>
            <w:tab/>
          </w:r>
          <w:r>
            <w:fldChar w:fldCharType="begin"/>
          </w:r>
          <w:r>
            <w:instrText xml:space="preserve"> PAGEREF _Toc358 </w:instrText>
          </w:r>
          <w:r>
            <w:fldChar w:fldCharType="separate"/>
          </w:r>
          <w:r>
            <w:t>- 136 -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_Toc22519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6.7.2建议</w:t>
          </w:r>
          <w:r>
            <w:tab/>
          </w:r>
          <w:r>
            <w:fldChar w:fldCharType="begin"/>
          </w:r>
          <w:r>
            <w:instrText xml:space="preserve"> PAGEREF _Toc22519 </w:instrText>
          </w:r>
          <w:r>
            <w:fldChar w:fldCharType="separate"/>
          </w:r>
          <w:r>
            <w:t>- 136 -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_Toc24183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7环境保护措施及其可行性论证</w:t>
          </w:r>
          <w:r>
            <w:tab/>
          </w:r>
          <w:r>
            <w:fldChar w:fldCharType="begin"/>
          </w:r>
          <w:r>
            <w:instrText xml:space="preserve"> PAGEREF _Toc24183 </w:instrText>
          </w:r>
          <w:r>
            <w:fldChar w:fldCharType="separate"/>
          </w:r>
          <w:r>
            <w:t>- 137 -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_Toc26448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7.1施工期环境保护措施</w:t>
          </w:r>
          <w:r>
            <w:tab/>
          </w:r>
          <w:r>
            <w:fldChar w:fldCharType="begin"/>
          </w:r>
          <w:r>
            <w:instrText xml:space="preserve"> PAGEREF _Toc26448 </w:instrText>
          </w:r>
          <w:r>
            <w:fldChar w:fldCharType="separate"/>
          </w:r>
          <w:r>
            <w:t>- 137 -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_Toc1767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7.1.1施工期大气环境保护措施</w:t>
          </w:r>
          <w:r>
            <w:tab/>
          </w:r>
          <w:r>
            <w:fldChar w:fldCharType="begin"/>
          </w:r>
          <w:r>
            <w:instrText xml:space="preserve"> PAGEREF _Toc1767 </w:instrText>
          </w:r>
          <w:r>
            <w:fldChar w:fldCharType="separate"/>
          </w:r>
          <w:r>
            <w:t>- 137 -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_Toc3117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7.1.2施工期水环境保护措施</w:t>
          </w:r>
          <w:r>
            <w:tab/>
          </w:r>
          <w:r>
            <w:fldChar w:fldCharType="begin"/>
          </w:r>
          <w:r>
            <w:instrText xml:space="preserve"> PAGEREF _Toc3117 </w:instrText>
          </w:r>
          <w:r>
            <w:fldChar w:fldCharType="separate"/>
          </w:r>
          <w:r>
            <w:t>- 138 -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_Toc22763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7.1.3施工期声环境保护措施</w:t>
          </w:r>
          <w:r>
            <w:tab/>
          </w:r>
          <w:r>
            <w:fldChar w:fldCharType="begin"/>
          </w:r>
          <w:r>
            <w:instrText xml:space="preserve"> PAGEREF _Toc22763 </w:instrText>
          </w:r>
          <w:r>
            <w:fldChar w:fldCharType="separate"/>
          </w:r>
          <w:r>
            <w:t>- 138 -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_Toc750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7.1.4施工期固体废物处理措施</w:t>
          </w:r>
          <w:r>
            <w:tab/>
          </w:r>
          <w:r>
            <w:fldChar w:fldCharType="begin"/>
          </w:r>
          <w:r>
            <w:instrText xml:space="preserve"> PAGEREF _Toc750 </w:instrText>
          </w:r>
          <w:r>
            <w:fldChar w:fldCharType="separate"/>
          </w:r>
          <w:r>
            <w:t>- 138 -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_Toc8797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7.1.5施工期生态环境保护措施</w:t>
          </w:r>
          <w:r>
            <w:tab/>
          </w:r>
          <w:r>
            <w:fldChar w:fldCharType="begin"/>
          </w:r>
          <w:r>
            <w:instrText xml:space="preserve"> PAGEREF _Toc8797 </w:instrText>
          </w:r>
          <w:r>
            <w:fldChar w:fldCharType="separate"/>
          </w:r>
          <w:r>
            <w:t>- 139 -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_Toc16667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7.1.6小结</w:t>
          </w:r>
          <w:r>
            <w:tab/>
          </w:r>
          <w:r>
            <w:fldChar w:fldCharType="begin"/>
          </w:r>
          <w:r>
            <w:instrText xml:space="preserve"> PAGEREF _Toc16667 </w:instrText>
          </w:r>
          <w:r>
            <w:fldChar w:fldCharType="separate"/>
          </w:r>
          <w:r>
            <w:t>- 140 -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_Toc11630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7.2运营期大气污染防治措施及可行性</w:t>
          </w:r>
          <w:r>
            <w:tab/>
          </w:r>
          <w:r>
            <w:fldChar w:fldCharType="begin"/>
          </w:r>
          <w:r>
            <w:instrText xml:space="preserve"> PAGEREF _Toc11630 </w:instrText>
          </w:r>
          <w:r>
            <w:fldChar w:fldCharType="separate"/>
          </w:r>
          <w:r>
            <w:t>- 140 -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_Toc4033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7.2.1恶臭污染防治措施</w:t>
          </w:r>
          <w:r>
            <w:tab/>
          </w:r>
          <w:r>
            <w:fldChar w:fldCharType="begin"/>
          </w:r>
          <w:r>
            <w:instrText xml:space="preserve"> PAGEREF _Toc4033 </w:instrText>
          </w:r>
          <w:r>
            <w:fldChar w:fldCharType="separate"/>
          </w:r>
          <w:r>
            <w:t>- 140 -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_Toc12303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7.3运营期水污染防治措施及可行性</w:t>
          </w:r>
          <w:r>
            <w:tab/>
          </w:r>
          <w:r>
            <w:fldChar w:fldCharType="begin"/>
          </w:r>
          <w:r>
            <w:instrText xml:space="preserve"> PAGEREF _Toc12303 </w:instrText>
          </w:r>
          <w:r>
            <w:fldChar w:fldCharType="separate"/>
          </w:r>
          <w:r>
            <w:t>- 143 -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_Toc447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7.3.1最高允许排水量</w:t>
          </w:r>
          <w:r>
            <w:tab/>
          </w:r>
          <w:r>
            <w:fldChar w:fldCharType="begin"/>
          </w:r>
          <w:r>
            <w:instrText xml:space="preserve"> PAGEREF _Toc447 </w:instrText>
          </w:r>
          <w:r>
            <w:fldChar w:fldCharType="separate"/>
          </w:r>
          <w:r>
            <w:t>- 144 -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_Toc7059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7.3.2雨污分流措施</w:t>
          </w:r>
          <w:r>
            <w:tab/>
          </w:r>
          <w:r>
            <w:fldChar w:fldCharType="begin"/>
          </w:r>
          <w:r>
            <w:instrText xml:space="preserve"> PAGEREF _Toc7059 </w:instrText>
          </w:r>
          <w:r>
            <w:fldChar w:fldCharType="separate"/>
          </w:r>
          <w:r>
            <w:t>- 144 -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_Toc28001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7.4运营期地下水防治措施可行性</w:t>
          </w:r>
          <w:r>
            <w:tab/>
          </w:r>
          <w:r>
            <w:fldChar w:fldCharType="begin"/>
          </w:r>
          <w:r>
            <w:instrText xml:space="preserve"> PAGEREF _Toc28001 </w:instrText>
          </w:r>
          <w:r>
            <w:fldChar w:fldCharType="separate"/>
          </w:r>
          <w:r>
            <w:t>- 144 -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_Toc30283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7.4.1防治原则</w:t>
          </w:r>
          <w:r>
            <w:tab/>
          </w:r>
          <w:r>
            <w:fldChar w:fldCharType="begin"/>
          </w:r>
          <w:r>
            <w:instrText xml:space="preserve"> PAGEREF _Toc30283 </w:instrText>
          </w:r>
          <w:r>
            <w:fldChar w:fldCharType="separate"/>
          </w:r>
          <w:r>
            <w:t>- 144 -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_Toc3072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7.4.2污染物控制对策</w:t>
          </w:r>
          <w:r>
            <w:tab/>
          </w:r>
          <w:r>
            <w:fldChar w:fldCharType="begin"/>
          </w:r>
          <w:r>
            <w:instrText xml:space="preserve"> PAGEREF _Toc3072 </w:instrText>
          </w:r>
          <w:r>
            <w:fldChar w:fldCharType="separate"/>
          </w:r>
          <w:r>
            <w:t>- 145 -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_Toc30519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7.4.3措施可行性</w:t>
          </w:r>
          <w:r>
            <w:tab/>
          </w:r>
          <w:r>
            <w:fldChar w:fldCharType="begin"/>
          </w:r>
          <w:r>
            <w:instrText xml:space="preserve"> PAGEREF _Toc30519 </w:instrText>
          </w:r>
          <w:r>
            <w:fldChar w:fldCharType="separate"/>
          </w:r>
          <w:r>
            <w:t>- 150 -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_Toc14211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7.5运营期土壤环境防治措施</w:t>
          </w:r>
          <w:r>
            <w:tab/>
          </w:r>
          <w:r>
            <w:fldChar w:fldCharType="begin"/>
          </w:r>
          <w:r>
            <w:instrText xml:space="preserve"> PAGEREF _Toc14211 </w:instrText>
          </w:r>
          <w:r>
            <w:fldChar w:fldCharType="separate"/>
          </w:r>
          <w:r>
            <w:t>- 151 -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_Toc7162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7.5.1源头控制措施</w:t>
          </w:r>
          <w:r>
            <w:tab/>
          </w:r>
          <w:r>
            <w:fldChar w:fldCharType="begin"/>
          </w:r>
          <w:r>
            <w:instrText xml:space="preserve"> PAGEREF _Toc7162 </w:instrText>
          </w:r>
          <w:r>
            <w:fldChar w:fldCharType="separate"/>
          </w:r>
          <w:r>
            <w:t>- 151 -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_Toc15598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7.5.2过程控制措施</w:t>
          </w:r>
          <w:r>
            <w:tab/>
          </w:r>
          <w:r>
            <w:fldChar w:fldCharType="begin"/>
          </w:r>
          <w:r>
            <w:instrText xml:space="preserve"> PAGEREF _Toc15598 </w:instrText>
          </w:r>
          <w:r>
            <w:fldChar w:fldCharType="separate"/>
          </w:r>
          <w:r>
            <w:t>- 151 -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_Toc29621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7.5.3末端控制措施</w:t>
          </w:r>
          <w:r>
            <w:tab/>
          </w:r>
          <w:r>
            <w:fldChar w:fldCharType="begin"/>
          </w:r>
          <w:r>
            <w:instrText xml:space="preserve"> PAGEREF _Toc29621 </w:instrText>
          </w:r>
          <w:r>
            <w:fldChar w:fldCharType="separate"/>
          </w:r>
          <w:r>
            <w:t>- 151 -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_Toc13413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7.5.</w:t>
          </w:r>
          <w:r>
            <w:rPr>
              <w:rFonts w:hint="default" w:ascii="Times New Roman" w:hAnsi="Times New Roman" w:eastAsia="宋体" w:cs="Times New Roman"/>
              <w:lang w:val="en-US" w:eastAsia="zh-CN"/>
            </w:rPr>
            <w:t>4</w:t>
          </w:r>
          <w:r>
            <w:rPr>
              <w:rFonts w:hint="default" w:ascii="Times New Roman" w:hAnsi="Times New Roman" w:eastAsia="宋体" w:cs="Times New Roman"/>
            </w:rPr>
            <w:t>应急响应措施</w:t>
          </w:r>
          <w:r>
            <w:tab/>
          </w:r>
          <w:r>
            <w:fldChar w:fldCharType="begin"/>
          </w:r>
          <w:r>
            <w:instrText xml:space="preserve"> PAGEREF _Toc13413 </w:instrText>
          </w:r>
          <w:r>
            <w:fldChar w:fldCharType="separate"/>
          </w:r>
          <w:r>
            <w:t>- 151 -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_Toc28023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7.6运营期声环境防治措施</w:t>
          </w:r>
          <w:r>
            <w:tab/>
          </w:r>
          <w:r>
            <w:fldChar w:fldCharType="begin"/>
          </w:r>
          <w:r>
            <w:instrText xml:space="preserve"> PAGEREF _Toc28023 </w:instrText>
          </w:r>
          <w:r>
            <w:fldChar w:fldCharType="separate"/>
          </w:r>
          <w:r>
            <w:t>- 151 -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_Toc4684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7.7运营期固体废物污染防治措施</w:t>
          </w:r>
          <w:r>
            <w:tab/>
          </w:r>
          <w:r>
            <w:fldChar w:fldCharType="begin"/>
          </w:r>
          <w:r>
            <w:instrText xml:space="preserve"> PAGEREF _Toc4684 </w:instrText>
          </w:r>
          <w:r>
            <w:fldChar w:fldCharType="separate"/>
          </w:r>
          <w:r>
            <w:t>- 152 -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_Toc12126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7.7.1固体废物处置合理性分析</w:t>
          </w:r>
          <w:r>
            <w:tab/>
          </w:r>
          <w:r>
            <w:fldChar w:fldCharType="begin"/>
          </w:r>
          <w:r>
            <w:instrText xml:space="preserve"> PAGEREF _Toc12126 </w:instrText>
          </w:r>
          <w:r>
            <w:fldChar w:fldCharType="separate"/>
          </w:r>
          <w:r>
            <w:t>- 152 -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_Toc621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7.7.2危险废物管理</w:t>
          </w:r>
          <w:r>
            <w:tab/>
          </w:r>
          <w:r>
            <w:fldChar w:fldCharType="begin"/>
          </w:r>
          <w:r>
            <w:instrText xml:space="preserve"> PAGEREF _Toc621 </w:instrText>
          </w:r>
          <w:r>
            <w:fldChar w:fldCharType="separate"/>
          </w:r>
          <w:r>
            <w:t>- 154 -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_Toc25506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7.8粪污资源化利用措施可行性分析</w:t>
          </w:r>
          <w:r>
            <w:tab/>
          </w:r>
          <w:r>
            <w:fldChar w:fldCharType="begin"/>
          </w:r>
          <w:r>
            <w:instrText xml:space="preserve"> PAGEREF _Toc25506 </w:instrText>
          </w:r>
          <w:r>
            <w:fldChar w:fldCharType="separate"/>
          </w:r>
          <w:r>
            <w:t>- 155 -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_Toc25932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7.8.1粪污资源化利用可行性</w:t>
          </w:r>
          <w:r>
            <w:tab/>
          </w:r>
          <w:r>
            <w:fldChar w:fldCharType="begin"/>
          </w:r>
          <w:r>
            <w:instrText xml:space="preserve"> PAGEREF _Toc25932 </w:instrText>
          </w:r>
          <w:r>
            <w:fldChar w:fldCharType="separate"/>
          </w:r>
          <w:r>
            <w:t>- 155 -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_Toc4899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7.8.2粪污农肥还田利用合规性分析</w:t>
          </w:r>
          <w:r>
            <w:tab/>
          </w:r>
          <w:r>
            <w:fldChar w:fldCharType="begin"/>
          </w:r>
          <w:r>
            <w:instrText xml:space="preserve"> PAGEREF _Toc4899 </w:instrText>
          </w:r>
          <w:r>
            <w:fldChar w:fldCharType="separate"/>
          </w:r>
          <w:r>
            <w:t>- 155 -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_Toc18701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7.8.3粪污资源化工艺可行性分析</w:t>
          </w:r>
          <w:r>
            <w:tab/>
          </w:r>
          <w:r>
            <w:fldChar w:fldCharType="begin"/>
          </w:r>
          <w:r>
            <w:instrText xml:space="preserve"> PAGEREF _Toc18701 </w:instrText>
          </w:r>
          <w:r>
            <w:fldChar w:fldCharType="separate"/>
          </w:r>
          <w:r>
            <w:t>- 156 -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_Toc8496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szCs w:val="24"/>
            </w:rPr>
            <w:t>7.8.4还田利用可行性分析</w:t>
          </w:r>
          <w:r>
            <w:tab/>
          </w:r>
          <w:r>
            <w:fldChar w:fldCharType="begin"/>
          </w:r>
          <w:r>
            <w:instrText xml:space="preserve"> PAGEREF _Toc8496 </w:instrText>
          </w:r>
          <w:r>
            <w:fldChar w:fldCharType="separate"/>
          </w:r>
          <w:r>
            <w:t>- 158 -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_Toc17049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szCs w:val="24"/>
            </w:rPr>
            <w:t>7.8.5氧化塘贮存措施及其可行性分析</w:t>
          </w:r>
          <w:r>
            <w:tab/>
          </w:r>
          <w:r>
            <w:fldChar w:fldCharType="begin"/>
          </w:r>
          <w:r>
            <w:instrText xml:space="preserve"> PAGEREF _Toc17049 </w:instrText>
          </w:r>
          <w:r>
            <w:fldChar w:fldCharType="separate"/>
          </w:r>
          <w:r>
            <w:t>- 159 -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_Toc23189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7.8.6土地承载力分析</w:t>
          </w:r>
          <w:r>
            <w:tab/>
          </w:r>
          <w:r>
            <w:fldChar w:fldCharType="begin"/>
          </w:r>
          <w:r>
            <w:instrText xml:space="preserve"> PAGEREF _Toc23189 </w:instrText>
          </w:r>
          <w:r>
            <w:fldChar w:fldCharType="separate"/>
          </w:r>
          <w:r>
            <w:t>- 160 -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_Toc28905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7.9运营期生态环境保护措施</w:t>
          </w:r>
          <w:r>
            <w:tab/>
          </w:r>
          <w:r>
            <w:fldChar w:fldCharType="begin"/>
          </w:r>
          <w:r>
            <w:instrText xml:space="preserve"> PAGEREF _Toc28905 </w:instrText>
          </w:r>
          <w:r>
            <w:fldChar w:fldCharType="separate"/>
          </w:r>
          <w:r>
            <w:t>- 161 -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_Toc23109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7.10营运期人群健康保护措施</w:t>
          </w:r>
          <w:r>
            <w:tab/>
          </w:r>
          <w:r>
            <w:fldChar w:fldCharType="begin"/>
          </w:r>
          <w:r>
            <w:instrText xml:space="preserve"> PAGEREF _Toc23109 </w:instrText>
          </w:r>
          <w:r>
            <w:fldChar w:fldCharType="separate"/>
          </w:r>
          <w:r>
            <w:t>- 162 -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_Toc922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7.11运营期污染防治对策和措施及环保投资汇总</w:t>
          </w:r>
          <w:r>
            <w:tab/>
          </w:r>
          <w:r>
            <w:fldChar w:fldCharType="begin"/>
          </w:r>
          <w:r>
            <w:instrText xml:space="preserve"> PAGEREF _Toc922 </w:instrText>
          </w:r>
          <w:r>
            <w:fldChar w:fldCharType="separate"/>
          </w:r>
          <w:r>
            <w:t>- 162 -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_Toc22544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8环境影响经济损益分析</w:t>
          </w:r>
          <w:r>
            <w:tab/>
          </w:r>
          <w:r>
            <w:fldChar w:fldCharType="begin"/>
          </w:r>
          <w:r>
            <w:instrText xml:space="preserve"> PAGEREF _Toc22544 </w:instrText>
          </w:r>
          <w:r>
            <w:fldChar w:fldCharType="separate"/>
          </w:r>
          <w:r>
            <w:t>- 167 -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_Toc10044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8.1经济效益分析</w:t>
          </w:r>
          <w:r>
            <w:tab/>
          </w:r>
          <w:r>
            <w:fldChar w:fldCharType="begin"/>
          </w:r>
          <w:r>
            <w:instrText xml:space="preserve"> PAGEREF _Toc10044 </w:instrText>
          </w:r>
          <w:r>
            <w:fldChar w:fldCharType="separate"/>
          </w:r>
          <w:r>
            <w:t>- 167 -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_Toc23108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8.2社会效益分析</w:t>
          </w:r>
          <w:r>
            <w:tab/>
          </w:r>
          <w:r>
            <w:fldChar w:fldCharType="begin"/>
          </w:r>
          <w:r>
            <w:instrText xml:space="preserve"> PAGEREF _Toc23108 </w:instrText>
          </w:r>
          <w:r>
            <w:fldChar w:fldCharType="separate"/>
          </w:r>
          <w:r>
            <w:t>- 167 -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_Toc3318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8.3环境效益分析</w:t>
          </w:r>
          <w:r>
            <w:tab/>
          </w:r>
          <w:r>
            <w:fldChar w:fldCharType="begin"/>
          </w:r>
          <w:r>
            <w:instrText xml:space="preserve"> PAGEREF _Toc3318 </w:instrText>
          </w:r>
          <w:r>
            <w:fldChar w:fldCharType="separate"/>
          </w:r>
          <w:r>
            <w:t>- 167 -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_Toc18738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8.3.1环保投资费用</w:t>
          </w:r>
          <w:r>
            <w:tab/>
          </w:r>
          <w:r>
            <w:fldChar w:fldCharType="begin"/>
          </w:r>
          <w:r>
            <w:instrText xml:space="preserve"> PAGEREF _Toc18738 </w:instrText>
          </w:r>
          <w:r>
            <w:fldChar w:fldCharType="separate"/>
          </w:r>
          <w:r>
            <w:t>- 167 -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_Toc12407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8.3.2环保设施运行费用</w:t>
          </w:r>
          <w:r>
            <w:tab/>
          </w:r>
          <w:r>
            <w:fldChar w:fldCharType="begin"/>
          </w:r>
          <w:r>
            <w:instrText xml:space="preserve"> PAGEREF _Toc12407 </w:instrText>
          </w:r>
          <w:r>
            <w:fldChar w:fldCharType="separate"/>
          </w:r>
          <w:r>
            <w:t>- 168 -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_Toc7142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8.3.3环保效益估算</w:t>
          </w:r>
          <w:r>
            <w:tab/>
          </w:r>
          <w:r>
            <w:fldChar w:fldCharType="begin"/>
          </w:r>
          <w:r>
            <w:instrText xml:space="preserve"> PAGEREF _Toc7142 </w:instrText>
          </w:r>
          <w:r>
            <w:fldChar w:fldCharType="separate"/>
          </w:r>
          <w:r>
            <w:t>- 168 -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_Toc22099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8.3.4经济效益分析</w:t>
          </w:r>
          <w:r>
            <w:tab/>
          </w:r>
          <w:r>
            <w:fldChar w:fldCharType="begin"/>
          </w:r>
          <w:r>
            <w:instrText xml:space="preserve"> PAGEREF _Toc22099 </w:instrText>
          </w:r>
          <w:r>
            <w:fldChar w:fldCharType="separate"/>
          </w:r>
          <w:r>
            <w:t>- 169 -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_Toc20370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8.4小结</w:t>
          </w:r>
          <w:r>
            <w:tab/>
          </w:r>
          <w:r>
            <w:fldChar w:fldCharType="begin"/>
          </w:r>
          <w:r>
            <w:instrText xml:space="preserve"> PAGEREF _Toc20370 </w:instrText>
          </w:r>
          <w:r>
            <w:fldChar w:fldCharType="separate"/>
          </w:r>
          <w:r>
            <w:t>- 169 -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_Toc20012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9环境管理与监测计划</w:t>
          </w:r>
          <w:r>
            <w:tab/>
          </w:r>
          <w:r>
            <w:fldChar w:fldCharType="begin"/>
          </w:r>
          <w:r>
            <w:instrText xml:space="preserve"> PAGEREF _Toc20012 </w:instrText>
          </w:r>
          <w:r>
            <w:fldChar w:fldCharType="separate"/>
          </w:r>
          <w:r>
            <w:t>- 170 -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_Toc10121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9.1污染物总量控制分析</w:t>
          </w:r>
          <w:r>
            <w:tab/>
          </w:r>
          <w:r>
            <w:fldChar w:fldCharType="begin"/>
          </w:r>
          <w:r>
            <w:instrText xml:space="preserve"> PAGEREF _Toc10121 </w:instrText>
          </w:r>
          <w:r>
            <w:fldChar w:fldCharType="separate"/>
          </w:r>
          <w:r>
            <w:t>- 170 -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_Toc8036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9.1.1原则和目标</w:t>
          </w:r>
          <w:r>
            <w:tab/>
          </w:r>
          <w:r>
            <w:fldChar w:fldCharType="begin"/>
          </w:r>
          <w:r>
            <w:instrText xml:space="preserve"> PAGEREF _Toc8036 </w:instrText>
          </w:r>
          <w:r>
            <w:fldChar w:fldCharType="separate"/>
          </w:r>
          <w:r>
            <w:t>- 170 -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_Toc25007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9.1.</w:t>
          </w:r>
          <w:r>
            <w:rPr>
              <w:rFonts w:hint="eastAsia" w:cs="Times New Roman"/>
              <w:lang w:val="en-US" w:eastAsia="zh-CN"/>
            </w:rPr>
            <w:t>2</w:t>
          </w:r>
          <w:r>
            <w:rPr>
              <w:rFonts w:hint="default" w:ascii="Times New Roman" w:hAnsi="Times New Roman" w:eastAsia="宋体" w:cs="Times New Roman"/>
            </w:rPr>
            <w:t>总量核算</w:t>
          </w:r>
          <w:r>
            <w:tab/>
          </w:r>
          <w:r>
            <w:fldChar w:fldCharType="begin"/>
          </w:r>
          <w:r>
            <w:instrText xml:space="preserve"> PAGEREF _Toc25007 </w:instrText>
          </w:r>
          <w:r>
            <w:fldChar w:fldCharType="separate"/>
          </w:r>
          <w:r>
            <w:t>- 170 -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_Toc15403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9.1.</w:t>
          </w:r>
          <w:r>
            <w:rPr>
              <w:rFonts w:hint="eastAsia" w:cs="Times New Roman"/>
              <w:lang w:val="en-US" w:eastAsia="zh-CN"/>
            </w:rPr>
            <w:t>3</w:t>
          </w:r>
          <w:r>
            <w:rPr>
              <w:rFonts w:hint="default" w:ascii="Times New Roman" w:hAnsi="Times New Roman" w:eastAsia="宋体" w:cs="Times New Roman"/>
            </w:rPr>
            <w:t>污染物总量控制指标</w:t>
          </w:r>
          <w:r>
            <w:tab/>
          </w:r>
          <w:r>
            <w:fldChar w:fldCharType="begin"/>
          </w:r>
          <w:r>
            <w:instrText xml:space="preserve"> PAGEREF _Toc15403 </w:instrText>
          </w:r>
          <w:r>
            <w:fldChar w:fldCharType="separate"/>
          </w:r>
          <w:r>
            <w:t>- 170 -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_Toc11211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9.2环境管理</w:t>
          </w:r>
          <w:r>
            <w:tab/>
          </w:r>
          <w:r>
            <w:fldChar w:fldCharType="begin"/>
          </w:r>
          <w:r>
            <w:instrText xml:space="preserve"> PAGEREF _Toc11211 </w:instrText>
          </w:r>
          <w:r>
            <w:fldChar w:fldCharType="separate"/>
          </w:r>
          <w:r>
            <w:t>- 170 -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_Toc30242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9.2.1环境管理制度及组织机构</w:t>
          </w:r>
          <w:r>
            <w:tab/>
          </w:r>
          <w:r>
            <w:fldChar w:fldCharType="begin"/>
          </w:r>
          <w:r>
            <w:instrText xml:space="preserve"> PAGEREF _Toc30242 </w:instrText>
          </w:r>
          <w:r>
            <w:fldChar w:fldCharType="separate"/>
          </w:r>
          <w:r>
            <w:t>- 170 -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_Toc18471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9.2.2排污许可证申领</w:t>
          </w:r>
          <w:r>
            <w:tab/>
          </w:r>
          <w:r>
            <w:fldChar w:fldCharType="begin"/>
          </w:r>
          <w:r>
            <w:instrText xml:space="preserve"> PAGEREF _Toc18471 </w:instrText>
          </w:r>
          <w:r>
            <w:fldChar w:fldCharType="separate"/>
          </w:r>
          <w:r>
            <w:t>- 171 -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_Toc2283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9.2.3环保竣工验收</w:t>
          </w:r>
          <w:r>
            <w:tab/>
          </w:r>
          <w:r>
            <w:fldChar w:fldCharType="begin"/>
          </w:r>
          <w:r>
            <w:instrText xml:space="preserve"> PAGEREF _Toc2283 </w:instrText>
          </w:r>
          <w:r>
            <w:fldChar w:fldCharType="separate"/>
          </w:r>
          <w:r>
            <w:t>- 172 -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_Toc1112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9.2.4排污口规范化管理</w:t>
          </w:r>
          <w:r>
            <w:tab/>
          </w:r>
          <w:r>
            <w:fldChar w:fldCharType="begin"/>
          </w:r>
          <w:r>
            <w:instrText xml:space="preserve"> PAGEREF _Toc1112 </w:instrText>
          </w:r>
          <w:r>
            <w:fldChar w:fldCharType="separate"/>
          </w:r>
          <w:r>
            <w:t>- 172 -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_Toc29273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9.2.5环境风险应急</w:t>
          </w:r>
          <w:r>
            <w:tab/>
          </w:r>
          <w:r>
            <w:fldChar w:fldCharType="begin"/>
          </w:r>
          <w:r>
            <w:instrText xml:space="preserve"> PAGEREF _Toc29273 </w:instrText>
          </w:r>
          <w:r>
            <w:fldChar w:fldCharType="separate"/>
          </w:r>
          <w:r>
            <w:t>- 174 -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_Toc31530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9.2.6向生态环境主管部门报告制度</w:t>
          </w:r>
          <w:r>
            <w:tab/>
          </w:r>
          <w:r>
            <w:fldChar w:fldCharType="begin"/>
          </w:r>
          <w:r>
            <w:instrText xml:space="preserve"> PAGEREF _Toc31530 </w:instrText>
          </w:r>
          <w:r>
            <w:fldChar w:fldCharType="separate"/>
          </w:r>
          <w:r>
            <w:t>- 174 -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_Toc19755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9.2.7企业环境信息公开</w:t>
          </w:r>
          <w:r>
            <w:tab/>
          </w:r>
          <w:r>
            <w:fldChar w:fldCharType="begin"/>
          </w:r>
          <w:r>
            <w:instrText xml:space="preserve"> PAGEREF _Toc19755 </w:instrText>
          </w:r>
          <w:r>
            <w:fldChar w:fldCharType="separate"/>
          </w:r>
          <w:r>
            <w:t>- 174 -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_Toc8960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9.2.8日常环境管理台账</w:t>
          </w:r>
          <w:r>
            <w:tab/>
          </w:r>
          <w:r>
            <w:fldChar w:fldCharType="begin"/>
          </w:r>
          <w:r>
            <w:instrText xml:space="preserve"> PAGEREF _Toc8960 </w:instrText>
          </w:r>
          <w:r>
            <w:fldChar w:fldCharType="separate"/>
          </w:r>
          <w:r>
            <w:t>- 175 -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_Toc19047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9.3监测计划</w:t>
          </w:r>
          <w:r>
            <w:tab/>
          </w:r>
          <w:r>
            <w:fldChar w:fldCharType="begin"/>
          </w:r>
          <w:r>
            <w:instrText xml:space="preserve"> PAGEREF _Toc19047 </w:instrText>
          </w:r>
          <w:r>
            <w:fldChar w:fldCharType="separate"/>
          </w:r>
          <w:r>
            <w:t>- 175 -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_Toc29741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9.3.1废气监测计划</w:t>
          </w:r>
          <w:r>
            <w:tab/>
          </w:r>
          <w:r>
            <w:fldChar w:fldCharType="begin"/>
          </w:r>
          <w:r>
            <w:instrText xml:space="preserve"> PAGEREF _Toc29741 </w:instrText>
          </w:r>
          <w:r>
            <w:fldChar w:fldCharType="separate"/>
          </w:r>
          <w:r>
            <w:t>- 175 -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_Toc3853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9.3.2地下水监测计划</w:t>
          </w:r>
          <w:r>
            <w:tab/>
          </w:r>
          <w:r>
            <w:fldChar w:fldCharType="begin"/>
          </w:r>
          <w:r>
            <w:instrText xml:space="preserve"> PAGEREF _Toc3853 </w:instrText>
          </w:r>
          <w:r>
            <w:fldChar w:fldCharType="separate"/>
          </w:r>
          <w:r>
            <w:t>- 176 -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_Toc9536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9.3.</w:t>
          </w:r>
          <w:r>
            <w:rPr>
              <w:rFonts w:hint="default" w:ascii="Times New Roman" w:hAnsi="Times New Roman" w:eastAsia="宋体" w:cs="Times New Roman"/>
              <w:lang w:val="en-US" w:eastAsia="zh-CN"/>
            </w:rPr>
            <w:t>3</w:t>
          </w:r>
          <w:r>
            <w:rPr>
              <w:rFonts w:hint="default" w:ascii="Times New Roman" w:hAnsi="Times New Roman" w:eastAsia="宋体" w:cs="Times New Roman"/>
            </w:rPr>
            <w:t>噪声监测计划</w:t>
          </w:r>
          <w:r>
            <w:tab/>
          </w:r>
          <w:r>
            <w:fldChar w:fldCharType="begin"/>
          </w:r>
          <w:r>
            <w:instrText xml:space="preserve"> PAGEREF _Toc9536 </w:instrText>
          </w:r>
          <w:r>
            <w:fldChar w:fldCharType="separate"/>
          </w:r>
          <w:r>
            <w:t>- 176 -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_Toc18403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9.3.</w:t>
          </w:r>
          <w:r>
            <w:rPr>
              <w:rFonts w:hint="default" w:ascii="Times New Roman" w:hAnsi="Times New Roman" w:eastAsia="宋体" w:cs="Times New Roman"/>
              <w:lang w:val="en-US" w:eastAsia="zh-CN"/>
            </w:rPr>
            <w:t>4</w:t>
          </w:r>
          <w:r>
            <w:rPr>
              <w:rFonts w:hint="default" w:ascii="Times New Roman" w:hAnsi="Times New Roman" w:eastAsia="宋体" w:cs="Times New Roman"/>
            </w:rPr>
            <w:t>农肥监测计划</w:t>
          </w:r>
          <w:r>
            <w:tab/>
          </w:r>
          <w:r>
            <w:fldChar w:fldCharType="begin"/>
          </w:r>
          <w:r>
            <w:instrText xml:space="preserve"> PAGEREF _Toc18403 </w:instrText>
          </w:r>
          <w:r>
            <w:fldChar w:fldCharType="separate"/>
          </w:r>
          <w:r>
            <w:t>- 176 -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_Toc6962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9.4环保设施“三同时”竣工验收</w:t>
          </w:r>
          <w:r>
            <w:tab/>
          </w:r>
          <w:r>
            <w:fldChar w:fldCharType="begin"/>
          </w:r>
          <w:r>
            <w:instrText xml:space="preserve"> PAGEREF _Toc6962 </w:instrText>
          </w:r>
          <w:r>
            <w:fldChar w:fldCharType="separate"/>
          </w:r>
          <w:r>
            <w:t>- 177 -</w:t>
          </w:r>
          <w:r>
            <w:fldChar w:fldCharType="end"/>
          </w:r>
          <w:r>
            <w:rPr>
              <w:rFonts w:hint="default" w:ascii="Times New Roman" w:hAnsi="Times New Roman" w:eastAsia="宋体" w:cs="Times New Roman"/>
              <w:bCs/>
              <w:color w:val="auto"/>
              <w:szCs w:val="24"/>
              <w:lang w:val="zh-CN"/>
            </w:rPr>
            <w:fldChar w:fldCharType="end"/>
          </w:r>
        </w:p>
        <w:p>
          <w:pPr>
            <w:pStyle w:val="26"/>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_Toc28371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10结论及建议</w:t>
          </w:r>
          <w:r>
            <w:tab/>
          </w:r>
          <w:r>
            <w:fldChar w:fldCharType="begin"/>
          </w:r>
          <w:r>
            <w:instrText xml:space="preserve"> PAGEREF _Toc28371 </w:instrText>
          </w:r>
          <w:r>
            <w:fldChar w:fldCharType="separate"/>
          </w:r>
          <w:r>
            <w:t>- 184 -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_Toc19894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10.1建设项目概况</w:t>
          </w:r>
          <w:r>
            <w:tab/>
          </w:r>
          <w:r>
            <w:fldChar w:fldCharType="begin"/>
          </w:r>
          <w:r>
            <w:instrText xml:space="preserve"> PAGEREF _Toc19894 </w:instrText>
          </w:r>
          <w:r>
            <w:fldChar w:fldCharType="separate"/>
          </w:r>
          <w:r>
            <w:t>- 184 -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_Toc7273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10.2环境可行性结论</w:t>
          </w:r>
          <w:r>
            <w:tab/>
          </w:r>
          <w:r>
            <w:fldChar w:fldCharType="begin"/>
          </w:r>
          <w:r>
            <w:instrText xml:space="preserve"> PAGEREF _Toc7273 </w:instrText>
          </w:r>
          <w:r>
            <w:fldChar w:fldCharType="separate"/>
          </w:r>
          <w:r>
            <w:t>- 184 -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_Toc17451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10.2.1产业政策符合性分析</w:t>
          </w:r>
          <w:r>
            <w:tab/>
          </w:r>
          <w:r>
            <w:fldChar w:fldCharType="begin"/>
          </w:r>
          <w:r>
            <w:instrText xml:space="preserve"> PAGEREF _Toc17451 </w:instrText>
          </w:r>
          <w:r>
            <w:fldChar w:fldCharType="separate"/>
          </w:r>
          <w:r>
            <w:t>- 184 -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_Toc20360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10.2.2选址与相关规划符合性分析结论</w:t>
          </w:r>
          <w:r>
            <w:tab/>
          </w:r>
          <w:r>
            <w:fldChar w:fldCharType="begin"/>
          </w:r>
          <w:r>
            <w:instrText xml:space="preserve"> PAGEREF _Toc20360 </w:instrText>
          </w:r>
          <w:r>
            <w:fldChar w:fldCharType="separate"/>
          </w:r>
          <w:r>
            <w:t>- 184 -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_Toc11000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10.2.3平面布局合理性分析结论</w:t>
          </w:r>
          <w:r>
            <w:tab/>
          </w:r>
          <w:r>
            <w:fldChar w:fldCharType="begin"/>
          </w:r>
          <w:r>
            <w:instrText xml:space="preserve"> PAGEREF _Toc11000 </w:instrText>
          </w:r>
          <w:r>
            <w:fldChar w:fldCharType="separate"/>
          </w:r>
          <w:r>
            <w:t>- 185 -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_Toc20417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10.3环境质量现状</w:t>
          </w:r>
          <w:r>
            <w:tab/>
          </w:r>
          <w:r>
            <w:fldChar w:fldCharType="begin"/>
          </w:r>
          <w:r>
            <w:instrText xml:space="preserve"> PAGEREF _Toc20417 </w:instrText>
          </w:r>
          <w:r>
            <w:fldChar w:fldCharType="separate"/>
          </w:r>
          <w:r>
            <w:t>- 185 -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_Toc8022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10.4环境影响分析结论</w:t>
          </w:r>
          <w:r>
            <w:tab/>
          </w:r>
          <w:r>
            <w:fldChar w:fldCharType="begin"/>
          </w:r>
          <w:r>
            <w:instrText xml:space="preserve"> PAGEREF _Toc8022 </w:instrText>
          </w:r>
          <w:r>
            <w:fldChar w:fldCharType="separate"/>
          </w:r>
          <w:r>
            <w:t>- 185 -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_Toc8792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10.4.1施工期环境影响</w:t>
          </w:r>
          <w:r>
            <w:tab/>
          </w:r>
          <w:r>
            <w:fldChar w:fldCharType="begin"/>
          </w:r>
          <w:r>
            <w:instrText xml:space="preserve"> PAGEREF _Toc8792 </w:instrText>
          </w:r>
          <w:r>
            <w:fldChar w:fldCharType="separate"/>
          </w:r>
          <w:r>
            <w:t>- 185 -</w:t>
          </w:r>
          <w:r>
            <w:fldChar w:fldCharType="end"/>
          </w:r>
          <w:r>
            <w:rPr>
              <w:rFonts w:hint="default" w:ascii="Times New Roman" w:hAnsi="Times New Roman" w:eastAsia="宋体" w:cs="Times New Roman"/>
              <w:bCs/>
              <w:color w:val="auto"/>
              <w:szCs w:val="24"/>
              <w:lang w:val="zh-CN"/>
            </w:rPr>
            <w:fldChar w:fldCharType="end"/>
          </w:r>
        </w:p>
        <w:p>
          <w:pPr>
            <w:pStyle w:val="1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_Toc25217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10.4.2运营期环境影响</w:t>
          </w:r>
          <w:r>
            <w:tab/>
          </w:r>
          <w:r>
            <w:fldChar w:fldCharType="begin"/>
          </w:r>
          <w:r>
            <w:instrText xml:space="preserve"> PAGEREF _Toc25217 </w:instrText>
          </w:r>
          <w:r>
            <w:fldChar w:fldCharType="separate"/>
          </w:r>
          <w:r>
            <w:t>- 186 -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_Toc17002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10.5污染防治措施</w:t>
          </w:r>
          <w:r>
            <w:tab/>
          </w:r>
          <w:r>
            <w:fldChar w:fldCharType="begin"/>
          </w:r>
          <w:r>
            <w:instrText xml:space="preserve"> PAGEREF _Toc17002 </w:instrText>
          </w:r>
          <w:r>
            <w:fldChar w:fldCharType="separate"/>
          </w:r>
          <w:r>
            <w:t>- 187 -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_Toc3503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10.6总量控制指标</w:t>
          </w:r>
          <w:r>
            <w:tab/>
          </w:r>
          <w:r>
            <w:fldChar w:fldCharType="begin"/>
          </w:r>
          <w:r>
            <w:instrText xml:space="preserve"> PAGEREF _Toc3503 </w:instrText>
          </w:r>
          <w:r>
            <w:fldChar w:fldCharType="separate"/>
          </w:r>
          <w:r>
            <w:t>- 187 -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_Toc18001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10.7环境影响经济损益分析</w:t>
          </w:r>
          <w:r>
            <w:tab/>
          </w:r>
          <w:r>
            <w:fldChar w:fldCharType="begin"/>
          </w:r>
          <w:r>
            <w:instrText xml:space="preserve"> PAGEREF _Toc18001 </w:instrText>
          </w:r>
          <w:r>
            <w:fldChar w:fldCharType="separate"/>
          </w:r>
          <w:r>
            <w:t>- 187 -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_Toc31436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10.8环境管理和监测计划</w:t>
          </w:r>
          <w:r>
            <w:tab/>
          </w:r>
          <w:r>
            <w:fldChar w:fldCharType="begin"/>
          </w:r>
          <w:r>
            <w:instrText xml:space="preserve"> PAGEREF _Toc31436 </w:instrText>
          </w:r>
          <w:r>
            <w:fldChar w:fldCharType="separate"/>
          </w:r>
          <w:r>
            <w:t>- 188 -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_Toc31015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10.9公众参与情况</w:t>
          </w:r>
          <w:r>
            <w:tab/>
          </w:r>
          <w:r>
            <w:fldChar w:fldCharType="begin"/>
          </w:r>
          <w:r>
            <w:instrText xml:space="preserve"> PAGEREF _Toc31015 </w:instrText>
          </w:r>
          <w:r>
            <w:fldChar w:fldCharType="separate"/>
          </w:r>
          <w:r>
            <w:t>- 188 -</w:t>
          </w:r>
          <w:r>
            <w:fldChar w:fldCharType="end"/>
          </w:r>
          <w:r>
            <w:rPr>
              <w:rFonts w:hint="default" w:ascii="Times New Roman" w:hAnsi="Times New Roman" w:eastAsia="宋体" w:cs="Times New Roman"/>
              <w:bCs/>
              <w:color w:val="auto"/>
              <w:szCs w:val="24"/>
              <w:lang w:val="zh-CN"/>
            </w:rPr>
            <w:fldChar w:fldCharType="end"/>
          </w:r>
        </w:p>
        <w:p>
          <w:pPr>
            <w:pStyle w:val="29"/>
            <w:tabs>
              <w:tab w:val="right" w:leader="dot" w:pos="8787"/>
            </w:tabs>
          </w:pPr>
          <w:r>
            <w:rPr>
              <w:rFonts w:hint="default" w:ascii="Times New Roman" w:hAnsi="Times New Roman" w:eastAsia="宋体" w:cs="Times New Roman"/>
              <w:bCs/>
              <w:color w:val="auto"/>
              <w:szCs w:val="24"/>
              <w:lang w:val="zh-CN"/>
            </w:rPr>
            <w:fldChar w:fldCharType="begin"/>
          </w:r>
          <w:r>
            <w:rPr>
              <w:rFonts w:hint="default" w:ascii="Times New Roman" w:hAnsi="Times New Roman" w:eastAsia="宋体" w:cs="Times New Roman"/>
              <w:bCs/>
              <w:szCs w:val="24"/>
              <w:lang w:val="zh-CN"/>
            </w:rPr>
            <w:instrText xml:space="preserve"> HYPERLINK \l _Toc17889 </w:instrText>
          </w:r>
          <w:r>
            <w:rPr>
              <w:rFonts w:hint="default" w:ascii="Times New Roman" w:hAnsi="Times New Roman" w:eastAsia="宋体" w:cs="Times New Roman"/>
              <w:bCs/>
              <w:szCs w:val="24"/>
              <w:lang w:val="zh-CN"/>
            </w:rPr>
            <w:fldChar w:fldCharType="separate"/>
          </w:r>
          <w:r>
            <w:rPr>
              <w:rFonts w:hint="default" w:ascii="Times New Roman" w:hAnsi="Times New Roman" w:eastAsia="宋体" w:cs="Times New Roman"/>
            </w:rPr>
            <w:t>10.10总结论</w:t>
          </w:r>
          <w:r>
            <w:tab/>
          </w:r>
          <w:r>
            <w:fldChar w:fldCharType="begin"/>
          </w:r>
          <w:r>
            <w:instrText xml:space="preserve"> PAGEREF _Toc17889 </w:instrText>
          </w:r>
          <w:r>
            <w:fldChar w:fldCharType="separate"/>
          </w:r>
          <w:r>
            <w:t>- 188 -</w:t>
          </w:r>
          <w:r>
            <w:fldChar w:fldCharType="end"/>
          </w:r>
          <w:r>
            <w:rPr>
              <w:rFonts w:hint="default" w:ascii="Times New Roman" w:hAnsi="Times New Roman" w:eastAsia="宋体" w:cs="Times New Roman"/>
              <w:bCs/>
              <w:color w:val="auto"/>
              <w:szCs w:val="24"/>
              <w:lang w:val="zh-CN"/>
            </w:rPr>
            <w:fldChar w:fldCharType="end"/>
          </w:r>
        </w:p>
        <w:p>
          <w:pPr>
            <w:tabs>
              <w:tab w:val="right" w:leader="dot" w:pos="8777"/>
            </w:tabs>
            <w:ind w:left="480" w:firstLine="482"/>
            <w:jc w:val="center"/>
            <w:outlineLvl w:val="0"/>
            <w:rPr>
              <w:rFonts w:hint="default" w:ascii="Times New Roman" w:hAnsi="Times New Roman" w:eastAsia="宋体" w:cs="Times New Roman"/>
              <w:color w:val="auto"/>
            </w:rPr>
          </w:pPr>
          <w:r>
            <w:rPr>
              <w:rFonts w:hint="default" w:ascii="Times New Roman" w:hAnsi="Times New Roman" w:eastAsia="宋体" w:cs="Times New Roman"/>
              <w:bCs/>
              <w:color w:val="auto"/>
              <w:szCs w:val="24"/>
              <w:lang w:val="zh-CN"/>
            </w:rPr>
            <w:fldChar w:fldCharType="end"/>
          </w:r>
        </w:p>
      </w:sdtContent>
    </w:sdt>
    <w:p>
      <w:pPr>
        <w:ind w:firstLine="0" w:firstLineChars="0"/>
        <w:rPr>
          <w:rFonts w:hint="default" w:ascii="Times New Roman" w:hAnsi="Times New Roman" w:eastAsia="宋体" w:cs="Times New Roman"/>
          <w:b/>
          <w:color w:val="auto"/>
          <w:sz w:val="32"/>
          <w:szCs w:val="32"/>
        </w:rPr>
      </w:pPr>
      <w:bookmarkStart w:id="44" w:name="_Toc521342071"/>
      <w:bookmarkStart w:id="45" w:name="_Toc523322238"/>
      <w:bookmarkStart w:id="46" w:name="_Toc521341562"/>
      <w:r>
        <w:rPr>
          <w:rFonts w:hint="default" w:ascii="Times New Roman" w:hAnsi="Times New Roman" w:eastAsia="宋体" w:cs="Times New Roman"/>
          <w:b/>
          <w:color w:val="auto"/>
          <w:sz w:val="32"/>
          <w:szCs w:val="32"/>
        </w:rPr>
        <w:t>附件：</w:t>
      </w:r>
      <w:bookmarkEnd w:id="44"/>
      <w:bookmarkEnd w:id="45"/>
      <w:bookmarkEnd w:id="46"/>
    </w:p>
    <w:p>
      <w:pPr>
        <w:overflowPunct w:val="0"/>
        <w:autoSpaceDE/>
        <w:ind w:firstLine="480"/>
        <w:rPr>
          <w:rFonts w:hint="default" w:ascii="Times New Roman" w:hAnsi="Times New Roman" w:eastAsia="宋体" w:cs="Times New Roman"/>
          <w:bCs/>
          <w:color w:val="auto"/>
          <w:szCs w:val="21"/>
        </w:rPr>
      </w:pPr>
      <w:r>
        <w:rPr>
          <w:rFonts w:hint="default" w:ascii="Times New Roman" w:hAnsi="Times New Roman" w:eastAsia="宋体" w:cs="Times New Roman"/>
          <w:color w:val="auto"/>
          <w:szCs w:val="24"/>
        </w:rPr>
        <w:t>附件1    项目委托书</w:t>
      </w:r>
    </w:p>
    <w:p>
      <w:pPr>
        <w:overflowPunct w:val="0"/>
        <w:autoSpaceDE/>
        <w:ind w:firstLine="480"/>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rPr>
        <w:t xml:space="preserve">附件2    </w:t>
      </w:r>
      <w:r>
        <w:rPr>
          <w:rFonts w:hint="default" w:ascii="Times New Roman" w:hAnsi="Times New Roman" w:eastAsia="宋体" w:cs="Times New Roman"/>
          <w:bCs/>
          <w:color w:val="auto"/>
          <w:szCs w:val="21"/>
          <w:lang w:val="en-US" w:eastAsia="zh-CN"/>
        </w:rPr>
        <w:t>营业执照</w:t>
      </w:r>
    </w:p>
    <w:p>
      <w:pPr>
        <w:overflowPunct w:val="0"/>
        <w:autoSpaceDE/>
        <w:ind w:firstLine="480"/>
        <w:rPr>
          <w:rFonts w:hint="default" w:ascii="Times New Roman" w:hAnsi="Times New Roman" w:eastAsia="宋体" w:cs="Times New Roman"/>
          <w:bCs/>
          <w:color w:val="auto"/>
          <w:szCs w:val="21"/>
          <w:lang w:eastAsia="zh-CN"/>
        </w:rPr>
      </w:pPr>
      <w:r>
        <w:rPr>
          <w:rFonts w:hint="default" w:ascii="Times New Roman" w:hAnsi="Times New Roman" w:eastAsia="宋体" w:cs="Times New Roman"/>
          <w:bCs/>
          <w:color w:val="auto"/>
          <w:szCs w:val="21"/>
        </w:rPr>
        <w:t xml:space="preserve">附件3    </w:t>
      </w:r>
      <w:r>
        <w:rPr>
          <w:rFonts w:hint="default" w:ascii="Times New Roman" w:hAnsi="Times New Roman" w:eastAsia="宋体" w:cs="Times New Roman"/>
          <w:bCs/>
          <w:color w:val="auto"/>
          <w:szCs w:val="21"/>
          <w:lang w:eastAsia="zh-CN"/>
        </w:rPr>
        <w:t>项目备案告知书</w:t>
      </w:r>
    </w:p>
    <w:p>
      <w:pPr>
        <w:overflowPunct w:val="0"/>
        <w:autoSpaceDE/>
        <w:ind w:firstLine="480"/>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rPr>
        <w:t>附件</w:t>
      </w:r>
      <w:r>
        <w:rPr>
          <w:rFonts w:hint="eastAsia" w:cs="Times New Roman"/>
          <w:bCs/>
          <w:color w:val="auto"/>
          <w:szCs w:val="21"/>
          <w:lang w:val="en-US" w:eastAsia="zh-CN"/>
        </w:rPr>
        <w:t>4</w:t>
      </w:r>
      <w:r>
        <w:rPr>
          <w:rFonts w:hint="default" w:ascii="Times New Roman" w:hAnsi="Times New Roman" w:eastAsia="宋体" w:cs="Times New Roman"/>
          <w:bCs/>
          <w:color w:val="auto"/>
          <w:szCs w:val="21"/>
        </w:rPr>
        <w:t xml:space="preserve">  </w:t>
      </w:r>
      <w:r>
        <w:rPr>
          <w:rFonts w:hint="eastAsia" w:cs="Times New Roman"/>
          <w:bCs/>
          <w:color w:val="auto"/>
          <w:szCs w:val="21"/>
          <w:lang w:val="en-US" w:eastAsia="zh-CN"/>
        </w:rPr>
        <w:t xml:space="preserve"> </w:t>
      </w:r>
      <w:r>
        <w:rPr>
          <w:rFonts w:hint="default" w:ascii="Times New Roman" w:hAnsi="Times New Roman" w:eastAsia="宋体" w:cs="Times New Roman"/>
          <w:bCs/>
          <w:color w:val="auto"/>
          <w:szCs w:val="21"/>
        </w:rPr>
        <w:t xml:space="preserve"> </w:t>
      </w:r>
      <w:r>
        <w:rPr>
          <w:rFonts w:hint="eastAsia" w:cs="Times New Roman"/>
          <w:bCs/>
          <w:color w:val="auto"/>
          <w:szCs w:val="21"/>
          <w:lang w:val="en-US" w:eastAsia="zh-CN"/>
        </w:rPr>
        <w:t>用地备案证明</w:t>
      </w:r>
    </w:p>
    <w:p>
      <w:pPr>
        <w:overflowPunct w:val="0"/>
        <w:autoSpaceDE/>
        <w:ind w:firstLine="480"/>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附件</w:t>
      </w:r>
      <w:r>
        <w:rPr>
          <w:rFonts w:hint="eastAsia" w:cs="Times New Roman"/>
          <w:bCs/>
          <w:color w:val="auto"/>
          <w:szCs w:val="21"/>
          <w:lang w:val="en-US" w:eastAsia="zh-CN"/>
        </w:rPr>
        <w:t>5</w:t>
      </w:r>
      <w:r>
        <w:rPr>
          <w:rFonts w:hint="default" w:ascii="Times New Roman" w:hAnsi="Times New Roman" w:eastAsia="宋体" w:cs="Times New Roman"/>
          <w:bCs/>
          <w:color w:val="auto"/>
          <w:szCs w:val="21"/>
        </w:rPr>
        <w:t xml:space="preserve">  </w:t>
      </w:r>
      <w:r>
        <w:rPr>
          <w:rFonts w:hint="eastAsia" w:cs="Times New Roman"/>
          <w:bCs/>
          <w:color w:val="auto"/>
          <w:szCs w:val="21"/>
          <w:lang w:val="en-US" w:eastAsia="zh-CN"/>
        </w:rPr>
        <w:t xml:space="preserve"> </w:t>
      </w:r>
      <w:r>
        <w:rPr>
          <w:rFonts w:hint="default" w:ascii="Times New Roman" w:hAnsi="Times New Roman" w:eastAsia="宋体" w:cs="Times New Roman"/>
          <w:bCs/>
          <w:color w:val="auto"/>
          <w:szCs w:val="21"/>
        </w:rPr>
        <w:t xml:space="preserve"> 环境质量现状监测报告</w:t>
      </w:r>
    </w:p>
    <w:p>
      <w:pPr>
        <w:pStyle w:val="42"/>
        <w:rPr>
          <w:rFonts w:hint="default" w:ascii="Times New Roman" w:hAnsi="Times New Roman" w:eastAsia="宋体" w:cs="Times New Roman"/>
          <w:color w:val="auto"/>
        </w:rPr>
      </w:pPr>
    </w:p>
    <w:p>
      <w:pPr>
        <w:pStyle w:val="42"/>
        <w:rPr>
          <w:rFonts w:hint="default" w:ascii="Times New Roman" w:hAnsi="Times New Roman" w:eastAsia="宋体" w:cs="Times New Roman"/>
          <w:color w:val="auto"/>
        </w:rPr>
        <w:sectPr>
          <w:footerReference r:id="rId11" w:type="default"/>
          <w:pgSz w:w="11906" w:h="16838"/>
          <w:pgMar w:top="1418" w:right="1418" w:bottom="1247" w:left="1701" w:header="851" w:footer="680" w:gutter="0"/>
          <w:pgBorders>
            <w:top w:val="none" w:sz="0" w:space="0"/>
            <w:left w:val="none" w:sz="0" w:space="0"/>
            <w:bottom w:val="none" w:sz="0" w:space="0"/>
            <w:right w:val="none" w:sz="0" w:space="0"/>
          </w:pgBorders>
          <w:pgNumType w:fmt="upperRoman" w:start="1"/>
          <w:cols w:space="425" w:num="1"/>
          <w:docGrid w:linePitch="326" w:charSpace="0"/>
        </w:sectPr>
      </w:pPr>
    </w:p>
    <w:p>
      <w:pPr>
        <w:pStyle w:val="4"/>
        <w:pageBreakBefore w:val="0"/>
        <w:widowControl w:val="0"/>
        <w:kinsoku/>
        <w:wordWrap/>
        <w:overflowPunct w:val="0"/>
        <w:topLinePunct/>
        <w:autoSpaceDE w:val="0"/>
        <w:autoSpaceDN/>
        <w:bidi w:val="0"/>
        <w:adjustRightInd/>
        <w:snapToGrid/>
        <w:textAlignment w:val="auto"/>
        <w:rPr>
          <w:rFonts w:hint="default" w:ascii="Times New Roman" w:hAnsi="Times New Roman" w:eastAsia="宋体" w:cs="Times New Roman"/>
          <w:bCs w:val="0"/>
          <w:color w:val="auto"/>
          <w:szCs w:val="22"/>
        </w:rPr>
      </w:pPr>
      <w:bookmarkStart w:id="47" w:name="_Toc2747"/>
      <w:r>
        <w:rPr>
          <w:rFonts w:hint="default" w:ascii="Times New Roman" w:hAnsi="Times New Roman" w:eastAsia="宋体" w:cs="Times New Roman"/>
          <w:bCs w:val="0"/>
          <w:color w:val="auto"/>
          <w:szCs w:val="22"/>
        </w:rPr>
        <w:t>1概述</w:t>
      </w:r>
      <w:bookmarkEnd w:id="47"/>
    </w:p>
    <w:p>
      <w:pPr>
        <w:pStyle w:val="5"/>
        <w:pageBreakBefore w:val="0"/>
        <w:widowControl w:val="0"/>
        <w:kinsoku/>
        <w:wordWrap/>
        <w:overflowPunct w:val="0"/>
        <w:topLinePunct/>
        <w:autoSpaceDE w:val="0"/>
        <w:autoSpaceDN/>
        <w:bidi w:val="0"/>
        <w:adjustRightInd/>
        <w:snapToGrid/>
        <w:textAlignment w:val="auto"/>
        <w:rPr>
          <w:rFonts w:hint="default" w:ascii="Times New Roman" w:hAnsi="Times New Roman" w:eastAsia="宋体" w:cs="Times New Roman"/>
          <w:bCs w:val="0"/>
          <w:color w:val="auto"/>
          <w:szCs w:val="22"/>
        </w:rPr>
      </w:pPr>
      <w:bookmarkStart w:id="48" w:name="_Toc512871513"/>
      <w:bookmarkStart w:id="49" w:name="_Toc28614"/>
      <w:r>
        <w:rPr>
          <w:rFonts w:hint="default" w:ascii="Times New Roman" w:hAnsi="Times New Roman" w:eastAsia="宋体" w:cs="Times New Roman"/>
          <w:bCs w:val="0"/>
          <w:color w:val="auto"/>
          <w:szCs w:val="22"/>
        </w:rPr>
        <w:t>1.1项目建设背景</w:t>
      </w:r>
      <w:bookmarkEnd w:id="48"/>
      <w:bookmarkEnd w:id="49"/>
    </w:p>
    <w:p>
      <w:pPr>
        <w:ind w:firstLine="480"/>
        <w:rPr>
          <w:rFonts w:hint="eastAsia" w:eastAsia="宋体"/>
          <w:color w:val="auto"/>
          <w:lang w:eastAsia="zh-CN"/>
        </w:rPr>
      </w:pPr>
      <w:r>
        <w:rPr>
          <w:rFonts w:hint="eastAsia"/>
          <w:color w:val="auto"/>
        </w:rPr>
        <w:t>养猪业是关乎国计民生的重要产业，猪肉是我国大多数居民最主要的肉食品。发展生猪养殖，对于保障人民群众生活、稳定物价、保持经济平稳运行和社会大局稳定具有重要意义。近年来，我国养猪业综合生产能力明显提升，但产业布局不合理、基层动物防疫体系不健全等问题仍然突出，一些地方忽视甚至限制养猪业发展，猪肉市场供应阶段性偏紧和猪价大幅波动时有发生。非洲猪瘟疫情发生以来，生猪产业的短板和问题进一步暴露，能繁母猪和生猪存栏下降较多，产能明显下滑，稳产保供压力较大。为稳定生猪生产，促进转型升级，增强猪肉供应保障能力，2019年《国务院办公厅关于稳定生猪生产促进转型升级的意见》（国办发【2019】44号）、《加快生猪生产恢复发展三年行动方案》（农牧发【2019】39号）等政策措施相继出台，习近平总书记也多次作出重要指示批示。为了适应市场发展要求，满足人民日益增长的物质需求，巴彦淖尔市亨泰农牧业有限责任公司决定投资</w:t>
      </w:r>
      <w:r>
        <w:rPr>
          <w:rFonts w:hint="eastAsia"/>
          <w:color w:val="auto"/>
          <w:lang w:val="en-US" w:eastAsia="zh-CN"/>
        </w:rPr>
        <w:t>21</w:t>
      </w:r>
      <w:r>
        <w:rPr>
          <w:rFonts w:hint="eastAsia"/>
          <w:color w:val="auto"/>
        </w:rPr>
        <w:t>00万元，在</w:t>
      </w:r>
      <w:r>
        <w:rPr>
          <w:rFonts w:hint="eastAsia"/>
          <w:color w:val="auto"/>
          <w:lang w:val="en-US" w:eastAsia="zh-CN"/>
        </w:rPr>
        <w:t>巴彦淖尔市</w:t>
      </w:r>
      <w:r>
        <w:rPr>
          <w:rFonts w:hint="eastAsia"/>
          <w:color w:val="auto"/>
          <w:lang w:eastAsia="zh-CN"/>
        </w:rPr>
        <w:t>五原县天吉泰镇二合永村</w:t>
      </w:r>
      <w:r>
        <w:rPr>
          <w:rFonts w:hint="eastAsia"/>
          <w:color w:val="auto"/>
        </w:rPr>
        <w:t>一组建设巴彦淖尔市亨泰农牧业有限责任公司育肥猪养殖产业化项目</w:t>
      </w:r>
      <w:r>
        <w:rPr>
          <w:rFonts w:hint="eastAsia"/>
          <w:color w:val="auto"/>
          <w:lang w:eastAsia="zh-CN"/>
        </w:rPr>
        <w:t>。</w:t>
      </w:r>
    </w:p>
    <w:p>
      <w:pPr>
        <w:pageBreakBefore w:val="0"/>
        <w:widowControl w:val="0"/>
        <w:kinsoku/>
        <w:wordWrap/>
        <w:topLinePunct/>
        <w:autoSpaceDE w:val="0"/>
        <w:autoSpaceDN/>
        <w:bidi w:val="0"/>
        <w:adjustRightInd/>
        <w:snapToGrid/>
        <w:ind w:firstLine="480"/>
        <w:textAlignment w:val="auto"/>
        <w:rPr>
          <w:rFonts w:hint="default" w:ascii="Times New Roman" w:hAnsi="Times New Roman" w:eastAsia="宋体" w:cs="Times New Roman"/>
          <w:color w:val="auto"/>
        </w:rPr>
      </w:pPr>
      <w:r>
        <w:rPr>
          <w:rFonts w:hint="eastAsia"/>
          <w:color w:val="auto"/>
        </w:rPr>
        <w:t>本</w:t>
      </w:r>
      <w:r>
        <w:rPr>
          <w:rFonts w:hint="eastAsia"/>
          <w:color w:val="auto"/>
          <w:lang w:val="en-US" w:eastAsia="zh-CN"/>
        </w:rPr>
        <w:t>项目</w:t>
      </w:r>
      <w:r>
        <w:rPr>
          <w:rFonts w:hint="eastAsia"/>
          <w:color w:val="auto"/>
        </w:rPr>
        <w:t>于2021年4月</w:t>
      </w:r>
      <w:r>
        <w:rPr>
          <w:rFonts w:hint="eastAsia"/>
          <w:color w:val="auto"/>
          <w:lang w:val="en-US" w:eastAsia="zh-CN"/>
        </w:rPr>
        <w:t>8</w:t>
      </w:r>
      <w:r>
        <w:rPr>
          <w:rFonts w:hint="eastAsia"/>
          <w:color w:val="auto"/>
        </w:rPr>
        <w:t>日取得</w:t>
      </w:r>
      <w:r>
        <w:rPr>
          <w:rFonts w:hint="eastAsia"/>
          <w:color w:val="auto"/>
          <w:lang w:val="en-US" w:eastAsia="zh-CN"/>
        </w:rPr>
        <w:t>五原</w:t>
      </w:r>
      <w:r>
        <w:rPr>
          <w:rFonts w:hint="eastAsia"/>
          <w:color w:val="auto"/>
        </w:rPr>
        <w:t>县发展和改革委员会出具的《巴彦淖尔市亨泰农牧业有限责任公司育肥猪养殖产业化项目》的</w:t>
      </w:r>
      <w:r>
        <w:rPr>
          <w:rFonts w:hint="eastAsia"/>
          <w:color w:val="auto"/>
          <w:lang w:val="en-US" w:eastAsia="zh-CN"/>
        </w:rPr>
        <w:t>项目</w:t>
      </w:r>
      <w:r>
        <w:rPr>
          <w:rFonts w:hint="eastAsia"/>
          <w:color w:val="auto"/>
        </w:rPr>
        <w:t>备案告知书，项目代码：2104-150</w:t>
      </w:r>
      <w:r>
        <w:rPr>
          <w:rFonts w:hint="eastAsia"/>
          <w:color w:val="auto"/>
          <w:lang w:val="en-US" w:eastAsia="zh-CN"/>
        </w:rPr>
        <w:t>821</w:t>
      </w:r>
      <w:r>
        <w:rPr>
          <w:rFonts w:hint="eastAsia"/>
          <w:color w:val="auto"/>
        </w:rPr>
        <w:t>-04-01-</w:t>
      </w:r>
      <w:r>
        <w:rPr>
          <w:rFonts w:hint="eastAsia"/>
          <w:color w:val="auto"/>
          <w:lang w:val="en-US" w:eastAsia="zh-CN"/>
        </w:rPr>
        <w:t>742338</w:t>
      </w:r>
      <w:r>
        <w:rPr>
          <w:rFonts w:hint="eastAsia"/>
          <w:color w:val="auto"/>
        </w:rPr>
        <w:t>。项目</w:t>
      </w:r>
      <w:r>
        <w:rPr>
          <w:rFonts w:hint="eastAsia"/>
          <w:color w:val="auto"/>
          <w:lang w:val="en-US" w:eastAsia="zh-CN"/>
        </w:rPr>
        <w:t>总</w:t>
      </w:r>
      <w:r>
        <w:rPr>
          <w:rFonts w:hint="eastAsia"/>
          <w:color w:val="auto"/>
        </w:rPr>
        <w:t>占地面积为约</w:t>
      </w:r>
      <w:r>
        <w:rPr>
          <w:rFonts w:hint="eastAsia"/>
          <w:color w:val="auto"/>
          <w:lang w:val="en-US" w:eastAsia="zh-CN"/>
        </w:rPr>
        <w:t>86.28</w:t>
      </w:r>
      <w:r>
        <w:rPr>
          <w:rFonts w:hint="eastAsia"/>
          <w:color w:val="auto"/>
        </w:rPr>
        <w:t>亩，主要建设</w:t>
      </w:r>
      <w:r>
        <w:rPr>
          <w:rFonts w:hint="eastAsia"/>
          <w:color w:val="auto"/>
          <w:lang w:val="en-US" w:eastAsia="zh-CN"/>
        </w:rPr>
        <w:t>8</w:t>
      </w:r>
      <w:r>
        <w:rPr>
          <w:rFonts w:hint="eastAsia"/>
          <w:color w:val="auto"/>
        </w:rPr>
        <w:t>栋1100头育肥猪舍，每栋</w:t>
      </w:r>
      <w:r>
        <w:rPr>
          <w:rFonts w:hint="eastAsia"/>
          <w:color w:val="auto"/>
          <w:lang w:val="en-US" w:eastAsia="zh-CN"/>
        </w:rPr>
        <w:t>建筑面积</w:t>
      </w:r>
      <w:r>
        <w:rPr>
          <w:rFonts w:hint="eastAsia"/>
          <w:color w:val="auto"/>
        </w:rPr>
        <w:t>1200m</w:t>
      </w:r>
      <w:r>
        <w:rPr>
          <w:rFonts w:hint="eastAsia"/>
          <w:color w:val="auto"/>
          <w:vertAlign w:val="superscript"/>
        </w:rPr>
        <w:t>2</w:t>
      </w:r>
      <w:r>
        <w:rPr>
          <w:rFonts w:hint="eastAsia"/>
          <w:color w:val="auto"/>
        </w:rPr>
        <w:t>，共计</w:t>
      </w:r>
      <w:r>
        <w:rPr>
          <w:rFonts w:hint="eastAsia"/>
          <w:color w:val="auto"/>
          <w:lang w:val="en-US" w:eastAsia="zh-CN"/>
        </w:rPr>
        <w:t>建筑面积</w:t>
      </w:r>
      <w:r>
        <w:rPr>
          <w:rFonts w:hint="eastAsia"/>
          <w:color w:val="auto"/>
        </w:rPr>
        <w:t>9600m</w:t>
      </w:r>
      <w:r>
        <w:rPr>
          <w:rFonts w:hint="eastAsia"/>
          <w:color w:val="auto"/>
          <w:vertAlign w:val="superscript"/>
        </w:rPr>
        <w:t>2</w:t>
      </w:r>
      <w:r>
        <w:rPr>
          <w:rFonts w:hint="eastAsia"/>
          <w:color w:val="auto"/>
        </w:rPr>
        <w:t>；仓库、构筑物、宿舍及办公室</w:t>
      </w:r>
      <w:r>
        <w:rPr>
          <w:rFonts w:hint="eastAsia"/>
          <w:color w:val="auto"/>
          <w:lang w:eastAsia="zh-CN"/>
        </w:rPr>
        <w:t>，</w:t>
      </w:r>
      <w:r>
        <w:rPr>
          <w:rFonts w:hint="eastAsia"/>
          <w:color w:val="auto"/>
          <w:lang w:val="en-US" w:eastAsia="zh-CN"/>
        </w:rPr>
        <w:t>总建筑面积</w:t>
      </w:r>
      <w:r>
        <w:rPr>
          <w:rFonts w:hint="eastAsia"/>
          <w:color w:val="auto"/>
        </w:rPr>
        <w:t>1000m</w:t>
      </w:r>
      <w:r>
        <w:rPr>
          <w:rFonts w:hint="eastAsia"/>
          <w:color w:val="auto"/>
          <w:vertAlign w:val="superscript"/>
        </w:rPr>
        <w:t>2</w:t>
      </w:r>
      <w:r>
        <w:rPr>
          <w:rFonts w:hint="eastAsia"/>
          <w:color w:val="auto"/>
        </w:rPr>
        <w:t>；围墙（围栏)990</w:t>
      </w:r>
      <w:r>
        <w:rPr>
          <w:rFonts w:hint="eastAsia"/>
          <w:color w:val="auto"/>
          <w:lang w:val="en-US" w:eastAsia="zh-CN"/>
        </w:rPr>
        <w:t>m</w:t>
      </w:r>
      <w:r>
        <w:rPr>
          <w:rFonts w:hint="eastAsia"/>
          <w:color w:val="auto"/>
        </w:rPr>
        <w:t>；硬化地面10000m</w:t>
      </w:r>
      <w:r>
        <w:rPr>
          <w:rFonts w:hint="eastAsia"/>
          <w:color w:val="auto"/>
          <w:vertAlign w:val="superscript"/>
        </w:rPr>
        <w:t>2</w:t>
      </w:r>
      <w:r>
        <w:rPr>
          <w:rFonts w:hint="eastAsia"/>
          <w:color w:val="auto"/>
          <w:lang w:eastAsia="zh-CN"/>
        </w:rPr>
        <w:t>；</w:t>
      </w:r>
      <w:r>
        <w:rPr>
          <w:rFonts w:hint="eastAsia"/>
          <w:color w:val="auto"/>
        </w:rPr>
        <w:t>水电暖安装配套、给排水、采暖、外管网1600</w:t>
      </w:r>
      <w:r>
        <w:rPr>
          <w:rFonts w:hint="eastAsia"/>
          <w:color w:val="auto"/>
          <w:lang w:val="en-US" w:eastAsia="zh-CN"/>
        </w:rPr>
        <w:t>m</w:t>
      </w:r>
      <w:r>
        <w:rPr>
          <w:rFonts w:hint="eastAsia"/>
          <w:color w:val="auto"/>
          <w:lang w:eastAsia="zh-CN"/>
        </w:rPr>
        <w:t>；</w:t>
      </w:r>
      <w:r>
        <w:rPr>
          <w:rFonts w:hint="eastAsia"/>
          <w:color w:val="FF0000"/>
        </w:rPr>
        <w:t>16个</w:t>
      </w:r>
      <w:r>
        <w:rPr>
          <w:rFonts w:hint="eastAsia"/>
          <w:color w:val="FF0000"/>
          <w:lang w:eastAsia="zh-CN"/>
        </w:rPr>
        <w:t>检查井</w:t>
      </w:r>
      <w:r>
        <w:rPr>
          <w:rFonts w:hint="eastAsia"/>
          <w:color w:val="auto"/>
          <w:lang w:eastAsia="zh-CN"/>
        </w:rPr>
        <w:t>；</w:t>
      </w:r>
      <w:r>
        <w:rPr>
          <w:rFonts w:hint="eastAsia"/>
          <w:color w:val="auto"/>
          <w:lang w:val="en-US" w:eastAsia="zh-CN"/>
        </w:rPr>
        <w:t>1</w:t>
      </w:r>
      <w:r>
        <w:rPr>
          <w:rFonts w:hint="eastAsia"/>
          <w:color w:val="auto"/>
        </w:rPr>
        <w:t>个化粪池（</w:t>
      </w:r>
      <w:r>
        <w:rPr>
          <w:rFonts w:hint="eastAsia"/>
          <w:color w:val="auto"/>
          <w:lang w:val="en-US" w:eastAsia="zh-CN"/>
        </w:rPr>
        <w:t>容积为</w:t>
      </w:r>
      <w:r>
        <w:rPr>
          <w:rFonts w:hint="eastAsia"/>
          <w:color w:val="auto"/>
        </w:rPr>
        <w:t>1000</w:t>
      </w:r>
      <w:r>
        <w:rPr>
          <w:rFonts w:hint="eastAsia"/>
          <w:color w:val="auto"/>
          <w:lang w:val="en-US" w:eastAsia="zh-CN"/>
        </w:rPr>
        <w:t>m</w:t>
      </w:r>
      <w:r>
        <w:rPr>
          <w:rFonts w:hint="eastAsia"/>
          <w:color w:val="auto"/>
          <w:vertAlign w:val="superscript"/>
          <w:lang w:val="en-US" w:eastAsia="zh-CN"/>
        </w:rPr>
        <w:t>3</w:t>
      </w:r>
      <w:r>
        <w:rPr>
          <w:rFonts w:hint="eastAsia"/>
          <w:color w:val="auto"/>
        </w:rPr>
        <w:t>），</w:t>
      </w:r>
      <w:r>
        <w:rPr>
          <w:rFonts w:hint="eastAsia"/>
          <w:color w:val="auto"/>
          <w:lang w:val="en-US" w:eastAsia="zh-CN"/>
        </w:rPr>
        <w:t>2</w:t>
      </w:r>
      <w:r>
        <w:rPr>
          <w:rFonts w:hint="eastAsia"/>
          <w:color w:val="auto"/>
        </w:rPr>
        <w:t>个深井泵房，</w:t>
      </w:r>
      <w:r>
        <w:rPr>
          <w:rFonts w:hint="eastAsia"/>
          <w:color w:val="auto"/>
          <w:lang w:val="en-US" w:eastAsia="zh-CN"/>
        </w:rPr>
        <w:t>1</w:t>
      </w:r>
      <w:r>
        <w:rPr>
          <w:rFonts w:hint="eastAsia"/>
          <w:color w:val="auto"/>
        </w:rPr>
        <w:t>座蓄水池（</w:t>
      </w:r>
      <w:r>
        <w:rPr>
          <w:rFonts w:hint="eastAsia"/>
          <w:color w:val="auto"/>
          <w:lang w:val="en-US" w:eastAsia="zh-CN"/>
        </w:rPr>
        <w:t>容积为</w:t>
      </w:r>
      <w:r>
        <w:rPr>
          <w:rFonts w:hint="eastAsia"/>
          <w:color w:val="auto"/>
        </w:rPr>
        <w:t>400</w:t>
      </w:r>
      <w:r>
        <w:rPr>
          <w:rFonts w:hint="eastAsia"/>
          <w:color w:val="auto"/>
          <w:lang w:val="en-US" w:eastAsia="zh-CN"/>
        </w:rPr>
        <w:t>m</w:t>
      </w:r>
      <w:r>
        <w:rPr>
          <w:rFonts w:hint="eastAsia"/>
          <w:color w:val="auto"/>
          <w:vertAlign w:val="superscript"/>
          <w:lang w:val="en-US" w:eastAsia="zh-CN"/>
        </w:rPr>
        <w:t>3</w:t>
      </w:r>
      <w:r>
        <w:rPr>
          <w:rFonts w:hint="eastAsia"/>
          <w:color w:val="auto"/>
        </w:rPr>
        <w:t>），</w:t>
      </w:r>
      <w:r>
        <w:rPr>
          <w:rFonts w:hint="eastAsia"/>
          <w:color w:val="auto"/>
          <w:lang w:val="en-US" w:eastAsia="zh-CN"/>
        </w:rPr>
        <w:t>1座晾粪台（</w:t>
      </w:r>
      <w:r>
        <w:rPr>
          <w:rFonts w:hint="eastAsia"/>
          <w:color w:val="auto"/>
        </w:rPr>
        <w:t>1</w:t>
      </w:r>
      <w:r>
        <w:rPr>
          <w:rFonts w:hint="eastAsia"/>
          <w:color w:val="auto"/>
          <w:lang w:val="en-US" w:eastAsia="zh-CN"/>
        </w:rPr>
        <w:t>0</w:t>
      </w:r>
      <w:r>
        <w:rPr>
          <w:rFonts w:hint="eastAsia"/>
          <w:color w:val="auto"/>
        </w:rPr>
        <w:t>00m</w:t>
      </w:r>
      <w:r>
        <w:rPr>
          <w:rFonts w:hint="eastAsia"/>
          <w:color w:val="auto"/>
          <w:vertAlign w:val="superscript"/>
        </w:rPr>
        <w:t>2</w:t>
      </w:r>
      <w:r>
        <w:rPr>
          <w:rFonts w:hint="eastAsia"/>
          <w:color w:val="auto"/>
          <w:lang w:val="en-US" w:eastAsia="zh-CN"/>
        </w:rPr>
        <w:t>），2</w:t>
      </w:r>
      <w:r>
        <w:rPr>
          <w:rFonts w:hint="eastAsia"/>
          <w:color w:val="auto"/>
        </w:rPr>
        <w:t>座氧化塘（</w:t>
      </w:r>
      <w:r>
        <w:rPr>
          <w:rFonts w:hint="eastAsia"/>
          <w:color w:val="auto"/>
          <w:lang w:val="en-US" w:eastAsia="zh-CN"/>
        </w:rPr>
        <w:t>总容积为</w:t>
      </w:r>
      <w:r>
        <w:rPr>
          <w:rFonts w:hint="eastAsia"/>
          <w:color w:val="auto"/>
        </w:rPr>
        <w:t>17000</w:t>
      </w:r>
      <w:r>
        <w:rPr>
          <w:rFonts w:hint="eastAsia"/>
          <w:color w:val="auto"/>
          <w:lang w:val="en-US" w:eastAsia="zh-CN"/>
        </w:rPr>
        <w:t>m</w:t>
      </w:r>
      <w:r>
        <w:rPr>
          <w:rFonts w:hint="eastAsia"/>
          <w:color w:val="auto"/>
          <w:vertAlign w:val="superscript"/>
          <w:lang w:val="en-US" w:eastAsia="zh-CN"/>
        </w:rPr>
        <w:t>3</w:t>
      </w:r>
      <w:r>
        <w:rPr>
          <w:rFonts w:hint="eastAsia"/>
          <w:color w:val="auto"/>
        </w:rPr>
        <w:t>）</w:t>
      </w:r>
      <w:r>
        <w:rPr>
          <w:rFonts w:hint="eastAsia"/>
          <w:color w:val="auto"/>
          <w:lang w:eastAsia="zh-CN"/>
        </w:rPr>
        <w:t>；</w:t>
      </w:r>
      <w:r>
        <w:rPr>
          <w:rFonts w:hint="eastAsia"/>
          <w:color w:val="auto"/>
        </w:rPr>
        <w:t>并进行相应的给排水、供电、供暖、通风、消防、通讯工程及部分道路及地面硬化、绿化等配套设施建设。养殖规模为年存栏猪</w:t>
      </w:r>
      <w:r>
        <w:rPr>
          <w:rFonts w:hint="eastAsia"/>
          <w:color w:val="auto"/>
          <w:lang w:val="en-US" w:eastAsia="zh-CN"/>
        </w:rPr>
        <w:t>8800</w:t>
      </w:r>
      <w:r>
        <w:rPr>
          <w:rFonts w:hint="eastAsia"/>
          <w:color w:val="auto"/>
        </w:rPr>
        <w:t>头，</w:t>
      </w:r>
      <w:r>
        <w:rPr>
          <w:rFonts w:hint="eastAsia"/>
          <w:color w:val="FF0000"/>
        </w:rPr>
        <w:t>年出栏</w:t>
      </w:r>
      <w:r>
        <w:rPr>
          <w:rFonts w:hint="eastAsia"/>
          <w:color w:val="FF0000"/>
          <w:lang w:val="en-US" w:eastAsia="zh-CN"/>
        </w:rPr>
        <w:t>20000</w:t>
      </w:r>
      <w:r>
        <w:rPr>
          <w:rFonts w:hint="eastAsia"/>
          <w:color w:val="FF0000"/>
        </w:rPr>
        <w:t>头育肥猪</w:t>
      </w:r>
      <w:r>
        <w:rPr>
          <w:rFonts w:hint="default" w:ascii="Times New Roman" w:hAnsi="Times New Roman" w:eastAsia="宋体" w:cs="Times New Roman"/>
          <w:color w:val="auto"/>
        </w:rPr>
        <w:t>。</w:t>
      </w:r>
    </w:p>
    <w:p>
      <w:pPr>
        <w:pStyle w:val="5"/>
        <w:pageBreakBefore w:val="0"/>
        <w:widowControl w:val="0"/>
        <w:kinsoku/>
        <w:wordWrap/>
        <w:topLinePunct/>
        <w:autoSpaceDE w:val="0"/>
        <w:autoSpaceDN/>
        <w:bidi w:val="0"/>
        <w:adjustRightInd/>
        <w:snapToGrid/>
        <w:textAlignment w:val="auto"/>
        <w:rPr>
          <w:rFonts w:hint="default" w:ascii="Times New Roman" w:hAnsi="Times New Roman" w:eastAsia="宋体" w:cs="Times New Roman"/>
          <w:color w:val="auto"/>
        </w:rPr>
      </w:pPr>
      <w:bookmarkStart w:id="50" w:name="_Toc512871514"/>
      <w:bookmarkStart w:id="51" w:name="_Toc29264"/>
      <w:r>
        <w:rPr>
          <w:rFonts w:hint="default" w:ascii="Times New Roman" w:hAnsi="Times New Roman" w:eastAsia="宋体" w:cs="Times New Roman"/>
          <w:color w:val="auto"/>
        </w:rPr>
        <w:t>1.2建设项目特点</w:t>
      </w:r>
      <w:bookmarkEnd w:id="50"/>
      <w:bookmarkEnd w:id="51"/>
    </w:p>
    <w:p>
      <w:pPr>
        <w:pageBreakBefore w:val="0"/>
        <w:widowControl w:val="0"/>
        <w:kinsoku/>
        <w:wordWrap/>
        <w:topLinePunct/>
        <w:autoSpaceDE w:val="0"/>
        <w:autoSpaceDN/>
        <w:bidi w:val="0"/>
        <w:adjustRightInd/>
        <w:snapToGrid/>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w:t>
      </w:r>
      <w:r>
        <w:rPr>
          <w:rFonts w:hint="eastAsia"/>
          <w:color w:val="auto"/>
        </w:rPr>
        <w:t>本项目</w:t>
      </w:r>
      <w:r>
        <w:rPr>
          <w:rFonts w:hint="eastAsia"/>
          <w:color w:val="auto"/>
          <w:lang w:val="en-US" w:eastAsia="zh-CN"/>
        </w:rPr>
        <w:t>为规模化育肥猪养殖项目，</w:t>
      </w:r>
      <w:r>
        <w:rPr>
          <w:rFonts w:hint="eastAsia"/>
          <w:color w:val="auto"/>
        </w:rPr>
        <w:t>属于《国民经济行业分类》（GB/T4754-2017，2019年修订）中“A031</w:t>
      </w:r>
      <w:r>
        <w:rPr>
          <w:rFonts w:hint="eastAsia"/>
          <w:color w:val="auto"/>
          <w:lang w:val="en-US" w:eastAsia="zh-CN"/>
        </w:rPr>
        <w:t>3猪</w:t>
      </w:r>
      <w:r>
        <w:rPr>
          <w:rFonts w:hint="eastAsia"/>
          <w:color w:val="auto"/>
        </w:rPr>
        <w:t>的饲养”</w:t>
      </w:r>
      <w:r>
        <w:rPr>
          <w:rFonts w:hint="default" w:ascii="Times New Roman" w:hAnsi="Times New Roman" w:eastAsia="宋体" w:cs="Times New Roman"/>
          <w:color w:val="auto"/>
        </w:rPr>
        <w:t>；</w:t>
      </w:r>
    </w:p>
    <w:p>
      <w:pPr>
        <w:pageBreakBefore w:val="0"/>
        <w:widowControl w:val="0"/>
        <w:kinsoku/>
        <w:wordWrap/>
        <w:topLinePunct/>
        <w:autoSpaceDE w:val="0"/>
        <w:autoSpaceDN/>
        <w:bidi w:val="0"/>
        <w:adjustRightInd/>
        <w:snapToGrid/>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（2）本次评价关注的主要环境问题为项目建成后产生的恶臭污染物采取措施后能否达标排放；粪污作为有机肥能否合理还田，对满足资源化利用的可行性进行分析论证。</w:t>
      </w:r>
    </w:p>
    <w:p>
      <w:pPr>
        <w:pStyle w:val="5"/>
        <w:pageBreakBefore w:val="0"/>
        <w:widowControl w:val="0"/>
        <w:kinsoku/>
        <w:wordWrap/>
        <w:overflowPunct w:val="0"/>
        <w:topLinePunct/>
        <w:autoSpaceDE w:val="0"/>
        <w:autoSpaceDN/>
        <w:bidi w:val="0"/>
        <w:adjustRightInd/>
        <w:snapToGrid/>
        <w:textAlignment w:val="auto"/>
        <w:rPr>
          <w:rFonts w:hint="default" w:ascii="Times New Roman" w:hAnsi="Times New Roman" w:eastAsia="宋体" w:cs="Times New Roman"/>
          <w:bCs w:val="0"/>
          <w:color w:val="auto"/>
          <w:szCs w:val="22"/>
        </w:rPr>
      </w:pPr>
      <w:bookmarkStart w:id="52" w:name="_Toc512871515"/>
      <w:bookmarkStart w:id="53" w:name="_Toc30180"/>
      <w:r>
        <w:rPr>
          <w:rFonts w:hint="default" w:ascii="Times New Roman" w:hAnsi="Times New Roman" w:eastAsia="宋体" w:cs="Times New Roman"/>
          <w:bCs w:val="0"/>
          <w:color w:val="auto"/>
          <w:szCs w:val="22"/>
        </w:rPr>
        <w:t>1.3环境影响评价的工作过程</w:t>
      </w:r>
      <w:bookmarkEnd w:id="52"/>
      <w:bookmarkEnd w:id="53"/>
    </w:p>
    <w:p>
      <w:pPr>
        <w:pageBreakBefore w:val="0"/>
        <w:widowControl w:val="0"/>
        <w:kinsoku/>
        <w:wordWrap/>
        <w:topLinePunct/>
        <w:autoSpaceDE w:val="0"/>
        <w:autoSpaceDN/>
        <w:bidi w:val="0"/>
        <w:adjustRightInd/>
        <w:snapToGrid/>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为保证建设项目与环境保护的协调发展，根据《中华人民共和国环境影响评价法》和国务院颁发的《建设项目环境保护管理条例》中的有关规定，</w:t>
      </w:r>
      <w:r>
        <w:rPr>
          <w:rFonts w:hint="eastAsia" w:cs="Times New Roman"/>
          <w:color w:val="auto"/>
          <w:lang w:eastAsia="zh-CN"/>
        </w:rPr>
        <w:t>巴彦淖尔市亨泰农牧业有限责任公司</w:t>
      </w:r>
      <w:r>
        <w:rPr>
          <w:rFonts w:hint="default" w:ascii="Times New Roman" w:hAnsi="Times New Roman" w:eastAsia="宋体" w:cs="Times New Roman"/>
          <w:color w:val="auto"/>
        </w:rPr>
        <w:t>于202</w:t>
      </w:r>
      <w:r>
        <w:rPr>
          <w:rFonts w:hint="eastAsia" w:cs="Times New Roman"/>
          <w:color w:val="auto"/>
          <w:lang w:val="en-US" w:eastAsia="zh-CN"/>
        </w:rPr>
        <w:t>1</w:t>
      </w:r>
      <w:r>
        <w:rPr>
          <w:rFonts w:hint="default" w:ascii="Times New Roman" w:hAnsi="Times New Roman" w:eastAsia="宋体" w:cs="Times New Roman"/>
          <w:color w:val="auto"/>
        </w:rPr>
        <w:t>年</w:t>
      </w:r>
      <w:r>
        <w:rPr>
          <w:rFonts w:hint="eastAsia" w:cs="Times New Roman"/>
          <w:color w:val="auto"/>
          <w:lang w:val="en-US" w:eastAsia="zh-CN"/>
        </w:rPr>
        <w:t>3</w:t>
      </w:r>
      <w:r>
        <w:rPr>
          <w:rFonts w:hint="default" w:ascii="Times New Roman" w:hAnsi="Times New Roman" w:eastAsia="宋体" w:cs="Times New Roman"/>
          <w:color w:val="auto"/>
        </w:rPr>
        <w:t>月委托</w:t>
      </w:r>
      <w:r>
        <w:rPr>
          <w:rFonts w:hint="eastAsia" w:cs="Times New Roman"/>
          <w:color w:val="auto"/>
          <w:lang w:eastAsia="zh-CN"/>
        </w:rPr>
        <w:t>北京华夏国润环保科技有限公司</w:t>
      </w:r>
      <w:r>
        <w:rPr>
          <w:rFonts w:hint="default" w:ascii="Times New Roman" w:hAnsi="Times New Roman" w:eastAsia="宋体" w:cs="Times New Roman"/>
          <w:color w:val="auto"/>
        </w:rPr>
        <w:t>承担该项目的环境影响评价工作。本项目为</w:t>
      </w:r>
      <w:r>
        <w:rPr>
          <w:rFonts w:hint="eastAsia"/>
          <w:color w:val="auto"/>
          <w:lang w:val="en-US" w:eastAsia="zh-CN"/>
        </w:rPr>
        <w:t>规模化育肥猪养殖项目</w:t>
      </w:r>
      <w:r>
        <w:rPr>
          <w:rFonts w:hint="default" w:ascii="Times New Roman" w:hAnsi="Times New Roman" w:eastAsia="宋体" w:cs="Times New Roman"/>
          <w:color w:val="auto"/>
          <w:lang w:eastAsia="zh-CN"/>
        </w:rPr>
        <w:t>，</w:t>
      </w:r>
      <w:r>
        <w:rPr>
          <w:rFonts w:hint="eastAsia"/>
          <w:color w:val="auto"/>
        </w:rPr>
        <w:t>年出栏</w:t>
      </w:r>
      <w:r>
        <w:rPr>
          <w:rFonts w:hint="eastAsia"/>
          <w:color w:val="auto"/>
          <w:lang w:eastAsia="zh-CN"/>
        </w:rPr>
        <w:t>20000</w:t>
      </w:r>
      <w:r>
        <w:rPr>
          <w:rFonts w:hint="eastAsia"/>
          <w:color w:val="auto"/>
        </w:rPr>
        <w:t>头育肥猪</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highlight w:val="none"/>
        </w:rPr>
        <w:t>根据《建设项目环境影响评价分类管理名录》（生态环境部令第1</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号），</w:t>
      </w:r>
      <w:r>
        <w:rPr>
          <w:rFonts w:hint="default" w:ascii="Times New Roman" w:hAnsi="Times New Roman" w:eastAsia="宋体" w:cs="Times New Roman"/>
          <w:color w:val="auto"/>
        </w:rPr>
        <w:t>本项目属于</w:t>
      </w:r>
      <w:r>
        <w:rPr>
          <w:rFonts w:hint="eastAsia"/>
          <w:color w:val="auto"/>
          <w:lang w:val="en-US" w:eastAsia="zh-CN"/>
        </w:rPr>
        <w:t>“二</w:t>
      </w:r>
      <w:r>
        <w:rPr>
          <w:rFonts w:hint="eastAsia"/>
          <w:color w:val="auto"/>
        </w:rPr>
        <w:t>、畜牧业</w:t>
      </w:r>
      <w:r>
        <w:rPr>
          <w:rFonts w:hint="eastAsia"/>
          <w:color w:val="auto"/>
          <w:lang w:val="en-US" w:eastAsia="zh-CN"/>
        </w:rPr>
        <w:t>--牲畜饲养--年出栏生猪5000头（其他畜禽种类折合猪的养殖量）及以上的规模化畜禽养殖”，</w:t>
      </w:r>
      <w:r>
        <w:rPr>
          <w:rFonts w:hint="default" w:ascii="Times New Roman" w:hAnsi="Times New Roman" w:eastAsia="宋体" w:cs="Times New Roman"/>
          <w:color w:val="auto"/>
        </w:rPr>
        <w:t>应编制环境影响报告书。</w:t>
      </w:r>
    </w:p>
    <w:p>
      <w:pPr>
        <w:pageBreakBefore w:val="0"/>
        <w:widowControl w:val="0"/>
        <w:kinsoku/>
        <w:wordWrap/>
        <w:topLinePunct/>
        <w:autoSpaceDE w:val="0"/>
        <w:autoSpaceDN/>
        <w:bidi w:val="0"/>
        <w:adjustRightInd/>
        <w:snapToGrid/>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接收委托后，我公司组织工程技术人员进行了现场调研、实地踏勘及进行资料收集，并依据工程有关的技术资料及《环境影响评价技术导则》（HJ2.1-2016、HJ2.2-2018、HJ2.3-2018、HJ2.4-2009、HJ610-2016和HJ169-2018）中的有关要求，编制完成了《</w:t>
      </w:r>
      <w:r>
        <w:rPr>
          <w:rFonts w:hint="eastAsia" w:cs="Times New Roman"/>
          <w:color w:val="auto"/>
          <w:lang w:eastAsia="zh-CN"/>
        </w:rPr>
        <w:t>巴彦淖尔市亨泰农牧业有限责任公司育肥猪养殖产业化项目</w:t>
      </w:r>
      <w:r>
        <w:rPr>
          <w:rFonts w:hint="default" w:ascii="Times New Roman" w:hAnsi="Times New Roman" w:eastAsia="宋体" w:cs="Times New Roman"/>
          <w:color w:val="auto"/>
        </w:rPr>
        <w:t>环境影响报告书》。</w:t>
      </w:r>
    </w:p>
    <w:p>
      <w:pPr>
        <w:pageBreakBefore w:val="0"/>
        <w:widowControl w:val="0"/>
        <w:kinsoku/>
        <w:wordWrap/>
        <w:topLinePunct/>
        <w:autoSpaceDE w:val="0"/>
        <w:autoSpaceDN/>
        <w:bidi w:val="0"/>
        <w:adjustRightInd/>
        <w:snapToGrid/>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次环境影响评价工作分为三个阶段，第一个阶段为调查分析和工作方案制定阶段，主要工作为研究有关设计资料等与项目相关的文件，进行初步的工程分析和环境现状调查，筛选重点评价因子，确定各环境要素环境影响评价的工作等级；第二阶段为分析论证和预测评价阶段，其主要工作为进一步做工程分析和环境现状调查，并进行环境影响预测和评价环境影响；第三阶段为报告书编制阶段，其主要工作为汇总、分析第二阶段工作所行的各种资料、数据，给出结论，完成环境影响报告书的编制。具体流程如图1.3-1所示。</w:t>
      </w:r>
    </w:p>
    <w:p>
      <w:pPr>
        <w:pStyle w:val="8"/>
        <w:pageBreakBefore w:val="0"/>
        <w:widowControl w:val="0"/>
        <w:kinsoku/>
        <w:wordWrap/>
        <w:topLinePunct/>
        <w:autoSpaceDN/>
        <w:bidi w:val="0"/>
        <w:spacing w:line="480" w:lineRule="exact"/>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drawing>
          <wp:anchor distT="0" distB="0" distL="114300" distR="114300" simplePos="0" relativeHeight="251684864" behindDoc="0" locked="0" layoutInCell="1" allowOverlap="1">
            <wp:simplePos x="0" y="0"/>
            <wp:positionH relativeFrom="column">
              <wp:posOffset>-25400</wp:posOffset>
            </wp:positionH>
            <wp:positionV relativeFrom="paragraph">
              <wp:posOffset>163830</wp:posOffset>
            </wp:positionV>
            <wp:extent cx="5578475" cy="5414010"/>
            <wp:effectExtent l="0" t="0" r="3175" b="15240"/>
            <wp:wrapNone/>
            <wp:docPr id="93" name="图片 9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图片1"/>
                    <pic:cNvPicPr>
                      <a:picLocks noChangeAspect="1"/>
                    </pic:cNvPicPr>
                  </pic:nvPicPr>
                  <pic:blipFill>
                    <a:blip r:embed="rId13"/>
                    <a:stretch>
                      <a:fillRect/>
                    </a:stretch>
                  </pic:blipFill>
                  <pic:spPr>
                    <a:xfrm>
                      <a:off x="0" y="0"/>
                      <a:ext cx="5578475" cy="5414010"/>
                    </a:xfrm>
                    <a:prstGeom prst="rect">
                      <a:avLst/>
                    </a:prstGeom>
                  </pic:spPr>
                </pic:pic>
              </a:graphicData>
            </a:graphic>
          </wp:anchor>
        </w:drawing>
      </w: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pStyle w:val="8"/>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p>
    <w:p>
      <w:pPr>
        <w:bidi w:val="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图1.3-1    本项目环境影响评价工作程序图</w:t>
      </w:r>
    </w:p>
    <w:p>
      <w:pPr>
        <w:pStyle w:val="5"/>
        <w:pageBreakBefore w:val="0"/>
        <w:widowControl w:val="0"/>
        <w:kinsoku/>
        <w:wordWrap/>
        <w:overflowPunct w:val="0"/>
        <w:topLinePunct/>
        <w:autoSpaceDN/>
        <w:bidi w:val="0"/>
        <w:spacing w:line="480" w:lineRule="exact"/>
        <w:textAlignment w:val="auto"/>
        <w:rPr>
          <w:rFonts w:hint="default" w:ascii="Times New Roman" w:hAnsi="Times New Roman" w:eastAsia="宋体" w:cs="Times New Roman"/>
          <w:bCs w:val="0"/>
          <w:color w:val="auto"/>
          <w:szCs w:val="22"/>
        </w:rPr>
      </w:pPr>
      <w:bookmarkStart w:id="54" w:name="_Toc512871516"/>
      <w:bookmarkStart w:id="55" w:name="_Toc10499"/>
      <w:r>
        <w:rPr>
          <w:rFonts w:hint="default" w:ascii="Times New Roman" w:hAnsi="Times New Roman" w:eastAsia="宋体" w:cs="Times New Roman"/>
          <w:bCs w:val="0"/>
          <w:color w:val="auto"/>
          <w:szCs w:val="22"/>
        </w:rPr>
        <w:t>1.4项目可行性判定</w:t>
      </w:r>
      <w:bookmarkEnd w:id="54"/>
      <w:bookmarkEnd w:id="55"/>
    </w:p>
    <w:p>
      <w:pPr>
        <w:pStyle w:val="6"/>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bookmarkStart w:id="56" w:name="_Toc30656"/>
      <w:r>
        <w:rPr>
          <w:rFonts w:hint="default" w:ascii="Times New Roman" w:hAnsi="Times New Roman" w:eastAsia="宋体" w:cs="Times New Roman"/>
          <w:color w:val="auto"/>
        </w:rPr>
        <w:t>1.4.1产业政策符合性分析</w:t>
      </w:r>
      <w:bookmarkEnd w:id="56"/>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项目为</w:t>
      </w:r>
      <w:r>
        <w:rPr>
          <w:rFonts w:hint="eastAsia"/>
          <w:color w:val="auto"/>
          <w:lang w:val="en-US" w:eastAsia="zh-CN"/>
        </w:rPr>
        <w:t>规模化育肥猪养殖项目</w:t>
      </w:r>
      <w:r>
        <w:rPr>
          <w:rFonts w:hint="default" w:ascii="Times New Roman" w:hAnsi="Times New Roman" w:eastAsia="宋体" w:cs="Times New Roman"/>
          <w:color w:val="auto"/>
        </w:rPr>
        <w:t>，根据《产业结构调整指导目录（2019年本）》（国家发改委令2019年第29号），项目属于“鼓励类”第一项“农林业”中第4条“畜禽标准化规模养殖技术开发与应用”。</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项目于20</w:t>
      </w:r>
      <w:r>
        <w:rPr>
          <w:rFonts w:hint="default" w:ascii="Times New Roman" w:hAnsi="Times New Roman" w:eastAsia="宋体" w:cs="Times New Roman"/>
          <w:color w:val="auto"/>
          <w:lang w:val="en-US" w:eastAsia="zh-CN"/>
        </w:rPr>
        <w:t>2</w:t>
      </w:r>
      <w:r>
        <w:rPr>
          <w:rFonts w:hint="eastAsia" w:cs="Times New Roman"/>
          <w:color w:val="auto"/>
          <w:lang w:val="en-US" w:eastAsia="zh-CN"/>
        </w:rPr>
        <w:t>1</w:t>
      </w:r>
      <w:r>
        <w:rPr>
          <w:rFonts w:hint="default" w:ascii="Times New Roman" w:hAnsi="Times New Roman" w:eastAsia="宋体" w:cs="Times New Roman"/>
          <w:color w:val="auto"/>
        </w:rPr>
        <w:t>年</w:t>
      </w:r>
      <w:r>
        <w:rPr>
          <w:rFonts w:hint="eastAsia" w:cs="Times New Roman"/>
          <w:color w:val="auto"/>
          <w:lang w:val="en-US" w:eastAsia="zh-CN"/>
        </w:rPr>
        <w:t>4</w:t>
      </w:r>
      <w:r>
        <w:rPr>
          <w:rFonts w:hint="default" w:ascii="Times New Roman" w:hAnsi="Times New Roman" w:eastAsia="宋体" w:cs="Times New Roman"/>
          <w:color w:val="auto"/>
        </w:rPr>
        <w:t>月</w:t>
      </w:r>
      <w:r>
        <w:rPr>
          <w:rFonts w:hint="eastAsia" w:cs="Times New Roman"/>
          <w:color w:val="auto"/>
          <w:lang w:val="en-US" w:eastAsia="zh-CN"/>
        </w:rPr>
        <w:t>8</w:t>
      </w:r>
      <w:r>
        <w:rPr>
          <w:rFonts w:hint="default" w:ascii="Times New Roman" w:hAnsi="Times New Roman" w:eastAsia="宋体" w:cs="Times New Roman"/>
          <w:color w:val="auto"/>
          <w:lang w:val="en-US" w:eastAsia="zh-CN"/>
        </w:rPr>
        <w:t>日</w:t>
      </w:r>
      <w:r>
        <w:rPr>
          <w:rFonts w:hint="default" w:ascii="Times New Roman" w:hAnsi="Times New Roman" w:eastAsia="宋体" w:cs="Times New Roman"/>
          <w:color w:val="auto"/>
        </w:rPr>
        <w:t>取得</w:t>
      </w:r>
      <w:r>
        <w:rPr>
          <w:rFonts w:hint="eastAsia" w:cs="Times New Roman"/>
          <w:color w:val="auto"/>
          <w:lang w:val="en-US" w:eastAsia="zh-CN"/>
        </w:rPr>
        <w:t>五原</w:t>
      </w:r>
      <w:r>
        <w:rPr>
          <w:rFonts w:hint="default" w:ascii="Times New Roman" w:hAnsi="Times New Roman" w:eastAsia="宋体" w:cs="Times New Roman"/>
          <w:color w:val="auto"/>
        </w:rPr>
        <w:t>县发展和改革委员会</w:t>
      </w:r>
      <w:r>
        <w:rPr>
          <w:rFonts w:hint="eastAsia" w:cs="Times New Roman"/>
          <w:color w:val="auto"/>
          <w:lang w:val="en-US" w:eastAsia="zh-CN"/>
        </w:rPr>
        <w:t>出具的</w:t>
      </w:r>
      <w:r>
        <w:rPr>
          <w:rFonts w:hint="eastAsia"/>
          <w:color w:val="auto"/>
        </w:rPr>
        <w:t>《巴彦淖尔市亨泰农牧业有限责任公司育肥猪养殖产业化项目》的</w:t>
      </w:r>
      <w:r>
        <w:rPr>
          <w:rFonts w:hint="eastAsia"/>
          <w:color w:val="auto"/>
          <w:lang w:val="en-US" w:eastAsia="zh-CN"/>
        </w:rPr>
        <w:t>项目</w:t>
      </w:r>
      <w:r>
        <w:rPr>
          <w:rFonts w:hint="eastAsia"/>
          <w:color w:val="auto"/>
        </w:rPr>
        <w:t>备案告知书，项目代码：2104-150</w:t>
      </w:r>
      <w:r>
        <w:rPr>
          <w:rFonts w:hint="eastAsia"/>
          <w:color w:val="auto"/>
          <w:lang w:val="en-US" w:eastAsia="zh-CN"/>
        </w:rPr>
        <w:t>821</w:t>
      </w:r>
      <w:r>
        <w:rPr>
          <w:rFonts w:hint="eastAsia"/>
          <w:color w:val="auto"/>
        </w:rPr>
        <w:t>-04-01-</w:t>
      </w:r>
      <w:r>
        <w:rPr>
          <w:rFonts w:hint="eastAsia"/>
          <w:color w:val="auto"/>
          <w:lang w:val="en-US" w:eastAsia="zh-CN"/>
        </w:rPr>
        <w:t>742338，符合产业政策和市场准入标准。</w:t>
      </w:r>
    </w:p>
    <w:p>
      <w:pPr>
        <w:pStyle w:val="6"/>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bookmarkStart w:id="57" w:name="_Toc11818"/>
      <w:r>
        <w:rPr>
          <w:rFonts w:hint="default" w:ascii="Times New Roman" w:hAnsi="Times New Roman" w:eastAsia="宋体" w:cs="Times New Roman"/>
          <w:color w:val="auto"/>
        </w:rPr>
        <w:t>1.4.2项目选址合理性分析</w:t>
      </w:r>
      <w:bookmarkEnd w:id="57"/>
    </w:p>
    <w:p>
      <w:pPr>
        <w:pageBreakBefore w:val="0"/>
        <w:widowControl w:val="0"/>
        <w:kinsoku/>
        <w:wordWrap/>
        <w:topLinePunct/>
        <w:autoSpaceDN/>
        <w:bidi w:val="0"/>
        <w:spacing w:line="480" w:lineRule="exact"/>
        <w:ind w:firstLine="480"/>
        <w:textAlignment w:val="auto"/>
        <w:rPr>
          <w:rFonts w:hint="eastAsia"/>
          <w:color w:val="auto"/>
        </w:rPr>
      </w:pPr>
      <w:r>
        <w:rPr>
          <w:rFonts w:hint="eastAsia"/>
          <w:color w:val="auto"/>
        </w:rP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eastAsia"/>
          <w:color w:val="auto"/>
        </w:rPr>
        <w:t>本项目</w:t>
      </w:r>
      <w:r>
        <w:rPr>
          <w:rFonts w:hint="eastAsia"/>
          <w:color w:val="auto"/>
          <w:lang w:val="en-US" w:eastAsia="zh-CN"/>
        </w:rPr>
        <w:t>的建设地点位于</w:t>
      </w:r>
      <w:r>
        <w:rPr>
          <w:rFonts w:hint="eastAsia"/>
          <w:color w:val="auto"/>
          <w:lang w:eastAsia="zh-CN"/>
        </w:rPr>
        <w:t>巴彦淖尔市五原县天吉泰镇二合永村一组</w:t>
      </w:r>
      <w:r>
        <w:rPr>
          <w:rFonts w:hint="eastAsia"/>
          <w:color w:val="auto"/>
        </w:rPr>
        <w:t>，不属于五原县禁养区范围内</w:t>
      </w:r>
      <w:r>
        <w:rPr>
          <w:rFonts w:hint="eastAsia"/>
          <w:color w:val="auto"/>
          <w:lang w:eastAsia="zh-CN"/>
        </w:rPr>
        <w:t>；</w:t>
      </w:r>
      <w:r>
        <w:rPr>
          <w:rFonts w:hint="eastAsia"/>
          <w:color w:val="auto"/>
          <w:lang w:val="en-US" w:eastAsia="zh-CN"/>
        </w:rPr>
        <w:t>根据天吉泰镇土地利用总体规划图可知，本项目用地性质为沙地和内陆滩涂</w:t>
      </w:r>
      <w:r>
        <w:rPr>
          <w:rFonts w:hint="eastAsia"/>
          <w:color w:val="auto"/>
        </w:rPr>
        <w:t>，符合五原县土地利用总体规划。</w:t>
      </w:r>
    </w:p>
    <w:p>
      <w:pPr>
        <w:pageBreakBefore w:val="0"/>
        <w:widowControl w:val="0"/>
        <w:kinsoku/>
        <w:wordWrap/>
        <w:topLinePunct/>
        <w:autoSpaceDN/>
        <w:bidi w:val="0"/>
        <w:spacing w:line="480" w:lineRule="exact"/>
        <w:ind w:firstLine="480"/>
        <w:textAlignment w:val="auto"/>
        <w:rPr>
          <w:rFonts w:hint="eastAsia" w:ascii="Times New Roman" w:hAnsi="Times New Roman" w:eastAsia="宋体" w:cs="Times New Roman"/>
          <w:color w:val="auto"/>
          <w:lang w:eastAsia="zh-CN"/>
        </w:rPr>
      </w:pPr>
      <w:r>
        <w:rPr>
          <w:rFonts w:hint="eastAsia"/>
          <w:color w:val="auto"/>
        </w:rPr>
        <w:t>根据调查，项目周边主要为</w:t>
      </w:r>
      <w:r>
        <w:rPr>
          <w:rFonts w:hint="eastAsia"/>
          <w:color w:val="auto"/>
          <w:lang w:val="en-US" w:eastAsia="zh-CN"/>
        </w:rPr>
        <w:t>沙</w:t>
      </w:r>
      <w:r>
        <w:rPr>
          <w:rFonts w:hint="eastAsia"/>
          <w:color w:val="auto"/>
        </w:rPr>
        <w:t>地、</w:t>
      </w:r>
      <w:r>
        <w:rPr>
          <w:rFonts w:hint="eastAsia"/>
          <w:color w:val="auto"/>
          <w:lang w:val="en-US" w:eastAsia="zh-CN"/>
        </w:rPr>
        <w:t>林地、农田和建设用地等</w:t>
      </w:r>
      <w:r>
        <w:rPr>
          <w:rFonts w:hint="eastAsia"/>
          <w:color w:val="auto"/>
        </w:rPr>
        <w:t>，常年主导下风向1000m范围内无学校、医院、部队及农牧民居民区等敏感目标。项目选址符合《关于做好畜禽规模养殖项目环境影响评价管理工作的通知》（环办环评〔2018〕31号）、《畜禽规模养殖污染防治条例》国务院令第643号、《畜禽养殖业污染防治技术规范》（HJ-T81-2001）、《畜禽场场区设计技术规范》（NY-T682-2003）等法律法规和行业规范的选址要求</w:t>
      </w:r>
      <w:r>
        <w:rPr>
          <w:rFonts w:hint="eastAsia"/>
          <w:color w:val="auto"/>
          <w:lang w:eastAsia="zh-CN"/>
        </w:rPr>
        <w:t>。</w:t>
      </w:r>
    </w:p>
    <w:p>
      <w:pPr>
        <w:pStyle w:val="6"/>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bookmarkStart w:id="58" w:name="_Toc21046"/>
      <w:r>
        <w:rPr>
          <w:rFonts w:hint="default" w:ascii="Times New Roman" w:hAnsi="Times New Roman" w:eastAsia="宋体" w:cs="Times New Roman"/>
          <w:color w:val="auto"/>
        </w:rPr>
        <w:t>1.4.3</w:t>
      </w:r>
      <w:bookmarkStart w:id="59" w:name="_Toc521342110"/>
      <w:r>
        <w:rPr>
          <w:rFonts w:hint="default" w:ascii="Times New Roman" w:hAnsi="Times New Roman" w:eastAsia="宋体" w:cs="Times New Roman"/>
          <w:color w:val="auto"/>
        </w:rPr>
        <w:t>“三线一单”符合性分析</w:t>
      </w:r>
      <w:bookmarkEnd w:id="58"/>
      <w:bookmarkEnd w:id="59"/>
    </w:p>
    <w:p>
      <w:pPr>
        <w:pageBreakBefore w:val="0"/>
        <w:widowControl w:val="0"/>
        <w:kinsoku/>
        <w:wordWrap/>
        <w:overflowPunct w:val="0"/>
        <w:topLinePunct/>
        <w:autoSpaceDE/>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根据实际情况，本项目“三线一单”分析如下：</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bookmarkStart w:id="60" w:name="_Toc512871517"/>
      <w:r>
        <w:rPr>
          <w:rFonts w:hint="default" w:ascii="Times New Roman" w:hAnsi="Times New Roman" w:eastAsia="宋体" w:cs="Times New Roman"/>
          <w:color w:val="auto"/>
        </w:rPr>
        <w:t>（1）生态保护红线</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eastAsia"/>
          <w:color w:val="FF0000"/>
        </w:rPr>
        <w:t>根据《内蒙古自治区人民政府关于实施“三线一单”生态环境分区管控的意见》（内政发[2020]24号）分区管控体系要求：全区共划分环境管控单元1135个，包括优先保护单元、重点管控单元、一般管控单元三类</w:t>
      </w:r>
      <w:r>
        <w:rPr>
          <w:rFonts w:hint="eastAsia"/>
          <w:color w:val="FF0000"/>
          <w:lang w:eastAsia="zh-CN"/>
        </w:rPr>
        <w:t>，本</w:t>
      </w:r>
      <w:r>
        <w:rPr>
          <w:rFonts w:hint="eastAsia"/>
          <w:color w:val="FF0000"/>
        </w:rPr>
        <w:t>项目位于</w:t>
      </w:r>
      <w:r>
        <w:rPr>
          <w:rFonts w:hint="eastAsia"/>
          <w:color w:val="FF0000"/>
          <w:lang w:eastAsia="zh-CN"/>
        </w:rPr>
        <w:t>巴彦淖尔市五原县天吉泰镇二合永村一组</w:t>
      </w:r>
      <w:r>
        <w:rPr>
          <w:rFonts w:hint="eastAsia"/>
          <w:color w:val="FF0000"/>
        </w:rPr>
        <w:t>，所属用地为</w:t>
      </w:r>
      <w:r>
        <w:rPr>
          <w:rFonts w:hint="eastAsia"/>
          <w:color w:val="FF0000"/>
          <w:lang w:val="en-US" w:eastAsia="zh-CN"/>
        </w:rPr>
        <w:t>沙地和内陆滩涂</w:t>
      </w:r>
      <w:r>
        <w:rPr>
          <w:rFonts w:hint="eastAsia"/>
          <w:color w:val="FF0000"/>
        </w:rPr>
        <w:t>，评价范围内生态保护红线、自然保护地、集中式饮用水水源保护区等生态功能重要区和生态环境敏感区</w:t>
      </w:r>
      <w:r>
        <w:rPr>
          <w:rFonts w:hint="eastAsia"/>
          <w:color w:val="FF0000"/>
          <w:lang w:eastAsia="zh-CN"/>
        </w:rPr>
        <w:t>，属于一般管控单元，项目投产后落实报告提出的各项防治措施及风险防治措施后不会对生态环境造成影响，满足生态保护红线要求</w:t>
      </w:r>
      <w:r>
        <w:rPr>
          <w:rFonts w:hint="default" w:ascii="Times New Roman" w:hAnsi="Times New Roman" w:eastAsia="宋体" w:cs="Times New Roman"/>
          <w:color w:val="FF0000"/>
        </w:rPr>
        <w:t>。</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（2）环境质量底线</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区域环境空气属于《环境空气质量标准》（GB3095-2012）中二类功能区；地下水环境功能属于《地下水质量标准》（GB/T14848-2017）中Ⅲ类功能区、区域声环境属于《声环境质量标准》（GB3096-2008）中2类功能区。</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本项目生产期间在严格落实本次评价中提出的各项环保措施后，对各环境要素的影响较小，不会改变各环境要素的环境质量现状级别/类别，因此本项目符合环境质量底线要求。</w:t>
      </w:r>
    </w:p>
    <w:p>
      <w:pPr>
        <w:pageBreakBefore w:val="0"/>
        <w:widowControl w:val="0"/>
        <w:kinsoku/>
        <w:wordWrap/>
        <w:overflowPunct w:val="0"/>
        <w:topLinePunct/>
        <w:autoSpaceDE/>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（3）资源利用上线</w:t>
      </w:r>
    </w:p>
    <w:p>
      <w:pPr>
        <w:pageBreakBefore w:val="0"/>
        <w:widowControl w:val="0"/>
        <w:kinsoku/>
        <w:wordWrap/>
        <w:topLinePunct/>
        <w:autoSpaceDN/>
        <w:bidi w:val="0"/>
        <w:adjustRightInd w:val="0"/>
        <w:snapToGrid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本项目不属于高能耗、高污染、资源性项目，用水来源为地下井水，主要用水环节为职工</w:t>
      </w:r>
      <w:r>
        <w:rPr>
          <w:rFonts w:hint="default" w:ascii="Times New Roman" w:hAnsi="Times New Roman" w:eastAsia="宋体" w:cs="Times New Roman"/>
          <w:color w:val="auto"/>
          <w:lang w:eastAsia="zh-CN"/>
        </w:rPr>
        <w:t>生活</w:t>
      </w:r>
      <w:r>
        <w:rPr>
          <w:rFonts w:hint="default" w:ascii="Times New Roman" w:hAnsi="Times New Roman" w:eastAsia="宋体" w:cs="Times New Roman"/>
          <w:color w:val="auto"/>
        </w:rPr>
        <w:t>用水、猪饮用水、</w:t>
      </w:r>
      <w:r>
        <w:rPr>
          <w:rFonts w:hint="eastAsia" w:cs="Times New Roman"/>
          <w:color w:val="FF0000"/>
          <w:lang w:eastAsia="zh-CN"/>
        </w:rPr>
        <w:t>猪舍降温水帘系统用水、猪舍粪污管道冲洗用水、</w:t>
      </w:r>
      <w:r>
        <w:rPr>
          <w:rFonts w:hint="default" w:ascii="Times New Roman" w:hAnsi="Times New Roman" w:eastAsia="宋体" w:cs="Times New Roman"/>
          <w:color w:val="auto"/>
        </w:rPr>
        <w:t>洗消中心清洗及消毒用水、</w:t>
      </w:r>
      <w:r>
        <w:rPr>
          <w:rFonts w:hint="eastAsia" w:cs="Times New Roman"/>
          <w:color w:val="auto"/>
          <w:lang w:val="en-US" w:eastAsia="zh-Hans"/>
        </w:rPr>
        <w:t>锅炉用水</w:t>
      </w:r>
      <w:r>
        <w:rPr>
          <w:rFonts w:hint="default" w:ascii="Times New Roman" w:hAnsi="Times New Roman" w:eastAsia="宋体" w:cs="Times New Roman"/>
          <w:color w:val="auto"/>
        </w:rPr>
        <w:t>等，能够满足本项目的新鲜水使用要求。本项目用电由市政电网供应，能够满足本项目的用电要求。项目产生的</w:t>
      </w:r>
      <w:r>
        <w:rPr>
          <w:rFonts w:hint="eastAsia" w:cs="Times New Roman"/>
          <w:color w:val="auto"/>
          <w:lang w:val="en-US" w:eastAsia="zh-CN"/>
        </w:rPr>
        <w:t>养殖废水经</w:t>
      </w:r>
      <w:r>
        <w:rPr>
          <w:rFonts w:hint="eastAsia" w:cs="Times New Roman"/>
          <w:color w:val="auto"/>
          <w:lang w:val="en-US" w:eastAsia="zh-Hans"/>
        </w:rPr>
        <w:t>氧化塘</w:t>
      </w:r>
      <w:r>
        <w:rPr>
          <w:rFonts w:hint="eastAsia" w:cs="Times New Roman"/>
          <w:color w:val="auto"/>
          <w:lang w:val="en-US" w:eastAsia="zh-CN"/>
        </w:rPr>
        <w:t>处理后</w:t>
      </w:r>
      <w:r>
        <w:rPr>
          <w:rFonts w:hint="default" w:ascii="Times New Roman" w:hAnsi="Times New Roman" w:eastAsia="宋体" w:cs="Times New Roman"/>
          <w:color w:val="auto"/>
        </w:rPr>
        <w:t>全部用于场区周边配套的农田施肥，</w:t>
      </w:r>
      <w:r>
        <w:rPr>
          <w:rFonts w:hint="eastAsia" w:cs="Times New Roman"/>
          <w:color w:val="auto"/>
          <w:lang w:eastAsia="zh-CN"/>
        </w:rPr>
        <w:t>粪便出售有机肥生产厂家进行资源化利用</w:t>
      </w:r>
      <w:r>
        <w:rPr>
          <w:rFonts w:hint="default" w:ascii="Times New Roman" w:hAnsi="Times New Roman" w:eastAsia="宋体" w:cs="Times New Roman"/>
          <w:color w:val="auto"/>
        </w:rPr>
        <w:t>。</w:t>
      </w:r>
    </w:p>
    <w:p>
      <w:pPr>
        <w:pageBreakBefore w:val="0"/>
        <w:widowControl w:val="0"/>
        <w:kinsoku/>
        <w:wordWrap/>
        <w:topLinePunct/>
        <w:autoSpaceDN/>
        <w:bidi w:val="0"/>
        <w:adjustRightInd w:val="0"/>
        <w:snapToGrid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项目建设和营运过程中采用节能材料和节能设备，能源消耗较低，符合资源利用上线不能突破的原则。</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（4）环境准入负面清单</w:t>
      </w:r>
    </w:p>
    <w:p>
      <w:pPr>
        <w:pageBreakBefore w:val="0"/>
        <w:widowControl w:val="0"/>
        <w:kinsoku/>
        <w:wordWrap/>
        <w:overflowPunct w:val="0"/>
        <w:topLinePunct/>
        <w:autoSpaceDE/>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查阅相关资料，目前项目选址区域暂无明确的环境准入负面清单，根据《产业结构调整目录（2019年本）》（国家发改委令2019年第29号）符合国家产业政策，项目为鼓励类项目，且项目不属于《内蒙古自治区人民政府关于印发自治区国家重点生态功能区产业准入负面清单（试行）》。</w:t>
      </w:r>
    </w:p>
    <w:p>
      <w:pPr>
        <w:pageBreakBefore w:val="0"/>
        <w:widowControl w:val="0"/>
        <w:kinsoku/>
        <w:wordWrap/>
        <w:overflowPunct w:val="0"/>
        <w:topLinePunct/>
        <w:autoSpaceDE/>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因此，本项目的建设符合“生态红线、环境质量底线、资源利用上线和环境负面准入清单”的相关要求。</w:t>
      </w:r>
    </w:p>
    <w:p>
      <w:pPr>
        <w:pStyle w:val="5"/>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bookmarkStart w:id="61" w:name="_Toc17062"/>
      <w:r>
        <w:rPr>
          <w:rFonts w:hint="default" w:ascii="Times New Roman" w:hAnsi="Times New Roman" w:eastAsia="宋体" w:cs="Times New Roman"/>
          <w:color w:val="auto"/>
        </w:rPr>
        <w:t>1.5重点关注环境问题及环境影响</w:t>
      </w:r>
      <w:bookmarkEnd w:id="60"/>
      <w:bookmarkEnd w:id="61"/>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根据项目的产排污特点，本次评价重点关注的主要环境问题及环境影响：</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eastAsia" w:cs="Times New Roman"/>
          <w:color w:val="auto"/>
          <w:lang w:val="en-US" w:eastAsia="zh-CN"/>
        </w:rPr>
        <w:t>1</w:t>
      </w:r>
      <w:r>
        <w:rPr>
          <w:rFonts w:hint="default" w:ascii="Times New Roman" w:hAnsi="Times New Roman" w:eastAsia="宋体" w:cs="Times New Roman"/>
          <w:color w:val="auto"/>
        </w:rPr>
        <w:t>、</w:t>
      </w:r>
      <w:r>
        <w:rPr>
          <w:rFonts w:hint="eastAsia" w:cs="Times New Roman"/>
          <w:color w:val="auto"/>
          <w:lang w:val="en-US" w:eastAsia="zh-CN"/>
        </w:rPr>
        <w:t>猪</w:t>
      </w:r>
      <w:r>
        <w:rPr>
          <w:rFonts w:hint="default" w:ascii="Times New Roman" w:hAnsi="Times New Roman" w:eastAsia="宋体" w:cs="Times New Roman"/>
          <w:color w:val="auto"/>
        </w:rPr>
        <w:t>尿液、</w:t>
      </w:r>
      <w:r>
        <w:rPr>
          <w:rFonts w:hint="eastAsia" w:cs="Times New Roman"/>
          <w:color w:val="FF0000"/>
          <w:lang w:eastAsia="zh-CN"/>
        </w:rPr>
        <w:t>猪舍粪污管道冲洗废水</w:t>
      </w:r>
      <w:r>
        <w:rPr>
          <w:rFonts w:hint="default" w:ascii="Times New Roman" w:hAnsi="Times New Roman" w:eastAsia="宋体" w:cs="Times New Roman"/>
          <w:color w:val="auto"/>
        </w:rPr>
        <w:t>等养殖废水可能对区域地下水环境及土壤环境的影响，拟采取的治理措施在技术及经济上的可行性，特别是项目粪污废水经处理后实现资源化利用的可靠性。</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eastAsia" w:cs="Times New Roman"/>
          <w:color w:val="auto"/>
          <w:lang w:val="en-US" w:eastAsia="zh-CN"/>
        </w:rPr>
        <w:t>2</w:t>
      </w:r>
      <w:r>
        <w:rPr>
          <w:rFonts w:hint="default" w:ascii="Times New Roman" w:hAnsi="Times New Roman" w:eastAsia="宋体" w:cs="Times New Roman"/>
          <w:color w:val="auto"/>
        </w:rPr>
        <w:t>、项目运营过程中养殖区、晾粪台</w:t>
      </w:r>
      <w:r>
        <w:rPr>
          <w:rFonts w:hint="eastAsia" w:cs="Times New Roman"/>
          <w:color w:val="auto"/>
          <w:lang w:eastAsia="zh-CN"/>
        </w:rPr>
        <w:t>、氧化塘</w:t>
      </w:r>
      <w:r>
        <w:rPr>
          <w:rFonts w:hint="default" w:ascii="Times New Roman" w:hAnsi="Times New Roman" w:eastAsia="宋体" w:cs="Times New Roman"/>
          <w:color w:val="auto"/>
        </w:rPr>
        <w:t>产生的恶臭气体（主要成分为NH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和H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S）对周围环境空气的影响。</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eastAsia" w:cs="Times New Roman"/>
          <w:color w:val="auto"/>
          <w:lang w:val="en-US" w:eastAsia="zh-CN"/>
        </w:rPr>
        <w:t>3</w:t>
      </w:r>
      <w:r>
        <w:rPr>
          <w:rFonts w:hint="default" w:ascii="Times New Roman" w:hAnsi="Times New Roman" w:eastAsia="宋体" w:cs="Times New Roman"/>
          <w:color w:val="auto"/>
        </w:rPr>
        <w:t>、公众对本项目的了解及支持程度等。</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通过上述工作，论证项目在环境方面的可行性，提出环境影响评价结论，为管理部门决策、设计部门优化设计、建设单位环境管理提供科学依据。</w:t>
      </w:r>
    </w:p>
    <w:p>
      <w:pPr>
        <w:pStyle w:val="5"/>
        <w:pageBreakBefore w:val="0"/>
        <w:widowControl w:val="0"/>
        <w:kinsoku/>
        <w:wordWrap/>
        <w:topLinePunct/>
        <w:autoSpaceDN/>
        <w:bidi w:val="0"/>
        <w:spacing w:line="480" w:lineRule="exact"/>
        <w:textAlignment w:val="auto"/>
        <w:rPr>
          <w:rFonts w:hint="default" w:ascii="Times New Roman" w:hAnsi="Times New Roman" w:eastAsia="宋体" w:cs="Times New Roman"/>
          <w:color w:val="auto"/>
        </w:rPr>
      </w:pPr>
      <w:bookmarkStart w:id="62" w:name="_Toc1101"/>
      <w:r>
        <w:rPr>
          <w:rFonts w:hint="default" w:ascii="Times New Roman" w:hAnsi="Times New Roman" w:eastAsia="宋体" w:cs="Times New Roman"/>
          <w:color w:val="auto"/>
        </w:rPr>
        <w:t>1.6环境影响评价主要结论</w:t>
      </w:r>
      <w:bookmarkEnd w:id="62"/>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项目为</w:t>
      </w:r>
      <w:r>
        <w:rPr>
          <w:rFonts w:hint="eastAsia"/>
          <w:color w:val="auto"/>
          <w:lang w:val="en-US" w:eastAsia="zh-CN"/>
        </w:rPr>
        <w:t>规模化育肥猪养殖项目</w:t>
      </w:r>
      <w:r>
        <w:rPr>
          <w:rFonts w:hint="default" w:ascii="Times New Roman" w:hAnsi="Times New Roman" w:eastAsia="宋体" w:cs="Times New Roman"/>
          <w:color w:val="auto"/>
        </w:rPr>
        <w:t>，采用农业循环经济发展模式进行</w:t>
      </w:r>
      <w:r>
        <w:rPr>
          <w:rFonts w:hint="eastAsia" w:cs="Times New Roman"/>
          <w:color w:val="auto"/>
          <w:lang w:val="en-US" w:eastAsia="zh-CN"/>
        </w:rPr>
        <w:t>猪</w:t>
      </w:r>
      <w:r>
        <w:rPr>
          <w:rFonts w:hint="default" w:ascii="Times New Roman" w:hAnsi="Times New Roman" w:eastAsia="宋体" w:cs="Times New Roman"/>
          <w:color w:val="auto"/>
        </w:rPr>
        <w:t>养殖并配套消纳土地实现粪污资源化利用，符合国家当前产业政策及内蒙古自治区发展规划要求，其选址不属于禁养区和限养区范围内，场址选址可行，具有良好的社会经济效益。</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项目建设符合国家“三线一单”的管控原则，拟定的各项环保措施有效、可行，各类污染物可实现稳定达标排放及资源化利用，对周边环境影响较小；项目发生环境风险事故的概率较低，其潜在的风险水平可以接受；公众参与调查阶段，未收到对项目反对意见。因此，只要该项目在下一步的建设和运行中，认真落实本报告提出的各项环保措施，并严格执行环保“三同时”制度，本次评价认为：从环境保护角度分析，项目建设是可行的。</w:t>
      </w: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start="1"/>
          <w:cols w:space="425" w:num="1"/>
          <w:docGrid w:linePitch="326" w:charSpace="0"/>
        </w:sectPr>
      </w:pPr>
    </w:p>
    <w:p>
      <w:pPr>
        <w:pStyle w:val="4"/>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63" w:name="_Toc19550"/>
      <w:r>
        <w:rPr>
          <w:rFonts w:hint="default" w:ascii="Times New Roman" w:hAnsi="Times New Roman" w:eastAsia="宋体" w:cs="Times New Roman"/>
          <w:color w:val="auto"/>
        </w:rPr>
        <w:t>2总则</w:t>
      </w:r>
      <w:bookmarkEnd w:id="63"/>
    </w:p>
    <w:p>
      <w:pPr>
        <w:pStyle w:val="5"/>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64" w:name="_Toc15179"/>
      <w:r>
        <w:rPr>
          <w:rFonts w:hint="default" w:ascii="Times New Roman" w:hAnsi="Times New Roman" w:eastAsia="宋体" w:cs="Times New Roman"/>
          <w:color w:val="auto"/>
        </w:rPr>
        <w:t>2.1编制依据</w:t>
      </w:r>
      <w:bookmarkEnd w:id="64"/>
    </w:p>
    <w:p>
      <w:pPr>
        <w:pStyle w:val="6"/>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65" w:name="_Toc3737"/>
      <w:r>
        <w:rPr>
          <w:rFonts w:hint="default" w:ascii="Times New Roman" w:hAnsi="Times New Roman" w:eastAsia="宋体" w:cs="Times New Roman"/>
          <w:color w:val="auto"/>
        </w:rPr>
        <w:t>2.1.1环境保护法律法规</w:t>
      </w:r>
      <w:bookmarkEnd w:id="65"/>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（1）《中华人民共和国环境保护法》，2015.1.1施行；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（2）《中华人民共和国环境影响评价法》，2018.12.29修订并施行；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（3）《中华人民共和国大气污染防治法》，2018.10.26修订并施行；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（4）《中华人民共和国水污染防治法》，2018.1.1施行；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（5）《中华人民共和国固体废物污染防治法》，20</w:t>
      </w:r>
      <w:r>
        <w:rPr>
          <w:rFonts w:hint="default" w:ascii="Times New Roman" w:hAnsi="Times New Roman" w:eastAsia="宋体" w:cs="Times New Roman"/>
          <w:color w:val="auto"/>
          <w:lang w:val="en-US" w:eastAsia="zh-CN"/>
        </w:rPr>
        <w:t>20</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9</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rPr>
        <w:t>修订并施行；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（6）《中华人民共和国环境噪声污染防治法》，2018.12.29修订并施行；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（7）《中华人民共和国土壤污染防治法》2019.1.1日施行；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（8）《建设项目环境保护管理条例》（国务院令第682号），2017.10.1施行；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（9）《中华人民共和国循环经济促进法》，2018.10.26修订并施行；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（10）《中华人民共和国节约能源法》，2018.10.26修订并施行；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（11）《中华人民共和国畜牧法》，2015.4.24修正；</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（12）《中华人民共和国农业法》2013.1.1施行；</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（13）《建设项目环境影响评价分类管理名录》（生态环境部令第1</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号），20</w:t>
      </w:r>
      <w:r>
        <w:rPr>
          <w:rFonts w:hint="default" w:ascii="Times New Roman" w:hAnsi="Times New Roman" w:eastAsia="宋体" w:cs="Times New Roman"/>
          <w:color w:val="auto"/>
          <w:highlight w:val="none"/>
          <w:lang w:val="en-US" w:eastAsia="zh-CN"/>
        </w:rPr>
        <w:t>21.1.1起施行</w:t>
      </w:r>
      <w:r>
        <w:rPr>
          <w:rFonts w:hint="default" w:ascii="Times New Roman" w:hAnsi="Times New Roman" w:eastAsia="宋体" w:cs="Times New Roman"/>
          <w:color w:val="auto"/>
          <w:highlight w:val="none"/>
        </w:rPr>
        <w:t>；</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（14）《国家危险废物名录》，20</w:t>
      </w:r>
      <w:r>
        <w:rPr>
          <w:rFonts w:hint="default" w:ascii="Times New Roman" w:hAnsi="Times New Roman" w:eastAsia="宋体" w:cs="Times New Roman"/>
          <w:color w:val="auto"/>
          <w:lang w:val="en-US" w:eastAsia="zh-CN"/>
        </w:rPr>
        <w:t>21.1</w:t>
      </w:r>
      <w:r>
        <w:rPr>
          <w:rFonts w:hint="default" w:ascii="Times New Roman" w:hAnsi="Times New Roman" w:eastAsia="宋体" w:cs="Times New Roman"/>
          <w:color w:val="auto"/>
        </w:rPr>
        <w:t>.1实施；</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（15）《危险废物污染防治技术政策》（环发[2001]199号），2001.12.17实施；</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w:t>
      </w:r>
      <w:r>
        <w:rPr>
          <w:rFonts w:hint="eastAsia" w:cs="Times New Roman"/>
          <w:color w:val="auto"/>
          <w:lang w:val="en-US" w:eastAsia="zh-CN"/>
        </w:rPr>
        <w:t>6</w:t>
      </w:r>
      <w:r>
        <w:rPr>
          <w:rFonts w:hint="default" w:ascii="Times New Roman" w:hAnsi="Times New Roman" w:eastAsia="宋体" w:cs="Times New Roman"/>
          <w:color w:val="auto"/>
        </w:rPr>
        <w:t>）《关于做好环境影响评价制度与排污许可制衔接相关工作的通知》（环境保护部，环办环评[2017]84号），2017年11月15日实施；</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w:t>
      </w:r>
      <w:r>
        <w:rPr>
          <w:rFonts w:hint="eastAsia" w:cs="Times New Roman"/>
          <w:color w:val="auto"/>
          <w:lang w:val="en-US" w:eastAsia="zh-CN"/>
        </w:rPr>
        <w:t>7</w:t>
      </w:r>
      <w:r>
        <w:rPr>
          <w:rFonts w:hint="default" w:ascii="Times New Roman" w:hAnsi="Times New Roman" w:eastAsia="宋体" w:cs="Times New Roman"/>
          <w:color w:val="auto"/>
        </w:rPr>
        <w:t>）《危险废物转移联单管理办法》（国家环境保护总局5号令）；</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w:t>
      </w:r>
      <w:r>
        <w:rPr>
          <w:rFonts w:hint="eastAsia" w:cs="Times New Roman"/>
          <w:color w:val="auto"/>
          <w:lang w:val="en-US" w:eastAsia="zh-CN"/>
        </w:rPr>
        <w:t>8</w:t>
      </w:r>
      <w:r>
        <w:rPr>
          <w:rFonts w:hint="default" w:ascii="Times New Roman" w:hAnsi="Times New Roman" w:eastAsia="宋体" w:cs="Times New Roman"/>
          <w:color w:val="auto"/>
        </w:rPr>
        <w:t>）《关于进一步加强危险废物管理防范事故风险的紧急通知》（环办[2009]51号）；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19</w:t>
      </w:r>
      <w:r>
        <w:rPr>
          <w:rFonts w:hint="default" w:ascii="Times New Roman" w:hAnsi="Times New Roman" w:eastAsia="宋体" w:cs="Times New Roman"/>
          <w:color w:val="auto"/>
        </w:rPr>
        <w:t>）《打赢蓝天保卫战三年行动计划》（国发〔2018〕22号）；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0</w:t>
      </w:r>
      <w:r>
        <w:rPr>
          <w:rFonts w:hint="default" w:ascii="Times New Roman" w:hAnsi="Times New Roman" w:eastAsia="宋体" w:cs="Times New Roman"/>
          <w:color w:val="auto"/>
        </w:rPr>
        <w:t>）《国务院关于印发水污染防治行动计划的通知》（国发[2015]17号）；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1</w:t>
      </w:r>
      <w:r>
        <w:rPr>
          <w:rFonts w:hint="default" w:ascii="Times New Roman" w:hAnsi="Times New Roman" w:eastAsia="宋体" w:cs="Times New Roman"/>
          <w:color w:val="auto"/>
        </w:rPr>
        <w:t>）《土壤污染防治行动计划》（国务院，国发[2016]31号）；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2</w:t>
      </w:r>
      <w:r>
        <w:rPr>
          <w:rFonts w:hint="default" w:ascii="Times New Roman" w:hAnsi="Times New Roman" w:eastAsia="宋体" w:cs="Times New Roman"/>
          <w:color w:val="auto"/>
        </w:rPr>
        <w:t>）《环境影响评价公众参与办法》（生态环境部令第4号）；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3</w:t>
      </w:r>
      <w:r>
        <w:rPr>
          <w:rFonts w:hint="default" w:ascii="Times New Roman" w:hAnsi="Times New Roman" w:eastAsia="宋体" w:cs="Times New Roman"/>
          <w:color w:val="auto"/>
        </w:rPr>
        <w:t>）《全国主体功能区规划》（国发[2010]46号）；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4</w:t>
      </w:r>
      <w:r>
        <w:rPr>
          <w:rFonts w:hint="default" w:ascii="Times New Roman" w:hAnsi="Times New Roman" w:eastAsia="宋体" w:cs="Times New Roman"/>
          <w:color w:val="auto"/>
        </w:rPr>
        <w:t>）《国务院关于促进节约集约用地的通知》（国发[2008]3号）；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5</w:t>
      </w:r>
      <w:r>
        <w:rPr>
          <w:rFonts w:hint="default" w:ascii="Times New Roman" w:hAnsi="Times New Roman" w:eastAsia="宋体" w:cs="Times New Roman"/>
          <w:color w:val="auto"/>
        </w:rPr>
        <w:t>）《国土资源部、国家发改委关于发布实施&lt;限制用地项目目录（2012年本）&gt;和&lt;禁止用地目录（2012年本）&gt;的通知》；</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6</w:t>
      </w:r>
      <w:r>
        <w:rPr>
          <w:rFonts w:hint="default" w:ascii="Times New Roman" w:hAnsi="Times New Roman" w:eastAsia="宋体" w:cs="Times New Roman"/>
          <w:color w:val="auto"/>
        </w:rPr>
        <w:t>）《畜禽规模养殖污染防治条例》（国务院令第643号）；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7</w:t>
      </w:r>
      <w:r>
        <w:rPr>
          <w:rFonts w:hint="default" w:ascii="Times New Roman" w:hAnsi="Times New Roman" w:eastAsia="宋体" w:cs="Times New Roman"/>
          <w:color w:val="auto"/>
        </w:rPr>
        <w:t>）《国务院办公厅关于建立病死畜禽无害化处理机制的意见》（国办发[2014]47号）；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28</w:t>
      </w:r>
      <w:r>
        <w:rPr>
          <w:rFonts w:hint="default" w:ascii="Times New Roman" w:hAnsi="Times New Roman" w:eastAsia="宋体" w:cs="Times New Roman"/>
          <w:color w:val="auto"/>
        </w:rPr>
        <w:t>）《国务院关于加快推进畜禽养殖废弃物资源化利用的意见》（国办发[2017]48号）；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29</w:t>
      </w:r>
      <w:r>
        <w:rPr>
          <w:rFonts w:hint="default" w:ascii="Times New Roman" w:hAnsi="Times New Roman" w:eastAsia="宋体" w:cs="Times New Roman"/>
          <w:color w:val="auto"/>
        </w:rPr>
        <w:t>）《环境保护部农业部关于进一步加强畜禽养殖污染防治工作的通知》（环水体[2016]144号）；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w:t>
      </w:r>
      <w:r>
        <w:rPr>
          <w:rFonts w:hint="eastAsia" w:cs="Times New Roman"/>
          <w:color w:val="auto"/>
          <w:lang w:val="en-US" w:eastAsia="zh-CN"/>
        </w:rPr>
        <w:t>0</w:t>
      </w:r>
      <w:r>
        <w:rPr>
          <w:rFonts w:hint="default" w:ascii="Times New Roman" w:hAnsi="Times New Roman" w:eastAsia="宋体" w:cs="Times New Roman"/>
          <w:color w:val="auto"/>
        </w:rPr>
        <w:t>）《关于做好畜禽规模养殖项目环境影响评价管理工作的通知》（环办环评[2018]31号）；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w:t>
      </w:r>
      <w:r>
        <w:rPr>
          <w:rFonts w:hint="eastAsia" w:cs="Times New Roman"/>
          <w:color w:val="auto"/>
          <w:lang w:val="en-US" w:eastAsia="zh-CN"/>
        </w:rPr>
        <w:t>1</w:t>
      </w:r>
      <w:r>
        <w:rPr>
          <w:rFonts w:hint="default" w:ascii="Times New Roman" w:hAnsi="Times New Roman" w:eastAsia="宋体" w:cs="Times New Roman"/>
          <w:color w:val="auto"/>
        </w:rPr>
        <w:t>）《农业部关于印发&lt;畜禽粪污资源化利用行动方案（2017—2020年）&gt;》（农牧发[2017]11号）；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w:t>
      </w:r>
      <w:r>
        <w:rPr>
          <w:rFonts w:hint="eastAsia" w:cs="Times New Roman"/>
          <w:color w:val="auto"/>
          <w:lang w:val="en-US" w:eastAsia="zh-CN"/>
        </w:rPr>
        <w:t>2</w:t>
      </w:r>
      <w:r>
        <w:rPr>
          <w:rFonts w:hint="default" w:ascii="Times New Roman" w:hAnsi="Times New Roman" w:eastAsia="宋体" w:cs="Times New Roman"/>
          <w:color w:val="auto"/>
        </w:rPr>
        <w:t>）《农业部办公厅关于印发&lt;畜禽规模养殖场粪污资源化利用设施建设规范（试行）&gt;的通知》（农办牧[2018]2号）；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w:t>
      </w:r>
      <w:r>
        <w:rPr>
          <w:rFonts w:hint="eastAsia" w:cs="Times New Roman"/>
          <w:color w:val="auto"/>
          <w:lang w:val="en-US" w:eastAsia="zh-CN"/>
        </w:rPr>
        <w:t>3</w:t>
      </w:r>
      <w:r>
        <w:rPr>
          <w:rFonts w:hint="default" w:ascii="Times New Roman" w:hAnsi="Times New Roman" w:eastAsia="宋体" w:cs="Times New Roman"/>
          <w:color w:val="auto"/>
        </w:rPr>
        <w:t>）《病死及病害动物无害化处理技术规范的通知》（农医发〔2017〕25号）；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w:t>
      </w:r>
      <w:r>
        <w:rPr>
          <w:rFonts w:hint="eastAsia" w:cs="Times New Roman"/>
          <w:color w:val="auto"/>
          <w:lang w:val="en-US" w:eastAsia="zh-CN"/>
        </w:rPr>
        <w:t>4</w:t>
      </w:r>
      <w:r>
        <w:rPr>
          <w:rFonts w:hint="default" w:ascii="Times New Roman" w:hAnsi="Times New Roman" w:eastAsia="宋体" w:cs="Times New Roman"/>
          <w:color w:val="auto"/>
        </w:rPr>
        <w:t>）</w:t>
      </w:r>
      <w:r>
        <w:rPr>
          <w:rFonts w:hint="default" w:ascii="Times New Roman" w:hAnsi="Times New Roman" w:eastAsia="宋体" w:cs="Times New Roman"/>
          <w:color w:val="auto"/>
          <w:shd w:val="clear" w:color="auto" w:fill="FFFFFF"/>
        </w:rPr>
        <w:t>《国务院办公厅关于加快推进畜禽养殖废弃物资源化利用的意见》（国办发〔2017〕48号）；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w:t>
      </w:r>
      <w:r>
        <w:rPr>
          <w:rFonts w:hint="eastAsia" w:cs="Times New Roman"/>
          <w:color w:val="auto"/>
          <w:lang w:val="en-US" w:eastAsia="zh-CN"/>
        </w:rPr>
        <w:t>5</w:t>
      </w:r>
      <w:r>
        <w:rPr>
          <w:rFonts w:hint="default" w:ascii="Times New Roman" w:hAnsi="Times New Roman" w:eastAsia="宋体" w:cs="Times New Roman"/>
          <w:color w:val="auto"/>
        </w:rPr>
        <w:t>）《种养结合循环农业示范工程建设规划（2017—2020年）》（原农业部）；</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w:t>
      </w:r>
      <w:r>
        <w:rPr>
          <w:rFonts w:hint="eastAsia" w:cs="Times New Roman"/>
          <w:color w:val="auto"/>
          <w:lang w:val="en-US" w:eastAsia="zh-CN"/>
        </w:rPr>
        <w:t>6</w:t>
      </w:r>
      <w:r>
        <w:rPr>
          <w:rFonts w:hint="default" w:ascii="Times New Roman" w:hAnsi="Times New Roman" w:eastAsia="宋体" w:cs="Times New Roman"/>
          <w:color w:val="auto"/>
        </w:rPr>
        <w:t>）《关于促进规模化畜禽养殖有关用地政策的通知》（国土资发【2007】220号）；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37</w:t>
      </w:r>
      <w:r>
        <w:rPr>
          <w:rFonts w:hint="default" w:ascii="Times New Roman" w:hAnsi="Times New Roman" w:eastAsia="宋体" w:cs="Times New Roman"/>
          <w:color w:val="auto"/>
        </w:rPr>
        <w:t>）《关于进一步明确畜禽粪污还田利用要求强化养殖污染监管的通知》（农业农村部、生态环境部，农办牧〔2020〕23号）。</w:t>
      </w:r>
    </w:p>
    <w:p>
      <w:pPr>
        <w:pStyle w:val="6"/>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66" w:name="_Toc5154"/>
      <w:r>
        <w:rPr>
          <w:rFonts w:hint="default" w:ascii="Times New Roman" w:hAnsi="Times New Roman" w:eastAsia="宋体" w:cs="Times New Roman"/>
          <w:color w:val="auto"/>
        </w:rPr>
        <w:t>2.1.2相关产业政策</w:t>
      </w:r>
      <w:bookmarkEnd w:id="66"/>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（1）《产业结构调整指导目录（2019年本）》（国家发改委令2019年第29号），2020.1.1施行；</w:t>
      </w:r>
    </w:p>
    <w:p>
      <w:pPr>
        <w:pStyle w:val="6"/>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67" w:name="_Toc9755"/>
      <w:r>
        <w:rPr>
          <w:rFonts w:hint="default" w:ascii="Times New Roman" w:hAnsi="Times New Roman" w:eastAsia="宋体" w:cs="Times New Roman"/>
          <w:color w:val="auto"/>
        </w:rPr>
        <w:t>2.1.3地方性法规及规范性文件</w:t>
      </w:r>
      <w:bookmarkEnd w:id="67"/>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（1）《内蒙古自治区限制开发区域限制类和禁止类产业指导目录（2016年本）》（内政办发〔2016〕127号），2016.9.14；</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（2）《内蒙古自治区国民经济和社会发展的第十三个五年规划纲要》（内蒙古自治区人民政府），2016.3.18；</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（3）《内蒙古自治区生态环境保护“十三五”规划》（内政办发〔2017〕95号，内蒙古自治区人民政府办公厅），2017.5.27；</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（4）《内蒙古自治区贯彻国务院〈建设项目环境保护管理条例〉实施意见》，2009.11.10；</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（5）《内蒙古自治区环境保护条例》（2018年修正）；</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（6）内蒙古自治区人民政府办公厅关于转发自治区环境保护厅《环境影响评价（非辐射类）分级审批及验收意见》的通知，内政办字［2015］61号）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（7）《关于规范“十三五”期间建设项目主要污染物排放总量指标审核和管理工作的通知》（内蒙古自治区环境保护厅内环办［2016］389号）；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（8）《内蒙古自治区水污染防治三年攻坚计划》（内政办发〔2018〕96号），2018.12.29；</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（9）《内蒙古自治区人民政府关于印发自治区国家重点生态功能区产业准入负面清单（试行）》（内政发〔2018〕11号），2018.3.12。</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（10）《内蒙古自治区打赢蓝天保卫战三年行动计划实施方案》（内政发〔2018〕37号），2018.09.29；</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（11）《内蒙古自治区土壤污染防治三年攻坚计划》（内政办发〔2018〕97号）；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（12）《内蒙古自治区农牧业现代化第十三个五年发展规划》（内政办发〔2017〕10号）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（13）《内蒙古畜牧业发展“十三五”规划（2016-2020年）》（内农牧畜发﹝2017﹞17号）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（14）《关于进一步贯彻落实《畜禽规模养殖污染防治条例》促进养殖废弃物综合利用加强污染防治的通知》（内农牧畜发﹝2016﹞228号）；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（15）《关于病死畜禽无害化处理工作的实施意见》（内政办发〔2015〕54号）；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（16）《内蒙古自治区畜禽养殖主要污染物减排工程项目建设技术指南（试行）》（内环发〔2014〕83号）；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（17）《内蒙古自治区人民政府办公厅关于印发畜禽粪污资源化利用工作方案（2017—2020年）的通知》（内政办字〔2017〕179号）；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rPr>
        <w:t>（18）</w:t>
      </w:r>
      <w:r>
        <w:rPr>
          <w:rFonts w:hint="default" w:ascii="Times New Roman" w:hAnsi="Times New Roman" w:eastAsia="宋体" w:cs="Times New Roman"/>
          <w:color w:val="auto"/>
          <w:szCs w:val="24"/>
        </w:rPr>
        <w:t>《巴彦淖尔市打赢蓝天保卫战三年行动计划实施方案》及《巴彦淖尔市2018年度大气污染防治工作实施计划》（巴政发〔2018〕160号），2018年12月20日；</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（19）《巴彦淖尔市土壤污染防治三年攻坚计划（2018-2020年）》（巴政办字［2019］20号）；</w:t>
      </w:r>
    </w:p>
    <w:p>
      <w:pPr>
        <w:pageBreakBefore w:val="0"/>
        <w:widowControl w:val="0"/>
        <w:kinsoku/>
        <w:wordWrap/>
        <w:overflowPunct/>
        <w:topLinePunct/>
        <w:autoSpaceDE w:val="0"/>
        <w:autoSpaceDN/>
        <w:bidi w:val="0"/>
        <w:ind w:firstLine="480"/>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（20）《巴彦淖尔市大气污染防治条例》，2019年10月1日；</w:t>
      </w:r>
    </w:p>
    <w:p>
      <w:pPr>
        <w:pageBreakBefore w:val="0"/>
        <w:widowControl w:val="0"/>
        <w:kinsoku/>
        <w:wordWrap/>
        <w:overflowPunct/>
        <w:topLinePunct/>
        <w:autoSpaceDE w:val="0"/>
        <w:autoSpaceDN/>
        <w:bidi w:val="0"/>
        <w:ind w:firstLine="480"/>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（21）《巴彦淖尔市水污染防治三年攻坚计划》（巴政办字［2019］14号）；</w:t>
      </w:r>
    </w:p>
    <w:p>
      <w:pPr>
        <w:ind w:firstLine="480"/>
        <w:rPr>
          <w:color w:val="auto"/>
          <w:szCs w:val="24"/>
        </w:rPr>
      </w:pPr>
      <w:r>
        <w:rPr>
          <w:rFonts w:hint="eastAsia"/>
          <w:color w:val="auto"/>
          <w:szCs w:val="24"/>
        </w:rPr>
        <w:t>（2</w:t>
      </w:r>
      <w:r>
        <w:rPr>
          <w:rFonts w:hint="eastAsia"/>
          <w:color w:val="auto"/>
          <w:szCs w:val="24"/>
          <w:lang w:val="en-US" w:eastAsia="zh-CN"/>
        </w:rPr>
        <w:t>2</w:t>
      </w:r>
      <w:r>
        <w:rPr>
          <w:rFonts w:hint="eastAsia"/>
          <w:color w:val="auto"/>
          <w:szCs w:val="24"/>
        </w:rPr>
        <w:t>）《五原县土壤污染方式工作实施方案》（五原县人民政府，2</w:t>
      </w:r>
      <w:r>
        <w:rPr>
          <w:color w:val="auto"/>
          <w:szCs w:val="24"/>
        </w:rPr>
        <w:t>017</w:t>
      </w:r>
      <w:r>
        <w:rPr>
          <w:rFonts w:hint="eastAsia"/>
          <w:color w:val="auto"/>
          <w:szCs w:val="24"/>
        </w:rPr>
        <w:t>年6月2</w:t>
      </w:r>
      <w:r>
        <w:rPr>
          <w:color w:val="auto"/>
          <w:szCs w:val="24"/>
        </w:rPr>
        <w:t>3</w:t>
      </w:r>
      <w:r>
        <w:rPr>
          <w:rFonts w:hint="eastAsia"/>
          <w:color w:val="auto"/>
          <w:szCs w:val="24"/>
        </w:rPr>
        <w:t>日）；</w:t>
      </w:r>
    </w:p>
    <w:p>
      <w:pPr>
        <w:ind w:firstLine="480"/>
        <w:rPr>
          <w:color w:val="auto"/>
          <w:szCs w:val="24"/>
        </w:rPr>
      </w:pPr>
      <w:r>
        <w:rPr>
          <w:rFonts w:hint="eastAsia"/>
          <w:color w:val="auto"/>
          <w:szCs w:val="24"/>
        </w:rPr>
        <w:t>（2</w:t>
      </w:r>
      <w:r>
        <w:rPr>
          <w:rFonts w:hint="eastAsia"/>
          <w:color w:val="auto"/>
          <w:szCs w:val="24"/>
          <w:lang w:val="en-US" w:eastAsia="zh-CN"/>
        </w:rPr>
        <w:t>3</w:t>
      </w:r>
      <w:r>
        <w:rPr>
          <w:rFonts w:hint="eastAsia"/>
          <w:color w:val="auto"/>
          <w:szCs w:val="24"/>
        </w:rPr>
        <w:t>）《五原县蓝天保卫战专项工作方案》（五原县人民政府，2</w:t>
      </w:r>
      <w:r>
        <w:rPr>
          <w:color w:val="auto"/>
          <w:szCs w:val="24"/>
        </w:rPr>
        <w:t>018</w:t>
      </w:r>
      <w:r>
        <w:rPr>
          <w:rFonts w:hint="eastAsia"/>
          <w:color w:val="auto"/>
          <w:szCs w:val="24"/>
        </w:rPr>
        <w:t>年</w:t>
      </w:r>
      <w:r>
        <w:rPr>
          <w:color w:val="auto"/>
          <w:szCs w:val="24"/>
        </w:rPr>
        <w:t>8</w:t>
      </w:r>
      <w:r>
        <w:rPr>
          <w:rFonts w:hint="eastAsia"/>
          <w:color w:val="auto"/>
          <w:szCs w:val="24"/>
        </w:rPr>
        <w:t>月</w:t>
      </w:r>
      <w:r>
        <w:rPr>
          <w:color w:val="auto"/>
          <w:szCs w:val="24"/>
        </w:rPr>
        <w:t>1</w:t>
      </w:r>
      <w:r>
        <w:rPr>
          <w:rFonts w:hint="eastAsia"/>
          <w:color w:val="auto"/>
          <w:szCs w:val="24"/>
        </w:rPr>
        <w:t>日）；</w:t>
      </w:r>
    </w:p>
    <w:p>
      <w:pPr>
        <w:pageBreakBefore w:val="0"/>
        <w:widowControl w:val="0"/>
        <w:kinsoku/>
        <w:wordWrap/>
        <w:overflowPunct/>
        <w:topLinePunct/>
        <w:autoSpaceDE w:val="0"/>
        <w:autoSpaceDN/>
        <w:bidi w:val="0"/>
        <w:adjustRightInd w:val="0"/>
        <w:snapToGrid w:val="0"/>
        <w:ind w:firstLine="480"/>
        <w:jc w:val="both"/>
        <w:textAlignment w:val="auto"/>
        <w:rPr>
          <w:rFonts w:hint="default" w:ascii="Times New Roman" w:hAnsi="Times New Roman" w:eastAsia="宋体" w:cs="Times New Roman"/>
          <w:color w:val="auto"/>
          <w:szCs w:val="24"/>
        </w:rPr>
      </w:pPr>
      <w:r>
        <w:rPr>
          <w:rFonts w:hint="eastAsia"/>
          <w:color w:val="auto"/>
          <w:szCs w:val="24"/>
        </w:rPr>
        <w:t>（2</w:t>
      </w:r>
      <w:r>
        <w:rPr>
          <w:rFonts w:hint="eastAsia"/>
          <w:color w:val="auto"/>
          <w:szCs w:val="24"/>
          <w:lang w:val="en-US" w:eastAsia="zh-CN"/>
        </w:rPr>
        <w:t>4</w:t>
      </w:r>
      <w:r>
        <w:rPr>
          <w:rFonts w:hint="eastAsia"/>
          <w:color w:val="auto"/>
          <w:szCs w:val="24"/>
        </w:rPr>
        <w:t>）《五原县畜禽粪污资源化利用实施办法》（五政办发［20</w:t>
      </w:r>
      <w:r>
        <w:rPr>
          <w:color w:val="auto"/>
          <w:szCs w:val="24"/>
        </w:rPr>
        <w:t>20</w:t>
      </w:r>
      <w:r>
        <w:rPr>
          <w:rFonts w:hint="eastAsia"/>
          <w:color w:val="auto"/>
          <w:szCs w:val="24"/>
        </w:rPr>
        <w:t>］</w:t>
      </w:r>
      <w:r>
        <w:rPr>
          <w:color w:val="auto"/>
          <w:szCs w:val="24"/>
        </w:rPr>
        <w:t>23</w:t>
      </w:r>
      <w:r>
        <w:rPr>
          <w:rFonts w:hint="eastAsia"/>
          <w:color w:val="auto"/>
          <w:szCs w:val="24"/>
        </w:rPr>
        <w:t>号，2</w:t>
      </w:r>
      <w:r>
        <w:rPr>
          <w:color w:val="auto"/>
          <w:szCs w:val="24"/>
        </w:rPr>
        <w:t>020</w:t>
      </w:r>
      <w:r>
        <w:rPr>
          <w:rFonts w:hint="eastAsia"/>
          <w:color w:val="auto"/>
          <w:szCs w:val="24"/>
        </w:rPr>
        <w:t>年</w:t>
      </w:r>
      <w:r>
        <w:rPr>
          <w:color w:val="auto"/>
          <w:szCs w:val="24"/>
        </w:rPr>
        <w:t>8</w:t>
      </w:r>
      <w:r>
        <w:rPr>
          <w:rFonts w:hint="eastAsia"/>
          <w:color w:val="auto"/>
          <w:szCs w:val="24"/>
        </w:rPr>
        <w:t>月</w:t>
      </w:r>
      <w:r>
        <w:rPr>
          <w:color w:val="auto"/>
          <w:szCs w:val="24"/>
        </w:rPr>
        <w:t>10</w:t>
      </w:r>
      <w:r>
        <w:rPr>
          <w:rFonts w:hint="eastAsia"/>
          <w:color w:val="auto"/>
          <w:szCs w:val="24"/>
        </w:rPr>
        <w:t>日）</w:t>
      </w:r>
      <w:r>
        <w:rPr>
          <w:rFonts w:hint="default" w:ascii="Times New Roman" w:hAnsi="Times New Roman" w:eastAsia="宋体" w:cs="Times New Roman"/>
          <w:color w:val="auto"/>
          <w:szCs w:val="24"/>
        </w:rPr>
        <w:t>。</w:t>
      </w:r>
    </w:p>
    <w:p>
      <w:pPr>
        <w:pStyle w:val="6"/>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68" w:name="_Toc26017"/>
      <w:r>
        <w:rPr>
          <w:rFonts w:hint="default" w:ascii="Times New Roman" w:hAnsi="Times New Roman" w:eastAsia="宋体" w:cs="Times New Roman"/>
          <w:color w:val="auto"/>
        </w:rPr>
        <w:t>2.1.4</w:t>
      </w:r>
      <w:bookmarkStart w:id="69" w:name="_Toc512871522"/>
      <w:r>
        <w:rPr>
          <w:rFonts w:hint="default" w:ascii="Times New Roman" w:hAnsi="Times New Roman" w:eastAsia="宋体" w:cs="Times New Roman"/>
          <w:color w:val="auto"/>
        </w:rPr>
        <w:t>技术</w:t>
      </w:r>
      <w:bookmarkEnd w:id="69"/>
      <w:r>
        <w:rPr>
          <w:rFonts w:hint="default" w:ascii="Times New Roman" w:hAnsi="Times New Roman" w:eastAsia="宋体" w:cs="Times New Roman"/>
          <w:color w:val="auto"/>
        </w:rPr>
        <w:t>导则和规范</w:t>
      </w:r>
      <w:bookmarkEnd w:id="68"/>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bookmarkStart w:id="70" w:name="_Toc512871523"/>
      <w:r>
        <w:rPr>
          <w:rFonts w:hint="default" w:ascii="Times New Roman" w:hAnsi="Times New Roman" w:eastAsia="宋体" w:cs="Times New Roman"/>
          <w:color w:val="auto"/>
        </w:rPr>
        <w:t>（1）《环境影响评价技术导则 总纲》（HJ2.1-2016）；</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（2）《环境影响评价技术导则 大气环境》（HJ2.2-2018）；</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（3）《环境影响评价技术导则 声环境》（HJ2.4-2009）；</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（4）《环境影响评价技术导则 地下水环境》（HJ610-2016）；</w:t>
      </w:r>
    </w:p>
    <w:p>
      <w:pPr>
        <w:pageBreakBefore w:val="0"/>
        <w:widowControl w:val="0"/>
        <w:kinsoku/>
        <w:wordWrap/>
        <w:overflowPunct/>
        <w:topLinePunct/>
        <w:autoSpaceDE w:val="0"/>
        <w:autoSpaceDN/>
        <w:bidi w:val="0"/>
        <w:ind w:firstLine="480"/>
        <w:textAlignment w:val="auto"/>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w:t>（5）《环境影响评价技术导则 地表水环境》（HJ2.3-2018）</w:t>
      </w:r>
      <w:r>
        <w:rPr>
          <w:rFonts w:hint="eastAsia" w:cs="Times New Roman"/>
          <w:color w:val="auto"/>
          <w:lang w:eastAsia="zh-CN"/>
        </w:rPr>
        <w:t>；</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（6）《环境影响评价技术导则 土壤环境（试行）》（HJ964—2018）；</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（7）《环境影响评价技术导则 生态影响》（HJ19-2011）；</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（8）《建设项目环境风险评价技术导则》</w:t>
      </w:r>
      <w:bookmarkStart w:id="71" w:name="OLE_LINK7"/>
      <w:bookmarkStart w:id="72" w:name="OLE_LINK8"/>
      <w:r>
        <w:rPr>
          <w:rFonts w:hint="default" w:ascii="Times New Roman" w:hAnsi="Times New Roman" w:eastAsia="宋体" w:cs="Times New Roman"/>
          <w:color w:val="auto"/>
        </w:rPr>
        <w:t>（HJ169-20</w:t>
      </w:r>
      <w:bookmarkEnd w:id="71"/>
      <w:bookmarkEnd w:id="72"/>
      <w:r>
        <w:rPr>
          <w:rFonts w:hint="default" w:ascii="Times New Roman" w:hAnsi="Times New Roman" w:eastAsia="宋体" w:cs="Times New Roman"/>
          <w:color w:val="auto"/>
        </w:rPr>
        <w:t>18）；</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（9）《排污许可证申请与核发技术规范 畜禽养殖行业》（HJ1029-2019)；</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（10）《污染源源强核算技术指南 准则》（HJ884-2018）；</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（11）《排污单位自行监测技术指南 总则》（HJ819-2017）；</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（12）《畜禽养殖业污染防治技术规范》（HJ/T81-2001）；</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（13）《畜禽养殖业污染治理工程技术规范》（HJ497-2009）；</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（14）《病害动物和病害动物产品生物安全处理规程》（GB16548-2006）；</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（15）《高致病性禽流感疫情处置技术规范》（农业部2004.11.14）；</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（16）《病死及病害动物无害化处理技术规范》（农医发[2017]25号）；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（17）《畜禽粪便无害化处理技术规范》（NY/T1168-2006）；</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（18）《粪便无害化卫生要求》（GB7959-2012）；</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（19）《沼肥施用技术规范》（NY/T2065-2011）；</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（20）《畜禽粪污土地承载力测算技术指南》（农办牧[2018]1号）；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（21）《畜禽粪便还田技术规范》（GB/T25246-2010）；</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（22）《畜禽粪便农田利用环境影响评价准则》（GB/T26622-2011）；</w:t>
      </w:r>
    </w:p>
    <w:p>
      <w:pPr>
        <w:pageBreakBefore w:val="0"/>
        <w:widowControl w:val="0"/>
        <w:kinsoku/>
        <w:wordWrap/>
        <w:overflowPunct/>
        <w:topLinePunct/>
        <w:autoSpaceDE w:val="0"/>
        <w:autoSpaceDN/>
        <w:bidi w:val="0"/>
        <w:ind w:firstLine="480"/>
        <w:jc w:val="lef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（23）《畜禽场场区设计技术规范》（NY/T682-2003）；</w:t>
      </w:r>
    </w:p>
    <w:p>
      <w:pPr>
        <w:pageBreakBefore w:val="0"/>
        <w:widowControl w:val="0"/>
        <w:kinsoku/>
        <w:wordWrap/>
        <w:overflowPunct/>
        <w:topLinePunct/>
        <w:autoSpaceDE w:val="0"/>
        <w:autoSpaceDN/>
        <w:bidi w:val="0"/>
        <w:ind w:firstLine="480"/>
        <w:jc w:val="lef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（24）《动物防疫条件审查办法》（中华人民共和国农业部，2010年第7号令）；</w:t>
      </w:r>
    </w:p>
    <w:p>
      <w:pPr>
        <w:pageBreakBefore w:val="0"/>
        <w:widowControl w:val="0"/>
        <w:kinsoku/>
        <w:wordWrap/>
        <w:overflowPunct/>
        <w:topLinePunct/>
        <w:autoSpaceDE w:val="0"/>
        <w:autoSpaceDN/>
        <w:bidi w:val="0"/>
        <w:ind w:firstLine="480"/>
        <w:jc w:val="lef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（25）《病害动物和病害动物产品生物安全处理规程》（GB16548-2006）；</w:t>
      </w:r>
    </w:p>
    <w:p>
      <w:pPr>
        <w:pageBreakBefore w:val="0"/>
        <w:widowControl w:val="0"/>
        <w:kinsoku/>
        <w:wordWrap/>
        <w:overflowPunct/>
        <w:topLinePunct/>
        <w:autoSpaceDE w:val="0"/>
        <w:autoSpaceDN/>
        <w:bidi w:val="0"/>
        <w:ind w:firstLine="480"/>
        <w:jc w:val="lef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（26）《畜禽规模化养殖场资源化利用设施建设规范（试行）》（农办牧〔2018〕2号）；</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（27）《内蒙古自治区行业用水定额（2019年版）》（内水资﹝2019﹞165号）。</w:t>
      </w:r>
    </w:p>
    <w:p>
      <w:pPr>
        <w:pStyle w:val="6"/>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73" w:name="_Toc28465"/>
      <w:r>
        <w:rPr>
          <w:rFonts w:hint="default" w:ascii="Times New Roman" w:hAnsi="Times New Roman" w:eastAsia="宋体" w:cs="Times New Roman"/>
          <w:color w:val="auto"/>
        </w:rPr>
        <w:t>2.1.5其他相关文件</w:t>
      </w:r>
      <w:bookmarkEnd w:id="70"/>
      <w:bookmarkEnd w:id="73"/>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w:t>
      </w:r>
      <w:r>
        <w:rPr>
          <w:rFonts w:hint="eastAsia" w:cs="Times New Roman"/>
          <w:color w:val="auto"/>
          <w:lang w:eastAsia="zh-CN"/>
        </w:rPr>
        <w:t>巴彦淖尔市亨泰农牧业有限责任公司育肥猪养殖产业化项目</w:t>
      </w:r>
      <w:r>
        <w:rPr>
          <w:rFonts w:hint="default" w:ascii="Times New Roman" w:hAnsi="Times New Roman" w:eastAsia="宋体" w:cs="Times New Roman"/>
          <w:color w:val="auto"/>
        </w:rPr>
        <w:t>环境影响评价委托书》，202</w:t>
      </w:r>
      <w:r>
        <w:rPr>
          <w:rFonts w:hint="eastAsia" w:cs="Times New Roman"/>
          <w:color w:val="auto"/>
          <w:lang w:val="en-US" w:eastAsia="zh-CN"/>
        </w:rPr>
        <w:t>1</w:t>
      </w:r>
      <w:r>
        <w:rPr>
          <w:rFonts w:hint="default" w:ascii="Times New Roman" w:hAnsi="Times New Roman" w:eastAsia="宋体" w:cs="Times New Roman"/>
          <w:color w:val="auto"/>
        </w:rPr>
        <w:t>年</w:t>
      </w:r>
      <w:r>
        <w:rPr>
          <w:rFonts w:hint="eastAsia" w:cs="Times New Roman"/>
          <w:color w:val="auto"/>
          <w:lang w:val="en-US" w:eastAsia="zh-CN"/>
        </w:rPr>
        <w:t>4</w:t>
      </w:r>
      <w:r>
        <w:rPr>
          <w:rFonts w:hint="default" w:ascii="Times New Roman" w:hAnsi="Times New Roman" w:eastAsia="宋体" w:cs="Times New Roman"/>
          <w:color w:val="auto"/>
        </w:rPr>
        <w:t>月；</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2</w:t>
      </w:r>
      <w:r>
        <w:rPr>
          <w:rFonts w:hint="default" w:ascii="Times New Roman" w:hAnsi="Times New Roman" w:eastAsia="宋体" w:cs="Times New Roman"/>
          <w:color w:val="auto"/>
        </w:rPr>
        <w:t>）建设单位提供的其他技术资料。</w:t>
      </w:r>
    </w:p>
    <w:p>
      <w:pPr>
        <w:pStyle w:val="5"/>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74" w:name="_Toc16587"/>
      <w:r>
        <w:rPr>
          <w:rFonts w:hint="default" w:ascii="Times New Roman" w:hAnsi="Times New Roman" w:eastAsia="宋体" w:cs="Times New Roman"/>
          <w:color w:val="auto"/>
        </w:rPr>
        <w:t>2.2评价目的及评价重点</w:t>
      </w:r>
      <w:bookmarkEnd w:id="74"/>
    </w:p>
    <w:p>
      <w:pPr>
        <w:pStyle w:val="6"/>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75" w:name="_Toc27919"/>
      <w:r>
        <w:rPr>
          <w:rFonts w:hint="default" w:ascii="Times New Roman" w:hAnsi="Times New Roman" w:eastAsia="宋体" w:cs="Times New Roman"/>
          <w:color w:val="auto"/>
        </w:rPr>
        <w:t>2.2.1评价目的</w:t>
      </w:r>
      <w:bookmarkEnd w:id="75"/>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从本项目的养殖工艺、养殖规模、环保设施、厂址选择及污染物排放控制等方面进行分析，并对照国家、自治区相关产业政策，以及当地环境质量底线、资源利用上线、生态保护红线及环境准入负面清单，明确回答本项目是否符合国家、自治区及当地相关产业政策要求。</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通过实地调查，搞清项目所处地区环境特征、环境现状以及污染源分布状况和特征，结合工程排污特点、环境保护措施和污染物排放状况，回答工程建设污染物排放是否超出环境质量底线，分析对当地环境质量的影响程度。</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（3）本次评价将根据产业政策、评价区域环境质量底线要求、生态保护红线、区域城市建设规划管理部门要求等情况进行综合分析，明确回答厂址选择可行性。</w:t>
      </w:r>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4）综合产业政策、当地社会经济发展规划、环境质量底线、生态保护红线、资源利用上线、环境准入负面清单等部分的分析结论，从环保角度明确回答本项目建设可行性，为项目建设审批、环境保护、工程设计、建设管理、生产运行等提供科学依据。</w:t>
      </w:r>
    </w:p>
    <w:p>
      <w:pPr>
        <w:pStyle w:val="6"/>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76" w:name="_Toc318"/>
      <w:r>
        <w:rPr>
          <w:rFonts w:hint="default" w:ascii="Times New Roman" w:hAnsi="Times New Roman" w:eastAsia="宋体" w:cs="Times New Roman"/>
          <w:color w:val="auto"/>
        </w:rPr>
        <w:t>2.2.2评价重点</w:t>
      </w:r>
      <w:bookmarkEnd w:id="76"/>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本项目关注的主要环境问题为项目选址的合理性，建成后产生的</w:t>
      </w:r>
      <w:r>
        <w:rPr>
          <w:rFonts w:hint="default" w:ascii="Times New Roman" w:hAnsi="Times New Roman" w:eastAsia="宋体" w:cs="Times New Roman"/>
          <w:color w:val="auto"/>
          <w:lang w:eastAsia="zh-CN"/>
        </w:rPr>
        <w:t>恶臭气体</w:t>
      </w:r>
      <w:r>
        <w:rPr>
          <w:rFonts w:hint="default" w:ascii="Times New Roman" w:hAnsi="Times New Roman" w:eastAsia="宋体" w:cs="Times New Roman"/>
          <w:color w:val="auto"/>
        </w:rPr>
        <w:t>采取措施后能否达标排放，养殖</w:t>
      </w:r>
      <w:r>
        <w:rPr>
          <w:rFonts w:hint="eastAsia" w:cs="Times New Roman"/>
          <w:color w:val="auto"/>
          <w:lang w:val="en-US" w:eastAsia="zh-CN"/>
        </w:rPr>
        <w:t>废水经处理后</w:t>
      </w:r>
      <w:r>
        <w:rPr>
          <w:rFonts w:hint="default" w:ascii="Times New Roman" w:hAnsi="Times New Roman" w:eastAsia="宋体" w:cs="Times New Roman"/>
          <w:color w:val="auto"/>
        </w:rPr>
        <w:t>作为有机肥能否合理还田，对满足资源化利用的可行性进行分析论证。</w:t>
      </w:r>
    </w:p>
    <w:p>
      <w:pPr>
        <w:pStyle w:val="5"/>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77" w:name="_Toc512871524"/>
      <w:bookmarkStart w:id="78" w:name="_Toc17709"/>
      <w:r>
        <w:rPr>
          <w:rFonts w:hint="default" w:ascii="Times New Roman" w:hAnsi="Times New Roman" w:eastAsia="宋体" w:cs="Times New Roman"/>
          <w:color w:val="auto"/>
        </w:rPr>
        <w:t>2.3</w:t>
      </w:r>
      <w:bookmarkEnd w:id="77"/>
      <w:r>
        <w:rPr>
          <w:rFonts w:hint="default" w:ascii="Times New Roman" w:hAnsi="Times New Roman" w:eastAsia="宋体" w:cs="Times New Roman"/>
          <w:color w:val="auto"/>
        </w:rPr>
        <w:t>环境影响识别</w:t>
      </w:r>
      <w:bookmarkEnd w:id="78"/>
    </w:p>
    <w:p>
      <w:pPr>
        <w:pStyle w:val="6"/>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bookmarkStart w:id="79" w:name="_Toc158435276"/>
      <w:bookmarkStart w:id="80" w:name="_Toc295196530"/>
      <w:bookmarkStart w:id="81" w:name="_Toc258943957"/>
      <w:bookmarkStart w:id="82" w:name="_Toc143066313"/>
      <w:bookmarkStart w:id="83" w:name="_Toc512871525"/>
      <w:bookmarkStart w:id="84" w:name="_Toc494206271"/>
      <w:bookmarkStart w:id="85" w:name="_Toc21916"/>
      <w:r>
        <w:rPr>
          <w:rFonts w:hint="default" w:ascii="Times New Roman" w:hAnsi="Times New Roman" w:eastAsia="宋体" w:cs="Times New Roman"/>
          <w:color w:val="auto"/>
        </w:rPr>
        <w:t>2.3.1</w:t>
      </w:r>
      <w:bookmarkEnd w:id="79"/>
      <w:bookmarkEnd w:id="80"/>
      <w:bookmarkEnd w:id="81"/>
      <w:bookmarkEnd w:id="82"/>
      <w:r>
        <w:rPr>
          <w:rFonts w:hint="default" w:ascii="Times New Roman" w:hAnsi="Times New Roman" w:eastAsia="宋体" w:cs="Times New Roman"/>
          <w:color w:val="auto"/>
        </w:rPr>
        <w:t>环境影响因素识别</w:t>
      </w:r>
      <w:bookmarkEnd w:id="83"/>
      <w:bookmarkEnd w:id="84"/>
      <w:bookmarkEnd w:id="85"/>
    </w:p>
    <w:p>
      <w:pPr>
        <w:pageBreakBefore w:val="0"/>
        <w:widowControl w:val="0"/>
        <w:kinsoku/>
        <w:wordWrap/>
        <w:overflowPunct/>
        <w:topLinePunct/>
        <w:autoSpaceDE w:val="0"/>
        <w:autoSpaceDN/>
        <w:bidi w:val="0"/>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评价根据该工程建设特征、项目区域环境现状，识别本工程项目建设的环境影响因素及环境影响效果见表2.3-1、2.3-2。</w:t>
      </w:r>
    </w:p>
    <w:p>
      <w:pPr>
        <w:pStyle w:val="8"/>
        <w:pageBreakBefore w:val="0"/>
        <w:widowControl w:val="0"/>
        <w:kinsoku/>
        <w:wordWrap/>
        <w:overflowPunct/>
        <w:topLinePunct/>
        <w:autoSpaceDE w:val="0"/>
        <w:autoSpaceDN/>
        <w:bidi w:val="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表2.3-1    工程建设的环境影响要素分析</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370"/>
        <w:gridCol w:w="2845"/>
        <w:gridCol w:w="1894"/>
        <w:gridCol w:w="189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215" w:type="dxa"/>
            <w:gridSpan w:val="2"/>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环境影响要素</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施工期</w:t>
            </w:r>
          </w:p>
        </w:tc>
        <w:tc>
          <w:tcPr>
            <w:tcW w:w="189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营运期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自然环境</w:t>
            </w: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地表水水质</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环境噪声</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土壤</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生态环境</w:t>
            </w: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植被</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水土流失</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社会环境</w:t>
            </w: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交通</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就业</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p>
        </w:tc>
        <w:tc>
          <w:tcPr>
            <w:tcW w:w="284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社会经济</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89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003" w:type="dxa"/>
            <w:gridSpan w:val="4"/>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注：“-”表示不利影响，“+”表示有利影响，数字大小表示影响程度；1—轻度影响；2—中度影响；3—重度影响。</w:t>
            </w:r>
          </w:p>
        </w:tc>
      </w:tr>
    </w:tbl>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表2.3-2    各环境要素影响类型及程度</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31"/>
        <w:gridCol w:w="1287"/>
        <w:gridCol w:w="1286"/>
        <w:gridCol w:w="2053"/>
        <w:gridCol w:w="1286"/>
        <w:gridCol w:w="1286"/>
        <w:gridCol w:w="77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18" w:type="dxa"/>
            <w:gridSpan w:val="2"/>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要素</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影响程度</w:t>
            </w:r>
          </w:p>
        </w:tc>
        <w:tc>
          <w:tcPr>
            <w:tcW w:w="205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类型</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可逆性</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范围</w:t>
            </w:r>
          </w:p>
        </w:tc>
        <w:tc>
          <w:tcPr>
            <w:tcW w:w="774" w:type="dxa"/>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时限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营运期</w:t>
            </w:r>
          </w:p>
        </w:tc>
        <w:tc>
          <w:tcPr>
            <w:tcW w:w="128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环境空气</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明显</w:t>
            </w:r>
          </w:p>
        </w:tc>
        <w:tc>
          <w:tcPr>
            <w:tcW w:w="205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有后续影响</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基本可逆</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局部</w:t>
            </w:r>
          </w:p>
        </w:tc>
        <w:tc>
          <w:tcPr>
            <w:tcW w:w="77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长期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28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水环境</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不明显</w:t>
            </w:r>
          </w:p>
        </w:tc>
        <w:tc>
          <w:tcPr>
            <w:tcW w:w="205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有后续影响</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基本可逆</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局部</w:t>
            </w:r>
          </w:p>
        </w:tc>
        <w:tc>
          <w:tcPr>
            <w:tcW w:w="77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长期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28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土壤环境</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不明显</w:t>
            </w:r>
          </w:p>
        </w:tc>
        <w:tc>
          <w:tcPr>
            <w:tcW w:w="205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有后续影响</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基本可逆</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局部</w:t>
            </w:r>
          </w:p>
        </w:tc>
        <w:tc>
          <w:tcPr>
            <w:tcW w:w="77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长期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28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声环境</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较明显</w:t>
            </w:r>
          </w:p>
        </w:tc>
        <w:tc>
          <w:tcPr>
            <w:tcW w:w="205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与声源同时存在</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可逆</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局部</w:t>
            </w:r>
          </w:p>
        </w:tc>
        <w:tc>
          <w:tcPr>
            <w:tcW w:w="77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长期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28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固废</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不明显</w:t>
            </w:r>
          </w:p>
        </w:tc>
        <w:tc>
          <w:tcPr>
            <w:tcW w:w="205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基本可逆</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局部</w:t>
            </w:r>
          </w:p>
        </w:tc>
        <w:tc>
          <w:tcPr>
            <w:tcW w:w="77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短期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28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环境风险</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不明显</w:t>
            </w:r>
          </w:p>
        </w:tc>
        <w:tc>
          <w:tcPr>
            <w:tcW w:w="205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有后续影响</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基本可逆</w:t>
            </w:r>
          </w:p>
        </w:tc>
        <w:tc>
          <w:tcPr>
            <w:tcW w:w="128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局部</w:t>
            </w:r>
          </w:p>
        </w:tc>
        <w:tc>
          <w:tcPr>
            <w:tcW w:w="77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短期</w:t>
            </w:r>
          </w:p>
        </w:tc>
      </w:tr>
    </w:tbl>
    <w:p>
      <w:pPr>
        <w:pStyle w:val="6"/>
        <w:pageBreakBefore w:val="0"/>
        <w:widowControl w:val="0"/>
        <w:kinsoku/>
        <w:wordWrap/>
        <w:overflowPunct/>
        <w:topLinePunct/>
        <w:autoSpaceDE w:val="0"/>
        <w:autoSpaceDN/>
        <w:bidi w:val="0"/>
        <w:adjustRightInd/>
        <w:snapToGrid/>
        <w:textAlignment w:val="auto"/>
        <w:rPr>
          <w:rStyle w:val="45"/>
          <w:rFonts w:hint="default" w:ascii="Times New Roman" w:hAnsi="Times New Roman" w:eastAsia="宋体" w:cs="Times New Roman"/>
          <w:b/>
          <w:bCs/>
          <w:color w:val="auto"/>
        </w:rPr>
      </w:pPr>
      <w:bookmarkStart w:id="86" w:name="_Toc13962"/>
      <w:r>
        <w:rPr>
          <w:rStyle w:val="45"/>
          <w:rFonts w:hint="default" w:ascii="Times New Roman" w:hAnsi="Times New Roman" w:eastAsia="宋体" w:cs="Times New Roman"/>
          <w:b/>
          <w:bCs/>
          <w:color w:val="auto"/>
        </w:rPr>
        <w:t>2.3.2环境影响评价因子识别</w:t>
      </w:r>
      <w:bookmarkEnd w:id="86"/>
    </w:p>
    <w:p>
      <w:pPr>
        <w:pageBreakBefore w:val="0"/>
        <w:widowControl w:val="0"/>
        <w:kinsoku/>
        <w:wordWrap/>
        <w:overflowPunct/>
        <w:topLinePunct/>
        <w:autoSpaceDE w:val="0"/>
        <w:autoSpaceDN/>
        <w:bidi w:val="0"/>
        <w:adjustRightInd/>
        <w:snapToGrid/>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rPr>
        <w:t>根据项目建设内容，主要环境问题为恶臭污染防治问题。工程建设对环境的影响要素及因子见表2.3-3。</w:t>
      </w:r>
    </w:p>
    <w:p>
      <w:pPr>
        <w:pStyle w:val="8"/>
        <w:pageBreakBefore w:val="0"/>
        <w:widowControl w:val="0"/>
        <w:kinsoku/>
        <w:wordWrap/>
        <w:overflowPunct/>
        <w:topLinePunct/>
        <w:autoSpaceDE w:val="0"/>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表2.3-3    环境要素及污染因子分析</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200"/>
        <w:gridCol w:w="3470"/>
        <w:gridCol w:w="333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tcBorders>
              <w:tl2br w:val="single" w:color="auto" w:sz="6" w:space="0"/>
            </w:tcBorders>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righ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主要产生环节</w:t>
            </w:r>
          </w:p>
          <w:p>
            <w:pPr>
              <w:pStyle w:val="58"/>
              <w:keepNext w:val="0"/>
              <w:keepLines w:val="0"/>
              <w:pageBreakBefore w:val="0"/>
              <w:widowControl w:val="0"/>
              <w:kinsoku/>
              <w:wordWrap/>
              <w:overflowPunct/>
              <w:topLinePunct/>
              <w:autoSpaceDE w:val="0"/>
              <w:autoSpaceDN/>
              <w:bidi w:val="0"/>
              <w:adjustRightInd/>
              <w:snapToGrid/>
              <w:spacing w:line="360" w:lineRule="exact"/>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环境要素</w:t>
            </w:r>
          </w:p>
        </w:tc>
        <w:tc>
          <w:tcPr>
            <w:tcW w:w="34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畜禽养殖</w:t>
            </w:r>
          </w:p>
        </w:tc>
        <w:tc>
          <w:tcPr>
            <w:tcW w:w="333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办公、生活</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大气</w:t>
            </w:r>
          </w:p>
        </w:tc>
        <w:tc>
          <w:tcPr>
            <w:tcW w:w="34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S、臭气浓度</w:t>
            </w:r>
          </w:p>
        </w:tc>
        <w:tc>
          <w:tcPr>
            <w:tcW w:w="333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水环境</w:t>
            </w:r>
          </w:p>
        </w:tc>
        <w:tc>
          <w:tcPr>
            <w:tcW w:w="34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COD、BOD</w:t>
            </w:r>
            <w:r>
              <w:rPr>
                <w:rFonts w:hint="default" w:ascii="Times New Roman" w:hAnsi="Times New Roman" w:eastAsia="宋体" w:cs="Times New Roman"/>
                <w:color w:val="auto"/>
                <w:vertAlign w:val="subscript"/>
              </w:rPr>
              <w:t>5</w:t>
            </w:r>
            <w:r>
              <w:rPr>
                <w:rFonts w:hint="default" w:ascii="Times New Roman" w:hAnsi="Times New Roman" w:eastAsia="宋体" w:cs="Times New Roman"/>
                <w:color w:val="auto"/>
              </w:rPr>
              <w:t>、氨氮、SS</w:t>
            </w:r>
          </w:p>
        </w:tc>
        <w:tc>
          <w:tcPr>
            <w:tcW w:w="333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COD、BOD</w:t>
            </w:r>
            <w:r>
              <w:rPr>
                <w:rFonts w:hint="default" w:ascii="Times New Roman" w:hAnsi="Times New Roman" w:eastAsia="宋体" w:cs="Times New Roman"/>
                <w:color w:val="auto"/>
                <w:vertAlign w:val="subscript"/>
              </w:rPr>
              <w:t>5</w:t>
            </w:r>
            <w:r>
              <w:rPr>
                <w:rFonts w:hint="default" w:ascii="Times New Roman" w:hAnsi="Times New Roman" w:eastAsia="宋体" w:cs="Times New Roman"/>
                <w:color w:val="auto"/>
              </w:rPr>
              <w:t>、氨氮、SS</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土壤环境</w:t>
            </w:r>
          </w:p>
        </w:tc>
        <w:tc>
          <w:tcPr>
            <w:tcW w:w="34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COD、氨氮</w:t>
            </w:r>
          </w:p>
        </w:tc>
        <w:tc>
          <w:tcPr>
            <w:tcW w:w="333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噪声</w:t>
            </w:r>
          </w:p>
        </w:tc>
        <w:tc>
          <w:tcPr>
            <w:tcW w:w="34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等效连续A声级</w:t>
            </w:r>
          </w:p>
        </w:tc>
        <w:tc>
          <w:tcPr>
            <w:tcW w:w="333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固体废物</w:t>
            </w:r>
          </w:p>
        </w:tc>
        <w:tc>
          <w:tcPr>
            <w:tcW w:w="34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一般工业固废、危险废物</w:t>
            </w:r>
          </w:p>
        </w:tc>
        <w:tc>
          <w:tcPr>
            <w:tcW w:w="333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生活垃圾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环境风险</w:t>
            </w:r>
          </w:p>
        </w:tc>
        <w:tc>
          <w:tcPr>
            <w:tcW w:w="34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w:t>
            </w:r>
          </w:p>
        </w:tc>
        <w:tc>
          <w:tcPr>
            <w:tcW w:w="333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w:t>
            </w:r>
          </w:p>
        </w:tc>
      </w:tr>
    </w:tbl>
    <w:p>
      <w:pPr>
        <w:pStyle w:val="6"/>
        <w:pageBreakBefore w:val="0"/>
        <w:widowControl w:val="0"/>
        <w:kinsoku/>
        <w:wordWrap/>
        <w:overflowPunct/>
        <w:topLinePunct/>
        <w:autoSpaceDE w:val="0"/>
        <w:autoSpaceDN/>
        <w:bidi w:val="0"/>
        <w:adjustRightInd/>
        <w:snapToGrid/>
        <w:textAlignment w:val="auto"/>
        <w:rPr>
          <w:rFonts w:hint="default" w:ascii="Times New Roman" w:hAnsi="Times New Roman" w:eastAsia="宋体" w:cs="Times New Roman"/>
          <w:color w:val="auto"/>
        </w:rPr>
      </w:pPr>
      <w:bookmarkStart w:id="87" w:name="_Toc512871526"/>
      <w:bookmarkStart w:id="88" w:name="_Toc494206272"/>
      <w:bookmarkStart w:id="89" w:name="_Toc10308"/>
      <w:r>
        <w:rPr>
          <w:rFonts w:hint="default" w:ascii="Times New Roman" w:hAnsi="Times New Roman" w:eastAsia="宋体" w:cs="Times New Roman"/>
          <w:color w:val="auto"/>
        </w:rPr>
        <w:t>2.3.3评价因子</w:t>
      </w:r>
      <w:bookmarkEnd w:id="87"/>
      <w:bookmarkEnd w:id="88"/>
      <w:bookmarkEnd w:id="89"/>
    </w:p>
    <w:p>
      <w:pPr>
        <w:pageBreakBefore w:val="0"/>
        <w:widowControl w:val="0"/>
        <w:kinsoku/>
        <w:wordWrap/>
        <w:overflowPunct/>
        <w:topLinePunct/>
        <w:autoSpaceDE w:val="0"/>
        <w:autoSpaceDN/>
        <w:bidi w:val="0"/>
        <w:adjustRightInd/>
        <w:snapToGrid/>
        <w:ind w:firstLine="480"/>
        <w:textAlignment w:val="auto"/>
        <w:rPr>
          <w:rFonts w:hint="default" w:ascii="Times New Roman" w:hAnsi="Times New Roman" w:eastAsia="宋体" w:cs="Times New Roman"/>
          <w:color w:val="auto"/>
        </w:rPr>
      </w:pPr>
      <w:bookmarkStart w:id="90" w:name="_Toc100136974"/>
      <w:bookmarkStart w:id="91" w:name="_Toc99515320"/>
      <w:bookmarkStart w:id="92" w:name="_Toc99462105"/>
      <w:bookmarkStart w:id="93" w:name="_Toc99525759"/>
      <w:bookmarkStart w:id="94" w:name="_Toc99502178"/>
      <w:bookmarkStart w:id="95" w:name="_Toc99464213"/>
      <w:bookmarkStart w:id="96" w:name="_Toc107018065"/>
      <w:bookmarkStart w:id="97" w:name="_Toc107017650"/>
      <w:bookmarkStart w:id="98" w:name="_Toc99528910"/>
      <w:bookmarkStart w:id="99" w:name="_Toc107017967"/>
      <w:bookmarkStart w:id="100" w:name="_Toc137911603"/>
      <w:bookmarkStart w:id="101" w:name="_Toc138133774"/>
      <w:bookmarkStart w:id="102" w:name="_Toc108866877"/>
      <w:bookmarkStart w:id="103" w:name="_Toc108232570"/>
      <w:bookmarkStart w:id="104" w:name="_Toc107198790"/>
      <w:bookmarkStart w:id="105" w:name="_Toc107018164"/>
      <w:bookmarkStart w:id="106" w:name="_Toc107994824"/>
      <w:bookmarkStart w:id="107" w:name="_Toc99522804"/>
      <w:bookmarkStart w:id="108" w:name="_Toc130886257"/>
      <w:bookmarkStart w:id="109" w:name="_Toc99464344"/>
      <w:bookmarkStart w:id="110" w:name="_Toc99521441"/>
      <w:bookmarkStart w:id="111" w:name="_Toc130883552"/>
      <w:bookmarkStart w:id="112" w:name="_Toc99463834"/>
      <w:bookmarkStart w:id="113" w:name="_Toc100371799"/>
      <w:bookmarkStart w:id="114" w:name="_Toc130812435"/>
      <w:bookmarkStart w:id="115" w:name="_Toc107623018"/>
      <w:bookmarkStart w:id="116" w:name="_Toc107017772"/>
      <w:bookmarkStart w:id="117" w:name="_Toc100021404"/>
      <w:bookmarkStart w:id="118" w:name="_Toc99463669"/>
      <w:bookmarkStart w:id="119" w:name="_Toc107198581"/>
      <w:bookmarkStart w:id="120" w:name="_Toc99522956"/>
      <w:bookmarkStart w:id="121" w:name="_Toc99515895"/>
      <w:bookmarkStart w:id="122" w:name="_Toc99521747"/>
      <w:bookmarkStart w:id="123" w:name="_Toc99464074"/>
      <w:bookmarkStart w:id="124" w:name="_Toc140304616"/>
      <w:bookmarkStart w:id="125" w:name="_Toc100387936"/>
      <w:r>
        <w:rPr>
          <w:rFonts w:hint="default" w:ascii="Times New Roman" w:hAnsi="Times New Roman" w:eastAsia="宋体" w:cs="Times New Roman"/>
          <w:color w:val="auto"/>
        </w:rPr>
        <w:t>根据环境影响要素识别结果，结合建设项目工程特征、排污种类、排污去向及周围地区环境质量概况，确定本次评价因子包括现状评价因子、环境影响评价因子，评价因子见表2.3-4。</w:t>
      </w:r>
    </w:p>
    <w:p>
      <w:pPr>
        <w:pStyle w:val="8"/>
        <w:pageBreakBefore w:val="0"/>
        <w:widowControl w:val="0"/>
        <w:kinsoku/>
        <w:wordWrap/>
        <w:overflowPunct/>
        <w:topLinePunct/>
        <w:autoSpaceDE w:val="0"/>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表2.3-4    评价因子一览表</w:t>
      </w:r>
    </w:p>
    <w:tbl>
      <w:tblPr>
        <w:tblStyle w:val="34"/>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16"/>
        <w:gridCol w:w="1197"/>
        <w:gridCol w:w="1197"/>
        <w:gridCol w:w="559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阶段</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环境要素</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评价类别</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评价因子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施工期</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大气环境</w:t>
            </w:r>
          </w:p>
        </w:tc>
        <w:tc>
          <w:tcPr>
            <w:tcW w:w="1197"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影响分析</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施工扬尘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声环境</w:t>
            </w:r>
          </w:p>
        </w:tc>
        <w:tc>
          <w:tcPr>
            <w:tcW w:w="1197"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施工场界噪声（LAeq）</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水环境</w:t>
            </w:r>
          </w:p>
        </w:tc>
        <w:tc>
          <w:tcPr>
            <w:tcW w:w="1197"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施工废水、生活废水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固体废物</w:t>
            </w:r>
          </w:p>
        </w:tc>
        <w:tc>
          <w:tcPr>
            <w:tcW w:w="1197"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建筑垃圾、生活垃圾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bookmarkStart w:id="126" w:name="_Toc108232574"/>
            <w:bookmarkStart w:id="127" w:name="_Toc130812439"/>
            <w:bookmarkStart w:id="128" w:name="_Toc130883558"/>
            <w:bookmarkStart w:id="129" w:name="_Toc137911609"/>
            <w:bookmarkStart w:id="130" w:name="_Toc107018069"/>
            <w:bookmarkStart w:id="131" w:name="_Toc130886263"/>
            <w:bookmarkStart w:id="132" w:name="_Toc138133780"/>
            <w:bookmarkStart w:id="133" w:name="_Toc140304622"/>
            <w:bookmarkStart w:id="134" w:name="_Toc107198585"/>
            <w:bookmarkStart w:id="135" w:name="_Toc107623022"/>
            <w:bookmarkStart w:id="136" w:name="_Toc107017971"/>
            <w:bookmarkStart w:id="137" w:name="_Toc108866881"/>
            <w:bookmarkStart w:id="138" w:name="_Toc107018168"/>
            <w:bookmarkStart w:id="139" w:name="_Toc107198794"/>
            <w:bookmarkStart w:id="140" w:name="_Toc107994828"/>
            <w:bookmarkStart w:id="141" w:name="_Toc107017654"/>
            <w:bookmarkStart w:id="142" w:name="_Toc107017776"/>
            <w:r>
              <w:rPr>
                <w:rFonts w:hint="default" w:ascii="Times New Roman" w:hAnsi="Times New Roman" w:eastAsia="宋体" w:cs="Times New Roman"/>
                <w:color w:val="auto"/>
              </w:rPr>
              <w:t>运营期</w:t>
            </w:r>
          </w:p>
        </w:tc>
        <w:tc>
          <w:tcPr>
            <w:tcW w:w="1197"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大气环境</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现状评价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bCs/>
                <w:color w:val="auto"/>
                <w:szCs w:val="24"/>
              </w:rPr>
              <w:t>基本污染物：NO</w:t>
            </w:r>
            <w:r>
              <w:rPr>
                <w:rFonts w:hint="default" w:ascii="Times New Roman" w:hAnsi="Times New Roman" w:eastAsia="宋体" w:cs="Times New Roman"/>
                <w:bCs/>
                <w:color w:val="auto"/>
                <w:szCs w:val="24"/>
                <w:vertAlign w:val="subscript"/>
              </w:rPr>
              <w:t>2</w:t>
            </w:r>
            <w:r>
              <w:rPr>
                <w:rFonts w:hint="default" w:ascii="Times New Roman" w:hAnsi="Times New Roman" w:eastAsia="宋体" w:cs="Times New Roman"/>
                <w:bCs/>
                <w:color w:val="auto"/>
                <w:szCs w:val="24"/>
              </w:rPr>
              <w:t>、SO</w:t>
            </w:r>
            <w:r>
              <w:rPr>
                <w:rFonts w:hint="default" w:ascii="Times New Roman" w:hAnsi="Times New Roman" w:eastAsia="宋体" w:cs="Times New Roman"/>
                <w:bCs/>
                <w:color w:val="auto"/>
                <w:szCs w:val="24"/>
                <w:vertAlign w:val="subscript"/>
              </w:rPr>
              <w:t>2</w:t>
            </w:r>
            <w:r>
              <w:rPr>
                <w:rFonts w:hint="default" w:ascii="Times New Roman" w:hAnsi="Times New Roman" w:eastAsia="宋体" w:cs="Times New Roman"/>
                <w:color w:val="auto"/>
              </w:rPr>
              <w:t>、</w:t>
            </w:r>
            <w:r>
              <w:rPr>
                <w:rFonts w:hint="default" w:ascii="Times New Roman" w:hAnsi="Times New Roman" w:eastAsia="宋体" w:cs="Times New Roman"/>
                <w:bCs/>
                <w:color w:val="auto"/>
                <w:szCs w:val="24"/>
              </w:rPr>
              <w:t>CO</w:t>
            </w:r>
            <w:r>
              <w:rPr>
                <w:rFonts w:hint="default" w:ascii="Times New Roman" w:hAnsi="Times New Roman" w:eastAsia="宋体" w:cs="Times New Roman"/>
                <w:color w:val="auto"/>
              </w:rPr>
              <w:t>、O</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w:t>
            </w:r>
            <w:r>
              <w:rPr>
                <w:rFonts w:hint="default" w:ascii="Times New Roman" w:hAnsi="Times New Roman" w:eastAsia="宋体" w:cs="Times New Roman"/>
                <w:bCs/>
                <w:color w:val="auto"/>
                <w:szCs w:val="24"/>
              </w:rPr>
              <w:t>PM</w:t>
            </w:r>
            <w:r>
              <w:rPr>
                <w:rFonts w:hint="default" w:ascii="Times New Roman" w:hAnsi="Times New Roman" w:eastAsia="宋体" w:cs="Times New Roman"/>
                <w:bCs/>
                <w:color w:val="auto"/>
                <w:szCs w:val="24"/>
                <w:vertAlign w:val="subscript"/>
              </w:rPr>
              <w:t>10</w:t>
            </w:r>
            <w:r>
              <w:rPr>
                <w:rFonts w:hint="default" w:ascii="Times New Roman" w:hAnsi="Times New Roman" w:eastAsia="宋体" w:cs="Times New Roman"/>
                <w:bCs/>
                <w:color w:val="auto"/>
                <w:szCs w:val="24"/>
              </w:rPr>
              <w:t>、</w:t>
            </w:r>
            <w:r>
              <w:rPr>
                <w:rFonts w:hint="default" w:ascii="Times New Roman" w:hAnsi="Times New Roman" w:eastAsia="宋体" w:cs="Times New Roman"/>
                <w:color w:val="auto"/>
              </w:rPr>
              <w:t>PM</w:t>
            </w:r>
            <w:r>
              <w:rPr>
                <w:rFonts w:hint="default" w:ascii="Times New Roman" w:hAnsi="Times New Roman" w:eastAsia="宋体" w:cs="Times New Roman"/>
                <w:color w:val="auto"/>
                <w:vertAlign w:val="subscript"/>
              </w:rPr>
              <w:t>2.5</w:t>
            </w:r>
            <w:r>
              <w:rPr>
                <w:rFonts w:hint="default" w:ascii="Times New Roman" w:hAnsi="Times New Roman" w:eastAsia="宋体" w:cs="Times New Roman"/>
                <w:color w:val="auto"/>
              </w:rPr>
              <w:t>；</w:t>
            </w:r>
          </w:p>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其他污染物：H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w:t>
            </w:r>
            <w:r>
              <w:rPr>
                <w:rFonts w:hint="default" w:ascii="Times New Roman" w:hAnsi="Times New Roman" w:eastAsia="宋体" w:cs="Times New Roman"/>
                <w:bCs/>
                <w:color w:val="auto"/>
                <w:szCs w:val="24"/>
                <w:lang w:eastAsia="zh-CN"/>
              </w:rPr>
              <w:t>臭气浓度</w:t>
            </w:r>
            <w:r>
              <w:rPr>
                <w:rFonts w:hint="default" w:ascii="Times New Roman" w:hAnsi="Times New Roman" w:eastAsia="宋体" w:cs="Times New Roman"/>
                <w:color w:val="auto"/>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影响评价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w:t>
            </w:r>
            <w:r>
              <w:rPr>
                <w:rFonts w:hint="default" w:ascii="Times New Roman" w:hAnsi="Times New Roman" w:eastAsia="宋体" w:cs="Times New Roman"/>
                <w:bCs/>
                <w:color w:val="auto"/>
                <w:szCs w:val="24"/>
                <w:lang w:eastAsia="zh-CN"/>
              </w:rPr>
              <w:t>臭气浓度</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地下水环境</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现状评价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pH、硝酸盐氮、亚硝酸盐氮、挥发酚、氰化物、溶解性总固体、耗氧量、氨氮、六价铬、总硬度、砷、汞、铅、镉、铁、锰、Cl</w:t>
            </w:r>
            <w:r>
              <w:rPr>
                <w:rFonts w:hint="default" w:ascii="Times New Roman" w:hAnsi="Times New Roman" w:eastAsia="宋体" w:cs="Times New Roman"/>
                <w:color w:val="auto"/>
                <w:vertAlign w:val="superscript"/>
                <w:lang w:eastAsia="zh-CN"/>
              </w:rPr>
              <w:t>-</w:t>
            </w:r>
            <w:r>
              <w:rPr>
                <w:rFonts w:hint="default" w:ascii="Times New Roman" w:hAnsi="Times New Roman" w:eastAsia="宋体" w:cs="Times New Roman"/>
                <w:color w:val="auto"/>
                <w:lang w:eastAsia="zh-CN"/>
              </w:rPr>
              <w:t>、SO</w:t>
            </w:r>
            <w:r>
              <w:rPr>
                <w:rFonts w:hint="default" w:ascii="Times New Roman" w:hAnsi="Times New Roman" w:eastAsia="宋体" w:cs="Times New Roman"/>
                <w:color w:val="auto"/>
                <w:vertAlign w:val="subscript"/>
                <w:lang w:eastAsia="zh-CN"/>
              </w:rPr>
              <w:t>4</w:t>
            </w:r>
            <w:r>
              <w:rPr>
                <w:rFonts w:hint="default" w:ascii="Times New Roman" w:hAnsi="Times New Roman" w:eastAsia="宋体" w:cs="Times New Roman"/>
                <w:color w:val="auto"/>
                <w:vertAlign w:val="superscript"/>
                <w:lang w:eastAsia="zh-CN"/>
              </w:rPr>
              <w:t>2</w:t>
            </w:r>
            <w:r>
              <w:rPr>
                <w:rFonts w:hint="default" w:ascii="Times New Roman" w:hAnsi="Times New Roman" w:eastAsia="宋体" w:cs="Times New Roman"/>
                <w:color w:val="auto"/>
                <w:lang w:eastAsia="zh-CN"/>
              </w:rPr>
              <w:t>-、氟化物、K</w:t>
            </w:r>
            <w:r>
              <w:rPr>
                <w:rFonts w:hint="default" w:ascii="Times New Roman" w:hAnsi="Times New Roman" w:eastAsia="宋体" w:cs="Times New Roman"/>
                <w:color w:val="auto"/>
                <w:vertAlign w:val="superscript"/>
                <w:lang w:eastAsia="zh-CN"/>
              </w:rPr>
              <w:t>+</w:t>
            </w:r>
            <w:r>
              <w:rPr>
                <w:rFonts w:hint="default" w:ascii="Times New Roman" w:hAnsi="Times New Roman" w:eastAsia="宋体" w:cs="Times New Roman"/>
                <w:color w:val="auto"/>
                <w:lang w:eastAsia="zh-CN"/>
              </w:rPr>
              <w:t>、Na</w:t>
            </w:r>
            <w:r>
              <w:rPr>
                <w:rFonts w:hint="default" w:ascii="Times New Roman" w:hAnsi="Times New Roman" w:eastAsia="宋体" w:cs="Times New Roman"/>
                <w:color w:val="auto"/>
                <w:vertAlign w:val="superscript"/>
                <w:lang w:eastAsia="zh-CN"/>
              </w:rPr>
              <w:t>+</w:t>
            </w:r>
            <w:r>
              <w:rPr>
                <w:rFonts w:hint="default" w:ascii="Times New Roman" w:hAnsi="Times New Roman" w:eastAsia="宋体" w:cs="Times New Roman"/>
                <w:color w:val="auto"/>
                <w:lang w:eastAsia="zh-CN"/>
              </w:rPr>
              <w:t>、Ca</w:t>
            </w:r>
            <w:r>
              <w:rPr>
                <w:rFonts w:hint="default" w:ascii="Times New Roman" w:hAnsi="Times New Roman" w:eastAsia="宋体" w:cs="Times New Roman"/>
                <w:color w:val="auto"/>
                <w:vertAlign w:val="superscript"/>
                <w:lang w:eastAsia="zh-CN"/>
              </w:rPr>
              <w:t>2+</w:t>
            </w:r>
            <w:r>
              <w:rPr>
                <w:rFonts w:hint="default" w:ascii="Times New Roman" w:hAnsi="Times New Roman" w:eastAsia="宋体" w:cs="Times New Roman"/>
                <w:color w:val="auto"/>
                <w:lang w:eastAsia="zh-CN"/>
              </w:rPr>
              <w:t>、Mg</w:t>
            </w:r>
            <w:r>
              <w:rPr>
                <w:rFonts w:hint="default" w:ascii="Times New Roman" w:hAnsi="Times New Roman" w:eastAsia="宋体" w:cs="Times New Roman"/>
                <w:color w:val="auto"/>
                <w:vertAlign w:val="superscript"/>
                <w:lang w:eastAsia="zh-CN"/>
              </w:rPr>
              <w:t>2+</w:t>
            </w:r>
            <w:r>
              <w:rPr>
                <w:rFonts w:hint="default" w:ascii="Times New Roman" w:hAnsi="Times New Roman" w:eastAsia="宋体" w:cs="Times New Roman"/>
                <w:color w:val="auto"/>
                <w:lang w:eastAsia="zh-CN"/>
              </w:rPr>
              <w:t>、碳酸盐</w:t>
            </w:r>
            <w:r>
              <w:rPr>
                <w:rFonts w:hint="eastAsia" w:ascii="Times New Roman" w:hAnsi="Times New Roman" w:cs="Times New Roman"/>
                <w:color w:val="auto"/>
                <w:lang w:eastAsia="zh-CN"/>
              </w:rPr>
              <w:t>、</w:t>
            </w:r>
            <w:r>
              <w:rPr>
                <w:rFonts w:hint="default" w:ascii="Times New Roman" w:hAnsi="Times New Roman" w:eastAsia="宋体" w:cs="Times New Roman"/>
                <w:color w:val="auto"/>
                <w:lang w:eastAsia="zh-CN"/>
              </w:rPr>
              <w:t>重碳酸盐</w:t>
            </w:r>
            <w:r>
              <w:rPr>
                <w:rFonts w:hint="eastAsia" w:ascii="Times New Roman" w:hAnsi="Times New Roman" w:cs="Times New Roman"/>
                <w:color w:val="auto"/>
                <w:lang w:eastAsia="zh-CN"/>
              </w:rPr>
              <w:t>、</w:t>
            </w:r>
            <w:r>
              <w:rPr>
                <w:rFonts w:hint="default" w:ascii="Times New Roman" w:hAnsi="Times New Roman" w:eastAsia="宋体" w:cs="Times New Roman"/>
                <w:color w:val="auto"/>
                <w:lang w:eastAsia="zh-CN"/>
              </w:rPr>
              <w:t>氯化物、硫酸盐、总大肠菌群</w:t>
            </w:r>
            <w:r>
              <w:rPr>
                <w:rFonts w:hint="eastAsia" w:ascii="Times New Roman" w:hAnsi="Times New Roman" w:cs="Times New Roman"/>
                <w:color w:val="auto"/>
                <w:lang w:val="en-US" w:eastAsia="zh-CN"/>
              </w:rPr>
              <w:t>数、</w:t>
            </w:r>
            <w:r>
              <w:rPr>
                <w:rFonts w:hint="default" w:ascii="Times New Roman" w:hAnsi="Times New Roman" w:eastAsia="宋体" w:cs="Times New Roman"/>
                <w:color w:val="auto"/>
                <w:lang w:eastAsia="zh-CN"/>
              </w:rPr>
              <w:t>细菌总数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预测评价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声环境</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现状评价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等效连续A声级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影响评价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等效连续A声级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生态环境</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现状评价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bCs/>
                <w:color w:val="auto"/>
                <w:szCs w:val="21"/>
                <w:lang w:val="pt-BR"/>
              </w:rPr>
              <w:t>土地利用、动植物资源及种类</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bCs/>
                <w:color w:val="auto"/>
                <w:szCs w:val="21"/>
                <w:lang w:val="pt-BR"/>
              </w:rPr>
            </w:pPr>
            <w:r>
              <w:rPr>
                <w:rFonts w:hint="default" w:ascii="Times New Roman" w:hAnsi="Times New Roman" w:eastAsia="宋体" w:cs="Times New Roman"/>
                <w:bCs/>
                <w:color w:val="auto"/>
                <w:szCs w:val="21"/>
                <w:lang w:val="pt-BR"/>
              </w:rPr>
              <w:t>影响预测</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bCs/>
                <w:color w:val="auto"/>
                <w:szCs w:val="21"/>
                <w:lang w:val="pt-BR"/>
              </w:rPr>
            </w:pPr>
            <w:r>
              <w:rPr>
                <w:rFonts w:hint="default" w:ascii="Times New Roman" w:hAnsi="Times New Roman" w:eastAsia="宋体" w:cs="Times New Roman"/>
                <w:bCs/>
                <w:color w:val="auto"/>
                <w:szCs w:val="21"/>
                <w:lang w:val="pt-BR"/>
              </w:rPr>
              <w:t>土地利用、动植物资源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风险环境</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bCs/>
                <w:color w:val="auto"/>
                <w:szCs w:val="21"/>
                <w:lang w:val="pt-BR"/>
              </w:rPr>
            </w:pPr>
            <w:r>
              <w:rPr>
                <w:rFonts w:hint="default" w:ascii="Times New Roman" w:hAnsi="Times New Roman" w:eastAsia="宋体" w:cs="Times New Roman"/>
                <w:color w:val="auto"/>
              </w:rPr>
              <w:t>影响评价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bCs/>
                <w:color w:val="auto"/>
                <w:szCs w:val="21"/>
                <w:lang w:val="pt-BR"/>
              </w:rPr>
            </w:pPr>
            <w:r>
              <w:rPr>
                <w:rFonts w:hint="default" w:ascii="Times New Roman" w:hAnsi="Times New Roman" w:eastAsia="宋体" w:cs="Times New Roman"/>
                <w:color w:val="auto"/>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固体废物</w:t>
            </w:r>
          </w:p>
        </w:tc>
        <w:tc>
          <w:tcPr>
            <w:tcW w:w="119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影响评价</w:t>
            </w:r>
          </w:p>
        </w:tc>
        <w:tc>
          <w:tcPr>
            <w:tcW w:w="5593"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固体废物产生及处置情况</w:t>
            </w:r>
          </w:p>
        </w:tc>
      </w:t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tbl>
    <w:p>
      <w:pPr>
        <w:pStyle w:val="5"/>
        <w:pageBreakBefore w:val="0"/>
        <w:widowControl w:val="0"/>
        <w:kinsoku/>
        <w:wordWrap/>
        <w:overflowPunct/>
        <w:topLinePunct/>
        <w:autoSpaceDE w:val="0"/>
        <w:autoSpaceDN/>
        <w:bidi w:val="0"/>
        <w:adjustRightInd/>
        <w:snapToGrid/>
        <w:textAlignment w:val="auto"/>
        <w:rPr>
          <w:rFonts w:hint="default" w:ascii="Times New Roman" w:hAnsi="Times New Roman" w:eastAsia="宋体" w:cs="Times New Roman"/>
          <w:color w:val="auto"/>
        </w:rPr>
      </w:pPr>
      <w:bookmarkStart w:id="143" w:name="_Toc29687"/>
      <w:r>
        <w:rPr>
          <w:rFonts w:hint="default" w:ascii="Times New Roman" w:hAnsi="Times New Roman" w:eastAsia="宋体" w:cs="Times New Roman"/>
          <w:color w:val="auto"/>
        </w:rPr>
        <w:t>2.4环境功能区划及评价标准</w:t>
      </w:r>
      <w:bookmarkEnd w:id="143"/>
    </w:p>
    <w:p>
      <w:pPr>
        <w:pStyle w:val="6"/>
        <w:pageBreakBefore w:val="0"/>
        <w:widowControl w:val="0"/>
        <w:kinsoku/>
        <w:wordWrap/>
        <w:overflowPunct/>
        <w:topLinePunct/>
        <w:autoSpaceDE w:val="0"/>
        <w:autoSpaceDN/>
        <w:bidi w:val="0"/>
        <w:adjustRightInd/>
        <w:snapToGrid/>
        <w:textAlignment w:val="auto"/>
        <w:rPr>
          <w:rFonts w:hint="default" w:ascii="Times New Roman" w:hAnsi="Times New Roman" w:eastAsia="宋体" w:cs="Times New Roman"/>
          <w:color w:val="auto"/>
        </w:rPr>
      </w:pPr>
      <w:bookmarkStart w:id="144" w:name="_Toc21225"/>
      <w:r>
        <w:rPr>
          <w:rFonts w:hint="default" w:ascii="Times New Roman" w:hAnsi="Times New Roman" w:eastAsia="宋体" w:cs="Times New Roman"/>
          <w:color w:val="auto"/>
        </w:rPr>
        <w:t>2.4.1环境功能区划</w:t>
      </w:r>
      <w:bookmarkEnd w:id="144"/>
    </w:p>
    <w:p>
      <w:pPr>
        <w:pageBreakBefore w:val="0"/>
        <w:widowControl w:val="0"/>
        <w:kinsoku/>
        <w:wordWrap/>
        <w:overflowPunct/>
        <w:topLinePunct/>
        <w:autoSpaceDE w:val="0"/>
        <w:autoSpaceDN/>
        <w:bidi w:val="0"/>
        <w:adjustRightInd/>
        <w:snapToGrid/>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根据评价区功能区划和环境保护目标的要求，环境空气为二类功能区；地下水为农业及生活用水区，为Ⅲ类水质要求；声环境为2类功能区。</w:t>
      </w:r>
    </w:p>
    <w:p>
      <w:pPr>
        <w:pStyle w:val="6"/>
        <w:pageBreakBefore w:val="0"/>
        <w:widowControl w:val="0"/>
        <w:kinsoku/>
        <w:wordWrap/>
        <w:overflowPunct/>
        <w:topLinePunct/>
        <w:autoSpaceDE w:val="0"/>
        <w:autoSpaceDN/>
        <w:bidi w:val="0"/>
        <w:adjustRightInd/>
        <w:snapToGrid/>
        <w:textAlignment w:val="auto"/>
        <w:rPr>
          <w:rFonts w:hint="default" w:ascii="Times New Roman" w:hAnsi="Times New Roman" w:eastAsia="宋体" w:cs="Times New Roman"/>
          <w:color w:val="auto"/>
        </w:rPr>
      </w:pPr>
      <w:bookmarkStart w:id="145" w:name="_Toc16864"/>
      <w:r>
        <w:rPr>
          <w:rFonts w:hint="default" w:ascii="Times New Roman" w:hAnsi="Times New Roman" w:eastAsia="宋体" w:cs="Times New Roman"/>
          <w:color w:val="auto"/>
        </w:rPr>
        <w:t>2.4.2环境质量标准</w:t>
      </w:r>
      <w:bookmarkEnd w:id="145"/>
    </w:p>
    <w:p>
      <w:pPr>
        <w:pStyle w:val="7"/>
        <w:pageBreakBefore w:val="0"/>
        <w:widowControl w:val="0"/>
        <w:kinsoku/>
        <w:wordWrap/>
        <w:overflowPunct/>
        <w:topLinePunct/>
        <w:autoSpaceDE w:val="0"/>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2.4.2.1环境空气</w:t>
      </w:r>
    </w:p>
    <w:p>
      <w:pPr>
        <w:pageBreakBefore w:val="0"/>
        <w:widowControl w:val="0"/>
        <w:kinsoku/>
        <w:wordWrap/>
        <w:overflowPunct/>
        <w:topLinePunct/>
        <w:autoSpaceDE w:val="0"/>
        <w:autoSpaceDN/>
        <w:bidi w:val="0"/>
        <w:adjustRightInd/>
        <w:snapToGrid/>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项目所在区域属于环境空气质量二类功能区，</w:t>
      </w:r>
      <w:r>
        <w:rPr>
          <w:rFonts w:hint="default" w:ascii="Times New Roman" w:hAnsi="Times New Roman" w:eastAsia="宋体" w:cs="Times New Roman"/>
          <w:bCs/>
          <w:color w:val="auto"/>
        </w:rPr>
        <w:t>PM</w:t>
      </w:r>
      <w:r>
        <w:rPr>
          <w:rFonts w:hint="default" w:ascii="Times New Roman" w:hAnsi="Times New Roman" w:eastAsia="宋体" w:cs="Times New Roman"/>
          <w:bCs/>
          <w:color w:val="auto"/>
          <w:vertAlign w:val="subscript"/>
        </w:rPr>
        <w:t>10</w:t>
      </w:r>
      <w:r>
        <w:rPr>
          <w:rFonts w:hint="default" w:ascii="Times New Roman" w:hAnsi="Times New Roman" w:eastAsia="宋体" w:cs="Times New Roman"/>
          <w:bCs/>
          <w:color w:val="auto"/>
        </w:rPr>
        <w:t>、PM</w:t>
      </w:r>
      <w:r>
        <w:rPr>
          <w:rFonts w:hint="default" w:ascii="Times New Roman" w:hAnsi="Times New Roman" w:eastAsia="宋体" w:cs="Times New Roman"/>
          <w:bCs/>
          <w:color w:val="auto"/>
          <w:vertAlign w:val="subscript"/>
        </w:rPr>
        <w:t>2.5</w:t>
      </w:r>
      <w:r>
        <w:rPr>
          <w:rFonts w:hint="default" w:ascii="Times New Roman" w:hAnsi="Times New Roman" w:eastAsia="宋体" w:cs="Times New Roman"/>
          <w:bCs/>
          <w:color w:val="auto"/>
        </w:rPr>
        <w:t>、SO</w:t>
      </w:r>
      <w:r>
        <w:rPr>
          <w:rFonts w:hint="default" w:ascii="Times New Roman" w:hAnsi="Times New Roman" w:eastAsia="宋体" w:cs="Times New Roman"/>
          <w:bCs/>
          <w:color w:val="auto"/>
          <w:vertAlign w:val="subscript"/>
        </w:rPr>
        <w:t>2</w:t>
      </w:r>
      <w:r>
        <w:rPr>
          <w:rFonts w:hint="default" w:ascii="Times New Roman" w:hAnsi="Times New Roman" w:eastAsia="宋体" w:cs="Times New Roman"/>
          <w:bCs/>
          <w:color w:val="auto"/>
        </w:rPr>
        <w:t>、NO</w:t>
      </w:r>
      <w:r>
        <w:rPr>
          <w:rFonts w:hint="default" w:ascii="Times New Roman" w:hAnsi="Times New Roman" w:eastAsia="宋体" w:cs="Times New Roman"/>
          <w:bCs/>
          <w:color w:val="auto"/>
          <w:vertAlign w:val="subscript"/>
        </w:rPr>
        <w:t>2</w:t>
      </w:r>
      <w:r>
        <w:rPr>
          <w:rFonts w:hint="default" w:ascii="Times New Roman" w:hAnsi="Times New Roman" w:eastAsia="宋体" w:cs="Times New Roman"/>
          <w:bCs/>
          <w:color w:val="auto"/>
        </w:rPr>
        <w:t>、CO、O</w:t>
      </w:r>
      <w:r>
        <w:rPr>
          <w:rFonts w:hint="default" w:ascii="Times New Roman" w:hAnsi="Times New Roman" w:eastAsia="宋体" w:cs="Times New Roman"/>
          <w:bCs/>
          <w:color w:val="auto"/>
          <w:vertAlign w:val="subscript"/>
        </w:rPr>
        <w:t>3</w:t>
      </w:r>
      <w:r>
        <w:rPr>
          <w:rFonts w:hint="default" w:ascii="Times New Roman" w:hAnsi="Times New Roman" w:eastAsia="宋体" w:cs="Times New Roman"/>
          <w:color w:val="auto"/>
        </w:rPr>
        <w:t>执行《环境空气质量标准》（GB3095-2012）中的二级标准；NH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S执行《</w:t>
      </w:r>
      <w:r>
        <w:rPr>
          <w:rFonts w:hint="eastAsia" w:cs="Times New Roman"/>
          <w:color w:val="auto"/>
          <w:lang w:eastAsia="zh-CN"/>
        </w:rPr>
        <w:t>环境影响评价技术导则 大气环境</w:t>
      </w:r>
      <w:r>
        <w:rPr>
          <w:rFonts w:hint="default" w:ascii="Times New Roman" w:hAnsi="Times New Roman" w:eastAsia="宋体" w:cs="Times New Roman"/>
          <w:color w:val="auto"/>
        </w:rPr>
        <w:t>》（HJ2.2-2018）中的附录D其他污染物空气质量浓度参考限值，详见下表。</w:t>
      </w:r>
    </w:p>
    <w:p>
      <w:pPr>
        <w:pStyle w:val="8"/>
        <w:pageBreakBefore w:val="0"/>
        <w:widowControl w:val="0"/>
        <w:kinsoku/>
        <w:wordWrap/>
        <w:overflowPunct/>
        <w:topLinePunct/>
        <w:autoSpaceDE w:val="0"/>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表2.4-1    环境空气质量标准</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03"/>
        <w:gridCol w:w="937"/>
        <w:gridCol w:w="937"/>
        <w:gridCol w:w="2609"/>
        <w:gridCol w:w="1254"/>
        <w:gridCol w:w="256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Merge w:val="restar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520" w:type="pct"/>
            <w:vMerge w:val="restar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2664" w:type="pct"/>
            <w:gridSpan w:val="3"/>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浓度限值</w:t>
            </w:r>
            <w:r>
              <w:rPr>
                <w:rFonts w:hint="default" w:ascii="Times New Roman" w:hAnsi="Times New Roman" w:eastAsia="宋体" w:cs="Times New Roman"/>
                <w:bCs/>
                <w:color w:val="auto"/>
                <w:sz w:val="21"/>
                <w:szCs w:val="21"/>
              </w:rPr>
              <w:t>（单位：</w:t>
            </w:r>
            <w:r>
              <w:rPr>
                <w:rFonts w:hint="default" w:ascii="Times New Roman" w:hAnsi="Times New Roman" w:eastAsia="宋体" w:cs="Times New Roman"/>
                <w:color w:val="auto"/>
                <w:sz w:val="21"/>
                <w:szCs w:val="21"/>
              </w:rPr>
              <w:t>μg</w:t>
            </w:r>
            <w:r>
              <w:rPr>
                <w:rFonts w:hint="default" w:ascii="Times New Roman" w:hAnsi="Times New Roman" w:eastAsia="宋体" w:cs="Times New Roman"/>
                <w:bCs/>
                <w:color w:val="auto"/>
                <w:sz w:val="21"/>
                <w:szCs w:val="21"/>
              </w:rPr>
              <w:t>/Nm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p>
        </w:tc>
        <w:tc>
          <w:tcPr>
            <w:tcW w:w="1423" w:type="pct"/>
            <w:vMerge w:val="restar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标准来源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Merge w:val="continue"/>
            <w:vAlign w:val="center"/>
          </w:tcPr>
          <w:p>
            <w:pPr>
              <w:pStyle w:val="58"/>
              <w:rPr>
                <w:rFonts w:hint="default" w:ascii="Times New Roman" w:hAnsi="Times New Roman" w:eastAsia="宋体" w:cs="Times New Roman"/>
                <w:color w:val="auto"/>
                <w:sz w:val="21"/>
                <w:szCs w:val="21"/>
              </w:rPr>
            </w:pPr>
          </w:p>
        </w:tc>
        <w:tc>
          <w:tcPr>
            <w:tcW w:w="520" w:type="pct"/>
            <w:vMerge w:val="continue"/>
            <w:vAlign w:val="center"/>
          </w:tcPr>
          <w:p>
            <w:pPr>
              <w:pStyle w:val="58"/>
              <w:rPr>
                <w:rFonts w:hint="default" w:ascii="Times New Roman" w:hAnsi="Times New Roman" w:eastAsia="宋体" w:cs="Times New Roman"/>
                <w:color w:val="auto"/>
                <w:sz w:val="21"/>
                <w:szCs w:val="21"/>
              </w:rPr>
            </w:pP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日平均</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小时平均</w:t>
            </w:r>
          </w:p>
        </w:tc>
        <w:tc>
          <w:tcPr>
            <w:tcW w:w="1423" w:type="pct"/>
            <w:vMerge w:val="continue"/>
            <w:vAlign w:val="center"/>
          </w:tcPr>
          <w:p>
            <w:pPr>
              <w:pStyle w:val="58"/>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1423" w:type="pct"/>
            <w:vMerge w:val="restar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GB3095-2012二级标准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1423" w:type="pct"/>
            <w:vMerge w:val="continue"/>
            <w:vAlign w:val="center"/>
          </w:tcPr>
          <w:p>
            <w:pPr>
              <w:pStyle w:val="58"/>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Align w:val="center"/>
          </w:tcPr>
          <w:p>
            <w:pPr>
              <w:pStyle w:val="58"/>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3</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23" w:type="pct"/>
            <w:vMerge w:val="continue"/>
            <w:vAlign w:val="center"/>
          </w:tcPr>
          <w:p>
            <w:pPr>
              <w:pStyle w:val="58"/>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Align w:val="center"/>
          </w:tcPr>
          <w:p>
            <w:pPr>
              <w:pStyle w:val="58"/>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4</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2.5</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23" w:type="pct"/>
            <w:vMerge w:val="continue"/>
            <w:vAlign w:val="center"/>
          </w:tcPr>
          <w:p>
            <w:pPr>
              <w:pStyle w:val="58"/>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Align w:val="center"/>
          </w:tcPr>
          <w:p>
            <w:pPr>
              <w:pStyle w:val="58"/>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5</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160(日最大</w:t>
            </w:r>
            <w:r>
              <w:rPr>
                <w:rFonts w:hint="default" w:cs="Times New Roman"/>
                <w:color w:val="auto"/>
                <w:sz w:val="21"/>
                <w:szCs w:val="21"/>
              </w:rPr>
              <w:t>8</w:t>
            </w:r>
            <w:r>
              <w:rPr>
                <w:rFonts w:hint="default" w:ascii="Times New Roman" w:hAnsi="Times New Roman" w:eastAsia="宋体" w:cs="Times New Roman"/>
                <w:color w:val="auto"/>
                <w:sz w:val="21"/>
                <w:szCs w:val="21"/>
              </w:rPr>
              <w:t>小时平均)</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1423" w:type="pct"/>
            <w:vMerge w:val="continue"/>
            <w:vAlign w:val="center"/>
          </w:tcPr>
          <w:p>
            <w:pPr>
              <w:pStyle w:val="58"/>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Align w:val="center"/>
          </w:tcPr>
          <w:p>
            <w:pPr>
              <w:pStyle w:val="58"/>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6</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4(mg/m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10(mg/m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423" w:type="pct"/>
            <w:vMerge w:val="continue"/>
            <w:vAlign w:val="center"/>
          </w:tcPr>
          <w:p>
            <w:pPr>
              <w:pStyle w:val="58"/>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Align w:val="center"/>
          </w:tcPr>
          <w:p>
            <w:pPr>
              <w:pStyle w:val="58"/>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7</w:t>
            </w:r>
          </w:p>
        </w:tc>
        <w:tc>
          <w:tcPr>
            <w:tcW w:w="520" w:type="pct"/>
            <w:vAlign w:val="center"/>
          </w:tcPr>
          <w:p>
            <w:pPr>
              <w:pStyle w:val="58"/>
              <w:rPr>
                <w:rFonts w:hint="default" w:ascii="Times New Roman" w:hAnsi="Times New Roman" w:eastAsia="宋体" w:cs="Times New Roman"/>
                <w:bCs/>
                <w:color w:val="auto"/>
                <w:sz w:val="21"/>
                <w:szCs w:val="21"/>
                <w:lang w:bidi="en-US"/>
              </w:rPr>
            </w:pPr>
            <w:r>
              <w:rPr>
                <w:rFonts w:hint="default" w:ascii="Times New Roman" w:hAnsi="Times New Roman" w:eastAsia="宋体" w:cs="Times New Roman"/>
                <w:bCs/>
                <w:color w:val="auto"/>
                <w:sz w:val="21"/>
                <w:szCs w:val="21"/>
                <w:lang w:bidi="en-US"/>
              </w:rPr>
              <w:t>NH</w:t>
            </w:r>
            <w:r>
              <w:rPr>
                <w:rFonts w:hint="default" w:ascii="Times New Roman" w:hAnsi="Times New Roman" w:eastAsia="宋体" w:cs="Times New Roman"/>
                <w:bCs/>
                <w:color w:val="auto"/>
                <w:sz w:val="21"/>
                <w:szCs w:val="21"/>
                <w:vertAlign w:val="subscript"/>
                <w:lang w:bidi="en-US"/>
              </w:rPr>
              <w:t>3</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1423" w:type="pct"/>
            <w:vMerge w:val="restar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HJ2.2-2018表D.1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91" w:type="pct"/>
            <w:vAlign w:val="center"/>
          </w:tcPr>
          <w:p>
            <w:pPr>
              <w:pStyle w:val="58"/>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8</w:t>
            </w:r>
          </w:p>
        </w:tc>
        <w:tc>
          <w:tcPr>
            <w:tcW w:w="520" w:type="pct"/>
            <w:vAlign w:val="center"/>
          </w:tcPr>
          <w:p>
            <w:pPr>
              <w:pStyle w:val="58"/>
              <w:rPr>
                <w:rFonts w:hint="default" w:ascii="Times New Roman" w:hAnsi="Times New Roman" w:eastAsia="宋体" w:cs="Times New Roman"/>
                <w:bCs/>
                <w:color w:val="auto"/>
                <w:sz w:val="21"/>
                <w:szCs w:val="21"/>
                <w:lang w:bidi="en-US"/>
              </w:rPr>
            </w:pPr>
            <w:r>
              <w:rPr>
                <w:rFonts w:hint="default" w:ascii="Times New Roman" w:hAnsi="Times New Roman" w:eastAsia="宋体" w:cs="Times New Roman"/>
                <w:bCs/>
                <w:color w:val="auto"/>
                <w:sz w:val="21"/>
                <w:szCs w:val="21"/>
                <w:lang w:bidi="en-US"/>
              </w:rPr>
              <w:t>H</w:t>
            </w:r>
            <w:r>
              <w:rPr>
                <w:rFonts w:hint="default" w:ascii="Times New Roman" w:hAnsi="Times New Roman" w:eastAsia="宋体" w:cs="Times New Roman"/>
                <w:bCs/>
                <w:color w:val="auto"/>
                <w:sz w:val="21"/>
                <w:szCs w:val="21"/>
                <w:vertAlign w:val="subscript"/>
                <w:lang w:bidi="en-US"/>
              </w:rPr>
              <w:t>2</w:t>
            </w:r>
            <w:r>
              <w:rPr>
                <w:rFonts w:hint="default" w:ascii="Times New Roman" w:hAnsi="Times New Roman" w:eastAsia="宋体" w:cs="Times New Roman"/>
                <w:bCs/>
                <w:color w:val="auto"/>
                <w:sz w:val="21"/>
                <w:szCs w:val="21"/>
                <w:lang w:bidi="en-US"/>
              </w:rPr>
              <w:t>S</w:t>
            </w:r>
          </w:p>
        </w:tc>
        <w:tc>
          <w:tcPr>
            <w:tcW w:w="520"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48"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695" w:type="pc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423" w:type="pct"/>
            <w:vMerge w:val="continue"/>
            <w:vAlign w:val="center"/>
          </w:tcPr>
          <w:p>
            <w:pPr>
              <w:pStyle w:val="58"/>
              <w:rPr>
                <w:rFonts w:hint="default" w:ascii="Times New Roman" w:hAnsi="Times New Roman" w:eastAsia="宋体" w:cs="Times New Roman"/>
                <w:color w:val="auto"/>
                <w:sz w:val="21"/>
                <w:szCs w:val="21"/>
              </w:rPr>
            </w:pP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2.4.4.2地下水</w:t>
      </w:r>
      <w:r>
        <w:rPr>
          <w:rFonts w:hint="eastAsia" w:cs="Times New Roman"/>
          <w:color w:val="auto"/>
          <w:lang w:val="en-US" w:eastAsia="zh-Hans"/>
        </w:rPr>
        <w:t>环境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w:t>
      </w:r>
      <w:r>
        <w:rPr>
          <w:rFonts w:hint="default" w:ascii="Times New Roman" w:hAnsi="Times New Roman" w:eastAsia="宋体" w:cs="Times New Roman"/>
          <w:color w:val="auto"/>
          <w:lang w:eastAsia="zh-CN"/>
        </w:rPr>
        <w:t>区域</w:t>
      </w:r>
      <w:r>
        <w:rPr>
          <w:rFonts w:hint="default" w:ascii="Times New Roman" w:hAnsi="Times New Roman" w:eastAsia="宋体" w:cs="Times New Roman"/>
          <w:color w:val="auto"/>
        </w:rPr>
        <w:t>地下水</w:t>
      </w:r>
      <w:r>
        <w:rPr>
          <w:rFonts w:hint="default" w:ascii="Times New Roman" w:hAnsi="Times New Roman" w:eastAsia="宋体" w:cs="Times New Roman"/>
          <w:color w:val="auto"/>
          <w:lang w:eastAsia="zh-CN"/>
        </w:rPr>
        <w:t>环境质量</w:t>
      </w:r>
      <w:r>
        <w:rPr>
          <w:rFonts w:hint="default" w:ascii="Times New Roman" w:hAnsi="Times New Roman" w:eastAsia="宋体" w:cs="Times New Roman"/>
          <w:color w:val="auto"/>
        </w:rPr>
        <w:t>执行《地下水质量标准》（GB/T14848-2017)III类标准，各污染物浓度限值详见下表。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表2.4-2    地下水质量标准</w:t>
      </w:r>
    </w:p>
    <w:tbl>
      <w:tblPr>
        <w:tblStyle w:val="34"/>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32"/>
        <w:gridCol w:w="4092"/>
        <w:gridCol w:w="3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序号</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监测项目</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957" w:type="dxa"/>
            <w:gridSpan w:val="3"/>
            <w:tcBorders>
              <w:left w:val="nil"/>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感官性状及一般化学指标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pH</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color w:val="auto"/>
                <w:sz w:val="21"/>
                <w:szCs w:val="21"/>
              </w:rPr>
              <w:t>6.5</w:t>
            </w:r>
            <w:r>
              <w:rPr>
                <w:rFonts w:hint="eastAsia"/>
                <w:color w:val="auto"/>
                <w:sz w:val="21"/>
                <w:szCs w:val="21"/>
              </w:rPr>
              <w:t>≤pH≤</w:t>
            </w:r>
            <w:r>
              <w:rPr>
                <w:color w:val="auto"/>
                <w:sz w:val="21"/>
                <w:szCs w:val="21"/>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2</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color w:val="auto"/>
                <w:sz w:val="21"/>
                <w:szCs w:val="21"/>
              </w:rPr>
              <w:t>总硬度</w:t>
            </w:r>
            <w:r>
              <w:rPr>
                <w:rFonts w:hint="eastAsia"/>
                <w:color w:val="auto"/>
                <w:sz w:val="21"/>
                <w:szCs w:val="21"/>
              </w:rPr>
              <w:t>（以CaCO</w:t>
            </w:r>
            <w:r>
              <w:rPr>
                <w:rFonts w:hint="eastAsia"/>
                <w:color w:val="auto"/>
                <w:sz w:val="21"/>
                <w:szCs w:val="21"/>
                <w:vertAlign w:val="subscript"/>
              </w:rPr>
              <w:t>3</w:t>
            </w:r>
            <w:r>
              <w:rPr>
                <w:rFonts w:hint="eastAsia"/>
                <w:color w:val="auto"/>
                <w:sz w:val="21"/>
                <w:szCs w:val="21"/>
              </w:rPr>
              <w:t>计）/（mg/L）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3</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color w:val="auto"/>
                <w:sz w:val="21"/>
                <w:szCs w:val="21"/>
              </w:rPr>
              <w:t>溶解性总固体</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4</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color w:val="auto"/>
                <w:sz w:val="21"/>
                <w:szCs w:val="21"/>
              </w:rPr>
              <w:t>硫酸盐</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5</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color w:val="auto"/>
                <w:sz w:val="21"/>
                <w:szCs w:val="21"/>
              </w:rPr>
              <w:t>氯化物</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6</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color w:val="auto"/>
                <w:sz w:val="21"/>
                <w:szCs w:val="21"/>
              </w:rPr>
              <w:t>铁</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7</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color w:val="auto"/>
                <w:sz w:val="21"/>
                <w:szCs w:val="21"/>
              </w:rPr>
              <w:t>锰</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0.1</w:t>
            </w:r>
            <w:r>
              <w:rPr>
                <w:rFonts w:hint="eastAsia"/>
                <w:color w:val="auto"/>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8</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color w:val="auto"/>
                <w:sz w:val="21"/>
                <w:szCs w:val="21"/>
              </w:rPr>
              <w:t>铜</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1.0</w:t>
            </w:r>
            <w:r>
              <w:rPr>
                <w:rFonts w:hint="eastAsia"/>
                <w:color w:val="auto"/>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9</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color w:val="auto"/>
                <w:sz w:val="21"/>
                <w:szCs w:val="21"/>
              </w:rPr>
              <w:t>锌</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1.0</w:t>
            </w:r>
            <w:r>
              <w:rPr>
                <w:rFonts w:hint="eastAsia"/>
                <w:color w:val="auto"/>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10</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钼/（mg/L）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11</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挥发性酚类（以苯酚计）/（mg/L）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12</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阴离子表面活性剂/（mg/L）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13</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耗氧量（COD</w:t>
            </w:r>
            <w:r>
              <w:rPr>
                <w:rFonts w:hint="eastAsia"/>
                <w:color w:val="auto"/>
                <w:sz w:val="21"/>
                <w:szCs w:val="21"/>
                <w:vertAlign w:val="subscript"/>
              </w:rPr>
              <w:t>Mn</w:t>
            </w:r>
            <w:r>
              <w:rPr>
                <w:rFonts w:hint="eastAsia"/>
                <w:color w:val="auto"/>
                <w:sz w:val="21"/>
                <w:szCs w:val="21"/>
              </w:rPr>
              <w:t>法，以O</w:t>
            </w:r>
            <w:r>
              <w:rPr>
                <w:rFonts w:hint="eastAsia"/>
                <w:color w:val="auto"/>
                <w:sz w:val="21"/>
                <w:szCs w:val="21"/>
                <w:vertAlign w:val="subscript"/>
              </w:rPr>
              <w:t>2</w:t>
            </w:r>
            <w:r>
              <w:rPr>
                <w:rFonts w:hint="eastAsia"/>
                <w:color w:val="auto"/>
                <w:sz w:val="21"/>
                <w:szCs w:val="21"/>
              </w:rPr>
              <w:t>计）/（mg/L）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14</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氨氮（以N计）/（mg/L）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15</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硫化物/（mg/L）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16</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钠/（mg/L）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957" w:type="dxa"/>
            <w:gridSpan w:val="3"/>
            <w:tcBorders>
              <w:left w:val="nil"/>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微生物指标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17</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总大肠菌群/（MPN/100mL或CFU/100mL）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18</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菌落总数/（CFU/mL）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957" w:type="dxa"/>
            <w:gridSpan w:val="3"/>
            <w:tcBorders>
              <w:left w:val="nil"/>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毒理学指标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19</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亚硝酸盐（以N计）/（mg/L）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color w:val="auto"/>
                <w:sz w:val="21"/>
                <w:szCs w:val="21"/>
              </w:rPr>
            </w:pPr>
            <w:r>
              <w:rPr>
                <w:color w:val="auto"/>
                <w:sz w:val="21"/>
                <w:szCs w:val="21"/>
              </w:rPr>
              <w:t>20</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硝酸盐（以N计）/（mg/L）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21</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color w:val="auto"/>
                <w:sz w:val="21"/>
                <w:szCs w:val="21"/>
              </w:rPr>
              <w:t>氰化物</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22</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氟</w:t>
            </w:r>
            <w:r>
              <w:rPr>
                <w:color w:val="auto"/>
                <w:sz w:val="21"/>
                <w:szCs w:val="21"/>
              </w:rPr>
              <w:t>化物</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23</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碘</w:t>
            </w:r>
            <w:r>
              <w:rPr>
                <w:color w:val="auto"/>
                <w:sz w:val="21"/>
                <w:szCs w:val="21"/>
              </w:rPr>
              <w:t>化物</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24</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color w:val="auto"/>
                <w:sz w:val="21"/>
                <w:szCs w:val="21"/>
              </w:rPr>
              <w:t>汞</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25</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color w:val="auto"/>
                <w:sz w:val="21"/>
                <w:szCs w:val="21"/>
              </w:rPr>
              <w:t>砷</w:t>
            </w:r>
            <w:r>
              <w:rPr>
                <w:rFonts w:hint="eastAsia"/>
                <w:color w:val="auto"/>
                <w:sz w:val="21"/>
                <w:szCs w:val="21"/>
              </w:rPr>
              <w:t>/（mg/L）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0.0</w:t>
            </w:r>
            <w:r>
              <w:rPr>
                <w:rFonts w:hint="eastAsia"/>
                <w:color w:val="auto"/>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26</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硒/（mg/L）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0.0</w:t>
            </w:r>
            <w:r>
              <w:rPr>
                <w:rFonts w:hint="eastAsia"/>
                <w:color w:val="auto"/>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27</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镉/（mg/L）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0.0</w:t>
            </w:r>
            <w:r>
              <w:rPr>
                <w:rFonts w:hint="eastAsia"/>
                <w:color w:val="auto"/>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28</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铬（六价）/（mg/L）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0.0</w:t>
            </w:r>
            <w:r>
              <w:rPr>
                <w:rFonts w:hint="eastAsia"/>
                <w:color w:val="auto"/>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32"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color w:val="auto"/>
                <w:sz w:val="21"/>
                <w:szCs w:val="21"/>
              </w:rPr>
            </w:pPr>
            <w:r>
              <w:rPr>
                <w:rFonts w:hint="eastAsia"/>
                <w:color w:val="auto"/>
                <w:sz w:val="21"/>
                <w:szCs w:val="21"/>
              </w:rPr>
              <w:t>29</w:t>
            </w:r>
          </w:p>
        </w:tc>
        <w:tc>
          <w:tcPr>
            <w:tcW w:w="4092" w:type="dxa"/>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铅/（mg/L）</w:t>
            </w:r>
          </w:p>
        </w:tc>
        <w:tc>
          <w:tcPr>
            <w:tcW w:w="3433"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atLeast"/>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color w:val="auto"/>
                <w:sz w:val="21"/>
                <w:szCs w:val="21"/>
              </w:rPr>
              <w:t>≤</w:t>
            </w:r>
            <w:r>
              <w:rPr>
                <w:color w:val="auto"/>
                <w:sz w:val="21"/>
                <w:szCs w:val="21"/>
              </w:rPr>
              <w:t>0.0</w:t>
            </w:r>
            <w:r>
              <w:rPr>
                <w:rFonts w:hint="eastAsia"/>
                <w:color w:val="auto"/>
                <w:sz w:val="21"/>
                <w:szCs w:val="21"/>
              </w:rPr>
              <w:t>1</w:t>
            </w: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2.4.4.</w:t>
      </w:r>
      <w:r>
        <w:rPr>
          <w:rFonts w:hint="eastAsia" w:cs="Times New Roman"/>
          <w:color w:val="auto"/>
          <w:lang w:val="en-US" w:eastAsia="zh-CN"/>
        </w:rPr>
        <w:t>3</w:t>
      </w:r>
      <w:r>
        <w:rPr>
          <w:rFonts w:hint="default" w:ascii="Times New Roman" w:hAnsi="Times New Roman" w:eastAsia="宋体" w:cs="Times New Roman"/>
          <w:color w:val="auto"/>
        </w:rPr>
        <w:t>声环境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项目所在区域执行《声环境质量标准》（GB3096-2008）中2类标准，见下表。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表2.4-</w:t>
      </w:r>
      <w:r>
        <w:rPr>
          <w:rFonts w:hint="eastAsia" w:cs="Times New Roman"/>
          <w:color w:val="auto"/>
          <w:lang w:val="en-US" w:eastAsia="zh-CN"/>
        </w:rPr>
        <w:t>3</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 xml:space="preserve">   声环境质量标准</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44"/>
        <w:gridCol w:w="1162"/>
        <w:gridCol w:w="1855"/>
        <w:gridCol w:w="1855"/>
        <w:gridCol w:w="25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858"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功能区</w:t>
            </w:r>
          </w:p>
        </w:tc>
        <w:tc>
          <w:tcPr>
            <w:tcW w:w="645"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类别</w:t>
            </w:r>
          </w:p>
        </w:tc>
        <w:tc>
          <w:tcPr>
            <w:tcW w:w="103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昼间</w:t>
            </w:r>
          </w:p>
        </w:tc>
        <w:tc>
          <w:tcPr>
            <w:tcW w:w="103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夜间</w:t>
            </w:r>
          </w:p>
        </w:tc>
        <w:tc>
          <w:tcPr>
            <w:tcW w:w="1438"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标准来源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858"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村庄</w:t>
            </w:r>
          </w:p>
        </w:tc>
        <w:tc>
          <w:tcPr>
            <w:tcW w:w="645"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w:t>
            </w:r>
          </w:p>
        </w:tc>
        <w:tc>
          <w:tcPr>
            <w:tcW w:w="103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60dB(A)</w:t>
            </w:r>
          </w:p>
        </w:tc>
        <w:tc>
          <w:tcPr>
            <w:tcW w:w="103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50dB(A)</w:t>
            </w:r>
          </w:p>
        </w:tc>
        <w:tc>
          <w:tcPr>
            <w:tcW w:w="1438"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GB3096-2008</w:t>
            </w:r>
          </w:p>
        </w:tc>
      </w:tr>
    </w:tbl>
    <w:p>
      <w:pPr>
        <w:pStyle w:val="6"/>
        <w:rPr>
          <w:rFonts w:hint="default" w:ascii="Times New Roman" w:hAnsi="Times New Roman" w:eastAsia="宋体" w:cs="Times New Roman"/>
          <w:color w:val="auto"/>
        </w:rPr>
      </w:pPr>
      <w:bookmarkStart w:id="146" w:name="_Toc7110"/>
      <w:r>
        <w:rPr>
          <w:rFonts w:hint="default" w:ascii="Times New Roman" w:hAnsi="Times New Roman" w:eastAsia="宋体" w:cs="Times New Roman"/>
          <w:color w:val="auto"/>
        </w:rPr>
        <w:t>2.4.3污染物排放标准</w:t>
      </w:r>
      <w:bookmarkEnd w:id="146"/>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2.4.3.</w:t>
      </w:r>
      <w:r>
        <w:rPr>
          <w:rFonts w:hint="eastAsia" w:cs="Times New Roman"/>
          <w:color w:val="auto"/>
          <w:lang w:val="en-US" w:eastAsia="zh-CN"/>
        </w:rPr>
        <w:t>1</w:t>
      </w:r>
      <w:r>
        <w:rPr>
          <w:rFonts w:hint="default" w:ascii="Times New Roman" w:hAnsi="Times New Roman" w:eastAsia="宋体" w:cs="Times New Roman"/>
          <w:color w:val="auto"/>
        </w:rPr>
        <w:t>废水</w:t>
      </w:r>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根据《畜禽规模养殖污染防治条例》（国务院第26次常务会议，2014年</w:t>
      </w:r>
      <w:r>
        <w:rPr>
          <w:rFonts w:hint="eastAsia" w:cs="Times New Roman"/>
          <w:color w:val="auto"/>
          <w:szCs w:val="24"/>
          <w:lang w:val="en-US" w:eastAsia="zh-CN"/>
        </w:rPr>
        <w:t>1</w:t>
      </w:r>
      <w:r>
        <w:rPr>
          <w:rFonts w:hint="default" w:ascii="Times New Roman" w:hAnsi="Times New Roman" w:eastAsia="宋体" w:cs="Times New Roman"/>
          <w:color w:val="auto"/>
          <w:szCs w:val="24"/>
        </w:rPr>
        <w:t>月</w:t>
      </w:r>
      <w:r>
        <w:rPr>
          <w:rFonts w:hint="eastAsia" w:cs="Times New Roman"/>
          <w:color w:val="auto"/>
          <w:szCs w:val="24"/>
          <w:lang w:val="en-US" w:eastAsia="zh-CN"/>
        </w:rPr>
        <w:t>1</w:t>
      </w:r>
      <w:r>
        <w:rPr>
          <w:rFonts w:hint="default" w:ascii="Times New Roman" w:hAnsi="Times New Roman" w:eastAsia="宋体" w:cs="Times New Roman"/>
          <w:color w:val="auto"/>
          <w:szCs w:val="24"/>
        </w:rPr>
        <w:t>日实施）中的“第十六条 国家鼓励和支持采取种植和养殖相结合的方式消纳利用畜禽养殖废弃物，促进畜禽粪便、污水等废弃物就地就近利用”。同时依据《农业农村部办公厅、生态环境部办公厅关于进一步明确畜禽粪污还田利用要求强化养殖污染监管的通知》（农办牧〔2020〕23号）中的还田利用标准规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FF0000"/>
          <w:szCs w:val="24"/>
        </w:rPr>
        <w:t>本项目运行期养殖产生的</w:t>
      </w:r>
      <w:r>
        <w:rPr>
          <w:rFonts w:hint="eastAsia" w:cs="Times New Roman"/>
          <w:color w:val="FF0000"/>
          <w:szCs w:val="24"/>
          <w:lang w:eastAsia="zh-CN"/>
        </w:rPr>
        <w:t>养殖废水</w:t>
      </w:r>
      <w:r>
        <w:rPr>
          <w:rFonts w:hint="default" w:ascii="Times New Roman" w:hAnsi="Times New Roman" w:eastAsia="宋体" w:cs="Times New Roman"/>
          <w:color w:val="FF0000"/>
          <w:szCs w:val="24"/>
        </w:rPr>
        <w:t>经“</w:t>
      </w:r>
      <w:r>
        <w:rPr>
          <w:rFonts w:hint="eastAsia" w:cs="Times New Roman"/>
          <w:color w:val="FF0000"/>
          <w:szCs w:val="24"/>
          <w:lang w:val="en-US" w:eastAsia="zh-CN"/>
        </w:rPr>
        <w:t>化粪池+固液分离+氧化塘</w:t>
      </w:r>
      <w:r>
        <w:rPr>
          <w:rFonts w:hint="default" w:ascii="Times New Roman" w:hAnsi="Times New Roman" w:eastAsia="宋体" w:cs="Times New Roman"/>
          <w:color w:val="FF0000"/>
          <w:szCs w:val="24"/>
        </w:rPr>
        <w:t>”进行</w:t>
      </w:r>
      <w:r>
        <w:rPr>
          <w:rFonts w:hint="eastAsia" w:cs="Times New Roman"/>
          <w:color w:val="FF0000"/>
          <w:szCs w:val="24"/>
          <w:lang w:eastAsia="zh-CN"/>
        </w:rPr>
        <w:t>无害化</w:t>
      </w:r>
      <w:r>
        <w:rPr>
          <w:rFonts w:hint="default" w:ascii="Times New Roman" w:hAnsi="Times New Roman" w:eastAsia="宋体" w:cs="Times New Roman"/>
          <w:color w:val="FF0000"/>
          <w:szCs w:val="24"/>
        </w:rPr>
        <w:t>处理，经处理后作为液体肥料还田</w:t>
      </w:r>
      <w:r>
        <w:rPr>
          <w:rFonts w:hint="eastAsia" w:cs="Times New Roman"/>
          <w:color w:val="FF0000"/>
          <w:szCs w:val="24"/>
          <w:lang w:eastAsia="zh-CN"/>
        </w:rPr>
        <w:t>利用</w:t>
      </w:r>
      <w:r>
        <w:rPr>
          <w:rFonts w:hint="default" w:ascii="Times New Roman" w:hAnsi="Times New Roman" w:eastAsia="宋体" w:cs="Times New Roman"/>
          <w:color w:val="FF0000"/>
          <w:szCs w:val="24"/>
        </w:rPr>
        <w:t>。其各项指标参照执行《畜禽粪便无害化处理技术规范》（GB/T36195-2018）、《畜禽粪便还田技术规范》（GB/T25246-2010）中相关要求，具体</w:t>
      </w:r>
      <w:r>
        <w:rPr>
          <w:rFonts w:hint="eastAsia" w:cs="Times New Roman"/>
          <w:color w:val="FF0000"/>
          <w:szCs w:val="24"/>
          <w:lang w:eastAsia="zh-CN"/>
        </w:rPr>
        <w:t>要求</w:t>
      </w:r>
      <w:r>
        <w:rPr>
          <w:rFonts w:hint="default" w:ascii="Times New Roman" w:hAnsi="Times New Roman" w:eastAsia="宋体" w:cs="Times New Roman"/>
          <w:color w:val="FF0000"/>
          <w:szCs w:val="24"/>
        </w:rPr>
        <w:t>见</w:t>
      </w:r>
      <w:r>
        <w:rPr>
          <w:rFonts w:hint="default" w:ascii="Times New Roman" w:hAnsi="Times New Roman" w:eastAsia="宋体" w:cs="Times New Roman"/>
          <w:color w:val="FF0000"/>
        </w:rPr>
        <w:t>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表2.4-</w:t>
      </w:r>
      <w:r>
        <w:rPr>
          <w:rFonts w:hint="eastAsia" w:cs="Times New Roman"/>
          <w:color w:val="auto"/>
          <w:lang w:val="en-US" w:eastAsia="zh-CN"/>
        </w:rPr>
        <w:t>4</w:t>
      </w:r>
      <w:r>
        <w:rPr>
          <w:rFonts w:hint="default" w:ascii="Times New Roman" w:hAnsi="Times New Roman" w:eastAsia="宋体" w:cs="Times New Roman"/>
          <w:color w:val="auto"/>
        </w:rPr>
        <w:t xml:space="preserve">    粪污农肥综合利用标准节选表</w:t>
      </w:r>
    </w:p>
    <w:tbl>
      <w:tblPr>
        <w:tblStyle w:val="34"/>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50"/>
        <w:gridCol w:w="2251"/>
        <w:gridCol w:w="3355"/>
        <w:gridCol w:w="11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0"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标准名称</w:t>
            </w:r>
          </w:p>
        </w:tc>
        <w:tc>
          <w:tcPr>
            <w:tcW w:w="2251" w:type="dxa"/>
            <w:vAlign w:val="center"/>
          </w:tcPr>
          <w:p>
            <w:pPr>
              <w:pStyle w:val="58"/>
              <w:rPr>
                <w:rFonts w:hint="eastAsia" w:ascii="Times New Roman" w:hAnsi="Times New Roman" w:eastAsia="宋体" w:cs="Times New Roman"/>
                <w:color w:val="FF0000"/>
                <w:sz w:val="21"/>
                <w:szCs w:val="21"/>
                <w:lang w:eastAsia="zh-CN"/>
              </w:rPr>
            </w:pPr>
            <w:r>
              <w:rPr>
                <w:rFonts w:hint="eastAsia" w:cs="Times New Roman"/>
                <w:color w:val="FF0000"/>
                <w:sz w:val="21"/>
                <w:szCs w:val="21"/>
                <w:lang w:eastAsia="zh-CN"/>
              </w:rPr>
              <w:t>项目</w:t>
            </w:r>
          </w:p>
        </w:tc>
        <w:tc>
          <w:tcPr>
            <w:tcW w:w="3355" w:type="dxa"/>
            <w:vAlign w:val="center"/>
          </w:tcPr>
          <w:p>
            <w:pPr>
              <w:pStyle w:val="58"/>
              <w:rPr>
                <w:rFonts w:hint="eastAsia" w:ascii="Times New Roman" w:hAnsi="Times New Roman" w:eastAsia="宋体" w:cs="Times New Roman"/>
                <w:color w:val="FF0000"/>
                <w:sz w:val="21"/>
                <w:szCs w:val="21"/>
                <w:lang w:eastAsia="zh-CN"/>
              </w:rPr>
            </w:pPr>
            <w:r>
              <w:rPr>
                <w:rFonts w:hint="eastAsia" w:cs="Times New Roman"/>
                <w:color w:val="FF0000"/>
                <w:sz w:val="21"/>
                <w:szCs w:val="21"/>
                <w:lang w:eastAsia="zh-CN"/>
              </w:rPr>
              <w:t>卫生学要求</w:t>
            </w:r>
          </w:p>
        </w:tc>
        <w:tc>
          <w:tcPr>
            <w:tcW w:w="1147"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0" w:type="dxa"/>
            <w:vMerge w:val="restart"/>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《畜禽粪便无害化处理技术规范》（GB/T36195-2018）表2</w:t>
            </w:r>
            <w:r>
              <w:rPr>
                <w:rFonts w:hint="eastAsia" w:cs="Times New Roman"/>
                <w:color w:val="FF0000"/>
                <w:sz w:val="21"/>
                <w:szCs w:val="21"/>
                <w:lang w:val="en-US" w:eastAsia="zh-CN"/>
              </w:rPr>
              <w:t xml:space="preserve"> </w:t>
            </w:r>
            <w:r>
              <w:rPr>
                <w:rFonts w:hint="default" w:ascii="Times New Roman" w:hAnsi="Times New Roman" w:eastAsia="宋体" w:cs="Times New Roman"/>
                <w:color w:val="FF0000"/>
                <w:sz w:val="21"/>
                <w:szCs w:val="21"/>
              </w:rPr>
              <w:t>液体畜禽粪便厌氧处理卫生学要求</w:t>
            </w:r>
          </w:p>
        </w:tc>
        <w:tc>
          <w:tcPr>
            <w:tcW w:w="2251"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蛔虫卵</w:t>
            </w:r>
          </w:p>
        </w:tc>
        <w:tc>
          <w:tcPr>
            <w:tcW w:w="3355"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死亡率≥95%</w:t>
            </w:r>
          </w:p>
        </w:tc>
        <w:tc>
          <w:tcPr>
            <w:tcW w:w="1147" w:type="dxa"/>
            <w:vMerge w:val="restart"/>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无害化处理</w:t>
            </w:r>
            <w:r>
              <w:rPr>
                <w:rFonts w:hint="eastAsia" w:cs="Times New Roman"/>
                <w:color w:val="FF0000"/>
                <w:sz w:val="21"/>
                <w:szCs w:val="21"/>
                <w:lang w:eastAsia="zh-CN"/>
              </w:rPr>
              <w:t>后</w:t>
            </w:r>
            <w:r>
              <w:rPr>
                <w:rFonts w:hint="default" w:ascii="Times New Roman" w:hAnsi="Times New Roman" w:eastAsia="宋体" w:cs="Times New Roman"/>
                <w:color w:val="FF0000"/>
                <w:sz w:val="21"/>
                <w:szCs w:val="21"/>
              </w:rPr>
              <w:t>还田利用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0" w:type="dxa"/>
            <w:vMerge w:val="continue"/>
            <w:vAlign w:val="center"/>
          </w:tcPr>
          <w:p>
            <w:pPr>
              <w:pStyle w:val="58"/>
              <w:rPr>
                <w:rFonts w:hint="default" w:ascii="Times New Roman" w:hAnsi="Times New Roman" w:eastAsia="宋体" w:cs="Times New Roman"/>
                <w:color w:val="FF0000"/>
                <w:sz w:val="21"/>
                <w:szCs w:val="21"/>
              </w:rPr>
            </w:pPr>
          </w:p>
        </w:tc>
        <w:tc>
          <w:tcPr>
            <w:tcW w:w="2251"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钩虫卵</w:t>
            </w:r>
          </w:p>
        </w:tc>
        <w:tc>
          <w:tcPr>
            <w:tcW w:w="3355"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在使用的粪液中不应检出活的钩虫卵</w:t>
            </w:r>
          </w:p>
        </w:tc>
        <w:tc>
          <w:tcPr>
            <w:tcW w:w="1147" w:type="dxa"/>
            <w:vMerge w:val="continue"/>
            <w:vAlign w:val="center"/>
          </w:tcPr>
          <w:p>
            <w:pPr>
              <w:pStyle w:val="58"/>
              <w:rPr>
                <w:rFonts w:hint="default" w:ascii="Times New Roman" w:hAnsi="Times New Roman" w:eastAsia="宋体" w:cs="Times New Roman"/>
                <w:color w:val="FF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0" w:type="dxa"/>
            <w:vMerge w:val="continue"/>
            <w:vAlign w:val="center"/>
          </w:tcPr>
          <w:p>
            <w:pPr>
              <w:pStyle w:val="58"/>
              <w:rPr>
                <w:rFonts w:hint="default" w:ascii="Times New Roman" w:hAnsi="Times New Roman" w:eastAsia="宋体" w:cs="Times New Roman"/>
                <w:color w:val="FF0000"/>
                <w:sz w:val="21"/>
                <w:szCs w:val="21"/>
              </w:rPr>
            </w:pPr>
          </w:p>
        </w:tc>
        <w:tc>
          <w:tcPr>
            <w:tcW w:w="2251"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粪大肠菌群数</w:t>
            </w:r>
          </w:p>
        </w:tc>
        <w:tc>
          <w:tcPr>
            <w:tcW w:w="3355" w:type="dxa"/>
            <w:vAlign w:val="center"/>
          </w:tcPr>
          <w:p>
            <w:pPr>
              <w:pStyle w:val="58"/>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eastAsia="zh-CN"/>
              </w:rPr>
              <w:t>常温沼气发酵小于等于</w:t>
            </w:r>
            <w:r>
              <w:rPr>
                <w:rFonts w:hint="eastAsia" w:cs="Times New Roman"/>
                <w:color w:val="FF0000"/>
                <w:sz w:val="21"/>
                <w:szCs w:val="21"/>
                <w:lang w:val="en-US" w:eastAsia="zh-CN"/>
              </w:rPr>
              <w:t>10</w:t>
            </w:r>
            <w:r>
              <w:rPr>
                <w:rFonts w:hint="eastAsia" w:cs="Times New Roman"/>
                <w:color w:val="FF0000"/>
                <w:sz w:val="21"/>
                <w:szCs w:val="21"/>
                <w:vertAlign w:val="superscript"/>
                <w:lang w:val="en-US" w:eastAsia="zh-CN"/>
              </w:rPr>
              <w:t>5</w:t>
            </w:r>
            <w:r>
              <w:rPr>
                <w:rFonts w:hint="eastAsia" w:cs="Times New Roman"/>
                <w:color w:val="FF0000"/>
                <w:sz w:val="21"/>
                <w:szCs w:val="21"/>
                <w:lang w:val="en-US" w:eastAsia="zh-CN"/>
              </w:rPr>
              <w:t>个/L</w:t>
            </w:r>
          </w:p>
        </w:tc>
        <w:tc>
          <w:tcPr>
            <w:tcW w:w="1147" w:type="dxa"/>
            <w:vMerge w:val="continue"/>
            <w:vAlign w:val="center"/>
          </w:tcPr>
          <w:p>
            <w:pPr>
              <w:pStyle w:val="58"/>
              <w:rPr>
                <w:rFonts w:hint="default" w:ascii="Times New Roman" w:hAnsi="Times New Roman" w:eastAsia="宋体" w:cs="Times New Roman"/>
                <w:color w:val="FF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0" w:type="dxa"/>
            <w:vMerge w:val="continue"/>
            <w:vAlign w:val="center"/>
          </w:tcPr>
          <w:p>
            <w:pPr>
              <w:pStyle w:val="58"/>
              <w:rPr>
                <w:rFonts w:hint="default" w:ascii="Times New Roman" w:hAnsi="Times New Roman" w:eastAsia="宋体" w:cs="Times New Roman"/>
                <w:color w:val="FF0000"/>
                <w:sz w:val="21"/>
                <w:szCs w:val="21"/>
              </w:rPr>
            </w:pPr>
          </w:p>
        </w:tc>
        <w:tc>
          <w:tcPr>
            <w:tcW w:w="2251"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蚊子、苍蝇</w:t>
            </w:r>
          </w:p>
        </w:tc>
        <w:tc>
          <w:tcPr>
            <w:tcW w:w="3355" w:type="dxa"/>
            <w:vAlign w:val="center"/>
          </w:tcPr>
          <w:p>
            <w:pPr>
              <w:pStyle w:val="58"/>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有效的控制蚊蝇孽生，粪液中不应有蚊蝇幼虫，池的周围无活的蛆、蛹或新羽化的成蝇</w:t>
            </w:r>
          </w:p>
        </w:tc>
        <w:tc>
          <w:tcPr>
            <w:tcW w:w="1147" w:type="dxa"/>
            <w:vMerge w:val="continue"/>
            <w:tcBorders>
              <w:bottom w:val="single" w:color="auto" w:sz="4" w:space="0"/>
            </w:tcBorders>
            <w:vAlign w:val="center"/>
          </w:tcPr>
          <w:p>
            <w:pPr>
              <w:pStyle w:val="58"/>
              <w:rPr>
                <w:rFonts w:hint="default" w:ascii="Times New Roman" w:hAnsi="Times New Roman" w:eastAsia="宋体" w:cs="Times New Roman"/>
                <w:color w:val="FF0000"/>
                <w:sz w:val="21"/>
                <w:szCs w:val="21"/>
              </w:rPr>
            </w:pP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2.4.3.</w:t>
      </w:r>
      <w:r>
        <w:rPr>
          <w:rFonts w:hint="eastAsia" w:cs="Times New Roman"/>
          <w:color w:val="auto"/>
          <w:lang w:val="en-US" w:eastAsia="zh-CN"/>
        </w:rPr>
        <w:t>2</w:t>
      </w:r>
      <w:r>
        <w:rPr>
          <w:rFonts w:hint="default" w:ascii="Times New Roman" w:hAnsi="Times New Roman" w:eastAsia="宋体" w:cs="Times New Roman"/>
          <w:color w:val="auto"/>
        </w:rPr>
        <w:t>废气</w:t>
      </w:r>
    </w:p>
    <w:p>
      <w:pPr>
        <w:ind w:firstLine="480"/>
        <w:rPr>
          <w:rFonts w:hint="default" w:ascii="Times New Roman" w:hAnsi="Times New Roman" w:eastAsia="宋体" w:cs="Times New Roman"/>
          <w:color w:val="auto"/>
        </w:rPr>
      </w:pPr>
      <w:r>
        <w:rPr>
          <w:rFonts w:hint="eastAsia" w:cs="Times New Roman"/>
          <w:color w:val="auto"/>
          <w:lang w:eastAsia="zh-CN"/>
        </w:rPr>
        <w:t>本</w:t>
      </w:r>
      <w:r>
        <w:rPr>
          <w:rFonts w:hint="default" w:ascii="Times New Roman" w:hAnsi="Times New Roman" w:eastAsia="宋体" w:cs="Times New Roman"/>
          <w:color w:val="auto"/>
        </w:rPr>
        <w:t>项目</w:t>
      </w:r>
      <w:r>
        <w:rPr>
          <w:rFonts w:hint="eastAsia" w:cs="Times New Roman"/>
          <w:color w:val="auto"/>
          <w:lang w:eastAsia="zh-CN"/>
        </w:rPr>
        <w:t>运营期</w:t>
      </w:r>
      <w:r>
        <w:rPr>
          <w:rFonts w:hint="default" w:ascii="Times New Roman" w:hAnsi="Times New Roman" w:eastAsia="宋体" w:cs="Times New Roman"/>
          <w:color w:val="auto"/>
        </w:rPr>
        <w:t>臭气浓度排放执行《畜禽养殖业污染物排放标准》（GB18596-2001），H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排放执行《恶臭污染物排放标准》（GB14554-93）二级新建要求，详见下表。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表2.4-</w:t>
      </w:r>
      <w:r>
        <w:rPr>
          <w:rFonts w:hint="eastAsia" w:cs="Times New Roman"/>
          <w:color w:val="auto"/>
          <w:lang w:val="en-US" w:eastAsia="zh-CN"/>
        </w:rPr>
        <w:t>5</w:t>
      </w:r>
      <w:r>
        <w:rPr>
          <w:rFonts w:hint="default" w:ascii="Times New Roman" w:hAnsi="Times New Roman" w:eastAsia="宋体" w:cs="Times New Roman"/>
          <w:color w:val="auto"/>
        </w:rPr>
        <w:t xml:space="preserve">   大气污染物排放标准</w:t>
      </w:r>
    </w:p>
    <w:tbl>
      <w:tblPr>
        <w:tblStyle w:val="34"/>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782"/>
        <w:gridCol w:w="1783"/>
        <w:gridCol w:w="1783"/>
        <w:gridCol w:w="1783"/>
        <w:gridCol w:w="178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500" w:type="pct"/>
            <w:vMerge w:val="restar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序号</w:t>
            </w:r>
          </w:p>
        </w:tc>
        <w:tc>
          <w:tcPr>
            <w:tcW w:w="500" w:type="pct"/>
            <w:vMerge w:val="restar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标准来源</w:t>
            </w:r>
          </w:p>
        </w:tc>
        <w:tc>
          <w:tcPr>
            <w:tcW w:w="500" w:type="pct"/>
            <w:vMerge w:val="restar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污染物</w:t>
            </w:r>
          </w:p>
        </w:tc>
        <w:tc>
          <w:tcPr>
            <w:tcW w:w="500" w:type="pct"/>
            <w:gridSpan w:val="2"/>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无组织排放限值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500" w:type="pct"/>
            <w:vMerge w:val="continue"/>
            <w:vAlign w:val="center"/>
          </w:tcPr>
          <w:p>
            <w:pPr>
              <w:pStyle w:val="58"/>
              <w:rPr>
                <w:rFonts w:hint="default" w:ascii="Times New Roman" w:hAnsi="Times New Roman" w:eastAsia="宋体" w:cs="Times New Roman"/>
                <w:color w:val="auto"/>
              </w:rPr>
            </w:pPr>
          </w:p>
        </w:tc>
        <w:tc>
          <w:tcPr>
            <w:tcW w:w="500" w:type="pct"/>
            <w:vMerge w:val="continue"/>
            <w:vAlign w:val="center"/>
          </w:tcPr>
          <w:p>
            <w:pPr>
              <w:pStyle w:val="58"/>
              <w:rPr>
                <w:rFonts w:hint="default" w:ascii="Times New Roman" w:hAnsi="Times New Roman" w:eastAsia="宋体" w:cs="Times New Roman"/>
                <w:color w:val="auto"/>
              </w:rPr>
            </w:pPr>
          </w:p>
        </w:tc>
        <w:tc>
          <w:tcPr>
            <w:tcW w:w="500" w:type="pct"/>
            <w:vMerge w:val="continue"/>
            <w:vAlign w:val="center"/>
          </w:tcPr>
          <w:p>
            <w:pPr>
              <w:pStyle w:val="58"/>
              <w:rPr>
                <w:rFonts w:hint="default" w:ascii="Times New Roman" w:hAnsi="Times New Roman" w:eastAsia="宋体" w:cs="Times New Roman"/>
                <w:color w:val="auto"/>
              </w:rPr>
            </w:pP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监控点</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浓度(mg/m</w:t>
            </w:r>
            <w:r>
              <w:rPr>
                <w:rFonts w:hint="default" w:ascii="Times New Roman" w:hAnsi="Times New Roman" w:eastAsia="宋体" w:cs="Times New Roman"/>
                <w:color w:val="auto"/>
                <w:vertAlign w:val="superscript"/>
                <w:lang w:bidi="en-US"/>
              </w:rPr>
              <w:t>3</w:t>
            </w:r>
            <w:r>
              <w:rPr>
                <w:rFonts w:hint="default" w:ascii="Times New Roman" w:hAnsi="Times New Roman" w:eastAsia="宋体" w:cs="Times New Roman"/>
                <w:color w:val="auto"/>
                <w:lang w:bidi="en-US"/>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1</w:t>
            </w:r>
          </w:p>
        </w:tc>
        <w:tc>
          <w:tcPr>
            <w:tcW w:w="500" w:type="pct"/>
            <w:vMerge w:val="restar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GB14554-1993</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NH</w:t>
            </w:r>
            <w:r>
              <w:rPr>
                <w:rFonts w:hint="default" w:ascii="Times New Roman" w:hAnsi="Times New Roman" w:eastAsia="宋体" w:cs="Times New Roman"/>
                <w:color w:val="auto"/>
                <w:vertAlign w:val="subscript"/>
                <w:lang w:bidi="en-US"/>
              </w:rPr>
              <w:t>3</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厂界</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1.5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2</w:t>
            </w:r>
          </w:p>
        </w:tc>
        <w:tc>
          <w:tcPr>
            <w:tcW w:w="500" w:type="pct"/>
            <w:vMerge w:val="continue"/>
            <w:vAlign w:val="center"/>
          </w:tcPr>
          <w:p>
            <w:pPr>
              <w:pStyle w:val="58"/>
              <w:rPr>
                <w:rFonts w:hint="default" w:ascii="Times New Roman" w:hAnsi="Times New Roman" w:eastAsia="宋体" w:cs="Times New Roman"/>
                <w:color w:val="auto"/>
              </w:rPr>
            </w:pP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H</w:t>
            </w:r>
            <w:r>
              <w:rPr>
                <w:rFonts w:hint="default" w:ascii="Times New Roman" w:hAnsi="Times New Roman" w:eastAsia="宋体" w:cs="Times New Roman"/>
                <w:color w:val="auto"/>
                <w:vertAlign w:val="subscript"/>
                <w:lang w:bidi="en-US"/>
              </w:rPr>
              <w:t>2</w:t>
            </w:r>
            <w:r>
              <w:rPr>
                <w:rFonts w:hint="default" w:ascii="Times New Roman" w:hAnsi="Times New Roman" w:eastAsia="宋体" w:cs="Times New Roman"/>
                <w:color w:val="auto"/>
                <w:lang w:bidi="en-US"/>
              </w:rPr>
              <w:t>S</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厂界</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0.06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3</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GB18596-2001</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臭气浓度</w:t>
            </w:r>
          </w:p>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（无量纲）</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厂界</w:t>
            </w:r>
          </w:p>
        </w:tc>
        <w:tc>
          <w:tcPr>
            <w:tcW w:w="500" w:type="pct"/>
            <w:vAlign w:val="center"/>
          </w:tcPr>
          <w:p>
            <w:pPr>
              <w:pStyle w:val="58"/>
              <w:rPr>
                <w:rFonts w:hint="default" w:ascii="Times New Roman" w:hAnsi="Times New Roman" w:eastAsia="宋体" w:cs="Times New Roman"/>
                <w:color w:val="auto"/>
                <w:lang w:bidi="en-US"/>
              </w:rPr>
            </w:pPr>
            <w:r>
              <w:rPr>
                <w:rFonts w:hint="default" w:ascii="Times New Roman" w:hAnsi="Times New Roman" w:eastAsia="宋体" w:cs="Times New Roman"/>
                <w:color w:val="auto"/>
                <w:lang w:bidi="en-US"/>
              </w:rPr>
              <w:t>70</w:t>
            </w: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2.4.3.</w:t>
      </w:r>
      <w:r>
        <w:rPr>
          <w:rFonts w:hint="eastAsia" w:cs="Times New Roman"/>
          <w:color w:val="auto"/>
          <w:lang w:val="en-US" w:eastAsia="zh-CN"/>
        </w:rPr>
        <w:t>3</w:t>
      </w:r>
      <w:r>
        <w:rPr>
          <w:rFonts w:hint="default" w:ascii="Times New Roman" w:hAnsi="Times New Roman" w:eastAsia="宋体" w:cs="Times New Roman"/>
          <w:color w:val="auto"/>
        </w:rPr>
        <w:t>噪声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（1）施工期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w:t>
      </w:r>
      <w:r>
        <w:rPr>
          <w:rFonts w:hint="eastAsia" w:cs="Times New Roman"/>
          <w:color w:val="auto"/>
          <w:lang w:eastAsia="zh-CN"/>
        </w:rPr>
        <w:t>期</w:t>
      </w:r>
      <w:r>
        <w:rPr>
          <w:rFonts w:hint="default" w:ascii="Times New Roman" w:hAnsi="Times New Roman" w:eastAsia="宋体" w:cs="Times New Roman"/>
          <w:color w:val="auto"/>
        </w:rPr>
        <w:t>噪声执行《建筑施工场界环境噪声排放标准》（GB12523-2011），即昼间70dB(A)、夜间55dB(A)。</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（2）运营期</w:t>
      </w:r>
    </w:p>
    <w:p>
      <w:pPr>
        <w:ind w:firstLine="480"/>
        <w:rPr>
          <w:rFonts w:hint="default" w:ascii="Times New Roman" w:hAnsi="Times New Roman" w:eastAsia="宋体" w:cs="Times New Roman"/>
          <w:color w:val="auto"/>
        </w:rPr>
      </w:pPr>
      <w:r>
        <w:rPr>
          <w:rFonts w:hint="eastAsia" w:cs="Times New Roman"/>
          <w:color w:val="auto"/>
          <w:lang w:eastAsia="zh-CN"/>
        </w:rPr>
        <w:t>运营期</w:t>
      </w:r>
      <w:r>
        <w:rPr>
          <w:rFonts w:hint="default" w:ascii="Times New Roman" w:hAnsi="Times New Roman" w:eastAsia="宋体" w:cs="Times New Roman"/>
          <w:color w:val="auto"/>
        </w:rPr>
        <w:t>厂界噪声执行《工业企业厂界环境噪声排放标准》（GB12348-2008）2类标准。厂界噪声标准见下表。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表2.4-</w:t>
      </w:r>
      <w:r>
        <w:rPr>
          <w:rFonts w:hint="eastAsia" w:cs="Times New Roman"/>
          <w:color w:val="auto"/>
          <w:lang w:val="en-US" w:eastAsia="zh-CN"/>
        </w:rPr>
        <w:t>6</w:t>
      </w:r>
      <w:r>
        <w:rPr>
          <w:rFonts w:hint="default" w:ascii="Times New Roman" w:hAnsi="Times New Roman" w:eastAsia="宋体" w:cs="Times New Roman"/>
          <w:color w:val="auto"/>
        </w:rPr>
        <w:t xml:space="preserve">    厂界噪声标准值表</w:t>
      </w:r>
    </w:p>
    <w:tbl>
      <w:tblPr>
        <w:tblStyle w:val="34"/>
        <w:tblW w:w="9072"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789"/>
        <w:gridCol w:w="1479"/>
        <w:gridCol w:w="1480"/>
        <w:gridCol w:w="1480"/>
        <w:gridCol w:w="184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2628"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厂界</w:t>
            </w:r>
          </w:p>
        </w:tc>
        <w:tc>
          <w:tcPr>
            <w:tcW w:w="139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类别</w:t>
            </w:r>
          </w:p>
        </w:tc>
        <w:tc>
          <w:tcPr>
            <w:tcW w:w="139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昼间</w:t>
            </w:r>
          </w:p>
        </w:tc>
        <w:tc>
          <w:tcPr>
            <w:tcW w:w="139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夜间</w:t>
            </w:r>
          </w:p>
        </w:tc>
        <w:tc>
          <w:tcPr>
            <w:tcW w:w="173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标准来源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2628" w:type="dxa"/>
            <w:vMerge w:val="continue"/>
            <w:vAlign w:val="center"/>
          </w:tcPr>
          <w:p>
            <w:pPr>
              <w:pStyle w:val="58"/>
              <w:rPr>
                <w:rFonts w:hint="default" w:ascii="Times New Roman" w:hAnsi="Times New Roman" w:eastAsia="宋体" w:cs="Times New Roman"/>
                <w:color w:val="auto"/>
              </w:rPr>
            </w:pPr>
          </w:p>
        </w:tc>
        <w:tc>
          <w:tcPr>
            <w:tcW w:w="139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2类</w:t>
            </w:r>
          </w:p>
        </w:tc>
        <w:tc>
          <w:tcPr>
            <w:tcW w:w="139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60dB(A)</w:t>
            </w:r>
          </w:p>
        </w:tc>
        <w:tc>
          <w:tcPr>
            <w:tcW w:w="139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50dB(A)</w:t>
            </w:r>
          </w:p>
        </w:tc>
        <w:tc>
          <w:tcPr>
            <w:tcW w:w="173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GB12348-2008</w:t>
            </w: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2.4.3.</w:t>
      </w:r>
      <w:r>
        <w:rPr>
          <w:rFonts w:hint="eastAsia" w:cs="Times New Roman"/>
          <w:color w:val="auto"/>
          <w:lang w:val="en-US" w:eastAsia="zh-CN"/>
        </w:rPr>
        <w:t>4</w:t>
      </w:r>
      <w:r>
        <w:rPr>
          <w:rFonts w:hint="default" w:ascii="Times New Roman" w:hAnsi="Times New Roman" w:eastAsia="宋体" w:cs="Times New Roman"/>
          <w:color w:val="auto"/>
        </w:rPr>
        <w:t>固体废物</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一般固废执行《一般工业固体废物贮存、处置场污染控制标准》（GB18599-2001）及其修改单的公告（环境保护部公告，公告2013年第36号）；</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医疗废物执行《危险废物贮存污染物控制标准》（GB18597-2001）及其修改单的公告（环境保护部公告，公告2013年第36号）；</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病疫死</w:t>
      </w:r>
      <w:r>
        <w:rPr>
          <w:rFonts w:hint="eastAsia" w:cs="Times New Roman"/>
          <w:color w:val="auto"/>
          <w:lang w:val="en-US" w:eastAsia="zh-CN"/>
        </w:rPr>
        <w:t>猪</w:t>
      </w:r>
      <w:r>
        <w:rPr>
          <w:rFonts w:hint="default" w:ascii="Times New Roman" w:hAnsi="Times New Roman" w:eastAsia="宋体" w:cs="Times New Roman"/>
          <w:color w:val="auto"/>
        </w:rPr>
        <w:t>参照《畜禽养殖业污染治理工程技术规范》（HJ497-2009）、《病害动物和病害动物产品生物安全处理规程》（GB16548-2006）以及《病死及病害动物无害化处理技术规范》（农医发[2017]25号）中的相关规定进行处置。</w:t>
      </w:r>
    </w:p>
    <w:p>
      <w:pPr>
        <w:pStyle w:val="5"/>
        <w:rPr>
          <w:rFonts w:hint="default" w:ascii="Times New Roman" w:hAnsi="Times New Roman" w:eastAsia="宋体" w:cs="Times New Roman"/>
          <w:color w:val="auto"/>
        </w:rPr>
      </w:pPr>
      <w:bookmarkStart w:id="147" w:name="_Toc512871528"/>
      <w:bookmarkStart w:id="148" w:name="_Toc31527"/>
      <w:r>
        <w:rPr>
          <w:rFonts w:hint="default" w:ascii="Times New Roman" w:hAnsi="Times New Roman" w:eastAsia="宋体" w:cs="Times New Roman"/>
          <w:color w:val="auto"/>
        </w:rPr>
        <w:t>2.5评价等级及评价范围</w:t>
      </w:r>
      <w:bookmarkEnd w:id="147"/>
      <w:bookmarkEnd w:id="148"/>
    </w:p>
    <w:p>
      <w:pPr>
        <w:pStyle w:val="6"/>
        <w:rPr>
          <w:rFonts w:hint="default" w:ascii="Times New Roman" w:hAnsi="Times New Roman" w:eastAsia="宋体" w:cs="Times New Roman"/>
          <w:color w:val="auto"/>
        </w:rPr>
      </w:pPr>
      <w:bookmarkStart w:id="149" w:name="_Toc453603066"/>
      <w:bookmarkStart w:id="150" w:name="_Toc452567811"/>
      <w:bookmarkStart w:id="151" w:name="_Toc13714"/>
      <w:bookmarkStart w:id="152" w:name="_Toc512871529"/>
      <w:bookmarkStart w:id="153" w:name="_Toc12666"/>
      <w:r>
        <w:rPr>
          <w:rFonts w:hint="default" w:ascii="Times New Roman" w:hAnsi="Times New Roman" w:eastAsia="宋体" w:cs="Times New Roman"/>
          <w:color w:val="auto"/>
        </w:rPr>
        <w:t>2.5.1大气环境</w:t>
      </w:r>
      <w:bookmarkEnd w:id="149"/>
      <w:bookmarkEnd w:id="150"/>
      <w:bookmarkEnd w:id="151"/>
      <w:bookmarkEnd w:id="152"/>
      <w:bookmarkEnd w:id="153"/>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（1）评价等级判定</w: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根据《环境影响评价技术导则</w:t>
      </w:r>
      <w:r>
        <w:rPr>
          <w:rFonts w:hint="eastAsia" w:cs="Times New Roman"/>
          <w:color w:val="auto"/>
          <w:lang w:val="en-US" w:eastAsia="zh-CN"/>
        </w:rPr>
        <w:t xml:space="preserve"> </w:t>
      </w:r>
      <w:r>
        <w:rPr>
          <w:rFonts w:hint="default" w:ascii="Times New Roman" w:hAnsi="Times New Roman" w:eastAsia="宋体" w:cs="Times New Roman"/>
          <w:color w:val="auto"/>
        </w:rPr>
        <w:t>大气环境》（HJ2.2-2018）中规定，根据项目污染源初步调查结果，分别计算项目排放主要污染物的最大地面空气质量浓度占标率P</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（第i个污染物，简称“最大浓度占标率”），及第i个污染物的地面空气质量浓度达到标准值的10%时所对应的最远距离D</w:t>
      </w:r>
      <w:r>
        <w:rPr>
          <w:rFonts w:hint="default" w:ascii="Times New Roman" w:hAnsi="Times New Roman" w:eastAsia="宋体" w:cs="Times New Roman"/>
          <w:color w:val="auto"/>
          <w:vertAlign w:val="subscript"/>
        </w:rPr>
        <w:t>10</w:t>
      </w:r>
      <w:r>
        <w:rPr>
          <w:rFonts w:hint="default" w:ascii="Times New Roman" w:hAnsi="Times New Roman" w:eastAsia="宋体" w:cs="Times New Roman"/>
          <w:color w:val="auto"/>
        </w:rPr>
        <w:t>%。其中P</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定义见公式。</w:t>
      </w:r>
    </w:p>
    <w:p>
      <w:pPr>
        <w:overflowPunct w:val="0"/>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rPr>
        <w:object>
          <v:shape id="_x0000_i1025" o:spt="75" type="#_x0000_t75" style="height:36.7pt;width:102.5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式中：P</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－第i个污染物的最大地面空气质量浓度占标率，%；</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 xml:space="preserve">      C</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－采用估算模式计算出的第i个污染物的最大1h地面空气质量浓度，mg/m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w: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 xml:space="preserve">      C</w:t>
      </w:r>
      <w:r>
        <w:rPr>
          <w:rFonts w:hint="default" w:ascii="Times New Roman" w:hAnsi="Times New Roman" w:eastAsia="宋体" w:cs="Times New Roman"/>
          <w:color w:val="auto"/>
          <w:vertAlign w:val="subscript"/>
        </w:rPr>
        <w:t>0i</w:t>
      </w:r>
      <w:r>
        <w:rPr>
          <w:rFonts w:hint="default" w:ascii="Times New Roman" w:hAnsi="Times New Roman" w:eastAsia="宋体" w:cs="Times New Roman"/>
          <w:color w:val="auto"/>
        </w:rPr>
        <w:t>－第i个污染物的环境空气质量标准，μg/m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w: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评价工作等级按表2.5-1的分级判据进行划分。最大地面空气质量浓度占标率P</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按上公式计算，如污染物i大于1，取P值中的最大者P</w:t>
      </w:r>
      <w:r>
        <w:rPr>
          <w:rFonts w:hint="default" w:ascii="Times New Roman" w:hAnsi="Times New Roman" w:eastAsia="宋体" w:cs="Times New Roman"/>
          <w:color w:val="auto"/>
          <w:vertAlign w:val="subscript"/>
        </w:rPr>
        <w:t>max</w:t>
      </w:r>
      <w:r>
        <w:rPr>
          <w:rFonts w:hint="default" w:ascii="Times New Roman" w:hAnsi="Times New Roman" w:eastAsia="宋体" w:cs="Times New Roman"/>
          <w:color w:val="auto"/>
        </w:rPr>
        <w:t>。</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w:t>
      </w:r>
      <w:r>
        <w:rPr>
          <w:rFonts w:hint="default" w:ascii="Times New Roman" w:hAnsi="Times New Roman" w:eastAsia="宋体" w:cs="Times New Roman"/>
          <w:color w:val="auto"/>
          <w:szCs w:val="24"/>
        </w:rPr>
        <w:t xml:space="preserve">2.5-1    </w:t>
      </w:r>
      <w:r>
        <w:rPr>
          <w:rFonts w:hint="default" w:ascii="Times New Roman" w:hAnsi="Times New Roman" w:eastAsia="宋体" w:cs="Times New Roman"/>
          <w:color w:val="auto"/>
        </w:rPr>
        <w:t>评价等级判别表</w:t>
      </w:r>
    </w:p>
    <w:tbl>
      <w:tblPr>
        <w:tblStyle w:val="34"/>
        <w:tblW w:w="878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768"/>
        <w:gridCol w:w="501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76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评价工作等级</w:t>
            </w:r>
          </w:p>
        </w:tc>
        <w:tc>
          <w:tcPr>
            <w:tcW w:w="5019"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评价工作分级判据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76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一级评价</w:t>
            </w:r>
          </w:p>
        </w:tc>
        <w:tc>
          <w:tcPr>
            <w:tcW w:w="5019"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Pmax≥10%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76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二级评价</w:t>
            </w:r>
          </w:p>
        </w:tc>
        <w:tc>
          <w:tcPr>
            <w:tcW w:w="5019"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1%≤Pmax＜10%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76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三级评价</w:t>
            </w:r>
          </w:p>
        </w:tc>
        <w:tc>
          <w:tcPr>
            <w:tcW w:w="5019"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Pmax＜1%</w:t>
            </w:r>
          </w:p>
        </w:tc>
      </w:tr>
    </w:tbl>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本评价采用《环境影响评价技术导则大气环境》（HJ2.2-2018）推荐模式清单中的估算模式（AERSCREEN）分别计算各源各污染物的短期浓度最大值及对应距离，用以分析最大影响程度和最远影响范围。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（2）估算模型参数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估算模型参数见表2.5-2。</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表2.5-2    估算模型参数表</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87"/>
        <w:gridCol w:w="3403"/>
        <w:gridCol w:w="281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190" w:type="dxa"/>
            <w:gridSpan w:val="2"/>
            <w:tcBorders>
              <w:tl2br w:val="nil"/>
              <w:tr2bl w:val="nil"/>
            </w:tcBorders>
            <w:vAlign w:val="center"/>
          </w:tcPr>
          <w:p>
            <w:pPr>
              <w:pStyle w:val="58"/>
              <w:rPr>
                <w:color w:val="auto"/>
                <w:kern w:val="0"/>
              </w:rPr>
            </w:pPr>
            <w:r>
              <w:rPr>
                <w:color w:val="auto"/>
                <w:kern w:val="0"/>
              </w:rPr>
              <w:t>参数</w:t>
            </w:r>
          </w:p>
        </w:tc>
        <w:tc>
          <w:tcPr>
            <w:tcW w:w="2813" w:type="dxa"/>
            <w:tcBorders>
              <w:tl2br w:val="nil"/>
              <w:tr2bl w:val="nil"/>
            </w:tcBorders>
            <w:vAlign w:val="center"/>
          </w:tcPr>
          <w:p>
            <w:pPr>
              <w:pStyle w:val="58"/>
              <w:rPr>
                <w:color w:val="auto"/>
                <w:kern w:val="0"/>
              </w:rPr>
            </w:pPr>
            <w:r>
              <w:rPr>
                <w:color w:val="auto"/>
                <w:kern w:val="0"/>
              </w:rPr>
              <w:t>取值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7" w:type="dxa"/>
            <w:vMerge w:val="restart"/>
            <w:tcBorders>
              <w:tl2br w:val="nil"/>
              <w:tr2bl w:val="nil"/>
            </w:tcBorders>
            <w:vAlign w:val="center"/>
          </w:tcPr>
          <w:p>
            <w:pPr>
              <w:pStyle w:val="58"/>
              <w:rPr>
                <w:color w:val="auto"/>
                <w:kern w:val="0"/>
              </w:rPr>
            </w:pPr>
            <w:r>
              <w:rPr>
                <w:color w:val="auto"/>
                <w:kern w:val="0"/>
              </w:rPr>
              <w:t>城市/农村选项</w:t>
            </w:r>
          </w:p>
        </w:tc>
        <w:tc>
          <w:tcPr>
            <w:tcW w:w="3403" w:type="dxa"/>
            <w:tcBorders>
              <w:tl2br w:val="nil"/>
              <w:tr2bl w:val="nil"/>
            </w:tcBorders>
            <w:vAlign w:val="center"/>
          </w:tcPr>
          <w:p>
            <w:pPr>
              <w:pStyle w:val="58"/>
              <w:rPr>
                <w:color w:val="auto"/>
                <w:kern w:val="0"/>
              </w:rPr>
            </w:pPr>
            <w:r>
              <w:rPr>
                <w:color w:val="auto"/>
                <w:kern w:val="0"/>
              </w:rPr>
              <w:t>城市/农村</w:t>
            </w:r>
          </w:p>
        </w:tc>
        <w:tc>
          <w:tcPr>
            <w:tcW w:w="2813" w:type="dxa"/>
            <w:tcBorders>
              <w:tl2br w:val="nil"/>
              <w:tr2bl w:val="nil"/>
            </w:tcBorders>
            <w:vAlign w:val="center"/>
          </w:tcPr>
          <w:p>
            <w:pPr>
              <w:pStyle w:val="58"/>
              <w:rPr>
                <w:color w:val="auto"/>
                <w:kern w:val="0"/>
              </w:rPr>
            </w:pPr>
            <w:r>
              <w:rPr>
                <w:rFonts w:hint="eastAsia"/>
                <w:color w:val="auto"/>
                <w:kern w:val="0"/>
              </w:rPr>
              <w:t>农村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7" w:type="dxa"/>
            <w:vMerge w:val="continue"/>
            <w:tcBorders>
              <w:tl2br w:val="nil"/>
              <w:tr2bl w:val="nil"/>
            </w:tcBorders>
            <w:vAlign w:val="center"/>
          </w:tcPr>
          <w:p>
            <w:pPr>
              <w:pStyle w:val="58"/>
              <w:rPr>
                <w:color w:val="auto"/>
                <w:kern w:val="0"/>
              </w:rPr>
            </w:pPr>
          </w:p>
        </w:tc>
        <w:tc>
          <w:tcPr>
            <w:tcW w:w="3403" w:type="dxa"/>
            <w:tcBorders>
              <w:tl2br w:val="nil"/>
              <w:tr2bl w:val="nil"/>
            </w:tcBorders>
            <w:vAlign w:val="center"/>
          </w:tcPr>
          <w:p>
            <w:pPr>
              <w:pStyle w:val="58"/>
              <w:rPr>
                <w:color w:val="auto"/>
                <w:kern w:val="0"/>
              </w:rPr>
            </w:pPr>
            <w:r>
              <w:rPr>
                <w:color w:val="auto"/>
                <w:kern w:val="0"/>
              </w:rPr>
              <w:t>人口数（城市选型时）</w:t>
            </w:r>
          </w:p>
        </w:tc>
        <w:tc>
          <w:tcPr>
            <w:tcW w:w="2813" w:type="dxa"/>
            <w:tcBorders>
              <w:tl2br w:val="nil"/>
              <w:tr2bl w:val="nil"/>
            </w:tcBorders>
            <w:vAlign w:val="center"/>
          </w:tcPr>
          <w:p>
            <w:pPr>
              <w:pStyle w:val="58"/>
              <w:rPr>
                <w:color w:val="auto"/>
                <w:kern w:val="0"/>
              </w:rPr>
            </w:pPr>
            <w:r>
              <w:rPr>
                <w:rFonts w:hint="eastAsia"/>
                <w:color w:val="auto"/>
                <w:kern w:val="0"/>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190" w:type="dxa"/>
            <w:gridSpan w:val="2"/>
            <w:tcBorders>
              <w:tl2br w:val="nil"/>
              <w:tr2bl w:val="nil"/>
            </w:tcBorders>
            <w:vAlign w:val="center"/>
          </w:tcPr>
          <w:p>
            <w:pPr>
              <w:pStyle w:val="58"/>
              <w:rPr>
                <w:color w:val="auto"/>
                <w:kern w:val="0"/>
              </w:rPr>
            </w:pPr>
            <w:r>
              <w:rPr>
                <w:color w:val="auto"/>
                <w:kern w:val="0"/>
              </w:rPr>
              <w:t>最高环境温度/</w:t>
            </w:r>
            <w:r>
              <w:rPr>
                <w:rFonts w:hint="eastAsia" w:ascii="宋体" w:hAnsi="宋体" w:cs="宋体"/>
                <w:color w:val="auto"/>
                <w:kern w:val="0"/>
              </w:rPr>
              <w:t>℃</w:t>
            </w:r>
          </w:p>
        </w:tc>
        <w:tc>
          <w:tcPr>
            <w:tcW w:w="2813" w:type="dxa"/>
            <w:tcBorders>
              <w:tl2br w:val="nil"/>
              <w:tr2bl w:val="nil"/>
            </w:tcBorders>
            <w:shd w:val="clear" w:color="auto" w:fill="auto"/>
            <w:vAlign w:val="center"/>
          </w:tcPr>
          <w:p>
            <w:pPr>
              <w:pStyle w:val="58"/>
              <w:rPr>
                <w:color w:val="auto"/>
              </w:rPr>
            </w:pPr>
            <w:r>
              <w:rPr>
                <w:rFonts w:hint="eastAsia"/>
                <w:color w:val="auto"/>
              </w:rPr>
              <w:t>38.1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190" w:type="dxa"/>
            <w:gridSpan w:val="2"/>
            <w:tcBorders>
              <w:tl2br w:val="nil"/>
              <w:tr2bl w:val="nil"/>
            </w:tcBorders>
            <w:vAlign w:val="center"/>
          </w:tcPr>
          <w:p>
            <w:pPr>
              <w:pStyle w:val="58"/>
              <w:rPr>
                <w:color w:val="auto"/>
                <w:kern w:val="0"/>
              </w:rPr>
            </w:pPr>
            <w:r>
              <w:rPr>
                <w:color w:val="auto"/>
                <w:kern w:val="0"/>
              </w:rPr>
              <w:t>最低环境温度/</w:t>
            </w:r>
            <w:r>
              <w:rPr>
                <w:rFonts w:hint="eastAsia" w:ascii="宋体" w:hAnsi="宋体" w:cs="宋体"/>
                <w:color w:val="auto"/>
                <w:kern w:val="0"/>
              </w:rPr>
              <w:t>℃</w:t>
            </w:r>
          </w:p>
        </w:tc>
        <w:tc>
          <w:tcPr>
            <w:tcW w:w="2813" w:type="dxa"/>
            <w:tcBorders>
              <w:tl2br w:val="nil"/>
              <w:tr2bl w:val="nil"/>
            </w:tcBorders>
            <w:shd w:val="clear" w:color="auto" w:fill="auto"/>
            <w:vAlign w:val="center"/>
          </w:tcPr>
          <w:p>
            <w:pPr>
              <w:pStyle w:val="58"/>
              <w:rPr>
                <w:color w:val="auto"/>
              </w:rPr>
            </w:pPr>
            <w:r>
              <w:rPr>
                <w:rFonts w:hint="eastAsia"/>
                <w:color w:val="auto"/>
              </w:rPr>
              <w:t>-29.0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190" w:type="dxa"/>
            <w:gridSpan w:val="2"/>
            <w:tcBorders>
              <w:tl2br w:val="nil"/>
              <w:tr2bl w:val="nil"/>
            </w:tcBorders>
            <w:vAlign w:val="center"/>
          </w:tcPr>
          <w:p>
            <w:pPr>
              <w:pStyle w:val="58"/>
              <w:rPr>
                <w:color w:val="auto"/>
                <w:kern w:val="0"/>
              </w:rPr>
            </w:pPr>
            <w:r>
              <w:rPr>
                <w:color w:val="auto"/>
                <w:kern w:val="0"/>
              </w:rPr>
              <w:t>土地利用类型</w:t>
            </w:r>
          </w:p>
        </w:tc>
        <w:tc>
          <w:tcPr>
            <w:tcW w:w="2813" w:type="dxa"/>
            <w:tcBorders>
              <w:tl2br w:val="nil"/>
              <w:tr2bl w:val="nil"/>
            </w:tcBorders>
            <w:vAlign w:val="center"/>
          </w:tcPr>
          <w:p>
            <w:pPr>
              <w:pStyle w:val="58"/>
              <w:rPr>
                <w:color w:val="auto"/>
                <w:kern w:val="0"/>
              </w:rPr>
            </w:pPr>
            <w:r>
              <w:rPr>
                <w:rFonts w:hint="eastAsia"/>
                <w:color w:val="auto"/>
                <w:kern w:val="0"/>
              </w:rPr>
              <w:t>农用地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190" w:type="dxa"/>
            <w:gridSpan w:val="2"/>
            <w:tcBorders>
              <w:tl2br w:val="nil"/>
              <w:tr2bl w:val="nil"/>
            </w:tcBorders>
            <w:vAlign w:val="center"/>
          </w:tcPr>
          <w:p>
            <w:pPr>
              <w:pStyle w:val="58"/>
              <w:rPr>
                <w:color w:val="auto"/>
                <w:kern w:val="0"/>
              </w:rPr>
            </w:pPr>
            <w:r>
              <w:rPr>
                <w:color w:val="auto"/>
                <w:kern w:val="0"/>
              </w:rPr>
              <w:t>区域湿度条件</w:t>
            </w:r>
          </w:p>
        </w:tc>
        <w:tc>
          <w:tcPr>
            <w:tcW w:w="2813" w:type="dxa"/>
            <w:tcBorders>
              <w:tl2br w:val="nil"/>
              <w:tr2bl w:val="nil"/>
            </w:tcBorders>
            <w:vAlign w:val="center"/>
          </w:tcPr>
          <w:p>
            <w:pPr>
              <w:pStyle w:val="58"/>
              <w:rPr>
                <w:color w:val="auto"/>
                <w:kern w:val="0"/>
              </w:rPr>
            </w:pPr>
            <w:r>
              <w:rPr>
                <w:rFonts w:hint="eastAsia"/>
                <w:color w:val="auto"/>
                <w:kern w:val="0"/>
              </w:rPr>
              <w:t>干旱</w:t>
            </w:r>
            <w:r>
              <w:rPr>
                <w:color w:val="auto"/>
                <w:kern w:val="0"/>
              </w:rPr>
              <w:t>地区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7" w:type="dxa"/>
            <w:vMerge w:val="restart"/>
            <w:tcBorders>
              <w:tl2br w:val="nil"/>
              <w:tr2bl w:val="nil"/>
            </w:tcBorders>
            <w:vAlign w:val="center"/>
          </w:tcPr>
          <w:p>
            <w:pPr>
              <w:pStyle w:val="58"/>
              <w:rPr>
                <w:color w:val="auto"/>
                <w:kern w:val="0"/>
              </w:rPr>
            </w:pPr>
            <w:r>
              <w:rPr>
                <w:color w:val="auto"/>
                <w:kern w:val="0"/>
              </w:rPr>
              <w:t>是否考虑地形</w:t>
            </w:r>
          </w:p>
        </w:tc>
        <w:tc>
          <w:tcPr>
            <w:tcW w:w="3403" w:type="dxa"/>
            <w:tcBorders>
              <w:tl2br w:val="nil"/>
              <w:tr2bl w:val="nil"/>
            </w:tcBorders>
            <w:vAlign w:val="center"/>
          </w:tcPr>
          <w:p>
            <w:pPr>
              <w:pStyle w:val="58"/>
              <w:rPr>
                <w:color w:val="auto"/>
                <w:kern w:val="0"/>
              </w:rPr>
            </w:pPr>
            <w:r>
              <w:rPr>
                <w:color w:val="auto"/>
                <w:kern w:val="0"/>
              </w:rPr>
              <w:t>考虑地形</w:t>
            </w:r>
          </w:p>
        </w:tc>
        <w:tc>
          <w:tcPr>
            <w:tcW w:w="2813" w:type="dxa"/>
            <w:tcBorders>
              <w:tl2br w:val="nil"/>
              <w:tr2bl w:val="nil"/>
            </w:tcBorders>
            <w:vAlign w:val="center"/>
          </w:tcPr>
          <w:p>
            <w:pPr>
              <w:pStyle w:val="58"/>
              <w:rPr>
                <w:color w:val="auto"/>
                <w:kern w:val="0"/>
              </w:rPr>
            </w:pPr>
            <w:r>
              <w:rPr>
                <w:color w:val="auto"/>
                <w:kern w:val="0"/>
              </w:rPr>
              <w:sym w:font="Wingdings 2" w:char="0052"/>
            </w:r>
            <w:r>
              <w:rPr>
                <w:color w:val="auto"/>
                <w:kern w:val="0"/>
              </w:rPr>
              <w:t>是   □否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7" w:type="dxa"/>
            <w:vMerge w:val="continue"/>
            <w:tcBorders>
              <w:tl2br w:val="nil"/>
              <w:tr2bl w:val="nil"/>
            </w:tcBorders>
            <w:vAlign w:val="center"/>
          </w:tcPr>
          <w:p>
            <w:pPr>
              <w:pStyle w:val="58"/>
              <w:rPr>
                <w:color w:val="auto"/>
                <w:kern w:val="0"/>
              </w:rPr>
            </w:pPr>
          </w:p>
        </w:tc>
        <w:tc>
          <w:tcPr>
            <w:tcW w:w="3403" w:type="dxa"/>
            <w:tcBorders>
              <w:tl2br w:val="nil"/>
              <w:tr2bl w:val="nil"/>
            </w:tcBorders>
            <w:vAlign w:val="center"/>
          </w:tcPr>
          <w:p>
            <w:pPr>
              <w:pStyle w:val="58"/>
              <w:rPr>
                <w:color w:val="auto"/>
                <w:kern w:val="0"/>
              </w:rPr>
            </w:pPr>
            <w:r>
              <w:rPr>
                <w:color w:val="auto"/>
                <w:kern w:val="0"/>
              </w:rPr>
              <w:t>地形数据分辨率/m</w:t>
            </w:r>
          </w:p>
        </w:tc>
        <w:tc>
          <w:tcPr>
            <w:tcW w:w="2813" w:type="dxa"/>
            <w:tcBorders>
              <w:tl2br w:val="nil"/>
              <w:tr2bl w:val="nil"/>
            </w:tcBorders>
            <w:vAlign w:val="center"/>
          </w:tcPr>
          <w:p>
            <w:pPr>
              <w:pStyle w:val="58"/>
              <w:rPr>
                <w:color w:val="auto"/>
                <w:kern w:val="0"/>
              </w:rPr>
            </w:pPr>
            <w:r>
              <w:rPr>
                <w:rFonts w:hint="eastAsia"/>
                <w:color w:val="auto"/>
                <w:kern w:val="0"/>
              </w:rPr>
              <w:t>90m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7" w:type="dxa"/>
            <w:vMerge w:val="restart"/>
            <w:tcBorders>
              <w:tl2br w:val="nil"/>
              <w:tr2bl w:val="nil"/>
            </w:tcBorders>
            <w:vAlign w:val="center"/>
          </w:tcPr>
          <w:p>
            <w:pPr>
              <w:pStyle w:val="58"/>
              <w:rPr>
                <w:color w:val="auto"/>
                <w:kern w:val="0"/>
              </w:rPr>
            </w:pPr>
            <w:r>
              <w:rPr>
                <w:color w:val="auto"/>
                <w:kern w:val="0"/>
              </w:rPr>
              <w:t>是否考虑岸线熏烟</w:t>
            </w:r>
          </w:p>
        </w:tc>
        <w:tc>
          <w:tcPr>
            <w:tcW w:w="3403" w:type="dxa"/>
            <w:tcBorders>
              <w:tl2br w:val="nil"/>
              <w:tr2bl w:val="nil"/>
            </w:tcBorders>
            <w:vAlign w:val="center"/>
          </w:tcPr>
          <w:p>
            <w:pPr>
              <w:pStyle w:val="58"/>
              <w:rPr>
                <w:color w:val="auto"/>
                <w:kern w:val="0"/>
              </w:rPr>
            </w:pPr>
            <w:r>
              <w:rPr>
                <w:color w:val="auto"/>
                <w:kern w:val="0"/>
              </w:rPr>
              <w:t>考虑岸线熏烟</w:t>
            </w:r>
          </w:p>
        </w:tc>
        <w:tc>
          <w:tcPr>
            <w:tcW w:w="2813" w:type="dxa"/>
            <w:tcBorders>
              <w:tl2br w:val="nil"/>
              <w:tr2bl w:val="nil"/>
            </w:tcBorders>
            <w:vAlign w:val="center"/>
          </w:tcPr>
          <w:p>
            <w:pPr>
              <w:pStyle w:val="58"/>
              <w:rPr>
                <w:color w:val="auto"/>
                <w:kern w:val="0"/>
              </w:rPr>
            </w:pPr>
            <w:r>
              <w:rPr>
                <w:color w:val="auto"/>
                <w:kern w:val="0"/>
              </w:rPr>
              <w:t xml:space="preserve">□是   </w:t>
            </w:r>
            <w:r>
              <w:rPr>
                <w:color w:val="auto"/>
                <w:kern w:val="0"/>
              </w:rPr>
              <w:sym w:font="Wingdings 2" w:char="0052"/>
            </w:r>
            <w:r>
              <w:rPr>
                <w:color w:val="auto"/>
                <w:kern w:val="0"/>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7" w:type="dxa"/>
            <w:vMerge w:val="continue"/>
            <w:tcBorders>
              <w:tl2br w:val="nil"/>
              <w:tr2bl w:val="nil"/>
            </w:tcBorders>
            <w:vAlign w:val="center"/>
          </w:tcPr>
          <w:p>
            <w:pPr>
              <w:pStyle w:val="58"/>
              <w:rPr>
                <w:color w:val="auto"/>
                <w:kern w:val="0"/>
              </w:rPr>
            </w:pPr>
          </w:p>
        </w:tc>
        <w:tc>
          <w:tcPr>
            <w:tcW w:w="3403" w:type="dxa"/>
            <w:tcBorders>
              <w:tl2br w:val="nil"/>
              <w:tr2bl w:val="nil"/>
            </w:tcBorders>
            <w:vAlign w:val="center"/>
          </w:tcPr>
          <w:p>
            <w:pPr>
              <w:pStyle w:val="58"/>
              <w:rPr>
                <w:color w:val="auto"/>
                <w:kern w:val="0"/>
              </w:rPr>
            </w:pPr>
            <w:r>
              <w:rPr>
                <w:color w:val="auto"/>
                <w:kern w:val="0"/>
              </w:rPr>
              <w:t>岸线距离/km</w:t>
            </w:r>
          </w:p>
        </w:tc>
        <w:tc>
          <w:tcPr>
            <w:tcW w:w="2813" w:type="dxa"/>
            <w:tcBorders>
              <w:tl2br w:val="nil"/>
              <w:tr2bl w:val="nil"/>
            </w:tcBorders>
            <w:vAlign w:val="center"/>
          </w:tcPr>
          <w:p>
            <w:pPr>
              <w:pStyle w:val="58"/>
              <w:rPr>
                <w:color w:val="auto"/>
                <w:kern w:val="0"/>
              </w:rPr>
            </w:pPr>
            <w:r>
              <w:rPr>
                <w:rFonts w:hint="eastAsia"/>
                <w:color w:val="auto"/>
                <w:kern w:val="0"/>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7" w:type="dxa"/>
            <w:vMerge w:val="continue"/>
            <w:tcBorders>
              <w:tl2br w:val="nil"/>
              <w:tr2bl w:val="nil"/>
            </w:tcBorders>
            <w:vAlign w:val="center"/>
          </w:tcPr>
          <w:p>
            <w:pPr>
              <w:pStyle w:val="58"/>
              <w:rPr>
                <w:color w:val="auto"/>
                <w:kern w:val="0"/>
              </w:rPr>
            </w:pPr>
          </w:p>
        </w:tc>
        <w:tc>
          <w:tcPr>
            <w:tcW w:w="3403" w:type="dxa"/>
            <w:tcBorders>
              <w:tl2br w:val="nil"/>
              <w:tr2bl w:val="nil"/>
            </w:tcBorders>
            <w:vAlign w:val="center"/>
          </w:tcPr>
          <w:p>
            <w:pPr>
              <w:pStyle w:val="58"/>
              <w:rPr>
                <w:color w:val="auto"/>
                <w:kern w:val="0"/>
              </w:rPr>
            </w:pPr>
            <w:r>
              <w:rPr>
                <w:color w:val="auto"/>
                <w:kern w:val="0"/>
              </w:rPr>
              <w:t>岸线方向/°</w:t>
            </w:r>
          </w:p>
        </w:tc>
        <w:tc>
          <w:tcPr>
            <w:tcW w:w="2813" w:type="dxa"/>
            <w:tcBorders>
              <w:tl2br w:val="nil"/>
              <w:tr2bl w:val="nil"/>
            </w:tcBorders>
            <w:vAlign w:val="center"/>
          </w:tcPr>
          <w:p>
            <w:pPr>
              <w:pStyle w:val="58"/>
              <w:rPr>
                <w:color w:val="auto"/>
                <w:kern w:val="0"/>
              </w:rPr>
            </w:pPr>
            <w:r>
              <w:rPr>
                <w:rFonts w:hint="eastAsia"/>
                <w:color w:val="auto"/>
                <w:kern w:val="0"/>
              </w:rPr>
              <w:t>/</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本项目地形数据采用SRTM（Shuttle Radar Topography Mission）90m分辨率地形数据。数据来源为：http://srtm.csi.cgiar.org。地形数据范围为srtm58-04。项目区域地形图如图2.5-1所示。</w:t>
      </w:r>
    </w:p>
    <w:p>
      <w:pPr>
        <w:spacing w:line="240" w:lineRule="auto"/>
        <w:ind w:firstLine="0" w:firstLineChars="0"/>
        <w:jc w:val="center"/>
        <w:rPr>
          <w:rFonts w:hint="default" w:ascii="Times New Roman" w:hAnsi="Times New Roman" w:eastAsia="宋体" w:cs="Times New Roman"/>
          <w:color w:val="auto"/>
        </w:rPr>
      </w:pPr>
      <w:r>
        <w:rPr>
          <w:color w:val="auto"/>
        </w:rPr>
        <w:drawing>
          <wp:inline distT="0" distB="0" distL="0" distR="0">
            <wp:extent cx="5400040" cy="3514090"/>
            <wp:effectExtent l="0" t="0" r="10160" b="1016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16"/>
                    <a:stretch>
                      <a:fillRect/>
                    </a:stretch>
                  </pic:blipFill>
                  <pic:spPr>
                    <a:xfrm>
                      <a:off x="0" y="0"/>
                      <a:ext cx="5400040" cy="3514090"/>
                    </a:xfrm>
                    <a:prstGeom prst="rect">
                      <a:avLst/>
                    </a:prstGeom>
                  </pic:spPr>
                </pic:pic>
              </a:graphicData>
            </a:graphic>
          </wp:inline>
        </w:drawing>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图2.5-1    项目地形数据图</w:t>
      </w:r>
    </w:p>
    <w:p>
      <w:pPr>
        <w:topLinePunct w:val="0"/>
        <w:autoSpaceDE/>
        <w:ind w:firstLine="480"/>
        <w:rPr>
          <w:rFonts w:hint="default" w:ascii="Times New Roman" w:hAnsi="Times New Roman" w:eastAsia="宋体" w:cs="Times New Roman"/>
          <w:color w:val="auto"/>
          <w:szCs w:val="21"/>
        </w:rPr>
      </w:pPr>
      <w:r>
        <w:rPr>
          <w:rFonts w:hint="default" w:ascii="Times New Roman" w:hAnsi="Times New Roman" w:eastAsia="宋体" w:cs="Times New Roman"/>
          <w:color w:val="auto"/>
        </w:rPr>
        <w:t>项目所在地经估算模式（AERSCREEN）判断为复杂地形，地形点经纬度坐标（</w:t>
      </w:r>
      <w:r>
        <w:rPr>
          <w:rFonts w:hint="eastAsia" w:cs="Times New Roman"/>
          <w:color w:val="auto"/>
          <w:lang w:val="en-US" w:eastAsia="zh-CN"/>
        </w:rPr>
        <w:t>107.6504</w:t>
      </w:r>
      <w:r>
        <w:rPr>
          <w:rFonts w:hint="default" w:ascii="Times New Roman" w:hAnsi="Times New Roman" w:eastAsia="宋体" w:cs="Times New Roman"/>
          <w:color w:val="auto"/>
        </w:rPr>
        <w:t>，</w:t>
      </w:r>
      <w:r>
        <w:rPr>
          <w:rFonts w:hint="eastAsia" w:cs="Times New Roman"/>
          <w:color w:val="auto"/>
          <w:lang w:val="en-US" w:eastAsia="zh-CN"/>
        </w:rPr>
        <w:t>40.8920</w:t>
      </w:r>
      <w:r>
        <w:rPr>
          <w:rFonts w:hint="default" w:ascii="Times New Roman" w:hAnsi="Times New Roman" w:eastAsia="宋体" w:cs="Times New Roman"/>
          <w:color w:val="auto"/>
        </w:rPr>
        <w:t>，10</w:t>
      </w:r>
      <w:r>
        <w:rPr>
          <w:rFonts w:hint="eastAsia" w:cs="Times New Roman"/>
          <w:color w:val="auto"/>
          <w:lang w:val="en-US" w:eastAsia="zh-CN"/>
        </w:rPr>
        <w:t>35</w:t>
      </w:r>
      <w:r>
        <w:rPr>
          <w:rFonts w:hint="default" w:ascii="Times New Roman" w:hAnsi="Times New Roman" w:eastAsia="宋体" w:cs="Times New Roman"/>
          <w:color w:val="auto"/>
        </w:rPr>
        <w:t>）高源距离2004m，高程1</w:t>
      </w:r>
      <w:r>
        <w:rPr>
          <w:rFonts w:hint="default" w:ascii="Times New Roman" w:hAnsi="Times New Roman" w:eastAsia="宋体" w:cs="Times New Roman"/>
          <w:color w:val="auto"/>
          <w:lang w:val="en-US" w:eastAsia="zh-CN"/>
        </w:rPr>
        <w:t>0</w:t>
      </w:r>
      <w:r>
        <w:rPr>
          <w:rFonts w:hint="eastAsia" w:cs="Times New Roman"/>
          <w:color w:val="auto"/>
          <w:lang w:val="en-US" w:eastAsia="zh-CN"/>
        </w:rPr>
        <w:t>28</w:t>
      </w:r>
      <w:r>
        <w:rPr>
          <w:rFonts w:hint="default" w:ascii="Times New Roman" w:hAnsi="Times New Roman" w:eastAsia="宋体" w:cs="Times New Roman"/>
          <w:color w:val="auto"/>
        </w:rPr>
        <w:t>m。</w:t>
      </w:r>
    </w:p>
    <w:p>
      <w:pPr>
        <w:topLinePunct w:val="0"/>
        <w:autoSpaceDE/>
        <w:ind w:firstLine="48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项目运营过程中产生的恶臭污染物的无组织排放</w:t>
      </w:r>
      <w:r>
        <w:rPr>
          <w:rFonts w:hint="default" w:ascii="Times New Roman" w:hAnsi="Times New Roman" w:eastAsia="宋体" w:cs="Times New Roman"/>
          <w:color w:val="auto"/>
          <w:kern w:val="0"/>
          <w:szCs w:val="21"/>
        </w:rPr>
        <w:t>见表2.5-3。</w:t>
      </w:r>
    </w:p>
    <w:p>
      <w:pPr>
        <w:pStyle w:val="8"/>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表2.5-3    主要污染源强参数（矩形面源）一览表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80"/>
        <w:gridCol w:w="1422"/>
        <w:gridCol w:w="1317"/>
        <w:gridCol w:w="717"/>
        <w:gridCol w:w="636"/>
        <w:gridCol w:w="548"/>
        <w:gridCol w:w="640"/>
        <w:gridCol w:w="589"/>
        <w:gridCol w:w="588"/>
        <w:gridCol w:w="1175"/>
        <w:gridCol w:w="59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污染源名称</w:t>
            </w:r>
          </w:p>
        </w:tc>
        <w:tc>
          <w:tcPr>
            <w:tcW w:w="1520" w:type="pct"/>
            <w:gridSpan w:val="2"/>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右上角坐标(</w:t>
            </w:r>
            <w:r>
              <w:rPr>
                <w:rFonts w:hint="default" w:ascii="Times New Roman" w:hAnsi="Times New Roman" w:eastAsia="宋体" w:cs="Times New Roman"/>
                <w:color w:val="auto"/>
                <w:sz w:val="21"/>
                <w:szCs w:val="21"/>
                <w:highlight w:val="none"/>
                <w:vertAlign w:val="superscript"/>
              </w:rPr>
              <w:t>o</w:t>
            </w:r>
            <w:r>
              <w:rPr>
                <w:rFonts w:hint="default" w:ascii="Times New Roman" w:hAnsi="Times New Roman" w:eastAsia="宋体" w:cs="Times New Roman"/>
                <w:color w:val="auto"/>
                <w:sz w:val="21"/>
                <w:szCs w:val="21"/>
                <w:highlight w:val="none"/>
              </w:rPr>
              <w:t>)</w:t>
            </w:r>
          </w:p>
        </w:tc>
        <w:tc>
          <w:tcPr>
            <w:tcW w:w="398"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与正</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北方</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向逆</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时针</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夹角（°）</w:t>
            </w:r>
          </w:p>
        </w:tc>
        <w:tc>
          <w:tcPr>
            <w:tcW w:w="35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海拔高度(m)</w:t>
            </w:r>
          </w:p>
        </w:tc>
        <w:tc>
          <w:tcPr>
            <w:tcW w:w="986" w:type="pct"/>
            <w:gridSpan w:val="3"/>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矩形面源</w:t>
            </w:r>
          </w:p>
        </w:tc>
        <w:tc>
          <w:tcPr>
            <w:tcW w:w="326"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652"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速率</w:t>
            </w:r>
          </w:p>
        </w:tc>
        <w:tc>
          <w:tcPr>
            <w:tcW w:w="328"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78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经度</w:t>
            </w:r>
          </w:p>
        </w:tc>
        <w:tc>
          <w:tcPr>
            <w:tcW w:w="73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经度</w:t>
            </w:r>
          </w:p>
        </w:tc>
        <w:tc>
          <w:tcPr>
            <w:tcW w:w="398"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5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0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长度</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35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宽度</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327"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有效高度</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326"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65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28"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猪舍</w:t>
            </w:r>
          </w:p>
        </w:tc>
        <w:tc>
          <w:tcPr>
            <w:tcW w:w="789" w:type="pct"/>
            <w:vMerge w:val="restart"/>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40.89259</w:t>
            </w:r>
            <w:r>
              <w:rPr>
                <w:rFonts w:hint="default" w:ascii="Times New Roman" w:hAnsi="Times New Roman" w:eastAsia="宋体" w:cs="Times New Roman"/>
                <w:color w:val="auto"/>
                <w:sz w:val="21"/>
                <w:szCs w:val="21"/>
                <w:highlight w:val="none"/>
              </w:rPr>
              <w:t>°</w:t>
            </w:r>
          </w:p>
        </w:tc>
        <w:tc>
          <w:tcPr>
            <w:tcW w:w="731" w:type="pct"/>
            <w:vMerge w:val="restart"/>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107.65551</w:t>
            </w:r>
            <w:r>
              <w:rPr>
                <w:rFonts w:hint="default" w:ascii="Times New Roman" w:hAnsi="Times New Roman" w:eastAsia="宋体" w:cs="Times New Roman"/>
                <w:color w:val="auto"/>
                <w:sz w:val="21"/>
                <w:szCs w:val="21"/>
                <w:highlight w:val="none"/>
              </w:rPr>
              <w:t>°</w:t>
            </w:r>
          </w:p>
        </w:tc>
        <w:tc>
          <w:tcPr>
            <w:tcW w:w="398"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35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r>
              <w:rPr>
                <w:rFonts w:hint="eastAsia" w:cs="Times New Roman"/>
                <w:color w:val="auto"/>
                <w:sz w:val="21"/>
                <w:szCs w:val="21"/>
                <w:highlight w:val="none"/>
                <w:lang w:val="en-US" w:eastAsia="zh-CN"/>
              </w:rPr>
              <w:t>28</w:t>
            </w:r>
          </w:p>
        </w:tc>
        <w:tc>
          <w:tcPr>
            <w:tcW w:w="304"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250</w:t>
            </w:r>
          </w:p>
        </w:tc>
        <w:tc>
          <w:tcPr>
            <w:tcW w:w="355"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150</w:t>
            </w:r>
          </w:p>
        </w:tc>
        <w:tc>
          <w:tcPr>
            <w:tcW w:w="327"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.0</w:t>
            </w:r>
          </w:p>
        </w:tc>
        <w:tc>
          <w:tcPr>
            <w:tcW w:w="326"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652" w:type="pct"/>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lang w:val="en-US" w:eastAsia="zh-CN" w:bidi="ar-SA"/>
              </w:rPr>
            </w:pPr>
            <w:r>
              <w:rPr>
                <w:rFonts w:hint="eastAsia"/>
                <w:color w:val="FF0000"/>
                <w:sz w:val="21"/>
                <w:szCs w:val="21"/>
                <w:lang w:val="en-US" w:eastAsia="zh-CN"/>
              </w:rPr>
              <w:t>0.022</w:t>
            </w:r>
          </w:p>
        </w:tc>
        <w:tc>
          <w:tcPr>
            <w:tcW w:w="328"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kg/h</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789"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73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98"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5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04"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55"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27"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26"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652" w:type="pct"/>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lang w:val="en-US" w:eastAsia="zh-CN" w:bidi="ar-SA"/>
              </w:rPr>
            </w:pPr>
            <w:r>
              <w:rPr>
                <w:rFonts w:hint="eastAsia"/>
                <w:color w:val="FF0000"/>
                <w:sz w:val="21"/>
                <w:szCs w:val="21"/>
                <w:lang w:val="en-US" w:eastAsia="zh-CN"/>
              </w:rPr>
              <w:t>0.007</w:t>
            </w:r>
          </w:p>
        </w:tc>
        <w:tc>
          <w:tcPr>
            <w:tcW w:w="328"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晾粪台</w:t>
            </w:r>
          </w:p>
        </w:tc>
        <w:tc>
          <w:tcPr>
            <w:tcW w:w="789" w:type="pct"/>
            <w:vMerge w:val="restart"/>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40.89155</w:t>
            </w:r>
            <w:r>
              <w:rPr>
                <w:rFonts w:hint="default" w:ascii="Times New Roman" w:hAnsi="Times New Roman" w:eastAsia="宋体" w:cs="Times New Roman"/>
                <w:color w:val="auto"/>
                <w:sz w:val="21"/>
                <w:szCs w:val="21"/>
                <w:highlight w:val="none"/>
              </w:rPr>
              <w:t>°</w:t>
            </w:r>
          </w:p>
        </w:tc>
        <w:tc>
          <w:tcPr>
            <w:tcW w:w="731" w:type="pct"/>
            <w:vMerge w:val="restart"/>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107.65550</w:t>
            </w:r>
            <w:r>
              <w:rPr>
                <w:rFonts w:hint="default" w:ascii="Times New Roman" w:hAnsi="Times New Roman" w:eastAsia="宋体" w:cs="Times New Roman"/>
                <w:color w:val="auto"/>
                <w:sz w:val="21"/>
                <w:szCs w:val="21"/>
                <w:highlight w:val="none"/>
              </w:rPr>
              <w:t>°</w:t>
            </w:r>
          </w:p>
        </w:tc>
        <w:tc>
          <w:tcPr>
            <w:tcW w:w="398"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35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1028</w:t>
            </w:r>
          </w:p>
        </w:tc>
        <w:tc>
          <w:tcPr>
            <w:tcW w:w="304"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355"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50</w:t>
            </w:r>
          </w:p>
        </w:tc>
        <w:tc>
          <w:tcPr>
            <w:tcW w:w="327"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326"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652" w:type="pct"/>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snapToGrid w:val="0"/>
                <w:color w:val="FF0000"/>
                <w:kern w:val="2"/>
                <w:position w:val="-2"/>
                <w:sz w:val="21"/>
                <w:szCs w:val="21"/>
                <w:lang w:val="en-US" w:eastAsia="zh-CN" w:bidi="ar-SA"/>
              </w:rPr>
            </w:pPr>
            <w:r>
              <w:rPr>
                <w:rFonts w:hint="eastAsia"/>
                <w:snapToGrid w:val="0"/>
                <w:color w:val="FF0000"/>
                <w:position w:val="-2"/>
                <w:sz w:val="21"/>
                <w:szCs w:val="21"/>
                <w:lang w:val="en-US" w:eastAsia="zh-CN"/>
              </w:rPr>
              <w:t>0.006</w:t>
            </w:r>
          </w:p>
        </w:tc>
        <w:tc>
          <w:tcPr>
            <w:tcW w:w="328"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kg/h</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789"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73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98"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5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04"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55"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27"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26"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652" w:type="pct"/>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snapToGrid w:val="0"/>
                <w:color w:val="FF0000"/>
                <w:kern w:val="2"/>
                <w:position w:val="-2"/>
                <w:sz w:val="21"/>
                <w:szCs w:val="21"/>
                <w:lang w:val="en-US" w:eastAsia="zh-CN" w:bidi="ar-SA"/>
              </w:rPr>
            </w:pPr>
            <w:r>
              <w:rPr>
                <w:rFonts w:hint="eastAsia"/>
                <w:snapToGrid w:val="0"/>
                <w:color w:val="FF0000"/>
                <w:position w:val="-2"/>
                <w:sz w:val="21"/>
                <w:szCs w:val="21"/>
                <w:lang w:val="en-US" w:eastAsia="zh-CN"/>
              </w:rPr>
              <w:t>0.001</w:t>
            </w:r>
          </w:p>
        </w:tc>
        <w:tc>
          <w:tcPr>
            <w:tcW w:w="328"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氧化塘</w:t>
            </w:r>
          </w:p>
        </w:tc>
        <w:tc>
          <w:tcPr>
            <w:tcW w:w="789" w:type="pct"/>
            <w:vMerge w:val="restart"/>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40.89145</w:t>
            </w:r>
            <w:r>
              <w:rPr>
                <w:rFonts w:hint="default" w:ascii="Times New Roman" w:hAnsi="Times New Roman" w:eastAsia="宋体" w:cs="Times New Roman"/>
                <w:color w:val="auto"/>
                <w:sz w:val="21"/>
                <w:szCs w:val="21"/>
                <w:highlight w:val="none"/>
              </w:rPr>
              <w:t>°</w:t>
            </w:r>
          </w:p>
        </w:tc>
        <w:tc>
          <w:tcPr>
            <w:tcW w:w="731" w:type="pct"/>
            <w:vMerge w:val="restart"/>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107.65611</w:t>
            </w:r>
            <w:r>
              <w:rPr>
                <w:rFonts w:hint="default" w:ascii="Times New Roman" w:hAnsi="Times New Roman" w:eastAsia="宋体" w:cs="Times New Roman"/>
                <w:color w:val="auto"/>
                <w:sz w:val="21"/>
                <w:szCs w:val="21"/>
                <w:highlight w:val="none"/>
              </w:rPr>
              <w:t>°</w:t>
            </w:r>
          </w:p>
        </w:tc>
        <w:tc>
          <w:tcPr>
            <w:tcW w:w="398"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35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r>
              <w:rPr>
                <w:rFonts w:hint="eastAsia" w:cs="Times New Roman"/>
                <w:color w:val="auto"/>
                <w:sz w:val="21"/>
                <w:szCs w:val="21"/>
                <w:highlight w:val="none"/>
                <w:lang w:val="en-US" w:eastAsia="zh-CN"/>
              </w:rPr>
              <w:t>28</w:t>
            </w:r>
          </w:p>
        </w:tc>
        <w:tc>
          <w:tcPr>
            <w:tcW w:w="304"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355"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327"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.0</w:t>
            </w:r>
          </w:p>
        </w:tc>
        <w:tc>
          <w:tcPr>
            <w:tcW w:w="326"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652" w:type="pct"/>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snapToGrid w:val="0"/>
                <w:color w:val="FF0000"/>
                <w:kern w:val="2"/>
                <w:position w:val="-2"/>
                <w:sz w:val="21"/>
                <w:szCs w:val="21"/>
                <w:lang w:val="en-US" w:eastAsia="zh-CN" w:bidi="ar-SA"/>
              </w:rPr>
            </w:pPr>
            <w:r>
              <w:rPr>
                <w:rFonts w:hint="eastAsia" w:cs="Times New Roman"/>
                <w:snapToGrid w:val="0"/>
                <w:color w:val="FF0000"/>
                <w:kern w:val="2"/>
                <w:position w:val="-2"/>
                <w:sz w:val="21"/>
                <w:szCs w:val="21"/>
                <w:lang w:val="en-US" w:eastAsia="zh-CN" w:bidi="ar-SA"/>
              </w:rPr>
              <w:t>0.010</w:t>
            </w:r>
          </w:p>
        </w:tc>
        <w:tc>
          <w:tcPr>
            <w:tcW w:w="328"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kg/h</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789"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73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98"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5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04"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55"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27"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c>
          <w:tcPr>
            <w:tcW w:w="326"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652" w:type="pct"/>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snapToGrid w:val="0"/>
                <w:color w:val="FF0000"/>
                <w:kern w:val="2"/>
                <w:position w:val="-2"/>
                <w:sz w:val="21"/>
                <w:szCs w:val="21"/>
                <w:lang w:val="en-US" w:eastAsia="zh-CN" w:bidi="ar-SA"/>
              </w:rPr>
            </w:pPr>
            <w:r>
              <w:rPr>
                <w:rFonts w:hint="eastAsia" w:cs="Times New Roman"/>
                <w:snapToGrid w:val="0"/>
                <w:color w:val="FF0000"/>
                <w:kern w:val="2"/>
                <w:position w:val="-2"/>
                <w:sz w:val="21"/>
                <w:szCs w:val="21"/>
                <w:lang w:val="en-US" w:eastAsia="zh-CN" w:bidi="ar-SA"/>
              </w:rPr>
              <w:t>0.0003</w:t>
            </w:r>
          </w:p>
        </w:tc>
        <w:tc>
          <w:tcPr>
            <w:tcW w:w="328"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sz w:val="21"/>
                <w:szCs w:val="21"/>
                <w:highlight w:val="none"/>
              </w:rPr>
            </w:pPr>
          </w:p>
        </w:tc>
      </w:tr>
    </w:tbl>
    <w:p>
      <w:pPr>
        <w:pageBreakBefore w:val="0"/>
        <w:widowControl w:val="0"/>
        <w:kinsoku/>
        <w:wordWrap/>
        <w:overflowPunct w:val="0"/>
        <w:autoSpaceDN/>
        <w:bidi w:val="0"/>
        <w:adjustRightInd/>
        <w:snapToGrid/>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（4）估算模型计算结果</w:t>
      </w:r>
    </w:p>
    <w:p>
      <w:pPr>
        <w:pageBreakBefore w:val="0"/>
        <w:widowControl w:val="0"/>
        <w:kinsoku/>
        <w:wordWrap/>
        <w:topLinePunct w:val="0"/>
        <w:autoSpaceDE/>
        <w:autoSpaceDN/>
        <w:bidi w:val="0"/>
        <w:adjustRightInd/>
        <w:snapToGrid/>
        <w:ind w:firstLine="480" w:firstLineChars="20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采用导则推荐的估算模式计算最大落地浓度和占标率，本项目所有污染源的正常排放的污染物的P</w:t>
      </w:r>
      <w:r>
        <w:rPr>
          <w:rFonts w:hint="default" w:ascii="Times New Roman" w:hAnsi="Times New Roman" w:eastAsia="宋体" w:cs="Times New Roman"/>
          <w:color w:val="auto"/>
          <w:szCs w:val="21"/>
          <w:highlight w:val="none"/>
          <w:vertAlign w:val="subscript"/>
        </w:rPr>
        <w:t>max</w:t>
      </w:r>
      <w:r>
        <w:rPr>
          <w:rFonts w:hint="default" w:ascii="Times New Roman" w:hAnsi="Times New Roman" w:eastAsia="宋体" w:cs="Times New Roman"/>
          <w:color w:val="auto"/>
          <w:szCs w:val="21"/>
          <w:highlight w:val="none"/>
        </w:rPr>
        <w:t>和D</w:t>
      </w:r>
      <w:r>
        <w:rPr>
          <w:rFonts w:hint="default" w:ascii="Times New Roman" w:hAnsi="Times New Roman" w:eastAsia="宋体" w:cs="Times New Roman"/>
          <w:color w:val="auto"/>
          <w:szCs w:val="21"/>
          <w:highlight w:val="none"/>
          <w:vertAlign w:val="subscript"/>
        </w:rPr>
        <w:t>10%</w:t>
      </w:r>
      <w:r>
        <w:rPr>
          <w:rFonts w:hint="default" w:ascii="Times New Roman" w:hAnsi="Times New Roman" w:eastAsia="宋体" w:cs="Times New Roman"/>
          <w:color w:val="auto"/>
          <w:szCs w:val="21"/>
          <w:highlight w:val="none"/>
        </w:rPr>
        <w:t>预测结果详见下表。</w:t>
      </w:r>
    </w:p>
    <w:p>
      <w:pPr>
        <w:pStyle w:val="8"/>
        <w:pageBreakBefore w:val="0"/>
        <w:widowControl w:val="0"/>
        <w:kinsoku/>
        <w:wordWrap/>
        <w:autoSpaceDN/>
        <w:bidi w:val="0"/>
        <w:adjustRightInd/>
        <w:snapToGrid/>
        <w:ind w:firstLine="482"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表2.5-4    主要污染源估算模型计算结果表</w:t>
      </w:r>
    </w:p>
    <w:tbl>
      <w:tblPr>
        <w:tblStyle w:val="34"/>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570"/>
        <w:gridCol w:w="1248"/>
        <w:gridCol w:w="1914"/>
        <w:gridCol w:w="1784"/>
        <w:gridCol w:w="152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污染源</w:t>
            </w:r>
          </w:p>
        </w:tc>
        <w:tc>
          <w:tcPr>
            <w:tcW w:w="15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因子</w:t>
            </w:r>
          </w:p>
        </w:tc>
        <w:tc>
          <w:tcPr>
            <w:tcW w:w="12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源强（kg/h）</w:t>
            </w:r>
          </w:p>
        </w:tc>
        <w:tc>
          <w:tcPr>
            <w:tcW w:w="191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最大质量浓度</w:t>
            </w:r>
          </w:p>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（μg/m</w:t>
            </w:r>
            <w:r>
              <w:rPr>
                <w:rFonts w:hint="default" w:ascii="Times New Roman" w:hAnsi="Times New Roman" w:eastAsia="宋体" w:cs="Times New Roman"/>
                <w:snapToGrid w:val="0"/>
                <w:color w:val="auto"/>
                <w:sz w:val="21"/>
                <w:szCs w:val="21"/>
                <w:highlight w:val="none"/>
                <w:vertAlign w:val="superscript"/>
              </w:rPr>
              <w:t>3</w:t>
            </w:r>
            <w:r>
              <w:rPr>
                <w:rFonts w:hint="default" w:ascii="Times New Roman" w:hAnsi="Times New Roman" w:eastAsia="宋体" w:cs="Times New Roman"/>
                <w:snapToGrid w:val="0"/>
                <w:color w:val="auto"/>
                <w:sz w:val="21"/>
                <w:szCs w:val="21"/>
                <w:highlight w:val="none"/>
              </w:rPr>
              <w:t>）</w:t>
            </w:r>
          </w:p>
        </w:tc>
        <w:tc>
          <w:tcPr>
            <w:tcW w:w="178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最大质量浓度占标率（%）</w:t>
            </w:r>
          </w:p>
        </w:tc>
        <w:tc>
          <w:tcPr>
            <w:tcW w:w="152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D10%最远距离（m）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eastAsia" w:cs="Times New Roman"/>
                <w:color w:val="auto"/>
                <w:sz w:val="21"/>
                <w:szCs w:val="21"/>
                <w:highlight w:val="none"/>
                <w:lang w:eastAsia="zh-CN"/>
              </w:rPr>
              <w:t>猪舍</w:t>
            </w:r>
          </w:p>
        </w:tc>
        <w:tc>
          <w:tcPr>
            <w:tcW w:w="15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1248" w:type="dxa"/>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0.3051</w:t>
            </w:r>
          </w:p>
        </w:tc>
        <w:tc>
          <w:tcPr>
            <w:tcW w:w="191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lang w:val="en-US" w:eastAsia="zh-CN"/>
              </w:rPr>
            </w:pPr>
            <w:r>
              <w:rPr>
                <w:rFonts w:hint="eastAsia"/>
                <w:color w:val="auto"/>
                <w:sz w:val="21"/>
                <w:szCs w:val="21"/>
                <w:lang w:val="en-US" w:eastAsia="zh-CN"/>
              </w:rPr>
              <w:t>0.009683</w:t>
            </w:r>
          </w:p>
        </w:tc>
        <w:tc>
          <w:tcPr>
            <w:tcW w:w="178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lang w:val="en-US" w:eastAsia="zh-CN"/>
              </w:rPr>
            </w:pPr>
            <w:r>
              <w:rPr>
                <w:rFonts w:hint="eastAsia"/>
                <w:color w:val="auto"/>
                <w:sz w:val="21"/>
                <w:szCs w:val="21"/>
                <w:lang w:val="en-US" w:eastAsia="zh-CN"/>
              </w:rPr>
              <w:t>4.84</w:t>
            </w:r>
          </w:p>
        </w:tc>
        <w:tc>
          <w:tcPr>
            <w:tcW w:w="152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snapToGrid w:val="0"/>
                <w:color w:val="auto"/>
                <w:sz w:val="21"/>
                <w:szCs w:val="21"/>
                <w:highlight w:val="none"/>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p>
        </w:tc>
        <w:tc>
          <w:tcPr>
            <w:tcW w:w="15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1248" w:type="dxa"/>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olor w:val="auto"/>
                <w:sz w:val="21"/>
                <w:szCs w:val="21"/>
                <w:lang w:val="en-US" w:eastAsia="zh-CN"/>
              </w:rPr>
              <w:t>0.0</w:t>
            </w:r>
            <w:r>
              <w:rPr>
                <w:rFonts w:hint="eastAsia"/>
                <w:color w:val="auto"/>
                <w:sz w:val="21"/>
                <w:szCs w:val="21"/>
                <w:lang w:val="en-US" w:eastAsia="zh-CN"/>
              </w:rPr>
              <w:t>803</w:t>
            </w:r>
          </w:p>
        </w:tc>
        <w:tc>
          <w:tcPr>
            <w:tcW w:w="191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lang w:val="en-US" w:eastAsia="zh-CN"/>
              </w:rPr>
            </w:pPr>
            <w:r>
              <w:rPr>
                <w:rFonts w:hint="eastAsia"/>
                <w:color w:val="auto"/>
                <w:sz w:val="21"/>
                <w:szCs w:val="21"/>
                <w:lang w:val="en-US" w:eastAsia="zh-CN"/>
              </w:rPr>
              <w:t>0.000887</w:t>
            </w:r>
          </w:p>
        </w:tc>
        <w:tc>
          <w:tcPr>
            <w:tcW w:w="178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lang w:val="en-US" w:eastAsia="zh-CN"/>
              </w:rPr>
            </w:pPr>
            <w:r>
              <w:rPr>
                <w:rFonts w:hint="eastAsia"/>
                <w:color w:val="auto"/>
                <w:sz w:val="21"/>
                <w:szCs w:val="21"/>
                <w:lang w:val="en-US" w:eastAsia="zh-CN"/>
              </w:rPr>
              <w:t>8.87</w:t>
            </w:r>
          </w:p>
        </w:tc>
        <w:tc>
          <w:tcPr>
            <w:tcW w:w="152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eastAsia" w:cs="Times New Roman"/>
                <w:color w:val="auto"/>
                <w:sz w:val="21"/>
                <w:szCs w:val="21"/>
                <w:lang w:val="en-US" w:eastAsia="zh-CN"/>
              </w:rPr>
              <w:t>晾粪台</w:t>
            </w:r>
          </w:p>
        </w:tc>
        <w:tc>
          <w:tcPr>
            <w:tcW w:w="15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12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0.0117</w:t>
            </w:r>
          </w:p>
        </w:tc>
        <w:tc>
          <w:tcPr>
            <w:tcW w:w="191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lang w:val="en-US" w:eastAsia="zh-CN"/>
              </w:rPr>
            </w:pPr>
            <w:r>
              <w:rPr>
                <w:rFonts w:hint="eastAsia"/>
                <w:color w:val="auto"/>
                <w:sz w:val="21"/>
                <w:szCs w:val="21"/>
                <w:lang w:val="en-US" w:eastAsia="zh-CN"/>
              </w:rPr>
              <w:t>0.001524</w:t>
            </w:r>
          </w:p>
        </w:tc>
        <w:tc>
          <w:tcPr>
            <w:tcW w:w="178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lang w:val="en-US" w:eastAsia="zh-CN"/>
              </w:rPr>
            </w:pPr>
            <w:r>
              <w:rPr>
                <w:rFonts w:hint="eastAsia"/>
                <w:color w:val="auto"/>
                <w:sz w:val="21"/>
                <w:szCs w:val="21"/>
                <w:lang w:val="en-US" w:eastAsia="zh-CN"/>
              </w:rPr>
              <w:t>0.76</w:t>
            </w:r>
          </w:p>
        </w:tc>
        <w:tc>
          <w:tcPr>
            <w:tcW w:w="152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p>
        </w:tc>
        <w:tc>
          <w:tcPr>
            <w:tcW w:w="15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12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0.00285</w:t>
            </w:r>
          </w:p>
        </w:tc>
        <w:tc>
          <w:tcPr>
            <w:tcW w:w="191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lang w:val="en-US" w:eastAsia="zh-CN"/>
              </w:rPr>
            </w:pPr>
            <w:r>
              <w:rPr>
                <w:rFonts w:hint="eastAsia"/>
                <w:color w:val="auto"/>
                <w:sz w:val="21"/>
                <w:szCs w:val="21"/>
                <w:lang w:val="en-US" w:eastAsia="zh-CN"/>
              </w:rPr>
              <w:t>0.0002858</w:t>
            </w:r>
          </w:p>
        </w:tc>
        <w:tc>
          <w:tcPr>
            <w:tcW w:w="1784"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lang w:val="en-US" w:eastAsia="zh-CN"/>
              </w:rPr>
            </w:pPr>
            <w:r>
              <w:rPr>
                <w:rFonts w:hint="eastAsia"/>
                <w:color w:val="auto"/>
                <w:sz w:val="21"/>
                <w:szCs w:val="21"/>
                <w:lang w:val="en-US" w:eastAsia="zh-CN"/>
              </w:rPr>
              <w:t>2.86</w:t>
            </w:r>
          </w:p>
        </w:tc>
        <w:tc>
          <w:tcPr>
            <w:tcW w:w="152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r>
              <w:rPr>
                <w:rFonts w:hint="eastAsia" w:cs="Times New Roman"/>
                <w:color w:val="auto"/>
                <w:sz w:val="21"/>
                <w:szCs w:val="21"/>
                <w:lang w:val="en-US" w:eastAsia="zh-CN"/>
              </w:rPr>
              <w:t>氧化塘</w:t>
            </w:r>
          </w:p>
        </w:tc>
        <w:tc>
          <w:tcPr>
            <w:tcW w:w="15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12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0.0068</w:t>
            </w:r>
          </w:p>
        </w:tc>
        <w:tc>
          <w:tcPr>
            <w:tcW w:w="191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0.00008642</w:t>
            </w:r>
          </w:p>
        </w:tc>
        <w:tc>
          <w:tcPr>
            <w:tcW w:w="178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0.04</w:t>
            </w:r>
          </w:p>
        </w:tc>
        <w:tc>
          <w:tcPr>
            <w:tcW w:w="152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snapToGrid w:val="0"/>
                <w:color w:val="auto"/>
                <w:sz w:val="21"/>
                <w:szCs w:val="21"/>
                <w:highlight w:val="none"/>
              </w:rPr>
            </w:pPr>
          </w:p>
        </w:tc>
        <w:tc>
          <w:tcPr>
            <w:tcW w:w="1570"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S</w:t>
            </w:r>
          </w:p>
        </w:tc>
        <w:tc>
          <w:tcPr>
            <w:tcW w:w="12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0.00023</w:t>
            </w:r>
          </w:p>
        </w:tc>
        <w:tc>
          <w:tcPr>
            <w:tcW w:w="191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0.000002469</w:t>
            </w:r>
          </w:p>
        </w:tc>
        <w:tc>
          <w:tcPr>
            <w:tcW w:w="178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c>
          <w:tcPr>
            <w:tcW w:w="152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未出现</w:t>
            </w:r>
          </w:p>
        </w:tc>
      </w:tr>
    </w:tbl>
    <w:p>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据估算模式计算结果可知，猪舍无组织排放的</w:t>
      </w:r>
      <w:r>
        <w:rPr>
          <w:rFonts w:hint="eastAsia" w:cs="Times New Roman"/>
          <w:color w:val="FF0000"/>
          <w:highlight w:val="none"/>
          <w:lang w:eastAsia="zh-CN"/>
        </w:rPr>
        <w:t>硫化氢</w:t>
      </w:r>
      <w:r>
        <w:rPr>
          <w:rFonts w:hint="default" w:ascii="Times New Roman" w:hAnsi="Times New Roman" w:eastAsia="宋体" w:cs="Times New Roman"/>
          <w:color w:val="auto"/>
          <w:highlight w:val="none"/>
        </w:rPr>
        <w:t>最大地面空气质量浓度占标率为8.87%，污染物最大地面浓度占标率1%≤Pmax＜10%，确定本项目的大气环境评价工作等级为二级。</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（2）评价范围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根据《环境影响评价技术导则 大气环境》（HJ2.2-2018），评价范围根据建设项目排放污染物的最远影响距离（D10%）确定大气环境影响评价范围，本项目D10%未出现，当D10%小于2.5km时，评价范围边长取5km。因此，本次评价大气环境影响评价范围边长取5km的矩形区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项目大气环境评价范围如2.6-1所示。</w:t>
      </w:r>
      <w:bookmarkStart w:id="650" w:name="_GoBack"/>
      <w:bookmarkEnd w:id="650"/>
    </w:p>
    <w:p>
      <w:pPr>
        <w:pStyle w:val="6"/>
        <w:rPr>
          <w:rFonts w:hint="default" w:ascii="Times New Roman" w:hAnsi="Times New Roman" w:eastAsia="宋体" w:cs="Times New Roman"/>
          <w:color w:val="auto"/>
        </w:rPr>
      </w:pPr>
      <w:bookmarkStart w:id="154" w:name="_Toc32271"/>
      <w:bookmarkStart w:id="155" w:name="_Toc23971"/>
      <w:bookmarkStart w:id="156" w:name="_Toc512871531"/>
      <w:bookmarkStart w:id="157" w:name="_Toc453603068"/>
      <w:bookmarkStart w:id="158" w:name="_Toc452567813"/>
      <w:r>
        <w:rPr>
          <w:rFonts w:hint="default" w:ascii="Times New Roman" w:hAnsi="Times New Roman" w:eastAsia="宋体" w:cs="Times New Roman"/>
          <w:color w:val="auto"/>
        </w:rPr>
        <w:t>2.5.2地表水环境</w:t>
      </w:r>
      <w:bookmarkEnd w:id="154"/>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本项目为水污染影响型建设项目，</w:t>
      </w:r>
      <w:r>
        <w:rPr>
          <w:rFonts w:hint="default" w:ascii="Times New Roman" w:hAnsi="Times New Roman" w:eastAsia="宋体" w:cs="Times New Roman"/>
          <w:color w:val="FF0000"/>
        </w:rPr>
        <w:t>猪尿液</w:t>
      </w:r>
      <w:r>
        <w:rPr>
          <w:rFonts w:hint="eastAsia" w:cs="Times New Roman"/>
          <w:color w:val="FF0000"/>
          <w:lang w:eastAsia="zh-CN"/>
        </w:rPr>
        <w:t>、猪舍粪污管道冲洗废水和</w:t>
      </w:r>
      <w:r>
        <w:rPr>
          <w:rFonts w:hint="default" w:ascii="Times New Roman" w:hAnsi="Times New Roman" w:eastAsia="宋体" w:cs="Times New Roman"/>
          <w:color w:val="FF0000"/>
        </w:rPr>
        <w:t>生活污水</w:t>
      </w:r>
      <w:r>
        <w:rPr>
          <w:rFonts w:hint="eastAsia" w:cs="Times New Roman"/>
          <w:color w:val="FF0000"/>
          <w:lang w:eastAsia="zh-CN"/>
        </w:rPr>
        <w:t>经氧化塘无害化处理后，</w:t>
      </w:r>
      <w:r>
        <w:rPr>
          <w:rFonts w:hint="default" w:ascii="Times New Roman" w:hAnsi="Times New Roman" w:eastAsia="宋体" w:cs="Times New Roman"/>
          <w:color w:val="FF0000"/>
        </w:rPr>
        <w:t>进行资源化还田利用；洗消中心洗车废水、消毒废水经沉淀池处理后，上清液循环使用，不外排</w:t>
      </w:r>
      <w:r>
        <w:rPr>
          <w:rFonts w:hint="default" w:ascii="Times New Roman" w:hAnsi="Times New Roman" w:eastAsia="宋体" w:cs="Times New Roman"/>
          <w:color w:val="auto"/>
        </w:rPr>
        <w:t>。根据《环境影响评价技术导则—地表水环境》（HJ2.3-2018）进行评价等级判定，见下表。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表2.5-5    水污染影响型建设项目评价等级判定表</w:t>
      </w:r>
    </w:p>
    <w:tbl>
      <w:tblPr>
        <w:tblStyle w:val="34"/>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051"/>
        <w:gridCol w:w="2051"/>
        <w:gridCol w:w="49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051" w:type="dxa"/>
            <w:vMerge w:val="restart"/>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评级等级</w:t>
            </w:r>
          </w:p>
        </w:tc>
        <w:tc>
          <w:tcPr>
            <w:tcW w:w="6952" w:type="dxa"/>
            <w:gridSpan w:val="2"/>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判定依据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051" w:type="dxa"/>
            <w:vMerge w:val="continue"/>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p>
        </w:tc>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排放方式</w:t>
            </w:r>
          </w:p>
        </w:tc>
        <w:tc>
          <w:tcPr>
            <w:tcW w:w="490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废水排放量Q/（m</w:t>
            </w:r>
            <w:r>
              <w:rPr>
                <w:rFonts w:hint="default" w:ascii="Times New Roman" w:hAnsi="Times New Roman" w:eastAsia="宋体" w:cs="Times New Roman"/>
                <w:color w:val="auto"/>
                <w:sz w:val="21"/>
                <w:vertAlign w:val="superscript"/>
              </w:rPr>
              <w:t>3</w:t>
            </w:r>
            <w:r>
              <w:rPr>
                <w:rFonts w:hint="default" w:ascii="Times New Roman" w:hAnsi="Times New Roman" w:eastAsia="宋体" w:cs="Times New Roman"/>
                <w:color w:val="auto"/>
                <w:sz w:val="21"/>
              </w:rPr>
              <w:t>/d）</w:t>
            </w:r>
          </w:p>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水污染物当量W/（</w:t>
            </w:r>
            <w:r>
              <w:rPr>
                <w:rFonts w:hint="eastAsia" w:cs="Times New Roman"/>
                <w:color w:val="auto"/>
                <w:sz w:val="21"/>
                <w:lang w:eastAsia="zh-CN"/>
              </w:rPr>
              <w:t>无</w:t>
            </w:r>
            <w:r>
              <w:rPr>
                <w:rFonts w:hint="default" w:ascii="Times New Roman" w:hAnsi="Times New Roman" w:eastAsia="宋体" w:cs="Times New Roman"/>
                <w:color w:val="auto"/>
                <w:sz w:val="21"/>
              </w:rPr>
              <w:t>量纲）</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一级</w:t>
            </w:r>
          </w:p>
        </w:tc>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直接排放</w:t>
            </w:r>
          </w:p>
        </w:tc>
        <w:tc>
          <w:tcPr>
            <w:tcW w:w="490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Q≥</w:t>
            </w:r>
            <w:r>
              <w:rPr>
                <w:rFonts w:hint="eastAsia" w:cs="Times New Roman"/>
                <w:color w:val="auto"/>
                <w:sz w:val="21"/>
                <w:lang w:eastAsia="zh-CN"/>
              </w:rPr>
              <w:t>2100</w:t>
            </w:r>
            <w:r>
              <w:rPr>
                <w:rFonts w:hint="default" w:ascii="Times New Roman" w:hAnsi="Times New Roman" w:eastAsia="宋体" w:cs="Times New Roman"/>
                <w:color w:val="auto"/>
                <w:sz w:val="21"/>
              </w:rPr>
              <w:t>或W≥600000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二级</w:t>
            </w:r>
          </w:p>
        </w:tc>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直接排放</w:t>
            </w:r>
          </w:p>
        </w:tc>
        <w:tc>
          <w:tcPr>
            <w:tcW w:w="490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其他</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三级A</w:t>
            </w:r>
          </w:p>
        </w:tc>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直接排放</w:t>
            </w:r>
          </w:p>
        </w:tc>
        <w:tc>
          <w:tcPr>
            <w:tcW w:w="490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Q＜200且W＜6000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三级B</w:t>
            </w:r>
          </w:p>
        </w:tc>
        <w:tc>
          <w:tcPr>
            <w:tcW w:w="205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间接排放</w:t>
            </w:r>
          </w:p>
        </w:tc>
        <w:tc>
          <w:tcPr>
            <w:tcW w:w="4901"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9003" w:type="dxa"/>
            <w:gridSpan w:val="3"/>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注：建设项目生产工艺中有废水产生，但作为回水利用，不排放到外环境的，按三级B评价</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因此</w:t>
      </w:r>
      <w:r>
        <w:rPr>
          <w:rFonts w:hint="eastAsia" w:cs="Times New Roman"/>
          <w:color w:val="auto"/>
          <w:lang w:eastAsia="zh-CN"/>
        </w:rPr>
        <w:t>，本</w:t>
      </w:r>
      <w:r>
        <w:rPr>
          <w:rFonts w:hint="default" w:ascii="Times New Roman" w:hAnsi="Times New Roman" w:eastAsia="宋体" w:cs="Times New Roman"/>
          <w:color w:val="auto"/>
        </w:rPr>
        <w:t>项目地表水评价等级为三级B。</w:t>
      </w:r>
    </w:p>
    <w:p>
      <w:pPr>
        <w:pStyle w:val="6"/>
        <w:rPr>
          <w:rFonts w:hint="default" w:ascii="Times New Roman" w:hAnsi="Times New Roman" w:eastAsia="宋体" w:cs="Times New Roman"/>
          <w:color w:val="auto"/>
        </w:rPr>
      </w:pPr>
      <w:bookmarkStart w:id="159" w:name="_Toc17114"/>
      <w:r>
        <w:rPr>
          <w:rFonts w:hint="default" w:ascii="Times New Roman" w:hAnsi="Times New Roman" w:eastAsia="宋体" w:cs="Times New Roman"/>
          <w:color w:val="auto"/>
        </w:rPr>
        <w:t>2.5.3地下水环境</w:t>
      </w:r>
      <w:bookmarkEnd w:id="155"/>
      <w:bookmarkEnd w:id="156"/>
      <w:bookmarkEnd w:id="157"/>
      <w:bookmarkEnd w:id="158"/>
      <w:bookmarkEnd w:id="15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（1）项目类别</w:t>
      </w:r>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rPr>
        <w:t>根据《环境影响评价技术导则 地下水环境》（HJ610-2016)</w:t>
      </w:r>
      <w:r>
        <w:rPr>
          <w:rFonts w:hint="default" w:ascii="Times New Roman" w:hAnsi="Times New Roman" w:eastAsia="宋体" w:cs="Times New Roman"/>
          <w:color w:val="auto"/>
          <w:szCs w:val="24"/>
        </w:rPr>
        <w:t>）附录A</w:t>
      </w:r>
      <w:r>
        <w:rPr>
          <w:rFonts w:hint="default" w:ascii="Times New Roman" w:hAnsi="Times New Roman" w:eastAsia="宋体" w:cs="Times New Roman"/>
          <w:color w:val="auto"/>
        </w:rPr>
        <w:t>地下水环境影响评价行业分类表，本项目为畜禽养殖场、养殖小区类，确定</w:t>
      </w:r>
      <w:r>
        <w:rPr>
          <w:rFonts w:hint="default" w:ascii="Times New Roman" w:hAnsi="Times New Roman" w:eastAsia="宋体" w:cs="Times New Roman"/>
          <w:color w:val="auto"/>
          <w:szCs w:val="24"/>
        </w:rPr>
        <w:t>项目地下水环境影响评价分类中的Ⅲ类项目。</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（2）地下水环境敏感程度类别</w: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根据《环境影响评价技术导则—地下水环境》（HJ610-2016），依据表2.5-</w:t>
      </w:r>
      <w:r>
        <w:rPr>
          <w:rFonts w:hint="eastAsia" w:cs="Times New Roman"/>
          <w:color w:val="auto"/>
          <w:lang w:val="en-US" w:eastAsia="zh-CN"/>
        </w:rPr>
        <w:t>6</w:t>
      </w:r>
      <w:r>
        <w:rPr>
          <w:rFonts w:hint="default" w:ascii="Times New Roman" w:hAnsi="Times New Roman" w:eastAsia="宋体" w:cs="Times New Roman"/>
          <w:color w:val="auto"/>
        </w:rPr>
        <w:t>判别本区地下水环境敏感程度。</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表2.5-6    地下水环境敏感程度分级表</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63"/>
        <w:gridCol w:w="7840"/>
      </w:tblGrid>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163"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敏感程度</w:t>
            </w:r>
          </w:p>
        </w:tc>
        <w:tc>
          <w:tcPr>
            <w:tcW w:w="7840"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地下水环境敏感特征</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163"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敏感</w:t>
            </w:r>
          </w:p>
        </w:tc>
        <w:tc>
          <w:tcPr>
            <w:tcW w:w="7840"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集中式饮用水水源（包括已建成的、备用、应急水源，在建和规划的饮用水源）准保护区；除集中式饮用水水源以外的国家或地方政府设定的与地下水环境相关的其他保护区，如热水、矿泉水、温泉等特殊地下水资源保护区。</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163"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较敏感</w:t>
            </w:r>
          </w:p>
        </w:tc>
        <w:tc>
          <w:tcPr>
            <w:tcW w:w="7840"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集中式饮用水水源（包括已建成的、备用、应急水源，在建和规划的饮用水源）准保护区以外的补给径流区；未划定准保护区的集中式饮用水水源，其保护区以外的补给径流区；分散式饮用水水源地；特殊地下水资源（如矿泉水、温泉等）保护区以外的分布区等未列入上述敏感分级的环境敏感区。</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163"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不敏感</w:t>
            </w:r>
          </w:p>
        </w:tc>
        <w:tc>
          <w:tcPr>
            <w:tcW w:w="7840" w:type="dxa"/>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上述地区之外其他地区a</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003" w:type="dxa"/>
            <w:gridSpan w:val="2"/>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szCs w:val="18"/>
              </w:rPr>
              <w:t>注：a“环境敏感区”是指《建设项目环境影响评价分类管理名录》中所界定的涉及地下水的环境敏感区。</w:t>
            </w:r>
          </w:p>
        </w:tc>
      </w:tr>
    </w:tbl>
    <w:p>
      <w:pPr>
        <w:overflowPunct w:val="0"/>
        <w:adjustRightInd w:val="0"/>
        <w:snapToGrid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val="zh-CN"/>
        </w:rPr>
        <w:t>本项目不属于集中式、分散式饮用水源地准保护区、特殊地下水资源保护区、补给径流区和特殊地下水资源保护区，</w:t>
      </w:r>
      <w:r>
        <w:rPr>
          <w:rFonts w:hint="default" w:ascii="Times New Roman" w:hAnsi="Times New Roman" w:eastAsia="宋体" w:cs="Times New Roman"/>
          <w:color w:val="FF0000"/>
          <w:lang w:val="zh-CN"/>
        </w:rPr>
        <w:t>存在分散式饮用水水源井</w:t>
      </w:r>
      <w:r>
        <w:rPr>
          <w:rFonts w:hint="default" w:ascii="Times New Roman" w:hAnsi="Times New Roman" w:eastAsia="宋体" w:cs="Times New Roman"/>
          <w:color w:val="auto"/>
          <w:lang w:val="zh-CN"/>
        </w:rPr>
        <w:t>，</w:t>
      </w:r>
      <w:r>
        <w:rPr>
          <w:rFonts w:hint="default" w:ascii="Times New Roman" w:hAnsi="Times New Roman" w:eastAsia="宋体" w:cs="Times New Roman"/>
          <w:color w:val="auto"/>
        </w:rPr>
        <w:t>因此，地下水环境敏感程度为“较敏感”。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（3）评价等级确定</w: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根据《环境影响评价技术导则 地下水环境》（HJ610-2016），根据地下水环境敏感程度、项目地下水环境影响评价类别依据下表确定评价等级。</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表2.5-7    地下水评价工作等级分级表</w:t>
      </w:r>
    </w:p>
    <w:tbl>
      <w:tblPr>
        <w:tblStyle w:val="3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51"/>
        <w:gridCol w:w="2251"/>
        <w:gridCol w:w="2251"/>
        <w:gridCol w:w="22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0" w:type="pct"/>
            <w:tcBorders>
              <w:top w:val="single" w:color="000000" w:sz="12" w:space="0"/>
              <w:left w:val="nil"/>
              <w:tl2br w:val="single" w:color="auto" w:sz="4" w:space="0"/>
            </w:tcBorders>
            <w:vAlign w:val="center"/>
          </w:tcPr>
          <w:p>
            <w:pPr>
              <w:overflowPunct w:val="0"/>
              <w:spacing w:line="360" w:lineRule="exact"/>
              <w:ind w:firstLine="0" w:firstLineChars="0"/>
              <w:jc w:val="right"/>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项目类别</w:t>
            </w:r>
          </w:p>
          <w:p>
            <w:pPr>
              <w:overflowPunct w:val="0"/>
              <w:spacing w:line="360" w:lineRule="exact"/>
              <w:ind w:firstLine="0" w:firstLineChars="0"/>
              <w:jc w:val="left"/>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环境敏感程度</w:t>
            </w:r>
          </w:p>
        </w:tc>
        <w:tc>
          <w:tcPr>
            <w:tcW w:w="1250" w:type="pct"/>
            <w:tcBorders>
              <w:top w:val="single" w:color="000000" w:sz="12" w:space="0"/>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fldChar w:fldCharType="begin"/>
            </w:r>
            <w:r>
              <w:rPr>
                <w:rFonts w:hint="default" w:ascii="Times New Roman" w:hAnsi="Times New Roman" w:eastAsia="宋体" w:cs="Times New Roman"/>
                <w:color w:val="auto"/>
                <w:sz w:val="21"/>
              </w:rPr>
              <w:instrText xml:space="preserve"> = 1 \* ROMAN </w:instrText>
            </w:r>
            <w:r>
              <w:rPr>
                <w:rFonts w:hint="default" w:ascii="Times New Roman" w:hAnsi="Times New Roman" w:eastAsia="宋体" w:cs="Times New Roman"/>
                <w:color w:val="auto"/>
                <w:sz w:val="21"/>
              </w:rPr>
              <w:fldChar w:fldCharType="separate"/>
            </w:r>
            <w:r>
              <w:rPr>
                <w:rFonts w:hint="default" w:ascii="Times New Roman" w:hAnsi="Times New Roman" w:eastAsia="宋体" w:cs="Times New Roman"/>
                <w:color w:val="auto"/>
                <w:sz w:val="21"/>
              </w:rPr>
              <w:t>I</w:t>
            </w:r>
            <w:r>
              <w:rPr>
                <w:rFonts w:hint="default" w:ascii="Times New Roman" w:hAnsi="Times New Roman" w:eastAsia="宋体" w:cs="Times New Roman"/>
                <w:color w:val="auto"/>
                <w:sz w:val="21"/>
              </w:rPr>
              <w:fldChar w:fldCharType="end"/>
            </w:r>
            <w:r>
              <w:rPr>
                <w:rFonts w:hint="default" w:ascii="Times New Roman" w:hAnsi="Times New Roman" w:eastAsia="宋体" w:cs="Times New Roman"/>
                <w:color w:val="auto"/>
                <w:sz w:val="21"/>
              </w:rPr>
              <w:t>类项目</w:t>
            </w:r>
          </w:p>
        </w:tc>
        <w:tc>
          <w:tcPr>
            <w:tcW w:w="1250" w:type="pct"/>
            <w:tcBorders>
              <w:top w:val="single" w:color="000000" w:sz="12" w:space="0"/>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fldChar w:fldCharType="begin"/>
            </w:r>
            <w:r>
              <w:rPr>
                <w:rFonts w:hint="default" w:ascii="Times New Roman" w:hAnsi="Times New Roman" w:eastAsia="宋体" w:cs="Times New Roman"/>
                <w:color w:val="auto"/>
                <w:sz w:val="21"/>
              </w:rPr>
              <w:instrText xml:space="preserve"> = 2 \* ROMAN </w:instrText>
            </w:r>
            <w:r>
              <w:rPr>
                <w:rFonts w:hint="default" w:ascii="Times New Roman" w:hAnsi="Times New Roman" w:eastAsia="宋体" w:cs="Times New Roman"/>
                <w:color w:val="auto"/>
                <w:sz w:val="21"/>
              </w:rPr>
              <w:fldChar w:fldCharType="separate"/>
            </w:r>
            <w:r>
              <w:rPr>
                <w:rFonts w:hint="default" w:ascii="Times New Roman" w:hAnsi="Times New Roman" w:eastAsia="宋体" w:cs="Times New Roman"/>
                <w:color w:val="auto"/>
                <w:sz w:val="21"/>
              </w:rPr>
              <w:t>II</w:t>
            </w:r>
            <w:r>
              <w:rPr>
                <w:rFonts w:hint="default" w:ascii="Times New Roman" w:hAnsi="Times New Roman" w:eastAsia="宋体" w:cs="Times New Roman"/>
                <w:color w:val="auto"/>
                <w:sz w:val="21"/>
              </w:rPr>
              <w:fldChar w:fldCharType="end"/>
            </w:r>
            <w:r>
              <w:rPr>
                <w:rFonts w:hint="default" w:ascii="Times New Roman" w:hAnsi="Times New Roman" w:eastAsia="宋体" w:cs="Times New Roman"/>
                <w:color w:val="auto"/>
                <w:sz w:val="21"/>
              </w:rPr>
              <w:t>类项目</w:t>
            </w:r>
          </w:p>
        </w:tc>
        <w:tc>
          <w:tcPr>
            <w:tcW w:w="1250" w:type="pct"/>
            <w:tcBorders>
              <w:top w:val="single" w:color="000000" w:sz="12" w:space="0"/>
              <w:right w:val="nil"/>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fldChar w:fldCharType="begin"/>
            </w:r>
            <w:r>
              <w:rPr>
                <w:rFonts w:hint="default" w:ascii="Times New Roman" w:hAnsi="Times New Roman" w:eastAsia="宋体" w:cs="Times New Roman"/>
                <w:color w:val="auto"/>
                <w:sz w:val="21"/>
              </w:rPr>
              <w:instrText xml:space="preserve"> = 3 \* ROMAN </w:instrText>
            </w:r>
            <w:r>
              <w:rPr>
                <w:rFonts w:hint="default" w:ascii="Times New Roman" w:hAnsi="Times New Roman" w:eastAsia="宋体" w:cs="Times New Roman"/>
                <w:color w:val="auto"/>
                <w:sz w:val="21"/>
              </w:rPr>
              <w:fldChar w:fldCharType="separate"/>
            </w:r>
            <w:r>
              <w:rPr>
                <w:rFonts w:hint="default" w:ascii="Times New Roman" w:hAnsi="Times New Roman" w:eastAsia="宋体" w:cs="Times New Roman"/>
                <w:color w:val="auto"/>
                <w:sz w:val="21"/>
              </w:rPr>
              <w:t>III</w:t>
            </w:r>
            <w:r>
              <w:rPr>
                <w:rFonts w:hint="default" w:ascii="Times New Roman" w:hAnsi="Times New Roman" w:eastAsia="宋体" w:cs="Times New Roman"/>
                <w:color w:val="auto"/>
                <w:sz w:val="21"/>
              </w:rPr>
              <w:fldChar w:fldCharType="end"/>
            </w:r>
            <w:r>
              <w:rPr>
                <w:rFonts w:hint="default" w:ascii="Times New Roman" w:hAnsi="Times New Roman" w:eastAsia="宋体" w:cs="Times New Roman"/>
                <w:color w:val="auto"/>
                <w:sz w:val="21"/>
              </w:rPr>
              <w:t>类项目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0" w:type="pct"/>
            <w:tcBorders>
              <w:left w:val="nil"/>
              <w:bottom w:val="single" w:color="auto" w:sz="4" w:space="0"/>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敏感</w:t>
            </w:r>
          </w:p>
        </w:tc>
        <w:tc>
          <w:tcPr>
            <w:tcW w:w="1250" w:type="pct"/>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一</w:t>
            </w:r>
          </w:p>
        </w:tc>
        <w:tc>
          <w:tcPr>
            <w:tcW w:w="1250" w:type="pct"/>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一</w:t>
            </w:r>
          </w:p>
        </w:tc>
        <w:tc>
          <w:tcPr>
            <w:tcW w:w="1250" w:type="pct"/>
            <w:tcBorders>
              <w:right w:val="nil"/>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0" w:type="pct"/>
            <w:tcBorders>
              <w:top w:val="single" w:color="auto" w:sz="4" w:space="0"/>
              <w:left w:val="nil"/>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较敏感</w:t>
            </w:r>
          </w:p>
        </w:tc>
        <w:tc>
          <w:tcPr>
            <w:tcW w:w="1250" w:type="pct"/>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一</w:t>
            </w:r>
          </w:p>
        </w:tc>
        <w:tc>
          <w:tcPr>
            <w:tcW w:w="1250" w:type="pct"/>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二</w:t>
            </w:r>
          </w:p>
        </w:tc>
        <w:tc>
          <w:tcPr>
            <w:tcW w:w="1250" w:type="pct"/>
            <w:tcBorders>
              <w:right w:val="nil"/>
            </w:tcBorders>
            <w:shd w:val="clear" w:color="auto" w:fill="A5A5A5" w:themeFill="background1" w:themeFillShade="A6"/>
            <w:vAlign w:val="center"/>
          </w:tcPr>
          <w:p>
            <w:pPr>
              <w:pStyle w:val="58"/>
              <w:rPr>
                <w:rFonts w:hint="default" w:ascii="Times New Roman" w:hAnsi="Times New Roman" w:eastAsia="宋体" w:cs="Times New Roman"/>
                <w:b/>
                <w:bCs/>
                <w:color w:val="auto"/>
              </w:rPr>
            </w:pPr>
            <w:r>
              <w:rPr>
                <w:rFonts w:hint="default" w:ascii="Times New Roman" w:hAnsi="Times New Roman" w:eastAsia="宋体" w:cs="Times New Roman"/>
                <w:b/>
                <w:bCs/>
                <w:color w:val="auto"/>
                <w:lang w:val="en-GB"/>
              </w:rPr>
              <w:t>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0" w:type="pct"/>
            <w:tcBorders>
              <w:left w:val="nil"/>
              <w:bottom w:val="single" w:color="000000" w:sz="12" w:space="0"/>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不敏感</w:t>
            </w:r>
          </w:p>
        </w:tc>
        <w:tc>
          <w:tcPr>
            <w:tcW w:w="1250" w:type="pct"/>
            <w:tcBorders>
              <w:bottom w:val="single" w:color="000000" w:sz="12" w:space="0"/>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二</w:t>
            </w:r>
          </w:p>
        </w:tc>
        <w:tc>
          <w:tcPr>
            <w:tcW w:w="1250" w:type="pct"/>
            <w:tcBorders>
              <w:bottom w:val="single" w:color="000000" w:sz="12" w:space="0"/>
            </w:tcBorders>
            <w:vAlign w:val="center"/>
          </w:tcPr>
          <w:p>
            <w:pPr>
              <w:overflowPunct w:val="0"/>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三</w:t>
            </w:r>
          </w:p>
        </w:tc>
        <w:tc>
          <w:tcPr>
            <w:tcW w:w="1250" w:type="pct"/>
            <w:tcBorders>
              <w:bottom w:val="single" w:color="000000" w:sz="12" w:space="0"/>
              <w:right w:val="nil"/>
            </w:tcBorders>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lang w:val="en-GB"/>
              </w:rPr>
              <w:t>三</w:t>
            </w:r>
          </w:p>
        </w:tc>
      </w:tr>
    </w:tbl>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依据建设项目地下水环境影响评价工作等级划分中的要求，项目为Ⅲ类项目环境敏感程度为“</w:t>
      </w:r>
      <w:r>
        <w:rPr>
          <w:rFonts w:hint="default" w:ascii="Times New Roman" w:hAnsi="Times New Roman" w:eastAsia="宋体" w:cs="Times New Roman"/>
          <w:color w:val="auto"/>
          <w:lang w:eastAsia="zh-CN"/>
        </w:rPr>
        <w:t>较</w:t>
      </w:r>
      <w:r>
        <w:rPr>
          <w:rFonts w:hint="default" w:ascii="Times New Roman" w:hAnsi="Times New Roman" w:eastAsia="宋体" w:cs="Times New Roman"/>
          <w:color w:val="auto"/>
        </w:rPr>
        <w:t>敏感”，确定本项目地下水评价工作等级为三级。</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（4）地下水评价范围</w:t>
      </w:r>
    </w:p>
    <w:p>
      <w:pPr>
        <w:topLinePunct w:val="0"/>
        <w:autoSpaceDE/>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根据《</w:t>
      </w:r>
      <w:r>
        <w:rPr>
          <w:rFonts w:hint="eastAsia" w:cs="Times New Roman"/>
          <w:color w:val="auto"/>
          <w:szCs w:val="24"/>
          <w:lang w:val="zh-CN"/>
        </w:rPr>
        <w:t>环境影响评价技术导则 地下水环境</w:t>
      </w:r>
      <w:r>
        <w:rPr>
          <w:rFonts w:hint="default" w:ascii="Times New Roman" w:hAnsi="Times New Roman" w:eastAsia="宋体" w:cs="Times New Roman"/>
          <w:color w:val="auto"/>
          <w:szCs w:val="24"/>
          <w:lang w:val="zh-CN"/>
        </w:rPr>
        <w:t>》（HJ610-2016），建设项目地下水环境影响现状调查评价范围可采用公式法、查表法和自定义法确定。本次评价采用查表法确定地下水评价范围。地下水环境现状调查评价范围参照表见下表。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表2.5-8    地下水环境现状调查评价范围参照表</w:t>
      </w:r>
    </w:p>
    <w:tbl>
      <w:tblPr>
        <w:tblStyle w:val="35"/>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376"/>
        <w:gridCol w:w="3543"/>
        <w:gridCol w:w="308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19"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评价等级</w:t>
            </w:r>
          </w:p>
        </w:tc>
        <w:tc>
          <w:tcPr>
            <w:tcW w:w="1967"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调查评价范围（km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p>
        </w:tc>
        <w:tc>
          <w:tcPr>
            <w:tcW w:w="1713"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19"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一级</w:t>
            </w:r>
          </w:p>
        </w:tc>
        <w:tc>
          <w:tcPr>
            <w:tcW w:w="1967"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1713" w:type="pct"/>
            <w:vMerge w:val="restar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应包括重要的地下水环境保护目标，必要时适当扩大范围。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19"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二级</w:t>
            </w:r>
          </w:p>
        </w:tc>
        <w:tc>
          <w:tcPr>
            <w:tcW w:w="1967"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6~20</w:t>
            </w:r>
          </w:p>
        </w:tc>
        <w:tc>
          <w:tcPr>
            <w:tcW w:w="1713" w:type="pct"/>
            <w:vMerge w:val="continue"/>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19"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三级</w:t>
            </w:r>
          </w:p>
        </w:tc>
        <w:tc>
          <w:tcPr>
            <w:tcW w:w="1967" w:type="pc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1713" w:type="pct"/>
            <w:vMerge w:val="continue"/>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本项目下游无集中式地下水源地，</w:t>
      </w:r>
      <w:r>
        <w:rPr>
          <w:rFonts w:hint="default" w:ascii="Times New Roman" w:hAnsi="Times New Roman" w:eastAsia="宋体" w:cs="Times New Roman"/>
          <w:color w:val="auto"/>
          <w:lang w:eastAsia="zh-CN"/>
        </w:rPr>
        <w:t>地下水流向为</w:t>
      </w:r>
      <w:r>
        <w:rPr>
          <w:rFonts w:hint="default" w:ascii="Times New Roman" w:hAnsi="Times New Roman" w:eastAsia="宋体" w:cs="Times New Roman"/>
          <w:color w:val="auto"/>
        </w:rPr>
        <w:t>由</w:t>
      </w:r>
      <w:r>
        <w:rPr>
          <w:rFonts w:hint="default" w:ascii="Times New Roman" w:hAnsi="Times New Roman" w:eastAsia="宋体" w:cs="Times New Roman"/>
          <w:color w:val="FF0000"/>
        </w:rPr>
        <w:t>西南向东北</w:t>
      </w:r>
      <w:r>
        <w:rPr>
          <w:rFonts w:hint="default" w:ascii="Times New Roman" w:hAnsi="Times New Roman" w:eastAsia="宋体" w:cs="Times New Roman"/>
          <w:color w:val="auto"/>
        </w:rPr>
        <w:t>；本次调查评价范围：上游</w:t>
      </w:r>
      <w:r>
        <w:rPr>
          <w:rFonts w:hint="default" w:ascii="Times New Roman" w:hAnsi="Times New Roman" w:eastAsia="宋体" w:cs="Times New Roman"/>
          <w:color w:val="FF0000"/>
        </w:rPr>
        <w:t>西南侧扩展</w:t>
      </w:r>
      <w:r>
        <w:rPr>
          <w:rFonts w:hint="eastAsia" w:cs="Times New Roman"/>
          <w:color w:val="FF0000"/>
          <w:lang w:val="en-US" w:eastAsia="zh-CN"/>
        </w:rPr>
        <w:t>1.5</w:t>
      </w:r>
      <w:r>
        <w:rPr>
          <w:rFonts w:hint="default" w:ascii="Times New Roman" w:hAnsi="Times New Roman" w:eastAsia="宋体" w:cs="Times New Roman"/>
          <w:color w:val="FF0000"/>
        </w:rPr>
        <w:t>km为界，西北</w:t>
      </w:r>
      <w:r>
        <w:rPr>
          <w:rFonts w:hint="eastAsia" w:cs="Times New Roman"/>
          <w:color w:val="FF0000"/>
          <w:lang w:val="en-US" w:eastAsia="zh-Hans"/>
        </w:rPr>
        <w:t>侧和</w:t>
      </w:r>
      <w:r>
        <w:rPr>
          <w:rFonts w:hint="default" w:ascii="Times New Roman" w:hAnsi="Times New Roman" w:eastAsia="宋体" w:cs="Times New Roman"/>
          <w:color w:val="FF0000"/>
        </w:rPr>
        <w:t>东南侧向外扩展1.0km为界，东</w:t>
      </w:r>
      <w:r>
        <w:rPr>
          <w:rFonts w:hint="default" w:ascii="Times New Roman" w:hAnsi="Times New Roman" w:eastAsia="宋体" w:cs="Times New Roman"/>
          <w:color w:val="FF0000"/>
          <w:lang w:eastAsia="zh-CN"/>
        </w:rPr>
        <w:t>北</w:t>
      </w:r>
      <w:r>
        <w:rPr>
          <w:rFonts w:hint="eastAsia" w:cs="Times New Roman"/>
          <w:color w:val="FF0000"/>
          <w:lang w:val="en-US" w:eastAsia="zh-Hans"/>
        </w:rPr>
        <w:t>侧</w:t>
      </w:r>
      <w:r>
        <w:rPr>
          <w:rFonts w:hint="default" w:ascii="Times New Roman" w:hAnsi="Times New Roman" w:eastAsia="宋体" w:cs="Times New Roman"/>
          <w:color w:val="FF0000"/>
        </w:rPr>
        <w:t>至场区下游</w:t>
      </w:r>
      <w:r>
        <w:rPr>
          <w:rFonts w:hint="default" w:ascii="Times New Roman" w:hAnsi="Times New Roman" w:eastAsia="宋体" w:cs="Times New Roman"/>
          <w:color w:val="FF0000"/>
          <w:lang w:val="en-US" w:eastAsia="zh-CN"/>
        </w:rPr>
        <w:t>1</w:t>
      </w:r>
      <w:r>
        <w:rPr>
          <w:rFonts w:hint="default" w:ascii="Times New Roman" w:hAnsi="Times New Roman" w:eastAsia="宋体" w:cs="Times New Roman"/>
          <w:color w:val="FF0000"/>
        </w:rPr>
        <w:t>.</w:t>
      </w:r>
      <w:r>
        <w:rPr>
          <w:rFonts w:hint="eastAsia" w:cs="Times New Roman"/>
          <w:color w:val="FF0000"/>
          <w:lang w:val="en-US" w:eastAsia="zh-CN"/>
        </w:rPr>
        <w:t>5</w:t>
      </w:r>
      <w:r>
        <w:rPr>
          <w:rFonts w:hint="default" w:ascii="Times New Roman" w:hAnsi="Times New Roman" w:eastAsia="宋体" w:cs="Times New Roman"/>
          <w:color w:val="FF0000"/>
        </w:rPr>
        <w:t>km为界，面积约为6.0km</w:t>
      </w:r>
      <w:r>
        <w:rPr>
          <w:rFonts w:hint="default" w:ascii="Times New Roman" w:hAnsi="Times New Roman" w:eastAsia="宋体" w:cs="Times New Roman"/>
          <w:color w:val="FF0000"/>
          <w:vertAlign w:val="superscript"/>
        </w:rPr>
        <w:t>2</w:t>
      </w:r>
      <w:r>
        <w:rPr>
          <w:rFonts w:hint="default" w:ascii="Times New Roman" w:hAnsi="Times New Roman" w:eastAsia="宋体" w:cs="Times New Roman"/>
          <w:color w:val="FF0000"/>
        </w:rPr>
        <w:t>，如图2.6-1所示。</w:t>
      </w:r>
    </w:p>
    <w:p>
      <w:pPr>
        <w:pStyle w:val="6"/>
        <w:rPr>
          <w:rFonts w:hint="default" w:ascii="Times New Roman" w:hAnsi="Times New Roman" w:eastAsia="宋体" w:cs="Times New Roman"/>
          <w:color w:val="auto"/>
          <w:lang w:val="en-GB"/>
        </w:rPr>
      </w:pPr>
      <w:bookmarkStart w:id="160" w:name="_Toc18761"/>
      <w:r>
        <w:rPr>
          <w:rFonts w:hint="default" w:ascii="Times New Roman" w:hAnsi="Times New Roman" w:eastAsia="宋体" w:cs="Times New Roman"/>
          <w:color w:val="auto"/>
          <w:lang w:val="en-GB"/>
        </w:rPr>
        <w:t>2.5.4土壤环境</w:t>
      </w:r>
      <w:bookmarkEnd w:id="16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（1）项目类别</w:t>
      </w:r>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rPr>
        <w:t>根据</w:t>
      </w:r>
      <w:r>
        <w:rPr>
          <w:rFonts w:hint="default" w:ascii="Times New Roman" w:hAnsi="Times New Roman" w:eastAsia="宋体" w:cs="Times New Roman"/>
          <w:color w:val="auto"/>
          <w:lang w:val="en-GB"/>
        </w:rPr>
        <w:t>《环境影响评价技术导则 土壤环境（试行）》（HJ964-2018）</w:t>
      </w:r>
      <w:r>
        <w:rPr>
          <w:rFonts w:hint="default" w:ascii="Times New Roman" w:hAnsi="Times New Roman" w:eastAsia="宋体" w:cs="Times New Roman"/>
          <w:color w:val="auto"/>
          <w:szCs w:val="24"/>
        </w:rPr>
        <w:t>附录A</w:t>
      </w:r>
      <w:r>
        <w:rPr>
          <w:rFonts w:hint="default" w:ascii="Times New Roman" w:hAnsi="Times New Roman" w:eastAsia="宋体" w:cs="Times New Roman"/>
          <w:color w:val="auto"/>
        </w:rPr>
        <w:t>土壤环境影响评价行业分类表，本项目为畜禽养殖场、养殖小区类</w:t>
      </w:r>
      <w:r>
        <w:rPr>
          <w:rFonts w:hint="default" w:ascii="Times New Roman" w:hAnsi="Times New Roman" w:eastAsia="宋体" w:cs="Times New Roman"/>
          <w:color w:val="auto"/>
          <w:lang w:eastAsia="zh-CN"/>
        </w:rPr>
        <w:t>，年出栏</w:t>
      </w:r>
      <w:r>
        <w:rPr>
          <w:rFonts w:hint="eastAsia" w:cs="Times New Roman"/>
          <w:color w:val="auto"/>
          <w:lang w:eastAsia="zh-CN"/>
        </w:rPr>
        <w:t>20000</w:t>
      </w:r>
      <w:r>
        <w:rPr>
          <w:rFonts w:hint="default" w:ascii="Times New Roman" w:hAnsi="Times New Roman" w:eastAsia="宋体" w:cs="Times New Roman"/>
          <w:color w:val="auto"/>
          <w:lang w:eastAsia="zh-CN"/>
        </w:rPr>
        <w:t>头育肥猪</w:t>
      </w:r>
      <w:r>
        <w:rPr>
          <w:rFonts w:hint="default" w:ascii="Times New Roman" w:hAnsi="Times New Roman" w:eastAsia="宋体" w:cs="Times New Roman"/>
          <w:color w:val="auto"/>
        </w:rPr>
        <w:t>，确定</w:t>
      </w:r>
      <w:r>
        <w:rPr>
          <w:rFonts w:hint="default" w:ascii="Times New Roman" w:hAnsi="Times New Roman" w:eastAsia="宋体" w:cs="Times New Roman"/>
          <w:color w:val="auto"/>
          <w:szCs w:val="24"/>
        </w:rPr>
        <w:t>土壤环境影响评价项目分类中的</w:t>
      </w:r>
      <w:r>
        <w:rPr>
          <w:rFonts w:hint="default" w:ascii="Times New Roman" w:hAnsi="Times New Roman" w:eastAsia="宋体" w:cs="Times New Roman"/>
          <w:color w:val="auto"/>
          <w:szCs w:val="24"/>
        </w:rPr>
        <w:fldChar w:fldCharType="begin"/>
      </w:r>
      <w:r>
        <w:rPr>
          <w:rFonts w:hint="default" w:ascii="Times New Roman" w:hAnsi="Times New Roman" w:eastAsia="宋体" w:cs="Times New Roman"/>
          <w:color w:val="auto"/>
          <w:szCs w:val="24"/>
        </w:rPr>
        <w:instrText xml:space="preserve"> = 3 \* ROMAN \* MERGEFORMAT </w:instrText>
      </w:r>
      <w:r>
        <w:rPr>
          <w:rFonts w:hint="default" w:ascii="Times New Roman" w:hAnsi="Times New Roman" w:eastAsia="宋体" w:cs="Times New Roman"/>
          <w:color w:val="auto"/>
          <w:szCs w:val="24"/>
        </w:rPr>
        <w:fldChar w:fldCharType="separate"/>
      </w:r>
      <w:r>
        <w:rPr>
          <w:rFonts w:hint="default" w:ascii="Times New Roman" w:hAnsi="Times New Roman" w:eastAsia="宋体" w:cs="Times New Roman"/>
          <w:color w:val="auto"/>
        </w:rPr>
        <w:t>III</w:t>
      </w:r>
      <w:r>
        <w:rPr>
          <w:rFonts w:hint="default" w:ascii="Times New Roman" w:hAnsi="Times New Roman" w:eastAsia="宋体" w:cs="Times New Roman"/>
          <w:color w:val="auto"/>
          <w:szCs w:val="24"/>
        </w:rPr>
        <w:fldChar w:fldCharType="end"/>
      </w:r>
      <w:r>
        <w:rPr>
          <w:rFonts w:hint="default" w:ascii="Times New Roman" w:hAnsi="Times New Roman" w:eastAsia="宋体" w:cs="Times New Roman"/>
          <w:color w:val="auto"/>
          <w:szCs w:val="24"/>
        </w:rPr>
        <w:t>类项目。</w:t>
      </w:r>
    </w:p>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w:t>
      </w:r>
      <w:r>
        <w:rPr>
          <w:rFonts w:hint="default" w:cs="Times New Roman"/>
          <w:color w:val="auto"/>
        </w:rPr>
        <w:t>2</w:t>
      </w:r>
      <w:r>
        <w:rPr>
          <w:rFonts w:hint="default" w:ascii="Times New Roman" w:hAnsi="Times New Roman" w:eastAsia="宋体" w:cs="Times New Roman"/>
          <w:color w:val="auto"/>
          <w:lang w:val="en-GB"/>
        </w:rPr>
        <w:t>）评价等级</w:t>
      </w:r>
    </w:p>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依据《环境影响评价技术导则 土壤环境（试行）》（HJ964-2018），建设项目所在地周边的土壤环境敏感程度分为敏感、较敏感、不敏感，判别依据见表2.5-</w:t>
      </w:r>
      <w:r>
        <w:rPr>
          <w:rFonts w:hint="eastAsia" w:cs="Times New Roman"/>
          <w:color w:val="auto"/>
          <w:lang w:val="en-US" w:eastAsia="zh-CN"/>
        </w:rPr>
        <w:t>9</w:t>
      </w:r>
      <w:r>
        <w:rPr>
          <w:rFonts w:hint="default" w:ascii="Times New Roman" w:hAnsi="Times New Roman" w:eastAsia="宋体" w:cs="Times New Roman"/>
          <w:color w:val="auto"/>
          <w:lang w:val="en-GB"/>
        </w:rPr>
        <w:t>。</w:t>
      </w:r>
    </w:p>
    <w:p>
      <w:pPr>
        <w:pStyle w:val="8"/>
        <w:rPr>
          <w:rFonts w:hint="default" w:ascii="Times New Roman" w:hAnsi="Times New Roman" w:eastAsia="宋体" w:cs="Times New Roman"/>
          <w:color w:val="auto"/>
          <w:sz w:val="23"/>
          <w:szCs w:val="23"/>
        </w:rPr>
      </w:pPr>
      <w:r>
        <w:rPr>
          <w:rFonts w:hint="default" w:ascii="Times New Roman" w:hAnsi="Times New Roman" w:eastAsia="宋体" w:cs="Times New Roman"/>
          <w:color w:val="auto"/>
        </w:rPr>
        <w:t>表2.5-</w:t>
      </w:r>
      <w:r>
        <w:rPr>
          <w:rFonts w:hint="eastAsia" w:cs="Times New Roman"/>
          <w:color w:val="auto"/>
          <w:lang w:val="en-US" w:eastAsia="zh-CN"/>
        </w:rPr>
        <w:t>9</w:t>
      </w:r>
      <w:r>
        <w:rPr>
          <w:rFonts w:hint="default" w:ascii="Times New Roman" w:hAnsi="Times New Roman" w:eastAsia="宋体" w:cs="Times New Roman"/>
          <w:color w:val="auto"/>
        </w:rPr>
        <w:t xml:space="preserve">    污染影响型敏感程度分级表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810"/>
        <w:gridCol w:w="719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05" w:hRule="atLeast"/>
        </w:trPr>
        <w:tc>
          <w:tcPr>
            <w:tcW w:w="1005"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敏感程度</w:t>
            </w:r>
          </w:p>
        </w:tc>
        <w:tc>
          <w:tcPr>
            <w:tcW w:w="3995"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判别依据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2" w:hRule="atLeast"/>
        </w:trPr>
        <w:tc>
          <w:tcPr>
            <w:tcW w:w="1005"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敏感</w:t>
            </w:r>
          </w:p>
        </w:tc>
        <w:tc>
          <w:tcPr>
            <w:tcW w:w="3995"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建设项目周边存在耕地、园地、牧草地、饮用水水源地或居民区、学校、医院、疗养院、养老院等土壤环境敏感目标的</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05" w:hRule="atLeast"/>
        </w:trPr>
        <w:tc>
          <w:tcPr>
            <w:tcW w:w="1005"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较敏感</w:t>
            </w:r>
          </w:p>
        </w:tc>
        <w:tc>
          <w:tcPr>
            <w:tcW w:w="3995"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建设项目周边存在其他土壤环境敏感目标的</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05" w:hRule="atLeast"/>
        </w:trPr>
        <w:tc>
          <w:tcPr>
            <w:tcW w:w="1005"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不敏感</w:t>
            </w:r>
          </w:p>
        </w:tc>
        <w:tc>
          <w:tcPr>
            <w:tcW w:w="3995"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其他情况</w:t>
            </w:r>
          </w:p>
        </w:tc>
      </w:tr>
    </w:tbl>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FF0000"/>
          <w:lang w:val="en-GB"/>
        </w:rPr>
        <w:t>本项目周边</w:t>
      </w:r>
      <w:r>
        <w:rPr>
          <w:rFonts w:hint="eastAsia" w:cs="Times New Roman"/>
          <w:color w:val="FF0000"/>
          <w:lang w:val="en-US" w:eastAsia="zh-CN"/>
        </w:rPr>
        <w:t>50m范围内为沙地和内陆滩涂</w:t>
      </w:r>
      <w:r>
        <w:rPr>
          <w:rFonts w:hint="default" w:ascii="Times New Roman" w:hAnsi="Times New Roman" w:eastAsia="宋体" w:cs="Times New Roman"/>
          <w:color w:val="FF0000"/>
          <w:lang w:val="en-GB"/>
        </w:rPr>
        <w:t>，敏感程度属于</w:t>
      </w:r>
      <w:r>
        <w:rPr>
          <w:rFonts w:hint="eastAsia" w:cs="Times New Roman"/>
          <w:color w:val="FF0000"/>
          <w:lang w:val="en-GB" w:eastAsia="zh-CN"/>
        </w:rPr>
        <w:t>不</w:t>
      </w:r>
      <w:r>
        <w:rPr>
          <w:rFonts w:hint="default" w:ascii="Times New Roman" w:hAnsi="Times New Roman" w:eastAsia="宋体" w:cs="Times New Roman"/>
          <w:color w:val="FF0000"/>
          <w:lang w:val="en-GB"/>
        </w:rPr>
        <w:t>敏感，</w:t>
      </w:r>
      <w:r>
        <w:rPr>
          <w:rFonts w:hint="default" w:ascii="Times New Roman" w:hAnsi="Times New Roman" w:eastAsia="宋体" w:cs="Times New Roman"/>
          <w:color w:val="auto"/>
          <w:lang w:val="en-GB"/>
        </w:rPr>
        <w:t>本项目占地规模</w:t>
      </w:r>
      <w:r>
        <w:rPr>
          <w:rFonts w:hint="eastAsia" w:cs="Times New Roman"/>
          <w:color w:val="auto"/>
          <w:lang w:val="en-US" w:eastAsia="zh-CN"/>
        </w:rPr>
        <w:t>大</w:t>
      </w:r>
      <w:r>
        <w:rPr>
          <w:rFonts w:hint="default" w:ascii="Times New Roman" w:hAnsi="Times New Roman" w:eastAsia="宋体" w:cs="Times New Roman"/>
          <w:color w:val="auto"/>
          <w:lang w:val="en-GB"/>
        </w:rPr>
        <w:t>5hm</w:t>
      </w:r>
      <w:r>
        <w:rPr>
          <w:rFonts w:hint="default" w:ascii="Times New Roman" w:hAnsi="Times New Roman" w:eastAsia="宋体" w:cs="Times New Roman"/>
          <w:color w:val="auto"/>
          <w:vertAlign w:val="superscript"/>
          <w:lang w:val="en-GB"/>
        </w:rPr>
        <w:t>2</w:t>
      </w:r>
      <w:r>
        <w:rPr>
          <w:rFonts w:hint="eastAsia" w:cs="Times New Roman"/>
          <w:color w:val="auto"/>
          <w:lang w:val="en-US" w:eastAsia="zh-CN"/>
        </w:rPr>
        <w:t>＜5.75</w:t>
      </w:r>
      <w:r>
        <w:rPr>
          <w:rFonts w:hint="default" w:ascii="Times New Roman" w:hAnsi="Times New Roman" w:eastAsia="宋体" w:cs="Times New Roman"/>
          <w:color w:val="auto"/>
          <w:lang w:val="en-GB"/>
        </w:rPr>
        <w:t>hm</w:t>
      </w:r>
      <w:r>
        <w:rPr>
          <w:rFonts w:hint="default" w:ascii="Times New Roman" w:hAnsi="Times New Roman" w:eastAsia="宋体" w:cs="Times New Roman"/>
          <w:color w:val="auto"/>
          <w:vertAlign w:val="superscript"/>
          <w:lang w:val="en-GB"/>
        </w:rPr>
        <w:t>2</w:t>
      </w:r>
      <w:r>
        <w:rPr>
          <w:rFonts w:hint="default" w:ascii="Times New Roman" w:hAnsi="Times New Roman" w:eastAsia="宋体" w:cs="Times New Roman"/>
          <w:color w:val="auto"/>
          <w:lang w:val="en-GB"/>
        </w:rPr>
        <w:t>（86.28</w:t>
      </w:r>
      <w:r>
        <w:rPr>
          <w:rFonts w:hint="default" w:ascii="Times New Roman" w:hAnsi="Times New Roman" w:eastAsia="宋体" w:cs="Times New Roman"/>
          <w:color w:val="auto"/>
          <w:lang w:val="en-GB" w:eastAsia="zh-CN"/>
        </w:rPr>
        <w:t>亩</w:t>
      </w:r>
      <w:r>
        <w:rPr>
          <w:rFonts w:hint="default" w:ascii="Times New Roman" w:hAnsi="Times New Roman" w:eastAsia="宋体" w:cs="Times New Roman"/>
          <w:color w:val="auto"/>
          <w:lang w:val="en-GB"/>
        </w:rPr>
        <w:t>）</w:t>
      </w:r>
      <w:r>
        <w:rPr>
          <w:rFonts w:hint="eastAsia" w:cs="Times New Roman"/>
          <w:color w:val="auto"/>
          <w:lang w:val="en-US" w:eastAsia="zh-CN"/>
        </w:rPr>
        <w:t>＜</w:t>
      </w:r>
      <w:r>
        <w:rPr>
          <w:rFonts w:hint="default" w:ascii="Times New Roman" w:hAnsi="Times New Roman" w:eastAsia="宋体" w:cs="Times New Roman"/>
          <w:color w:val="auto"/>
          <w:lang w:val="en-GB"/>
        </w:rPr>
        <w:t>50hm</w:t>
      </w:r>
      <w:r>
        <w:rPr>
          <w:rFonts w:hint="default" w:ascii="Times New Roman" w:hAnsi="Times New Roman" w:eastAsia="宋体" w:cs="Times New Roman"/>
          <w:color w:val="auto"/>
          <w:vertAlign w:val="superscript"/>
          <w:lang w:val="en-GB"/>
        </w:rPr>
        <w:t>2</w:t>
      </w:r>
      <w:r>
        <w:rPr>
          <w:rFonts w:hint="default" w:ascii="Times New Roman" w:hAnsi="Times New Roman" w:eastAsia="宋体" w:cs="Times New Roman"/>
          <w:color w:val="auto"/>
          <w:lang w:val="en-GB"/>
        </w:rPr>
        <w:t>，占地规模为</w:t>
      </w:r>
      <w:r>
        <w:rPr>
          <w:rFonts w:hint="eastAsia" w:cs="Times New Roman"/>
          <w:color w:val="auto"/>
          <w:lang w:val="en-US" w:eastAsia="zh-CN"/>
        </w:rPr>
        <w:t>中</w:t>
      </w:r>
      <w:r>
        <w:rPr>
          <w:rFonts w:hint="default" w:ascii="Times New Roman" w:hAnsi="Times New Roman" w:eastAsia="宋体" w:cs="Times New Roman"/>
          <w:color w:val="auto"/>
          <w:lang w:val="en-GB"/>
        </w:rPr>
        <w:t>型；项目为污染影响型建设项目，评价工作等级划分见下表。</w:t>
      </w:r>
    </w:p>
    <w:p>
      <w:pPr>
        <w:pStyle w:val="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表2.5-</w:t>
      </w:r>
      <w:r>
        <w:rPr>
          <w:rFonts w:hint="eastAsia" w:cs="Times New Roman"/>
          <w:color w:val="auto"/>
          <w:lang w:val="en-US" w:eastAsia="zh-CN"/>
        </w:rPr>
        <w:t>10</w:t>
      </w:r>
      <w:r>
        <w:rPr>
          <w:rFonts w:hint="default" w:ascii="Times New Roman" w:hAnsi="Times New Roman" w:eastAsia="宋体" w:cs="Times New Roman"/>
          <w:color w:val="auto"/>
          <w:lang w:val="en-GB"/>
        </w:rPr>
        <w:t xml:space="preserve">    污染影响型评价工作等级划分表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00"/>
        <w:gridCol w:w="900"/>
        <w:gridCol w:w="900"/>
        <w:gridCol w:w="902"/>
        <w:gridCol w:w="900"/>
        <w:gridCol w:w="900"/>
        <w:gridCol w:w="900"/>
        <w:gridCol w:w="901"/>
        <w:gridCol w:w="901"/>
        <w:gridCol w:w="90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00" w:type="pct"/>
            <w:vMerge w:val="restart"/>
            <w:shd w:val="clear" w:color="auto" w:fill="auto"/>
            <w:vAlign w:val="center"/>
          </w:tcPr>
          <w:p>
            <w:pPr>
              <w:pStyle w:val="58"/>
              <w:rPr>
                <w:rFonts w:hint="default" w:ascii="Times New Roman" w:hAnsi="Times New Roman" w:eastAsia="宋体" w:cs="Times New Roman"/>
                <w:color w:val="auto"/>
                <w:lang w:val="en-GB"/>
              </w:rPr>
            </w:pPr>
          </w:p>
        </w:tc>
        <w:tc>
          <w:tcPr>
            <w:tcW w:w="1501" w:type="pct"/>
            <w:gridSpan w:val="3"/>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Ⅰ类</w:t>
            </w:r>
          </w:p>
        </w:tc>
        <w:tc>
          <w:tcPr>
            <w:tcW w:w="1500" w:type="pct"/>
            <w:gridSpan w:val="3"/>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Ⅱ类</w:t>
            </w:r>
          </w:p>
        </w:tc>
        <w:tc>
          <w:tcPr>
            <w:tcW w:w="1500" w:type="pct"/>
            <w:gridSpan w:val="3"/>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Ⅲ类</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00" w:type="pct"/>
            <w:vMerge w:val="continue"/>
            <w:shd w:val="clear" w:color="auto" w:fill="auto"/>
            <w:vAlign w:val="center"/>
          </w:tcPr>
          <w:p>
            <w:pPr>
              <w:pStyle w:val="58"/>
              <w:rPr>
                <w:rFonts w:hint="default" w:ascii="Times New Roman" w:hAnsi="Times New Roman" w:eastAsia="宋体" w:cs="Times New Roman"/>
                <w:color w:val="auto"/>
                <w:lang w:val="en-GB"/>
              </w:rPr>
            </w:pP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中</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小</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中</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小</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中</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敏感</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一级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一级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一级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shd w:val="clear"/>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b w:val="0"/>
                <w:bCs w:val="0"/>
                <w:color w:val="auto"/>
                <w:lang w:val="en-GB"/>
              </w:rPr>
              <w:t>三级</w:t>
            </w:r>
          </w:p>
        </w:tc>
        <w:tc>
          <w:tcPr>
            <w:tcW w:w="500" w:type="pct"/>
            <w:shd w:val="clear" w:color="auto" w:fill="auto"/>
            <w:vAlign w:val="center"/>
          </w:tcPr>
          <w:p>
            <w:pPr>
              <w:pStyle w:val="58"/>
              <w:rPr>
                <w:rFonts w:hint="default" w:ascii="Times New Roman" w:hAnsi="Times New Roman" w:eastAsia="宋体" w:cs="Times New Roman"/>
                <w:bCs/>
                <w:color w:val="auto"/>
                <w:lang w:val="en-GB"/>
              </w:rPr>
            </w:pPr>
            <w:r>
              <w:rPr>
                <w:rFonts w:hint="default" w:ascii="Times New Roman" w:hAnsi="Times New Roman" w:eastAsia="宋体" w:cs="Times New Roman"/>
                <w:b w:val="0"/>
                <w:bCs/>
                <w:color w:val="auto"/>
                <w:lang w:val="en-GB"/>
              </w:rPr>
              <w:t>三级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三级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较敏感</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一级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一级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三级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三级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三级</w:t>
            </w:r>
          </w:p>
        </w:tc>
        <w:tc>
          <w:tcPr>
            <w:tcW w:w="500" w:type="pct"/>
            <w:shd w:val="clear" w:color="auto" w:fill="auto"/>
            <w:vAlign w:val="center"/>
          </w:tcPr>
          <w:p>
            <w:pPr>
              <w:pStyle w:val="58"/>
              <w:rPr>
                <w:rFonts w:hint="eastAsia" w:ascii="Times New Roman" w:hAnsi="Times New Roman" w:eastAsia="宋体" w:cs="Times New Roman"/>
                <w:color w:val="auto"/>
                <w:lang w:val="en-GB" w:eastAsia="zh-CN"/>
              </w:rPr>
            </w:pPr>
            <w:r>
              <w:rPr>
                <w:rFonts w:hint="eastAsia" w:cs="Times New Roman"/>
                <w:color w:val="auto"/>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不敏感</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一级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二级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三级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三级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三级</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eastAsia" w:ascii="Times New Roman" w:hAnsi="Times New Roman" w:eastAsia="宋体" w:cs="Times New Roman"/>
                <w:color w:val="auto"/>
                <w:lang w:val="en-US" w:eastAsia="zh-CN"/>
              </w:rPr>
              <w:t>-</w:t>
            </w:r>
          </w:p>
        </w:tc>
        <w:tc>
          <w:tcPr>
            <w:tcW w:w="500" w:type="pct"/>
            <w:shd w:val="clear" w:color="auto" w:fill="auto"/>
            <w:vAlign w:val="center"/>
          </w:tcPr>
          <w:p>
            <w:pPr>
              <w:pStyle w:val="58"/>
              <w:rPr>
                <w:rFonts w:hint="default" w:ascii="Times New Roman" w:hAnsi="Times New Roman" w:eastAsia="宋体" w:cs="Times New Roman"/>
                <w:color w:val="auto"/>
                <w:lang w:val="en-GB"/>
              </w:rPr>
            </w:pPr>
            <w:r>
              <w:rPr>
                <w:rFonts w:hint="eastAsia" w:ascii="Times New Roman" w:hAnsi="Times New Roman" w:eastAsia="宋体" w:cs="Times New Roman"/>
                <w:color w:val="auto"/>
                <w:lang w:val="en-US" w:eastAsia="zh-CN"/>
              </w:rPr>
              <w:t>-</w:t>
            </w:r>
          </w:p>
        </w:tc>
      </w:tr>
    </w:tbl>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对照上表确定项目土壤评价等级为</w:t>
      </w:r>
      <w:r>
        <w:rPr>
          <w:rFonts w:hint="eastAsia" w:cs="Times New Roman"/>
          <w:color w:val="auto"/>
          <w:lang w:val="en-GB" w:eastAsia="zh-CN"/>
        </w:rPr>
        <w:t>“</w:t>
      </w:r>
      <w:r>
        <w:rPr>
          <w:rFonts w:hint="eastAsia" w:cs="Times New Roman"/>
          <w:color w:val="auto"/>
          <w:lang w:val="en-US" w:eastAsia="zh-CN"/>
        </w:rPr>
        <w:t>-</w:t>
      </w:r>
      <w:r>
        <w:rPr>
          <w:rFonts w:hint="eastAsia" w:cs="Times New Roman"/>
          <w:color w:val="auto"/>
          <w:lang w:val="en-GB" w:eastAsia="zh-CN"/>
        </w:rPr>
        <w:t>”</w:t>
      </w:r>
      <w:r>
        <w:rPr>
          <w:rFonts w:hint="eastAsia" w:cs="Times New Roman"/>
          <w:color w:val="FF0000"/>
          <w:lang w:val="en-US" w:eastAsia="zh-CN"/>
        </w:rPr>
        <w:t>，可不开展土壤环境影响评价工作</w:t>
      </w:r>
      <w:r>
        <w:rPr>
          <w:rFonts w:hint="default" w:ascii="Times New Roman" w:hAnsi="Times New Roman" w:eastAsia="宋体" w:cs="Times New Roman"/>
          <w:color w:val="FF0000"/>
          <w:lang w:val="en-GB"/>
        </w:rPr>
        <w:t>。</w:t>
      </w:r>
    </w:p>
    <w:p>
      <w:pPr>
        <w:ind w:firstLine="480"/>
        <w:rPr>
          <w:rFonts w:hint="default" w:ascii="Times New Roman" w:hAnsi="Times New Roman" w:eastAsia="宋体" w:cs="Times New Roman"/>
          <w:color w:val="FF0000"/>
          <w:lang w:val="en-GB"/>
        </w:rPr>
      </w:pPr>
      <w:r>
        <w:rPr>
          <w:rFonts w:hint="default" w:ascii="Times New Roman" w:hAnsi="Times New Roman" w:eastAsia="宋体" w:cs="Times New Roman"/>
          <w:color w:val="FF0000"/>
          <w:lang w:val="en-GB"/>
        </w:rPr>
        <w:t>（2）评价范围</w:t>
      </w:r>
    </w:p>
    <w:p>
      <w:pPr>
        <w:ind w:firstLine="480"/>
        <w:rPr>
          <w:rFonts w:hint="default" w:ascii="Times New Roman" w:hAnsi="Times New Roman" w:eastAsia="宋体" w:cs="Times New Roman"/>
          <w:color w:val="FF0000"/>
          <w:lang w:val="en-GB"/>
        </w:rPr>
      </w:pPr>
      <w:r>
        <w:rPr>
          <w:rFonts w:hint="eastAsia" w:cs="Times New Roman"/>
          <w:color w:val="FF0000"/>
          <w:lang w:val="en-GB" w:eastAsia="zh-CN"/>
        </w:rPr>
        <w:t>不设置</w:t>
      </w:r>
      <w:r>
        <w:rPr>
          <w:rFonts w:hint="eastAsia" w:cs="Times New Roman"/>
          <w:color w:val="FF0000"/>
          <w:lang w:val="en-US" w:eastAsia="zh-CN"/>
        </w:rPr>
        <w:t>土壤环境影响评价范围</w:t>
      </w:r>
      <w:r>
        <w:rPr>
          <w:rFonts w:hint="default" w:ascii="Times New Roman" w:hAnsi="Times New Roman" w:eastAsia="宋体" w:cs="Times New Roman"/>
          <w:color w:val="FF0000"/>
          <w:lang w:val="en-GB"/>
        </w:rPr>
        <w:t>。</w:t>
      </w:r>
    </w:p>
    <w:p>
      <w:pPr>
        <w:pStyle w:val="6"/>
        <w:rPr>
          <w:rFonts w:hint="default" w:ascii="Times New Roman" w:hAnsi="Times New Roman" w:eastAsia="宋体" w:cs="Times New Roman"/>
          <w:color w:val="auto"/>
          <w:lang w:val="en-GB"/>
        </w:rPr>
      </w:pPr>
      <w:bookmarkStart w:id="161" w:name="_Toc31289"/>
      <w:r>
        <w:rPr>
          <w:rFonts w:hint="default" w:ascii="Times New Roman" w:hAnsi="Times New Roman" w:eastAsia="宋体" w:cs="Times New Roman"/>
          <w:color w:val="auto"/>
          <w:lang w:val="en-GB"/>
        </w:rPr>
        <w:t>2.5.5声环境</w:t>
      </w:r>
      <w:bookmarkEnd w:id="161"/>
    </w:p>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（1）评价等级</w:t>
      </w:r>
    </w:p>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根据《环境影响评价技术导则声环境》（HJ2.4-2009）中评价等级的划分，“建设项目所处的声环境功能区为《声环境质量标准》（GB3096-2008）规定的1类、2类地区，或建设项目建设前后评价范围内敏感目标噪声级增高量达3dB（A）~5dB（A）（含5dB（A）），或受噪声影响人口数量增加较多时，按二级评价。”</w:t>
      </w:r>
    </w:p>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本项目所处区域为（GB3096-2008）规定的2类区，项目建成后噪声增加值小于3dB（A），且受项目噪声影响人口数量较小，根据《环境影响评价技术导则 声环境》（HJ2.4-2009）中规定，确定噪声评价等级为二级。</w:t>
      </w:r>
    </w:p>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（2）评价范围</w:t>
      </w:r>
    </w:p>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根据项目特点，声环境评价范围确定为项目拟建厂边界外200m范围。</w:t>
      </w:r>
    </w:p>
    <w:p>
      <w:pPr>
        <w:ind w:firstLine="480"/>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项目声环境评价范围如图2.6-1所示。</w:t>
      </w:r>
    </w:p>
    <w:p>
      <w:pPr>
        <w:pStyle w:val="6"/>
        <w:rPr>
          <w:rFonts w:hint="default" w:ascii="Times New Roman" w:hAnsi="Times New Roman" w:eastAsia="宋体" w:cs="Times New Roman"/>
          <w:color w:val="auto"/>
        </w:rPr>
      </w:pPr>
      <w:bookmarkStart w:id="162" w:name="_Toc14069"/>
      <w:bookmarkStart w:id="163" w:name="_Toc512871534"/>
      <w:bookmarkStart w:id="164" w:name="_Toc4769"/>
      <w:r>
        <w:rPr>
          <w:rFonts w:hint="default" w:ascii="Times New Roman" w:hAnsi="Times New Roman" w:eastAsia="宋体" w:cs="Times New Roman"/>
          <w:color w:val="auto"/>
        </w:rPr>
        <w:t>2.5.6环境风险</w:t>
      </w:r>
      <w:bookmarkEnd w:id="162"/>
      <w:bookmarkEnd w:id="163"/>
      <w:bookmarkEnd w:id="164"/>
    </w:p>
    <w:p>
      <w:pPr>
        <w:overflowPunct w:val="0"/>
        <w:autoSpaceDE/>
        <w:ind w:firstLine="480"/>
        <w:rPr>
          <w:rFonts w:hint="default" w:ascii="Times New Roman" w:hAnsi="Times New Roman" w:eastAsia="宋体" w:cs="Times New Roman"/>
          <w:color w:val="auto"/>
        </w:rPr>
      </w:pPr>
      <w:bookmarkStart w:id="165" w:name="_Toc453603070"/>
      <w:bookmarkStart w:id="166" w:name="_Toc452567815"/>
      <w:bookmarkStart w:id="167" w:name="_Toc13748"/>
      <w:bookmarkStart w:id="168" w:name="_Toc512871533"/>
      <w:r>
        <w:rPr>
          <w:rFonts w:hint="default" w:ascii="Times New Roman" w:hAnsi="Times New Roman" w:eastAsia="宋体" w:cs="Times New Roman"/>
          <w:color w:val="auto"/>
        </w:rPr>
        <w:t>项目为规模化</w:t>
      </w:r>
      <w:r>
        <w:rPr>
          <w:rFonts w:hint="eastAsia" w:cs="Times New Roman"/>
          <w:color w:val="auto"/>
          <w:lang w:val="en-US" w:eastAsia="zh-CN"/>
        </w:rPr>
        <w:t>猪</w:t>
      </w:r>
      <w:r>
        <w:rPr>
          <w:rFonts w:hint="default" w:ascii="Times New Roman" w:hAnsi="Times New Roman" w:eastAsia="宋体" w:cs="Times New Roman"/>
          <w:color w:val="auto"/>
        </w:rPr>
        <w:t>养殖项目，根据《建设项目环境风险评价技术导则》（HJ169-2018）附录B.1“突发环境事件风险物质及临界量”，本次项目不存在重点关注的突发环境事件风险物，根据《建设项目环境风险评价技术导则》（HJ 2.2-2018)中附录C中规定，当Q&lt;1时，该项目环境风险潜势为Ⅰ。</w:t>
      </w:r>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建设项目环境风险评价技术导则》（HJ169-2018），环境风险评价工作等级划分为一级、二级、三级、简单分析。根据建设项目涉及的物质及工艺系统危险性和所在地的环境敏感性确定环境风险潜势，按照下表确定评价工作等级。</w:t>
      </w:r>
    </w:p>
    <w:p>
      <w:pPr>
        <w:keepNext/>
        <w:keepLines/>
        <w:ind w:firstLine="0" w:firstLineChars="0"/>
        <w:jc w:val="center"/>
        <w:outlineLvl w:val="4"/>
        <w:rPr>
          <w:rFonts w:hint="default" w:ascii="Times New Roman" w:hAnsi="Times New Roman" w:eastAsia="宋体" w:cs="Times New Roman"/>
          <w:b/>
          <w:bCs/>
          <w:color w:val="auto"/>
          <w:szCs w:val="28"/>
        </w:rPr>
      </w:pPr>
      <w:r>
        <w:rPr>
          <w:rFonts w:hint="default" w:ascii="Times New Roman" w:hAnsi="Times New Roman" w:eastAsia="宋体" w:cs="Times New Roman"/>
          <w:b/>
          <w:bCs/>
          <w:color w:val="auto"/>
          <w:szCs w:val="28"/>
        </w:rPr>
        <w:t>表2.5-</w:t>
      </w:r>
      <w:r>
        <w:rPr>
          <w:rFonts w:hint="eastAsia" w:cs="Times New Roman"/>
          <w:b/>
          <w:bCs/>
          <w:color w:val="auto"/>
          <w:szCs w:val="28"/>
          <w:lang w:val="en-US" w:eastAsia="zh-CN"/>
        </w:rPr>
        <w:t>11</w:t>
      </w:r>
      <w:r>
        <w:rPr>
          <w:rFonts w:hint="default" w:ascii="Times New Roman" w:hAnsi="Times New Roman" w:eastAsia="宋体" w:cs="Times New Roman"/>
          <w:b/>
          <w:bCs/>
          <w:color w:val="auto"/>
          <w:szCs w:val="28"/>
        </w:rPr>
        <w:t xml:space="preserve">   环境风险评价工作等级划分表</w:t>
      </w:r>
    </w:p>
    <w:tbl>
      <w:tblPr>
        <w:tblStyle w:val="34"/>
        <w:tblW w:w="884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1622"/>
        <w:gridCol w:w="1916"/>
        <w:gridCol w:w="2210"/>
        <w:gridCol w:w="16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12"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环境风险潜势</w:t>
            </w:r>
          </w:p>
        </w:tc>
        <w:tc>
          <w:tcPr>
            <w:tcW w:w="1663"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fldChar w:fldCharType="begin"/>
            </w:r>
            <w:r>
              <w:rPr>
                <w:rFonts w:hint="default" w:ascii="Times New Roman" w:hAnsi="Times New Roman" w:eastAsia="宋体" w:cs="Times New Roman"/>
                <w:color w:val="auto"/>
                <w:sz w:val="21"/>
              </w:rPr>
              <w:instrText xml:space="preserve"> = 4 \* ROMAN \* MERGEFORMAT </w:instrText>
            </w:r>
            <w:r>
              <w:rPr>
                <w:rFonts w:hint="default" w:ascii="Times New Roman" w:hAnsi="Times New Roman" w:eastAsia="宋体" w:cs="Times New Roman"/>
                <w:color w:val="auto"/>
                <w:sz w:val="21"/>
              </w:rPr>
              <w:fldChar w:fldCharType="separate"/>
            </w:r>
            <w:r>
              <w:rPr>
                <w:rFonts w:hint="default" w:ascii="Times New Roman" w:hAnsi="Times New Roman" w:eastAsia="宋体" w:cs="Times New Roman"/>
                <w:color w:val="auto"/>
                <w:sz w:val="21"/>
              </w:rPr>
              <w:t>IV</w:t>
            </w:r>
            <w:r>
              <w:rPr>
                <w:rFonts w:hint="default" w:ascii="Times New Roman" w:hAnsi="Times New Roman" w:eastAsia="宋体" w:cs="Times New Roman"/>
                <w:color w:val="auto"/>
                <w:sz w:val="21"/>
              </w:rPr>
              <w:fldChar w:fldCharType="end"/>
            </w:r>
            <w:r>
              <w:rPr>
                <w:rFonts w:hint="default" w:ascii="Times New Roman" w:hAnsi="Times New Roman" w:eastAsia="宋体" w:cs="Times New Roman"/>
                <w:color w:val="auto"/>
                <w:sz w:val="21"/>
              </w:rPr>
              <w:t>、</w:t>
            </w:r>
            <w:r>
              <w:rPr>
                <w:rFonts w:hint="default" w:ascii="Times New Roman" w:hAnsi="Times New Roman" w:eastAsia="宋体" w:cs="Times New Roman"/>
                <w:color w:val="auto"/>
                <w:sz w:val="21"/>
              </w:rPr>
              <w:fldChar w:fldCharType="begin"/>
            </w:r>
            <w:r>
              <w:rPr>
                <w:rFonts w:hint="default" w:ascii="Times New Roman" w:hAnsi="Times New Roman" w:eastAsia="宋体" w:cs="Times New Roman"/>
                <w:color w:val="auto"/>
                <w:sz w:val="21"/>
              </w:rPr>
              <w:instrText xml:space="preserve"> = 4 \* ROMAN \* MERGEFORMAT </w:instrText>
            </w:r>
            <w:r>
              <w:rPr>
                <w:rFonts w:hint="default" w:ascii="Times New Roman" w:hAnsi="Times New Roman" w:eastAsia="宋体" w:cs="Times New Roman"/>
                <w:color w:val="auto"/>
                <w:sz w:val="21"/>
              </w:rPr>
              <w:fldChar w:fldCharType="separate"/>
            </w:r>
            <w:r>
              <w:rPr>
                <w:rFonts w:hint="default" w:ascii="Times New Roman" w:hAnsi="Times New Roman" w:eastAsia="宋体" w:cs="Times New Roman"/>
                <w:color w:val="auto"/>
                <w:sz w:val="21"/>
              </w:rPr>
              <w:t>IV</w:t>
            </w:r>
            <w:r>
              <w:rPr>
                <w:rFonts w:hint="default" w:ascii="Times New Roman" w:hAnsi="Times New Roman" w:eastAsia="宋体" w:cs="Times New Roman"/>
                <w:color w:val="auto"/>
                <w:sz w:val="21"/>
              </w:rPr>
              <w:fldChar w:fldCharType="end"/>
            </w:r>
            <w:r>
              <w:rPr>
                <w:rFonts w:hint="default" w:ascii="Times New Roman" w:hAnsi="Times New Roman" w:eastAsia="宋体" w:cs="Times New Roman"/>
                <w:color w:val="auto"/>
                <w:sz w:val="21"/>
              </w:rPr>
              <w:t>+</w:t>
            </w:r>
          </w:p>
        </w:tc>
        <w:tc>
          <w:tcPr>
            <w:tcW w:w="1965"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fldChar w:fldCharType="begin"/>
            </w:r>
            <w:r>
              <w:rPr>
                <w:rFonts w:hint="default" w:ascii="Times New Roman" w:hAnsi="Times New Roman" w:eastAsia="宋体" w:cs="Times New Roman"/>
                <w:color w:val="auto"/>
                <w:sz w:val="21"/>
              </w:rPr>
              <w:instrText xml:space="preserve"> = 3 \* ROMAN \* MERGEFORMAT </w:instrText>
            </w:r>
            <w:r>
              <w:rPr>
                <w:rFonts w:hint="default" w:ascii="Times New Roman" w:hAnsi="Times New Roman" w:eastAsia="宋体" w:cs="Times New Roman"/>
                <w:color w:val="auto"/>
                <w:sz w:val="21"/>
              </w:rPr>
              <w:fldChar w:fldCharType="separate"/>
            </w:r>
            <w:r>
              <w:rPr>
                <w:rFonts w:hint="default" w:ascii="Times New Roman" w:hAnsi="Times New Roman" w:eastAsia="宋体" w:cs="Times New Roman"/>
                <w:color w:val="auto"/>
                <w:sz w:val="21"/>
              </w:rPr>
              <w:t>III</w:t>
            </w:r>
            <w:r>
              <w:rPr>
                <w:rFonts w:hint="default" w:ascii="Times New Roman" w:hAnsi="Times New Roman" w:eastAsia="宋体" w:cs="Times New Roman"/>
                <w:color w:val="auto"/>
                <w:sz w:val="21"/>
              </w:rPr>
              <w:fldChar w:fldCharType="end"/>
            </w:r>
          </w:p>
        </w:tc>
        <w:tc>
          <w:tcPr>
            <w:tcW w:w="2267"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fldChar w:fldCharType="begin"/>
            </w:r>
            <w:r>
              <w:rPr>
                <w:rFonts w:hint="default" w:ascii="Times New Roman" w:hAnsi="Times New Roman" w:eastAsia="宋体" w:cs="Times New Roman"/>
                <w:color w:val="auto"/>
                <w:sz w:val="21"/>
              </w:rPr>
              <w:instrText xml:space="preserve"> = 2 \* ROMAN \* MERGEFORMAT </w:instrText>
            </w:r>
            <w:r>
              <w:rPr>
                <w:rFonts w:hint="default" w:ascii="Times New Roman" w:hAnsi="Times New Roman" w:eastAsia="宋体" w:cs="Times New Roman"/>
                <w:color w:val="auto"/>
                <w:sz w:val="21"/>
              </w:rPr>
              <w:fldChar w:fldCharType="separate"/>
            </w:r>
            <w:r>
              <w:rPr>
                <w:rFonts w:hint="default" w:ascii="Times New Roman" w:hAnsi="Times New Roman" w:eastAsia="宋体" w:cs="Times New Roman"/>
                <w:color w:val="auto"/>
                <w:sz w:val="21"/>
              </w:rPr>
              <w:t>II</w:t>
            </w:r>
            <w:r>
              <w:rPr>
                <w:rFonts w:hint="default" w:ascii="Times New Roman" w:hAnsi="Times New Roman" w:eastAsia="宋体" w:cs="Times New Roman"/>
                <w:color w:val="auto"/>
                <w:sz w:val="21"/>
              </w:rPr>
              <w:fldChar w:fldCharType="end"/>
            </w:r>
          </w:p>
        </w:tc>
        <w:tc>
          <w:tcPr>
            <w:tcW w:w="1663"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fldChar w:fldCharType="begin"/>
            </w:r>
            <w:r>
              <w:rPr>
                <w:rFonts w:hint="default" w:ascii="Times New Roman" w:hAnsi="Times New Roman" w:eastAsia="宋体" w:cs="Times New Roman"/>
                <w:color w:val="auto"/>
                <w:sz w:val="21"/>
              </w:rPr>
              <w:instrText xml:space="preserve"> = 1 \* ROMAN \* MERGEFORMAT </w:instrText>
            </w:r>
            <w:r>
              <w:rPr>
                <w:rFonts w:hint="default" w:ascii="Times New Roman" w:hAnsi="Times New Roman" w:eastAsia="宋体" w:cs="Times New Roman"/>
                <w:color w:val="auto"/>
                <w:sz w:val="21"/>
              </w:rPr>
              <w:fldChar w:fldCharType="separate"/>
            </w:r>
            <w:r>
              <w:rPr>
                <w:rFonts w:hint="default" w:ascii="Times New Roman" w:hAnsi="Times New Roman" w:eastAsia="宋体" w:cs="Times New Roman"/>
                <w:color w:val="auto"/>
                <w:sz w:val="21"/>
              </w:rPr>
              <w:t>I</w:t>
            </w:r>
            <w:r>
              <w:rPr>
                <w:rFonts w:hint="default" w:ascii="Times New Roman" w:hAnsi="Times New Roman" w:eastAsia="宋体" w:cs="Times New Roman"/>
                <w:color w:val="auto"/>
                <w:sz w:val="21"/>
              </w:rPr>
              <w:fldChar w:fldCharType="end"/>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12"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评价工作等级</w:t>
            </w:r>
          </w:p>
        </w:tc>
        <w:tc>
          <w:tcPr>
            <w:tcW w:w="1663"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一</w:t>
            </w:r>
          </w:p>
        </w:tc>
        <w:tc>
          <w:tcPr>
            <w:tcW w:w="1965"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二</w:t>
            </w:r>
          </w:p>
        </w:tc>
        <w:tc>
          <w:tcPr>
            <w:tcW w:w="2267"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三</w:t>
            </w:r>
          </w:p>
        </w:tc>
        <w:tc>
          <w:tcPr>
            <w:tcW w:w="1663" w:type="dxa"/>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简单分析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70" w:type="dxa"/>
            <w:gridSpan w:val="5"/>
            <w:tcMar>
              <w:left w:w="0" w:type="dxa"/>
              <w:right w:w="0" w:type="dxa"/>
            </w:tcMar>
            <w:vAlign w:val="center"/>
          </w:tcPr>
          <w:p>
            <w:pPr>
              <w:spacing w:line="360" w:lineRule="exact"/>
              <w:ind w:firstLine="0" w:firstLineChars="0"/>
              <w:jc w:val="center"/>
              <w:textAlignment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简单分析是相对于详细评价工作内容而言，在描述危险物质、环境影响途径、环境危害后果、风险防范措施等方面给出定性的说明</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由上表可知，本项目环境风险潜势</w:t>
      </w:r>
      <w:r>
        <w:rPr>
          <w:rFonts w:hint="eastAsia" w:cs="Times New Roman"/>
          <w:color w:val="auto"/>
          <w:lang w:val="en-US" w:eastAsia="zh-Hans"/>
        </w:rPr>
        <w:t>为</w:t>
      </w:r>
      <w:r>
        <w:rPr>
          <w:rFonts w:hint="default" w:ascii="Times New Roman" w:hAnsi="Times New Roman" w:eastAsia="宋体" w:cs="Times New Roman"/>
          <w:color w:val="auto"/>
        </w:rPr>
        <w:t>I，本次环境风险评价等级为简单分析，不设评价范围。</w:t>
      </w:r>
    </w:p>
    <w:p>
      <w:pPr>
        <w:pStyle w:val="6"/>
        <w:rPr>
          <w:rFonts w:hint="default" w:ascii="Times New Roman" w:hAnsi="Times New Roman" w:eastAsia="宋体" w:cs="Times New Roman"/>
          <w:color w:val="auto"/>
        </w:rPr>
      </w:pPr>
      <w:bookmarkStart w:id="169" w:name="_Toc8175"/>
      <w:r>
        <w:rPr>
          <w:rFonts w:hint="default" w:ascii="Times New Roman" w:hAnsi="Times New Roman" w:eastAsia="宋体" w:cs="Times New Roman"/>
          <w:color w:val="auto"/>
        </w:rPr>
        <w:t>2.5.7生态环境</w:t>
      </w:r>
      <w:bookmarkEnd w:id="165"/>
      <w:bookmarkEnd w:id="166"/>
      <w:bookmarkEnd w:id="167"/>
      <w:bookmarkEnd w:id="168"/>
      <w:bookmarkEnd w:id="169"/>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（1）评价等级</w: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本次项目占地面积</w:t>
      </w:r>
      <w:r>
        <w:rPr>
          <w:rFonts w:hint="eastAsia" w:cs="Times New Roman"/>
          <w:color w:val="auto"/>
          <w:lang w:val="en-US" w:eastAsia="zh-CN"/>
        </w:rPr>
        <w:t>5.75</w:t>
      </w:r>
      <w:r>
        <w:rPr>
          <w:rFonts w:hint="default" w:ascii="Times New Roman" w:hAnsi="Times New Roman" w:eastAsia="宋体" w:cs="Times New Roman"/>
          <w:color w:val="auto"/>
          <w:lang w:val="en-GB"/>
        </w:rPr>
        <w:t>hm</w:t>
      </w:r>
      <w:r>
        <w:rPr>
          <w:rFonts w:hint="default" w:ascii="Times New Roman" w:hAnsi="Times New Roman" w:eastAsia="宋体" w:cs="Times New Roman"/>
          <w:color w:val="auto"/>
          <w:vertAlign w:val="superscript"/>
          <w:lang w:val="en-GB"/>
        </w:rPr>
        <w:t>2</w:t>
      </w:r>
      <w:r>
        <w:rPr>
          <w:rFonts w:hint="default" w:ascii="Times New Roman" w:hAnsi="Times New Roman" w:eastAsia="宋体" w:cs="Times New Roman"/>
          <w:color w:val="auto"/>
          <w:lang w:val="en-GB"/>
        </w:rPr>
        <w:t>（86.28</w:t>
      </w:r>
      <w:r>
        <w:rPr>
          <w:rFonts w:hint="default" w:ascii="Times New Roman" w:hAnsi="Times New Roman" w:eastAsia="宋体" w:cs="Times New Roman"/>
          <w:color w:val="auto"/>
          <w:lang w:val="en-GB" w:eastAsia="zh-CN"/>
        </w:rPr>
        <w:t>亩</w:t>
      </w:r>
      <w:r>
        <w:rPr>
          <w:rFonts w:hint="default" w:ascii="Times New Roman" w:hAnsi="Times New Roman" w:eastAsia="宋体" w:cs="Times New Roman"/>
          <w:color w:val="auto"/>
          <w:lang w:val="en-GB"/>
        </w:rPr>
        <w:t>）</w:t>
      </w:r>
      <w:r>
        <w:rPr>
          <w:rFonts w:hint="default" w:ascii="Times New Roman" w:hAnsi="Times New Roman" w:eastAsia="宋体" w:cs="Times New Roman"/>
          <w:color w:val="auto"/>
        </w:rPr>
        <w:t>，根据现场调查，项目周围无珍贵野生动植物存在，生态服务功能一般，属于特殊生态敏感区和重要生态敏感区以外的一般区域。根据《环境影响评价技术导则生态影响》（HJ19-2011），项目生态环境影响评价等级判据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表2.5-1</w:t>
      </w:r>
      <w:r>
        <w:rPr>
          <w:rFonts w:hint="eastAsia" w:cs="Times New Roman"/>
          <w:color w:val="auto"/>
          <w:lang w:val="en-US" w:eastAsia="zh-CN"/>
        </w:rPr>
        <w:t>2</w:t>
      </w:r>
      <w:r>
        <w:rPr>
          <w:rFonts w:hint="default" w:ascii="Times New Roman" w:hAnsi="Times New Roman" w:eastAsia="宋体" w:cs="Times New Roman"/>
          <w:color w:val="auto"/>
        </w:rPr>
        <w:t xml:space="preserve">    生态环境影响评价等级判据</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577"/>
        <w:gridCol w:w="2010"/>
        <w:gridCol w:w="2539"/>
        <w:gridCol w:w="187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tblHeader/>
          <w:jc w:val="center"/>
        </w:trPr>
        <w:tc>
          <w:tcPr>
            <w:tcW w:w="1431" w:type="pct"/>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影响区域生态敏感性</w:t>
            </w:r>
          </w:p>
        </w:tc>
        <w:tc>
          <w:tcPr>
            <w:tcW w:w="3569" w:type="pct"/>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工程占地（水域）范围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tblHeader/>
          <w:jc w:val="center"/>
        </w:trPr>
        <w:tc>
          <w:tcPr>
            <w:tcW w:w="1431" w:type="pct"/>
            <w:vMerge w:val="continue"/>
            <w:vAlign w:val="center"/>
          </w:tcPr>
          <w:p>
            <w:pPr>
              <w:pStyle w:val="58"/>
              <w:rPr>
                <w:rFonts w:hint="default" w:ascii="Times New Roman" w:hAnsi="Times New Roman" w:eastAsia="宋体" w:cs="Times New Roman"/>
                <w:color w:val="auto"/>
              </w:rPr>
            </w:pPr>
          </w:p>
        </w:tc>
        <w:tc>
          <w:tcPr>
            <w:tcW w:w="1116"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面积≥20km</w:t>
            </w:r>
            <w:r>
              <w:rPr>
                <w:rFonts w:hint="default" w:ascii="Times New Roman" w:hAnsi="Times New Roman" w:eastAsia="宋体" w:cs="Times New Roman"/>
                <w:color w:val="auto"/>
                <w:vertAlign w:val="superscript"/>
              </w:rPr>
              <w:t>2</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或长度≥100km</w:t>
            </w:r>
          </w:p>
        </w:tc>
        <w:tc>
          <w:tcPr>
            <w:tcW w:w="141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面积2km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~20km</w:t>
            </w:r>
            <w:r>
              <w:rPr>
                <w:rFonts w:hint="default" w:ascii="Times New Roman" w:hAnsi="Times New Roman" w:eastAsia="宋体" w:cs="Times New Roman"/>
                <w:color w:val="auto"/>
                <w:vertAlign w:val="superscript"/>
              </w:rPr>
              <w:t>2</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或长度50km~100km</w:t>
            </w:r>
          </w:p>
        </w:tc>
        <w:tc>
          <w:tcPr>
            <w:tcW w:w="104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面积≤2km</w:t>
            </w:r>
            <w:r>
              <w:rPr>
                <w:rFonts w:hint="default" w:ascii="Times New Roman" w:hAnsi="Times New Roman" w:eastAsia="宋体" w:cs="Times New Roman"/>
                <w:color w:val="auto"/>
                <w:vertAlign w:val="superscript"/>
              </w:rPr>
              <w:t>2</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或长度≤50km</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43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特殊生态敏感区</w:t>
            </w:r>
          </w:p>
        </w:tc>
        <w:tc>
          <w:tcPr>
            <w:tcW w:w="1116"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一级</w:t>
            </w:r>
          </w:p>
        </w:tc>
        <w:tc>
          <w:tcPr>
            <w:tcW w:w="141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一级</w:t>
            </w:r>
          </w:p>
        </w:tc>
        <w:tc>
          <w:tcPr>
            <w:tcW w:w="104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43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重要生态敏感区</w:t>
            </w:r>
          </w:p>
        </w:tc>
        <w:tc>
          <w:tcPr>
            <w:tcW w:w="1116"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一级</w:t>
            </w:r>
          </w:p>
        </w:tc>
        <w:tc>
          <w:tcPr>
            <w:tcW w:w="141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二级</w:t>
            </w:r>
          </w:p>
        </w:tc>
        <w:tc>
          <w:tcPr>
            <w:tcW w:w="104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三级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43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一般区域</w:t>
            </w:r>
          </w:p>
        </w:tc>
        <w:tc>
          <w:tcPr>
            <w:tcW w:w="1116"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二级</w:t>
            </w:r>
          </w:p>
        </w:tc>
        <w:tc>
          <w:tcPr>
            <w:tcW w:w="141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三级</w:t>
            </w:r>
          </w:p>
        </w:tc>
        <w:tc>
          <w:tcPr>
            <w:tcW w:w="1043" w:type="pct"/>
            <w:shd w:val="clear" w:color="auto" w:fill="BFBFB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三级</w:t>
            </w:r>
          </w:p>
        </w:tc>
      </w:tr>
    </w:tbl>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项目占地面积≤2km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，且厂址范围为一般区域，生态影响评价等级划定为三级。</w: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（2）评价范围</w:t>
      </w:r>
    </w:p>
    <w:p>
      <w:pPr>
        <w:ind w:firstLine="480"/>
        <w:rPr>
          <w:rFonts w:hint="default" w:ascii="Times New Roman" w:hAnsi="Times New Roman" w:eastAsia="宋体" w:cs="Times New Roman"/>
          <w:b/>
          <w:bCs/>
          <w:color w:val="auto"/>
        </w:rPr>
      </w:pPr>
      <w:r>
        <w:rPr>
          <w:rFonts w:hint="default" w:ascii="Times New Roman" w:hAnsi="Times New Roman" w:eastAsia="宋体" w:cs="Times New Roman"/>
          <w:color w:val="auto"/>
          <w:lang w:val="en-GB"/>
        </w:rPr>
        <w:t>确定评价范围为工程占地范围及周边</w:t>
      </w:r>
      <w:r>
        <w:rPr>
          <w:rFonts w:hint="eastAsia" w:cs="Times New Roman"/>
          <w:color w:val="auto"/>
          <w:lang w:val="en-US" w:eastAsia="zh-CN"/>
        </w:rPr>
        <w:t>100</w:t>
      </w:r>
      <w:r>
        <w:rPr>
          <w:rFonts w:hint="default" w:ascii="Times New Roman" w:hAnsi="Times New Roman" w:eastAsia="宋体" w:cs="Times New Roman"/>
          <w:color w:val="auto"/>
          <w:lang w:val="en-GB"/>
        </w:rPr>
        <w:t>0m范围内</w:t>
      </w:r>
      <w:r>
        <w:rPr>
          <w:rFonts w:hint="default" w:ascii="Times New Roman" w:hAnsi="Times New Roman" w:eastAsia="宋体" w:cs="Times New Roman"/>
          <w:color w:val="auto"/>
        </w:rPr>
        <w:t>。</w:t>
      </w:r>
    </w:p>
    <w:p>
      <w:pPr>
        <w:pStyle w:val="5"/>
        <w:rPr>
          <w:rFonts w:hint="default" w:ascii="Times New Roman" w:hAnsi="Times New Roman" w:eastAsia="宋体" w:cs="Times New Roman"/>
          <w:color w:val="auto"/>
        </w:rPr>
      </w:pPr>
      <w:bookmarkStart w:id="170" w:name="_Toc512871538"/>
      <w:bookmarkStart w:id="171" w:name="_Toc11232"/>
      <w:r>
        <w:rPr>
          <w:rFonts w:hint="default" w:ascii="Times New Roman" w:hAnsi="Times New Roman" w:eastAsia="宋体" w:cs="Times New Roman"/>
          <w:color w:val="auto"/>
        </w:rPr>
        <w:t>2.6环境保护目标</w:t>
      </w:r>
      <w:bookmarkEnd w:id="170"/>
      <w:bookmarkEnd w:id="171"/>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经调查在评价范围内无国家、省、市、县重点保护文物、自然保护区，珍稀动、植物和风景名胜区等环境敏感保护对象。项目周边200m范围内无医院、学校、住宅、自然保护区等声环境敏感目标。</w:t>
      </w:r>
    </w:p>
    <w:p>
      <w:pPr>
        <w:overflowPunct w:val="0"/>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本次评价与环境保护目标的关系及其保护目标见表2.6-1，项目大气环境、地下水环境、声环境评价范围如图2.6-1所示。</w:t>
      </w:r>
    </w:p>
    <w:p>
      <w:pPr>
        <w:overflowPunct w:val="0"/>
        <w:ind w:firstLine="480"/>
        <w:rPr>
          <w:rFonts w:hint="default" w:ascii="Times New Roman" w:hAnsi="Times New Roman" w:eastAsia="宋体" w:cs="Times New Roman"/>
          <w:color w:val="auto"/>
        </w:rPr>
        <w:sectPr>
          <w:pgSz w:w="11907" w:h="16839"/>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表2.6-1    环境保护目标一览表</w:t>
      </w:r>
    </w:p>
    <w:tbl>
      <w:tblPr>
        <w:tblStyle w:val="34"/>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154"/>
        <w:gridCol w:w="1615"/>
        <w:gridCol w:w="1767"/>
        <w:gridCol w:w="1157"/>
        <w:gridCol w:w="699"/>
        <w:gridCol w:w="699"/>
        <w:gridCol w:w="705"/>
        <w:gridCol w:w="1157"/>
        <w:gridCol w:w="1488"/>
        <w:gridCol w:w="3949"/>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环境要素</w:t>
            </w:r>
          </w:p>
        </w:tc>
        <w:tc>
          <w:tcPr>
            <w:tcW w:w="1175" w:type="pct"/>
            <w:gridSpan w:val="2"/>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坐标</w:t>
            </w:r>
          </w:p>
        </w:tc>
        <w:tc>
          <w:tcPr>
            <w:tcW w:w="402"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保护对象</w:t>
            </w:r>
          </w:p>
        </w:tc>
        <w:tc>
          <w:tcPr>
            <w:tcW w:w="731" w:type="pct"/>
            <w:gridSpan w:val="3"/>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保护内容</w:t>
            </w:r>
          </w:p>
        </w:tc>
        <w:tc>
          <w:tcPr>
            <w:tcW w:w="402"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相对厂址方位</w:t>
            </w:r>
          </w:p>
        </w:tc>
        <w:tc>
          <w:tcPr>
            <w:tcW w:w="51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相对厂界</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距离（km）</w:t>
            </w:r>
          </w:p>
        </w:tc>
        <w:tc>
          <w:tcPr>
            <w:tcW w:w="1372"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环境功能区</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X</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Y</w:t>
            </w:r>
          </w:p>
        </w:tc>
        <w:tc>
          <w:tcPr>
            <w:tcW w:w="40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内容</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户数</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人数</w:t>
            </w:r>
          </w:p>
        </w:tc>
        <w:tc>
          <w:tcPr>
            <w:tcW w:w="40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1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大气环境</w:t>
            </w: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53</w:t>
            </w:r>
            <w:r>
              <w:rPr>
                <w:rFonts w:hint="default" w:ascii="Times New Roman" w:hAnsi="Times New Roman" w:eastAsia="宋体" w:cs="Times New Roman"/>
                <w:color w:val="FF0000"/>
                <w:sz w:val="21"/>
                <w:szCs w:val="21"/>
              </w:rPr>
              <w:t>'</w:t>
            </w:r>
            <w:r>
              <w:rPr>
                <w:rFonts w:hint="eastAsia" w:cs="Times New Roman"/>
                <w:color w:val="FF0000"/>
                <w:sz w:val="21"/>
                <w:szCs w:val="21"/>
                <w:lang w:val="en-US" w:eastAsia="zh-CN"/>
              </w:rPr>
              <w:t>48</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cs="Times New Roman"/>
                <w:color w:val="FF0000"/>
                <w:sz w:val="21"/>
                <w:szCs w:val="21"/>
                <w:lang w:val="en-US" w:eastAsia="zh-CN"/>
              </w:rPr>
              <w:t>39</w:t>
            </w:r>
            <w:r>
              <w:rPr>
                <w:rFonts w:hint="default" w:ascii="Times New Roman" w:hAnsi="Times New Roman" w:eastAsia="宋体" w:cs="Times New Roman"/>
                <w:color w:val="FF0000"/>
                <w:sz w:val="21"/>
                <w:szCs w:val="21"/>
              </w:rPr>
              <w:t>'</w:t>
            </w:r>
            <w:r>
              <w:rPr>
                <w:rFonts w:hint="default" w:ascii="Times New Roman" w:hAnsi="Times New Roman" w:eastAsia="宋体" w:cs="Times New Roman"/>
                <w:color w:val="FF0000"/>
                <w:sz w:val="21"/>
                <w:szCs w:val="21"/>
                <w:lang w:val="en-US" w:eastAsia="zh-CN"/>
              </w:rPr>
              <w:t>3</w:t>
            </w:r>
            <w:r>
              <w:rPr>
                <w:rFonts w:hint="eastAsia" w:cs="Times New Roman"/>
                <w:color w:val="FF0000"/>
                <w:sz w:val="21"/>
                <w:szCs w:val="21"/>
                <w:lang w:val="en-US" w:eastAsia="zh-CN"/>
              </w:rPr>
              <w:t>9</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二合永村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67</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182</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东北</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0.86</w:t>
            </w:r>
          </w:p>
        </w:tc>
        <w:tc>
          <w:tcPr>
            <w:tcW w:w="1372"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GB3095-2012二类功能区标准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53</w:t>
            </w:r>
            <w:r>
              <w:rPr>
                <w:rFonts w:hint="default" w:ascii="Times New Roman" w:hAnsi="Times New Roman" w:eastAsia="宋体" w:cs="Times New Roman"/>
                <w:color w:val="FF0000"/>
                <w:sz w:val="21"/>
                <w:szCs w:val="21"/>
              </w:rPr>
              <w:t>'</w:t>
            </w:r>
            <w:r>
              <w:rPr>
                <w:rFonts w:hint="eastAsia" w:cs="Times New Roman"/>
                <w:color w:val="FF0000"/>
                <w:sz w:val="21"/>
                <w:szCs w:val="21"/>
                <w:lang w:val="en-US" w:eastAsia="zh-CN"/>
              </w:rPr>
              <w:t>49</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ascii="Times New Roman" w:hAnsi="Times New Roman"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cs="Times New Roman"/>
                <w:color w:val="FF0000"/>
                <w:sz w:val="21"/>
                <w:szCs w:val="21"/>
                <w:lang w:val="en-US" w:eastAsia="zh-CN"/>
              </w:rPr>
              <w:t>40</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27</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eastAsia="zh-CN"/>
              </w:rPr>
            </w:pPr>
            <w:r>
              <w:rPr>
                <w:rFonts w:hint="eastAsia" w:cs="Times New Roman"/>
                <w:color w:val="FF0000"/>
                <w:sz w:val="21"/>
                <w:szCs w:val="21"/>
                <w:lang w:val="en-US" w:eastAsia="zh-CN"/>
              </w:rPr>
              <w:t>新永二社</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31</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69</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东</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1.905</w:t>
            </w: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52</w:t>
            </w:r>
            <w:r>
              <w:rPr>
                <w:rFonts w:hint="default" w:ascii="Times New Roman" w:hAnsi="Times New Roman" w:eastAsia="宋体" w:cs="Times New Roman"/>
                <w:color w:val="FF0000"/>
                <w:sz w:val="21"/>
                <w:szCs w:val="21"/>
              </w:rPr>
              <w:t>'</w:t>
            </w:r>
            <w:r>
              <w:rPr>
                <w:rFonts w:hint="eastAsia" w:cs="Times New Roman"/>
                <w:color w:val="FF0000"/>
                <w:sz w:val="21"/>
                <w:szCs w:val="21"/>
                <w:lang w:val="en-US" w:eastAsia="zh-CN"/>
              </w:rPr>
              <w:t>49</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ascii="Times New Roman" w:hAnsi="Times New Roman"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40</w:t>
            </w:r>
            <w:r>
              <w:rPr>
                <w:rFonts w:hint="default" w:ascii="Times New Roman" w:hAnsi="Times New Roman" w:eastAsia="宋体" w:cs="Times New Roman"/>
                <w:color w:val="FF0000"/>
                <w:sz w:val="21"/>
                <w:szCs w:val="21"/>
              </w:rPr>
              <w:t>'</w:t>
            </w:r>
            <w:r>
              <w:rPr>
                <w:rFonts w:hint="default" w:ascii="Times New Roman" w:hAnsi="Times New Roman" w:eastAsia="宋体" w:cs="Times New Roman"/>
                <w:color w:val="FF0000"/>
                <w:sz w:val="21"/>
                <w:szCs w:val="21"/>
                <w:lang w:val="en-US" w:eastAsia="zh-CN"/>
              </w:rPr>
              <w:t>3</w:t>
            </w:r>
            <w:r>
              <w:rPr>
                <w:rFonts w:hint="eastAsia" w:ascii="Times New Roman" w:hAnsi="Times New Roman" w:cs="Times New Roman"/>
                <w:color w:val="FF0000"/>
                <w:sz w:val="21"/>
                <w:szCs w:val="21"/>
                <w:lang w:val="en-US" w:eastAsia="zh-CN"/>
              </w:rPr>
              <w:t>2</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农丰五社</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55</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160</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东南</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2.36</w:t>
            </w: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52</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31</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ascii="Times New Roman" w:hAnsi="Times New Roman"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39</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23</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张子高圪旦</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39</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75</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南</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1.8</w:t>
            </w: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52</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13</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ascii="Times New Roman" w:hAnsi="Times New Roman"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39</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59</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白二圪旦</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35</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72</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南</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2.64</w:t>
            </w: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52</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26</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ascii="Times New Roman" w:hAnsi="Times New Roman"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38</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27</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rPr>
            </w:pPr>
            <w:r>
              <w:rPr>
                <w:rFonts w:hint="eastAsia" w:cs="Times New Roman"/>
                <w:color w:val="FF0000"/>
                <w:sz w:val="21"/>
                <w:szCs w:val="21"/>
                <w:lang w:val="en-US" w:eastAsia="zh-CN"/>
              </w:rPr>
              <w:t>郝二银圪旦</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83</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204</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西南</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2.09</w:t>
            </w: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53</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ascii="Times New Roman" w:hAnsi="Times New Roman"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38</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28</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新道五社</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23</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60</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eastAsia="zh-CN"/>
              </w:rPr>
            </w:pPr>
            <w:r>
              <w:rPr>
                <w:rFonts w:hint="eastAsia" w:cs="Times New Roman"/>
                <w:color w:val="FF0000"/>
                <w:sz w:val="21"/>
                <w:szCs w:val="21"/>
                <w:lang w:val="en-US" w:eastAsia="zh-CN"/>
              </w:rPr>
              <w:t>西南</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1.14</w:t>
            </w: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53</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37</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ascii="Times New Roman" w:hAnsi="Times New Roman"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28</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cs="Times New Roman"/>
                <w:color w:val="FF0000"/>
                <w:sz w:val="21"/>
                <w:szCs w:val="21"/>
                <w:lang w:val="en-US" w:eastAsia="zh-CN"/>
              </w:rPr>
            </w:pPr>
            <w:r>
              <w:rPr>
                <w:rFonts w:hint="eastAsia" w:cs="Times New Roman"/>
                <w:color w:val="FF0000"/>
                <w:sz w:val="21"/>
                <w:szCs w:val="21"/>
                <w:lang w:val="en-US" w:eastAsia="zh-CN"/>
              </w:rPr>
              <w:t>新义十社</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20</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53</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西</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2.28</w:t>
            </w: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p>
        </w:tc>
        <w:tc>
          <w:tcPr>
            <w:tcW w:w="56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N40°</w:t>
            </w:r>
            <w:r>
              <w:rPr>
                <w:rFonts w:hint="eastAsia" w:cs="Times New Roman"/>
                <w:color w:val="FF0000"/>
                <w:sz w:val="21"/>
                <w:szCs w:val="21"/>
                <w:lang w:val="en-US" w:eastAsia="zh-CN"/>
              </w:rPr>
              <w:t>54</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45</w:t>
            </w:r>
            <w:r>
              <w:rPr>
                <w:rFonts w:hint="default" w:ascii="Times New Roman" w:hAnsi="Times New Roman" w:eastAsia="宋体" w:cs="Times New Roman"/>
                <w:color w:val="FF0000"/>
                <w:sz w:val="21"/>
                <w:szCs w:val="21"/>
              </w:rPr>
              <w:t>"</w:t>
            </w:r>
          </w:p>
        </w:tc>
        <w:tc>
          <w:tcPr>
            <w:tcW w:w="6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E10</w:t>
            </w:r>
            <w:r>
              <w:rPr>
                <w:rFonts w:hint="eastAsia" w:ascii="Times New Roman" w:hAnsi="Times New Roman" w:cs="Times New Roman"/>
                <w:color w:val="FF0000"/>
                <w:sz w:val="21"/>
                <w:szCs w:val="21"/>
                <w:lang w:val="en-US" w:eastAsia="zh-CN"/>
              </w:rPr>
              <w:t>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37</w:t>
            </w:r>
            <w:r>
              <w:rPr>
                <w:rFonts w:hint="default" w:ascii="Times New Roman" w:hAnsi="Times New Roman" w:eastAsia="宋体" w:cs="Times New Roman"/>
                <w:color w:val="FF0000"/>
                <w:sz w:val="21"/>
                <w:szCs w:val="21"/>
              </w:rPr>
              <w:t>'</w:t>
            </w:r>
            <w:r>
              <w:rPr>
                <w:rFonts w:hint="eastAsia" w:ascii="Times New Roman" w:hAnsi="Times New Roman" w:cs="Times New Roman"/>
                <w:color w:val="FF0000"/>
                <w:sz w:val="21"/>
                <w:szCs w:val="21"/>
                <w:lang w:val="en-US" w:eastAsia="zh-CN"/>
              </w:rPr>
              <w:t>54</w:t>
            </w:r>
            <w:r>
              <w:rPr>
                <w:rFonts w:hint="default" w:ascii="Times New Roman" w:hAnsi="Times New Roman" w:eastAsia="宋体" w:cs="Times New Roman"/>
                <w:color w:val="FF0000"/>
                <w:sz w:val="21"/>
                <w:szCs w:val="21"/>
              </w:rPr>
              <w:t>"</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eastAsia" w:cs="Times New Roman"/>
                <w:color w:val="FF0000"/>
                <w:sz w:val="21"/>
                <w:szCs w:val="21"/>
                <w:lang w:val="en-US" w:eastAsia="zh-CN"/>
              </w:rPr>
            </w:pPr>
            <w:r>
              <w:rPr>
                <w:rFonts w:hint="eastAsia" w:cs="Times New Roman"/>
                <w:color w:val="FF0000"/>
                <w:sz w:val="21"/>
                <w:szCs w:val="21"/>
                <w:lang w:val="en-US" w:eastAsia="zh-CN"/>
              </w:rPr>
              <w:t>新义六社</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left="0" w:leftChars="0"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居民</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29</w:t>
            </w:r>
          </w:p>
        </w:tc>
        <w:tc>
          <w:tcPr>
            <w:tcW w:w="24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67</w:t>
            </w:r>
          </w:p>
        </w:tc>
        <w:tc>
          <w:tcPr>
            <w:tcW w:w="40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西北</w:t>
            </w:r>
          </w:p>
        </w:tc>
        <w:tc>
          <w:tcPr>
            <w:tcW w:w="51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2.67</w:t>
            </w:r>
          </w:p>
        </w:tc>
        <w:tc>
          <w:tcPr>
            <w:tcW w:w="137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地下水</w:t>
            </w:r>
          </w:p>
        </w:tc>
        <w:tc>
          <w:tcPr>
            <w:tcW w:w="3225" w:type="pct"/>
            <w:gridSpan w:val="8"/>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评价区范围内第四系松散岩类孔隙水</w:t>
            </w:r>
          </w:p>
        </w:tc>
        <w:tc>
          <w:tcPr>
            <w:tcW w:w="137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《地下水质量标准》（GB/T14848-2017）中Ⅲ类标准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生态</w:t>
            </w:r>
          </w:p>
        </w:tc>
        <w:tc>
          <w:tcPr>
            <w:tcW w:w="3225" w:type="pct"/>
            <w:gridSpan w:val="8"/>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周边</w:t>
            </w:r>
            <w:r>
              <w:rPr>
                <w:rFonts w:hint="eastAsia" w:cs="Times New Roman"/>
                <w:color w:val="FF0000"/>
                <w:sz w:val="21"/>
                <w:szCs w:val="21"/>
                <w:lang w:val="en-US" w:eastAsia="zh-CN"/>
              </w:rPr>
              <w:t>100</w:t>
            </w:r>
            <w:r>
              <w:rPr>
                <w:rFonts w:hint="default" w:ascii="Times New Roman" w:hAnsi="Times New Roman" w:eastAsia="宋体" w:cs="Times New Roman"/>
                <w:color w:val="FF0000"/>
                <w:sz w:val="21"/>
                <w:szCs w:val="21"/>
              </w:rPr>
              <w:t>0m范围内的植物、动物</w:t>
            </w:r>
          </w:p>
        </w:tc>
        <w:tc>
          <w:tcPr>
            <w:tcW w:w="137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0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声环境</w:t>
            </w:r>
          </w:p>
        </w:tc>
        <w:tc>
          <w:tcPr>
            <w:tcW w:w="3225" w:type="pct"/>
            <w:gridSpan w:val="8"/>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厂界200m范围内无敏感目标</w:t>
            </w:r>
          </w:p>
        </w:tc>
        <w:tc>
          <w:tcPr>
            <w:tcW w:w="137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GB3096-2008中</w:t>
            </w:r>
            <w:r>
              <w:rPr>
                <w:rFonts w:hint="default" w:ascii="Times New Roman" w:hAnsi="Times New Roman" w:eastAsia="宋体" w:cs="Times New Roman"/>
                <w:color w:val="FF0000"/>
                <w:sz w:val="21"/>
                <w:szCs w:val="21"/>
                <w:lang w:val="en-US" w:eastAsia="zh-CN"/>
              </w:rPr>
              <w:t>2</w:t>
            </w:r>
            <w:r>
              <w:rPr>
                <w:rFonts w:hint="default" w:ascii="Times New Roman" w:hAnsi="Times New Roman" w:eastAsia="宋体" w:cs="Times New Roman"/>
                <w:color w:val="FF0000"/>
                <w:sz w:val="21"/>
                <w:szCs w:val="21"/>
              </w:rPr>
              <w:t>类标准</w:t>
            </w:r>
          </w:p>
        </w:tc>
      </w:tr>
    </w:tbl>
    <w:p>
      <w:pPr>
        <w:overflowPunct w:val="0"/>
        <w:spacing w:line="240" w:lineRule="auto"/>
        <w:ind w:firstLine="0" w:firstLineChars="0"/>
        <w:rPr>
          <w:rFonts w:hint="default" w:ascii="Times New Roman" w:hAnsi="Times New Roman" w:eastAsia="宋体" w:cs="Times New Roman"/>
          <w:color w:val="auto"/>
        </w:rPr>
      </w:pPr>
    </w:p>
    <w:p>
      <w:pPr>
        <w:overflowPunct w:val="0"/>
        <w:spacing w:line="240" w:lineRule="auto"/>
        <w:ind w:firstLine="0" w:firstLineChars="0"/>
        <w:rPr>
          <w:rFonts w:hint="default" w:ascii="Times New Roman" w:hAnsi="Times New Roman" w:eastAsia="宋体" w:cs="Times New Roman"/>
          <w:color w:val="auto"/>
        </w:rPr>
        <w:sectPr>
          <w:pgSz w:w="16839" w:h="11907" w:orient="landscape"/>
          <w:pgMar w:top="1418" w:right="1247" w:bottom="1701" w:left="1418" w:header="851" w:footer="680" w:gutter="0"/>
          <w:pgBorders>
            <w:top w:val="none" w:sz="0" w:space="0"/>
            <w:left w:val="none" w:sz="0" w:space="0"/>
            <w:bottom w:val="none" w:sz="0" w:space="0"/>
            <w:right w:val="none" w:sz="0" w:space="0"/>
          </w:pgBorders>
          <w:pgNumType w:fmt="numberInDash"/>
          <w:cols w:space="720" w:num="1"/>
          <w:docGrid w:linePitch="326" w:charSpace="0"/>
        </w:sectPr>
      </w:pPr>
    </w:p>
    <w:p>
      <w:pPr>
        <w:spacing w:line="240" w:lineRule="auto"/>
        <w:ind w:firstLine="0" w:firstLineChars="0"/>
        <w:jc w:val="center"/>
        <w:rPr>
          <w:rFonts w:hint="default" w:ascii="Times New Roman" w:hAnsi="Times New Roman" w:eastAsia="宋体" w:cs="Times New Roman"/>
          <w:color w:val="auto"/>
          <w:lang w:eastAsia="zh-CN"/>
        </w:rPr>
      </w:pPr>
      <w:r>
        <w:rPr>
          <w:color w:val="auto"/>
          <w:sz w:val="24"/>
        </w:rPr>
        <mc:AlternateContent>
          <mc:Choice Requires="wps">
            <w:drawing>
              <wp:anchor distT="0" distB="0" distL="114300" distR="114300" simplePos="0" relativeHeight="251699200" behindDoc="0" locked="0" layoutInCell="1" allowOverlap="1">
                <wp:simplePos x="0" y="0"/>
                <wp:positionH relativeFrom="column">
                  <wp:posOffset>5706110</wp:posOffset>
                </wp:positionH>
                <wp:positionV relativeFrom="paragraph">
                  <wp:posOffset>2298700</wp:posOffset>
                </wp:positionV>
                <wp:extent cx="107950" cy="107950"/>
                <wp:effectExtent l="12700" t="12700" r="12700" b="12700"/>
                <wp:wrapNone/>
                <wp:docPr id="124" name="椭圆 124"/>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49.3pt;margin-top:181pt;height:8.5pt;width:8.5pt;z-index:251699200;v-text-anchor:middle;mso-width-relative:page;mso-height-relative:page;" fillcolor="#FF0000" filled="t" stroked="t" coordsize="21600,21600" o:gfxdata="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ndy9kAAAALAQAADwAAAAAAAAABACAAAAAiAAAAZHJzL2Rvd25yZXYueG1sUEsBAhQA&#10;FAAAAAgAh07iQBS4oLVjAgAA4wQAAA4AAAAAAAAAAQAgAAAAKAEAAGRycy9lMm9Eb2MueG1sUEsF&#10;BgAAAAAGAAYAWQEAAP0FAAAAAA==&#10;">
                <v:fill on="t" focussize="0,0"/>
                <v:stroke weight="2pt" color="#000000 [3213]" joinstyle="round"/>
                <v:imagedata o:title=""/>
                <o:lock v:ext="edit" aspectratio="f"/>
              </v:shape>
            </w:pict>
          </mc:Fallback>
        </mc:AlternateContent>
      </w:r>
      <w:r>
        <w:rPr>
          <w:rFonts w:hint="default" w:ascii="Times New Roman" w:hAnsi="Times New Roman" w:eastAsia="宋体" w:cs="Times New Roman"/>
          <w:color w:val="auto"/>
          <w:highlight w:val="none"/>
        </w:rPr>
        <w:drawing>
          <wp:anchor distT="0" distB="0" distL="114300" distR="114300" simplePos="0" relativeHeight="251887616" behindDoc="0" locked="0" layoutInCell="1" allowOverlap="1">
            <wp:simplePos x="0" y="0"/>
            <wp:positionH relativeFrom="column">
              <wp:posOffset>7511415</wp:posOffset>
            </wp:positionH>
            <wp:positionV relativeFrom="paragraph">
              <wp:posOffset>-18415</wp:posOffset>
            </wp:positionV>
            <wp:extent cx="1396365" cy="1440180"/>
            <wp:effectExtent l="0" t="0" r="13335" b="7620"/>
            <wp:wrapNone/>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17"/>
                    <a:stretch>
                      <a:fillRect/>
                    </a:stretch>
                  </pic:blipFill>
                  <pic:spPr>
                    <a:xfrm>
                      <a:off x="0" y="0"/>
                      <a:ext cx="1396365" cy="1440180"/>
                    </a:xfrm>
                    <a:prstGeom prst="rect">
                      <a:avLst/>
                    </a:prstGeom>
                    <a:noFill/>
                    <a:ln>
                      <a:noFill/>
                    </a:ln>
                  </pic:spPr>
                </pic:pic>
              </a:graphicData>
            </a:graphic>
          </wp:anchor>
        </w:drawing>
      </w:r>
      <w:r>
        <w:rPr>
          <w:sz w:val="24"/>
        </w:rPr>
        <mc:AlternateContent>
          <mc:Choice Requires="wps">
            <w:drawing>
              <wp:anchor distT="0" distB="0" distL="114300" distR="114300" simplePos="0" relativeHeight="251723776" behindDoc="0" locked="0" layoutInCell="1" allowOverlap="1">
                <wp:simplePos x="0" y="0"/>
                <wp:positionH relativeFrom="column">
                  <wp:posOffset>2994025</wp:posOffset>
                </wp:positionH>
                <wp:positionV relativeFrom="paragraph">
                  <wp:posOffset>2578735</wp:posOffset>
                </wp:positionV>
                <wp:extent cx="1186815" cy="476250"/>
                <wp:effectExtent l="0" t="0" r="0" b="0"/>
                <wp:wrapNone/>
                <wp:docPr id="9" name="矩形 9"/>
                <wp:cNvGraphicFramePr/>
                <a:graphic xmlns:a="http://schemas.openxmlformats.org/drawingml/2006/main">
                  <a:graphicData uri="http://schemas.microsoft.com/office/word/2010/wordprocessingShape">
                    <wps:wsp>
                      <wps:cNvSpPr/>
                      <wps:spPr>
                        <a:xfrm rot="19020000">
                          <a:off x="3070225" y="2534920"/>
                          <a:ext cx="1186815" cy="4762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ind w:left="0" w:leftChars="0" w:firstLine="0" w:firstLineChars="0"/>
                              <w:jc w:val="both"/>
                              <w:rPr>
                                <w:rFonts w:hint="eastAsia" w:eastAsia="宋体"/>
                                <w:b/>
                                <w:bCs/>
                                <w:color w:val="FF000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FF000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地下水流向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5.75pt;margin-top:203.05pt;height:37.5pt;width:93.45pt;rotation:-2818048f;z-index:251723776;v-text-anchor:middle;mso-width-relative:page;mso-height-relative:page;" filled="f" stroked="f" coordsize="21600,21600" o:gfxdata="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nUJoWNkAAAALAQAADwAAAAAAAAABACAAAAAiAAAAZHJzL2Rvd25yZXYueG1s&#10;UEsBAhQAFAAAAAgAh07iQBKvJyppAgAAsQQAAA4AAAAAAAAAAQAgAAAAKAEAAGRycy9lMm9Eb2Mu&#10;eG1sUEsFBgAAAAAGAAYAWQEAAAMGAAAAAA==&#10;">
                <v:fill on="f" focussize="0,0"/>
                <v:stroke on="f" weight="2pt"/>
                <v:imagedata o:title=""/>
                <o:lock v:ext="edit" aspectratio="f"/>
                <v:textbox>
                  <w:txbxContent>
                    <w:p>
                      <w:pPr>
                        <w:spacing w:line="240" w:lineRule="auto"/>
                        <w:ind w:left="0" w:leftChars="0" w:firstLine="0" w:firstLineChars="0"/>
                        <w:jc w:val="both"/>
                        <w:rPr>
                          <w:rFonts w:hint="eastAsia" w:eastAsia="宋体"/>
                          <w:b/>
                          <w:bCs/>
                          <w:color w:val="FF000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FF000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地下水流向</w:t>
                      </w:r>
                    </w:p>
                  </w:txbxContent>
                </v:textbox>
              </v:rect>
            </w:pict>
          </mc:Fallback>
        </mc:AlternateContent>
      </w:r>
      <w:r>
        <w:rPr>
          <w:sz w:val="24"/>
        </w:rPr>
        <mc:AlternateContent>
          <mc:Choice Requires="wps">
            <w:drawing>
              <wp:anchor distT="0" distB="0" distL="114300" distR="114300" simplePos="0" relativeHeight="251722752" behindDoc="0" locked="0" layoutInCell="1" allowOverlap="1">
                <wp:simplePos x="0" y="0"/>
                <wp:positionH relativeFrom="column">
                  <wp:posOffset>3498850</wp:posOffset>
                </wp:positionH>
                <wp:positionV relativeFrom="paragraph">
                  <wp:posOffset>2881630</wp:posOffset>
                </wp:positionV>
                <wp:extent cx="144145" cy="360045"/>
                <wp:effectExtent l="0" t="66675" r="0" b="93980"/>
                <wp:wrapNone/>
                <wp:docPr id="8" name="上箭头 8"/>
                <wp:cNvGraphicFramePr/>
                <a:graphic xmlns:a="http://schemas.openxmlformats.org/drawingml/2006/main">
                  <a:graphicData uri="http://schemas.microsoft.com/office/word/2010/wordprocessingShape">
                    <wps:wsp>
                      <wps:cNvSpPr/>
                      <wps:spPr>
                        <a:xfrm rot="2880000">
                          <a:off x="3719195" y="3331845"/>
                          <a:ext cx="144145" cy="360045"/>
                        </a:xfrm>
                        <a:prstGeom prst="upArrow">
                          <a:avLst/>
                        </a:prstGeom>
                        <a:solidFill>
                          <a:srgbClr val="7030A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275.5pt;margin-top:226.9pt;height:28.35pt;width:11.35pt;rotation:3145728f;z-index:251722752;v-text-anchor:middle;mso-width-relative:page;mso-height-relative:page;" fillcolor="#7030A0" filled="t" stroked="t" coordsize="21600,21600" o:gfxdata="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5+94Z9gAAAALAQAADwAAAAAAAAAB&#10;ACAAAAAiAAAAZHJzL2Rvd25yZXYueG1sUEsBAhQAFAAAAAgAh07iQDRfXPaCAgAA/AQAAA4AAAAA&#10;AAAAAQAgAAAAJwEAAGRycy9lMm9Eb2MueG1sUEsFBgAAAAAGAAYAWQEAABsGAAAAAA==&#10;" adj="4323,540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686912" behindDoc="0" locked="0" layoutInCell="1" allowOverlap="1">
                <wp:simplePos x="0" y="0"/>
                <wp:positionH relativeFrom="column">
                  <wp:posOffset>3141980</wp:posOffset>
                </wp:positionH>
                <wp:positionV relativeFrom="paragraph">
                  <wp:posOffset>1560830</wp:posOffset>
                </wp:positionV>
                <wp:extent cx="2339975" cy="2788285"/>
                <wp:effectExtent l="443865" t="651510" r="444500" b="666115"/>
                <wp:wrapNone/>
                <wp:docPr id="112" name="矩形 112"/>
                <wp:cNvGraphicFramePr/>
                <a:graphic xmlns:a="http://schemas.openxmlformats.org/drawingml/2006/main">
                  <a:graphicData uri="http://schemas.microsoft.com/office/word/2010/wordprocessingShape">
                    <wps:wsp>
                      <wps:cNvSpPr/>
                      <wps:spPr>
                        <a:xfrm rot="2880000">
                          <a:off x="0" y="0"/>
                          <a:ext cx="2339975" cy="2788285"/>
                        </a:xfrm>
                        <a:prstGeom prst="rect">
                          <a:avLst/>
                        </a:prstGeom>
                        <a:noFill/>
                        <a:ln w="3810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7.4pt;margin-top:122.9pt;height:219.55pt;width:184.25pt;rotation:3145728f;z-index:251686912;v-text-anchor:middle;mso-width-relative:page;mso-height-relative:page;" filled="f" stroked="t" coordsize="21600,21600" o:gfxdata="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ye0ZDcAAAACwEAAA8AAAAAAAAAAQAgAAAAIgAAAGRycy9kb3du&#10;cmV2LnhtbFBLAQIUABQAAAAIAIdO4kCAp3RCbQIAAMcEAAAOAAAAAAAAAAEAIAAAACsBAABkcnMv&#10;ZTJvRG9jLnhtbFBLBQYAAAAABgAGAFkBAAAKBgAAAAA=&#10;">
                <v:fill on="f" focussize="0,0"/>
                <v:stroke weight="3pt" color="#7030A0 [3204]" joinstyle="round"/>
                <v:imagedata o:title=""/>
                <o:lock v:ext="edit" aspectratio="f"/>
              </v:rect>
            </w:pict>
          </mc:Fallback>
        </mc:AlternateContent>
      </w:r>
      <w:r>
        <w:rPr>
          <w:color w:val="auto"/>
          <w:sz w:val="24"/>
        </w:rPr>
        <mc:AlternateContent>
          <mc:Choice Requires="wps">
            <w:drawing>
              <wp:anchor distT="0" distB="0" distL="114300" distR="114300" simplePos="0" relativeHeight="251704320" behindDoc="0" locked="0" layoutInCell="1" allowOverlap="1">
                <wp:simplePos x="0" y="0"/>
                <wp:positionH relativeFrom="column">
                  <wp:posOffset>3460115</wp:posOffset>
                </wp:positionH>
                <wp:positionV relativeFrom="paragraph">
                  <wp:posOffset>4568825</wp:posOffset>
                </wp:positionV>
                <wp:extent cx="107950" cy="107950"/>
                <wp:effectExtent l="12700" t="12700" r="12700" b="12700"/>
                <wp:wrapNone/>
                <wp:docPr id="128" name="椭圆 128"/>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2.45pt;margin-top:359.75pt;height:8.5pt;width:8.5pt;z-index:251704320;v-text-anchor:middle;mso-width-relative:page;mso-height-relative:page;" fillcolor="#FF0000" filled="t" stroked="t" coordsize="21600,21600" o:gfxdata="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P6jW/aAAAACwEAAA8AAAAAAAAAAQAgAAAAIgAAAGRycy9kb3ducmV2LnhtbFBLAQIU&#10;ABQAAAAIAIdO4kDW0HWYYwIAAOMEAAAOAAAAAAAAAAEAIAAAACkBAABkcnMvZTJvRG9jLnhtbFBL&#10;BQYAAAAABgAGAFkBAAD+BQ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703296" behindDoc="0" locked="0" layoutInCell="1" allowOverlap="1">
                <wp:simplePos x="0" y="0"/>
                <wp:positionH relativeFrom="column">
                  <wp:posOffset>3526155</wp:posOffset>
                </wp:positionH>
                <wp:positionV relativeFrom="paragraph">
                  <wp:posOffset>3806825</wp:posOffset>
                </wp:positionV>
                <wp:extent cx="107950" cy="107950"/>
                <wp:effectExtent l="12700" t="12700" r="12700" b="12700"/>
                <wp:wrapNone/>
                <wp:docPr id="127" name="椭圆 127"/>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7.65pt;margin-top:299.75pt;height:8.5pt;width:8.5pt;z-index:251703296;v-text-anchor:middle;mso-width-relative:page;mso-height-relative:page;" fillcolor="#FF0000" filled="t" stroked="t" coordsize="21600,21600" o:gfxdata="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IlwG3TZAAAACwEAAA8AAAAAAAAAAQAgAAAAIgAAAGRycy9kb3ducmV2LnhtbFBLAQIU&#10;ABQAAAAIAIdO4kAEYW1TZAIAAOMEAAAOAAAAAAAAAAEAIAAAACgBAABkcnMvZTJvRG9jLnhtbFBL&#10;BQYAAAAABgAGAFkBAAD+BQ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700224" behindDoc="0" locked="0" layoutInCell="1" allowOverlap="1">
                <wp:simplePos x="0" y="0"/>
                <wp:positionH relativeFrom="column">
                  <wp:posOffset>2566035</wp:posOffset>
                </wp:positionH>
                <wp:positionV relativeFrom="paragraph">
                  <wp:posOffset>1073150</wp:posOffset>
                </wp:positionV>
                <wp:extent cx="107950" cy="107950"/>
                <wp:effectExtent l="12700" t="12700" r="12700" b="12700"/>
                <wp:wrapNone/>
                <wp:docPr id="125" name="椭圆 125"/>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02.05pt;margin-top:84.5pt;height:8.5pt;width:8.5pt;z-index:251700224;v-text-anchor:middle;mso-width-relative:page;mso-height-relative:page;" fillcolor="#FF0000" filled="t" stroked="t" coordsize="21600,21600" o:gfxdata="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InL0N9gAAAALAQAADwAAAAAAAAABACAAAAAiAAAAZHJzL2Rvd25yZXYueG1sUEsBAhQA&#10;FAAAAAgAh07iQOTwG+hkAgAA4wQAAA4AAAAAAAAAAQAgAAAAJwEAAGRycy9lMm9Eb2MueG1sUEsF&#10;BgAAAAAGAAYAWQEAAP0FA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701248" behindDoc="0" locked="0" layoutInCell="1" allowOverlap="1">
                <wp:simplePos x="0" y="0"/>
                <wp:positionH relativeFrom="column">
                  <wp:posOffset>1870075</wp:posOffset>
                </wp:positionH>
                <wp:positionV relativeFrom="paragraph">
                  <wp:posOffset>2795270</wp:posOffset>
                </wp:positionV>
                <wp:extent cx="107950" cy="107950"/>
                <wp:effectExtent l="12700" t="12700" r="12700" b="12700"/>
                <wp:wrapNone/>
                <wp:docPr id="126" name="椭圆 126"/>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7.25pt;margin-top:220.1pt;height:8.5pt;width:8.5pt;z-index:251701248;v-text-anchor:middle;mso-width-relative:page;mso-height-relative:page;" fillcolor="#FF0000" filled="t" stroked="t" coordsize="21600,21600" o:gfxdata="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SeOxfZAAAACwEAAA8AAAAAAAAAAQAgAAAAIgAAAGRycy9kb3ducmV2LnhtbFBLAQIU&#10;ABQAAAAIAIdO4kD0KdYOZAIAAOMEAAAOAAAAAAAAAAEAIAAAACgBAABkcnMvZTJvRG9jLnhtbFBL&#10;BQYAAAAABgAGAFkBAAD+BQ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698176" behindDoc="0" locked="0" layoutInCell="1" allowOverlap="1">
                <wp:simplePos x="0" y="0"/>
                <wp:positionH relativeFrom="column">
                  <wp:posOffset>6619240</wp:posOffset>
                </wp:positionH>
                <wp:positionV relativeFrom="paragraph">
                  <wp:posOffset>2401570</wp:posOffset>
                </wp:positionV>
                <wp:extent cx="107950" cy="107950"/>
                <wp:effectExtent l="12700" t="12700" r="12700" b="12700"/>
                <wp:wrapNone/>
                <wp:docPr id="123" name="椭圆 123"/>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21.2pt;margin-top:189.1pt;height:8.5pt;width:8.5pt;z-index:251698176;v-text-anchor:middle;mso-width-relative:page;mso-height-relative:page;" fillcolor="#FF0000" filled="t" stroked="t" coordsize="21600,21600" o:gfxdata="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uT+w42gAAAA0BAAAPAAAAAAAAAAEAIAAAACIAAABkcnMvZG93bnJldi54bWxQSwEC&#10;FAAUAAAACACHTuJAhUTx/mQCAADjBAAADgAAAAAAAAABACAAAAApAQAAZHJzL2Uyb0RvYy54bWxQ&#10;SwUGAAAAAAYABgBZAQAA/wU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697152" behindDoc="0" locked="0" layoutInCell="1" allowOverlap="1">
                <wp:simplePos x="0" y="0"/>
                <wp:positionH relativeFrom="column">
                  <wp:posOffset>6840220</wp:posOffset>
                </wp:positionH>
                <wp:positionV relativeFrom="paragraph">
                  <wp:posOffset>3963670</wp:posOffset>
                </wp:positionV>
                <wp:extent cx="107950" cy="107950"/>
                <wp:effectExtent l="12700" t="12700" r="12700" b="12700"/>
                <wp:wrapNone/>
                <wp:docPr id="122" name="椭圆 122"/>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38.6pt;margin-top:312.1pt;height:8.5pt;width:8.5pt;z-index:251697152;v-text-anchor:middle;mso-width-relative:page;mso-height-relative:page;" fillcolor="#FF0000" filled="t" stroked="t" coordsize="21600,21600" o:gfxdata="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KWs2X2AAAAA0BAAAPAAAAAAAAAAEAIAAAACIAAABkcnMvZG93bnJldi54bWxQSwECFAAU&#10;AAAACACHTuJAdQxKo2MCAADjBAAADgAAAAAAAAABACAAAAAnAQAAZHJzL2Uyb0RvYy54bWxQSwUG&#10;AAAAAAYABgBZAQAA/AU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696128" behindDoc="0" locked="0" layoutInCell="1" allowOverlap="1">
                <wp:simplePos x="0" y="0"/>
                <wp:positionH relativeFrom="column">
                  <wp:posOffset>4716780</wp:posOffset>
                </wp:positionH>
                <wp:positionV relativeFrom="paragraph">
                  <wp:posOffset>4895850</wp:posOffset>
                </wp:positionV>
                <wp:extent cx="107950" cy="107950"/>
                <wp:effectExtent l="12700" t="12700" r="12700" b="12700"/>
                <wp:wrapNone/>
                <wp:docPr id="121" name="椭圆 121"/>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71.4pt;margin-top:385.5pt;height:8.5pt;width:8.5pt;z-index:251696128;v-text-anchor:middle;mso-width-relative:page;mso-height-relative:page;" fillcolor="#FF0000" filled="t" stroked="t" coordsize="21600,21600" o:gfxdata="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kAf7T2AAAAAsBAAAPAAAAAAAAAAEAIAAAACIAAABkcnMvZG93bnJldi54bWxQSwECFAAU&#10;AAAACACHTuJAZdWHRWMCAADjBAAADgAAAAAAAAABACAAAAAnAQAAZHJzL2Uyb0RvYy54bWxQSwUG&#10;AAAAAAYABgBZAQAA/AU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695104" behindDoc="0" locked="0" layoutInCell="1" allowOverlap="1">
                <wp:simplePos x="0" y="0"/>
                <wp:positionH relativeFrom="column">
                  <wp:posOffset>4974590</wp:posOffset>
                </wp:positionH>
                <wp:positionV relativeFrom="paragraph">
                  <wp:posOffset>4611370</wp:posOffset>
                </wp:positionV>
                <wp:extent cx="107950" cy="107950"/>
                <wp:effectExtent l="12700" t="12700" r="12700" b="12700"/>
                <wp:wrapNone/>
                <wp:docPr id="120" name="椭圆 120"/>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91.7pt;margin-top:363.1pt;height:8.5pt;width:8.5pt;z-index:251695104;v-text-anchor:middle;mso-width-relative:page;mso-height-relative:page;" fillcolor="#FF0000" filled="t" stroked="t" coordsize="21600,21600" o:gfxdata="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EbRXUNkAAAALAQAADwAAAAAAAAABACAAAAAiAAAAZHJzL2Rvd25yZXYueG1sUEsBAhQA&#10;FAAAAAgAh07iQJWdPBhjAgAA4wQAAA4AAAAAAAAAAQAgAAAAKAEAAGRycy9lMm9Eb2MueG1sUEsF&#10;BgAAAAAGAAYAWQEAAP0FA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694080" behindDoc="0" locked="0" layoutInCell="1" allowOverlap="1">
                <wp:simplePos x="0" y="0"/>
                <wp:positionH relativeFrom="column">
                  <wp:posOffset>7980680</wp:posOffset>
                </wp:positionH>
                <wp:positionV relativeFrom="paragraph">
                  <wp:posOffset>5492750</wp:posOffset>
                </wp:positionV>
                <wp:extent cx="107950" cy="107950"/>
                <wp:effectExtent l="12700" t="12700" r="12700" b="12700"/>
                <wp:wrapNone/>
                <wp:docPr id="119" name="椭圆 119"/>
                <wp:cNvGraphicFramePr/>
                <a:graphic xmlns:a="http://schemas.openxmlformats.org/drawingml/2006/main">
                  <a:graphicData uri="http://schemas.microsoft.com/office/word/2010/wordprocessingShape">
                    <wps:wsp>
                      <wps:cNvSpPr/>
                      <wps:spPr>
                        <a:xfrm>
                          <a:off x="6698615" y="4571365"/>
                          <a:ext cx="107950" cy="1079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28.4pt;margin-top:432.5pt;height:8.5pt;width:8.5pt;z-index:251694080;v-text-anchor:middle;mso-width-relative:page;mso-height-relative:page;" fillcolor="#FF0000" filled="t" stroked="t" coordsize="21600,21600" o:gfxdata="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gn55itkAAAANAQAADwAAAAAAAAABACAAAAAiAAAAZHJzL2Rv&#10;d25yZXYueG1sUEsBAhQAFAAAAAgAh07iQP5e7lhyAgAA7wQAAA4AAAAAAAAAAQAgAAAAKAEAAGRy&#10;cy9lMm9Eb2MueG1sUEsFBgAAAAAGAAYAWQEAAAwGAAAAAA==&#10;">
                <v:fill on="t" focussize="0,0"/>
                <v:stroke weight="2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693056" behindDoc="0" locked="0" layoutInCell="1" allowOverlap="1">
                <wp:simplePos x="0" y="0"/>
                <wp:positionH relativeFrom="column">
                  <wp:posOffset>8555990</wp:posOffset>
                </wp:positionH>
                <wp:positionV relativeFrom="paragraph">
                  <wp:posOffset>5148580</wp:posOffset>
                </wp:positionV>
                <wp:extent cx="252095" cy="144145"/>
                <wp:effectExtent l="12700" t="12700" r="20955" b="14605"/>
                <wp:wrapNone/>
                <wp:docPr id="118" name="矩形 118"/>
                <wp:cNvGraphicFramePr/>
                <a:graphic xmlns:a="http://schemas.openxmlformats.org/drawingml/2006/main">
                  <a:graphicData uri="http://schemas.microsoft.com/office/word/2010/wordprocessingShape">
                    <wps:wsp>
                      <wps:cNvSpPr/>
                      <wps:spPr>
                        <a:xfrm>
                          <a:off x="0" y="0"/>
                          <a:ext cx="252095" cy="144145"/>
                        </a:xfrm>
                        <a:prstGeom prst="rect">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3.7pt;margin-top:405.4pt;height:11.35pt;width:19.85pt;z-index:251693056;v-text-anchor:middle;mso-width-relative:page;mso-height-relative:page;" filled="f" stroked="t" coordsize="21600,21600" o:gfxdata="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yWEUmt0AAAANAQAADwAAAAAAAAABACAAAAAiAAAAZHJzL2Rvd25yZXYueG1sUEsBAhQA&#10;FAAAAAgAh07iQMiAi3RfAgAAtwQAAA4AAAAAAAAAAQAgAAAALAEAAGRycy9lMm9Eb2MueG1sUEsF&#10;BgAAAAAGAAYAWQEAAP0FAAAAAA==&#10;">
                <v:fill on="f" focussize="0,0"/>
                <v:stroke weight="2pt" color="#7030A0 [3204]" joinstyle="round"/>
                <v:imagedata o:title=""/>
                <o:lock v:ext="edit" aspectratio="f"/>
              </v:rect>
            </w:pict>
          </mc:Fallback>
        </mc:AlternateContent>
      </w:r>
      <w:r>
        <w:rPr>
          <w:color w:val="auto"/>
          <w:sz w:val="24"/>
        </w:rPr>
        <mc:AlternateContent>
          <mc:Choice Requires="wps">
            <w:drawing>
              <wp:anchor distT="0" distB="0" distL="114300" distR="114300" simplePos="0" relativeHeight="251692032" behindDoc="0" locked="0" layoutInCell="1" allowOverlap="1">
                <wp:simplePos x="0" y="0"/>
                <wp:positionH relativeFrom="column">
                  <wp:posOffset>8418195</wp:posOffset>
                </wp:positionH>
                <wp:positionV relativeFrom="paragraph">
                  <wp:posOffset>4813300</wp:posOffset>
                </wp:positionV>
                <wp:extent cx="252095" cy="144145"/>
                <wp:effectExtent l="12700" t="12700" r="20955" b="14605"/>
                <wp:wrapNone/>
                <wp:docPr id="117" name="矩形 117"/>
                <wp:cNvGraphicFramePr/>
                <a:graphic xmlns:a="http://schemas.openxmlformats.org/drawingml/2006/main">
                  <a:graphicData uri="http://schemas.microsoft.com/office/word/2010/wordprocessingShape">
                    <wps:wsp>
                      <wps:cNvSpPr/>
                      <wps:spPr>
                        <a:xfrm>
                          <a:off x="0" y="0"/>
                          <a:ext cx="252095" cy="144145"/>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62.85pt;margin-top:379pt;height:11.35pt;width:19.85pt;z-index:251692032;v-text-anchor:middle;mso-width-relative:page;mso-height-relative:page;" filled="f" stroked="t" coordsize="21600,21600" o:gfxdata="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UchYzaAAAADQEAAA8AAAAAAAAAAQAgAAAAIgAAAGRycy9kb3ducmV2LnhtbFBLAQIUABQAAAAI&#10;AIdO4kDoWZT5XQIAALcEAAAOAAAAAAAAAAEAIAAAACkBAABkcnMvZTJvRG9jLnhtbFBLBQYAAAAA&#10;BgAGAFkBAAD4BQAAAAA=&#10;">
                <v:fill on="f" focussize="0,0"/>
                <v:stroke weight="2pt" color="#FFFF00 [3204]" joinstyle="round"/>
                <v:imagedata o:title=""/>
                <o:lock v:ext="edit" aspectratio="f"/>
              </v:rect>
            </w:pict>
          </mc:Fallback>
        </mc:AlternateContent>
      </w:r>
      <w:r>
        <w:rPr>
          <w:color w:val="auto"/>
          <w:sz w:val="24"/>
        </w:rPr>
        <mc:AlternateContent>
          <mc:Choice Requires="wps">
            <w:drawing>
              <wp:anchor distT="0" distB="0" distL="114300" distR="114300" simplePos="0" relativeHeight="251691008" behindDoc="0" locked="0" layoutInCell="1" allowOverlap="1">
                <wp:simplePos x="0" y="0"/>
                <wp:positionH relativeFrom="column">
                  <wp:posOffset>8119110</wp:posOffset>
                </wp:positionH>
                <wp:positionV relativeFrom="paragraph">
                  <wp:posOffset>4491990</wp:posOffset>
                </wp:positionV>
                <wp:extent cx="252095" cy="144145"/>
                <wp:effectExtent l="12700" t="12700" r="20955" b="14605"/>
                <wp:wrapNone/>
                <wp:docPr id="116" name="矩形 116"/>
                <wp:cNvGraphicFramePr/>
                <a:graphic xmlns:a="http://schemas.openxmlformats.org/drawingml/2006/main">
                  <a:graphicData uri="http://schemas.microsoft.com/office/word/2010/wordprocessingShape">
                    <wps:wsp>
                      <wps:cNvSpPr/>
                      <wps:spPr>
                        <a:xfrm>
                          <a:off x="8881745" y="3674110"/>
                          <a:ext cx="252095" cy="1441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39.3pt;margin-top:353.7pt;height:11.35pt;width:19.85pt;z-index:251691008;v-text-anchor:middle;mso-width-relative:page;mso-height-relative:page;" filled="f" stroked="t" coordsize="21600,21600" o:gfxdata="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oTKci2gAAAA0BAAAPAAAAAAAAAAEAIAAAACIAAABkcnMvZG93bnJldi54&#10;bWxQSwECFAAUAAAACACHTuJA8+bZbmoCAADDBAAADgAAAAAAAAABACAAAAApAQAAZHJzL2Uyb0Rv&#10;Yy54bWxQSwUGAAAAAAYABgBZAQAABQYAAAAA&#10;">
                <v:fill on="f" focussize="0,0"/>
                <v:stroke weight="2pt" color="#FF0000 [3204]" joinstyle="round"/>
                <v:imagedata o:title=""/>
                <o:lock v:ext="edit" aspectratio="f"/>
              </v:rect>
            </w:pict>
          </mc:Fallback>
        </mc:AlternateContent>
      </w:r>
      <w:r>
        <w:rPr>
          <w:color w:val="auto"/>
          <w:sz w:val="24"/>
        </w:rPr>
        <mc:AlternateContent>
          <mc:Choice Requires="wps">
            <w:drawing>
              <wp:anchor distT="0" distB="0" distL="114300" distR="114300" simplePos="0" relativeHeight="251689984" behindDoc="0" locked="0" layoutInCell="1" allowOverlap="1">
                <wp:simplePos x="0" y="0"/>
                <wp:positionH relativeFrom="column">
                  <wp:posOffset>7314565</wp:posOffset>
                </wp:positionH>
                <wp:positionV relativeFrom="paragraph">
                  <wp:posOffset>4074160</wp:posOffset>
                </wp:positionV>
                <wp:extent cx="1596390" cy="1692910"/>
                <wp:effectExtent l="12700" t="12700" r="29210" b="27940"/>
                <wp:wrapNone/>
                <wp:docPr id="115" name="矩形 115"/>
                <wp:cNvGraphicFramePr/>
                <a:graphic xmlns:a="http://schemas.openxmlformats.org/drawingml/2006/main">
                  <a:graphicData uri="http://schemas.microsoft.com/office/word/2010/wordprocessingShape">
                    <wps:wsp>
                      <wps:cNvSpPr/>
                      <wps:spPr>
                        <a:xfrm>
                          <a:off x="8361680" y="3974465"/>
                          <a:ext cx="1596390" cy="1692910"/>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项目场区</w:t>
                            </w:r>
                          </w:p>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大气评价范围</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地下水评价范围</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敏感点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5.95pt;margin-top:320.8pt;height:133.3pt;width:125.7pt;z-index:251689984;v-text-anchor:middle;mso-width-relative:page;mso-height-relative:page;" fillcolor="#92D050" filled="t" stroked="t" coordsize="21600,21600" o:gfxdata="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VVS1&#10;ZNsAAAANAQAADwAAAAAAAAABACAAAAAiAAAAZHJzL2Rvd25yZXYueG1sUEsBAhQAFAAAAAgAh07i&#10;QOZ0cqSRAgAAGgUAAA4AAAAAAAAAAQAgAAAAKgEAAGRycy9lMm9Eb2MueG1sUEsFBgAAAAAGAAYA&#10;WQEAAC0GAAAAAA==&#10;">
                <v:fill on="t" focussize="0,0"/>
                <v:stroke weight="2pt" color="#385D8A [3204]" joinstyle="round"/>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项目场区</w:t>
                      </w:r>
                    </w:p>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大气评价范围</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地下水评价范围</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敏感点</w:t>
                      </w:r>
                    </w:p>
                  </w:txbxContent>
                </v:textbox>
              </v:rect>
            </w:pict>
          </mc:Fallback>
        </mc:AlternateContent>
      </w:r>
      <w:r>
        <w:rPr>
          <w:rFonts w:hint="default" w:ascii="Times New Roman" w:hAnsi="Times New Roman" w:eastAsia="宋体" w:cs="Times New Roman"/>
          <w:color w:val="auto"/>
          <w:lang w:eastAsia="zh-CN"/>
        </w:rPr>
        <w:drawing>
          <wp:anchor distT="0" distB="0" distL="114300" distR="114300" simplePos="0" relativeHeight="251688960" behindDoc="0" locked="0" layoutInCell="1" allowOverlap="1">
            <wp:simplePos x="0" y="0"/>
            <wp:positionH relativeFrom="column">
              <wp:posOffset>826135</wp:posOffset>
            </wp:positionH>
            <wp:positionV relativeFrom="paragraph">
              <wp:posOffset>5099685</wp:posOffset>
            </wp:positionV>
            <wp:extent cx="685800" cy="628650"/>
            <wp:effectExtent l="0" t="0" r="0" b="0"/>
            <wp:wrapNone/>
            <wp:docPr id="114" name="图片 114" descr="1620034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1620034123(1)"/>
                    <pic:cNvPicPr>
                      <a:picLocks noChangeAspect="1"/>
                    </pic:cNvPicPr>
                  </pic:nvPicPr>
                  <pic:blipFill>
                    <a:blip r:embed="rId18"/>
                    <a:stretch>
                      <a:fillRect/>
                    </a:stretch>
                  </pic:blipFill>
                  <pic:spPr>
                    <a:xfrm>
                      <a:off x="0" y="0"/>
                      <a:ext cx="685800" cy="628650"/>
                    </a:xfrm>
                    <a:prstGeom prst="rect">
                      <a:avLst/>
                    </a:prstGeom>
                  </pic:spPr>
                </pic:pic>
              </a:graphicData>
            </a:graphic>
          </wp:anchor>
        </w:drawing>
      </w:r>
      <w:r>
        <w:rPr>
          <w:color w:val="auto"/>
          <w:sz w:val="24"/>
        </w:rPr>
        <mc:AlternateContent>
          <mc:Choice Requires="wps">
            <w:drawing>
              <wp:anchor distT="0" distB="0" distL="114300" distR="114300" simplePos="0" relativeHeight="251685888" behindDoc="0" locked="0" layoutInCell="1" allowOverlap="1">
                <wp:simplePos x="0" y="0"/>
                <wp:positionH relativeFrom="column">
                  <wp:posOffset>1766570</wp:posOffset>
                </wp:positionH>
                <wp:positionV relativeFrom="paragraph">
                  <wp:posOffset>831215</wp:posOffset>
                </wp:positionV>
                <wp:extent cx="5447030" cy="4212590"/>
                <wp:effectExtent l="13970" t="13970" r="25400" b="21590"/>
                <wp:wrapNone/>
                <wp:docPr id="98" name="矩形 98"/>
                <wp:cNvGraphicFramePr/>
                <a:graphic xmlns:a="http://schemas.openxmlformats.org/drawingml/2006/main">
                  <a:graphicData uri="http://schemas.microsoft.com/office/word/2010/wordprocessingShape">
                    <wps:wsp>
                      <wps:cNvSpPr/>
                      <wps:spPr>
                        <a:xfrm>
                          <a:off x="2558415" y="1544320"/>
                          <a:ext cx="5447030" cy="4212590"/>
                        </a:xfrm>
                        <a:prstGeom prst="rect">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9.1pt;margin-top:65.45pt;height:331.7pt;width:428.9pt;z-index:251685888;v-text-anchor:middle;mso-width-relative:page;mso-height-relative:page;" filled="f" stroked="t" coordsize="21600,21600" o:gfxdata="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3g7pP2AAAAAwBAAAPAAAAAAAAAAEAIAAAACIAAABkcnMvZG93bnJldi54&#10;bWxQSwECFAAUAAAACACHTuJAYAMwj2wCAADDBAAADgAAAAAAAAABACAAAAAnAQAAZHJzL2Uyb0Rv&#10;Yy54bWxQSwUGAAAAAAYABgBZAQAABQYAAAAA&#10;">
                <v:fill on="f" focussize="0,0"/>
                <v:stroke weight="2.25pt" color="#FFFF00 [3204]" joinstyle="round"/>
                <v:imagedata o:title=""/>
                <o:lock v:ext="edit" aspectratio="f"/>
              </v:rect>
            </w:pict>
          </mc:Fallback>
        </mc:AlternateContent>
      </w:r>
      <w:r>
        <w:rPr>
          <w:rFonts w:hint="default" w:ascii="Times New Roman" w:hAnsi="Times New Roman" w:eastAsia="宋体" w:cs="Times New Roman"/>
          <w:color w:val="auto"/>
          <w:lang w:eastAsia="zh-CN"/>
        </w:rPr>
        <w:drawing>
          <wp:inline distT="0" distB="0" distL="114300" distR="114300">
            <wp:extent cx="8703310" cy="5760085"/>
            <wp:effectExtent l="0" t="0" r="2540" b="12065"/>
            <wp:docPr id="97" name="图片 97" descr="C:/Users/addd/AppData/Local/Temp/picturecompress_20210503174618/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C:/Users/addd/AppData/Local/Temp/picturecompress_20210503174618/output_1.pngoutput_1"/>
                    <pic:cNvPicPr>
                      <a:picLocks noChangeAspect="1"/>
                    </pic:cNvPicPr>
                  </pic:nvPicPr>
                  <pic:blipFill>
                    <a:blip r:embed="rId19"/>
                    <a:stretch>
                      <a:fillRect/>
                    </a:stretch>
                  </pic:blipFill>
                  <pic:spPr>
                    <a:xfrm>
                      <a:off x="0" y="0"/>
                      <a:ext cx="8703310" cy="5760085"/>
                    </a:xfrm>
                    <a:prstGeom prst="rect">
                      <a:avLst/>
                    </a:prstGeom>
                  </pic:spPr>
                </pic:pic>
              </a:graphicData>
            </a:graphic>
          </wp:inline>
        </w:drawing>
      </w:r>
    </w:p>
    <w:p>
      <w:pPr>
        <w:spacing w:line="24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b/>
          <w:bCs/>
          <w:color w:val="auto"/>
        </w:rPr>
        <w:t>图2.6-1    项目环境保护目标及评价范围图</w:t>
      </w:r>
    </w:p>
    <w:p>
      <w:pPr>
        <w:bidi w:val="0"/>
        <w:ind w:left="0" w:leftChars="0" w:firstLine="0" w:firstLineChars="0"/>
        <w:rPr>
          <w:rFonts w:hint="eastAsia" w:eastAsia="宋体"/>
          <w:color w:val="auto"/>
          <w:lang w:eastAsia="zh-CN"/>
        </w:rPr>
      </w:pPr>
      <w:r>
        <w:rPr>
          <w:rFonts w:hint="default" w:ascii="Times New Roman" w:hAnsi="Times New Roman" w:eastAsia="宋体" w:cs="Times New Roman"/>
          <w:color w:val="auto"/>
          <w:highlight w:val="none"/>
        </w:rPr>
        <w:drawing>
          <wp:anchor distT="0" distB="0" distL="114300" distR="114300" simplePos="0" relativeHeight="251979776" behindDoc="0" locked="0" layoutInCell="1" allowOverlap="1">
            <wp:simplePos x="0" y="0"/>
            <wp:positionH relativeFrom="column">
              <wp:posOffset>6785610</wp:posOffset>
            </wp:positionH>
            <wp:positionV relativeFrom="paragraph">
              <wp:posOffset>-11430</wp:posOffset>
            </wp:positionV>
            <wp:extent cx="1396365" cy="1440180"/>
            <wp:effectExtent l="0" t="0" r="13335" b="7620"/>
            <wp:wrapNone/>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17"/>
                    <a:stretch>
                      <a:fillRect/>
                    </a:stretch>
                  </pic:blipFill>
                  <pic:spPr>
                    <a:xfrm>
                      <a:off x="0" y="0"/>
                      <a:ext cx="1396365" cy="1440180"/>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1706368" behindDoc="0" locked="0" layoutInCell="1" allowOverlap="1">
                <wp:simplePos x="0" y="0"/>
                <wp:positionH relativeFrom="column">
                  <wp:posOffset>2045335</wp:posOffset>
                </wp:positionH>
                <wp:positionV relativeFrom="paragraph">
                  <wp:posOffset>227965</wp:posOffset>
                </wp:positionV>
                <wp:extent cx="4572000" cy="5219700"/>
                <wp:effectExtent l="12700" t="12700" r="25400" b="25400"/>
                <wp:wrapNone/>
                <wp:docPr id="140" name="任意多边形 140"/>
                <wp:cNvGraphicFramePr/>
                <a:graphic xmlns:a="http://schemas.openxmlformats.org/drawingml/2006/main">
                  <a:graphicData uri="http://schemas.microsoft.com/office/word/2010/wordprocessingShape">
                    <wps:wsp>
                      <wps:cNvSpPr/>
                      <wps:spPr>
                        <a:xfrm>
                          <a:off x="2837180" y="911860"/>
                          <a:ext cx="4572000" cy="5219700"/>
                        </a:xfrm>
                        <a:custGeom>
                          <a:avLst/>
                          <a:gdLst>
                            <a:gd name="connisteX0" fmla="*/ 1186815 w 4601210"/>
                            <a:gd name="connsiteY0" fmla="*/ 0 h 5290185"/>
                            <a:gd name="connisteX1" fmla="*/ 0 w 4601210"/>
                            <a:gd name="connsiteY1" fmla="*/ 930910 h 5290185"/>
                            <a:gd name="connisteX2" fmla="*/ 14605 w 4601210"/>
                            <a:gd name="connsiteY2" fmla="*/ 3722370 h 5290185"/>
                            <a:gd name="connisteX3" fmla="*/ 1260475 w 4601210"/>
                            <a:gd name="connsiteY3" fmla="*/ 3641725 h 5290185"/>
                            <a:gd name="connisteX4" fmla="*/ 1296670 w 4601210"/>
                            <a:gd name="connsiteY4" fmla="*/ 4615180 h 5290185"/>
                            <a:gd name="connisteX5" fmla="*/ 2337435 w 4601210"/>
                            <a:gd name="connsiteY5" fmla="*/ 5290185 h 5290185"/>
                            <a:gd name="connisteX6" fmla="*/ 3443605 w 4601210"/>
                            <a:gd name="connsiteY6" fmla="*/ 3757930 h 5290185"/>
                            <a:gd name="connisteX7" fmla="*/ 3282315 w 4601210"/>
                            <a:gd name="connsiteY7" fmla="*/ 3575685 h 5290185"/>
                            <a:gd name="connisteX8" fmla="*/ 4271645 w 4601210"/>
                            <a:gd name="connsiteY8" fmla="*/ 2703195 h 5290185"/>
                            <a:gd name="connisteX9" fmla="*/ 3993515 w 4601210"/>
                            <a:gd name="connsiteY9" fmla="*/ 2424430 h 5290185"/>
                            <a:gd name="connisteX10" fmla="*/ 4601210 w 4601210"/>
                            <a:gd name="connsiteY10" fmla="*/ 1802130 h 5290185"/>
                            <a:gd name="connisteX11" fmla="*/ 3832225 w 4601210"/>
                            <a:gd name="connsiteY11" fmla="*/ 1026160 h 5290185"/>
                            <a:gd name="connisteX12" fmla="*/ 2791460 w 4601210"/>
                            <a:gd name="connsiteY12" fmla="*/ 1003935 h 5290185"/>
                            <a:gd name="connisteX13" fmla="*/ 2762250 w 4601210"/>
                            <a:gd name="connsiteY13" fmla="*/ 769620 h 5290185"/>
                            <a:gd name="connisteX14" fmla="*/ 2469515 w 4601210"/>
                            <a:gd name="connsiteY14" fmla="*/ 798195 h 5290185"/>
                            <a:gd name="connisteX15" fmla="*/ 2418080 w 4601210"/>
                            <a:gd name="connsiteY15" fmla="*/ 439420 h 5290185"/>
                            <a:gd name="connisteX16" fmla="*/ 1809750 w 4601210"/>
                            <a:gd name="connsiteY16" fmla="*/ 476250 h 5290185"/>
                            <a:gd name="connisteX17" fmla="*/ 1186815 w 4601210"/>
                            <a:gd name="connsiteY17" fmla="*/ 0 h 529018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Lst>
                          <a:rect l="l" t="t" r="r" b="b"/>
                          <a:pathLst>
                            <a:path w="4601210" h="5290185">
                              <a:moveTo>
                                <a:pt x="1186815" y="0"/>
                              </a:moveTo>
                              <a:lnTo>
                                <a:pt x="0" y="930910"/>
                              </a:lnTo>
                              <a:lnTo>
                                <a:pt x="14605" y="3722370"/>
                              </a:lnTo>
                              <a:lnTo>
                                <a:pt x="1260475" y="3641725"/>
                              </a:lnTo>
                              <a:lnTo>
                                <a:pt x="1296670" y="4615180"/>
                              </a:lnTo>
                              <a:lnTo>
                                <a:pt x="2337435" y="5290185"/>
                              </a:lnTo>
                              <a:lnTo>
                                <a:pt x="3443605" y="3757930"/>
                              </a:lnTo>
                              <a:lnTo>
                                <a:pt x="3282315" y="3575685"/>
                              </a:lnTo>
                              <a:lnTo>
                                <a:pt x="4271645" y="2703195"/>
                              </a:lnTo>
                              <a:lnTo>
                                <a:pt x="3993515" y="2424430"/>
                              </a:lnTo>
                              <a:lnTo>
                                <a:pt x="4601210" y="1802130"/>
                              </a:lnTo>
                              <a:lnTo>
                                <a:pt x="3832225" y="1026160"/>
                              </a:lnTo>
                              <a:lnTo>
                                <a:pt x="2791460" y="1003935"/>
                              </a:lnTo>
                              <a:lnTo>
                                <a:pt x="2762250" y="769620"/>
                              </a:lnTo>
                              <a:lnTo>
                                <a:pt x="2469515" y="798195"/>
                              </a:lnTo>
                              <a:lnTo>
                                <a:pt x="2418080" y="439420"/>
                              </a:lnTo>
                              <a:lnTo>
                                <a:pt x="1809750" y="476250"/>
                              </a:lnTo>
                              <a:lnTo>
                                <a:pt x="1186815" y="0"/>
                              </a:lnTo>
                              <a:close/>
                            </a:path>
                          </a:pathLst>
                        </a:cu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161.05pt;margin-top:17.95pt;height:411pt;width:360pt;z-index:251706368;mso-width-relative:page;mso-height-relative:page;" filled="f" stroked="t" coordsize="4601210,5290185" o:gfxdata="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" path="m1186815,0l0,930910,14605,3722370,1260475,3641725,1296670,4615180,2337435,5290185,3443605,3757930,3282315,3575685,4271645,2703195,3993515,2424430,4601210,1802130,3832225,1026160,2791460,1003935,2762250,769620,2469515,798195,2418080,439420,1809750,476250,1186815,0xe">
                <v:path o:connectlocs="1179280,0;0,918506;14512,3672774;1252473,3593203;1288438,4553688;2322596,5219700;3421743,3707860;3261477,3528043;4244527,2667178;3968162,2392127;4572000,1778118;3807896,1012487;2773738,990558;2744714,759365;2453837,787560;2402729,433565;1798261,469904;1179280,0" o:connectangles="0,0,0,0,0,0,0,0,0,0,0,0,0,0,0,0,0,0"/>
                <v:fill on="f" focussize="0,0"/>
                <v:stroke weight="2pt" color="#00B0F0 [3204]" joinstyle="round"/>
                <v:imagedata o:title=""/>
                <o:lock v:ext="edit" aspectratio="f"/>
              </v:shape>
            </w:pict>
          </mc:Fallback>
        </mc:AlternateContent>
      </w:r>
      <w:r>
        <w:rPr>
          <w:rFonts w:hint="eastAsia" w:ascii="Times New Roman" w:hAnsi="Times New Roman" w:eastAsia="宋体" w:cs="Times New Roman"/>
          <w:b/>
          <w:bCs/>
          <w:color w:val="auto"/>
          <w:lang w:eastAsia="zh-CN"/>
        </w:rPr>
        <w:drawing>
          <wp:anchor distT="0" distB="0" distL="114300" distR="114300" simplePos="0" relativeHeight="251702272" behindDoc="0" locked="0" layoutInCell="1" allowOverlap="1">
            <wp:simplePos x="0" y="0"/>
            <wp:positionH relativeFrom="column">
              <wp:posOffset>638175</wp:posOffset>
            </wp:positionH>
            <wp:positionV relativeFrom="paragraph">
              <wp:posOffset>-11430</wp:posOffset>
            </wp:positionV>
            <wp:extent cx="7524750" cy="5760085"/>
            <wp:effectExtent l="0" t="0" r="0" b="12065"/>
            <wp:wrapNone/>
            <wp:docPr id="138" name="图片 138" descr="屏幕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屏幕截图"/>
                    <pic:cNvPicPr>
                      <a:picLocks noChangeAspect="1"/>
                    </pic:cNvPicPr>
                  </pic:nvPicPr>
                  <pic:blipFill>
                    <a:blip r:embed="rId20"/>
                    <a:stretch>
                      <a:fillRect/>
                    </a:stretch>
                  </pic:blipFill>
                  <pic:spPr>
                    <a:xfrm>
                      <a:off x="0" y="0"/>
                      <a:ext cx="7524750" cy="5760085"/>
                    </a:xfrm>
                    <a:prstGeom prst="rect">
                      <a:avLst/>
                    </a:prstGeom>
                  </pic:spPr>
                </pic:pic>
              </a:graphicData>
            </a:graphic>
          </wp:anchor>
        </w:drawing>
      </w: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p>
    <w:p>
      <w:pPr>
        <w:pStyle w:val="2"/>
        <w:ind w:left="0" w:leftChars="0" w:firstLine="0" w:firstLineChars="0"/>
        <w:jc w:val="center"/>
        <w:rPr>
          <w:rFonts w:hint="default" w:ascii="Times New Roman" w:hAnsi="Times New Roman" w:eastAsia="宋体" w:cs="Times New Roman"/>
          <w:b/>
          <w:bCs/>
          <w:color w:val="auto"/>
        </w:rPr>
      </w:pPr>
      <w:r>
        <w:rPr>
          <w:color w:val="auto"/>
          <w:sz w:val="24"/>
        </w:rPr>
        <mc:AlternateContent>
          <mc:Choice Requires="wps">
            <w:drawing>
              <wp:anchor distT="0" distB="0" distL="114300" distR="114300" simplePos="0" relativeHeight="251707392" behindDoc="0" locked="0" layoutInCell="1" allowOverlap="1">
                <wp:simplePos x="0" y="0"/>
                <wp:positionH relativeFrom="column">
                  <wp:posOffset>5884545</wp:posOffset>
                </wp:positionH>
                <wp:positionV relativeFrom="paragraph">
                  <wp:posOffset>173990</wp:posOffset>
                </wp:positionV>
                <wp:extent cx="2270760" cy="1058545"/>
                <wp:effectExtent l="12700" t="0" r="21590" b="14605"/>
                <wp:wrapNone/>
                <wp:docPr id="141" name="矩形 141"/>
                <wp:cNvGraphicFramePr/>
                <a:graphic xmlns:a="http://schemas.openxmlformats.org/drawingml/2006/main">
                  <a:graphicData uri="http://schemas.microsoft.com/office/word/2010/wordprocessingShape">
                    <wps:wsp>
                      <wps:cNvSpPr/>
                      <wps:spPr>
                        <a:xfrm>
                          <a:off x="0" y="0"/>
                          <a:ext cx="2270760" cy="1058545"/>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项目场区</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声环境评价范围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3.35pt;margin-top:13.7pt;height:83.35pt;width:178.8pt;z-index:251707392;v-text-anchor:middle;mso-width-relative:page;mso-height-relative:page;" fillcolor="#92D050" filled="t" stroked="t" coordsize="21600,21600" o:gfxdata="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A/hKe9sAAAALAQAADwAAAAAAAAAB&#10;ACAAAAAiAAAAZHJzL2Rvd25yZXYueG1sUEsBAhQAFAAAAAgAh07iQKmZEiN/AgAADgUAAA4AAAAA&#10;AAAAAQAgAAAAKgEAAGRycy9lMm9Eb2MueG1sUEsFBgAAAAAGAAYAWQEAABsGAAAAAA==&#10;">
                <v:fill on="t" focussize="0,0"/>
                <v:stroke weight="2pt" color="#385D8A [3204]" joinstyle="round"/>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项目场区</w:t>
                      </w:r>
                    </w:p>
                    <w:p>
                      <w:pPr>
                        <w:pStyle w:val="2"/>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声环境评价范围</w:t>
                      </w:r>
                    </w:p>
                  </w:txbxContent>
                </v:textbox>
              </v:rect>
            </w:pict>
          </mc:Fallback>
        </mc:AlternateContent>
      </w:r>
      <w:r>
        <w:rPr>
          <w:sz w:val="24"/>
        </w:rPr>
        <mc:AlternateContent>
          <mc:Choice Requires="wps">
            <w:drawing>
              <wp:anchor distT="0" distB="0" distL="114300" distR="114300" simplePos="0" relativeHeight="251790336" behindDoc="0" locked="0" layoutInCell="1" allowOverlap="1">
                <wp:simplePos x="0" y="0"/>
                <wp:positionH relativeFrom="column">
                  <wp:posOffset>1206500</wp:posOffset>
                </wp:positionH>
                <wp:positionV relativeFrom="paragraph">
                  <wp:posOffset>142240</wp:posOffset>
                </wp:positionV>
                <wp:extent cx="867410" cy="657225"/>
                <wp:effectExtent l="0" t="0" r="0" b="0"/>
                <wp:wrapNone/>
                <wp:docPr id="10" name="矩形 10"/>
                <wp:cNvGraphicFramePr/>
                <a:graphic xmlns:a="http://schemas.openxmlformats.org/drawingml/2006/main">
                  <a:graphicData uri="http://schemas.microsoft.com/office/word/2010/wordprocessingShape">
                    <wps:wsp>
                      <wps:cNvSpPr/>
                      <wps:spPr>
                        <a:xfrm>
                          <a:off x="0" y="0"/>
                          <a:ext cx="867410" cy="657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ind w:left="0" w:leftChars="0" w:firstLine="0" w:firstLineChars="0"/>
                              <w:jc w:val="both"/>
                              <w:rPr>
                                <w:rFonts w:hint="eastAsia" w:eastAsia="宋体"/>
                                <w:b/>
                                <w:bCs/>
                                <w:color w:val="FF000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eastAsia="宋体"/>
                                <w:b/>
                                <w:bCs/>
                                <w:color w:val="FF000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drawing>
                                <wp:inline distT="0" distB="0" distL="114300" distR="114300">
                                  <wp:extent cx="586740" cy="540385"/>
                                  <wp:effectExtent l="0" t="0" r="3810" b="12065"/>
                                  <wp:docPr id="12" name="图片 12" descr="16227056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22705605(1)"/>
                                          <pic:cNvPicPr>
                                            <a:picLocks noChangeAspect="1"/>
                                          </pic:cNvPicPr>
                                        </pic:nvPicPr>
                                        <pic:blipFill>
                                          <a:blip r:embed="rId21"/>
                                          <a:stretch>
                                            <a:fillRect/>
                                          </a:stretch>
                                        </pic:blipFill>
                                        <pic:spPr>
                                          <a:xfrm>
                                            <a:off x="0" y="0"/>
                                            <a:ext cx="586740" cy="5403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5pt;margin-top:11.2pt;height:51.75pt;width:68.3pt;z-index:251790336;v-text-anchor:middle;mso-width-relative:page;mso-height-relative:page;" filled="f" stroked="f" coordsize="21600,21600" o:gfxdata="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8LNlidgAAAAKAQAADwAA&#10;AAAAAAABACAAAAAiAAAAZHJzL2Rvd25yZXYueG1sUEsBAhQAFAAAAAgAh07iQFkZ0sdPAgAAlwQA&#10;AA4AAAAAAAAAAQAgAAAAJwEAAGRycy9lMm9Eb2MueG1sUEsFBgAAAAAGAAYAWQEAAOgFAAAAAA==&#10;">
                <v:fill on="f" focussize="0,0"/>
                <v:stroke on="f" weight="2pt"/>
                <v:imagedata o:title=""/>
                <o:lock v:ext="edit" aspectratio="f"/>
                <v:textbox>
                  <w:txbxContent>
                    <w:p>
                      <w:pPr>
                        <w:spacing w:line="240" w:lineRule="auto"/>
                        <w:ind w:left="0" w:leftChars="0" w:firstLine="0" w:firstLineChars="0"/>
                        <w:jc w:val="both"/>
                        <w:rPr>
                          <w:rFonts w:hint="eastAsia" w:eastAsia="宋体"/>
                          <w:b/>
                          <w:bCs/>
                          <w:color w:val="FF000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eastAsia="宋体"/>
                          <w:b/>
                          <w:bCs/>
                          <w:color w:val="FF000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drawing>
                          <wp:inline distT="0" distB="0" distL="114300" distR="114300">
                            <wp:extent cx="586740" cy="540385"/>
                            <wp:effectExtent l="0" t="0" r="3810" b="12065"/>
                            <wp:docPr id="12" name="图片 12" descr="16227056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22705605(1)"/>
                                    <pic:cNvPicPr>
                                      <a:picLocks noChangeAspect="1"/>
                                    </pic:cNvPicPr>
                                  </pic:nvPicPr>
                                  <pic:blipFill>
                                    <a:blip r:embed="rId21"/>
                                    <a:stretch>
                                      <a:fillRect/>
                                    </a:stretch>
                                  </pic:blipFill>
                                  <pic:spPr>
                                    <a:xfrm>
                                      <a:off x="0" y="0"/>
                                      <a:ext cx="586740" cy="540385"/>
                                    </a:xfrm>
                                    <a:prstGeom prst="rect">
                                      <a:avLst/>
                                    </a:prstGeom>
                                  </pic:spPr>
                                </pic:pic>
                              </a:graphicData>
                            </a:graphic>
                          </wp:inline>
                        </w:drawing>
                      </w:r>
                    </w:p>
                  </w:txbxContent>
                </v:textbox>
              </v:rect>
            </w:pict>
          </mc:Fallback>
        </mc:AlternateContent>
      </w:r>
    </w:p>
    <w:p>
      <w:pPr>
        <w:pStyle w:val="2"/>
        <w:ind w:left="0" w:leftChars="0" w:firstLine="0" w:firstLineChars="0"/>
        <w:jc w:val="center"/>
        <w:rPr>
          <w:rFonts w:hint="default" w:ascii="Times New Roman" w:hAnsi="Times New Roman" w:eastAsia="宋体" w:cs="Times New Roman"/>
          <w:b/>
          <w:bCs/>
          <w:color w:val="auto"/>
        </w:rPr>
      </w:pPr>
      <w:r>
        <w:rPr>
          <w:color w:val="auto"/>
          <w:sz w:val="24"/>
        </w:rPr>
        <mc:AlternateContent>
          <mc:Choice Requires="wps">
            <w:drawing>
              <wp:anchor distT="0" distB="0" distL="114300" distR="114300" simplePos="0" relativeHeight="251708416" behindDoc="0" locked="0" layoutInCell="1" allowOverlap="1">
                <wp:simplePos x="0" y="0"/>
                <wp:positionH relativeFrom="column">
                  <wp:posOffset>6699885</wp:posOffset>
                </wp:positionH>
                <wp:positionV relativeFrom="paragraph">
                  <wp:posOffset>241300</wp:posOffset>
                </wp:positionV>
                <wp:extent cx="252095" cy="144145"/>
                <wp:effectExtent l="12700" t="12700" r="20955" b="14605"/>
                <wp:wrapNone/>
                <wp:docPr id="142" name="矩形 142"/>
                <wp:cNvGraphicFramePr/>
                <a:graphic xmlns:a="http://schemas.openxmlformats.org/drawingml/2006/main">
                  <a:graphicData uri="http://schemas.microsoft.com/office/word/2010/wordprocessingShape">
                    <wps:wsp>
                      <wps:cNvSpPr/>
                      <wps:spPr>
                        <a:xfrm>
                          <a:off x="0" y="0"/>
                          <a:ext cx="252095" cy="1441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7.55pt;margin-top:19pt;height:11.35pt;width:19.85pt;z-index:251708416;v-text-anchor:middle;mso-width-relative:page;mso-height-relative:page;" filled="f" stroked="t" coordsize="21600,21600" o:gfxdata="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r&#10;stQB2QAAAAsBAAAPAAAAAAAAAAEAIAAAACIAAABkcnMvZG93bnJldi54bWxQSwECFAAUAAAACACH&#10;TuJANwxTslwCAAC3BAAADgAAAAAAAAABACAAAAAoAQAAZHJzL2Uyb0RvYy54bWxQSwUGAAAAAAYA&#10;BgBZAQAA9gUAAAAA&#10;">
                <v:fill on="f" focussize="0,0"/>
                <v:stroke weight="2pt" color="#FF0000 [3204]" joinstyle="round"/>
                <v:imagedata o:title=""/>
                <o:lock v:ext="edit" aspectratio="f"/>
              </v:rect>
            </w:pict>
          </mc:Fallback>
        </mc:AlternateContent>
      </w:r>
    </w:p>
    <w:p>
      <w:pPr>
        <w:pStyle w:val="2"/>
        <w:ind w:left="0" w:leftChars="0" w:firstLine="0" w:firstLineChars="0"/>
        <w:jc w:val="center"/>
        <w:rPr>
          <w:rFonts w:hint="eastAsia" w:ascii="Times New Roman" w:hAnsi="Times New Roman" w:eastAsia="宋体" w:cs="Times New Roman"/>
          <w:b/>
          <w:bCs/>
          <w:color w:val="auto"/>
          <w:lang w:eastAsia="zh-CN"/>
        </w:rPr>
      </w:pPr>
      <w:r>
        <w:rPr>
          <w:color w:val="auto"/>
          <w:sz w:val="24"/>
        </w:rPr>
        <mc:AlternateContent>
          <mc:Choice Requires="wps">
            <w:drawing>
              <wp:anchor distT="0" distB="0" distL="114300" distR="114300" simplePos="0" relativeHeight="251712512" behindDoc="0" locked="0" layoutInCell="1" allowOverlap="1">
                <wp:simplePos x="0" y="0"/>
                <wp:positionH relativeFrom="column">
                  <wp:posOffset>7145020</wp:posOffset>
                </wp:positionH>
                <wp:positionV relativeFrom="paragraph">
                  <wp:posOffset>179070</wp:posOffset>
                </wp:positionV>
                <wp:extent cx="252095" cy="144145"/>
                <wp:effectExtent l="12700" t="12700" r="20955" b="14605"/>
                <wp:wrapNone/>
                <wp:docPr id="144" name="矩形 144"/>
                <wp:cNvGraphicFramePr/>
                <a:graphic xmlns:a="http://schemas.openxmlformats.org/drawingml/2006/main">
                  <a:graphicData uri="http://schemas.microsoft.com/office/word/2010/wordprocessingShape">
                    <wps:wsp>
                      <wps:cNvSpPr/>
                      <wps:spPr>
                        <a:xfrm>
                          <a:off x="0" y="0"/>
                          <a:ext cx="252095" cy="14414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62.6pt;margin-top:14.1pt;height:11.35pt;width:19.85pt;z-index:251712512;v-text-anchor:middle;mso-width-relative:page;mso-height-relative:page;" filled="f" stroked="t" coordsize="21600,21600" o:gfxdata="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5&#10;0mEd2AAAAAsBAAAPAAAAAAAAAAEAIAAAACIAAABkcnMvZG93bnJldi54bWxQSwECFAAUAAAACACH&#10;TuJA/60Lz10CAAC3BAAADgAAAAAAAAABACAAAAAnAQAAZHJzL2Uyb0RvYy54bWxQSwUGAAAAAAYA&#10;BgBZAQAA9gUAAAAA&#10;">
                <v:fill on="f" focussize="0,0"/>
                <v:stroke weight="2pt" color="#00B0F0 [3204]" joinstyle="round"/>
                <v:imagedata o:title=""/>
                <o:lock v:ext="edit" aspectratio="f"/>
              </v:rect>
            </w:pict>
          </mc:Fallback>
        </mc:AlternateContent>
      </w:r>
    </w:p>
    <w:p>
      <w:pPr>
        <w:pStyle w:val="2"/>
        <w:ind w:left="0" w:leftChars="0" w:firstLine="0" w:firstLineChars="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图2.6-1</w:t>
      </w:r>
      <w:r>
        <w:rPr>
          <w:rFonts w:hint="eastAsia" w:ascii="Times New Roman" w:hAnsi="Times New Roman" w:cs="Times New Roman"/>
          <w:b/>
          <w:bCs/>
          <w:color w:val="auto"/>
          <w:lang w:val="en-US" w:eastAsia="zh-CN"/>
        </w:rPr>
        <w:t>续</w:t>
      </w:r>
      <w:r>
        <w:rPr>
          <w:rFonts w:hint="default" w:ascii="Times New Roman" w:hAnsi="Times New Roman" w:eastAsia="宋体" w:cs="Times New Roman"/>
          <w:b/>
          <w:bCs/>
          <w:color w:val="auto"/>
        </w:rPr>
        <w:t xml:space="preserve">    项目环境保护目标及评价范围图</w:t>
      </w:r>
    </w:p>
    <w:p>
      <w:pPr>
        <w:ind w:left="0" w:leftChars="0" w:firstLine="0" w:firstLineChars="0"/>
        <w:rPr>
          <w:rFonts w:hint="default" w:ascii="Times New Roman" w:hAnsi="Times New Roman" w:eastAsia="宋体" w:cs="Times New Roman"/>
          <w:b/>
          <w:bCs/>
          <w:color w:val="auto"/>
        </w:rPr>
      </w:pPr>
      <w:r>
        <w:rPr>
          <w:rFonts w:hint="eastAsia" w:ascii="Times New Roman" w:hAnsi="Times New Roman" w:eastAsia="宋体" w:cs="Times New Roman"/>
          <w:b/>
          <w:bCs/>
          <w:color w:val="auto"/>
          <w:lang w:eastAsia="zh-CN"/>
        </w:rPr>
        <w:drawing>
          <wp:anchor distT="0" distB="0" distL="114300" distR="114300" simplePos="0" relativeHeight="251791360" behindDoc="1" locked="0" layoutInCell="1" allowOverlap="1">
            <wp:simplePos x="0" y="0"/>
            <wp:positionH relativeFrom="column">
              <wp:posOffset>573405</wp:posOffset>
            </wp:positionH>
            <wp:positionV relativeFrom="paragraph">
              <wp:posOffset>-635</wp:posOffset>
            </wp:positionV>
            <wp:extent cx="8006715" cy="5719445"/>
            <wp:effectExtent l="0" t="0" r="13335" b="33655"/>
            <wp:wrapThrough wrapText="bothSides">
              <wp:wrapPolygon>
                <wp:start x="0" y="0"/>
                <wp:lineTo x="0" y="21511"/>
                <wp:lineTo x="21533" y="21511"/>
                <wp:lineTo x="21533" y="0"/>
                <wp:lineTo x="0" y="0"/>
              </wp:wrapPolygon>
            </wp:wrapThrough>
            <wp:docPr id="14" name="图片 14" descr="土地利用类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土地利用类型图"/>
                    <pic:cNvPicPr>
                      <a:picLocks noChangeAspect="1"/>
                    </pic:cNvPicPr>
                  </pic:nvPicPr>
                  <pic:blipFill>
                    <a:blip r:embed="rId22"/>
                    <a:srcRect t="3633" b="3921"/>
                    <a:stretch>
                      <a:fillRect/>
                    </a:stretch>
                  </pic:blipFill>
                  <pic:spPr>
                    <a:xfrm>
                      <a:off x="0" y="0"/>
                      <a:ext cx="8006715" cy="5719445"/>
                    </a:xfrm>
                    <a:prstGeom prst="rect">
                      <a:avLst/>
                    </a:prstGeom>
                  </pic:spPr>
                </pic:pic>
              </a:graphicData>
            </a:graphic>
          </wp:anchor>
        </w:drawing>
      </w:r>
    </w:p>
    <w:p>
      <w:pPr>
        <w:pStyle w:val="2"/>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pPr>
    </w:p>
    <w:p>
      <w:pPr>
        <w:pStyle w:val="2"/>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pPr>
    </w:p>
    <w:p>
      <w:pPr>
        <w:pStyle w:val="2"/>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pPr>
    </w:p>
    <w:p>
      <w:pPr>
        <w:pStyle w:val="2"/>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pPr>
    </w:p>
    <w:p>
      <w:pPr>
        <w:pStyle w:val="2"/>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pPr>
    </w:p>
    <w:p>
      <w:pPr>
        <w:pStyle w:val="2"/>
        <w:rPr>
          <w:rFonts w:hint="default" w:ascii="Times New Roman" w:hAnsi="Times New Roman" w:eastAsia="宋体" w:cs="Times New Roman"/>
          <w:b/>
          <w:bCs/>
          <w:color w:val="auto"/>
        </w:rPr>
      </w:pPr>
    </w:p>
    <w:p>
      <w:pPr>
        <w:rPr>
          <w:rFonts w:hint="eastAsia" w:ascii="Times New Roman" w:hAnsi="Times New Roman" w:eastAsia="宋体" w:cs="Times New Roman"/>
          <w:b/>
          <w:bCs/>
          <w:color w:val="auto"/>
          <w:lang w:eastAsia="zh-CN"/>
        </w:rPr>
      </w:pPr>
    </w:p>
    <w:p>
      <w:pPr>
        <w:pStyle w:val="2"/>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pPr>
    </w:p>
    <w:p>
      <w:pPr>
        <w:pStyle w:val="2"/>
        <w:rPr>
          <w:rFonts w:hint="default" w:ascii="Times New Roman" w:hAnsi="Times New Roman" w:eastAsia="宋体" w:cs="Times New Roman"/>
          <w:b/>
          <w:bCs/>
          <w:color w:val="auto"/>
        </w:rPr>
      </w:pPr>
    </w:p>
    <w:p>
      <w:pPr>
        <w:pStyle w:val="2"/>
        <w:ind w:left="0" w:leftChars="0" w:firstLine="0" w:firstLineChars="0"/>
        <w:rPr>
          <w:rFonts w:hint="default"/>
        </w:rPr>
      </w:pPr>
    </w:p>
    <w:p>
      <w:pPr>
        <w:pStyle w:val="2"/>
        <w:ind w:left="0" w:leftChars="0" w:firstLine="0" w:firstLineChars="0"/>
        <w:jc w:val="center"/>
        <w:rPr>
          <w:rFonts w:hint="default"/>
        </w:rPr>
        <w:sectPr>
          <w:pgSz w:w="16839" w:h="11907" w:orient="landscape"/>
          <w:pgMar w:top="1077" w:right="1247" w:bottom="1077" w:left="1247" w:header="680" w:footer="567" w:gutter="0"/>
          <w:pgBorders>
            <w:top w:val="none" w:sz="0" w:space="0"/>
            <w:left w:val="none" w:sz="0" w:space="0"/>
            <w:bottom w:val="none" w:sz="0" w:space="0"/>
            <w:right w:val="none" w:sz="0" w:space="0"/>
          </w:pgBorders>
          <w:pgNumType w:fmt="numberInDash"/>
          <w:cols w:space="720" w:num="1"/>
          <w:docGrid w:linePitch="326" w:charSpace="0"/>
        </w:sectPr>
      </w:pPr>
      <w:r>
        <w:rPr>
          <w:rFonts w:hint="default" w:ascii="Times New Roman" w:hAnsi="Times New Roman" w:eastAsia="宋体" w:cs="Times New Roman"/>
          <w:b/>
          <w:bCs/>
          <w:color w:val="auto"/>
        </w:rPr>
        <w:t>图2.6-1</w:t>
      </w:r>
      <w:r>
        <w:rPr>
          <w:rFonts w:hint="eastAsia" w:ascii="Times New Roman" w:hAnsi="Times New Roman" w:cs="Times New Roman"/>
          <w:b/>
          <w:bCs/>
          <w:color w:val="auto"/>
          <w:lang w:val="en-US" w:eastAsia="zh-CN"/>
        </w:rPr>
        <w:t>续</w:t>
      </w:r>
      <w:r>
        <w:rPr>
          <w:rFonts w:hint="default" w:ascii="Times New Roman" w:hAnsi="Times New Roman" w:eastAsia="宋体" w:cs="Times New Roman"/>
          <w:b/>
          <w:bCs/>
          <w:color w:val="auto"/>
        </w:rPr>
        <w:t xml:space="preserve">    项目环境保护目标及评价范围图</w:t>
      </w:r>
    </w:p>
    <w:p>
      <w:pPr>
        <w:pStyle w:val="5"/>
        <w:rPr>
          <w:rFonts w:hint="default" w:ascii="Times New Roman" w:hAnsi="Times New Roman" w:eastAsia="宋体" w:cs="Times New Roman"/>
          <w:color w:val="auto"/>
        </w:rPr>
      </w:pPr>
      <w:bookmarkStart w:id="172" w:name="_Toc1582"/>
      <w:r>
        <w:rPr>
          <w:rFonts w:hint="default" w:ascii="Times New Roman" w:hAnsi="Times New Roman" w:eastAsia="宋体" w:cs="Times New Roman"/>
          <w:color w:val="auto"/>
        </w:rPr>
        <w:t>2.7项目符合性分析</w:t>
      </w:r>
      <w:bookmarkEnd w:id="172"/>
    </w:p>
    <w:p>
      <w:pPr>
        <w:pStyle w:val="6"/>
        <w:rPr>
          <w:rFonts w:hint="default" w:ascii="Times New Roman" w:hAnsi="Times New Roman" w:eastAsia="宋体" w:cs="Times New Roman"/>
          <w:color w:val="auto"/>
        </w:rPr>
      </w:pPr>
      <w:bookmarkStart w:id="173" w:name="_Toc28628"/>
      <w:r>
        <w:rPr>
          <w:rFonts w:hint="default" w:ascii="Times New Roman" w:hAnsi="Times New Roman" w:eastAsia="宋体" w:cs="Times New Roman"/>
          <w:color w:val="auto"/>
        </w:rPr>
        <w:t>2.7.1《产业结构调整指导目录（2019年本）》符合性</w:t>
      </w:r>
      <w:bookmarkEnd w:id="17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项目为</w:t>
      </w:r>
      <w:r>
        <w:rPr>
          <w:rFonts w:hint="eastAsia"/>
          <w:color w:val="auto"/>
          <w:lang w:val="en-US" w:eastAsia="zh-CN"/>
        </w:rPr>
        <w:t>规模化育肥猪养殖项目</w:t>
      </w:r>
      <w:r>
        <w:rPr>
          <w:rFonts w:hint="default" w:ascii="Times New Roman" w:hAnsi="Times New Roman" w:eastAsia="宋体" w:cs="Times New Roman"/>
          <w:color w:val="auto"/>
        </w:rPr>
        <w:t>，根据《产业结构调整指导目录（2019年本）》（国家发改委令2019年第29号），项目属于“鼓励类”第一项“农林业”中第4条“畜禽标准化规模养殖技术开发与应用”。</w:t>
      </w:r>
    </w:p>
    <w:p>
      <w:pPr>
        <w:pStyle w:val="22"/>
        <w:spacing w:after="0" w:line="500" w:lineRule="exact"/>
        <w:ind w:left="0" w:leftChars="0" w:firstLine="480"/>
        <w:rPr>
          <w:rFonts w:hint="default" w:ascii="Times New Roman" w:hAnsi="Times New Roman" w:eastAsia="宋体" w:cs="Times New Roman"/>
          <w:color w:val="auto"/>
        </w:rPr>
      </w:pPr>
      <w:r>
        <w:rPr>
          <w:rFonts w:hint="default" w:ascii="Times New Roman" w:hAnsi="Times New Roman" w:eastAsia="宋体" w:cs="Times New Roman"/>
          <w:color w:val="auto"/>
        </w:rPr>
        <w:t>对照《关于发布实施&lt;限制用地项目目录（2012年本）&gt;和&lt;禁止用地项目目录（2012年本）&gt;的通知》，该项目也不属于限制及禁止用地项目目录的范畴，且不占用耕地资源，用地符合国家产业政策。</w:t>
      </w:r>
    </w:p>
    <w:p>
      <w:pPr>
        <w:pStyle w:val="22"/>
        <w:spacing w:after="0" w:line="500" w:lineRule="exact"/>
        <w:ind w:left="0" w:leftChars="0" w:firstLine="480"/>
        <w:rPr>
          <w:rFonts w:hint="default" w:ascii="Times New Roman" w:hAnsi="Times New Roman" w:eastAsia="宋体" w:cs="Times New Roman"/>
          <w:color w:val="auto"/>
        </w:rPr>
      </w:pPr>
      <w:r>
        <w:rPr>
          <w:rFonts w:hint="default" w:ascii="Times New Roman" w:hAnsi="Times New Roman" w:eastAsia="宋体" w:cs="Times New Roman"/>
          <w:color w:val="auto"/>
        </w:rPr>
        <w:t>因此，本项目的实施符合国家现行产业政策要求。</w:t>
      </w:r>
    </w:p>
    <w:p>
      <w:pPr>
        <w:pStyle w:val="6"/>
        <w:rPr>
          <w:rFonts w:hint="default" w:ascii="Times New Roman" w:hAnsi="Times New Roman" w:eastAsia="宋体" w:cs="Times New Roman"/>
          <w:color w:val="auto"/>
        </w:rPr>
      </w:pPr>
      <w:bookmarkStart w:id="174" w:name="_Toc12385"/>
      <w:r>
        <w:rPr>
          <w:rFonts w:hint="default" w:ascii="Times New Roman" w:hAnsi="Times New Roman" w:eastAsia="宋体" w:cs="Times New Roman"/>
          <w:color w:val="auto"/>
        </w:rPr>
        <w:t>2.7.2相关法律、法规的符合性</w:t>
      </w:r>
      <w:bookmarkEnd w:id="174"/>
    </w:p>
    <w:p>
      <w:pPr>
        <w:pStyle w:val="22"/>
        <w:spacing w:after="0" w:line="500" w:lineRule="exact"/>
        <w:ind w:left="0" w:leftChars="0"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本项目与目前我国有关畜禽养殖污染物防治的法律法规符合性分析见表2.7-1。</w:t>
      </w:r>
    </w:p>
    <w:p>
      <w:pPr>
        <w:pStyle w:val="6"/>
        <w:rPr>
          <w:rFonts w:hint="default" w:ascii="Times New Roman" w:hAnsi="Times New Roman" w:eastAsia="宋体" w:cs="Times New Roman"/>
          <w:color w:val="auto"/>
        </w:rPr>
      </w:pPr>
      <w:bookmarkStart w:id="175" w:name="_Toc171"/>
      <w:r>
        <w:rPr>
          <w:rFonts w:hint="default" w:ascii="Times New Roman" w:hAnsi="Times New Roman" w:eastAsia="宋体" w:cs="Times New Roman"/>
          <w:color w:val="auto"/>
        </w:rPr>
        <w:t>2.7.3相关规范符合性分析</w:t>
      </w:r>
      <w:bookmarkEnd w:id="17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本项目与目前我国有关畜禽养殖污染物防治的相关规范符合性分析见表2.7-2。</w:t>
      </w:r>
    </w:p>
    <w:p>
      <w:pPr>
        <w:pStyle w:val="6"/>
        <w:rPr>
          <w:rFonts w:hint="default" w:ascii="Times New Roman" w:hAnsi="Times New Roman" w:eastAsia="宋体" w:cs="Times New Roman"/>
          <w:color w:val="auto"/>
        </w:rPr>
      </w:pPr>
      <w:bookmarkStart w:id="176" w:name="_Toc31405"/>
      <w:r>
        <w:rPr>
          <w:rFonts w:hint="default" w:ascii="Times New Roman" w:hAnsi="Times New Roman" w:eastAsia="宋体" w:cs="Times New Roman"/>
          <w:color w:val="auto"/>
        </w:rPr>
        <w:t>2.7.4相关政策符合性分析</w:t>
      </w:r>
      <w:bookmarkEnd w:id="17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本项目的建设与目前我国有关畜禽养殖污染物防治的政策符合性分析见表2.7-3。</w:t>
      </w:r>
    </w:p>
    <w:p>
      <w:pPr>
        <w:pStyle w:val="6"/>
        <w:rPr>
          <w:rFonts w:hint="default" w:ascii="Times New Roman" w:hAnsi="Times New Roman" w:eastAsia="宋体" w:cs="Times New Roman"/>
          <w:color w:val="auto"/>
        </w:rPr>
      </w:pPr>
      <w:bookmarkStart w:id="177" w:name="_Toc10745"/>
      <w:r>
        <w:rPr>
          <w:rFonts w:hint="default" w:ascii="Times New Roman" w:hAnsi="Times New Roman" w:eastAsia="宋体" w:cs="Times New Roman"/>
          <w:color w:val="auto"/>
        </w:rPr>
        <w:t>2.7.5相关规划符合性分析</w:t>
      </w:r>
      <w:bookmarkEnd w:id="177"/>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本项目与相关规划的符合性分析见表2.7-4。</w:t>
      </w:r>
    </w:p>
    <w:p>
      <w:pPr>
        <w:pStyle w:val="22"/>
        <w:spacing w:after="0" w:line="500" w:lineRule="exact"/>
        <w:ind w:left="0" w:leftChars="0" w:firstLine="480"/>
        <w:rPr>
          <w:rFonts w:hint="default" w:ascii="Times New Roman" w:hAnsi="Times New Roman" w:eastAsia="宋体" w:cs="Times New Roman"/>
          <w:color w:val="auto"/>
        </w:rPr>
      </w:pPr>
    </w:p>
    <w:p>
      <w:pPr>
        <w:pStyle w:val="22"/>
        <w:spacing w:after="0" w:line="500" w:lineRule="exact"/>
        <w:ind w:left="0" w:leftChars="0" w:firstLine="480"/>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表2.7-1    本项目建设与畜禽养殖污染防治的相关法律法规符合性分析</w:t>
      </w:r>
    </w:p>
    <w:tbl>
      <w:tblPr>
        <w:tblStyle w:val="3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6411"/>
        <w:gridCol w:w="5637"/>
        <w:gridCol w:w="67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政策法规</w:t>
            </w: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相关条款及规定</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符合性分析</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《中华人民共和国水污染防治法》（2017）</w:t>
            </w: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国家支持畜禽养殖场、养殖小区建设畜禽粪便、废水的综合利用或者无害化处理设施。</w:t>
            </w:r>
          </w:p>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畜禽养殖场、养殖小区应当保证其畜禽粪便、废水的综合利用或者无害化处理设施正常运转，保证污水达标排放，防止污染水环境。</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项目产生的</w:t>
            </w:r>
            <w:r>
              <w:rPr>
                <w:rFonts w:hint="eastAsia" w:cs="Times New Roman"/>
                <w:color w:val="auto"/>
                <w:sz w:val="21"/>
                <w:szCs w:val="21"/>
                <w:lang w:val="en-US" w:eastAsia="zh-CN"/>
              </w:rPr>
              <w:t>养殖废水（猪尿、</w:t>
            </w:r>
            <w:r>
              <w:rPr>
                <w:rFonts w:hint="eastAsia" w:cs="Times New Roman"/>
                <w:color w:val="FF0000"/>
                <w:sz w:val="21"/>
                <w:szCs w:val="21"/>
                <w:lang w:eastAsia="zh-CN"/>
              </w:rPr>
              <w:t>猪舍粪污管道冲洗废水</w:t>
            </w:r>
            <w:r>
              <w:rPr>
                <w:rFonts w:hint="eastAsia" w:cs="Times New Roman"/>
                <w:color w:val="auto"/>
                <w:sz w:val="21"/>
                <w:szCs w:val="21"/>
                <w:lang w:eastAsia="zh-CN"/>
              </w:rPr>
              <w:t>、</w:t>
            </w:r>
            <w:r>
              <w:rPr>
                <w:rFonts w:hint="eastAsia" w:cs="Times New Roman"/>
                <w:color w:val="auto"/>
                <w:sz w:val="21"/>
                <w:szCs w:val="21"/>
                <w:lang w:val="en-US" w:eastAsia="zh-CN"/>
              </w:rPr>
              <w:t>员工生活污水）经氧化塘处理后，</w:t>
            </w:r>
            <w:r>
              <w:rPr>
                <w:rFonts w:hint="default" w:ascii="Times New Roman" w:hAnsi="Times New Roman" w:eastAsia="宋体" w:cs="Times New Roman"/>
                <w:color w:val="auto"/>
                <w:sz w:val="21"/>
                <w:szCs w:val="21"/>
              </w:rPr>
              <w:t>全部用于场区周边配套的农田施肥</w:t>
            </w:r>
            <w:r>
              <w:rPr>
                <w:rFonts w:hint="eastAsia" w:ascii="Times New Roman" w:hAnsi="Times New Roman" w:cs="Times New Roman"/>
                <w:color w:val="auto"/>
                <w:sz w:val="21"/>
                <w:szCs w:val="21"/>
                <w:lang w:eastAsia="zh-CN"/>
              </w:rPr>
              <w:t>；</w:t>
            </w:r>
          </w:p>
          <w:p>
            <w:pPr>
              <w:pStyle w:val="58"/>
              <w:keepNext w:val="0"/>
              <w:keepLines w:val="0"/>
              <w:pageBreakBefore w:val="0"/>
              <w:widowControl w:val="0"/>
              <w:kinsoku/>
              <w:wordWrap/>
              <w:overflowPunct/>
              <w:topLinePunct/>
              <w:autoSpaceDE w:val="0"/>
              <w:autoSpaceDN/>
              <w:bidi w:val="0"/>
              <w:adjustRightInd/>
              <w:snapToGrid/>
              <w:textAlignment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猪</w:t>
            </w:r>
            <w:r>
              <w:rPr>
                <w:rFonts w:hint="eastAsia" w:cs="Times New Roman"/>
                <w:color w:val="auto"/>
                <w:sz w:val="21"/>
                <w:szCs w:val="21"/>
                <w:lang w:eastAsia="zh-CN"/>
              </w:rPr>
              <w:t>粪便出售有机肥生产厂家进行资源化利用</w:t>
            </w:r>
            <w:r>
              <w:rPr>
                <w:rFonts w:hint="eastAsia"/>
                <w:color w:val="auto"/>
                <w:sz w:val="21"/>
                <w:szCs w:val="21"/>
                <w:lang w:eastAsia="zh-CN"/>
              </w:rPr>
              <w:t>。</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《中华人民共和国固体废物污染环境防治法》（20</w:t>
            </w:r>
            <w:r>
              <w:rPr>
                <w:rFonts w:hint="eastAsia" w:cs="Times New Roman"/>
                <w:color w:val="auto"/>
                <w:sz w:val="21"/>
                <w:szCs w:val="21"/>
                <w:highlight w:val="none"/>
                <w:lang w:val="en-US" w:eastAsia="zh-CN"/>
              </w:rPr>
              <w:t>20</w:t>
            </w:r>
            <w:r>
              <w:rPr>
                <w:rFonts w:hint="default" w:ascii="Times New Roman" w:hAnsi="Times New Roman" w:eastAsia="宋体" w:cs="Times New Roman"/>
                <w:color w:val="auto"/>
                <w:sz w:val="21"/>
                <w:szCs w:val="21"/>
                <w:highlight w:val="none"/>
              </w:rPr>
              <w:t>）</w:t>
            </w: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从事畜禽规模养殖应按照国家有关规定收集、贮存、利用或者处理养殖过程中产生的粪便，防止污染环境。</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w:t>
            </w:r>
            <w:r>
              <w:rPr>
                <w:rFonts w:hint="eastAsia" w:ascii="Times New Roman" w:hAnsi="Times New Roman" w:cs="Times New Roman"/>
                <w:color w:val="auto"/>
                <w:sz w:val="21"/>
                <w:szCs w:val="21"/>
                <w:lang w:val="en-US" w:eastAsia="zh-CN"/>
              </w:rPr>
              <w:t>猪</w:t>
            </w:r>
            <w:r>
              <w:rPr>
                <w:rFonts w:hint="eastAsia" w:cs="Times New Roman"/>
                <w:color w:val="auto"/>
                <w:sz w:val="21"/>
                <w:szCs w:val="21"/>
                <w:lang w:eastAsia="zh-CN"/>
              </w:rPr>
              <w:t>粪便出售有机肥生产厂家进行资源化利用</w:t>
            </w:r>
            <w:r>
              <w:rPr>
                <w:rFonts w:hint="default" w:ascii="Times New Roman" w:hAnsi="Times New Roman" w:eastAsia="宋体" w:cs="Times New Roman"/>
                <w:color w:val="auto"/>
                <w:sz w:val="21"/>
                <w:szCs w:val="21"/>
              </w:rPr>
              <w:t>。</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《中华人民共和国畜牧法》（2015）</w:t>
            </w: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畜禽养殖场、养殖小区应当保证畜禽粪便、废水及其他固体废弃物综合利用或者无害化处理设施的正常运转，保证污染物达标排放，防止污染环境。</w:t>
            </w:r>
          </w:p>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禁止在生活饮用水的水源保护区，风景名胜区，以及自然保护区的核心区和缓冲区；城镇居民区、文化教育科学研究区等人口集中区域；法律法规规定的其他禁养区域内建设畜禽养殖场、养殖小区。</w:t>
            </w:r>
          </w:p>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省级人民政府根据本行政区域畜牧业发展状况制定畜禽养殖场、养殖小区的规模标准和备案程序。</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项目产生的</w:t>
            </w:r>
            <w:r>
              <w:rPr>
                <w:rFonts w:hint="eastAsia" w:cs="Times New Roman"/>
                <w:color w:val="auto"/>
                <w:sz w:val="21"/>
                <w:szCs w:val="21"/>
                <w:lang w:val="en-US" w:eastAsia="zh-CN"/>
              </w:rPr>
              <w:t>养殖废水（猪尿、</w:t>
            </w:r>
            <w:r>
              <w:rPr>
                <w:rFonts w:hint="eastAsia" w:cs="Times New Roman"/>
                <w:color w:val="FF0000"/>
                <w:sz w:val="21"/>
                <w:szCs w:val="21"/>
                <w:lang w:eastAsia="zh-CN"/>
              </w:rPr>
              <w:t>猪舍粪污管道冲洗废水</w:t>
            </w:r>
            <w:r>
              <w:rPr>
                <w:rFonts w:hint="eastAsia" w:cs="Times New Roman"/>
                <w:color w:val="auto"/>
                <w:sz w:val="21"/>
                <w:szCs w:val="21"/>
                <w:lang w:eastAsia="zh-CN"/>
              </w:rPr>
              <w:t>、</w:t>
            </w:r>
            <w:r>
              <w:rPr>
                <w:rFonts w:hint="eastAsia" w:ascii="Times New Roman" w:hAnsi="Times New Roman" w:cs="Times New Roman"/>
                <w:color w:val="auto"/>
                <w:sz w:val="21"/>
                <w:szCs w:val="21"/>
                <w:lang w:val="en-US" w:eastAsia="zh-CN"/>
              </w:rPr>
              <w:t>员工生活污水</w:t>
            </w:r>
            <w:r>
              <w:rPr>
                <w:rFonts w:hint="eastAsia" w:cs="Times New Roman"/>
                <w:color w:val="auto"/>
                <w:sz w:val="21"/>
                <w:szCs w:val="21"/>
                <w:lang w:val="en-US" w:eastAsia="zh-CN"/>
              </w:rPr>
              <w:t>）经氧化塘发酵处理后，</w:t>
            </w:r>
            <w:r>
              <w:rPr>
                <w:rFonts w:hint="default" w:ascii="Times New Roman" w:hAnsi="Times New Roman" w:eastAsia="宋体" w:cs="Times New Roman"/>
                <w:color w:val="auto"/>
                <w:sz w:val="21"/>
                <w:szCs w:val="21"/>
              </w:rPr>
              <w:t>全部用于场区周边配套的农田施肥</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猪</w:t>
            </w:r>
            <w:r>
              <w:rPr>
                <w:rFonts w:hint="eastAsia" w:cs="Times New Roman"/>
                <w:color w:val="auto"/>
                <w:sz w:val="21"/>
                <w:szCs w:val="21"/>
                <w:lang w:eastAsia="zh-CN"/>
              </w:rPr>
              <w:t>粪便出售有机肥生产厂家进行资源化利用</w:t>
            </w:r>
            <w:r>
              <w:rPr>
                <w:rFonts w:hint="default" w:ascii="Times New Roman" w:hAnsi="Times New Roman" w:eastAsia="宋体" w:cs="Times New Roman"/>
                <w:color w:val="auto"/>
                <w:sz w:val="21"/>
                <w:szCs w:val="21"/>
              </w:rPr>
              <w:t>；</w:t>
            </w:r>
          </w:p>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项目选址不在生活饮用水的水源保护区，风景名胜区，以及自然保护区的核心区和缓冲区</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城镇居民区、文化教育科学研究区等人口集中区域</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法律法规规定的其他禁养区域内建设畜禽养殖场、养殖小区。</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《中华人民共和国农业法》（2013修正）</w:t>
            </w: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从事畜禽规模养殖的单位和个人应对粪便、废水及废弃物进行无害化处理或者综合利用。</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项目产生的</w:t>
            </w:r>
            <w:r>
              <w:rPr>
                <w:rFonts w:hint="eastAsia" w:cs="Times New Roman"/>
                <w:color w:val="auto"/>
                <w:sz w:val="21"/>
                <w:szCs w:val="21"/>
                <w:lang w:val="en-US" w:eastAsia="zh-CN"/>
              </w:rPr>
              <w:t>养殖废水（猪尿、</w:t>
            </w:r>
            <w:r>
              <w:rPr>
                <w:rFonts w:hint="eastAsia" w:cs="Times New Roman"/>
                <w:color w:val="FF0000"/>
                <w:sz w:val="21"/>
                <w:szCs w:val="21"/>
                <w:lang w:eastAsia="zh-CN"/>
              </w:rPr>
              <w:t>猪舍粪污管道冲洗废水</w:t>
            </w:r>
            <w:r>
              <w:rPr>
                <w:rFonts w:hint="eastAsia" w:cs="Times New Roman"/>
                <w:color w:val="auto"/>
                <w:sz w:val="21"/>
                <w:szCs w:val="21"/>
                <w:lang w:eastAsia="zh-CN"/>
              </w:rPr>
              <w:t>、</w:t>
            </w:r>
            <w:r>
              <w:rPr>
                <w:rFonts w:hint="eastAsia" w:ascii="Times New Roman" w:hAnsi="Times New Roman" w:cs="Times New Roman"/>
                <w:color w:val="auto"/>
                <w:sz w:val="21"/>
                <w:szCs w:val="21"/>
                <w:lang w:val="en-US" w:eastAsia="zh-CN"/>
              </w:rPr>
              <w:t>员工生活污水</w:t>
            </w:r>
            <w:r>
              <w:rPr>
                <w:rFonts w:hint="eastAsia" w:cs="Times New Roman"/>
                <w:color w:val="auto"/>
                <w:sz w:val="21"/>
                <w:szCs w:val="21"/>
                <w:lang w:val="en-US" w:eastAsia="zh-CN"/>
              </w:rPr>
              <w:t>）经氧化塘发酵处理后，</w:t>
            </w:r>
            <w:r>
              <w:rPr>
                <w:rFonts w:hint="default" w:ascii="Times New Roman" w:hAnsi="Times New Roman" w:eastAsia="宋体" w:cs="Times New Roman"/>
                <w:color w:val="auto"/>
                <w:sz w:val="21"/>
                <w:szCs w:val="21"/>
              </w:rPr>
              <w:t>全部用于场区周边配套的农田施肥</w:t>
            </w:r>
            <w:r>
              <w:rPr>
                <w:rFonts w:hint="eastAsia" w:ascii="Times New Roman" w:hAnsi="Times New Roman" w:cs="Times New Roman"/>
                <w:color w:val="auto"/>
                <w:sz w:val="21"/>
                <w:szCs w:val="21"/>
                <w:lang w:eastAsia="zh-CN"/>
              </w:rPr>
              <w:t>；</w:t>
            </w:r>
          </w:p>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eastAsia" w:ascii="Times New Roman" w:hAnsi="Times New Roman" w:cs="Times New Roman"/>
                <w:color w:val="auto"/>
                <w:sz w:val="21"/>
                <w:szCs w:val="21"/>
                <w:lang w:val="en-US" w:eastAsia="zh-CN"/>
              </w:rPr>
              <w:t>猪</w:t>
            </w:r>
            <w:r>
              <w:rPr>
                <w:rFonts w:hint="eastAsia" w:cs="Times New Roman"/>
                <w:color w:val="auto"/>
                <w:sz w:val="21"/>
                <w:szCs w:val="21"/>
                <w:lang w:eastAsia="zh-CN"/>
              </w:rPr>
              <w:t>粪便出售有机肥生产厂家进行资源化利用</w:t>
            </w:r>
            <w:r>
              <w:rPr>
                <w:rFonts w:hint="default" w:ascii="Times New Roman" w:hAnsi="Times New Roman" w:eastAsia="宋体" w:cs="Times New Roman"/>
                <w:color w:val="auto"/>
                <w:sz w:val="21"/>
                <w:szCs w:val="21"/>
              </w:rPr>
              <w:t>；均</w:t>
            </w:r>
            <w:r>
              <w:rPr>
                <w:rFonts w:hint="eastAsia" w:cs="Times New Roman"/>
                <w:color w:val="auto"/>
                <w:sz w:val="21"/>
                <w:szCs w:val="21"/>
                <w:lang w:val="en-US" w:eastAsia="zh-CN"/>
              </w:rPr>
              <w:t>进行</w:t>
            </w:r>
            <w:r>
              <w:rPr>
                <w:rFonts w:hint="default" w:ascii="Times New Roman" w:hAnsi="Times New Roman" w:eastAsia="宋体" w:cs="Times New Roman"/>
                <w:color w:val="auto"/>
                <w:sz w:val="21"/>
                <w:szCs w:val="21"/>
              </w:rPr>
              <w:t>无害化处理还田，符合要求。</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restart"/>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《畜禽规模养殖污染防治条例》（国务院令第643号）</w:t>
            </w: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十一条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（一）项目建设区域</w:t>
            </w:r>
            <w:r>
              <w:rPr>
                <w:rFonts w:hint="default" w:ascii="Times New Roman" w:hAnsi="Times New Roman" w:eastAsia="宋体" w:cs="Times New Roman"/>
                <w:color w:val="auto"/>
                <w:sz w:val="21"/>
                <w:szCs w:val="21"/>
                <w:lang w:eastAsia="zh-CN"/>
              </w:rPr>
              <w:t>不在</w:t>
            </w:r>
            <w:r>
              <w:rPr>
                <w:rFonts w:hint="default" w:ascii="Times New Roman" w:hAnsi="Times New Roman" w:eastAsia="宋体" w:cs="Times New Roman"/>
                <w:color w:val="auto"/>
                <w:sz w:val="21"/>
                <w:szCs w:val="21"/>
              </w:rPr>
              <w:t>饮用水水源保护区</w:t>
            </w:r>
            <w:r>
              <w:rPr>
                <w:rFonts w:hint="eastAsia" w:ascii="Times New Roman" w:hAnsi="Times New Roman" w:cs="Times New Roman"/>
                <w:color w:val="auto"/>
                <w:sz w:val="21"/>
                <w:szCs w:val="21"/>
                <w:lang w:eastAsia="zh-CN"/>
              </w:rPr>
              <w:t>，</w:t>
            </w:r>
            <w:r>
              <w:rPr>
                <w:rFonts w:hint="default" w:ascii="Times New Roman" w:hAnsi="Times New Roman" w:eastAsia="宋体" w:cs="Times New Roman"/>
                <w:color w:val="auto"/>
                <w:sz w:val="21"/>
                <w:szCs w:val="21"/>
              </w:rPr>
              <w:t>风景名胜区范围内</w:t>
            </w:r>
          </w:p>
          <w:p>
            <w:pPr>
              <w:pStyle w:val="58"/>
              <w:keepNext w:val="0"/>
              <w:keepLines w:val="0"/>
              <w:pageBreakBefore w:val="0"/>
              <w:widowControl w:val="0"/>
              <w:kinsoku/>
              <w:wordWrap/>
              <w:overflowPunct/>
              <w:topLinePunct/>
              <w:autoSpaceDE w:val="0"/>
              <w:autoSpaceDN/>
              <w:bidi w:val="0"/>
              <w:adjustRightInd/>
              <w:snapToGrid/>
              <w:textAlignment w:val="center"/>
              <w:rPr>
                <w:rFonts w:hint="eastAsia" w:cs="Times New Roman"/>
                <w:color w:val="auto"/>
                <w:sz w:val="21"/>
                <w:szCs w:val="21"/>
                <w:lang w:eastAsia="zh-CN"/>
              </w:rPr>
            </w:pPr>
            <w:r>
              <w:rPr>
                <w:rFonts w:hint="default" w:ascii="Times New Roman" w:hAnsi="Times New Roman" w:eastAsia="宋体" w:cs="Times New Roman"/>
                <w:color w:val="auto"/>
                <w:sz w:val="21"/>
                <w:szCs w:val="21"/>
              </w:rPr>
              <w:t>（</w:t>
            </w:r>
            <w:r>
              <w:rPr>
                <w:rFonts w:hint="eastAsia" w:ascii="Times New Roman" w:hAnsi="Times New Roman" w:cs="Times New Roman"/>
                <w:color w:val="auto"/>
                <w:sz w:val="21"/>
                <w:szCs w:val="21"/>
                <w:lang w:val="en-US" w:eastAsia="zh-CN"/>
              </w:rPr>
              <w:t>二</w:t>
            </w:r>
            <w:r>
              <w:rPr>
                <w:rFonts w:hint="default" w:ascii="Times New Roman" w:hAnsi="Times New Roman" w:eastAsia="宋体" w:cs="Times New Roman"/>
                <w:color w:val="auto"/>
                <w:sz w:val="21"/>
                <w:szCs w:val="21"/>
              </w:rPr>
              <w:t>）项目建设区域</w:t>
            </w:r>
            <w:r>
              <w:rPr>
                <w:rFonts w:hint="default" w:ascii="Times New Roman" w:hAnsi="Times New Roman" w:eastAsia="宋体" w:cs="Times New Roman"/>
                <w:color w:val="auto"/>
                <w:sz w:val="21"/>
                <w:szCs w:val="21"/>
                <w:lang w:eastAsia="zh-CN"/>
              </w:rPr>
              <w:t>不在</w:t>
            </w:r>
            <w:r>
              <w:rPr>
                <w:rFonts w:hint="default" w:ascii="Times New Roman" w:hAnsi="Times New Roman" w:eastAsia="宋体" w:cs="Times New Roman"/>
                <w:color w:val="auto"/>
                <w:sz w:val="21"/>
                <w:szCs w:val="21"/>
              </w:rPr>
              <w:t>自然保护区的核心区和缓冲区</w:t>
            </w:r>
            <w:r>
              <w:rPr>
                <w:rFonts w:hint="default" w:ascii="Times New Roman" w:hAnsi="Times New Roman" w:eastAsia="宋体" w:cs="Times New Roman"/>
                <w:color w:val="auto"/>
                <w:sz w:val="21"/>
                <w:szCs w:val="21"/>
                <w:lang w:eastAsia="zh-CN"/>
              </w:rPr>
              <w:t>内</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w:t>
            </w:r>
            <w:r>
              <w:rPr>
                <w:rFonts w:hint="eastAsia" w:ascii="Times New Roman" w:hAnsi="Times New Roman" w:cs="Times New Roman"/>
                <w:color w:val="auto"/>
                <w:sz w:val="21"/>
                <w:szCs w:val="21"/>
                <w:lang w:val="en-US" w:eastAsia="zh-CN"/>
              </w:rPr>
              <w:t>三</w:t>
            </w:r>
            <w:r>
              <w:rPr>
                <w:rFonts w:hint="default" w:ascii="Times New Roman" w:hAnsi="Times New Roman" w:eastAsia="宋体" w:cs="Times New Roman"/>
                <w:color w:val="auto"/>
                <w:sz w:val="21"/>
                <w:szCs w:val="21"/>
              </w:rPr>
              <w:t>）项目位于农村地区，也不在城镇居民区、文化教育科学研究区等人口集中区域</w:t>
            </w:r>
            <w:r>
              <w:rPr>
                <w:rFonts w:hint="eastAsia" w:cs="Times New Roman"/>
                <w:color w:val="auto"/>
                <w:sz w:val="21"/>
                <w:szCs w:val="21"/>
                <w:lang w:eastAsia="zh-CN"/>
              </w:rPr>
              <w:t>；</w:t>
            </w:r>
          </w:p>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eastAsia" w:ascii="Times New Roman" w:hAnsi="Times New Roman" w:cs="Times New Roman"/>
                <w:color w:val="auto"/>
                <w:sz w:val="21"/>
                <w:szCs w:val="21"/>
                <w:lang w:val="en-US" w:eastAsia="zh-CN"/>
              </w:rPr>
              <w:t>四</w:t>
            </w:r>
            <w:r>
              <w:rPr>
                <w:rFonts w:hint="default" w:ascii="Times New Roman" w:hAnsi="Times New Roman" w:eastAsia="宋体" w:cs="Times New Roman"/>
                <w:color w:val="auto"/>
                <w:sz w:val="21"/>
                <w:szCs w:val="21"/>
              </w:rPr>
              <w:t>）项目建设区域不在</w:t>
            </w:r>
            <w:r>
              <w:rPr>
                <w:rFonts w:hint="eastAsia" w:cs="Times New Roman"/>
                <w:color w:val="auto"/>
                <w:sz w:val="21"/>
                <w:szCs w:val="21"/>
                <w:lang w:val="en-US" w:eastAsia="zh-CN"/>
              </w:rPr>
              <w:t>五原县</w:t>
            </w:r>
            <w:r>
              <w:rPr>
                <w:rFonts w:hint="default" w:ascii="Times New Roman" w:hAnsi="Times New Roman" w:eastAsia="宋体" w:cs="Times New Roman"/>
                <w:color w:val="auto"/>
                <w:sz w:val="21"/>
                <w:szCs w:val="21"/>
              </w:rPr>
              <w:t>禁养区范围内。</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项目全场采取雨污分流，设置</w:t>
            </w:r>
            <w:r>
              <w:rPr>
                <w:rFonts w:hint="eastAsia" w:cs="Times New Roman"/>
                <w:color w:val="auto"/>
                <w:sz w:val="21"/>
                <w:szCs w:val="21"/>
                <w:lang w:eastAsia="zh-CN"/>
              </w:rPr>
              <w:t>晾粪台</w:t>
            </w:r>
            <w:r>
              <w:rPr>
                <w:rFonts w:hint="default" w:ascii="Times New Roman" w:hAnsi="Times New Roman" w:eastAsia="宋体" w:cs="Times New Roman"/>
                <w:color w:val="auto"/>
                <w:sz w:val="21"/>
                <w:szCs w:val="21"/>
              </w:rPr>
              <w:t>、氧化塘等粪污处理设施。</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第十五条国家鼓励和支持采取粪肥还田、制取沼气、制造有机肥等方法，对畜禽养殖废弃物进行综合利用。</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项目产生的</w:t>
            </w:r>
            <w:r>
              <w:rPr>
                <w:rFonts w:hint="eastAsia" w:cs="Times New Roman"/>
                <w:color w:val="auto"/>
                <w:sz w:val="21"/>
                <w:szCs w:val="21"/>
                <w:lang w:val="en-US" w:eastAsia="zh-CN"/>
              </w:rPr>
              <w:t>养殖废水（猪尿、</w:t>
            </w:r>
            <w:r>
              <w:rPr>
                <w:rFonts w:hint="eastAsia" w:cs="Times New Roman"/>
                <w:color w:val="FF0000"/>
                <w:sz w:val="21"/>
                <w:szCs w:val="21"/>
                <w:lang w:eastAsia="zh-CN"/>
              </w:rPr>
              <w:t>猪舍粪污管道冲洗废水</w:t>
            </w:r>
            <w:r>
              <w:rPr>
                <w:rFonts w:hint="eastAsia" w:cs="Times New Roman"/>
                <w:color w:val="auto"/>
                <w:sz w:val="21"/>
                <w:szCs w:val="21"/>
                <w:lang w:eastAsia="zh-CN"/>
              </w:rPr>
              <w:t>、</w:t>
            </w:r>
            <w:r>
              <w:rPr>
                <w:rFonts w:hint="eastAsia" w:ascii="Times New Roman" w:hAnsi="Times New Roman" w:cs="Times New Roman"/>
                <w:color w:val="auto"/>
                <w:sz w:val="21"/>
                <w:szCs w:val="21"/>
                <w:lang w:val="en-US" w:eastAsia="zh-CN"/>
              </w:rPr>
              <w:t>员工生活污水</w:t>
            </w:r>
            <w:r>
              <w:rPr>
                <w:rFonts w:hint="eastAsia" w:cs="Times New Roman"/>
                <w:color w:val="auto"/>
                <w:sz w:val="21"/>
                <w:szCs w:val="21"/>
                <w:lang w:val="en-US" w:eastAsia="zh-CN"/>
              </w:rPr>
              <w:t>）经氧化塘发酵处理后，</w:t>
            </w:r>
            <w:r>
              <w:rPr>
                <w:rFonts w:hint="default" w:ascii="Times New Roman" w:hAnsi="Times New Roman" w:eastAsia="宋体" w:cs="Times New Roman"/>
                <w:color w:val="auto"/>
                <w:sz w:val="21"/>
                <w:szCs w:val="21"/>
              </w:rPr>
              <w:t>全部用于场区周边配套的农田施肥</w:t>
            </w:r>
            <w:r>
              <w:rPr>
                <w:rFonts w:hint="eastAsia" w:ascii="Times New Roman" w:hAnsi="Times New Roman" w:cs="Times New Roman"/>
                <w:color w:val="auto"/>
                <w:sz w:val="21"/>
                <w:szCs w:val="21"/>
                <w:lang w:eastAsia="zh-CN"/>
              </w:rPr>
              <w:t>；</w:t>
            </w:r>
          </w:p>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eastAsia" w:ascii="Times New Roman" w:hAnsi="Times New Roman" w:cs="Times New Roman"/>
                <w:color w:val="auto"/>
                <w:sz w:val="21"/>
                <w:szCs w:val="21"/>
                <w:lang w:val="en-US" w:eastAsia="zh-CN"/>
              </w:rPr>
              <w:t>猪</w:t>
            </w:r>
            <w:r>
              <w:rPr>
                <w:rFonts w:hint="eastAsia" w:cs="Times New Roman"/>
                <w:color w:val="auto"/>
                <w:sz w:val="21"/>
                <w:szCs w:val="21"/>
                <w:lang w:eastAsia="zh-CN"/>
              </w:rPr>
              <w:t>粪便出售有机肥生产厂家进行资源化利用</w:t>
            </w:r>
            <w:r>
              <w:rPr>
                <w:rFonts w:hint="default" w:ascii="Times New Roman" w:hAnsi="Times New Roman" w:eastAsia="宋体" w:cs="Times New Roman"/>
                <w:color w:val="auto"/>
                <w:sz w:val="21"/>
                <w:szCs w:val="21"/>
              </w:rPr>
              <w:t>。</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p>
        </w:tc>
        <w:tc>
          <w:tcPr>
            <w:tcW w:w="6411"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第十六条国家鼓励和支持采取种植和养殖相结合的方式消纳利用畜禽养殖废弃物，促进畜禽粪便、污水等废弃物就地就近利用。</w:t>
            </w:r>
          </w:p>
        </w:tc>
        <w:tc>
          <w:tcPr>
            <w:tcW w:w="5637"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项目产生的</w:t>
            </w:r>
            <w:r>
              <w:rPr>
                <w:rFonts w:hint="eastAsia" w:cs="Times New Roman"/>
                <w:color w:val="auto"/>
                <w:sz w:val="21"/>
                <w:szCs w:val="21"/>
                <w:lang w:val="en-US" w:eastAsia="zh-CN"/>
              </w:rPr>
              <w:t>养殖废水（猪尿、</w:t>
            </w:r>
            <w:r>
              <w:rPr>
                <w:rFonts w:hint="eastAsia" w:cs="Times New Roman"/>
                <w:color w:val="FF0000"/>
                <w:sz w:val="21"/>
                <w:szCs w:val="21"/>
                <w:lang w:eastAsia="zh-CN"/>
              </w:rPr>
              <w:t>猪舍粪污管道冲洗废水</w:t>
            </w:r>
            <w:r>
              <w:rPr>
                <w:rFonts w:hint="eastAsia" w:cs="Times New Roman"/>
                <w:color w:val="auto"/>
                <w:sz w:val="21"/>
                <w:szCs w:val="21"/>
                <w:lang w:eastAsia="zh-CN"/>
              </w:rPr>
              <w:t>、</w:t>
            </w:r>
            <w:r>
              <w:rPr>
                <w:rFonts w:hint="eastAsia" w:ascii="Times New Roman" w:hAnsi="Times New Roman" w:cs="Times New Roman"/>
                <w:color w:val="auto"/>
                <w:sz w:val="21"/>
                <w:szCs w:val="21"/>
                <w:lang w:val="en-US" w:eastAsia="zh-CN"/>
              </w:rPr>
              <w:t>员工生活污水</w:t>
            </w:r>
            <w:r>
              <w:rPr>
                <w:rFonts w:hint="eastAsia" w:cs="Times New Roman"/>
                <w:color w:val="auto"/>
                <w:sz w:val="21"/>
                <w:szCs w:val="21"/>
                <w:lang w:val="en-US" w:eastAsia="zh-CN"/>
              </w:rPr>
              <w:t>）经氧化塘发酵处理后，</w:t>
            </w:r>
            <w:r>
              <w:rPr>
                <w:rFonts w:hint="default" w:ascii="Times New Roman" w:hAnsi="Times New Roman" w:eastAsia="宋体" w:cs="Times New Roman"/>
                <w:color w:val="auto"/>
                <w:sz w:val="21"/>
                <w:szCs w:val="21"/>
              </w:rPr>
              <w:t>全部用于场区周边配套的农田施肥</w:t>
            </w:r>
            <w:r>
              <w:rPr>
                <w:rFonts w:hint="eastAsia" w:ascii="Times New Roman" w:hAnsi="Times New Roman" w:cs="Times New Roman"/>
                <w:color w:val="auto"/>
                <w:sz w:val="21"/>
                <w:szCs w:val="21"/>
                <w:lang w:eastAsia="zh-CN"/>
              </w:rPr>
              <w:t>；</w:t>
            </w:r>
          </w:p>
          <w:p>
            <w:pPr>
              <w:pStyle w:val="58"/>
              <w:keepNext w:val="0"/>
              <w:keepLines w:val="0"/>
              <w:pageBreakBefore w:val="0"/>
              <w:widowControl w:val="0"/>
              <w:kinsoku/>
              <w:wordWrap/>
              <w:overflowPunct/>
              <w:topLinePunct/>
              <w:autoSpaceDE w:val="0"/>
              <w:autoSpaceDN/>
              <w:bidi w:val="0"/>
              <w:adjustRightInd/>
              <w:snapToGrid/>
              <w:textAlignment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猪</w:t>
            </w:r>
            <w:r>
              <w:rPr>
                <w:rFonts w:hint="eastAsia" w:cs="Times New Roman"/>
                <w:color w:val="auto"/>
                <w:sz w:val="21"/>
                <w:szCs w:val="21"/>
                <w:lang w:eastAsia="zh-CN"/>
              </w:rPr>
              <w:t>粪便出售有机肥生产厂家进行资源化利用</w:t>
            </w:r>
            <w:r>
              <w:rPr>
                <w:rFonts w:hint="eastAsia"/>
                <w:color w:val="auto"/>
                <w:sz w:val="21"/>
                <w:szCs w:val="21"/>
                <w:lang w:eastAsia="zh-CN"/>
              </w:rPr>
              <w:t>。</w:t>
            </w:r>
          </w:p>
        </w:tc>
        <w:tc>
          <w:tcPr>
            <w:tcW w:w="673"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根据上表的分析可知，本项目的建设可满足养殖类相关法律、法规及相关政策的要求。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br w:type="page"/>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表2.7-2    本项目建设与畜禽养殖污染防治的相关规范符合性分析</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01"/>
        <w:gridCol w:w="992"/>
        <w:gridCol w:w="6237"/>
        <w:gridCol w:w="5386"/>
        <w:gridCol w:w="67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类别</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相关规定</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本项目情况</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restar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《畜禽养殖业污染治理工程技术规范》（HJ497-2009）</w:t>
            </w:r>
          </w:p>
        </w:tc>
        <w:tc>
          <w:tcPr>
            <w:tcW w:w="992" w:type="dxa"/>
            <w:vMerge w:val="restar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场区布局与清粪工艺</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4.1新建、改建、扩建的畜禽养殖场应实现生产区、生活管理区的隔离，粪便污水处理设施和禽畜尸体焚烧炉应设在养殖场的生产区、生活管理区的常年主导风向的下风向或侧风向处。</w:t>
            </w:r>
          </w:p>
        </w:tc>
        <w:tc>
          <w:tcPr>
            <w:tcW w:w="5386" w:type="dxa"/>
            <w:vAlign w:val="center"/>
          </w:tcPr>
          <w:p>
            <w:pPr>
              <w:pStyle w:val="58"/>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项目生产区、生活管理区</w:t>
            </w:r>
            <w:r>
              <w:rPr>
                <w:rFonts w:hint="eastAsia" w:ascii="Times New Roman" w:hAnsi="Times New Roman" w:cs="Times New Roman"/>
                <w:color w:val="auto"/>
                <w:sz w:val="21"/>
                <w:szCs w:val="21"/>
                <w:lang w:val="en-US" w:eastAsia="zh-CN"/>
              </w:rPr>
              <w:t>采用围墙进行隔离；</w:t>
            </w:r>
          </w:p>
          <w:p>
            <w:pPr>
              <w:pStyle w:val="58"/>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化粪池、晾粪台和氧化塘位于</w:t>
            </w:r>
            <w:r>
              <w:rPr>
                <w:rFonts w:hint="default" w:ascii="Times New Roman" w:hAnsi="Times New Roman" w:eastAsia="宋体" w:cs="Times New Roman"/>
                <w:color w:val="auto"/>
                <w:sz w:val="21"/>
                <w:szCs w:val="21"/>
              </w:rPr>
              <w:t>生产区、生活管理区的常年主导风向的</w:t>
            </w:r>
            <w:r>
              <w:rPr>
                <w:rFonts w:hint="eastAsia" w:cs="Times New Roman"/>
                <w:color w:val="auto"/>
                <w:sz w:val="21"/>
                <w:szCs w:val="21"/>
                <w:lang w:val="en-US" w:eastAsia="zh-CN"/>
              </w:rPr>
              <w:t>下风向</w:t>
            </w:r>
            <w:r>
              <w:rPr>
                <w:rFonts w:hint="eastAsia" w:ascii="Times New Roman" w:hAnsi="Times New Roman" w:cs="Times New Roman"/>
                <w:color w:val="auto"/>
                <w:sz w:val="21"/>
                <w:szCs w:val="21"/>
                <w:lang w:eastAsia="zh-CN"/>
              </w:rPr>
              <w:t>。</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58"/>
              <w:rPr>
                <w:rFonts w:hint="default" w:ascii="Times New Roman" w:hAnsi="Times New Roman" w:eastAsia="宋体" w:cs="Times New Roman"/>
                <w:color w:val="auto"/>
                <w:sz w:val="21"/>
                <w:szCs w:val="21"/>
              </w:rPr>
            </w:pPr>
          </w:p>
        </w:tc>
        <w:tc>
          <w:tcPr>
            <w:tcW w:w="992" w:type="dxa"/>
            <w:vMerge w:val="continue"/>
            <w:vAlign w:val="center"/>
          </w:tcPr>
          <w:p>
            <w:pPr>
              <w:pStyle w:val="58"/>
              <w:rPr>
                <w:rFonts w:hint="default" w:ascii="Times New Roman" w:hAnsi="Times New Roman" w:eastAsia="宋体" w:cs="Times New Roman"/>
                <w:color w:val="auto"/>
                <w:sz w:val="21"/>
                <w:szCs w:val="21"/>
              </w:rPr>
            </w:pP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4.2养殖场的排水系统应实行雨水和污水收集输送系统分离，在场区内外设置的污水收集输送系统，不得采取明沟布设。</w:t>
            </w:r>
          </w:p>
        </w:tc>
        <w:tc>
          <w:tcPr>
            <w:tcW w:w="5386" w:type="dxa"/>
            <w:vAlign w:val="center"/>
          </w:tcPr>
          <w:p>
            <w:pPr>
              <w:pStyle w:val="58"/>
              <w:rPr>
                <w:rFonts w:hint="eastAsia" w:cs="Times New Roman"/>
                <w:color w:val="auto"/>
                <w:sz w:val="21"/>
                <w:szCs w:val="21"/>
                <w:lang w:eastAsia="zh-CN"/>
              </w:rPr>
            </w:pPr>
            <w:r>
              <w:rPr>
                <w:rFonts w:hint="default" w:ascii="Times New Roman" w:hAnsi="Times New Roman" w:eastAsia="宋体" w:cs="Times New Roman"/>
                <w:color w:val="auto"/>
                <w:sz w:val="21"/>
                <w:szCs w:val="21"/>
              </w:rPr>
              <w:t>项目场区的排水系统实施雨污分流</w:t>
            </w:r>
            <w:r>
              <w:rPr>
                <w:rFonts w:hint="eastAsia" w:cs="Times New Roman"/>
                <w:color w:val="auto"/>
                <w:sz w:val="21"/>
                <w:szCs w:val="21"/>
                <w:lang w:eastAsia="zh-CN"/>
              </w:rPr>
              <w:t>；</w:t>
            </w:r>
          </w:p>
          <w:p>
            <w:pPr>
              <w:pStyle w:val="58"/>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养殖</w:t>
            </w:r>
            <w:r>
              <w:rPr>
                <w:rFonts w:hint="default" w:ascii="Times New Roman" w:hAnsi="Times New Roman" w:eastAsia="宋体" w:cs="Times New Roman"/>
                <w:color w:val="auto"/>
                <w:sz w:val="21"/>
                <w:szCs w:val="21"/>
              </w:rPr>
              <w:t>废水输送采用管道输送。</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58"/>
              <w:rPr>
                <w:rFonts w:hint="default" w:ascii="Times New Roman" w:hAnsi="Times New Roman" w:eastAsia="宋体" w:cs="Times New Roman"/>
                <w:color w:val="auto"/>
                <w:sz w:val="21"/>
                <w:szCs w:val="21"/>
              </w:rPr>
            </w:pPr>
          </w:p>
        </w:tc>
        <w:tc>
          <w:tcPr>
            <w:tcW w:w="99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畜禽粪便的贮存</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畜禽养殖场产生的畜禽粪便应设置专门的贮存设施，其恶臭及污染物排放应符合《畜禽养殖业污染物排放标准》。②贮存设施的位置必须远离各类功能地表水体(距离不得小于400m)，并应设在养殖场生产及生活管理区的常年主导风向的下风向或侧风向处。③对于种养结合的养殖场，畜禽粪便，贮存设施的总容积不得低于当地农林作物生产用肥的最大间隔时间内本养殖场所产生粪便的总量。④贮存设施应采取设置顶盖等防止降雨(水)进入的措施。</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①项目设置</w:t>
            </w:r>
            <w:r>
              <w:rPr>
                <w:rFonts w:hint="eastAsia" w:cs="Times New Roman"/>
                <w:color w:val="auto"/>
                <w:sz w:val="21"/>
                <w:szCs w:val="21"/>
                <w:lang w:val="en-US" w:eastAsia="zh-CN"/>
              </w:rPr>
              <w:t>化粪池、晾粪台和氧化塘</w:t>
            </w:r>
            <w:r>
              <w:rPr>
                <w:rFonts w:hint="default" w:ascii="Times New Roman" w:hAnsi="Times New Roman" w:eastAsia="宋体" w:cs="Times New Roman"/>
                <w:color w:val="auto"/>
                <w:sz w:val="21"/>
                <w:szCs w:val="21"/>
              </w:rPr>
              <w:t>等粪便、污水收集贮存设施，恶臭污染物排放满足《畜禽养殖业污染物排放标准》要求；</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②</w:t>
            </w:r>
            <w:r>
              <w:rPr>
                <w:rFonts w:hint="eastAsia" w:cs="Times New Roman"/>
                <w:color w:val="auto"/>
                <w:sz w:val="21"/>
                <w:szCs w:val="21"/>
                <w:lang w:val="en-US" w:eastAsia="zh-CN"/>
              </w:rPr>
              <w:t>化粪池、晾粪台和氧化塘</w:t>
            </w:r>
            <w:r>
              <w:rPr>
                <w:rFonts w:hint="default" w:ascii="Times New Roman" w:hAnsi="Times New Roman" w:eastAsia="宋体" w:cs="Times New Roman"/>
                <w:color w:val="auto"/>
                <w:sz w:val="21"/>
                <w:szCs w:val="21"/>
              </w:rPr>
              <w:t>周边</w:t>
            </w:r>
            <w:r>
              <w:rPr>
                <w:rFonts w:hint="eastAsia" w:cs="Times New Roman"/>
                <w:color w:val="auto"/>
                <w:sz w:val="21"/>
                <w:szCs w:val="21"/>
                <w:lang w:val="en-US" w:eastAsia="zh-CN"/>
              </w:rPr>
              <w:t>500m</w:t>
            </w:r>
            <w:r>
              <w:rPr>
                <w:rFonts w:hint="default" w:ascii="Times New Roman" w:hAnsi="Times New Roman" w:eastAsia="宋体" w:cs="Times New Roman"/>
                <w:color w:val="auto"/>
                <w:sz w:val="21"/>
                <w:szCs w:val="21"/>
              </w:rPr>
              <w:t>无地表水体，</w:t>
            </w:r>
            <w:r>
              <w:rPr>
                <w:rFonts w:hint="eastAsia" w:cs="Times New Roman"/>
                <w:color w:val="auto"/>
                <w:sz w:val="21"/>
                <w:szCs w:val="21"/>
                <w:lang w:val="en-US" w:eastAsia="zh-CN"/>
              </w:rPr>
              <w:t>化粪池和氧化塘位于</w:t>
            </w:r>
            <w:r>
              <w:rPr>
                <w:rFonts w:hint="default" w:ascii="Times New Roman" w:hAnsi="Times New Roman" w:eastAsia="宋体" w:cs="Times New Roman"/>
                <w:color w:val="auto"/>
                <w:sz w:val="21"/>
                <w:szCs w:val="21"/>
              </w:rPr>
              <w:t>生产区、生活管理区的常年主导风向的</w:t>
            </w:r>
            <w:r>
              <w:rPr>
                <w:rFonts w:hint="eastAsia" w:cs="Times New Roman"/>
                <w:color w:val="auto"/>
                <w:sz w:val="21"/>
                <w:szCs w:val="21"/>
                <w:lang w:val="en-US" w:eastAsia="zh-CN"/>
              </w:rPr>
              <w:t>下风向</w:t>
            </w:r>
            <w:r>
              <w:rPr>
                <w:rFonts w:hint="default" w:ascii="Times New Roman" w:hAnsi="Times New Roman" w:eastAsia="宋体" w:cs="Times New Roman"/>
                <w:color w:val="auto"/>
                <w:sz w:val="21"/>
                <w:szCs w:val="21"/>
              </w:rPr>
              <w:t>；</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③</w:t>
            </w:r>
            <w:r>
              <w:rPr>
                <w:rFonts w:hint="eastAsia" w:ascii="Times New Roman" w:hAnsi="Times New Roman" w:cs="Times New Roman"/>
                <w:color w:val="auto"/>
                <w:sz w:val="21"/>
                <w:szCs w:val="21"/>
                <w:lang w:val="en-US" w:eastAsia="zh-CN"/>
              </w:rPr>
              <w:t>项目设置2座</w:t>
            </w:r>
            <w:r>
              <w:rPr>
                <w:rFonts w:hint="default" w:ascii="Times New Roman" w:hAnsi="Times New Roman" w:eastAsia="宋体" w:cs="Times New Roman"/>
                <w:color w:val="auto"/>
                <w:sz w:val="21"/>
                <w:szCs w:val="21"/>
              </w:rPr>
              <w:t>氧化塘</w:t>
            </w:r>
            <w:r>
              <w:rPr>
                <w:rFonts w:hint="eastAsia" w:cs="Times New Roman"/>
                <w:color w:val="auto"/>
                <w:sz w:val="21"/>
                <w:szCs w:val="21"/>
                <w:lang w:eastAsia="zh-CN"/>
              </w:rPr>
              <w:t>，</w:t>
            </w:r>
            <w:r>
              <w:rPr>
                <w:rFonts w:hint="eastAsia" w:cs="Times New Roman"/>
                <w:color w:val="auto"/>
                <w:sz w:val="21"/>
                <w:szCs w:val="21"/>
                <w:lang w:val="en-US" w:eastAsia="zh-CN"/>
              </w:rPr>
              <w:t>每座氧化塘可</w:t>
            </w:r>
            <w:r>
              <w:rPr>
                <w:rFonts w:hint="default" w:ascii="Times New Roman" w:hAnsi="Times New Roman" w:eastAsia="宋体" w:cs="Times New Roman"/>
                <w:color w:val="auto"/>
                <w:sz w:val="21"/>
                <w:szCs w:val="21"/>
              </w:rPr>
              <w:t>满足6个月的还田间隔要求及存储容积要求。</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④氧化塘</w:t>
            </w:r>
            <w:r>
              <w:rPr>
                <w:rFonts w:hint="eastAsia" w:cs="Times New Roman"/>
                <w:color w:val="auto"/>
                <w:sz w:val="21"/>
                <w:szCs w:val="21"/>
                <w:lang w:val="en-US" w:eastAsia="zh-CN"/>
              </w:rPr>
              <w:t>四周</w:t>
            </w:r>
            <w:r>
              <w:rPr>
                <w:rFonts w:hint="default" w:ascii="Times New Roman" w:hAnsi="Times New Roman" w:eastAsia="宋体" w:cs="Times New Roman"/>
                <w:color w:val="FF0000"/>
                <w:sz w:val="21"/>
                <w:szCs w:val="21"/>
              </w:rPr>
              <w:t>设置挡水墙及导流渠，可防止降雨(水)的进入</w:t>
            </w:r>
            <w:r>
              <w:rPr>
                <w:rFonts w:hint="default" w:ascii="Times New Roman" w:hAnsi="Times New Roman" w:eastAsia="宋体" w:cs="Times New Roman"/>
                <w:color w:val="auto"/>
                <w:sz w:val="21"/>
                <w:szCs w:val="21"/>
              </w:rPr>
              <w:t>。</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58"/>
              <w:rPr>
                <w:rFonts w:hint="default" w:ascii="Times New Roman" w:hAnsi="Times New Roman" w:eastAsia="宋体" w:cs="Times New Roman"/>
                <w:color w:val="auto"/>
                <w:sz w:val="21"/>
                <w:szCs w:val="21"/>
              </w:rPr>
            </w:pPr>
          </w:p>
        </w:tc>
        <w:tc>
          <w:tcPr>
            <w:tcW w:w="99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污水的处理</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畜禽养殖过程中产生的污水应坚持种养结合的原则，经无害化处理后尽量充分还田，实现污水资源化利用。</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项目产生的</w:t>
            </w:r>
            <w:r>
              <w:rPr>
                <w:rFonts w:hint="eastAsia" w:cs="Times New Roman"/>
                <w:color w:val="auto"/>
                <w:sz w:val="21"/>
                <w:szCs w:val="21"/>
                <w:lang w:val="en-US" w:eastAsia="zh-CN"/>
              </w:rPr>
              <w:t>养殖废水（猪尿、</w:t>
            </w:r>
            <w:r>
              <w:rPr>
                <w:rFonts w:hint="eastAsia" w:cs="Times New Roman"/>
                <w:color w:val="FF0000"/>
                <w:sz w:val="21"/>
                <w:szCs w:val="21"/>
                <w:lang w:eastAsia="zh-CN"/>
              </w:rPr>
              <w:t>猪舍粪污管道冲洗废水</w:t>
            </w:r>
            <w:r>
              <w:rPr>
                <w:rFonts w:hint="eastAsia" w:cs="Times New Roman"/>
                <w:color w:val="auto"/>
                <w:sz w:val="21"/>
                <w:szCs w:val="21"/>
                <w:lang w:eastAsia="zh-CN"/>
              </w:rPr>
              <w:t>、</w:t>
            </w:r>
            <w:r>
              <w:rPr>
                <w:rFonts w:hint="eastAsia" w:ascii="Times New Roman" w:hAnsi="Times New Roman" w:cs="Times New Roman"/>
                <w:color w:val="auto"/>
                <w:sz w:val="21"/>
                <w:szCs w:val="21"/>
                <w:lang w:val="en-US" w:eastAsia="zh-CN"/>
              </w:rPr>
              <w:t>员工生活污水</w:t>
            </w:r>
            <w:r>
              <w:rPr>
                <w:rFonts w:hint="eastAsia" w:cs="Times New Roman"/>
                <w:color w:val="auto"/>
                <w:sz w:val="21"/>
                <w:szCs w:val="21"/>
                <w:lang w:val="en-US" w:eastAsia="zh-CN"/>
              </w:rPr>
              <w:t>）经氧化塘发酵处理后，</w:t>
            </w:r>
            <w:r>
              <w:rPr>
                <w:rFonts w:hint="default" w:ascii="Times New Roman" w:hAnsi="Times New Roman" w:eastAsia="宋体" w:cs="Times New Roman"/>
                <w:color w:val="auto"/>
                <w:sz w:val="21"/>
                <w:szCs w:val="21"/>
              </w:rPr>
              <w:t>全部用于场区周边配套的农田施肥，实现污水资源化利用。</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58"/>
              <w:rPr>
                <w:rFonts w:hint="default" w:ascii="Times New Roman" w:hAnsi="Times New Roman" w:eastAsia="宋体" w:cs="Times New Roman"/>
                <w:color w:val="auto"/>
                <w:sz w:val="21"/>
                <w:szCs w:val="21"/>
              </w:rPr>
            </w:pPr>
          </w:p>
        </w:tc>
        <w:tc>
          <w:tcPr>
            <w:tcW w:w="99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固体粪肥的处理利用</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畜禽粪便必须经过无害化处理，并且须符合《粪便无害化卫生标准》后，才能进行土地利用，禁止未经处理的畜禽粪便直接施入农田。②经过处理的粪便作为土地的肥料或土壤调节剂来满足作物生长的需要，其用量不能超过作物当年生长所需养分的需求量。在确定粪肥的最佳使用量时需要对土壤肥力和粪肥肥效进行测试评价，并应符合当地环境容量的要求。③对高降雨区、坡地及沙质容易产生径流和渗透性较强的土壤，不适宜施用粪肥或粪肥使用量过高易使粪肥流失引起地表水或地下水污染时，应禁止或暂停使用粪肥。</w:t>
            </w:r>
          </w:p>
        </w:tc>
        <w:tc>
          <w:tcPr>
            <w:tcW w:w="5386" w:type="dxa"/>
            <w:vAlign w:val="center"/>
          </w:tcPr>
          <w:p>
            <w:pPr>
              <w:pStyle w:val="58"/>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①项目</w:t>
            </w:r>
            <w:r>
              <w:rPr>
                <w:rFonts w:hint="eastAsia" w:cs="Times New Roman"/>
                <w:color w:val="auto"/>
                <w:sz w:val="21"/>
                <w:szCs w:val="21"/>
                <w:lang w:val="en-US" w:eastAsia="zh-CN"/>
              </w:rPr>
              <w:t>猪尿</w:t>
            </w:r>
            <w:r>
              <w:rPr>
                <w:rFonts w:hint="default" w:ascii="Times New Roman" w:hAnsi="Times New Roman" w:eastAsia="宋体" w:cs="Times New Roman"/>
                <w:color w:val="auto"/>
                <w:sz w:val="21"/>
                <w:szCs w:val="21"/>
              </w:rPr>
              <w:t>经</w:t>
            </w:r>
            <w:r>
              <w:rPr>
                <w:rFonts w:hint="eastAsia" w:cs="Times New Roman"/>
                <w:color w:val="auto"/>
                <w:sz w:val="21"/>
                <w:szCs w:val="21"/>
                <w:lang w:val="en-US" w:eastAsia="zh-CN"/>
              </w:rPr>
              <w:t>氧化塘发酵</w:t>
            </w:r>
            <w:r>
              <w:rPr>
                <w:rFonts w:hint="default" w:ascii="Times New Roman" w:hAnsi="Times New Roman" w:eastAsia="宋体" w:cs="Times New Roman"/>
                <w:color w:val="auto"/>
                <w:sz w:val="21"/>
                <w:szCs w:val="21"/>
              </w:rPr>
              <w:t>6个月</w:t>
            </w:r>
            <w:r>
              <w:rPr>
                <w:rFonts w:hint="eastAsia" w:cs="Times New Roman"/>
                <w:color w:val="auto"/>
                <w:sz w:val="21"/>
                <w:szCs w:val="21"/>
                <w:lang w:val="en-US" w:eastAsia="zh-CN"/>
              </w:rPr>
              <w:t>后，</w:t>
            </w:r>
            <w:r>
              <w:rPr>
                <w:rFonts w:hint="default" w:ascii="Times New Roman" w:hAnsi="Times New Roman" w:eastAsia="宋体" w:cs="Times New Roman"/>
                <w:color w:val="auto"/>
                <w:sz w:val="21"/>
                <w:szCs w:val="21"/>
              </w:rPr>
              <w:t>符合《粪便无害化卫生标准》全部用于场区周边配套的农田施肥</w:t>
            </w:r>
            <w:r>
              <w:rPr>
                <w:rFonts w:hint="eastAsia" w:ascii="Times New Roman" w:hAnsi="Times New Roman" w:cs="Times New Roman"/>
                <w:color w:val="auto"/>
                <w:sz w:val="21"/>
                <w:szCs w:val="21"/>
                <w:lang w:eastAsia="zh-CN"/>
              </w:rPr>
              <w:t>；</w:t>
            </w:r>
            <w:r>
              <w:rPr>
                <w:rFonts w:hint="eastAsia" w:cs="Times New Roman"/>
                <w:color w:val="auto"/>
                <w:sz w:val="21"/>
                <w:szCs w:val="21"/>
                <w:lang w:eastAsia="zh-CN"/>
              </w:rPr>
              <w:t>粪便出售有机肥生产厂家进行资源化利用</w:t>
            </w:r>
            <w:r>
              <w:rPr>
                <w:rFonts w:hint="eastAsia"/>
                <w:color w:val="auto"/>
                <w:sz w:val="21"/>
                <w:szCs w:val="21"/>
                <w:lang w:eastAsia="zh-CN"/>
              </w:rPr>
              <w:t>；</w:t>
            </w:r>
          </w:p>
          <w:p>
            <w:pPr>
              <w:pStyle w:val="58"/>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②</w:t>
            </w:r>
            <w:r>
              <w:rPr>
                <w:rFonts w:hint="eastAsia" w:cs="Times New Roman"/>
                <w:color w:val="auto"/>
                <w:sz w:val="21"/>
                <w:szCs w:val="21"/>
                <w:lang w:val="en-US" w:eastAsia="zh-CN"/>
              </w:rPr>
              <w:t>猪尿液经</w:t>
            </w:r>
            <w:r>
              <w:rPr>
                <w:rFonts w:hint="default" w:ascii="Times New Roman" w:hAnsi="Times New Roman" w:eastAsia="宋体" w:cs="Times New Roman"/>
                <w:color w:val="auto"/>
                <w:sz w:val="21"/>
                <w:szCs w:val="21"/>
              </w:rPr>
              <w:t>无害化处理</w:t>
            </w:r>
            <w:r>
              <w:rPr>
                <w:rFonts w:hint="eastAsia" w:cs="Times New Roman"/>
                <w:color w:val="auto"/>
                <w:sz w:val="21"/>
                <w:szCs w:val="21"/>
                <w:lang w:val="en-US" w:eastAsia="zh-CN"/>
              </w:rPr>
              <w:t>后还田，</w:t>
            </w:r>
            <w:r>
              <w:rPr>
                <w:rFonts w:hint="default" w:ascii="Times New Roman" w:hAnsi="Times New Roman" w:eastAsia="宋体" w:cs="Times New Roman"/>
                <w:color w:val="auto"/>
                <w:sz w:val="21"/>
                <w:szCs w:val="21"/>
              </w:rPr>
              <w:t>用量不超过作物当年生长所需养分的需求量，并符合当地环境容量的要求；</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③项目周边消纳土地不属于高降雨区、坡地及沙质容易产生径流的土壤。</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58"/>
              <w:rPr>
                <w:rFonts w:hint="default" w:ascii="Times New Roman" w:hAnsi="Times New Roman" w:eastAsia="宋体" w:cs="Times New Roman"/>
                <w:color w:val="auto"/>
                <w:sz w:val="21"/>
                <w:szCs w:val="21"/>
              </w:rPr>
            </w:pPr>
          </w:p>
        </w:tc>
        <w:tc>
          <w:tcPr>
            <w:tcW w:w="99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饲料和饲养管理</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畜禽养殖饲料应采用合理配方，如理想蛋白质体系配等，提高蛋白质及其它营养的吸收效率，减少氮的排放量和粪的生产量。②提倡使用微生物制剂、酶制剂和植物提取液等活性物质，减少污染物排放和恶臭气体的产生。③养殖场场区、畜禽舍、器械等消毒应采用环境友好的消毒剂和消毒措施(包括紫外线、臭氧、双氧水等方法)，防止产生氯代有机物及其它的二次污染物。</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①项目采取科学的饲养方式，饲料中添加EM制剂，减少氮的排放量和粪的生产量，减少污染物排放和恶臭气体的产生。</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②本项目进入</w:t>
            </w:r>
            <w:r>
              <w:rPr>
                <w:rFonts w:hint="eastAsia" w:cs="Times New Roman"/>
                <w:color w:val="auto"/>
                <w:sz w:val="21"/>
                <w:szCs w:val="21"/>
                <w:lang w:eastAsia="zh-CN"/>
              </w:rPr>
              <w:t>养殖场</w:t>
            </w:r>
            <w:r>
              <w:rPr>
                <w:rFonts w:hint="default" w:ascii="Times New Roman" w:hAnsi="Times New Roman" w:eastAsia="宋体" w:cs="Times New Roman"/>
                <w:color w:val="auto"/>
                <w:sz w:val="21"/>
                <w:szCs w:val="21"/>
              </w:rPr>
              <w:t>采用紫外线消毒，消毒剂主要有</w:t>
            </w:r>
            <w:r>
              <w:rPr>
                <w:rFonts w:hint="default" w:ascii="Times New Roman" w:hAnsi="Times New Roman" w:eastAsia="宋体" w:cs="Times New Roman"/>
                <w:color w:val="FF0000"/>
                <w:sz w:val="21"/>
                <w:szCs w:val="21"/>
              </w:rPr>
              <w:t>戊二醛等</w:t>
            </w:r>
            <w:r>
              <w:rPr>
                <w:rFonts w:hint="default" w:ascii="Times New Roman" w:hAnsi="Times New Roman" w:eastAsia="宋体" w:cs="Times New Roman"/>
                <w:color w:val="auto"/>
                <w:sz w:val="21"/>
                <w:szCs w:val="21"/>
              </w:rPr>
              <w:t>，不会产生氯代有机物及其它的二次污染物。</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58"/>
              <w:rPr>
                <w:rFonts w:hint="default" w:ascii="Times New Roman" w:hAnsi="Times New Roman" w:eastAsia="宋体" w:cs="Times New Roman"/>
                <w:color w:val="auto"/>
                <w:sz w:val="21"/>
                <w:szCs w:val="21"/>
              </w:rPr>
            </w:pPr>
          </w:p>
        </w:tc>
        <w:tc>
          <w:tcPr>
            <w:tcW w:w="99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病死畜禽尸体的处理和处置</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病死畜禽尸体要及时处理，严禁随意丢弃，严禁出售或作为饲料再利用。②病死禽畜尸体处理应采用焚烧炉焚烧的方法，在养殖场比较集中的地区，应集中设置焚烧设施；同时焚烧产生的烟气应采取有效的净化措施，防止烟尘、一氧化碳、恶臭等对周围大气环境的污染。③不具备焚烧条件的养殖场应设置两个以上安全填埋井，填埋井应为混凝土结构，深度大于2m，直径1m，井口加盖密封。进行填埋时，在每次投入畜禽尸体后，应覆盖一层厚度大于10cm的熟石灰，井填满后，须用粘土填埋压实并封口。</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项目病死畜禽尸体不随意丢弃，不出售或作为饲料再利用，产生后及时采用安全填埋进行无害化处理。</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58"/>
              <w:rPr>
                <w:rFonts w:hint="default" w:ascii="Times New Roman" w:hAnsi="Times New Roman" w:eastAsia="宋体" w:cs="Times New Roman"/>
                <w:color w:val="auto"/>
                <w:sz w:val="21"/>
                <w:szCs w:val="21"/>
              </w:rPr>
            </w:pPr>
          </w:p>
        </w:tc>
        <w:tc>
          <w:tcPr>
            <w:tcW w:w="99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养殖场防疫、化验等产生的危险废水和固体废弃物应按国家的有关规定进行处理。</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项目场址内设危废暂存间，产生的医疗废物暂存后有资质单位处理，养殖场不单独处理该类固体废物。</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restart"/>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《畜禽规模化养殖场资源化利用设施建设规范（试行）》（农办牧〔2018〕2号）</w:t>
            </w: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畜禽规模养殖场粪污资源化利用应坚持农牧结合、种养平衡，按照资源化、减量化、无害化的原则，对源头减量、过程控制和末端利用各环节进行全程管理，提高粪污综合利用率和设施装备配套率。</w:t>
            </w:r>
          </w:p>
        </w:tc>
        <w:tc>
          <w:tcPr>
            <w:tcW w:w="5386"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项目产生的</w:t>
            </w:r>
            <w:r>
              <w:rPr>
                <w:rFonts w:hint="eastAsia" w:cs="Times New Roman"/>
                <w:color w:val="auto"/>
                <w:sz w:val="21"/>
                <w:szCs w:val="21"/>
                <w:lang w:val="en-US" w:eastAsia="zh-CN"/>
              </w:rPr>
              <w:t>养殖废水（猪尿、</w:t>
            </w:r>
            <w:r>
              <w:rPr>
                <w:rFonts w:hint="eastAsia" w:cs="Times New Roman"/>
                <w:color w:val="FF0000"/>
                <w:lang w:eastAsia="zh-CN"/>
              </w:rPr>
              <w:t>猪舍粪污管道冲洗废水</w:t>
            </w:r>
            <w:r>
              <w:rPr>
                <w:rFonts w:hint="eastAsia" w:cs="Times New Roman"/>
                <w:color w:val="FF0000"/>
                <w:lang w:val="en-US" w:eastAsia="zh-CN"/>
              </w:rPr>
              <w:t>、</w:t>
            </w:r>
            <w:r>
              <w:rPr>
                <w:rFonts w:hint="eastAsia" w:ascii="Times New Roman" w:hAnsi="Times New Roman" w:cs="Times New Roman"/>
                <w:color w:val="auto"/>
                <w:sz w:val="21"/>
                <w:szCs w:val="21"/>
                <w:lang w:val="en-US" w:eastAsia="zh-CN"/>
              </w:rPr>
              <w:t>员工生活污水</w:t>
            </w:r>
            <w:r>
              <w:rPr>
                <w:rFonts w:hint="eastAsia" w:cs="Times New Roman"/>
                <w:color w:val="auto"/>
                <w:sz w:val="21"/>
                <w:szCs w:val="21"/>
                <w:lang w:val="en-US" w:eastAsia="zh-CN"/>
              </w:rPr>
              <w:t>）经氧化塘处理后，</w:t>
            </w:r>
            <w:r>
              <w:rPr>
                <w:rFonts w:hint="default" w:ascii="Times New Roman" w:hAnsi="Times New Roman" w:eastAsia="宋体" w:cs="Times New Roman"/>
                <w:color w:val="auto"/>
                <w:sz w:val="21"/>
                <w:szCs w:val="21"/>
              </w:rPr>
              <w:t>全部用于场区周边配套的农田施肥</w:t>
            </w:r>
            <w:r>
              <w:rPr>
                <w:rFonts w:hint="eastAsia" w:ascii="Times New Roman" w:hAnsi="Times New Roman" w:cs="Times New Roman"/>
                <w:color w:val="auto"/>
                <w:sz w:val="21"/>
                <w:szCs w:val="21"/>
                <w:lang w:eastAsia="zh-CN"/>
              </w:rPr>
              <w:t>；</w:t>
            </w:r>
          </w:p>
          <w:p>
            <w:pPr>
              <w:pStyle w:val="58"/>
              <w:rPr>
                <w:rFonts w:hint="default" w:ascii="Times New Roman" w:hAnsi="Times New Roman" w:eastAsia="宋体" w:cs="Times New Roman"/>
                <w:color w:val="auto"/>
                <w:sz w:val="21"/>
                <w:szCs w:val="21"/>
              </w:rPr>
            </w:pPr>
            <w:r>
              <w:rPr>
                <w:rFonts w:hint="eastAsia" w:ascii="Times New Roman" w:hAnsi="Times New Roman" w:cs="Times New Roman"/>
                <w:color w:val="auto"/>
                <w:sz w:val="21"/>
                <w:szCs w:val="21"/>
                <w:lang w:val="en-US" w:eastAsia="zh-CN"/>
              </w:rPr>
              <w:t>猪</w:t>
            </w:r>
            <w:r>
              <w:rPr>
                <w:rFonts w:hint="eastAsia" w:cs="Times New Roman"/>
                <w:color w:val="auto"/>
                <w:sz w:val="21"/>
                <w:szCs w:val="21"/>
                <w:lang w:eastAsia="zh-CN"/>
              </w:rPr>
              <w:t>粪便出售有机肥生产厂家进行资源化利用，</w:t>
            </w:r>
            <w:r>
              <w:rPr>
                <w:rFonts w:hint="default" w:ascii="Times New Roman" w:hAnsi="Times New Roman" w:eastAsia="宋体" w:cs="Times New Roman"/>
                <w:color w:val="auto"/>
                <w:sz w:val="21"/>
                <w:szCs w:val="21"/>
              </w:rPr>
              <w:t>项目粪污综合利用率100%。</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vAlign w:val="center"/>
          </w:tcPr>
          <w:p>
            <w:pPr>
              <w:pStyle w:val="58"/>
              <w:rPr>
                <w:rFonts w:hint="default" w:ascii="Times New Roman" w:hAnsi="Times New Roman" w:eastAsia="宋体" w:cs="Times New Roman"/>
                <w:color w:val="auto"/>
                <w:sz w:val="21"/>
                <w:szCs w:val="21"/>
              </w:rPr>
            </w:pP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畜禽规模养殖场应根据养殖污染防治要求，建设与养殖规模相配套的粪污资源化利用设施设备，并确保正常运行。</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本项目建设了与养殖规模相配套的粪污资源化利用设施设备，主要是</w:t>
            </w:r>
            <w:r>
              <w:rPr>
                <w:rFonts w:hint="eastAsia" w:cs="Times New Roman"/>
                <w:color w:val="auto"/>
                <w:sz w:val="21"/>
                <w:szCs w:val="21"/>
                <w:lang w:eastAsia="zh-CN"/>
              </w:rPr>
              <w:t>晾粪台</w:t>
            </w:r>
            <w:r>
              <w:rPr>
                <w:rFonts w:hint="default" w:ascii="Times New Roman" w:hAnsi="Times New Roman" w:eastAsia="宋体" w:cs="Times New Roman"/>
                <w:color w:val="auto"/>
                <w:sz w:val="21"/>
                <w:szCs w:val="21"/>
              </w:rPr>
              <w:t>、氧化塘等</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并能正常运行；项目产生的</w:t>
            </w:r>
            <w:r>
              <w:rPr>
                <w:rFonts w:hint="eastAsia" w:cs="Times New Roman"/>
                <w:color w:val="auto"/>
                <w:sz w:val="21"/>
                <w:szCs w:val="21"/>
                <w:lang w:val="en-US" w:eastAsia="zh-CN"/>
              </w:rPr>
              <w:t>养殖废水经处理后</w:t>
            </w:r>
            <w:r>
              <w:rPr>
                <w:rFonts w:hint="default" w:ascii="Times New Roman" w:hAnsi="Times New Roman" w:eastAsia="宋体" w:cs="Times New Roman"/>
                <w:color w:val="auto"/>
                <w:sz w:val="21"/>
                <w:szCs w:val="21"/>
              </w:rPr>
              <w:t>全部用于场区周边配套的农田施肥，</w:t>
            </w:r>
            <w:r>
              <w:rPr>
                <w:rFonts w:hint="eastAsia" w:ascii="Times New Roman" w:hAnsi="Times New Roman" w:cs="Times New Roman"/>
                <w:color w:val="auto"/>
                <w:sz w:val="21"/>
                <w:szCs w:val="21"/>
                <w:lang w:val="en-US" w:eastAsia="zh-CN"/>
              </w:rPr>
              <w:t>猪</w:t>
            </w:r>
            <w:r>
              <w:rPr>
                <w:rFonts w:hint="eastAsia" w:cs="Times New Roman"/>
                <w:color w:val="auto"/>
                <w:sz w:val="21"/>
                <w:szCs w:val="21"/>
                <w:lang w:eastAsia="zh-CN"/>
              </w:rPr>
              <w:t>粪便出售有机肥生产厂家进行资源化利用</w:t>
            </w:r>
            <w:r>
              <w:rPr>
                <w:rFonts w:hint="default" w:ascii="Times New Roman" w:hAnsi="Times New Roman" w:eastAsia="宋体" w:cs="Times New Roman"/>
                <w:color w:val="auto"/>
                <w:sz w:val="21"/>
                <w:szCs w:val="21"/>
              </w:rPr>
              <w:t>。</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vAlign w:val="center"/>
          </w:tcPr>
          <w:p>
            <w:pPr>
              <w:pStyle w:val="58"/>
              <w:rPr>
                <w:rFonts w:hint="default" w:ascii="Times New Roman" w:hAnsi="Times New Roman" w:eastAsia="宋体" w:cs="Times New Roman"/>
                <w:color w:val="auto"/>
                <w:sz w:val="21"/>
                <w:szCs w:val="21"/>
              </w:rPr>
            </w:pP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畜禽规模养殖场应建设雨污分离设施，污水宜采用暗沟或管道输送。</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本项目按规范要求实行雨污分流，粪污输送采用地下管道</w:t>
            </w:r>
            <w:r>
              <w:rPr>
                <w:rFonts w:hint="eastAsia" w:cs="Times New Roman"/>
                <w:color w:val="auto"/>
                <w:sz w:val="21"/>
                <w:szCs w:val="21"/>
                <w:lang w:eastAsia="zh-CN"/>
              </w:rPr>
              <w:t>输送</w:t>
            </w:r>
            <w:r>
              <w:rPr>
                <w:rFonts w:hint="default" w:ascii="Times New Roman" w:hAnsi="Times New Roman" w:eastAsia="宋体" w:cs="Times New Roman"/>
                <w:color w:val="auto"/>
                <w:sz w:val="21"/>
                <w:szCs w:val="21"/>
              </w:rPr>
              <w:t>。</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vAlign w:val="center"/>
          </w:tcPr>
          <w:p>
            <w:pPr>
              <w:pStyle w:val="58"/>
              <w:rPr>
                <w:rFonts w:hint="default" w:ascii="Times New Roman" w:hAnsi="Times New Roman" w:eastAsia="宋体" w:cs="Times New Roman"/>
                <w:color w:val="auto"/>
                <w:sz w:val="21"/>
                <w:szCs w:val="21"/>
              </w:rPr>
            </w:pPr>
          </w:p>
        </w:tc>
        <w:tc>
          <w:tcPr>
            <w:tcW w:w="6237"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畜禽规模养殖场应及时对粪污进行收集、贮存，粪污暂存池（场）应满足防渗、防雨、防溢流等要求。固体粪便暂存池（场）的设计按照GB/T27622执行。污水暂存池的设计按照GB/T26624执行。</w:t>
            </w:r>
          </w:p>
        </w:tc>
        <w:tc>
          <w:tcPr>
            <w:tcW w:w="53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本项目建设的</w:t>
            </w:r>
            <w:r>
              <w:rPr>
                <w:rFonts w:hint="eastAsia" w:cs="Times New Roman"/>
                <w:color w:val="auto"/>
                <w:sz w:val="21"/>
                <w:szCs w:val="21"/>
                <w:lang w:val="en-US" w:eastAsia="zh-CN"/>
              </w:rPr>
              <w:t>化粪池、晾粪台和氧化塘</w:t>
            </w:r>
            <w:r>
              <w:rPr>
                <w:rFonts w:hint="default" w:ascii="Times New Roman" w:hAnsi="Times New Roman" w:eastAsia="宋体" w:cs="Times New Roman"/>
                <w:color w:val="auto"/>
                <w:sz w:val="21"/>
                <w:szCs w:val="21"/>
              </w:rPr>
              <w:t>，均采用了防雨、防渗、防溢流措施，设计均符合GB/T27622和GB/T26624相关要求。</w:t>
            </w:r>
          </w:p>
        </w:tc>
        <w:tc>
          <w:tcPr>
            <w:tcW w:w="67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br w:type="page"/>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表2.7-3    本项目与相关政策的符合性分析</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97"/>
        <w:gridCol w:w="8085"/>
        <w:gridCol w:w="4392"/>
        <w:gridCol w:w="81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相关政策</w:t>
            </w:r>
          </w:p>
        </w:tc>
        <w:tc>
          <w:tcPr>
            <w:tcW w:w="2809"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相关条款及规定</w:t>
            </w:r>
          </w:p>
        </w:tc>
        <w:tc>
          <w:tcPr>
            <w:tcW w:w="1526"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符合性分析</w:t>
            </w:r>
          </w:p>
        </w:tc>
        <w:tc>
          <w:tcPr>
            <w:tcW w:w="2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81" w:type="pct"/>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《关于做好畜禽规模养殖项目环境影响评价管理工作的通知》（环办环评[2018]31号）</w:t>
            </w:r>
          </w:p>
        </w:tc>
        <w:tc>
          <w:tcPr>
            <w:tcW w:w="2809" w:type="pct"/>
            <w:vAlign w:val="center"/>
          </w:tcPr>
          <w:p>
            <w:pPr>
              <w:pStyle w:val="58"/>
              <w:jc w:val="both"/>
              <w:rPr>
                <w:rFonts w:hint="default" w:ascii="Times New Roman" w:hAnsi="Times New Roman" w:eastAsia="宋体" w:cs="Times New Roman"/>
                <w:color w:val="auto"/>
              </w:rPr>
            </w:pPr>
            <w:r>
              <w:rPr>
                <w:rFonts w:hint="default" w:ascii="Times New Roman" w:hAnsi="Times New Roman" w:eastAsia="宋体" w:cs="Times New Roman"/>
                <w:color w:val="auto"/>
              </w:rPr>
              <w:t>项目环评应结合环境保护要求优化养殖场区内部布置。畜禽养殖区及畜禽粪污贮存、处理和畜禽尸体无害化处理等产生恶臭影响的设施，应位于养殖场区主导风向的下风向位置，并尽量远离周边环境保护目标。</w:t>
            </w:r>
          </w:p>
        </w:tc>
        <w:tc>
          <w:tcPr>
            <w:tcW w:w="1526"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kern w:val="0"/>
              </w:rPr>
              <w:t>项目</w:t>
            </w:r>
            <w:r>
              <w:rPr>
                <w:rFonts w:hint="eastAsia" w:cs="Times New Roman"/>
                <w:color w:val="auto"/>
                <w:lang w:val="en-US" w:eastAsia="zh-CN"/>
              </w:rPr>
              <w:t>化粪池、晾粪台和氧化塘位于</w:t>
            </w:r>
            <w:r>
              <w:rPr>
                <w:rFonts w:hint="default" w:ascii="Times New Roman" w:hAnsi="Times New Roman" w:eastAsia="宋体" w:cs="Times New Roman"/>
                <w:color w:val="auto"/>
              </w:rPr>
              <w:t>生产区、生活管理区的常年主导风向的</w:t>
            </w:r>
            <w:r>
              <w:rPr>
                <w:rFonts w:hint="eastAsia" w:cs="Times New Roman"/>
                <w:color w:val="auto"/>
                <w:lang w:val="en-US" w:eastAsia="zh-CN"/>
              </w:rPr>
              <w:t>下风向</w:t>
            </w:r>
            <w:r>
              <w:rPr>
                <w:rFonts w:hint="default" w:ascii="Times New Roman" w:hAnsi="Times New Roman" w:eastAsia="宋体" w:cs="Times New Roman"/>
                <w:color w:val="auto"/>
                <w:kern w:val="0"/>
              </w:rPr>
              <w:t>，离最近敏感点</w:t>
            </w:r>
            <w:r>
              <w:rPr>
                <w:rFonts w:hint="eastAsia" w:cs="Times New Roman"/>
                <w:color w:val="auto"/>
                <w:kern w:val="0"/>
                <w:lang w:val="en-US" w:eastAsia="zh-CN"/>
              </w:rPr>
              <w:t>86</w:t>
            </w:r>
            <w:r>
              <w:rPr>
                <w:rFonts w:hint="default" w:ascii="Times New Roman" w:hAnsi="Times New Roman" w:eastAsia="宋体" w:cs="Times New Roman"/>
                <w:color w:val="auto"/>
                <w:kern w:val="0"/>
              </w:rPr>
              <w:t>0m。</w:t>
            </w:r>
          </w:p>
        </w:tc>
        <w:tc>
          <w:tcPr>
            <w:tcW w:w="2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81" w:type="pct"/>
            <w:vMerge w:val="continue"/>
            <w:vAlign w:val="center"/>
          </w:tcPr>
          <w:p>
            <w:pPr>
              <w:pStyle w:val="58"/>
              <w:rPr>
                <w:rFonts w:hint="default" w:ascii="Times New Roman" w:hAnsi="Times New Roman" w:eastAsia="宋体" w:cs="Times New Roman"/>
                <w:color w:val="auto"/>
              </w:rPr>
            </w:pPr>
          </w:p>
        </w:tc>
        <w:tc>
          <w:tcPr>
            <w:tcW w:w="2809" w:type="pct"/>
            <w:vAlign w:val="center"/>
          </w:tcPr>
          <w:p>
            <w:pPr>
              <w:pStyle w:val="58"/>
              <w:jc w:val="both"/>
              <w:rPr>
                <w:rFonts w:hint="default" w:ascii="Times New Roman" w:hAnsi="Times New Roman" w:eastAsia="宋体" w:cs="Times New Roman"/>
                <w:color w:val="auto"/>
              </w:rPr>
            </w:pPr>
            <w:r>
              <w:rPr>
                <w:rFonts w:hint="default" w:ascii="Times New Roman" w:hAnsi="Times New Roman" w:eastAsia="宋体" w:cs="Times New Roman"/>
                <w:color w:val="auto"/>
              </w:rPr>
              <w:t>采取粪污全量收集还田利用、污水肥料化利用、粪便垫料回用、异位发酵床、粪污专业化能源利用等模式处理利用畜禽粪污，促进畜禽规模养殖项目“种养结合”绿色发展。</w:t>
            </w:r>
          </w:p>
        </w:tc>
        <w:tc>
          <w:tcPr>
            <w:tcW w:w="1526" w:type="pct"/>
            <w:vAlign w:val="center"/>
          </w:tcPr>
          <w:p>
            <w:pPr>
              <w:pStyle w:val="58"/>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w:t>项目产生的</w:t>
            </w:r>
            <w:r>
              <w:rPr>
                <w:rFonts w:hint="eastAsia" w:cs="Times New Roman"/>
                <w:color w:val="auto"/>
                <w:lang w:val="en-US" w:eastAsia="zh-CN"/>
              </w:rPr>
              <w:t>养殖废水经处理后</w:t>
            </w:r>
            <w:r>
              <w:rPr>
                <w:rFonts w:hint="default" w:ascii="Times New Roman" w:hAnsi="Times New Roman" w:eastAsia="宋体" w:cs="Times New Roman"/>
                <w:color w:val="auto"/>
              </w:rPr>
              <w:t>全部用于场区周边配套的农田施肥，</w:t>
            </w:r>
            <w:r>
              <w:rPr>
                <w:rFonts w:hint="eastAsia" w:cs="Times New Roman"/>
                <w:color w:val="auto"/>
                <w:lang w:eastAsia="zh-CN"/>
              </w:rPr>
              <w:t>粪便出售有机肥生产厂家进行资源化利用</w:t>
            </w:r>
            <w:r>
              <w:rPr>
                <w:rFonts w:hint="eastAsia"/>
                <w:color w:val="auto"/>
                <w:lang w:eastAsia="zh-CN"/>
              </w:rPr>
              <w:t>。</w:t>
            </w:r>
          </w:p>
        </w:tc>
        <w:tc>
          <w:tcPr>
            <w:tcW w:w="2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81" w:type="pct"/>
            <w:vMerge w:val="continue"/>
            <w:vAlign w:val="center"/>
          </w:tcPr>
          <w:p>
            <w:pPr>
              <w:pStyle w:val="58"/>
              <w:rPr>
                <w:rFonts w:hint="default" w:ascii="Times New Roman" w:hAnsi="Times New Roman" w:eastAsia="宋体" w:cs="Times New Roman"/>
                <w:color w:val="auto"/>
              </w:rPr>
            </w:pPr>
          </w:p>
        </w:tc>
        <w:tc>
          <w:tcPr>
            <w:tcW w:w="2809" w:type="pct"/>
            <w:vAlign w:val="center"/>
          </w:tcPr>
          <w:p>
            <w:pPr>
              <w:pStyle w:val="58"/>
              <w:jc w:val="both"/>
              <w:rPr>
                <w:rFonts w:hint="default" w:ascii="Times New Roman" w:hAnsi="Times New Roman" w:eastAsia="宋体" w:cs="Times New Roman"/>
                <w:color w:val="auto"/>
              </w:rPr>
            </w:pPr>
            <w:r>
              <w:rPr>
                <w:rFonts w:hint="default" w:ascii="Times New Roman" w:hAnsi="Times New Roman" w:eastAsia="宋体" w:cs="Times New Roman"/>
                <w:color w:val="auto"/>
              </w:rPr>
              <w:t>畜禽规模养殖项目配套建设沼气工程的，应充分考虑沼气制备及贮存过程中的环境风险，制定环境风险防范措施及应急预案。</w:t>
            </w:r>
          </w:p>
        </w:tc>
        <w:tc>
          <w:tcPr>
            <w:tcW w:w="1526"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项目未建设沼气工程。</w:t>
            </w:r>
          </w:p>
        </w:tc>
        <w:tc>
          <w:tcPr>
            <w:tcW w:w="2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81" w:type="pct"/>
            <w:vMerge w:val="continue"/>
            <w:vAlign w:val="center"/>
          </w:tcPr>
          <w:p>
            <w:pPr>
              <w:pStyle w:val="58"/>
              <w:rPr>
                <w:rFonts w:hint="default" w:ascii="Times New Roman" w:hAnsi="Times New Roman" w:eastAsia="宋体" w:cs="Times New Roman"/>
                <w:color w:val="auto"/>
              </w:rPr>
            </w:pPr>
          </w:p>
        </w:tc>
        <w:tc>
          <w:tcPr>
            <w:tcW w:w="2809" w:type="pct"/>
            <w:vAlign w:val="center"/>
          </w:tcPr>
          <w:p>
            <w:pPr>
              <w:pStyle w:val="58"/>
              <w:jc w:val="both"/>
              <w:rPr>
                <w:rFonts w:hint="default" w:ascii="Times New Roman" w:hAnsi="Times New Roman" w:eastAsia="宋体" w:cs="Times New Roman"/>
                <w:color w:val="auto"/>
              </w:rPr>
            </w:pPr>
            <w:r>
              <w:rPr>
                <w:rFonts w:hint="default" w:ascii="Times New Roman" w:hAnsi="Times New Roman" w:eastAsia="宋体" w:cs="Times New Roman"/>
                <w:color w:val="auto"/>
              </w:rPr>
              <w:t>依据相关法律法规和技术规范，制定明确的病死畜禽处理、处置方案，及时处理病死畜禽。针对畜禽规模养殖项目的恶臭影响，可采取控制饲养密度、改善舍内通风、及时清粪、采用除臭剂、集中收集处理等措施，确保项目恶臭污染物达标排放。</w:t>
            </w:r>
          </w:p>
        </w:tc>
        <w:tc>
          <w:tcPr>
            <w:tcW w:w="1526" w:type="pct"/>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本项目产生的病死</w:t>
            </w:r>
            <w:r>
              <w:rPr>
                <w:rFonts w:hint="eastAsia" w:cs="Times New Roman"/>
                <w:color w:val="auto"/>
                <w:kern w:val="0"/>
                <w:lang w:val="en-US" w:eastAsia="zh-CN"/>
              </w:rPr>
              <w:t>猪</w:t>
            </w:r>
            <w:r>
              <w:rPr>
                <w:rFonts w:hint="default" w:ascii="Times New Roman" w:hAnsi="Times New Roman" w:eastAsia="宋体" w:cs="Times New Roman"/>
                <w:color w:val="auto"/>
                <w:kern w:val="0"/>
              </w:rPr>
              <w:t>尸体</w:t>
            </w:r>
            <w:r>
              <w:rPr>
                <w:rFonts w:hint="eastAsia"/>
                <w:color w:val="auto"/>
                <w:szCs w:val="21"/>
                <w:lang w:eastAsia="zh-CN"/>
              </w:rPr>
              <w:t>采用安全填埋进行无害化处理</w:t>
            </w:r>
            <w:r>
              <w:rPr>
                <w:rFonts w:hint="default" w:ascii="Times New Roman" w:hAnsi="Times New Roman" w:eastAsia="宋体" w:cs="Times New Roman"/>
                <w:color w:val="auto"/>
                <w:kern w:val="0"/>
              </w:rPr>
              <w:t>；</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kern w:val="0"/>
              </w:rPr>
              <w:t>养殖场拟采取</w:t>
            </w:r>
            <w:r>
              <w:rPr>
                <w:rFonts w:hint="default" w:ascii="Times New Roman" w:hAnsi="Times New Roman" w:eastAsia="宋体" w:cs="Times New Roman"/>
                <w:color w:val="auto"/>
              </w:rPr>
              <w:t>控制饲养密度、改善舍内通风、及时清粪、定期喷洒除臭剂、集中收集处理等措施，确保项目恶臭污染物达标排放。</w:t>
            </w:r>
          </w:p>
        </w:tc>
        <w:tc>
          <w:tcPr>
            <w:tcW w:w="2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《内蒙古自治区畜禽养殖主要污染物减排工程项目建设技术指南（试行）》(2014)</w:t>
            </w:r>
          </w:p>
        </w:tc>
        <w:tc>
          <w:tcPr>
            <w:tcW w:w="2809"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种养结合原则，养殖产生的污染物全部得到综合利用和土地利用；牧场需要采区雨污分流制度；粪便和污水/尿液土地利用可采用农田利用、林地利用或土地改造利用，但必须保证有足够土地面积消纳，消纳土地面积要求每头</w:t>
            </w:r>
            <w:r>
              <w:rPr>
                <w:rFonts w:hint="eastAsia" w:cs="Times New Roman"/>
                <w:color w:val="auto"/>
                <w:lang w:val="en-US" w:eastAsia="zh-CN"/>
              </w:rPr>
              <w:t>猪</w:t>
            </w:r>
            <w:r>
              <w:rPr>
                <w:rFonts w:hint="default" w:ascii="Times New Roman" w:hAnsi="Times New Roman" w:eastAsia="宋体" w:cs="Times New Roman"/>
                <w:color w:val="auto"/>
              </w:rPr>
              <w:t>不少于</w:t>
            </w:r>
            <w:r>
              <w:rPr>
                <w:rFonts w:hint="eastAsia" w:cs="Times New Roman"/>
                <w:color w:val="auto"/>
                <w:lang w:val="en-US" w:eastAsia="zh-CN"/>
              </w:rPr>
              <w:t>0.1</w:t>
            </w:r>
            <w:r>
              <w:rPr>
                <w:rFonts w:hint="default" w:ascii="Times New Roman" w:hAnsi="Times New Roman" w:eastAsia="宋体" w:cs="Times New Roman"/>
                <w:color w:val="auto"/>
              </w:rPr>
              <w:t>亩土地；粪便采取干清粪工艺，粪便进行堆肥发酵后土地消纳，粪便堆放场可有使用容积要求每头</w:t>
            </w:r>
            <w:r>
              <w:rPr>
                <w:rFonts w:hint="eastAsia" w:cs="Times New Roman"/>
                <w:color w:val="auto"/>
                <w:lang w:val="en-US" w:eastAsia="zh-CN"/>
              </w:rPr>
              <w:t>猪</w:t>
            </w:r>
            <w:r>
              <w:rPr>
                <w:rFonts w:hint="default" w:ascii="Times New Roman" w:hAnsi="Times New Roman" w:eastAsia="宋体" w:cs="Times New Roman"/>
                <w:color w:val="auto"/>
              </w:rPr>
              <w:t>不低于0.</w:t>
            </w:r>
            <w:r>
              <w:rPr>
                <w:rFonts w:hint="eastAsia" w:cs="Times New Roman"/>
                <w:color w:val="auto"/>
                <w:lang w:val="en-US" w:eastAsia="zh-CN"/>
              </w:rPr>
              <w:t>0</w:t>
            </w:r>
            <w:r>
              <w:rPr>
                <w:rFonts w:hint="default" w:ascii="Times New Roman" w:hAnsi="Times New Roman" w:eastAsia="宋体" w:cs="Times New Roman"/>
                <w:color w:val="auto"/>
              </w:rPr>
              <w:t>5m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。粪污处理区需采取防雨防渗措施”。</w:t>
            </w:r>
          </w:p>
        </w:tc>
        <w:tc>
          <w:tcPr>
            <w:tcW w:w="1526" w:type="pct"/>
            <w:vAlign w:val="center"/>
          </w:tcPr>
          <w:p>
            <w:pPr>
              <w:pStyle w:val="58"/>
              <w:rPr>
                <w:rFonts w:hint="eastAsia"/>
                <w:color w:val="auto"/>
                <w:lang w:eastAsia="zh-CN"/>
              </w:rPr>
            </w:pPr>
            <w:r>
              <w:rPr>
                <w:rFonts w:hint="default" w:ascii="Times New Roman" w:hAnsi="Times New Roman" w:eastAsia="宋体" w:cs="Times New Roman"/>
                <w:color w:val="auto"/>
              </w:rPr>
              <w:t>本项目产生的</w:t>
            </w:r>
            <w:r>
              <w:rPr>
                <w:rFonts w:hint="eastAsia" w:cs="Times New Roman"/>
                <w:color w:val="auto"/>
                <w:lang w:val="en-US" w:eastAsia="zh-CN"/>
              </w:rPr>
              <w:t>养殖废水经处理后</w:t>
            </w:r>
            <w:r>
              <w:rPr>
                <w:rFonts w:hint="default" w:ascii="Times New Roman" w:hAnsi="Times New Roman" w:eastAsia="宋体" w:cs="Times New Roman"/>
                <w:color w:val="auto"/>
              </w:rPr>
              <w:t>全部用于场区周边配套的农田施肥，</w:t>
            </w:r>
            <w:r>
              <w:rPr>
                <w:rFonts w:hint="eastAsia" w:cs="Times New Roman"/>
                <w:color w:val="auto"/>
                <w:lang w:eastAsia="zh-CN"/>
              </w:rPr>
              <w:t>粪便出售有机肥生产厂家进行资源化利用</w:t>
            </w:r>
            <w:r>
              <w:rPr>
                <w:rFonts w:hint="eastAsia"/>
                <w:color w:val="auto"/>
                <w:lang w:eastAsia="zh-CN"/>
              </w:rPr>
              <w:t>；</w:t>
            </w:r>
          </w:p>
          <w:p>
            <w:pPr>
              <w:pStyle w:val="58"/>
              <w:rPr>
                <w:rFonts w:hint="eastAsia" w:cs="Times New Roman"/>
                <w:color w:val="auto"/>
                <w:lang w:eastAsia="zh-CN"/>
              </w:rPr>
            </w:pPr>
            <w:r>
              <w:rPr>
                <w:rFonts w:hint="eastAsia"/>
                <w:color w:val="auto"/>
                <w:lang w:val="en-US" w:eastAsia="zh-CN"/>
              </w:rPr>
              <w:t>场区</w:t>
            </w:r>
            <w:r>
              <w:rPr>
                <w:rFonts w:hint="default" w:ascii="Times New Roman" w:hAnsi="Times New Roman" w:eastAsia="宋体" w:cs="Times New Roman"/>
                <w:color w:val="auto"/>
              </w:rPr>
              <w:t>实施了雨污分流制度</w:t>
            </w:r>
            <w:r>
              <w:rPr>
                <w:rFonts w:hint="eastAsia" w:cs="Times New Roman"/>
                <w:color w:val="auto"/>
                <w:lang w:eastAsia="zh-CN"/>
              </w:rPr>
              <w:t>；</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项目配套消纳土地</w:t>
            </w:r>
            <w:r>
              <w:rPr>
                <w:rFonts w:hint="eastAsia" w:cs="Times New Roman"/>
                <w:color w:val="auto"/>
                <w:lang w:val="en-US" w:eastAsia="zh-CN"/>
              </w:rPr>
              <w:t>100</w:t>
            </w:r>
            <w:r>
              <w:rPr>
                <w:rFonts w:hint="default" w:ascii="Times New Roman" w:hAnsi="Times New Roman" w:eastAsia="宋体" w:cs="Times New Roman"/>
                <w:color w:val="auto"/>
                <w:lang w:eastAsia="zh-CN"/>
              </w:rPr>
              <w:t>0亩</w:t>
            </w:r>
            <w:r>
              <w:rPr>
                <w:rFonts w:hint="default" w:ascii="Times New Roman" w:hAnsi="Times New Roman" w:eastAsia="宋体" w:cs="Times New Roman"/>
                <w:color w:val="auto"/>
              </w:rPr>
              <w:t>，满足土地消纳要求，项目</w:t>
            </w:r>
            <w:r>
              <w:rPr>
                <w:rFonts w:hint="eastAsia" w:cs="Times New Roman"/>
                <w:color w:val="auto"/>
                <w:lang w:eastAsia="zh-CN"/>
              </w:rPr>
              <w:t>晾粪台</w:t>
            </w:r>
            <w:r>
              <w:rPr>
                <w:rFonts w:hint="default" w:ascii="Times New Roman" w:hAnsi="Times New Roman" w:eastAsia="宋体" w:cs="Times New Roman"/>
                <w:color w:val="auto"/>
              </w:rPr>
              <w:t>面积为</w:t>
            </w:r>
            <w:r>
              <w:rPr>
                <w:rFonts w:hint="eastAsia" w:cs="Times New Roman"/>
                <w:color w:val="auto"/>
                <w:lang w:val="en-US" w:eastAsia="zh-CN"/>
              </w:rPr>
              <w:t>1500</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，满足粪便堆放场的要求。</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因此，本项目运营期产生液肥可完全消纳。</w:t>
            </w:r>
          </w:p>
        </w:tc>
        <w:tc>
          <w:tcPr>
            <w:tcW w:w="2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bl>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br w:type="page"/>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表2.7-4    本项目与相关规划、方案的符合性分析</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986"/>
        <w:gridCol w:w="7613"/>
        <w:gridCol w:w="3978"/>
        <w:gridCol w:w="81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69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相关规划</w:t>
            </w:r>
          </w:p>
        </w:tc>
        <w:tc>
          <w:tcPr>
            <w:tcW w:w="2645"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相关条款及规定</w:t>
            </w:r>
          </w:p>
        </w:tc>
        <w:tc>
          <w:tcPr>
            <w:tcW w:w="138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符合性分析</w:t>
            </w:r>
          </w:p>
        </w:tc>
        <w:tc>
          <w:tcPr>
            <w:tcW w:w="28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0" w:hRule="atLeast"/>
        </w:trPr>
        <w:tc>
          <w:tcPr>
            <w:tcW w:w="690" w:type="pct"/>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内蒙古自治区《畜禽粪污资源化利用工作方案》（2017—2020年）</w:t>
            </w:r>
          </w:p>
        </w:tc>
        <w:tc>
          <w:tcPr>
            <w:tcW w:w="2645"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根据我区现阶段畜禽养殖现状和资源环境特点，以源头减量、过程控制、末端利用为核心，重点推广经济适用的通用技术模式。</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是源头减量。推广使用微生物制剂、酶制剂等饲料添加剂和低氮低磷低矿物质饲料配方，提高饲料转化效率，促进兽药和铜、锌饲料添加剂减量使用，降低养殖业排放。推动生猪、奶牛规模养殖场改水冲粪为干清粪，采用节水型饮水器或饮水分流装置，实行雨污分离、回收污水循环清粪等有效措施，从源头上控制养殖污水产生量。</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是过程控制。规模养殖场根据土地承载能力确定适宜养殖规模，建设粪污处理设施，使用堆肥发酵菌剂、粪水处理菌剂和臭气控制菌剂等，加速粪污无害化处理过程，减少氮磷和臭气排放。三是末端利用。生猪和奶牛等规模化养殖场鼓励采用粪污全量收集还田利用和“固体粪便堆肥+污水肥料化利用”等技术模式，推广快速低排放的固体粪便堆肥技术和水肥一体化施用技术，促进畜禽粪污就近就地还田利用。</w:t>
            </w:r>
          </w:p>
        </w:tc>
        <w:tc>
          <w:tcPr>
            <w:tcW w:w="1382" w:type="pct"/>
            <w:vAlign w:val="center"/>
          </w:tcPr>
          <w:p>
            <w:pPr>
              <w:pStyle w:val="58"/>
              <w:rPr>
                <w:rFonts w:hint="default" w:ascii="Times New Roman" w:hAnsi="Times New Roman" w:eastAsia="宋体" w:cs="Times New Roman"/>
                <w:color w:val="auto"/>
              </w:rPr>
            </w:pPr>
            <w:r>
              <w:rPr>
                <w:rFonts w:hint="eastAsia" w:cs="Times New Roman"/>
                <w:color w:val="auto"/>
                <w:lang w:val="en-US" w:eastAsia="zh-CN"/>
              </w:rPr>
              <w:t>一</w:t>
            </w:r>
            <w:r>
              <w:rPr>
                <w:rFonts w:hint="default" w:ascii="Times New Roman" w:hAnsi="Times New Roman" w:eastAsia="宋体" w:cs="Times New Roman"/>
                <w:color w:val="auto"/>
              </w:rPr>
              <w:t>项目采取科学的饲养方式，饲料中添加EM制剂，减少氮的排放量和粪的生产量，减少污染物排放和恶臭气体的产生。</w:t>
            </w:r>
          </w:p>
          <w:p>
            <w:pPr>
              <w:pStyle w:val="58"/>
              <w:rPr>
                <w:rFonts w:hint="default" w:ascii="Times New Roman" w:hAnsi="Times New Roman" w:eastAsia="宋体" w:cs="Times New Roman"/>
                <w:color w:val="auto"/>
              </w:rPr>
            </w:pPr>
            <w:r>
              <w:rPr>
                <w:rFonts w:hint="eastAsia" w:cs="Times New Roman"/>
                <w:color w:val="auto"/>
                <w:lang w:val="en-US" w:eastAsia="zh-CN"/>
              </w:rPr>
              <w:t>二</w:t>
            </w:r>
            <w:r>
              <w:rPr>
                <w:rFonts w:hint="default" w:ascii="Times New Roman" w:hAnsi="Times New Roman" w:eastAsia="宋体" w:cs="Times New Roman"/>
                <w:color w:val="auto"/>
              </w:rPr>
              <w:t>项目配套消纳土地</w:t>
            </w:r>
            <w:r>
              <w:rPr>
                <w:rFonts w:hint="eastAsia" w:cs="Times New Roman"/>
                <w:color w:val="auto"/>
                <w:lang w:val="en-US" w:eastAsia="zh-CN"/>
              </w:rPr>
              <w:t>100</w:t>
            </w:r>
            <w:r>
              <w:rPr>
                <w:rFonts w:hint="default" w:ascii="Times New Roman" w:hAnsi="Times New Roman" w:eastAsia="宋体" w:cs="Times New Roman"/>
                <w:color w:val="auto"/>
                <w:lang w:eastAsia="zh-CN"/>
              </w:rPr>
              <w:t>0亩</w:t>
            </w:r>
            <w:r>
              <w:rPr>
                <w:rFonts w:hint="default" w:ascii="Times New Roman" w:hAnsi="Times New Roman" w:eastAsia="宋体" w:cs="Times New Roman"/>
                <w:color w:val="auto"/>
              </w:rPr>
              <w:t>，满足土地消纳要求</w:t>
            </w:r>
            <w:r>
              <w:rPr>
                <w:rFonts w:hint="default" w:ascii="Times New Roman" w:hAnsi="Times New Roman" w:eastAsia="宋体" w:cs="Times New Roman"/>
                <w:color w:val="auto"/>
                <w:kern w:val="0"/>
              </w:rPr>
              <w:t>；养殖场拟采取</w:t>
            </w:r>
            <w:r>
              <w:rPr>
                <w:rFonts w:hint="default" w:ascii="Times New Roman" w:hAnsi="Times New Roman" w:eastAsia="宋体" w:cs="Times New Roman"/>
                <w:color w:val="auto"/>
              </w:rPr>
              <w:t>控制饲养密度、改善舍内通风、及时清粪、定期喷洒除臭剂、集中收集处理等措施，确保项目恶臭污染物达标排放。</w:t>
            </w:r>
          </w:p>
          <w:p>
            <w:pPr>
              <w:pStyle w:val="58"/>
              <w:rPr>
                <w:rFonts w:hint="default" w:ascii="Times New Roman" w:hAnsi="Times New Roman" w:eastAsia="宋体" w:cs="Times New Roman"/>
                <w:color w:val="auto"/>
              </w:rPr>
            </w:pPr>
            <w:r>
              <w:rPr>
                <w:rFonts w:hint="eastAsia" w:cs="Times New Roman"/>
                <w:color w:val="auto"/>
                <w:lang w:val="en-US" w:eastAsia="zh-CN"/>
              </w:rPr>
              <w:t>三</w:t>
            </w:r>
            <w:r>
              <w:rPr>
                <w:rFonts w:hint="default" w:ascii="Times New Roman" w:hAnsi="Times New Roman" w:eastAsia="宋体" w:cs="Times New Roman"/>
                <w:color w:val="auto"/>
              </w:rPr>
              <w:t>项目产生的</w:t>
            </w:r>
            <w:r>
              <w:rPr>
                <w:rFonts w:hint="eastAsia" w:cs="Times New Roman"/>
                <w:color w:val="auto"/>
                <w:lang w:val="en-US" w:eastAsia="zh-CN"/>
              </w:rPr>
              <w:t>养殖废水经处理后</w:t>
            </w:r>
            <w:r>
              <w:rPr>
                <w:rFonts w:hint="default" w:ascii="Times New Roman" w:hAnsi="Times New Roman" w:eastAsia="宋体" w:cs="Times New Roman"/>
                <w:color w:val="auto"/>
              </w:rPr>
              <w:t>全部用于场区周边配套的农田施肥，</w:t>
            </w:r>
            <w:r>
              <w:rPr>
                <w:rFonts w:hint="eastAsia" w:cs="Times New Roman"/>
                <w:color w:val="auto"/>
                <w:lang w:eastAsia="zh-CN"/>
              </w:rPr>
              <w:t>粪便出售有机肥生产厂家进行资源化利用</w:t>
            </w:r>
            <w:r>
              <w:rPr>
                <w:rFonts w:hint="default" w:ascii="Times New Roman" w:hAnsi="Times New Roman" w:eastAsia="宋体" w:cs="Times New Roman"/>
                <w:color w:val="auto"/>
              </w:rPr>
              <w:t>，实现粪污全还田。</w:t>
            </w:r>
          </w:p>
        </w:tc>
        <w:tc>
          <w:tcPr>
            <w:tcW w:w="28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0" w:hRule="atLeast"/>
        </w:trPr>
        <w:tc>
          <w:tcPr>
            <w:tcW w:w="690" w:type="pct"/>
            <w:vMerge w:val="continue"/>
            <w:vAlign w:val="center"/>
          </w:tcPr>
          <w:p>
            <w:pPr>
              <w:pStyle w:val="58"/>
              <w:rPr>
                <w:color w:val="auto"/>
              </w:rPr>
            </w:pPr>
          </w:p>
        </w:tc>
        <w:tc>
          <w:tcPr>
            <w:tcW w:w="2645"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我区土地面积大、冬季气温低，环境承载力和土地消纳能力相对较高，在此基础上，东、中、西各区域应因地制宜，根据区域特征、饲养工艺和环境承载力的不同，分别推广以下模式：</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是“粪污全量收集还田利用”模式。对于养殖密集区或大型规模养殖场，依托专业化粪污处理利用企业，集中收集并通过氧化塘贮存对粪污进行无害化处理，在作物收割后或播种前利用专业化施肥机械施用到农田，减少化肥施用量。</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二是“污水肥料化利用”模式。对于有配套农田的规模养殖场，养殖污水通过氧化塘贮存或沼气工程进行无害化处理，在作物收获后或播种前作为底肥施用。</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三是“粪污专业化能源利用”模式。依托大规模养殖场或第三方粪污处理企业，对一定区域内的粪污进行集中收集，通过大型沼气工程或生物天然气工程，沼气发电上网或提纯生物天然气，沼渣生产有机肥，沼液通过农田利用或浓缩使用。</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四是“粪便垫料回用”模式。规模奶</w:t>
            </w:r>
            <w:r>
              <w:rPr>
                <w:rFonts w:hint="eastAsia" w:cs="Times New Roman"/>
                <w:color w:val="auto"/>
                <w:lang w:eastAsia="zh-CN"/>
              </w:rPr>
              <w:t>猪场</w:t>
            </w:r>
            <w:r>
              <w:rPr>
                <w:rFonts w:hint="default" w:ascii="Times New Roman" w:hAnsi="Times New Roman" w:eastAsia="宋体" w:cs="Times New Roman"/>
                <w:color w:val="auto"/>
              </w:rPr>
              <w:t>粪污进行固液分离，固体粪便经过高温快速发酵和杀菌处理后作为牛床垫料，养殖污水进行厌氧、好氧深度处理，达标排放或消毒回用。</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五是“异位发酵床”模式。粪污通过漏缝地板进入底层或转移到舍外，利用垫料和微生物菌进行发酵分解。采用“公司+农户”模式的家庭农场宜采用舍外发酵床模式，规模生猪养殖场宜采用高架发酵床模式。</w:t>
            </w:r>
          </w:p>
        </w:tc>
        <w:tc>
          <w:tcPr>
            <w:tcW w:w="138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本项目</w:t>
            </w:r>
            <w:r>
              <w:rPr>
                <w:rFonts w:hint="eastAsia" w:cs="Times New Roman"/>
                <w:color w:val="auto"/>
                <w:lang w:val="en-US" w:eastAsia="zh-CN"/>
              </w:rPr>
              <w:t>选用模式一，</w:t>
            </w:r>
            <w:r>
              <w:rPr>
                <w:rFonts w:hint="default" w:ascii="Times New Roman" w:hAnsi="Times New Roman" w:eastAsia="宋体" w:cs="Times New Roman"/>
                <w:color w:val="auto"/>
              </w:rPr>
              <w:t>产生的</w:t>
            </w:r>
            <w:r>
              <w:rPr>
                <w:rFonts w:hint="eastAsia" w:cs="Times New Roman"/>
                <w:color w:val="auto"/>
                <w:lang w:val="en-US" w:eastAsia="zh-CN"/>
              </w:rPr>
              <w:t>养殖废水经处理后</w:t>
            </w:r>
            <w:r>
              <w:rPr>
                <w:rFonts w:hint="default" w:ascii="Times New Roman" w:hAnsi="Times New Roman" w:eastAsia="宋体" w:cs="Times New Roman"/>
                <w:color w:val="auto"/>
              </w:rPr>
              <w:t>全部用于场区周边配套的农田施肥，</w:t>
            </w:r>
            <w:r>
              <w:rPr>
                <w:rFonts w:hint="eastAsia" w:cs="Times New Roman"/>
                <w:color w:val="auto"/>
                <w:lang w:eastAsia="zh-CN"/>
              </w:rPr>
              <w:t>粪便出售有机肥生产厂家进行资源化利用</w:t>
            </w:r>
          </w:p>
        </w:tc>
        <w:tc>
          <w:tcPr>
            <w:tcW w:w="28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bl>
    <w:p>
      <w:pPr>
        <w:ind w:firstLine="480"/>
        <w:rPr>
          <w:rFonts w:hint="default" w:ascii="Times New Roman" w:hAnsi="Times New Roman" w:eastAsia="宋体" w:cs="Times New Roman"/>
          <w:color w:val="auto"/>
        </w:rPr>
        <w:sectPr>
          <w:pgSz w:w="16838" w:h="11906" w:orient="landscape"/>
          <w:pgMar w:top="1701" w:right="1418" w:bottom="1418" w:left="1247" w:header="851" w:footer="680" w:gutter="0"/>
          <w:pgBorders>
            <w:top w:val="none" w:sz="0" w:space="0"/>
            <w:left w:val="none" w:sz="0" w:space="0"/>
            <w:bottom w:val="none" w:sz="0" w:space="0"/>
            <w:right w:val="none" w:sz="0" w:space="0"/>
          </w:pgBorders>
          <w:pgNumType w:fmt="numberInDash"/>
          <w:cols w:space="425" w:num="1"/>
          <w:docGrid w:linePitch="326" w:charSpace="0"/>
        </w:sectPr>
      </w:pP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2017年6月12日，国务院办公厅下发《关于加快推进畜禽养殖废弃物资源化利用的意见》，这是畜牧业史上第一个专门针对粪污处理的指导性文件。《意见》特别强调“保供给和保生态并重”、“生产发展和环境保护协同推进”。2017年9月30日，中共中央办公厅、国务院办公厅印发了《关于创新体制机制推进农业绿色发展的意见》，再次将农业绿色发展摆在生态文明建设全局的突出位置，明确了“秸秆、畜禽粪污、农膜等农业废弃物全利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综上，本项目属于规模化、标准化养殖项目，项目产生的</w:t>
      </w:r>
      <w:r>
        <w:rPr>
          <w:rFonts w:hint="eastAsia" w:cs="Times New Roman"/>
          <w:color w:val="auto"/>
          <w:lang w:val="en-US" w:eastAsia="zh-CN"/>
        </w:rPr>
        <w:t>养殖废水经处理后</w:t>
      </w:r>
      <w:r>
        <w:rPr>
          <w:rFonts w:hint="default" w:ascii="Times New Roman" w:hAnsi="Times New Roman" w:eastAsia="宋体" w:cs="Times New Roman"/>
          <w:color w:val="auto"/>
        </w:rPr>
        <w:t>全部用于场区周边配套的农田施肥，</w:t>
      </w:r>
      <w:r>
        <w:rPr>
          <w:rFonts w:hint="eastAsia" w:cs="Times New Roman"/>
          <w:color w:val="auto"/>
          <w:lang w:eastAsia="zh-CN"/>
        </w:rPr>
        <w:t>粪便出售有机肥生产厂家进行资源化利用</w:t>
      </w:r>
      <w:r>
        <w:rPr>
          <w:rFonts w:hint="eastAsia" w:cs="Times New Roman"/>
          <w:color w:val="auto"/>
          <w:lang w:val="en-US" w:eastAsia="zh-CN"/>
        </w:rPr>
        <w:t>，</w:t>
      </w:r>
      <w:r>
        <w:rPr>
          <w:rFonts w:hint="default" w:ascii="Times New Roman" w:hAnsi="Times New Roman" w:eastAsia="宋体" w:cs="Times New Roman"/>
          <w:color w:val="auto"/>
        </w:rPr>
        <w:t>畜禽粪便综合利用率达100%；本项目的建设符合相关规划及政策的导向要求。</w:t>
      </w:r>
    </w:p>
    <w:p>
      <w:pPr>
        <w:pStyle w:val="6"/>
        <w:rPr>
          <w:rFonts w:hint="default" w:ascii="Times New Roman" w:hAnsi="Times New Roman" w:eastAsia="宋体" w:cs="Times New Roman"/>
          <w:color w:val="auto"/>
        </w:rPr>
      </w:pPr>
      <w:bookmarkStart w:id="178" w:name="_Toc27211"/>
      <w:r>
        <w:rPr>
          <w:rFonts w:hint="default" w:ascii="Times New Roman" w:hAnsi="Times New Roman" w:eastAsia="宋体" w:cs="Times New Roman"/>
          <w:color w:val="auto"/>
        </w:rPr>
        <w:t>2.7.6选址合理性分析</w:t>
      </w:r>
      <w:bookmarkEnd w:id="17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（1）用地符合性分析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pPr>
        <w:ind w:firstLine="480"/>
        <w:rPr>
          <w:rFonts w:hint="default" w:ascii="Times New Roman" w:hAnsi="Times New Roman" w:eastAsia="宋体" w:cs="Times New Roman"/>
          <w:color w:val="auto"/>
        </w:rPr>
      </w:pPr>
      <w:r>
        <w:rPr>
          <w:rFonts w:hint="eastAsia"/>
          <w:color w:val="auto"/>
        </w:rPr>
        <w:t>本项目</w:t>
      </w:r>
      <w:r>
        <w:rPr>
          <w:rFonts w:hint="eastAsia"/>
          <w:color w:val="auto"/>
          <w:lang w:val="en-US" w:eastAsia="zh-CN"/>
        </w:rPr>
        <w:t>的建设地点位于</w:t>
      </w:r>
      <w:r>
        <w:rPr>
          <w:rFonts w:hint="eastAsia"/>
          <w:color w:val="auto"/>
          <w:lang w:eastAsia="zh-CN"/>
        </w:rPr>
        <w:t>巴彦淖尔市五原县天吉泰镇二合永村一组</w:t>
      </w:r>
      <w:r>
        <w:rPr>
          <w:rFonts w:hint="eastAsia"/>
          <w:color w:val="auto"/>
        </w:rPr>
        <w:t>，不属于五原县禁养区范围内</w:t>
      </w:r>
      <w:r>
        <w:rPr>
          <w:rFonts w:hint="eastAsia"/>
          <w:color w:val="auto"/>
          <w:lang w:eastAsia="zh-CN"/>
        </w:rPr>
        <w:t>；</w:t>
      </w:r>
      <w:r>
        <w:rPr>
          <w:rFonts w:hint="eastAsia"/>
          <w:color w:val="auto"/>
          <w:lang w:val="en-US" w:eastAsia="zh-CN"/>
        </w:rPr>
        <w:t>根据天吉泰镇土地利用总体规划图可知，本项目用地性质为沙地和内陆滩涂</w:t>
      </w:r>
      <w:r>
        <w:rPr>
          <w:rFonts w:hint="eastAsia"/>
          <w:color w:val="auto"/>
        </w:rPr>
        <w:t>，符合五原县土地利用总体规划</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（2）场址选择合理性分析</w:t>
      </w:r>
    </w:p>
    <w:p>
      <w:pPr>
        <w:ind w:firstLine="480"/>
        <w:rPr>
          <w:rFonts w:hint="default" w:ascii="Times New Roman" w:hAnsi="Times New Roman" w:eastAsia="宋体" w:cs="Times New Roman"/>
          <w:color w:val="auto"/>
        </w:rPr>
        <w:sectPr>
          <w:pgSz w:w="11906" w:h="16838"/>
          <w:pgMar w:top="1418" w:right="1304" w:bottom="1191" w:left="1418" w:header="851"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Times New Roman" w:hAnsi="Times New Roman" w:eastAsia="宋体" w:cs="Times New Roman"/>
          <w:color w:val="auto"/>
        </w:rPr>
        <w:t>项目与《畜禽养殖业污染防治条例》、《畜禽养殖业污染防治技术规范》、《关于做好畜禽规模养殖项目环境影响评价管理工作的通知》等法律法规和行业规范要求中规定符合性分析见下表。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表2.7-</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rPr>
        <w:t xml:space="preserve">   项目选址合理性对照表</w:t>
      </w:r>
    </w:p>
    <w:tbl>
      <w:tblPr>
        <w:tblStyle w:val="34"/>
        <w:tblW w:w="0" w:type="auto"/>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093"/>
        <w:gridCol w:w="7229"/>
        <w:gridCol w:w="4397"/>
        <w:gridCol w:w="67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09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名称</w:t>
            </w:r>
          </w:p>
        </w:tc>
        <w:tc>
          <w:tcPr>
            <w:tcW w:w="7229"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相关条文</w:t>
            </w:r>
          </w:p>
        </w:tc>
        <w:tc>
          <w:tcPr>
            <w:tcW w:w="4397"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项目情况</w:t>
            </w:r>
          </w:p>
        </w:tc>
        <w:tc>
          <w:tcPr>
            <w:tcW w:w="67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09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《畜禽规模养殖污染防治条例》（国务院令第643号，2014年1月1日施行）</w:t>
            </w:r>
          </w:p>
        </w:tc>
        <w:tc>
          <w:tcPr>
            <w:tcW w:w="7229" w:type="dxa"/>
            <w:vAlign w:val="center"/>
          </w:tcPr>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第十一条禁止在下列区域内建设畜禽养殖场、养殖小区：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（一）饮用水水源保护区、风景名胜区；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（二）自然保护区的核心区和缓冲区；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（三）城镇居民区、文化教育科学研究区等人口集中区域；</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（四）法律、法规规定的其他禁止养殖区域。</w:t>
            </w:r>
          </w:p>
        </w:tc>
        <w:tc>
          <w:tcPr>
            <w:tcW w:w="4397" w:type="dxa"/>
            <w:vAlign w:val="center"/>
          </w:tcPr>
          <w:p>
            <w:pPr>
              <w:pStyle w:val="58"/>
              <w:jc w:val="left"/>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w:t>（一）项目建设区域</w:t>
            </w:r>
            <w:r>
              <w:rPr>
                <w:rFonts w:hint="default" w:ascii="Times New Roman" w:hAnsi="Times New Roman" w:eastAsia="宋体" w:cs="Times New Roman"/>
                <w:color w:val="auto"/>
                <w:lang w:eastAsia="zh-CN"/>
              </w:rPr>
              <w:t>不在</w:t>
            </w:r>
            <w:r>
              <w:rPr>
                <w:rFonts w:hint="default" w:ascii="Times New Roman" w:hAnsi="Times New Roman" w:eastAsia="宋体" w:cs="Times New Roman"/>
                <w:color w:val="auto"/>
              </w:rPr>
              <w:t>饮用水水源保护区</w:t>
            </w:r>
            <w:r>
              <w:rPr>
                <w:rFonts w:hint="eastAsia" w:ascii="Times New Roman" w:hAnsi="Times New Roman" w:cs="Times New Roman"/>
                <w:color w:val="auto"/>
                <w:lang w:eastAsia="zh-CN"/>
              </w:rPr>
              <w:t>，</w:t>
            </w:r>
            <w:r>
              <w:rPr>
                <w:rFonts w:hint="default" w:ascii="Times New Roman" w:hAnsi="Times New Roman" w:eastAsia="宋体" w:cs="Times New Roman"/>
                <w:color w:val="auto"/>
              </w:rPr>
              <w:t>风景名胜区范围内</w:t>
            </w:r>
            <w:r>
              <w:rPr>
                <w:rFonts w:hint="eastAsia" w:cs="Times New Roman"/>
                <w:color w:val="auto"/>
                <w:lang w:eastAsia="zh-CN"/>
              </w:rPr>
              <w:t>；</w:t>
            </w:r>
          </w:p>
          <w:p>
            <w:pPr>
              <w:pStyle w:val="58"/>
              <w:jc w:val="left"/>
              <w:rPr>
                <w:rFonts w:hint="eastAsia" w:cs="Times New Roman"/>
                <w:color w:val="auto"/>
                <w:lang w:eastAsia="zh-CN"/>
              </w:rPr>
            </w:pPr>
            <w:r>
              <w:rPr>
                <w:rFonts w:hint="default" w:ascii="Times New Roman" w:hAnsi="Times New Roman" w:eastAsia="宋体" w:cs="Times New Roman"/>
                <w:color w:val="auto"/>
              </w:rPr>
              <w:t>（</w:t>
            </w:r>
            <w:r>
              <w:rPr>
                <w:rFonts w:hint="eastAsia" w:ascii="Times New Roman" w:hAnsi="Times New Roman" w:cs="Times New Roman"/>
                <w:color w:val="auto"/>
                <w:lang w:val="en-US" w:eastAsia="zh-CN"/>
              </w:rPr>
              <w:t>二</w:t>
            </w:r>
            <w:r>
              <w:rPr>
                <w:rFonts w:hint="default" w:ascii="Times New Roman" w:hAnsi="Times New Roman" w:eastAsia="宋体" w:cs="Times New Roman"/>
                <w:color w:val="auto"/>
              </w:rPr>
              <w:t>）项目建设区域</w:t>
            </w:r>
            <w:r>
              <w:rPr>
                <w:rFonts w:hint="default" w:ascii="Times New Roman" w:hAnsi="Times New Roman" w:eastAsia="宋体" w:cs="Times New Roman"/>
                <w:color w:val="auto"/>
                <w:lang w:eastAsia="zh-CN"/>
              </w:rPr>
              <w:t>不在</w:t>
            </w:r>
            <w:r>
              <w:rPr>
                <w:rFonts w:hint="default" w:ascii="Times New Roman" w:hAnsi="Times New Roman" w:eastAsia="宋体" w:cs="Times New Roman"/>
                <w:color w:val="auto"/>
              </w:rPr>
              <w:t>自然保护区的核心区和缓冲区</w:t>
            </w:r>
            <w:r>
              <w:rPr>
                <w:rFonts w:hint="default" w:ascii="Times New Roman" w:hAnsi="Times New Roman" w:eastAsia="宋体" w:cs="Times New Roman"/>
                <w:color w:val="auto"/>
                <w:lang w:eastAsia="zh-CN"/>
              </w:rPr>
              <w:t>内</w:t>
            </w:r>
            <w:r>
              <w:rPr>
                <w:rFonts w:hint="eastAsia" w:cs="Times New Roman"/>
                <w:color w:val="auto"/>
                <w:lang w:eastAsia="zh-CN"/>
              </w:rPr>
              <w:t>；</w:t>
            </w:r>
          </w:p>
          <w:p>
            <w:pPr>
              <w:pStyle w:val="58"/>
              <w:jc w:val="left"/>
              <w:rPr>
                <w:rFonts w:hint="eastAsia" w:cs="Times New Roman"/>
                <w:color w:val="auto"/>
                <w:lang w:eastAsia="zh-CN"/>
              </w:rPr>
            </w:pPr>
            <w:r>
              <w:rPr>
                <w:rFonts w:hint="default" w:ascii="Times New Roman" w:hAnsi="Times New Roman" w:eastAsia="宋体" w:cs="Times New Roman"/>
                <w:color w:val="auto"/>
              </w:rPr>
              <w:t>（</w:t>
            </w:r>
            <w:r>
              <w:rPr>
                <w:rFonts w:hint="eastAsia" w:ascii="Times New Roman" w:hAnsi="Times New Roman" w:cs="Times New Roman"/>
                <w:color w:val="auto"/>
                <w:lang w:val="en-US" w:eastAsia="zh-CN"/>
              </w:rPr>
              <w:t>三</w:t>
            </w:r>
            <w:r>
              <w:rPr>
                <w:rFonts w:hint="default" w:ascii="Times New Roman" w:hAnsi="Times New Roman" w:eastAsia="宋体" w:cs="Times New Roman"/>
                <w:color w:val="auto"/>
              </w:rPr>
              <w:t>）项目位于农村地区，也不在城镇居民区、文化教育科学研究区等人口集中区域</w:t>
            </w:r>
            <w:r>
              <w:rPr>
                <w:rFonts w:hint="eastAsia" w:cs="Times New Roman"/>
                <w:color w:val="auto"/>
                <w:lang w:eastAsia="zh-CN"/>
              </w:rPr>
              <w:t>；</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ascii="Times New Roman" w:hAnsi="Times New Roman" w:cs="Times New Roman"/>
                <w:color w:val="auto"/>
                <w:lang w:val="en-US" w:eastAsia="zh-CN"/>
              </w:rPr>
              <w:t>四</w:t>
            </w:r>
            <w:r>
              <w:rPr>
                <w:rFonts w:hint="default" w:ascii="Times New Roman" w:hAnsi="Times New Roman" w:eastAsia="宋体" w:cs="Times New Roman"/>
                <w:color w:val="auto"/>
              </w:rPr>
              <w:t>）项目建设区域不在</w:t>
            </w:r>
            <w:r>
              <w:rPr>
                <w:rFonts w:hint="eastAsia" w:cs="Times New Roman"/>
                <w:color w:val="auto"/>
                <w:lang w:val="en-US" w:eastAsia="zh-CN"/>
              </w:rPr>
              <w:t>五原县</w:t>
            </w:r>
            <w:r>
              <w:rPr>
                <w:rFonts w:hint="default" w:ascii="Times New Roman" w:hAnsi="Times New Roman" w:eastAsia="宋体" w:cs="Times New Roman"/>
                <w:color w:val="auto"/>
              </w:rPr>
              <w:t>禁养区范围内。</w:t>
            </w:r>
          </w:p>
        </w:tc>
        <w:tc>
          <w:tcPr>
            <w:tcW w:w="67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09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《畜禽养殖业污染防治技术规范》（HJ/T81-2001）</w:t>
            </w:r>
          </w:p>
        </w:tc>
        <w:tc>
          <w:tcPr>
            <w:tcW w:w="7229" w:type="dxa"/>
            <w:vAlign w:val="center"/>
          </w:tcPr>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3选址要求</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3.1禁止在下列区域内建设畜禽养殖场：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3.1.1生活饮用水水源保护区、风景名胜区、自然保护区的核心区及缓冲区；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3.1.2城市和城镇居民区，包括文教科研区、医疗区、商业区、工业区、游览区等人口集中地区；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3.1.3县级人民政府划定的禁养区域；</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3.1.4国家或地方法律、法规规定需特殊保护的其他区域。</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3.2新建、扩建、改建的畜禽养殖场应避开3.1规定的禁建区域，在禁建区域附近建设的，应设在3.1规定的禁建区域常年主导风向的下风向或侧风向处，场界与禁建区域边界的最小距离不得小于500m。</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5畜禽粪便的贮存</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5.2贮存设施的位置必须远离各种功能地表水体（距离不得小于400m），并应设在其下风向或侧风向处。</w:t>
            </w:r>
          </w:p>
        </w:tc>
        <w:tc>
          <w:tcPr>
            <w:tcW w:w="4397" w:type="dxa"/>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①项目不在生活饮用水水源保护区、风景名胜区、自然保护区的核心区和缓冲区；</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②项目位于农村地区，不在城市和城镇居民区，包括文教科研区、医疗区、商业区、工业区等人口集中地区；</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③项目所在区域无县级人民政府划定的禁养区域；</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④项目所在区域无国家或地方法律、法规规定需特殊保护的其它区域。</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⑤</w:t>
            </w:r>
            <w:r>
              <w:rPr>
                <w:rFonts w:hint="eastAsia" w:cs="Times New Roman"/>
                <w:color w:val="auto"/>
                <w:lang w:val="en-US" w:eastAsia="zh-CN"/>
              </w:rPr>
              <w:t>化粪池、晾粪台和氧化塘</w:t>
            </w:r>
            <w:r>
              <w:rPr>
                <w:rFonts w:hint="default" w:ascii="Times New Roman" w:hAnsi="Times New Roman" w:eastAsia="宋体" w:cs="Times New Roman"/>
                <w:color w:val="auto"/>
              </w:rPr>
              <w:t>周边500m无地表水体</w:t>
            </w:r>
            <w:r>
              <w:rPr>
                <w:rFonts w:hint="default" w:ascii="Times New Roman" w:hAnsi="Times New Roman" w:eastAsia="宋体" w:cs="Times New Roman"/>
                <w:color w:val="auto"/>
                <w:lang w:eastAsia="zh-CN"/>
              </w:rPr>
              <w:t>。</w:t>
            </w:r>
          </w:p>
        </w:tc>
        <w:tc>
          <w:tcPr>
            <w:tcW w:w="67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09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《畜禽场区设计技术规范》（NY/T682-2003）</w:t>
            </w:r>
          </w:p>
        </w:tc>
        <w:tc>
          <w:tcPr>
            <w:tcW w:w="7229" w:type="dxa"/>
            <w:vAlign w:val="center"/>
          </w:tcPr>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4.1场址选择</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4.1.1选择场址应符合本地区农牧业生产发展总体规划、土地利用发展规划、城乡建设发展规划和环境保护规划的要求。</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4.1.2新建场址周围应具备就地无害化处理粪尿、污水的足够场地和排污条件，并通过畜禽场建设环境影响评价。</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4.1.3选择场址应遵守十分珍惜和合理利用土地的原则，不应占用基本农田，尽量利用荒地建场，分期建设时，选址应按总体规划需要次完成，土地随用随征，预留远期工程建设用地。</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4.1.4场址应水源充足，水质应符合NY5027要求，排水通畅，供电可靠，交通便利，地质条件能满足工程建设要求。</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4.1.5以下地区或地段不应建场。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4.1.1规定的自然保护区、水源保护区、风景旅游区。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4.1.5.2受洪水或山洪威胁及泥石流、滑坡等自然灾害多发地带。</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4.1.5.3自然环境污染严重的地区。</w:t>
            </w:r>
          </w:p>
        </w:tc>
        <w:tc>
          <w:tcPr>
            <w:tcW w:w="4397" w:type="dxa"/>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①项目建设符合</w:t>
            </w:r>
            <w:r>
              <w:rPr>
                <w:rFonts w:hint="eastAsia" w:cs="Times New Roman"/>
                <w:color w:val="auto"/>
                <w:lang w:val="en-US" w:eastAsia="zh-CN"/>
              </w:rPr>
              <w:t>五原县</w:t>
            </w:r>
            <w:r>
              <w:rPr>
                <w:rFonts w:hint="default" w:ascii="Times New Roman" w:hAnsi="Times New Roman" w:eastAsia="宋体" w:cs="Times New Roman"/>
                <w:color w:val="auto"/>
              </w:rPr>
              <w:t>农牧业生产发展总体规划、土地利用发展规划、城乡建设发展规划和环境保护规划的要求；</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②项目场地具备就地无害化处理粪尿、污水的足够场地和排污条件；</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③项目建设利用</w:t>
            </w:r>
            <w:r>
              <w:rPr>
                <w:rFonts w:hint="eastAsia"/>
                <w:color w:val="auto"/>
                <w:lang w:val="en-US" w:eastAsia="zh-CN"/>
              </w:rPr>
              <w:t>沙地和内陆滩涂</w:t>
            </w:r>
            <w:r>
              <w:rPr>
                <w:rFonts w:hint="default" w:ascii="Times New Roman" w:hAnsi="Times New Roman" w:eastAsia="宋体" w:cs="Times New Roman"/>
                <w:color w:val="auto"/>
              </w:rPr>
              <w:t>，不占用基本农田；</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④项目厂址不在洪水或山洪威胁及泥石流、滑坡等自然灾害多发地带以及自然环境污染严重的地区。</w:t>
            </w:r>
          </w:p>
        </w:tc>
        <w:tc>
          <w:tcPr>
            <w:tcW w:w="67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09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《畜禽粪便无害化处理技术规范》</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（NY/T1168-2006）</w:t>
            </w:r>
          </w:p>
        </w:tc>
        <w:tc>
          <w:tcPr>
            <w:tcW w:w="7229" w:type="dxa"/>
            <w:vAlign w:val="center"/>
          </w:tcPr>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5处理场地的要求</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5.1新建、扩建和改建畜禽养殖场或养殖小区必须配置畜禽粪便处理设施或畜禽粪便处理场。已建的畜禽场没有设施或处理场的，应及时补上。畜禽养殖场的选址禁止在下列区域内建设畜禽粪便处理场：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5.1.1生活饮用水水源保护区、风景名胜区、自然保护区的核心区及缓冲</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5.1.2城市和城镇居民区，包括文教科研区、医疗区、商业区、工业区游</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览区等人口集中地区。</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5.1.3县级人民政府依法划定的禁养区域。</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5.1.4国家或地方法律、法规规定需特殊保护的其他区域。</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5.2在禁建区域附近建设畜禽粪便处理设施和单独建设的畜禽粪便处理处，应设在5.1规定的禁建区域常年主导风向的下风向或侧风向处，场界与禁建区域边界的最小距离不得小于500m</w:t>
            </w:r>
          </w:p>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8.2畜禽养殖场、养殖小区或畜禽粪便处理场应分别设置液体和固体废弃物贮存设施，畜禽粪便贮存设施位置必须距离地表水体400m以上。</w:t>
            </w:r>
          </w:p>
        </w:tc>
        <w:tc>
          <w:tcPr>
            <w:tcW w:w="4397" w:type="dxa"/>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①项目配套建设</w:t>
            </w:r>
            <w:r>
              <w:rPr>
                <w:rFonts w:hint="eastAsia" w:cs="Times New Roman"/>
                <w:color w:val="auto"/>
                <w:lang w:val="en-US" w:eastAsia="zh-CN"/>
              </w:rPr>
              <w:t>化粪池、晾粪台和氧化塘</w:t>
            </w:r>
            <w:r>
              <w:rPr>
                <w:rFonts w:hint="default" w:ascii="Times New Roman" w:hAnsi="Times New Roman" w:eastAsia="宋体" w:cs="Times New Roman"/>
                <w:color w:val="auto"/>
              </w:rPr>
              <w:t>；</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②项目不在生活饮用水水源保护区、风景名胜区、自然保护区的核心区及缓冲区；</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③项目位于农村地区，不在城市和城镇居民区，包括文教科研区、医疗区、商业区、工业区等人口集中地区；</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④项目不在县级人民政府划定的禁养区域；</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⑤项目所在区域无国家或地方法律、法规规定需特殊保护的其它区域；</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⑥项目畜禽粪便处与禁建区(城市及城镇居民区)的距离均大于500m，符合粪便处理设施与禁建区边界的最小距离不得小于500m的要求；</w:t>
            </w:r>
          </w:p>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⑦</w:t>
            </w:r>
            <w:r>
              <w:rPr>
                <w:rFonts w:hint="eastAsia" w:cs="Times New Roman"/>
                <w:color w:val="auto"/>
                <w:lang w:val="en-US" w:eastAsia="zh-CN"/>
              </w:rPr>
              <w:t>化粪池、晾粪台和氧化塘</w:t>
            </w:r>
            <w:r>
              <w:rPr>
                <w:rFonts w:hint="default" w:ascii="Times New Roman" w:hAnsi="Times New Roman" w:eastAsia="宋体" w:cs="Times New Roman"/>
                <w:color w:val="auto"/>
              </w:rPr>
              <w:t>周边500m无地表水体。</w:t>
            </w:r>
          </w:p>
        </w:tc>
        <w:tc>
          <w:tcPr>
            <w:tcW w:w="67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093" w:type="dxa"/>
            <w:vAlign w:val="center"/>
          </w:tcPr>
          <w:p>
            <w:pPr>
              <w:pStyle w:val="58"/>
              <w:rPr>
                <w:rFonts w:hint="default" w:ascii="Times New Roman" w:hAnsi="Times New Roman" w:eastAsia="宋体" w:cs="Times New Roman"/>
                <w:color w:val="auto"/>
              </w:rPr>
            </w:pPr>
            <w:bookmarkStart w:id="179" w:name="_Hlk48159452"/>
            <w:r>
              <w:rPr>
                <w:rFonts w:hint="default" w:ascii="Times New Roman" w:hAnsi="Times New Roman" w:eastAsia="宋体" w:cs="Times New Roman"/>
                <w:color w:val="auto"/>
              </w:rPr>
              <w:t>《关于做好畜禽规模养殖项目环境影响评价管理工作的通知》（环办环评[2018]31号）</w:t>
            </w:r>
            <w:bookmarkEnd w:id="179"/>
          </w:p>
        </w:tc>
        <w:tc>
          <w:tcPr>
            <w:tcW w:w="7229" w:type="dxa"/>
            <w:vAlign w:val="center"/>
          </w:tcPr>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项目环评应充分论证选址的环境合理性，选址应避开当地划定的禁止养殖区域，并与区域主体功能区规划、环境功能区划、土地利用规划、城乡规划、畜牧业发展规划、畜禽养殖污染防治规划等规划相协调。当地未划定禁止养殖区域的，应避开饮用水水源保护区、风景名胜区、自然保护区的核心区和缓冲区、村镇人口集中区域，以及法律、法规规定的禁止养殖区域。</w:t>
            </w:r>
          </w:p>
        </w:tc>
        <w:tc>
          <w:tcPr>
            <w:tcW w:w="4397" w:type="dxa"/>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jc w:val="left"/>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rPr>
              <w:t>项目建设区域风景名胜区、世界文化和自然遗产地，也不在饮用水水源保护区以及</w:t>
            </w:r>
            <w:r>
              <w:rPr>
                <w:rFonts w:hint="default" w:ascii="Times New Roman" w:hAnsi="Times New Roman" w:eastAsia="宋体" w:cs="Times New Roman"/>
                <w:color w:val="auto"/>
              </w:rPr>
              <w:t>自然保护区</w:t>
            </w:r>
            <w:r>
              <w:rPr>
                <w:rFonts w:hint="default" w:ascii="Times New Roman" w:hAnsi="Times New Roman" w:eastAsia="宋体" w:cs="Times New Roman"/>
                <w:color w:val="auto"/>
                <w:kern w:val="0"/>
              </w:rPr>
              <w:t>范围内。本项目位于农村地区，也不在城镇居民区、文化教育科学研究区等人口集中区域，不在</w:t>
            </w:r>
            <w:r>
              <w:rPr>
                <w:rFonts w:hint="eastAsia" w:cs="Times New Roman"/>
                <w:color w:val="auto"/>
                <w:kern w:val="0"/>
                <w:lang w:val="en-US" w:eastAsia="zh-CN"/>
              </w:rPr>
              <w:t>五原</w:t>
            </w:r>
            <w:r>
              <w:rPr>
                <w:rFonts w:hint="default" w:ascii="Times New Roman" w:hAnsi="Times New Roman" w:eastAsia="宋体" w:cs="Times New Roman"/>
                <w:color w:val="auto"/>
                <w:kern w:val="0"/>
              </w:rPr>
              <w:t>县禁养区范围内。</w:t>
            </w:r>
          </w:p>
        </w:tc>
        <w:tc>
          <w:tcPr>
            <w:tcW w:w="67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bl>
    <w:p>
      <w:pPr>
        <w:ind w:firstLine="480"/>
        <w:rPr>
          <w:rFonts w:hint="default" w:ascii="Times New Roman" w:hAnsi="Times New Roman" w:eastAsia="宋体" w:cs="Times New Roman"/>
          <w:color w:val="auto"/>
        </w:rPr>
        <w:sectPr>
          <w:pgSz w:w="16838" w:h="11906" w:orient="landscape"/>
          <w:pgMar w:top="1701" w:right="1418" w:bottom="1418" w:left="1247" w:header="851" w:footer="680" w:gutter="0"/>
          <w:pgBorders>
            <w:top w:val="none" w:sz="0" w:space="0"/>
            <w:left w:val="none" w:sz="0" w:space="0"/>
            <w:bottom w:val="none" w:sz="0" w:space="0"/>
            <w:right w:val="none" w:sz="0" w:space="0"/>
          </w:pgBorders>
          <w:pgNumType w:fmt="numberInDash"/>
          <w:cols w:space="425" w:num="1"/>
          <w:docGrid w:linePitch="326" w:charSpace="0"/>
        </w:sectPr>
      </w:pPr>
      <w:bookmarkStart w:id="180" w:name="_Toc1956090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综上，本项目选址符合相关法律、法规及相关行业规范要求，项目选址合理。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（3）其他相关符合性分析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各产污环节污染物排放在采取评价中提出的防治措施后对环境影响在可接受范围内，在各项环保措施得以落实、杜绝事故排放的情况下，项目排放的各种污染物满足达标排放和总量控制的要求，预测结果表明，工程建成后不会对当地大气、地表水、地下水、声环境、生态环境带来明显危害，项目对环境的影响可以接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公众参与调查结果表明，未收到反对项目建设的意见。综上，本项目在严格执行环评规定的各项措施并确保其正常稳定运行且在严格管理的情况下，项目场址从环境角度分析是可行的。</w:t>
      </w:r>
      <w:bookmarkEnd w:id="180"/>
    </w:p>
    <w:p>
      <w:pPr>
        <w:pStyle w:val="5"/>
        <w:rPr>
          <w:rFonts w:hint="default" w:ascii="Times New Roman" w:hAnsi="Times New Roman" w:eastAsia="宋体" w:cs="Times New Roman"/>
          <w:color w:val="auto"/>
        </w:rPr>
      </w:pPr>
      <w:bookmarkStart w:id="181" w:name="_Toc3110"/>
      <w:r>
        <w:rPr>
          <w:rFonts w:hint="default" w:ascii="Times New Roman" w:hAnsi="Times New Roman" w:eastAsia="宋体" w:cs="Times New Roman"/>
          <w:color w:val="auto"/>
        </w:rPr>
        <w:t>2.8环境功能区符合性分析</w:t>
      </w:r>
      <w:bookmarkEnd w:id="181"/>
    </w:p>
    <w:p>
      <w:pPr>
        <w:pStyle w:val="6"/>
        <w:rPr>
          <w:rFonts w:hint="default" w:ascii="Times New Roman" w:hAnsi="Times New Roman" w:eastAsia="宋体" w:cs="Times New Roman"/>
          <w:color w:val="auto"/>
        </w:rPr>
      </w:pPr>
      <w:bookmarkStart w:id="182" w:name="_Toc21966"/>
      <w:r>
        <w:rPr>
          <w:rFonts w:hint="default" w:ascii="Times New Roman" w:hAnsi="Times New Roman" w:eastAsia="宋体" w:cs="Times New Roman"/>
          <w:color w:val="auto"/>
        </w:rPr>
        <w:t>2.8.1环境容量</w:t>
      </w:r>
      <w:bookmarkEnd w:id="18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所在区域环境空气为二类功能区，执行《环境空气质量标准》（GB3095-2012）二级标准；区域声环境为2类功能区域，执行《声环境质量标准》（GB3096-2008）2类标准；区域地下水质为Ⅲ类，执行《地下水质量标准》（GB/T14848-2017）Ⅲ类标准。本项目所在区域空气环境质量、地表水环境质量、地下水及声环境质量良好，有一定的环境容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建成后，废气污染物可达标排放，对环境空气影响较小。项目无废水和固废直接排放，各噪声源通过采取降噪措施和距离衰减，厂界噪声可满足相应标准要求。根据环境影响预测评价，本项目正常生产时所排放的污染物经治理达标后，对周围环境不会产生明显影响，环境质量基本维持现有水平。不会加大对环境的不利影响，环境可以接受。</w:t>
      </w:r>
    </w:p>
    <w:p>
      <w:pPr>
        <w:pStyle w:val="6"/>
        <w:rPr>
          <w:rFonts w:hint="default" w:ascii="Times New Roman" w:hAnsi="Times New Roman" w:eastAsia="宋体" w:cs="Times New Roman"/>
          <w:color w:val="auto"/>
        </w:rPr>
      </w:pPr>
      <w:bookmarkStart w:id="183" w:name="_Toc9242"/>
      <w:r>
        <w:rPr>
          <w:rFonts w:hint="default" w:ascii="Times New Roman" w:hAnsi="Times New Roman" w:eastAsia="宋体" w:cs="Times New Roman"/>
          <w:color w:val="auto"/>
        </w:rPr>
        <w:t>2.8.2周边环境情况</w:t>
      </w:r>
      <w:bookmarkEnd w:id="183"/>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2.8.2.1项目周围环境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本项目拟建厂址位于</w:t>
      </w:r>
      <w:r>
        <w:rPr>
          <w:rFonts w:hint="eastAsia" w:cs="Times New Roman"/>
          <w:color w:val="auto"/>
          <w:lang w:eastAsia="zh-CN"/>
        </w:rPr>
        <w:t>巴彦淖尔市五原县天吉泰镇二合永村一组</w:t>
      </w:r>
      <w:r>
        <w:rPr>
          <w:rFonts w:hint="default" w:ascii="Times New Roman" w:hAnsi="Times New Roman" w:eastAsia="宋体" w:cs="Times New Roman"/>
          <w:color w:val="auto"/>
        </w:rPr>
        <w:t>，项目用地符合</w:t>
      </w:r>
      <w:r>
        <w:rPr>
          <w:rFonts w:hint="eastAsia" w:cs="Times New Roman"/>
          <w:color w:val="auto"/>
          <w:lang w:val="en-US" w:eastAsia="zh-CN"/>
        </w:rPr>
        <w:t>五原</w:t>
      </w:r>
      <w:r>
        <w:rPr>
          <w:rFonts w:hint="default" w:ascii="Times New Roman" w:hAnsi="Times New Roman" w:eastAsia="宋体" w:cs="Times New Roman"/>
          <w:color w:val="auto"/>
          <w:lang w:val="en-US" w:eastAsia="zh-CN"/>
        </w:rPr>
        <w:t>县总体</w:t>
      </w:r>
      <w:r>
        <w:rPr>
          <w:rFonts w:hint="default" w:ascii="Times New Roman" w:hAnsi="Times New Roman" w:eastAsia="宋体" w:cs="Times New Roman"/>
          <w:color w:val="auto"/>
        </w:rPr>
        <w:t>规划，未在国家法律、法规、行政规章及规划确定或旗县级以上人民政府批准的饮用水水源保护区、自然保护区、风景名胜区、生态功能保护区等需要特殊保护的地区范围内。</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综上，周边无工业企业，对周边环境无特殊要求，因此，与项目不存在相互制约。</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2.8.2.2项目周边敏感点</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厂址周围无名胜古迹、自然保护区及重要文物保护单位，</w:t>
      </w:r>
      <w:r>
        <w:rPr>
          <w:rFonts w:hint="eastAsia" w:cs="Times New Roman"/>
          <w:color w:val="auto"/>
          <w:lang w:val="en-US" w:eastAsia="zh-CN"/>
        </w:rPr>
        <w:t>500</w:t>
      </w:r>
      <w:r>
        <w:rPr>
          <w:rFonts w:hint="default" w:ascii="Times New Roman" w:hAnsi="Times New Roman" w:eastAsia="宋体" w:cs="Times New Roman"/>
          <w:color w:val="auto"/>
        </w:rPr>
        <w:t>m范围内无学校、医院等环境敏感目标。</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对照《内蒙古自治区主体功能区规划》（内政发【2012】85号，2012.7.27）及《内蒙古自治区人民政府关于自治区主体功能区规划的实施意见》（内政发【2015】18号，2015.1.29）及《内蒙古自治区限制开发区域限制类和禁止类产业指导目录（2016年本）》，项目所在地位于</w:t>
      </w:r>
      <w:r>
        <w:rPr>
          <w:rFonts w:hint="eastAsia" w:cs="Times New Roman"/>
          <w:color w:val="auto"/>
          <w:lang w:val="en-US" w:eastAsia="zh-CN"/>
        </w:rPr>
        <w:t>五原</w:t>
      </w:r>
      <w:r>
        <w:rPr>
          <w:rFonts w:hint="default" w:ascii="Times New Roman" w:hAnsi="Times New Roman" w:eastAsia="宋体" w:cs="Times New Roman"/>
          <w:color w:val="auto"/>
        </w:rPr>
        <w:t>县，不属于农产品主产区及重点生态功能区（阴山北麓草原生态功能区），属于自治区重点开发区，因此项目不属于自治区限制开发区域限制类和禁止类产业。</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综上所述，项目选址合理。</w:t>
      </w:r>
    </w:p>
    <w:p>
      <w:pPr>
        <w:ind w:firstLine="480"/>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4"/>
        <w:rPr>
          <w:rFonts w:hint="default" w:ascii="Times New Roman" w:hAnsi="Times New Roman" w:eastAsia="宋体" w:cs="Times New Roman"/>
          <w:color w:val="auto"/>
        </w:rPr>
      </w:pPr>
      <w:bookmarkStart w:id="184" w:name="_Toc19613"/>
      <w:r>
        <w:rPr>
          <w:rFonts w:hint="default" w:ascii="Times New Roman" w:hAnsi="Times New Roman" w:eastAsia="宋体" w:cs="Times New Roman"/>
          <w:color w:val="auto"/>
        </w:rPr>
        <w:t>3工程分析</w:t>
      </w:r>
      <w:bookmarkEnd w:id="184"/>
    </w:p>
    <w:p>
      <w:pPr>
        <w:pStyle w:val="5"/>
        <w:rPr>
          <w:rFonts w:hint="default" w:ascii="Times New Roman" w:hAnsi="Times New Roman" w:eastAsia="宋体" w:cs="Times New Roman"/>
          <w:color w:val="auto"/>
        </w:rPr>
      </w:pPr>
      <w:bookmarkStart w:id="185" w:name="_Toc6484"/>
      <w:r>
        <w:rPr>
          <w:rFonts w:hint="default" w:ascii="Times New Roman" w:hAnsi="Times New Roman" w:eastAsia="宋体" w:cs="Times New Roman"/>
          <w:color w:val="auto"/>
        </w:rPr>
        <w:t>3.1项目基本情况</w:t>
      </w:r>
      <w:bookmarkEnd w:id="185"/>
    </w:p>
    <w:p>
      <w:pPr>
        <w:pStyle w:val="6"/>
        <w:rPr>
          <w:rFonts w:hint="default" w:ascii="Times New Roman" w:hAnsi="Times New Roman" w:eastAsia="宋体" w:cs="Times New Roman"/>
          <w:color w:val="auto"/>
        </w:rPr>
      </w:pPr>
      <w:bookmarkStart w:id="186" w:name="_Toc18206"/>
      <w:bookmarkStart w:id="187" w:name="_Toc416447544"/>
      <w:bookmarkStart w:id="188" w:name="_Toc344087173"/>
      <w:bookmarkStart w:id="189" w:name="_Toc420051509"/>
      <w:bookmarkStart w:id="190" w:name="_Toc7966"/>
      <w:r>
        <w:rPr>
          <w:rFonts w:hint="default" w:ascii="Times New Roman" w:hAnsi="Times New Roman" w:eastAsia="宋体" w:cs="Times New Roman"/>
          <w:color w:val="auto"/>
        </w:rPr>
        <w:t>3.1.1</w:t>
      </w:r>
      <w:bookmarkEnd w:id="186"/>
      <w:bookmarkEnd w:id="187"/>
      <w:bookmarkEnd w:id="188"/>
      <w:bookmarkEnd w:id="189"/>
      <w:r>
        <w:rPr>
          <w:rFonts w:hint="default" w:ascii="Times New Roman" w:hAnsi="Times New Roman" w:eastAsia="宋体" w:cs="Times New Roman"/>
          <w:color w:val="auto"/>
        </w:rPr>
        <w:t>项目基本概况</w:t>
      </w:r>
      <w:bookmarkEnd w:id="19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项目基本情况见表3.1-1。</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表3.1-1    项目基本情况表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62"/>
        <w:gridCol w:w="75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项目名称</w:t>
            </w:r>
          </w:p>
        </w:tc>
        <w:tc>
          <w:tcPr>
            <w:tcW w:w="4188" w:type="pct"/>
            <w:vAlign w:val="center"/>
          </w:tcPr>
          <w:p>
            <w:pPr>
              <w:pStyle w:val="58"/>
              <w:rPr>
                <w:rFonts w:hint="default" w:ascii="Times New Roman" w:hAnsi="Times New Roman" w:eastAsia="宋体" w:cs="Times New Roman"/>
                <w:color w:val="auto"/>
                <w:lang w:eastAsia="zh-CN"/>
              </w:rPr>
            </w:pPr>
            <w:r>
              <w:rPr>
                <w:rFonts w:hint="eastAsia" w:cs="Times New Roman"/>
                <w:color w:val="auto"/>
                <w:lang w:eastAsia="zh-CN"/>
              </w:rPr>
              <w:t>巴彦淖尔市亨泰农牧业有限责任公司育肥猪养殖产业化项目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建设单位</w:t>
            </w:r>
          </w:p>
        </w:tc>
        <w:tc>
          <w:tcPr>
            <w:tcW w:w="4188" w:type="pct"/>
            <w:vAlign w:val="center"/>
          </w:tcPr>
          <w:p>
            <w:pPr>
              <w:pStyle w:val="58"/>
              <w:rPr>
                <w:rFonts w:hint="default" w:ascii="Times New Roman" w:hAnsi="Times New Roman" w:eastAsia="宋体" w:cs="Times New Roman"/>
                <w:color w:val="auto"/>
                <w:lang w:eastAsia="zh-CN"/>
              </w:rPr>
            </w:pPr>
            <w:r>
              <w:rPr>
                <w:rFonts w:hint="eastAsia" w:cs="Times New Roman"/>
                <w:color w:val="auto"/>
                <w:lang w:eastAsia="zh-CN"/>
              </w:rPr>
              <w:t>巴彦淖尔市亨泰农牧业有限责任公司</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建设性质</w:t>
            </w:r>
          </w:p>
        </w:tc>
        <w:tc>
          <w:tcPr>
            <w:tcW w:w="4188"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建设地点</w:t>
            </w:r>
          </w:p>
        </w:tc>
        <w:tc>
          <w:tcPr>
            <w:tcW w:w="4188" w:type="pct"/>
            <w:vAlign w:val="center"/>
          </w:tcPr>
          <w:p>
            <w:pPr>
              <w:pStyle w:val="58"/>
              <w:rPr>
                <w:rFonts w:hint="default" w:ascii="Times New Roman" w:hAnsi="Times New Roman" w:eastAsia="宋体" w:cs="Times New Roman"/>
                <w:color w:val="auto"/>
              </w:rPr>
            </w:pPr>
            <w:r>
              <w:rPr>
                <w:rFonts w:hint="eastAsia" w:cs="Times New Roman"/>
                <w:color w:val="auto"/>
                <w:lang w:eastAsia="zh-CN"/>
              </w:rPr>
              <w:t>巴彦淖尔市五原县天吉泰镇二合永村一组</w:t>
            </w:r>
            <w:r>
              <w:rPr>
                <w:rFonts w:hint="default" w:ascii="Times New Roman" w:hAnsi="Times New Roman" w:eastAsia="宋体" w:cs="Times New Roman"/>
                <w:color w:val="auto"/>
              </w:rPr>
              <w:t>，</w:t>
            </w:r>
          </w:p>
          <w:p>
            <w:pPr>
              <w:pStyle w:val="58"/>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场区中心坐标N40°</w:t>
            </w:r>
            <w:r>
              <w:rPr>
                <w:rFonts w:hint="eastAsia" w:cs="Times New Roman"/>
                <w:color w:val="auto"/>
                <w:lang w:val="en-US" w:eastAsia="zh-CN"/>
              </w:rPr>
              <w:t>53</w:t>
            </w:r>
            <w:r>
              <w:rPr>
                <w:rFonts w:hint="default" w:ascii="Times New Roman" w:hAnsi="Times New Roman" w:eastAsia="宋体" w:cs="Times New Roman"/>
                <w:color w:val="auto"/>
              </w:rPr>
              <w:t>'</w:t>
            </w:r>
            <w:r>
              <w:rPr>
                <w:rFonts w:hint="eastAsia" w:cs="Times New Roman"/>
                <w:color w:val="auto"/>
                <w:lang w:val="en-US" w:eastAsia="zh-CN"/>
              </w:rPr>
              <w:t>31</w:t>
            </w:r>
            <w:r>
              <w:rPr>
                <w:rFonts w:hint="default" w:ascii="Times New Roman" w:hAnsi="Times New Roman" w:eastAsia="宋体" w:cs="Times New Roman"/>
                <w:color w:val="auto"/>
              </w:rPr>
              <w:t>"、E10</w:t>
            </w:r>
            <w:r>
              <w:rPr>
                <w:rFonts w:hint="eastAsia" w:cs="Times New Roman"/>
                <w:color w:val="auto"/>
                <w:lang w:val="en-US" w:eastAsia="zh-CN"/>
              </w:rPr>
              <w:t>7</w:t>
            </w:r>
            <w:r>
              <w:rPr>
                <w:rFonts w:hint="default" w:ascii="Times New Roman" w:hAnsi="Times New Roman" w:eastAsia="宋体" w:cs="Times New Roman"/>
                <w:color w:val="auto"/>
              </w:rPr>
              <w:t>°</w:t>
            </w:r>
            <w:r>
              <w:rPr>
                <w:rFonts w:hint="eastAsia" w:cs="Times New Roman"/>
                <w:color w:val="auto"/>
                <w:lang w:val="en-US" w:eastAsia="zh-CN"/>
              </w:rPr>
              <w:t>39</w:t>
            </w:r>
            <w:r>
              <w:rPr>
                <w:rFonts w:hint="default" w:ascii="Times New Roman" w:hAnsi="Times New Roman" w:eastAsia="宋体" w:cs="Times New Roman"/>
                <w:color w:val="auto"/>
              </w:rPr>
              <w:t>'</w:t>
            </w:r>
            <w:r>
              <w:rPr>
                <w:rFonts w:hint="eastAsia" w:cs="Times New Roman"/>
                <w:color w:val="auto"/>
                <w:lang w:val="en-US" w:eastAsia="zh-CN"/>
              </w:rPr>
              <w:t>2</w:t>
            </w:r>
            <w:r>
              <w:rPr>
                <w:rFonts w:hint="default" w:ascii="Times New Roman" w:hAnsi="Times New Roman" w:eastAsia="宋体" w:cs="Times New Roman"/>
                <w:color w:val="auto"/>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占地面积</w:t>
            </w:r>
          </w:p>
        </w:tc>
        <w:tc>
          <w:tcPr>
            <w:tcW w:w="4188" w:type="pct"/>
            <w:vAlign w:val="center"/>
          </w:tcPr>
          <w:p>
            <w:pPr>
              <w:pStyle w:val="58"/>
              <w:rPr>
                <w:rFonts w:hint="default" w:ascii="Times New Roman" w:hAnsi="Times New Roman" w:eastAsia="宋体" w:cs="Times New Roman"/>
                <w:color w:val="auto"/>
                <w:lang w:eastAsia="zh-CN"/>
              </w:rPr>
            </w:pPr>
            <w:r>
              <w:rPr>
                <w:rFonts w:hint="eastAsia"/>
                <w:color w:val="auto"/>
                <w:lang w:val="en-US" w:eastAsia="zh-CN"/>
              </w:rPr>
              <w:t>86.28</w:t>
            </w:r>
            <w:r>
              <w:rPr>
                <w:rFonts w:hint="default" w:ascii="Times New Roman" w:hAnsi="Times New Roman" w:eastAsia="宋体" w:cs="Times New Roman"/>
                <w:color w:val="auto"/>
                <w:lang w:eastAsia="zh-CN"/>
              </w:rPr>
              <w:t>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工程投资</w:t>
            </w:r>
          </w:p>
        </w:tc>
        <w:tc>
          <w:tcPr>
            <w:tcW w:w="4188"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总投资</w:t>
            </w:r>
            <w:r>
              <w:rPr>
                <w:rFonts w:hint="default" w:ascii="Times New Roman" w:hAnsi="Times New Roman" w:eastAsia="宋体" w:cs="Times New Roman"/>
                <w:color w:val="auto"/>
                <w:lang w:val="en-US" w:eastAsia="zh-CN"/>
              </w:rPr>
              <w:t>2</w:t>
            </w:r>
            <w:r>
              <w:rPr>
                <w:rFonts w:hint="eastAsia" w:cs="Times New Roman"/>
                <w:color w:val="auto"/>
                <w:lang w:val="en-US" w:eastAsia="zh-CN"/>
              </w:rPr>
              <w:t>1</w:t>
            </w:r>
            <w:r>
              <w:rPr>
                <w:rFonts w:hint="default" w:ascii="Times New Roman" w:hAnsi="Times New Roman" w:eastAsia="宋体" w:cs="Times New Roman"/>
                <w:color w:val="auto"/>
                <w:highlight w:val="none"/>
              </w:rPr>
              <w:t>00万元，环保投资</w:t>
            </w:r>
            <w:r>
              <w:rPr>
                <w:rFonts w:hint="eastAsia" w:cs="Times New Roman"/>
                <w:color w:val="auto"/>
                <w:highlight w:val="none"/>
                <w:lang w:val="en-US" w:eastAsia="zh-CN"/>
              </w:rPr>
              <w:t>171.8</w:t>
            </w:r>
            <w:r>
              <w:rPr>
                <w:rFonts w:hint="default" w:ascii="Times New Roman" w:hAnsi="Times New Roman" w:eastAsia="宋体" w:cs="Times New Roman"/>
                <w:color w:val="auto"/>
                <w:highlight w:val="none"/>
              </w:rPr>
              <w:t>万元，占总投资比例为</w:t>
            </w:r>
            <w:r>
              <w:rPr>
                <w:rFonts w:hint="eastAsia" w:cs="Times New Roman"/>
                <w:color w:val="auto"/>
                <w:highlight w:val="none"/>
                <w:lang w:val="en-US" w:eastAsia="zh-CN"/>
              </w:rPr>
              <w:t>8.18</w:t>
            </w:r>
            <w:r>
              <w:rPr>
                <w:rFonts w:hint="default" w:ascii="Times New Roman" w:hAnsi="Times New Roman" w:eastAsia="宋体" w:cs="Times New Roman"/>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项目规模</w:t>
            </w:r>
          </w:p>
        </w:tc>
        <w:tc>
          <w:tcPr>
            <w:tcW w:w="4188" w:type="pct"/>
            <w:vAlign w:val="center"/>
          </w:tcPr>
          <w:p>
            <w:pPr>
              <w:pStyle w:val="58"/>
              <w:rPr>
                <w:rFonts w:hint="default" w:ascii="Times New Roman" w:hAnsi="Times New Roman" w:eastAsia="宋体" w:cs="Times New Roman"/>
                <w:color w:val="auto"/>
              </w:rPr>
            </w:pPr>
            <w:r>
              <w:rPr>
                <w:rFonts w:hint="eastAsia"/>
                <w:color w:val="auto"/>
              </w:rPr>
              <w:t>年存栏猪</w:t>
            </w:r>
            <w:r>
              <w:rPr>
                <w:rFonts w:hint="eastAsia"/>
                <w:color w:val="auto"/>
                <w:lang w:val="en-US" w:eastAsia="zh-CN"/>
              </w:rPr>
              <w:t>8800</w:t>
            </w:r>
            <w:r>
              <w:rPr>
                <w:rFonts w:hint="eastAsia"/>
                <w:color w:val="auto"/>
              </w:rPr>
              <w:t>头，年出栏</w:t>
            </w:r>
            <w:r>
              <w:rPr>
                <w:rFonts w:hint="eastAsia"/>
                <w:color w:val="FF0000"/>
                <w:lang w:eastAsia="zh-CN"/>
              </w:rPr>
              <w:t>20000</w:t>
            </w:r>
            <w:r>
              <w:rPr>
                <w:rFonts w:hint="eastAsia"/>
                <w:color w:val="FF0000"/>
              </w:rPr>
              <w:t>头育肥猪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行业类别</w:t>
            </w:r>
          </w:p>
        </w:tc>
        <w:tc>
          <w:tcPr>
            <w:tcW w:w="4188" w:type="pct"/>
            <w:vAlign w:val="center"/>
          </w:tcPr>
          <w:p>
            <w:pPr>
              <w:pStyle w:val="58"/>
              <w:rPr>
                <w:rFonts w:hint="default" w:ascii="Times New Roman" w:hAnsi="Times New Roman" w:eastAsia="宋体" w:cs="Times New Roman"/>
                <w:color w:val="auto"/>
              </w:rPr>
            </w:pPr>
            <w:r>
              <w:rPr>
                <w:rFonts w:hint="eastAsia"/>
                <w:color w:val="auto"/>
              </w:rPr>
              <w:t>A031</w:t>
            </w:r>
            <w:r>
              <w:rPr>
                <w:rFonts w:hint="eastAsia"/>
                <w:color w:val="auto"/>
                <w:lang w:val="en-US" w:eastAsia="zh-CN"/>
              </w:rPr>
              <w:t>3猪</w:t>
            </w:r>
            <w:r>
              <w:rPr>
                <w:rFonts w:hint="eastAsia"/>
                <w:color w:val="auto"/>
              </w:rPr>
              <w:t>的饲养</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劳动定员</w:t>
            </w:r>
          </w:p>
        </w:tc>
        <w:tc>
          <w:tcPr>
            <w:tcW w:w="4188"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劳动定员50人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工作制度</w:t>
            </w:r>
          </w:p>
        </w:tc>
        <w:tc>
          <w:tcPr>
            <w:tcW w:w="4188"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全年有效生产天数为365天，实行三班制，每班8小时工作制度；</w:t>
            </w:r>
          </w:p>
        </w:tc>
      </w:tr>
    </w:tbl>
    <w:p>
      <w:pPr>
        <w:ind w:firstLine="480"/>
        <w:rPr>
          <w:rFonts w:hint="default" w:ascii="Times New Roman" w:hAnsi="Times New Roman" w:eastAsia="宋体" w:cs="Times New Roman"/>
          <w:color w:val="auto"/>
          <w:szCs w:val="24"/>
          <w:lang w:val="en-US" w:eastAsia="zh-CN"/>
        </w:rPr>
      </w:pPr>
      <w:r>
        <w:rPr>
          <w:rFonts w:hint="default" w:ascii="Times New Roman" w:hAnsi="Times New Roman" w:eastAsia="宋体" w:cs="Times New Roman"/>
          <w:color w:val="auto"/>
        </w:rPr>
        <w:t>建设地点：</w:t>
      </w:r>
      <w:r>
        <w:rPr>
          <w:rFonts w:hint="eastAsia" w:cs="Times New Roman"/>
          <w:color w:val="auto"/>
          <w:lang w:eastAsia="zh-CN"/>
        </w:rPr>
        <w:t>巴彦淖尔市五原县天吉泰镇二合永村一组</w:t>
      </w:r>
      <w:r>
        <w:rPr>
          <w:rFonts w:hint="default" w:ascii="Times New Roman" w:hAnsi="Times New Roman" w:eastAsia="宋体" w:cs="Times New Roman"/>
          <w:color w:val="auto"/>
        </w:rPr>
        <w:t>，本次用地为</w:t>
      </w:r>
      <w:r>
        <w:rPr>
          <w:rFonts w:hint="eastAsia"/>
          <w:color w:val="auto"/>
          <w:lang w:val="en-US" w:eastAsia="zh-CN"/>
        </w:rPr>
        <w:t>86.28</w:t>
      </w:r>
      <w:r>
        <w:rPr>
          <w:rFonts w:hint="default" w:ascii="Times New Roman" w:hAnsi="Times New Roman" w:eastAsia="宋体" w:cs="Times New Roman"/>
          <w:color w:val="auto"/>
          <w:lang w:eastAsia="zh-CN"/>
        </w:rPr>
        <w:t>亩</w:t>
      </w:r>
      <w:r>
        <w:rPr>
          <w:rFonts w:hint="default" w:ascii="Times New Roman" w:hAnsi="Times New Roman" w:eastAsia="宋体" w:cs="Times New Roman"/>
          <w:color w:val="auto"/>
        </w:rPr>
        <w:t>，场区中心坐标N40°</w:t>
      </w:r>
      <w:r>
        <w:rPr>
          <w:rFonts w:hint="eastAsia" w:cs="Times New Roman"/>
          <w:color w:val="auto"/>
          <w:lang w:val="en-US" w:eastAsia="zh-CN"/>
        </w:rPr>
        <w:t>53</w:t>
      </w:r>
      <w:r>
        <w:rPr>
          <w:rFonts w:hint="default" w:ascii="Times New Roman" w:hAnsi="Times New Roman" w:eastAsia="宋体" w:cs="Times New Roman"/>
          <w:color w:val="auto"/>
        </w:rPr>
        <w:t>'</w:t>
      </w:r>
      <w:r>
        <w:rPr>
          <w:rFonts w:hint="eastAsia" w:cs="Times New Roman"/>
          <w:color w:val="auto"/>
          <w:lang w:val="en-US" w:eastAsia="zh-CN"/>
        </w:rPr>
        <w:t>31</w:t>
      </w:r>
      <w:r>
        <w:rPr>
          <w:rFonts w:hint="default" w:ascii="Times New Roman" w:hAnsi="Times New Roman" w:eastAsia="宋体" w:cs="Times New Roman"/>
          <w:color w:val="auto"/>
        </w:rPr>
        <w:t>"、E10</w:t>
      </w:r>
      <w:r>
        <w:rPr>
          <w:rFonts w:hint="eastAsia" w:cs="Times New Roman"/>
          <w:color w:val="auto"/>
          <w:lang w:val="en-US" w:eastAsia="zh-CN"/>
        </w:rPr>
        <w:t>7</w:t>
      </w:r>
      <w:r>
        <w:rPr>
          <w:rFonts w:hint="default" w:ascii="Times New Roman" w:hAnsi="Times New Roman" w:eastAsia="宋体" w:cs="Times New Roman"/>
          <w:color w:val="auto"/>
        </w:rPr>
        <w:t>°</w:t>
      </w:r>
      <w:r>
        <w:rPr>
          <w:rFonts w:hint="eastAsia" w:cs="Times New Roman"/>
          <w:color w:val="auto"/>
          <w:lang w:val="en-US" w:eastAsia="zh-CN"/>
        </w:rPr>
        <w:t>39</w:t>
      </w:r>
      <w:r>
        <w:rPr>
          <w:rFonts w:hint="default" w:ascii="Times New Roman" w:hAnsi="Times New Roman" w:eastAsia="宋体" w:cs="Times New Roman"/>
          <w:color w:val="auto"/>
        </w:rPr>
        <w:t>'</w:t>
      </w:r>
      <w:r>
        <w:rPr>
          <w:rFonts w:hint="eastAsia" w:cs="Times New Roman"/>
          <w:color w:val="auto"/>
          <w:lang w:val="en-US" w:eastAsia="zh-CN"/>
        </w:rPr>
        <w:t>2</w:t>
      </w:r>
      <w:r>
        <w:rPr>
          <w:rFonts w:hint="default" w:ascii="Times New Roman" w:hAnsi="Times New Roman" w:eastAsia="宋体" w:cs="Times New Roman"/>
          <w:color w:val="auto"/>
        </w:rPr>
        <w:t>"</w:t>
      </w:r>
      <w:r>
        <w:rPr>
          <w:rFonts w:hint="eastAsia" w:cs="Times New Roman"/>
          <w:color w:val="auto"/>
          <w:szCs w:val="24"/>
          <w:lang w:eastAsia="zh-CN"/>
        </w:rPr>
        <w:t>，</w:t>
      </w:r>
      <w:r>
        <w:rPr>
          <w:rFonts w:hint="default" w:ascii="Times New Roman" w:hAnsi="Times New Roman" w:eastAsia="宋体" w:cs="Times New Roman"/>
          <w:color w:val="auto"/>
          <w:szCs w:val="24"/>
        </w:rPr>
        <w:t>项目</w:t>
      </w:r>
      <w:r>
        <w:rPr>
          <w:rFonts w:hint="eastAsia" w:cs="Times New Roman"/>
          <w:color w:val="auto"/>
          <w:szCs w:val="24"/>
          <w:lang w:val="en-US" w:eastAsia="zh-CN"/>
        </w:rPr>
        <w:t>界址点坐标成果表</w:t>
      </w:r>
      <w:r>
        <w:rPr>
          <w:rFonts w:hint="default" w:ascii="Times New Roman" w:hAnsi="Times New Roman" w:eastAsia="宋体" w:cs="Times New Roman"/>
          <w:color w:val="auto"/>
          <w:szCs w:val="24"/>
        </w:rPr>
        <w:t>见表3.1-</w:t>
      </w:r>
      <w:r>
        <w:rPr>
          <w:rFonts w:hint="eastAsia" w:cs="Times New Roman"/>
          <w:color w:val="auto"/>
          <w:szCs w:val="24"/>
          <w:lang w:val="en-US" w:eastAsia="zh-CN"/>
        </w:rPr>
        <w:t>2，</w:t>
      </w:r>
      <w:r>
        <w:rPr>
          <w:rFonts w:hint="default" w:ascii="Times New Roman" w:hAnsi="Times New Roman" w:eastAsia="宋体" w:cs="Times New Roman"/>
          <w:color w:val="auto"/>
        </w:rPr>
        <w:t>具体地理位置如图3.1-1</w:t>
      </w:r>
      <w:r>
        <w:rPr>
          <w:rFonts w:hint="eastAsia" w:cs="Times New Roman"/>
          <w:color w:val="auto"/>
          <w:lang w:eastAsia="zh-CN"/>
        </w:rPr>
        <w:t>。项目建设利用沙地和内陆滩涂，不占用基本农田，</w:t>
      </w:r>
      <w:r>
        <w:rPr>
          <w:rFonts w:hint="eastAsia" w:cs="Times New Roman"/>
          <w:color w:val="auto"/>
          <w:lang w:val="en-US" w:eastAsia="zh-CN"/>
        </w:rPr>
        <w:t>项目用地规划</w:t>
      </w:r>
      <w:r>
        <w:rPr>
          <w:rFonts w:hint="default" w:ascii="Times New Roman" w:hAnsi="Times New Roman" w:eastAsia="宋体" w:cs="Times New Roman"/>
          <w:color w:val="auto"/>
        </w:rPr>
        <w:t>如图3.1-</w:t>
      </w:r>
      <w:r>
        <w:rPr>
          <w:rFonts w:hint="eastAsia" w:cs="Times New Roman"/>
          <w:color w:val="auto"/>
          <w:lang w:val="en-US" w:eastAsia="zh-CN"/>
        </w:rPr>
        <w:t>2</w:t>
      </w:r>
      <w:r>
        <w:rPr>
          <w:rFonts w:hint="eastAsia" w:cs="Times New Roman"/>
          <w:color w:val="auto"/>
          <w:lang w:eastAsia="zh-CN"/>
        </w:rPr>
        <w:t>。</w:t>
      </w:r>
    </w:p>
    <w:p>
      <w:pPr>
        <w:ind w:left="0" w:leftChars="0" w:firstLine="0" w:firstLineChars="0"/>
        <w:jc w:val="center"/>
        <w:rPr>
          <w:rFonts w:hint="default" w:ascii="Times New Roman" w:hAnsi="Times New Roman" w:eastAsia="宋体" w:cs="Times New Roman"/>
          <w:color w:val="auto"/>
          <w:szCs w:val="24"/>
        </w:rPr>
      </w:pPr>
      <w:r>
        <w:rPr>
          <w:rFonts w:hint="default" w:ascii="Times New Roman" w:hAnsi="Times New Roman" w:eastAsia="宋体" w:cs="Times New Roman"/>
          <w:b/>
          <w:bCs/>
          <w:color w:val="auto"/>
          <w:szCs w:val="24"/>
        </w:rPr>
        <w:t>表3.1-</w:t>
      </w:r>
      <w:r>
        <w:rPr>
          <w:rFonts w:hint="eastAsia" w:cs="Times New Roman"/>
          <w:b/>
          <w:bCs/>
          <w:color w:val="auto"/>
          <w:szCs w:val="24"/>
          <w:lang w:val="en-US" w:eastAsia="zh-CN"/>
        </w:rPr>
        <w:t xml:space="preserve">2    </w:t>
      </w:r>
      <w:r>
        <w:rPr>
          <w:rFonts w:hint="default" w:ascii="Times New Roman" w:hAnsi="Times New Roman" w:eastAsia="宋体" w:cs="Times New Roman"/>
          <w:b/>
          <w:bCs/>
          <w:color w:val="auto"/>
          <w:szCs w:val="24"/>
        </w:rPr>
        <w:t>项目</w:t>
      </w:r>
      <w:r>
        <w:rPr>
          <w:rFonts w:hint="eastAsia" w:cs="Times New Roman"/>
          <w:b/>
          <w:bCs/>
          <w:color w:val="auto"/>
          <w:szCs w:val="24"/>
          <w:lang w:val="en-US" w:eastAsia="zh-CN"/>
        </w:rPr>
        <w:t>界址点坐标成果表</w:t>
      </w:r>
    </w:p>
    <w:tbl>
      <w:tblPr>
        <w:tblStyle w:val="35"/>
        <w:tblW w:w="884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47"/>
        <w:gridCol w:w="2948"/>
        <w:gridCol w:w="294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2000国家大地坐标系</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X</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Y</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1</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4528799.494</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36470447.488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2</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4528799.955</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36470465.732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3</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4528794.533</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36470501.977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4</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4528781.314</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36470552.534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5</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4528770.383</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36470560.980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6</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4528759.685</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36470579.558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7</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4528746.135</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36470591.427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8</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4528739.021</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36470610.075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9</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4528729.388</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36470643.171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eastAsiaTheme="minorEastAsia"/>
                <w:color w:val="auto"/>
                <w:sz w:val="21"/>
                <w:szCs w:val="21"/>
                <w:vertAlign w:val="baseline"/>
                <w:lang w:val="en-US" w:eastAsia="zh-CN"/>
              </w:rPr>
            </w:pPr>
            <w:r>
              <w:rPr>
                <w:rFonts w:hint="eastAsia"/>
                <w:color w:val="auto"/>
                <w:sz w:val="21"/>
                <w:szCs w:val="21"/>
                <w:vertAlign w:val="baseline"/>
                <w:lang w:val="en-US" w:eastAsia="zh-CN"/>
              </w:rPr>
              <w:t>10</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4528719.290</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36470666.540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11</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4528719.274</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36470683.372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12</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4528717.689</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36470691.475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13</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4528692.725</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36470710.262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14</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4528610.624</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36470654.889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15</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4528586.188</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36470676.408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16</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4528564.054</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36470655.976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17</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4528539.852</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36470636.950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18</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4528467.741</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36470574.650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19</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4528464.697</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36470571.882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20</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4528440.224</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36470604.815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21</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4528391.517</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36470574.695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22</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4528414.568</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36470541.664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23</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4528439.471</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36470542.088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24</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4528516.765</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36470553.008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25</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4528562.838</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36470568.198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26</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4528576.242</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36470508.537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27</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4528573.745</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36470483.306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28</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4528575.848</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36470461.028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29</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4528580.311</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36470449.539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30</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4528588.260</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36470442.801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31</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4528620.219</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36470430.692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32</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4528675.906</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36470431.161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33</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4528718.707</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36470430.325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34</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4528763.432</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36470430.156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35</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4528768.164</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36470437.983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7"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36</w:t>
            </w:r>
          </w:p>
        </w:tc>
        <w:tc>
          <w:tcPr>
            <w:tcW w:w="2948"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4528774.404</w:t>
            </w:r>
          </w:p>
        </w:tc>
        <w:tc>
          <w:tcPr>
            <w:tcW w:w="2949"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Theme="minorEastAsia"/>
                <w:color w:val="auto"/>
                <w:sz w:val="21"/>
                <w:szCs w:val="21"/>
                <w:vertAlign w:val="baseline"/>
                <w:lang w:val="en-US" w:eastAsia="zh-CN"/>
              </w:rPr>
            </w:pPr>
            <w:r>
              <w:rPr>
                <w:rFonts w:hint="eastAsia"/>
                <w:color w:val="auto"/>
                <w:sz w:val="21"/>
                <w:szCs w:val="21"/>
                <w:vertAlign w:val="baseline"/>
                <w:lang w:val="en-US" w:eastAsia="zh-CN"/>
              </w:rPr>
              <w:t>36470448.300</w:t>
            </w:r>
          </w:p>
        </w:tc>
      </w:tr>
    </w:tbl>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FF0000"/>
          <w:szCs w:val="24"/>
        </w:rPr>
        <w:t>项目厂址四邻关系为：</w:t>
      </w:r>
      <w:r>
        <w:rPr>
          <w:rFonts w:hint="default" w:ascii="Times New Roman" w:hAnsi="Times New Roman" w:eastAsia="宋体" w:cs="Times New Roman"/>
          <w:color w:val="FF0000"/>
        </w:rPr>
        <w:t>项目</w:t>
      </w:r>
      <w:r>
        <w:rPr>
          <w:rFonts w:hint="eastAsia" w:cs="Times New Roman"/>
          <w:color w:val="FF0000"/>
          <w:lang w:val="en-US" w:eastAsia="zh-CN"/>
        </w:rPr>
        <w:t>四周均为空地，</w:t>
      </w:r>
      <w:r>
        <w:rPr>
          <w:rFonts w:hint="default" w:ascii="Times New Roman" w:hAnsi="Times New Roman" w:eastAsia="宋体" w:cs="Times New Roman"/>
          <w:color w:val="FF0000"/>
        </w:rPr>
        <w:t>东</w:t>
      </w:r>
      <w:r>
        <w:rPr>
          <w:rFonts w:hint="eastAsia" w:cs="Times New Roman"/>
          <w:color w:val="FF0000"/>
          <w:lang w:val="en-US" w:eastAsia="zh-CN"/>
        </w:rPr>
        <w:t>侧为</w:t>
      </w:r>
      <w:r>
        <w:rPr>
          <w:rFonts w:hint="eastAsia"/>
          <w:color w:val="FF0000"/>
          <w:lang w:val="en-US" w:eastAsia="zh-CN"/>
        </w:rPr>
        <w:t>内陆滩涂</w:t>
      </w:r>
      <w:r>
        <w:rPr>
          <w:rFonts w:hint="eastAsia" w:cs="Times New Roman"/>
          <w:color w:val="FF0000"/>
          <w:lang w:val="en-US" w:eastAsia="zh-CN"/>
        </w:rPr>
        <w:t>、</w:t>
      </w:r>
      <w:r>
        <w:rPr>
          <w:rFonts w:hint="default" w:ascii="Times New Roman" w:hAnsi="Times New Roman" w:eastAsia="宋体" w:cs="Times New Roman"/>
          <w:color w:val="FF0000"/>
        </w:rPr>
        <w:t>西南北</w:t>
      </w:r>
      <w:r>
        <w:rPr>
          <w:rFonts w:hint="eastAsia" w:cs="Times New Roman"/>
          <w:color w:val="FF0000"/>
          <w:lang w:val="en-US" w:eastAsia="zh-CN"/>
        </w:rPr>
        <w:t>侧</w:t>
      </w:r>
      <w:r>
        <w:rPr>
          <w:rFonts w:hint="default" w:ascii="Times New Roman" w:hAnsi="Times New Roman" w:eastAsia="宋体" w:cs="Times New Roman"/>
          <w:color w:val="FF0000"/>
        </w:rPr>
        <w:t>均为沙地等。</w:t>
      </w:r>
      <w:r>
        <w:rPr>
          <w:rFonts w:hint="default" w:ascii="Times New Roman" w:hAnsi="Times New Roman" w:eastAsia="宋体" w:cs="Times New Roman"/>
          <w:color w:val="FF0000"/>
          <w:szCs w:val="24"/>
        </w:rPr>
        <w:t>项目环境现状如图3.1-</w:t>
      </w:r>
      <w:r>
        <w:rPr>
          <w:rFonts w:hint="eastAsia" w:cs="Times New Roman"/>
          <w:color w:val="FF0000"/>
          <w:szCs w:val="24"/>
          <w:lang w:val="en-US" w:eastAsia="zh-CN"/>
        </w:rPr>
        <w:t>3</w:t>
      </w:r>
      <w:r>
        <w:rPr>
          <w:rFonts w:hint="default" w:ascii="Times New Roman" w:hAnsi="Times New Roman" w:eastAsia="宋体" w:cs="Times New Roman"/>
          <w:color w:val="auto"/>
          <w:szCs w:val="24"/>
        </w:rPr>
        <w:t>。</w:t>
      </w:r>
    </w:p>
    <w:p>
      <w:pPr>
        <w:ind w:firstLine="480"/>
        <w:rPr>
          <w:rFonts w:hint="default" w:ascii="Times New Roman" w:hAnsi="Times New Roman" w:eastAsia="宋体" w:cs="Times New Roman"/>
          <w:color w:val="auto"/>
          <w:szCs w:val="24"/>
        </w:rPr>
      </w:pPr>
    </w:p>
    <w:p>
      <w:pPr>
        <w:ind w:firstLine="480"/>
        <w:rPr>
          <w:rFonts w:hint="default" w:ascii="Times New Roman" w:hAnsi="Times New Roman" w:eastAsia="宋体" w:cs="Times New Roman"/>
          <w:color w:val="auto"/>
          <w:szCs w:val="24"/>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8"/>
        <w:rPr>
          <w:rFonts w:hint="default" w:ascii="Times New Roman" w:hAnsi="Times New Roman" w:eastAsia="宋体" w:cs="Times New Roman"/>
          <w:color w:val="auto"/>
          <w:sz w:val="24"/>
        </w:rPr>
      </w:pPr>
      <w:r>
        <w:rPr>
          <w:color w:val="auto"/>
        </w:rPr>
        <w:drawing>
          <wp:anchor distT="0" distB="0" distL="0" distR="0" simplePos="0" relativeHeight="251660288" behindDoc="0" locked="0" layoutInCell="1" allowOverlap="1">
            <wp:simplePos x="0" y="0"/>
            <wp:positionH relativeFrom="column">
              <wp:posOffset>687070</wp:posOffset>
            </wp:positionH>
            <wp:positionV relativeFrom="paragraph">
              <wp:posOffset>10160</wp:posOffset>
            </wp:positionV>
            <wp:extent cx="7889875" cy="5579745"/>
            <wp:effectExtent l="0" t="0" r="15875" b="1905"/>
            <wp:wrapNone/>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889875" cy="5579745"/>
                    </a:xfrm>
                    <a:prstGeom prst="rect">
                      <a:avLst/>
                    </a:prstGeom>
                    <a:noFill/>
                    <a:ln>
                      <a:noFill/>
                    </a:ln>
                  </pic:spPr>
                </pic:pic>
              </a:graphicData>
            </a:graphic>
          </wp:anchor>
        </w:drawing>
      </w: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mc:AlternateContent>
          <mc:Choice Requires="wps">
            <w:drawing>
              <wp:anchor distT="0" distB="0" distL="114300" distR="114300" simplePos="0" relativeHeight="251664384" behindDoc="0" locked="0" layoutInCell="1" allowOverlap="1">
                <wp:simplePos x="0" y="0"/>
                <wp:positionH relativeFrom="column">
                  <wp:posOffset>1102995</wp:posOffset>
                </wp:positionH>
                <wp:positionV relativeFrom="paragraph">
                  <wp:posOffset>37465</wp:posOffset>
                </wp:positionV>
                <wp:extent cx="842645" cy="301625"/>
                <wp:effectExtent l="4445" t="5080" r="10160" b="207645"/>
                <wp:wrapNone/>
                <wp:docPr id="65" name="自选图形 353"/>
                <wp:cNvGraphicFramePr/>
                <a:graphic xmlns:a="http://schemas.openxmlformats.org/drawingml/2006/main">
                  <a:graphicData uri="http://schemas.microsoft.com/office/word/2010/wordprocessingShape">
                    <wps:wsp>
                      <wps:cNvSpPr/>
                      <wps:spPr>
                        <a:xfrm>
                          <a:off x="0" y="0"/>
                          <a:ext cx="842645" cy="301625"/>
                        </a:xfrm>
                        <a:prstGeom prst="wedgeRectCallout">
                          <a:avLst>
                            <a:gd name="adj1" fmla="val 14129"/>
                            <a:gd name="adj2" fmla="val 114000"/>
                          </a:avLst>
                        </a:prstGeom>
                        <a:noFill/>
                        <a:ln w="9525" cap="flat" cmpd="sng">
                          <a:solidFill>
                            <a:srgbClr val="000000"/>
                          </a:solidFill>
                          <a:prstDash val="solid"/>
                          <a:miter/>
                          <a:headEnd type="none" w="med" len="med"/>
                          <a:tailEnd type="none" w="med" len="med"/>
                        </a:ln>
                      </wps:spPr>
                      <wps:txbx>
                        <w:txbxContent>
                          <w:p>
                            <w:pPr>
                              <w:spacing w:line="240" w:lineRule="auto"/>
                              <w:ind w:firstLine="0" w:firstLineChars="0"/>
                              <w:jc w:val="center"/>
                            </w:pPr>
                            <w:r>
                              <w:rPr>
                                <w:rFonts w:hint="eastAsia"/>
                              </w:rPr>
                              <w:t>本项目</w:t>
                            </w:r>
                          </w:p>
                        </w:txbxContent>
                      </wps:txbx>
                      <wps:bodyPr upright="1"/>
                    </wps:wsp>
                  </a:graphicData>
                </a:graphic>
              </wp:anchor>
            </w:drawing>
          </mc:Choice>
          <mc:Fallback>
            <w:pict>
              <v:shape id="自选图形 353" o:spid="_x0000_s1026" o:spt="61" type="#_x0000_t61" style="position:absolute;left:0pt;margin-left:86.85pt;margin-top:2.95pt;height:23.75pt;width:66.35pt;z-index:251664384;mso-width-relative:page;mso-height-relative:page;" filled="f" stroked="t" coordsize="21600,21600" o:gfxdata="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kS659YAAAAIAQAADwAAAAAAAAABACAAAAAiAAAAZHJzL2Rvd25yZXYu&#10;eG1sUEsBAhQAFAAAAAgAh07iQF7qyO02AgAAZgQAAA4AAAAAAAAAAQAgAAAAJQEAAGRycy9lMm9E&#10;b2MueG1sUEsFBgAAAAAGAAYAWQEAAM0FAAAAAA==&#10;" adj="13852,35424">
                <v:fill on="f" focussize="0,0"/>
                <v:stroke color="#000000" joinstyle="miter"/>
                <v:imagedata o:title=""/>
                <o:lock v:ext="edit" aspectratio="f"/>
                <v:textbox>
                  <w:txbxContent>
                    <w:p>
                      <w:pPr>
                        <w:spacing w:line="240" w:lineRule="auto"/>
                        <w:ind w:firstLine="0" w:firstLineChars="0"/>
                        <w:jc w:val="center"/>
                      </w:pPr>
                      <w:r>
                        <w:rPr>
                          <w:rFonts w:hint="eastAsia"/>
                        </w:rPr>
                        <w:t>本项目</w:t>
                      </w:r>
                    </w:p>
                  </w:txbxContent>
                </v:textbox>
              </v:shape>
            </w:pict>
          </mc:Fallback>
        </mc:AlternateConten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sz w:val="24"/>
        </w:rPr>
        <mc:AlternateContent>
          <mc:Choice Requires="wps">
            <w:drawing>
              <wp:anchor distT="0" distB="0" distL="114300" distR="114300" simplePos="0" relativeHeight="251665408" behindDoc="0" locked="0" layoutInCell="1" allowOverlap="1">
                <wp:simplePos x="0" y="0"/>
                <wp:positionH relativeFrom="column">
                  <wp:posOffset>1600835</wp:posOffset>
                </wp:positionH>
                <wp:positionV relativeFrom="paragraph">
                  <wp:posOffset>205740</wp:posOffset>
                </wp:positionV>
                <wp:extent cx="75565" cy="75565"/>
                <wp:effectExtent l="9525" t="9525" r="10160" b="10160"/>
                <wp:wrapNone/>
                <wp:docPr id="66" name="矩形 354"/>
                <wp:cNvGraphicFramePr/>
                <a:graphic xmlns:a="http://schemas.openxmlformats.org/drawingml/2006/main">
                  <a:graphicData uri="http://schemas.microsoft.com/office/word/2010/wordprocessingShape">
                    <wps:wsp>
                      <wps:cNvSpPr/>
                      <wps:spPr>
                        <a:xfrm>
                          <a:off x="0" y="0"/>
                          <a:ext cx="75565" cy="75565"/>
                        </a:xfrm>
                        <a:prstGeom prst="rect">
                          <a:avLst/>
                        </a:prstGeom>
                        <a:solidFill>
                          <a:srgbClr val="000000"/>
                        </a:solidFill>
                        <a:ln w="19050"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rect id="矩形 354" o:spid="_x0000_s1026" o:spt="1" style="position:absolute;left:0pt;margin-left:126.05pt;margin-top:16.2pt;height:5.95pt;width:5.95pt;z-index:251665408;mso-width-relative:page;mso-height-relative:page;" fillcolor="#000000" filled="t" stroked="t" coordsize="21600,21600" o:gfxdata="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aZdar2gAAAAkBAAAPAAAAAAAAAAEAIAAAACIAAABkcnMv&#10;ZG93bnJldi54bWxQSwECFAAUAAAACACHTuJABuhA6AECAAAqBAAADgAAAAAAAAABACAAAAApAQAA&#10;ZHJzL2Uyb0RvYy54bWxQSwUGAAAAAAYABgBZAQAAnAUAAAAA&#10;">
                <v:fill on="t" focussize="0,0"/>
                <v:stroke weight="1.5pt" color="#FF0000" joinstyle="miter"/>
                <v:imagedata o:title=""/>
                <o:lock v:ext="edit" aspectratio="f"/>
                <v:textbox>
                  <w:txbxContent>
                    <w:p/>
                  </w:txbxContent>
                </v:textbox>
              </v:rect>
            </w:pict>
          </mc:Fallback>
        </mc:AlternateContent>
      </w: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mc:AlternateContent>
          <mc:Choice Requires="wps">
            <w:drawing>
              <wp:anchor distT="0" distB="0" distL="114300" distR="114300" simplePos="0" relativeHeight="251663360" behindDoc="0" locked="0" layoutInCell="1" allowOverlap="1">
                <wp:simplePos x="0" y="0"/>
                <wp:positionH relativeFrom="column">
                  <wp:posOffset>4523740</wp:posOffset>
                </wp:positionH>
                <wp:positionV relativeFrom="paragraph">
                  <wp:posOffset>-4666615</wp:posOffset>
                </wp:positionV>
                <wp:extent cx="36195" cy="36195"/>
                <wp:effectExtent l="4445" t="4445" r="16510" b="16510"/>
                <wp:wrapNone/>
                <wp:docPr id="64" name="椭圆 351"/>
                <wp:cNvGraphicFramePr/>
                <a:graphic xmlns:a="http://schemas.openxmlformats.org/drawingml/2006/main">
                  <a:graphicData uri="http://schemas.microsoft.com/office/word/2010/wordprocessingShape">
                    <wps:wsp>
                      <wps:cNvSpPr/>
                      <wps:spPr>
                        <a:xfrm>
                          <a:off x="0" y="0"/>
                          <a:ext cx="36195" cy="36195"/>
                        </a:xfrm>
                        <a:prstGeom prst="ellipse">
                          <a:avLst/>
                        </a:prstGeom>
                        <a:solidFill>
                          <a:srgbClr val="00B050"/>
                        </a:solidFill>
                        <a:ln w="9525" cap="flat" cmpd="sng">
                          <a:solidFill>
                            <a:srgbClr val="00B050"/>
                          </a:solidFill>
                          <a:prstDash val="solid"/>
                          <a:headEnd type="none" w="med" len="med"/>
                          <a:tailEnd type="none" w="med" len="med"/>
                        </a:ln>
                      </wps:spPr>
                      <wps:txbx>
                        <w:txbxContent>
                          <w:p/>
                        </w:txbxContent>
                      </wps:txbx>
                      <wps:bodyPr upright="1"/>
                    </wps:wsp>
                  </a:graphicData>
                </a:graphic>
              </wp:anchor>
            </w:drawing>
          </mc:Choice>
          <mc:Fallback>
            <w:pict>
              <v:shape id="椭圆 351" o:spid="_x0000_s1026" o:spt="3" type="#_x0000_t3" style="position:absolute;left:0pt;margin-left:356.2pt;margin-top:-367.45pt;height:2.85pt;width:2.85pt;z-index:251663360;mso-width-relative:page;mso-height-relative:page;" fillcolor="#00B050" filled="t" stroked="t" coordsize="21600,21600" o:gfxdata="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5jh2l2gAAAA0BAAAPAAAAAAAAAAEAIAAAACIAAABkcnMvZG93bnJldi54&#10;bWxQSwECFAAUAAAACACHTuJAxH6T5/gBAAAiBAAADgAAAAAAAAABACAAAAApAQAAZHJzL2Uyb0Rv&#10;Yy54bWxQSwUGAAAAAAYABgBZAQAAkwUAAAAA&#10;">
                <v:fill on="t" focussize="0,0"/>
                <v:stroke color="#00B050" joinstyle="round"/>
                <v:imagedata o:title=""/>
                <o:lock v:ext="edit" aspectratio="f"/>
                <v:textbox>
                  <w:txbxContent>
                    <w:p/>
                  </w:txbxContent>
                </v:textbox>
              </v:shape>
            </w:pict>
          </mc:Fallback>
        </mc:AlternateContent>
      </w:r>
      <w:r>
        <w:rPr>
          <w:rFonts w:hint="default" w:ascii="Times New Roman" w:hAnsi="Times New Roman" w:eastAsia="宋体" w:cs="Times New Roman"/>
          <w:color w:val="auto"/>
        </w:rPr>
        <w:t>图3.1-1    项目地理位置图</w:t>
      </w:r>
    </w:p>
    <w:p>
      <w:pPr>
        <w:ind w:firstLine="48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drawing>
          <wp:anchor distT="0" distB="0" distL="114300" distR="114300" simplePos="0" relativeHeight="251719680" behindDoc="0" locked="0" layoutInCell="1" allowOverlap="1">
            <wp:simplePos x="0" y="0"/>
            <wp:positionH relativeFrom="column">
              <wp:posOffset>535305</wp:posOffset>
            </wp:positionH>
            <wp:positionV relativeFrom="paragraph">
              <wp:posOffset>47625</wp:posOffset>
            </wp:positionV>
            <wp:extent cx="8321040" cy="5507990"/>
            <wp:effectExtent l="0" t="0" r="3810" b="16510"/>
            <wp:wrapNone/>
            <wp:docPr id="1" name="图片 1" descr="C:/Users/addd/AppData/Local/Temp/picturecompress_202105051040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dd/AppData/Local/Temp/picturecompress_20210505104021/output_1.jpgoutput_1"/>
                    <pic:cNvPicPr>
                      <a:picLocks noChangeAspect="1"/>
                    </pic:cNvPicPr>
                  </pic:nvPicPr>
                  <pic:blipFill>
                    <a:blip r:embed="rId24"/>
                    <a:srcRect t="2215" b="4179"/>
                    <a:stretch>
                      <a:fillRect/>
                    </a:stretch>
                  </pic:blipFill>
                  <pic:spPr>
                    <a:xfrm>
                      <a:off x="0" y="0"/>
                      <a:ext cx="8321040" cy="5507990"/>
                    </a:xfrm>
                    <a:prstGeom prst="rect">
                      <a:avLst/>
                    </a:prstGeom>
                  </pic:spPr>
                </pic:pic>
              </a:graphicData>
            </a:graphic>
          </wp:anchor>
        </w:drawing>
      </w:r>
    </w:p>
    <w:p>
      <w:pPr>
        <w:ind w:firstLine="480"/>
        <w:rPr>
          <w:rFonts w:hint="eastAsia" w:ascii="Times New Roman" w:hAnsi="Times New Roman" w:eastAsia="宋体" w:cs="Times New Roman"/>
          <w:color w:val="auto"/>
          <w:lang w:eastAsia="zh-CN"/>
        </w:rPr>
      </w:pPr>
    </w:p>
    <w:p>
      <w:pPr>
        <w:ind w:firstLine="480"/>
        <w:rPr>
          <w:rFonts w:hint="eastAsia" w:ascii="Times New Roman" w:hAnsi="Times New Roman" w:eastAsia="宋体" w:cs="Times New Roman"/>
          <w:color w:val="auto"/>
          <w:lang w:eastAsia="zh-CN"/>
        </w:rPr>
      </w:pPr>
    </w:p>
    <w:p>
      <w:pPr>
        <w:ind w:firstLine="480"/>
        <w:rPr>
          <w:rFonts w:hint="eastAsia" w:ascii="Times New Roman" w:hAnsi="Times New Roman" w:eastAsia="宋体" w:cs="Times New Roman"/>
          <w:color w:val="auto"/>
          <w:lang w:eastAsia="zh-CN"/>
        </w:rPr>
      </w:pPr>
    </w:p>
    <w:p>
      <w:pPr>
        <w:ind w:firstLine="480"/>
        <w:rPr>
          <w:rFonts w:hint="eastAsia" w:ascii="Times New Roman" w:hAnsi="Times New Roman" w:eastAsia="宋体" w:cs="Times New Roman"/>
          <w:color w:val="auto"/>
          <w:lang w:eastAsia="zh-CN"/>
        </w:rPr>
      </w:pPr>
    </w:p>
    <w:p>
      <w:pPr>
        <w:ind w:firstLine="480"/>
        <w:rPr>
          <w:rFonts w:hint="eastAsia" w:ascii="Times New Roman" w:hAnsi="Times New Roman" w:eastAsia="宋体" w:cs="Times New Roman"/>
          <w:color w:val="auto"/>
          <w:lang w:eastAsia="zh-CN"/>
        </w:rPr>
      </w:pPr>
    </w:p>
    <w:p>
      <w:pPr>
        <w:ind w:firstLine="480"/>
        <w:rPr>
          <w:rFonts w:hint="eastAsia" w:ascii="Times New Roman" w:hAnsi="Times New Roman" w:eastAsia="宋体" w:cs="Times New Roman"/>
          <w:color w:val="auto"/>
          <w:lang w:eastAsia="zh-CN"/>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rPr>
          <w:rFonts w:hint="default" w:ascii="Times New Roman" w:hAnsi="Times New Roman" w:eastAsia="宋体" w:cs="Times New Roman"/>
          <w:color w:val="auto"/>
        </w:rPr>
      </w:pPr>
    </w:p>
    <w:p>
      <w:pPr>
        <w:pStyle w:val="41"/>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图3.1-</w:t>
      </w:r>
      <w:r>
        <w:rPr>
          <w:rFonts w:hint="eastAsia" w:cs="Times New Roman"/>
          <w:b/>
          <w:bCs/>
          <w:color w:val="auto"/>
          <w:lang w:val="en-US" w:eastAsia="zh-CN"/>
        </w:rPr>
        <w:t>2</w:t>
      </w:r>
      <w:r>
        <w:rPr>
          <w:rFonts w:hint="default" w:ascii="Times New Roman" w:hAnsi="Times New Roman" w:eastAsia="宋体" w:cs="Times New Roman"/>
          <w:b/>
          <w:bCs/>
          <w:color w:val="auto"/>
        </w:rPr>
        <w:t xml:space="preserve">    项目地规划图</w:t>
      </w:r>
    </w:p>
    <w:p>
      <w:pPr>
        <w:pStyle w:val="41"/>
        <w:rPr>
          <w:rFonts w:hint="default" w:ascii="Times New Roman" w:hAnsi="Times New Roman" w:eastAsia="宋体" w:cs="Times New Roman"/>
          <w:color w:val="auto"/>
        </w:rPr>
        <w:sectPr>
          <w:pgSz w:w="16838" w:h="11906" w:orient="landscape"/>
          <w:pgMar w:top="1134" w:right="1134" w:bottom="1134" w:left="1134"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8"/>
        <w:rPr>
          <w:rFonts w:hint="eastAsia" w:ascii="Times New Roman" w:hAnsi="Times New Roman" w:eastAsia="宋体" w:cs="Times New Roman"/>
          <w:color w:val="auto"/>
          <w:lang w:eastAsia="zh-CN"/>
        </w:rPr>
      </w:pPr>
      <w:r>
        <w:rPr>
          <w:color w:val="auto"/>
        </w:rPr>
        <w:drawing>
          <wp:anchor distT="0" distB="0" distL="114300" distR="114300" simplePos="0" relativeHeight="251718656" behindDoc="0" locked="0" layoutInCell="1" allowOverlap="1">
            <wp:simplePos x="0" y="0"/>
            <wp:positionH relativeFrom="column">
              <wp:posOffset>7720965</wp:posOffset>
            </wp:positionH>
            <wp:positionV relativeFrom="paragraph">
              <wp:posOffset>15240</wp:posOffset>
            </wp:positionV>
            <wp:extent cx="532765" cy="587375"/>
            <wp:effectExtent l="0" t="0" r="635" b="3175"/>
            <wp:wrapNone/>
            <wp:docPr id="1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
                    <pic:cNvPicPr>
                      <a:picLocks noChangeAspect="1"/>
                    </pic:cNvPicPr>
                  </pic:nvPicPr>
                  <pic:blipFill>
                    <a:blip r:embed="rId25"/>
                    <a:stretch>
                      <a:fillRect/>
                    </a:stretch>
                  </pic:blipFill>
                  <pic:spPr>
                    <a:xfrm>
                      <a:off x="0" y="0"/>
                      <a:ext cx="532765" cy="587375"/>
                    </a:xfrm>
                    <a:prstGeom prst="rect">
                      <a:avLst/>
                    </a:prstGeom>
                    <a:noFill/>
                    <a:ln>
                      <a:noFill/>
                    </a:ln>
                  </pic:spPr>
                </pic:pic>
              </a:graphicData>
            </a:graphic>
          </wp:anchor>
        </w:drawing>
      </w:r>
      <w:r>
        <w:rPr>
          <w:rFonts w:hint="eastAsia" w:ascii="Times New Roman" w:hAnsi="Times New Roman" w:eastAsia="宋体" w:cs="Times New Roman"/>
          <w:color w:val="auto"/>
          <w:lang w:eastAsia="zh-CN"/>
        </w:rPr>
        <w:drawing>
          <wp:anchor distT="0" distB="0" distL="114300" distR="114300" simplePos="0" relativeHeight="251659264" behindDoc="0" locked="0" layoutInCell="1" allowOverlap="1">
            <wp:simplePos x="0" y="0"/>
            <wp:positionH relativeFrom="column">
              <wp:posOffset>962025</wp:posOffset>
            </wp:positionH>
            <wp:positionV relativeFrom="paragraph">
              <wp:posOffset>15240</wp:posOffset>
            </wp:positionV>
            <wp:extent cx="7287895" cy="5579745"/>
            <wp:effectExtent l="0" t="0" r="8255" b="1905"/>
            <wp:wrapNone/>
            <wp:docPr id="148" name="图片 148" descr="屏幕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屏幕截图"/>
                    <pic:cNvPicPr>
                      <a:picLocks noChangeAspect="1"/>
                    </pic:cNvPicPr>
                  </pic:nvPicPr>
                  <pic:blipFill>
                    <a:blip r:embed="rId20"/>
                    <a:stretch>
                      <a:fillRect/>
                    </a:stretch>
                  </pic:blipFill>
                  <pic:spPr>
                    <a:xfrm>
                      <a:off x="0" y="0"/>
                      <a:ext cx="7287895" cy="5579745"/>
                    </a:xfrm>
                    <a:prstGeom prst="rect">
                      <a:avLst/>
                    </a:prstGeom>
                  </pic:spPr>
                </pic:pic>
              </a:graphicData>
            </a:graphic>
          </wp:anchor>
        </w:drawing>
      </w: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sz w:val="24"/>
        </w:rPr>
        <mc:AlternateContent>
          <mc:Choice Requires="wps">
            <w:drawing>
              <wp:anchor distT="0" distB="0" distL="114300" distR="114300" simplePos="0" relativeHeight="251666432" behindDoc="0" locked="0" layoutInCell="1" allowOverlap="1">
                <wp:simplePos x="0" y="0"/>
                <wp:positionH relativeFrom="column">
                  <wp:posOffset>4368800</wp:posOffset>
                </wp:positionH>
                <wp:positionV relativeFrom="paragraph">
                  <wp:posOffset>245110</wp:posOffset>
                </wp:positionV>
                <wp:extent cx="524510" cy="387985"/>
                <wp:effectExtent l="0" t="0" r="0" b="0"/>
                <wp:wrapNone/>
                <wp:docPr id="67" name="矩形 355"/>
                <wp:cNvGraphicFramePr/>
                <a:graphic xmlns:a="http://schemas.openxmlformats.org/drawingml/2006/main">
                  <a:graphicData uri="http://schemas.microsoft.com/office/word/2010/wordprocessingShape">
                    <wps:wsp>
                      <wps:cNvSpPr/>
                      <wps:spPr>
                        <a:xfrm>
                          <a:off x="0" y="0"/>
                          <a:ext cx="524510" cy="387985"/>
                        </a:xfrm>
                        <a:prstGeom prst="rect">
                          <a:avLst/>
                        </a:prstGeom>
                        <a:noFill/>
                        <a:ln>
                          <a:noFill/>
                        </a:ln>
                      </wps:spPr>
                      <wps:txbx>
                        <w:txbxContent>
                          <w:p>
                            <w:pPr>
                              <w:ind w:left="0" w:leftChars="0" w:firstLine="0" w:firstLineChars="0"/>
                              <w:rPr>
                                <w:rFonts w:hint="eastAsia" w:eastAsia="宋体"/>
                                <w:b/>
                                <w:bCs/>
                                <w:color w:val="0000FF"/>
                                <w:lang w:eastAsia="zh-CN"/>
                              </w:rPr>
                            </w:pPr>
                            <w:r>
                              <w:rPr>
                                <w:rFonts w:hint="eastAsia"/>
                                <w:b/>
                                <w:bCs/>
                                <w:color w:val="0000FF"/>
                                <w:lang w:eastAsia="zh-CN"/>
                              </w:rPr>
                              <w:t>沙地</w:t>
                            </w:r>
                          </w:p>
                        </w:txbxContent>
                      </wps:txbx>
                      <wps:bodyPr upright="1"/>
                    </wps:wsp>
                  </a:graphicData>
                </a:graphic>
              </wp:anchor>
            </w:drawing>
          </mc:Choice>
          <mc:Fallback>
            <w:pict>
              <v:rect id="矩形 355" o:spid="_x0000_s1026" o:spt="1" style="position:absolute;left:0pt;margin-left:344pt;margin-top:19.3pt;height:30.55pt;width:41.3pt;z-index:251666432;mso-width-relative:page;mso-height-relative:page;" filled="f" stroked="f" coordsize="21600,21600" o:gfxdata="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ISH4mLbAAAACQEA&#10;AA8AAAAAAAAAAQAgAAAAIgAAAGRycy9kb3ducmV2LnhtbFBLAQIUABQAAAAIAIdO4kAtY+rNpQEA&#10;AEMDAAAOAAAAAAAAAAEAIAAAACoBAABkcnMvZTJvRG9jLnhtbFBLBQYAAAAABgAGAFkBAABBBQAA&#10;AAA=&#10;">
                <v:fill on="f" focussize="0,0"/>
                <v:stroke on="f"/>
                <v:imagedata o:title=""/>
                <o:lock v:ext="edit" aspectratio="f"/>
                <v:textbox>
                  <w:txbxContent>
                    <w:p>
                      <w:pPr>
                        <w:ind w:left="0" w:leftChars="0" w:firstLine="0" w:firstLineChars="0"/>
                        <w:rPr>
                          <w:rFonts w:hint="eastAsia" w:eastAsia="宋体"/>
                          <w:b/>
                          <w:bCs/>
                          <w:color w:val="0000FF"/>
                          <w:lang w:eastAsia="zh-CN"/>
                        </w:rPr>
                      </w:pPr>
                      <w:r>
                        <w:rPr>
                          <w:rFonts w:hint="eastAsia"/>
                          <w:b/>
                          <w:bCs/>
                          <w:color w:val="0000FF"/>
                          <w:lang w:eastAsia="zh-CN"/>
                        </w:rPr>
                        <w:t>沙地</w:t>
                      </w:r>
                    </w:p>
                  </w:txbxContent>
                </v:textbox>
              </v:rect>
            </w:pict>
          </mc:Fallback>
        </mc:AlternateContent>
      </w: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sz w:val="24"/>
        </w:rPr>
        <mc:AlternateContent>
          <mc:Choice Requires="wps">
            <w:drawing>
              <wp:anchor distT="0" distB="0" distL="114300" distR="114300" simplePos="0" relativeHeight="251716608" behindDoc="0" locked="0" layoutInCell="1" allowOverlap="1">
                <wp:simplePos x="0" y="0"/>
                <wp:positionH relativeFrom="column">
                  <wp:posOffset>5477510</wp:posOffset>
                </wp:positionH>
                <wp:positionV relativeFrom="paragraph">
                  <wp:posOffset>213995</wp:posOffset>
                </wp:positionV>
                <wp:extent cx="841375" cy="387985"/>
                <wp:effectExtent l="0" t="0" r="0" b="0"/>
                <wp:wrapNone/>
                <wp:docPr id="151" name="矩形 356"/>
                <wp:cNvGraphicFramePr/>
                <a:graphic xmlns:a="http://schemas.openxmlformats.org/drawingml/2006/main">
                  <a:graphicData uri="http://schemas.microsoft.com/office/word/2010/wordprocessingShape">
                    <wps:wsp>
                      <wps:cNvSpPr/>
                      <wps:spPr>
                        <a:xfrm>
                          <a:off x="0" y="0"/>
                          <a:ext cx="841375" cy="387985"/>
                        </a:xfrm>
                        <a:prstGeom prst="rect">
                          <a:avLst/>
                        </a:prstGeom>
                        <a:noFill/>
                        <a:ln>
                          <a:noFill/>
                        </a:ln>
                      </wps:spPr>
                      <wps:txbx>
                        <w:txbxContent>
                          <w:p>
                            <w:pPr>
                              <w:ind w:left="0" w:leftChars="0" w:firstLine="0" w:firstLineChars="0"/>
                              <w:rPr>
                                <w:rFonts w:hint="default"/>
                                <w:b/>
                                <w:bCs/>
                                <w:color w:val="FFFF00"/>
                                <w:lang w:val="en-US" w:eastAsia="zh-CN"/>
                              </w:rPr>
                            </w:pPr>
                            <w:r>
                              <w:rPr>
                                <w:rFonts w:hint="eastAsia"/>
                                <w:b/>
                                <w:bCs/>
                                <w:color w:val="FFFF00"/>
                                <w:lang w:val="en-US" w:eastAsia="zh-CN"/>
                              </w:rPr>
                              <w:t>120m</w:t>
                            </w:r>
                          </w:p>
                        </w:txbxContent>
                      </wps:txbx>
                      <wps:bodyPr upright="1"/>
                    </wps:wsp>
                  </a:graphicData>
                </a:graphic>
              </wp:anchor>
            </w:drawing>
          </mc:Choice>
          <mc:Fallback>
            <w:pict>
              <v:rect id="矩形 356" o:spid="_x0000_s1026" o:spt="1" style="position:absolute;left:0pt;margin-left:431.3pt;margin-top:16.85pt;height:30.55pt;width:66.25pt;z-index:251716608;mso-width-relative:page;mso-height-relative:page;" filled="f" stroked="f" coordsize="21600,21600" o:gfxdata="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D8syWHbAAAACQEA&#10;AA8AAAAAAAAAAQAgAAAAIgAAAGRycy9kb3ducmV2LnhtbFBLAQIUABQAAAAIAIdO4kAy5DdRpQEA&#10;AEQDAAAOAAAAAAAAAAEAIAAAACoBAABkcnMvZTJvRG9jLnhtbFBLBQYAAAAABgAGAFkBAABBBQAA&#10;AAA=&#10;">
                <v:fill on="f" focussize="0,0"/>
                <v:stroke on="f"/>
                <v:imagedata o:title=""/>
                <o:lock v:ext="edit" aspectratio="f"/>
                <v:textbox>
                  <w:txbxContent>
                    <w:p>
                      <w:pPr>
                        <w:ind w:left="0" w:leftChars="0" w:firstLine="0" w:firstLineChars="0"/>
                        <w:rPr>
                          <w:rFonts w:hint="default"/>
                          <w:b/>
                          <w:bCs/>
                          <w:color w:val="FFFF00"/>
                          <w:lang w:val="en-US" w:eastAsia="zh-CN"/>
                        </w:rPr>
                      </w:pPr>
                      <w:r>
                        <w:rPr>
                          <w:rFonts w:hint="eastAsia"/>
                          <w:b/>
                          <w:bCs/>
                          <w:color w:val="FFFF00"/>
                          <w:lang w:val="en-US" w:eastAsia="zh-CN"/>
                        </w:rPr>
                        <w:t>120m</w:t>
                      </w:r>
                    </w:p>
                  </w:txbxContent>
                </v:textbox>
              </v:rect>
            </w:pict>
          </mc:Fallback>
        </mc:AlternateConten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sz w:val="24"/>
        </w:rPr>
        <mc:AlternateContent>
          <mc:Choice Requires="wps">
            <w:drawing>
              <wp:anchor distT="0" distB="0" distL="114300" distR="114300" simplePos="0" relativeHeight="251714560" behindDoc="0" locked="0" layoutInCell="1" allowOverlap="1">
                <wp:simplePos x="0" y="0"/>
                <wp:positionH relativeFrom="column">
                  <wp:posOffset>2622550</wp:posOffset>
                </wp:positionH>
                <wp:positionV relativeFrom="paragraph">
                  <wp:posOffset>99060</wp:posOffset>
                </wp:positionV>
                <wp:extent cx="524510" cy="387985"/>
                <wp:effectExtent l="0" t="0" r="0" b="0"/>
                <wp:wrapNone/>
                <wp:docPr id="149" name="矩形 355"/>
                <wp:cNvGraphicFramePr/>
                <a:graphic xmlns:a="http://schemas.openxmlformats.org/drawingml/2006/main">
                  <a:graphicData uri="http://schemas.microsoft.com/office/word/2010/wordprocessingShape">
                    <wps:wsp>
                      <wps:cNvSpPr/>
                      <wps:spPr>
                        <a:xfrm>
                          <a:off x="0" y="0"/>
                          <a:ext cx="524510" cy="387985"/>
                        </a:xfrm>
                        <a:prstGeom prst="rect">
                          <a:avLst/>
                        </a:prstGeom>
                        <a:noFill/>
                        <a:ln>
                          <a:noFill/>
                        </a:ln>
                      </wps:spPr>
                      <wps:txbx>
                        <w:txbxContent>
                          <w:p>
                            <w:pPr>
                              <w:ind w:left="0" w:leftChars="0" w:firstLine="0" w:firstLineChars="0"/>
                              <w:rPr>
                                <w:rFonts w:hint="eastAsia" w:eastAsia="宋体"/>
                                <w:b/>
                                <w:bCs/>
                                <w:color w:val="0000FF"/>
                                <w:lang w:eastAsia="zh-CN"/>
                              </w:rPr>
                            </w:pPr>
                            <w:r>
                              <w:rPr>
                                <w:rFonts w:hint="eastAsia"/>
                                <w:b/>
                                <w:bCs/>
                                <w:color w:val="0000FF"/>
                                <w:lang w:eastAsia="zh-CN"/>
                              </w:rPr>
                              <w:t>沙地</w:t>
                            </w:r>
                          </w:p>
                        </w:txbxContent>
                      </wps:txbx>
                      <wps:bodyPr upright="1"/>
                    </wps:wsp>
                  </a:graphicData>
                </a:graphic>
              </wp:anchor>
            </w:drawing>
          </mc:Choice>
          <mc:Fallback>
            <w:pict>
              <v:rect id="矩形 355" o:spid="_x0000_s1026" o:spt="1" style="position:absolute;left:0pt;margin-left:206.5pt;margin-top:7.8pt;height:30.55pt;width:41.3pt;z-index:251714560;mso-width-relative:page;mso-height-relative:page;" filled="f" stroked="f" coordsize="21600,21600" o:gfxdata="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daERhdoAAAAJAQAA&#10;DwAAAAAAAAABACAAAAAiAAAAZHJzL2Rvd25yZXYueG1sUEsBAhQAFAAAAAgAh07iQOglaw2lAQAA&#10;RAMAAA4AAAAAAAAAAQAgAAAAKQEAAGRycy9lMm9Eb2MueG1sUEsFBgAAAAAGAAYAWQEAAEAFAAAA&#10;AA==&#10;">
                <v:fill on="f" focussize="0,0"/>
                <v:stroke on="f"/>
                <v:imagedata o:title=""/>
                <o:lock v:ext="edit" aspectratio="f"/>
                <v:textbox>
                  <w:txbxContent>
                    <w:p>
                      <w:pPr>
                        <w:ind w:left="0" w:leftChars="0" w:firstLine="0" w:firstLineChars="0"/>
                        <w:rPr>
                          <w:rFonts w:hint="eastAsia" w:eastAsia="宋体"/>
                          <w:b/>
                          <w:bCs/>
                          <w:color w:val="0000FF"/>
                          <w:lang w:eastAsia="zh-CN"/>
                        </w:rPr>
                      </w:pPr>
                      <w:r>
                        <w:rPr>
                          <w:rFonts w:hint="eastAsia"/>
                          <w:b/>
                          <w:bCs/>
                          <w:color w:val="0000FF"/>
                          <w:lang w:eastAsia="zh-CN"/>
                        </w:rPr>
                        <w:t>沙地</w:t>
                      </w:r>
                    </w:p>
                  </w:txbxContent>
                </v:textbox>
              </v:rect>
            </w:pict>
          </mc:Fallback>
        </mc:AlternateContent>
      </w:r>
    </w:p>
    <w:p>
      <w:pPr>
        <w:pStyle w:val="8"/>
        <w:rPr>
          <w:rFonts w:hint="default" w:ascii="Times New Roman" w:hAnsi="Times New Roman" w:eastAsia="宋体" w:cs="Times New Roman"/>
          <w:color w:val="auto"/>
        </w:rPr>
      </w:pPr>
      <w:r>
        <w:rPr>
          <w:color w:val="auto"/>
          <w:sz w:val="24"/>
        </w:rPr>
        <mc:AlternateContent>
          <mc:Choice Requires="wps">
            <w:drawing>
              <wp:anchor distT="0" distB="0" distL="114300" distR="114300" simplePos="0" relativeHeight="251717632" behindDoc="0" locked="0" layoutInCell="1" allowOverlap="1">
                <wp:simplePos x="0" y="0"/>
                <wp:positionH relativeFrom="column">
                  <wp:posOffset>5379085</wp:posOffset>
                </wp:positionH>
                <wp:positionV relativeFrom="paragraph">
                  <wp:posOffset>12065</wp:posOffset>
                </wp:positionV>
                <wp:extent cx="933450" cy="63500"/>
                <wp:effectExtent l="0" t="43180" r="0" b="45720"/>
                <wp:wrapNone/>
                <wp:docPr id="152" name="直接箭头连接符 152"/>
                <wp:cNvGraphicFramePr/>
                <a:graphic xmlns:a="http://schemas.openxmlformats.org/drawingml/2006/main">
                  <a:graphicData uri="http://schemas.microsoft.com/office/word/2010/wordprocessingShape">
                    <wps:wsp>
                      <wps:cNvCnPr/>
                      <wps:spPr>
                        <a:xfrm>
                          <a:off x="6099175" y="2902585"/>
                          <a:ext cx="933450" cy="63500"/>
                        </a:xfrm>
                        <a:prstGeom prst="straightConnector1">
                          <a:avLst/>
                        </a:prstGeom>
                        <a:ln>
                          <a:solidFill>
                            <a:srgbClr val="FFFF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23.55pt;margin-top:0.95pt;height:5pt;width:73.5pt;z-index:251717632;mso-width-relative:page;mso-height-relative:page;" filled="f" stroked="t" coordsize="21600,21600" o:gfxdata="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jOJtLUAAAACAEAAA8AAAAAAAAAAQAg&#10;AAAAIgAAAGRycy9kb3ducmV2LnhtbFBLAQIUABQAAAAIAIdO4kCLg5VNEgIAAPMDAAAOAAAAAAAA&#10;AAEAIAAAACMBAABkcnMvZTJvRG9jLnhtbFBLBQYAAAAABgAGAFkBAACnBQAAAAA=&#10;">
                <v:fill on="f" focussize="0,0"/>
                <v:stroke color="#FFFF00 [3204]" joinstyle="round" startarrow="open" endarrow="open"/>
                <v:imagedata o:title=""/>
                <o:lock v:ext="edit" aspectratio="f"/>
              </v:shape>
            </w:pict>
          </mc:Fallback>
        </mc:AlternateContent>
      </w:r>
      <w:r>
        <w:rPr>
          <w:rFonts w:hint="default" w:ascii="Times New Roman" w:hAnsi="Times New Roman" w:eastAsia="宋体" w:cs="Times New Roman"/>
          <w:color w:val="auto"/>
          <w:sz w:val="24"/>
        </w:rPr>
        <mc:AlternateContent>
          <mc:Choice Requires="wps">
            <w:drawing>
              <wp:anchor distT="0" distB="0" distL="114300" distR="114300" simplePos="0" relativeHeight="251710464" behindDoc="0" locked="0" layoutInCell="1" allowOverlap="1">
                <wp:simplePos x="0" y="0"/>
                <wp:positionH relativeFrom="column">
                  <wp:posOffset>6607810</wp:posOffset>
                </wp:positionH>
                <wp:positionV relativeFrom="paragraph">
                  <wp:posOffset>353695</wp:posOffset>
                </wp:positionV>
                <wp:extent cx="841375" cy="387985"/>
                <wp:effectExtent l="0" t="0" r="0" b="0"/>
                <wp:wrapNone/>
                <wp:docPr id="153" name="矩形 356"/>
                <wp:cNvGraphicFramePr/>
                <a:graphic xmlns:a="http://schemas.openxmlformats.org/drawingml/2006/main">
                  <a:graphicData uri="http://schemas.microsoft.com/office/word/2010/wordprocessingShape">
                    <wps:wsp>
                      <wps:cNvSpPr/>
                      <wps:spPr>
                        <a:xfrm>
                          <a:off x="0" y="0"/>
                          <a:ext cx="841375" cy="387985"/>
                        </a:xfrm>
                        <a:prstGeom prst="rect">
                          <a:avLst/>
                        </a:prstGeom>
                        <a:noFill/>
                        <a:ln>
                          <a:noFill/>
                        </a:ln>
                      </wps:spPr>
                      <wps:txbx>
                        <w:txbxContent>
                          <w:p>
                            <w:pPr>
                              <w:ind w:left="0" w:leftChars="0" w:firstLine="0" w:firstLineChars="0"/>
                              <w:rPr>
                                <w:rFonts w:hint="default"/>
                                <w:b/>
                                <w:bCs/>
                                <w:color w:val="FFFF00"/>
                                <w:lang w:val="en-US" w:eastAsia="zh-CN"/>
                              </w:rPr>
                            </w:pPr>
                            <w:r>
                              <w:rPr>
                                <w:rFonts w:hint="eastAsia"/>
                                <w:b/>
                                <w:bCs/>
                                <w:color w:val="FFFF00"/>
                                <w:lang w:val="en-US" w:eastAsia="zh-CN"/>
                              </w:rPr>
                              <w:t>变电站</w:t>
                            </w:r>
                          </w:p>
                        </w:txbxContent>
                      </wps:txbx>
                      <wps:bodyPr upright="1"/>
                    </wps:wsp>
                  </a:graphicData>
                </a:graphic>
              </wp:anchor>
            </w:drawing>
          </mc:Choice>
          <mc:Fallback>
            <w:pict>
              <v:rect id="矩形 356" o:spid="_x0000_s1026" o:spt="1" style="position:absolute;left:0pt;margin-left:520.3pt;margin-top:27.85pt;height:30.55pt;width:66.25pt;z-index:251710464;mso-width-relative:page;mso-height-relative:page;" filled="f" stroked="f" coordsize="21600,21600" o:gfxdata="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PEhIB3bAAAADAEA&#10;AA8AAAAAAAAAAQAgAAAAIgAAAGRycy9kb3ducmV2LnhtbFBLAQIUABQAAAAIAIdO4kBUfRy6pQEA&#10;AEQDAAAOAAAAAAAAAAEAIAAAACoBAABkcnMvZTJvRG9jLnhtbFBLBQYAAAAABgAGAFkBAABBBQAA&#10;AAA=&#10;">
                <v:fill on="f" focussize="0,0"/>
                <v:stroke on="f"/>
                <v:imagedata o:title=""/>
                <o:lock v:ext="edit" aspectratio="f"/>
                <v:textbox>
                  <w:txbxContent>
                    <w:p>
                      <w:pPr>
                        <w:ind w:left="0" w:leftChars="0" w:firstLine="0" w:firstLineChars="0"/>
                        <w:rPr>
                          <w:rFonts w:hint="default"/>
                          <w:b/>
                          <w:bCs/>
                          <w:color w:val="FFFF00"/>
                          <w:lang w:val="en-US" w:eastAsia="zh-CN"/>
                        </w:rPr>
                      </w:pPr>
                      <w:r>
                        <w:rPr>
                          <w:rFonts w:hint="eastAsia"/>
                          <w:b/>
                          <w:bCs/>
                          <w:color w:val="FFFF00"/>
                          <w:lang w:val="en-US" w:eastAsia="zh-CN"/>
                        </w:rPr>
                        <w:t>变电站</w:t>
                      </w:r>
                    </w:p>
                  </w:txbxContent>
                </v:textbox>
              </v:rect>
            </w:pict>
          </mc:Fallback>
        </mc:AlternateConten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sz w:val="24"/>
        </w:rPr>
        <mc:AlternateContent>
          <mc:Choice Requires="wps">
            <w:drawing>
              <wp:anchor distT="0" distB="0" distL="114300" distR="114300" simplePos="0" relativeHeight="251667456" behindDoc="0" locked="0" layoutInCell="1" allowOverlap="1">
                <wp:simplePos x="0" y="0"/>
                <wp:positionH relativeFrom="column">
                  <wp:posOffset>5083810</wp:posOffset>
                </wp:positionH>
                <wp:positionV relativeFrom="paragraph">
                  <wp:posOffset>36195</wp:posOffset>
                </wp:positionV>
                <wp:extent cx="841375" cy="387985"/>
                <wp:effectExtent l="0" t="0" r="0" b="0"/>
                <wp:wrapNone/>
                <wp:docPr id="68" name="矩形 356"/>
                <wp:cNvGraphicFramePr/>
                <a:graphic xmlns:a="http://schemas.openxmlformats.org/drawingml/2006/main">
                  <a:graphicData uri="http://schemas.microsoft.com/office/word/2010/wordprocessingShape">
                    <wps:wsp>
                      <wps:cNvSpPr/>
                      <wps:spPr>
                        <a:xfrm>
                          <a:off x="0" y="0"/>
                          <a:ext cx="841375" cy="387985"/>
                        </a:xfrm>
                        <a:prstGeom prst="rect">
                          <a:avLst/>
                        </a:prstGeom>
                        <a:noFill/>
                        <a:ln>
                          <a:noFill/>
                        </a:ln>
                      </wps:spPr>
                      <wps:txbx>
                        <w:txbxContent>
                          <w:p>
                            <w:pPr>
                              <w:ind w:left="0" w:leftChars="0" w:firstLine="0" w:firstLineChars="0"/>
                              <w:rPr>
                                <w:rFonts w:hint="eastAsia"/>
                                <w:b/>
                                <w:bCs/>
                                <w:lang w:eastAsia="zh-CN"/>
                              </w:rPr>
                            </w:pPr>
                            <w:r>
                              <w:rPr>
                                <w:rFonts w:hint="eastAsia"/>
                                <w:b/>
                                <w:bCs/>
                                <w:color w:val="0000FF"/>
                                <w:lang w:val="en-US" w:eastAsia="zh-CN"/>
                              </w:rPr>
                              <w:t>内陆滩涂</w:t>
                            </w:r>
                          </w:p>
                        </w:txbxContent>
                      </wps:txbx>
                      <wps:bodyPr upright="1"/>
                    </wps:wsp>
                  </a:graphicData>
                </a:graphic>
              </wp:anchor>
            </w:drawing>
          </mc:Choice>
          <mc:Fallback>
            <w:pict>
              <v:rect id="矩形 356" o:spid="_x0000_s1026" o:spt="1" style="position:absolute;left:0pt;margin-left:400.3pt;margin-top:2.85pt;height:30.55pt;width:66.25pt;z-index:251667456;mso-width-relative:page;mso-height-relative:page;" filled="f" stroked="f" coordsize="21600,21600" o:gfxdata="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AnRy/2QAAAAgBAAAP&#10;AAAAAAAAAAEAIAAAACIAAABkcnMvZG93bnJldi54bWxQSwECFAAUAAAACACHTuJAVbQzUKUBAABD&#10;AwAADgAAAAAAAAABACAAAAAoAQAAZHJzL2Uyb0RvYy54bWxQSwUGAAAAAAYABgBZAQAAPwUAAAAA&#10;">
                <v:fill on="f" focussize="0,0"/>
                <v:stroke on="f"/>
                <v:imagedata o:title=""/>
                <o:lock v:ext="edit" aspectratio="f"/>
                <v:textbox>
                  <w:txbxContent>
                    <w:p>
                      <w:pPr>
                        <w:ind w:left="0" w:leftChars="0" w:firstLine="0" w:firstLineChars="0"/>
                        <w:rPr>
                          <w:rFonts w:hint="eastAsia"/>
                          <w:b/>
                          <w:bCs/>
                          <w:lang w:eastAsia="zh-CN"/>
                        </w:rPr>
                      </w:pPr>
                      <w:r>
                        <w:rPr>
                          <w:rFonts w:hint="eastAsia"/>
                          <w:b/>
                          <w:bCs/>
                          <w:color w:val="0000FF"/>
                          <w:lang w:val="en-US" w:eastAsia="zh-CN"/>
                        </w:rPr>
                        <w:t>内陆滩涂</w:t>
                      </w:r>
                    </w:p>
                  </w:txbxContent>
                </v:textbox>
              </v:rect>
            </w:pict>
          </mc:Fallback>
        </mc:AlternateContent>
      </w:r>
    </w:p>
    <w:p>
      <w:pPr>
        <w:pStyle w:val="8"/>
        <w:rPr>
          <w:rFonts w:hint="default" w:ascii="Times New Roman" w:hAnsi="Times New Roman" w:eastAsia="宋体" w:cs="Times New Roman"/>
          <w:color w:val="auto"/>
          <w:lang w:eastAsia="zh-CN"/>
        </w:rPr>
      </w:pPr>
      <w:r>
        <w:rPr>
          <w:rFonts w:hint="default" w:ascii="Times New Roman" w:hAnsi="Times New Roman" w:eastAsia="宋体" w:cs="Times New Roman"/>
          <w:color w:val="auto"/>
          <w:sz w:val="24"/>
        </w:rPr>
        <mc:AlternateContent>
          <mc:Choice Requires="wps">
            <w:drawing>
              <wp:anchor distT="0" distB="0" distL="114300" distR="114300" simplePos="0" relativeHeight="251715584" behindDoc="0" locked="0" layoutInCell="1" allowOverlap="1">
                <wp:simplePos x="0" y="0"/>
                <wp:positionH relativeFrom="column">
                  <wp:posOffset>3556000</wp:posOffset>
                </wp:positionH>
                <wp:positionV relativeFrom="paragraph">
                  <wp:posOffset>187960</wp:posOffset>
                </wp:positionV>
                <wp:extent cx="524510" cy="387985"/>
                <wp:effectExtent l="0" t="0" r="0" b="0"/>
                <wp:wrapNone/>
                <wp:docPr id="150" name="矩形 355"/>
                <wp:cNvGraphicFramePr/>
                <a:graphic xmlns:a="http://schemas.openxmlformats.org/drawingml/2006/main">
                  <a:graphicData uri="http://schemas.microsoft.com/office/word/2010/wordprocessingShape">
                    <wps:wsp>
                      <wps:cNvSpPr/>
                      <wps:spPr>
                        <a:xfrm>
                          <a:off x="0" y="0"/>
                          <a:ext cx="524510" cy="387985"/>
                        </a:xfrm>
                        <a:prstGeom prst="rect">
                          <a:avLst/>
                        </a:prstGeom>
                        <a:noFill/>
                        <a:ln>
                          <a:noFill/>
                        </a:ln>
                      </wps:spPr>
                      <wps:txbx>
                        <w:txbxContent>
                          <w:p>
                            <w:pPr>
                              <w:ind w:left="0" w:leftChars="0" w:firstLine="0" w:firstLineChars="0"/>
                              <w:rPr>
                                <w:rFonts w:hint="eastAsia" w:eastAsia="宋体"/>
                                <w:b/>
                                <w:bCs/>
                                <w:color w:val="0000FF"/>
                                <w:lang w:eastAsia="zh-CN"/>
                              </w:rPr>
                            </w:pPr>
                            <w:r>
                              <w:rPr>
                                <w:rFonts w:hint="eastAsia"/>
                                <w:b/>
                                <w:bCs/>
                                <w:color w:val="0000FF"/>
                                <w:lang w:eastAsia="zh-CN"/>
                              </w:rPr>
                              <w:t>沙地</w:t>
                            </w:r>
                          </w:p>
                        </w:txbxContent>
                      </wps:txbx>
                      <wps:bodyPr upright="1"/>
                    </wps:wsp>
                  </a:graphicData>
                </a:graphic>
              </wp:anchor>
            </w:drawing>
          </mc:Choice>
          <mc:Fallback>
            <w:pict>
              <v:rect id="矩形 355" o:spid="_x0000_s1026" o:spt="1" style="position:absolute;left:0pt;margin-left:280pt;margin-top:14.8pt;height:30.55pt;width:41.3pt;z-index:251715584;mso-width-relative:page;mso-height-relative:page;" filled="f" stroked="f" coordsize="21600,21600" o:gfxdata="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qMSI52gAAAAkBAAAP&#10;AAAAAAAAAAEAIAAAACIAAABkcnMvZG93bnJldi54bWxQSwECFAAUAAAACACHTuJAu/evMKQBAABE&#10;AwAADgAAAAAAAAABACAAAAApAQAAZHJzL2Uyb0RvYy54bWxQSwUGAAAAAAYABgBZAQAAPwUAAAAA&#10;">
                <v:fill on="f" focussize="0,0"/>
                <v:stroke on="f"/>
                <v:imagedata o:title=""/>
                <o:lock v:ext="edit" aspectratio="f"/>
                <v:textbox>
                  <w:txbxContent>
                    <w:p>
                      <w:pPr>
                        <w:ind w:left="0" w:leftChars="0" w:firstLine="0" w:firstLineChars="0"/>
                        <w:rPr>
                          <w:rFonts w:hint="eastAsia" w:eastAsia="宋体"/>
                          <w:b/>
                          <w:bCs/>
                          <w:color w:val="0000FF"/>
                          <w:lang w:eastAsia="zh-CN"/>
                        </w:rPr>
                      </w:pPr>
                      <w:r>
                        <w:rPr>
                          <w:rFonts w:hint="eastAsia"/>
                          <w:b/>
                          <w:bCs/>
                          <w:color w:val="0000FF"/>
                          <w:lang w:eastAsia="zh-CN"/>
                        </w:rPr>
                        <w:t>沙地</w:t>
                      </w:r>
                    </w:p>
                  </w:txbxContent>
                </v:textbox>
              </v:rect>
            </w:pict>
          </mc:Fallback>
        </mc:AlternateContent>
      </w: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r>
        <w:rPr>
          <w:color w:val="auto"/>
          <w:sz w:val="24"/>
        </w:rPr>
        <mc:AlternateContent>
          <mc:Choice Requires="wps">
            <w:drawing>
              <wp:anchor distT="0" distB="0" distL="114300" distR="114300" simplePos="0" relativeHeight="251711488" behindDoc="0" locked="0" layoutInCell="1" allowOverlap="1">
                <wp:simplePos x="0" y="0"/>
                <wp:positionH relativeFrom="column">
                  <wp:posOffset>4318635</wp:posOffset>
                </wp:positionH>
                <wp:positionV relativeFrom="paragraph">
                  <wp:posOffset>247015</wp:posOffset>
                </wp:positionV>
                <wp:extent cx="57150" cy="774700"/>
                <wp:effectExtent l="42545" t="0" r="52705" b="6350"/>
                <wp:wrapNone/>
                <wp:docPr id="154" name="直接箭头连接符 154"/>
                <wp:cNvGraphicFramePr/>
                <a:graphic xmlns:a="http://schemas.openxmlformats.org/drawingml/2006/main">
                  <a:graphicData uri="http://schemas.microsoft.com/office/word/2010/wordprocessingShape">
                    <wps:wsp>
                      <wps:cNvCnPr/>
                      <wps:spPr>
                        <a:xfrm>
                          <a:off x="0" y="0"/>
                          <a:ext cx="57150" cy="774700"/>
                        </a:xfrm>
                        <a:prstGeom prst="straightConnector1">
                          <a:avLst/>
                        </a:prstGeom>
                        <a:ln>
                          <a:solidFill>
                            <a:srgbClr val="FFFF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40.05pt;margin-top:19.45pt;height:61pt;width:4.5pt;z-index:251711488;mso-width-relative:page;mso-height-relative:page;" filled="f" stroked="t" coordsize="21600,21600" o:gfxdata="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XFWOjWAAAACgEAAA8AAAAAAAAAAQAgAAAAIgAAAGRycy9k&#10;b3ducmV2LnhtbFBLAQIUABQAAAAIAIdO4kBz9REGBAIAAOcDAAAOAAAAAAAAAAEAIAAAACUBAABk&#10;cnMvZTJvRG9jLnhtbFBLBQYAAAAABgAGAFkBAACbBQAAAAA=&#10;">
                <v:fill on="f" focussize="0,0"/>
                <v:stroke color="#FFFF00 [3204]" joinstyle="round" startarrow="open" endarrow="open"/>
                <v:imagedata o:title=""/>
                <o:lock v:ext="edit" aspectratio="f"/>
              </v:shape>
            </w:pict>
          </mc:Fallback>
        </mc:AlternateContent>
      </w:r>
    </w:p>
    <w:p>
      <w:pPr>
        <w:rPr>
          <w:rFonts w:hint="default" w:ascii="Times New Roman" w:hAnsi="Times New Roman" w:eastAsia="宋体" w:cs="Times New Roman"/>
          <w:color w:val="auto"/>
        </w:rPr>
      </w:pPr>
      <w:r>
        <w:rPr>
          <w:rFonts w:hint="default" w:ascii="Times New Roman" w:hAnsi="Times New Roman" w:eastAsia="宋体" w:cs="Times New Roman"/>
          <w:color w:val="auto"/>
          <w:sz w:val="24"/>
        </w:rPr>
        <mc:AlternateContent>
          <mc:Choice Requires="wps">
            <w:drawing>
              <wp:anchor distT="0" distB="0" distL="114300" distR="114300" simplePos="0" relativeHeight="251710464" behindDoc="0" locked="0" layoutInCell="1" allowOverlap="1">
                <wp:simplePos x="0" y="0"/>
                <wp:positionH relativeFrom="column">
                  <wp:posOffset>3769360</wp:posOffset>
                </wp:positionH>
                <wp:positionV relativeFrom="paragraph">
                  <wp:posOffset>42545</wp:posOffset>
                </wp:positionV>
                <wp:extent cx="841375" cy="387985"/>
                <wp:effectExtent l="0" t="0" r="0" b="0"/>
                <wp:wrapNone/>
                <wp:docPr id="155" name="矩形 356"/>
                <wp:cNvGraphicFramePr/>
                <a:graphic xmlns:a="http://schemas.openxmlformats.org/drawingml/2006/main">
                  <a:graphicData uri="http://schemas.microsoft.com/office/word/2010/wordprocessingShape">
                    <wps:wsp>
                      <wps:cNvSpPr/>
                      <wps:spPr>
                        <a:xfrm>
                          <a:off x="0" y="0"/>
                          <a:ext cx="841375" cy="387985"/>
                        </a:xfrm>
                        <a:prstGeom prst="rect">
                          <a:avLst/>
                        </a:prstGeom>
                        <a:noFill/>
                        <a:ln>
                          <a:noFill/>
                        </a:ln>
                      </wps:spPr>
                      <wps:txbx>
                        <w:txbxContent>
                          <w:p>
                            <w:pPr>
                              <w:ind w:left="0" w:leftChars="0" w:firstLine="0" w:firstLineChars="0"/>
                              <w:rPr>
                                <w:rFonts w:hint="default"/>
                                <w:b/>
                                <w:bCs/>
                                <w:color w:val="FFFF00"/>
                                <w:lang w:val="en-US" w:eastAsia="zh-CN"/>
                              </w:rPr>
                            </w:pPr>
                            <w:r>
                              <w:rPr>
                                <w:rFonts w:hint="eastAsia"/>
                                <w:b/>
                                <w:bCs/>
                                <w:color w:val="FFFF00"/>
                                <w:lang w:val="en-US" w:eastAsia="zh-CN"/>
                              </w:rPr>
                              <w:t>140m</w:t>
                            </w:r>
                          </w:p>
                        </w:txbxContent>
                      </wps:txbx>
                      <wps:bodyPr upright="1"/>
                    </wps:wsp>
                  </a:graphicData>
                </a:graphic>
              </wp:anchor>
            </w:drawing>
          </mc:Choice>
          <mc:Fallback>
            <w:pict>
              <v:rect id="矩形 356" o:spid="_x0000_s1026" o:spt="1" style="position:absolute;left:0pt;margin-left:296.8pt;margin-top:3.35pt;height:30.55pt;width:66.25pt;z-index:251710464;mso-width-relative:page;mso-height-relative:page;" filled="f" stroked="f" coordsize="21600,21600" o:gfxdata="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TD3OH2QAAAAgBAAAP&#10;AAAAAAAAAAEAIAAAACIAAABkcnMvZG93bnJldi54bWxQSwECFAAUAAAACACHTuJAv9ARXKUBAABE&#10;AwAADgAAAAAAAAABACAAAAAoAQAAZHJzL2Uyb0RvYy54bWxQSwUGAAAAAAYABgBZAQAAPwUAAAAA&#10;">
                <v:fill on="f" focussize="0,0"/>
                <v:stroke on="f"/>
                <v:imagedata o:title=""/>
                <o:lock v:ext="edit" aspectratio="f"/>
                <v:textbox>
                  <w:txbxContent>
                    <w:p>
                      <w:pPr>
                        <w:ind w:left="0" w:leftChars="0" w:firstLine="0" w:firstLineChars="0"/>
                        <w:rPr>
                          <w:rFonts w:hint="default"/>
                          <w:b/>
                          <w:bCs/>
                          <w:color w:val="FFFF00"/>
                          <w:lang w:val="en-US" w:eastAsia="zh-CN"/>
                        </w:rPr>
                      </w:pPr>
                      <w:r>
                        <w:rPr>
                          <w:rFonts w:hint="eastAsia"/>
                          <w:b/>
                          <w:bCs/>
                          <w:color w:val="FFFF00"/>
                          <w:lang w:val="en-US" w:eastAsia="zh-CN"/>
                        </w:rPr>
                        <w:t>140m</w:t>
                      </w:r>
                    </w:p>
                  </w:txbxContent>
                </v:textbox>
              </v:rect>
            </w:pict>
          </mc:Fallback>
        </mc:AlternateContent>
      </w:r>
    </w:p>
    <w:p>
      <w:pPr>
        <w:pStyle w:val="8"/>
        <w:jc w:val="both"/>
        <w:rPr>
          <w:rFonts w:hint="default" w:ascii="Times New Roman" w:hAnsi="Times New Roman" w:eastAsia="宋体" w:cs="Times New Roman"/>
          <w:color w:val="auto"/>
        </w:rPr>
      </w:pPr>
    </w:p>
    <w:p>
      <w:pPr>
        <w:pStyle w:val="8"/>
        <w:jc w:val="both"/>
        <w:rPr>
          <w:rFonts w:hint="default" w:ascii="Times New Roman" w:hAnsi="Times New Roman" w:eastAsia="宋体" w:cs="Times New Roman"/>
          <w:color w:val="auto"/>
        </w:rPr>
      </w:pPr>
    </w:p>
    <w:p>
      <w:pPr>
        <w:pStyle w:val="8"/>
        <w:jc w:val="both"/>
        <w:rPr>
          <w:rFonts w:hint="default" w:ascii="Times New Roman" w:hAnsi="Times New Roman" w:eastAsia="宋体" w:cs="Times New Roman"/>
          <w:color w:val="auto"/>
        </w:rPr>
      </w:pPr>
    </w:p>
    <w:p>
      <w:pPr>
        <w:pStyle w:val="8"/>
        <w:jc w:val="both"/>
        <w:rPr>
          <w:rFonts w:hint="default" w:ascii="Times New Roman" w:hAnsi="Times New Roman" w:eastAsia="宋体" w:cs="Times New Roman"/>
          <w:color w:val="auto"/>
        </w:rPr>
      </w:pPr>
    </w:p>
    <w:p>
      <w:pPr>
        <w:pStyle w:val="8"/>
        <w:jc w:val="center"/>
        <w:rPr>
          <w:rFonts w:hint="default" w:ascii="Times New Roman" w:hAnsi="Times New Roman" w:eastAsia="宋体" w:cs="Times New Roman"/>
          <w:color w:val="auto"/>
        </w:rPr>
      </w:pPr>
      <w:r>
        <w:rPr>
          <w:rFonts w:hint="default" w:ascii="Times New Roman" w:hAnsi="Times New Roman" w:eastAsia="宋体" w:cs="Times New Roman"/>
          <w:color w:val="auto"/>
        </w:rPr>
        <w:t>图3.1-</w:t>
      </w:r>
      <w:r>
        <w:rPr>
          <w:rFonts w:hint="eastAsia" w:cs="Times New Roman"/>
          <w:color w:val="auto"/>
          <w:lang w:val="en-US" w:eastAsia="zh-CN"/>
        </w:rPr>
        <w:t>3</w:t>
      </w:r>
      <w:r>
        <w:rPr>
          <w:rFonts w:hint="default" w:ascii="Times New Roman" w:hAnsi="Times New Roman" w:eastAsia="宋体" w:cs="Times New Roman"/>
          <w:color w:val="auto"/>
        </w:rPr>
        <w:t xml:space="preserve">    项目四邻关系图</w:t>
      </w:r>
    </w:p>
    <w:p>
      <w:pPr>
        <w:ind w:firstLine="480"/>
        <w:rPr>
          <w:rFonts w:hint="default" w:ascii="Times New Roman" w:hAnsi="Times New Roman" w:eastAsia="宋体" w:cs="Times New Roman"/>
          <w:color w:val="auto"/>
        </w:rPr>
        <w:sectPr>
          <w:pgSz w:w="16838" w:h="11906" w:orient="landscape"/>
          <w:pgMar w:top="1134" w:right="1134" w:bottom="1134" w:left="1134"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6"/>
        <w:rPr>
          <w:rFonts w:hint="default" w:ascii="Times New Roman" w:hAnsi="Times New Roman" w:eastAsia="宋体" w:cs="Times New Roman"/>
          <w:color w:val="auto"/>
        </w:rPr>
      </w:pPr>
      <w:bookmarkStart w:id="191" w:name="_Toc494206284"/>
      <w:bookmarkStart w:id="192" w:name="_Toc512871542"/>
      <w:bookmarkStart w:id="193" w:name="_Toc19935"/>
      <w:r>
        <w:rPr>
          <w:rFonts w:hint="default" w:ascii="Times New Roman" w:hAnsi="Times New Roman" w:eastAsia="宋体" w:cs="Times New Roman"/>
          <w:color w:val="auto"/>
        </w:rPr>
        <w:t>3.1.2项目组成</w:t>
      </w:r>
      <w:bookmarkEnd w:id="191"/>
      <w:r>
        <w:rPr>
          <w:rFonts w:hint="default" w:ascii="Times New Roman" w:hAnsi="Times New Roman" w:eastAsia="宋体" w:cs="Times New Roman"/>
          <w:color w:val="auto"/>
        </w:rPr>
        <w:t>及建设内容</w:t>
      </w:r>
      <w:bookmarkEnd w:id="192"/>
      <w:bookmarkEnd w:id="193"/>
    </w:p>
    <w:p>
      <w:pPr>
        <w:spacing w:line="476" w:lineRule="exact"/>
        <w:ind w:firstLine="480" w:firstLineChars="200"/>
        <w:rPr>
          <w:rFonts w:hint="default" w:ascii="Times New Roman" w:hAnsi="Times New Roman" w:eastAsia="宋体" w:cs="Times New Roman"/>
          <w:color w:val="auto"/>
        </w:rPr>
      </w:pPr>
      <w:r>
        <w:rPr>
          <w:rFonts w:hint="eastAsia"/>
          <w:color w:val="auto"/>
        </w:rPr>
        <w:t>项目</w:t>
      </w:r>
      <w:r>
        <w:rPr>
          <w:rFonts w:hint="eastAsia"/>
          <w:color w:val="auto"/>
          <w:lang w:val="en-US" w:eastAsia="zh-CN"/>
        </w:rPr>
        <w:t>总</w:t>
      </w:r>
      <w:r>
        <w:rPr>
          <w:rFonts w:hint="eastAsia"/>
          <w:color w:val="auto"/>
        </w:rPr>
        <w:t>占地面积</w:t>
      </w:r>
      <w:r>
        <w:rPr>
          <w:rFonts w:hint="eastAsia"/>
          <w:color w:val="auto"/>
          <w:lang w:eastAsia="zh-CN"/>
        </w:rPr>
        <w:t>为</w:t>
      </w:r>
      <w:r>
        <w:rPr>
          <w:rFonts w:hint="eastAsia"/>
          <w:color w:val="auto"/>
          <w:lang w:val="en-US" w:eastAsia="zh-CN"/>
        </w:rPr>
        <w:t>86.28</w:t>
      </w:r>
      <w:r>
        <w:rPr>
          <w:rFonts w:hint="eastAsia"/>
          <w:color w:val="auto"/>
        </w:rPr>
        <w:t>亩</w:t>
      </w:r>
      <w:r>
        <w:rPr>
          <w:rFonts w:hint="eastAsia"/>
          <w:color w:val="FF0000"/>
          <w:lang w:eastAsia="zh-CN"/>
        </w:rPr>
        <w:t>（</w:t>
      </w:r>
      <w:r>
        <w:rPr>
          <w:rFonts w:hint="eastAsia" w:cs="Times New Roman"/>
          <w:color w:val="FF0000"/>
          <w:lang w:val="en-US" w:eastAsia="zh-CN"/>
        </w:rPr>
        <w:t>5.75</w:t>
      </w:r>
      <w:r>
        <w:rPr>
          <w:rFonts w:hint="default" w:ascii="Times New Roman" w:hAnsi="Times New Roman" w:eastAsia="宋体" w:cs="Times New Roman"/>
          <w:color w:val="FF0000"/>
          <w:lang w:val="en-GB"/>
        </w:rPr>
        <w:t>hm</w:t>
      </w:r>
      <w:r>
        <w:rPr>
          <w:rFonts w:hint="default" w:ascii="Times New Roman" w:hAnsi="Times New Roman" w:eastAsia="宋体" w:cs="Times New Roman"/>
          <w:color w:val="FF0000"/>
          <w:vertAlign w:val="superscript"/>
          <w:lang w:val="en-GB"/>
        </w:rPr>
        <w:t>2</w:t>
      </w:r>
      <w:r>
        <w:rPr>
          <w:rFonts w:hint="eastAsia"/>
          <w:color w:val="FF0000"/>
          <w:lang w:eastAsia="zh-CN"/>
        </w:rPr>
        <w:t>）</w:t>
      </w:r>
      <w:r>
        <w:rPr>
          <w:rFonts w:hint="eastAsia"/>
          <w:color w:val="FF0000"/>
        </w:rPr>
        <w:t>，</w:t>
      </w:r>
      <w:r>
        <w:rPr>
          <w:rFonts w:hint="eastAsia"/>
          <w:color w:val="FF0000"/>
          <w:lang w:eastAsia="zh-CN"/>
        </w:rPr>
        <w:t>土地性质为</w:t>
      </w:r>
      <w:r>
        <w:rPr>
          <w:rFonts w:hint="eastAsia"/>
          <w:color w:val="FF0000"/>
          <w:lang w:val="en-US" w:eastAsia="zh-CN"/>
        </w:rPr>
        <w:t>沙地和内陆滩涂</w:t>
      </w:r>
      <w:r>
        <w:rPr>
          <w:rFonts w:hint="eastAsia"/>
          <w:color w:val="FF0000"/>
          <w:lang w:eastAsia="zh-CN"/>
        </w:rPr>
        <w:t>；</w:t>
      </w:r>
      <w:r>
        <w:rPr>
          <w:rFonts w:hint="eastAsia"/>
          <w:color w:val="auto"/>
        </w:rPr>
        <w:t>主要建设</w:t>
      </w:r>
      <w:r>
        <w:rPr>
          <w:rFonts w:hint="eastAsia"/>
          <w:color w:val="auto"/>
          <w:lang w:val="en-US" w:eastAsia="zh-CN"/>
        </w:rPr>
        <w:t>8</w:t>
      </w:r>
      <w:r>
        <w:rPr>
          <w:rFonts w:hint="eastAsia"/>
          <w:color w:val="auto"/>
        </w:rPr>
        <w:t>栋1100头育肥猪舍，每栋</w:t>
      </w:r>
      <w:r>
        <w:rPr>
          <w:rFonts w:hint="eastAsia"/>
          <w:color w:val="auto"/>
          <w:lang w:val="en-US" w:eastAsia="zh-CN"/>
        </w:rPr>
        <w:t>建筑面积</w:t>
      </w:r>
      <w:r>
        <w:rPr>
          <w:rFonts w:hint="eastAsia"/>
          <w:color w:val="auto"/>
        </w:rPr>
        <w:t>1200m</w:t>
      </w:r>
      <w:r>
        <w:rPr>
          <w:rFonts w:hint="eastAsia"/>
          <w:color w:val="auto"/>
          <w:vertAlign w:val="superscript"/>
        </w:rPr>
        <w:t>2</w:t>
      </w:r>
      <w:r>
        <w:rPr>
          <w:rFonts w:hint="eastAsia"/>
          <w:color w:val="auto"/>
        </w:rPr>
        <w:t>，共计</w:t>
      </w:r>
      <w:r>
        <w:rPr>
          <w:rFonts w:hint="eastAsia"/>
          <w:color w:val="auto"/>
          <w:lang w:val="en-US" w:eastAsia="zh-CN"/>
        </w:rPr>
        <w:t>建筑面积</w:t>
      </w:r>
      <w:r>
        <w:rPr>
          <w:rFonts w:hint="eastAsia"/>
          <w:color w:val="auto"/>
        </w:rPr>
        <w:t>9600m</w:t>
      </w:r>
      <w:r>
        <w:rPr>
          <w:rFonts w:hint="eastAsia"/>
          <w:color w:val="auto"/>
          <w:vertAlign w:val="superscript"/>
        </w:rPr>
        <w:t>2</w:t>
      </w:r>
      <w:r>
        <w:rPr>
          <w:rFonts w:hint="eastAsia"/>
          <w:color w:val="auto"/>
        </w:rPr>
        <w:t>；仓库、构筑物、宿舍及办公室</w:t>
      </w:r>
      <w:r>
        <w:rPr>
          <w:rFonts w:hint="eastAsia"/>
          <w:color w:val="auto"/>
          <w:lang w:eastAsia="zh-CN"/>
        </w:rPr>
        <w:t>，</w:t>
      </w:r>
      <w:r>
        <w:rPr>
          <w:rFonts w:hint="eastAsia"/>
          <w:color w:val="auto"/>
          <w:lang w:val="en-US" w:eastAsia="zh-CN"/>
        </w:rPr>
        <w:t>总建筑面积</w:t>
      </w:r>
      <w:r>
        <w:rPr>
          <w:rFonts w:hint="eastAsia"/>
          <w:color w:val="auto"/>
        </w:rPr>
        <w:t>1000m</w:t>
      </w:r>
      <w:r>
        <w:rPr>
          <w:rFonts w:hint="eastAsia"/>
          <w:color w:val="auto"/>
          <w:vertAlign w:val="superscript"/>
        </w:rPr>
        <w:t>2</w:t>
      </w:r>
      <w:r>
        <w:rPr>
          <w:rFonts w:hint="eastAsia"/>
          <w:color w:val="auto"/>
        </w:rPr>
        <w:t>；围墙（围栏)990</w:t>
      </w:r>
      <w:r>
        <w:rPr>
          <w:rFonts w:hint="eastAsia"/>
          <w:color w:val="auto"/>
          <w:lang w:val="en-US" w:eastAsia="zh-CN"/>
        </w:rPr>
        <w:t>m</w:t>
      </w:r>
      <w:r>
        <w:rPr>
          <w:rFonts w:hint="eastAsia"/>
          <w:color w:val="auto"/>
        </w:rPr>
        <w:t>；硬化地面10000m</w:t>
      </w:r>
      <w:r>
        <w:rPr>
          <w:rFonts w:hint="eastAsia"/>
          <w:color w:val="auto"/>
          <w:vertAlign w:val="superscript"/>
        </w:rPr>
        <w:t>2</w:t>
      </w:r>
      <w:r>
        <w:rPr>
          <w:rFonts w:hint="eastAsia"/>
          <w:color w:val="auto"/>
          <w:lang w:eastAsia="zh-CN"/>
        </w:rPr>
        <w:t>；</w:t>
      </w:r>
      <w:r>
        <w:rPr>
          <w:rFonts w:hint="eastAsia"/>
          <w:color w:val="auto"/>
        </w:rPr>
        <w:t>水电暖安装配套、给排水、采暖、外管网1600</w:t>
      </w:r>
      <w:r>
        <w:rPr>
          <w:rFonts w:hint="eastAsia"/>
          <w:color w:val="auto"/>
          <w:lang w:val="en-US" w:eastAsia="zh-CN"/>
        </w:rPr>
        <w:t>m</w:t>
      </w:r>
      <w:r>
        <w:rPr>
          <w:rFonts w:hint="eastAsia"/>
          <w:color w:val="auto"/>
          <w:lang w:eastAsia="zh-CN"/>
        </w:rPr>
        <w:t>；</w:t>
      </w:r>
      <w:r>
        <w:rPr>
          <w:rFonts w:hint="eastAsia"/>
          <w:color w:val="auto"/>
        </w:rPr>
        <w:t>16个</w:t>
      </w:r>
      <w:r>
        <w:rPr>
          <w:rFonts w:hint="eastAsia"/>
          <w:color w:val="auto"/>
          <w:lang w:eastAsia="zh-CN"/>
        </w:rPr>
        <w:t>检查井；</w:t>
      </w:r>
      <w:r>
        <w:rPr>
          <w:rFonts w:hint="eastAsia"/>
          <w:color w:val="auto"/>
          <w:lang w:val="en-US" w:eastAsia="zh-CN"/>
        </w:rPr>
        <w:t>1</w:t>
      </w:r>
      <w:r>
        <w:rPr>
          <w:rFonts w:hint="eastAsia"/>
          <w:color w:val="auto"/>
        </w:rPr>
        <w:t>个化粪池（</w:t>
      </w:r>
      <w:r>
        <w:rPr>
          <w:rFonts w:hint="eastAsia"/>
          <w:color w:val="auto"/>
          <w:lang w:val="en-US" w:eastAsia="zh-CN"/>
        </w:rPr>
        <w:t>容积为</w:t>
      </w:r>
      <w:r>
        <w:rPr>
          <w:rFonts w:hint="eastAsia"/>
          <w:color w:val="auto"/>
        </w:rPr>
        <w:t>1000</w:t>
      </w:r>
      <w:r>
        <w:rPr>
          <w:rFonts w:hint="eastAsia"/>
          <w:color w:val="auto"/>
          <w:lang w:val="en-US" w:eastAsia="zh-CN"/>
        </w:rPr>
        <w:t>m</w:t>
      </w:r>
      <w:r>
        <w:rPr>
          <w:rFonts w:hint="eastAsia"/>
          <w:color w:val="auto"/>
          <w:vertAlign w:val="superscript"/>
          <w:lang w:val="en-US" w:eastAsia="zh-CN"/>
        </w:rPr>
        <w:t>3</w:t>
      </w:r>
      <w:r>
        <w:rPr>
          <w:rFonts w:hint="eastAsia"/>
          <w:color w:val="auto"/>
        </w:rPr>
        <w:t>），</w:t>
      </w:r>
      <w:r>
        <w:rPr>
          <w:rFonts w:hint="eastAsia"/>
          <w:color w:val="auto"/>
          <w:lang w:val="en-US" w:eastAsia="zh-CN"/>
        </w:rPr>
        <w:t>2</w:t>
      </w:r>
      <w:r>
        <w:rPr>
          <w:rFonts w:hint="eastAsia"/>
          <w:color w:val="auto"/>
        </w:rPr>
        <w:t>个深井泵房，</w:t>
      </w:r>
      <w:r>
        <w:rPr>
          <w:rFonts w:hint="eastAsia"/>
          <w:color w:val="auto"/>
          <w:lang w:val="en-US" w:eastAsia="zh-CN"/>
        </w:rPr>
        <w:t>1</w:t>
      </w:r>
      <w:r>
        <w:rPr>
          <w:rFonts w:hint="eastAsia"/>
          <w:color w:val="auto"/>
        </w:rPr>
        <w:t>座蓄水池（</w:t>
      </w:r>
      <w:r>
        <w:rPr>
          <w:rFonts w:hint="eastAsia"/>
          <w:color w:val="auto"/>
          <w:lang w:val="en-US" w:eastAsia="zh-CN"/>
        </w:rPr>
        <w:t>容积为</w:t>
      </w:r>
      <w:r>
        <w:rPr>
          <w:rFonts w:hint="eastAsia"/>
          <w:color w:val="auto"/>
        </w:rPr>
        <w:t>400</w:t>
      </w:r>
      <w:r>
        <w:rPr>
          <w:rFonts w:hint="eastAsia"/>
          <w:color w:val="auto"/>
          <w:lang w:val="en-US" w:eastAsia="zh-CN"/>
        </w:rPr>
        <w:t>m</w:t>
      </w:r>
      <w:r>
        <w:rPr>
          <w:rFonts w:hint="eastAsia"/>
          <w:color w:val="auto"/>
          <w:vertAlign w:val="superscript"/>
          <w:lang w:val="en-US" w:eastAsia="zh-CN"/>
        </w:rPr>
        <w:t>3</w:t>
      </w:r>
      <w:r>
        <w:rPr>
          <w:rFonts w:hint="eastAsia"/>
          <w:color w:val="auto"/>
        </w:rPr>
        <w:t>），</w:t>
      </w:r>
      <w:r>
        <w:rPr>
          <w:rFonts w:hint="eastAsia"/>
          <w:color w:val="auto"/>
          <w:lang w:val="en-US" w:eastAsia="zh-CN"/>
        </w:rPr>
        <w:t>1座晾粪台（</w:t>
      </w:r>
      <w:r>
        <w:rPr>
          <w:rFonts w:hint="eastAsia"/>
          <w:color w:val="auto"/>
        </w:rPr>
        <w:t>1</w:t>
      </w:r>
      <w:r>
        <w:rPr>
          <w:rFonts w:hint="eastAsia"/>
          <w:color w:val="auto"/>
          <w:lang w:val="en-US" w:eastAsia="zh-CN"/>
        </w:rPr>
        <w:t>0</w:t>
      </w:r>
      <w:r>
        <w:rPr>
          <w:rFonts w:hint="eastAsia"/>
          <w:color w:val="auto"/>
        </w:rPr>
        <w:t>00m</w:t>
      </w:r>
      <w:r>
        <w:rPr>
          <w:rFonts w:hint="eastAsia"/>
          <w:color w:val="auto"/>
          <w:vertAlign w:val="superscript"/>
        </w:rPr>
        <w:t>2</w:t>
      </w:r>
      <w:r>
        <w:rPr>
          <w:rFonts w:hint="eastAsia"/>
          <w:color w:val="auto"/>
          <w:lang w:val="en-US" w:eastAsia="zh-CN"/>
        </w:rPr>
        <w:t>），2</w:t>
      </w:r>
      <w:r>
        <w:rPr>
          <w:rFonts w:hint="eastAsia"/>
          <w:color w:val="auto"/>
        </w:rPr>
        <w:t>座氧化塘（</w:t>
      </w:r>
      <w:r>
        <w:rPr>
          <w:rFonts w:hint="eastAsia"/>
          <w:color w:val="auto"/>
          <w:lang w:val="en-US" w:eastAsia="zh-CN"/>
        </w:rPr>
        <w:t>总容积为</w:t>
      </w:r>
      <w:r>
        <w:rPr>
          <w:rFonts w:hint="eastAsia"/>
          <w:color w:val="auto"/>
        </w:rPr>
        <w:t>17000</w:t>
      </w:r>
      <w:r>
        <w:rPr>
          <w:rFonts w:hint="eastAsia"/>
          <w:color w:val="auto"/>
          <w:lang w:val="en-US" w:eastAsia="zh-CN"/>
        </w:rPr>
        <w:t>m</w:t>
      </w:r>
      <w:r>
        <w:rPr>
          <w:rFonts w:hint="eastAsia"/>
          <w:color w:val="auto"/>
          <w:vertAlign w:val="superscript"/>
          <w:lang w:val="en-US" w:eastAsia="zh-CN"/>
        </w:rPr>
        <w:t>3</w:t>
      </w:r>
      <w:r>
        <w:rPr>
          <w:rFonts w:hint="eastAsia"/>
          <w:color w:val="auto"/>
        </w:rPr>
        <w:t>）</w:t>
      </w:r>
      <w:r>
        <w:rPr>
          <w:rFonts w:hint="eastAsia"/>
          <w:color w:val="auto"/>
          <w:lang w:eastAsia="zh-CN"/>
        </w:rPr>
        <w:t>；</w:t>
      </w:r>
      <w:r>
        <w:rPr>
          <w:rFonts w:hint="eastAsia"/>
          <w:color w:val="auto"/>
        </w:rPr>
        <w:t>并进行相应的给排水、供电、供暖、通风、消防、通讯工程及部分道路及地面硬化、绿化等配套设施建设。养殖规模为年存栏猪</w:t>
      </w:r>
      <w:r>
        <w:rPr>
          <w:rFonts w:hint="eastAsia"/>
          <w:color w:val="auto"/>
          <w:lang w:val="en-US" w:eastAsia="zh-CN"/>
        </w:rPr>
        <w:t>8800</w:t>
      </w:r>
      <w:r>
        <w:rPr>
          <w:rFonts w:hint="eastAsia"/>
          <w:color w:val="auto"/>
        </w:rPr>
        <w:t>头，年出栏</w:t>
      </w:r>
      <w:r>
        <w:rPr>
          <w:rFonts w:hint="eastAsia"/>
          <w:color w:val="auto"/>
          <w:lang w:eastAsia="zh-CN"/>
        </w:rPr>
        <w:t>20000</w:t>
      </w:r>
      <w:r>
        <w:rPr>
          <w:rFonts w:hint="eastAsia"/>
          <w:color w:val="auto"/>
        </w:rPr>
        <w:t>头育肥猪。</w:t>
      </w:r>
      <w:r>
        <w:rPr>
          <w:rFonts w:hint="default" w:ascii="Times New Roman" w:hAnsi="Times New Roman" w:eastAsia="宋体" w:cs="Times New Roman"/>
          <w:color w:val="auto"/>
        </w:rPr>
        <w:t>项目组成见表3.1-</w:t>
      </w:r>
      <w:r>
        <w:rPr>
          <w:rFonts w:hint="eastAsia" w:cs="Times New Roman"/>
          <w:color w:val="auto"/>
          <w:lang w:val="en-US" w:eastAsia="zh-CN"/>
        </w:rPr>
        <w:t>3</w:t>
      </w:r>
      <w:r>
        <w:rPr>
          <w:rFonts w:hint="default" w:ascii="Times New Roman" w:hAnsi="Times New Roman" w:eastAsia="宋体" w:cs="Times New Roman"/>
          <w:color w:val="auto"/>
        </w:rPr>
        <w:t>。</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表3.1-</w:t>
      </w:r>
      <w:r>
        <w:rPr>
          <w:rFonts w:hint="eastAsia" w:cs="Times New Roman"/>
          <w:color w:val="auto"/>
          <w:lang w:val="en-US" w:eastAsia="zh-CN"/>
        </w:rPr>
        <w:t>3</w:t>
      </w:r>
      <w:r>
        <w:rPr>
          <w:rFonts w:hint="default" w:ascii="Times New Roman" w:hAnsi="Times New Roman" w:eastAsia="宋体" w:cs="Times New Roman"/>
          <w:color w:val="auto"/>
        </w:rPr>
        <w:t xml:space="preserve">    项目组成及建设内容一览表</w:t>
      </w:r>
    </w:p>
    <w:tbl>
      <w:tblPr>
        <w:tblStyle w:val="34"/>
        <w:tblW w:w="894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47"/>
        <w:gridCol w:w="738"/>
        <w:gridCol w:w="1247"/>
        <w:gridCol w:w="631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类别</w:t>
            </w:r>
          </w:p>
        </w:tc>
        <w:tc>
          <w:tcPr>
            <w:tcW w:w="1985" w:type="dxa"/>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项目名称</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建设内容</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主体工程</w:t>
            </w:r>
          </w:p>
        </w:tc>
        <w:tc>
          <w:tcPr>
            <w:tcW w:w="1985" w:type="dxa"/>
            <w:gridSpan w:val="2"/>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FF0000"/>
                <w:sz w:val="21"/>
                <w:szCs w:val="21"/>
              </w:rPr>
            </w:pPr>
            <w:r>
              <w:rPr>
                <w:rFonts w:hint="eastAsia" w:cs="Times New Roman"/>
                <w:color w:val="FF0000"/>
                <w:sz w:val="21"/>
                <w:szCs w:val="21"/>
                <w:lang w:val="en-US" w:eastAsia="zh-CN"/>
              </w:rPr>
              <w:t>育肥猪</w:t>
            </w:r>
            <w:r>
              <w:rPr>
                <w:rFonts w:hint="default" w:ascii="Times New Roman" w:hAnsi="Times New Roman" w:eastAsia="宋体" w:cs="Times New Roman"/>
                <w:color w:val="FF0000"/>
                <w:sz w:val="21"/>
                <w:szCs w:val="21"/>
              </w:rPr>
              <w:t>舍</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color w:val="FF0000"/>
                <w:sz w:val="21"/>
                <w:szCs w:val="21"/>
                <w:lang w:eastAsia="zh-CN"/>
              </w:rPr>
            </w:pPr>
            <w:r>
              <w:rPr>
                <w:rFonts w:hint="eastAsia" w:cs="Times New Roman"/>
                <w:color w:val="FF0000"/>
                <w:sz w:val="21"/>
                <w:szCs w:val="21"/>
                <w:lang w:val="en-US" w:eastAsia="zh-CN"/>
              </w:rPr>
              <w:t>在场区中部</w:t>
            </w:r>
            <w:r>
              <w:rPr>
                <w:rFonts w:hint="default" w:ascii="Times New Roman" w:hAnsi="Times New Roman" w:eastAsia="宋体" w:cs="Times New Roman"/>
                <w:color w:val="FF0000"/>
                <w:sz w:val="21"/>
                <w:szCs w:val="21"/>
              </w:rPr>
              <w:t>新建8栋</w:t>
            </w:r>
            <w:r>
              <w:rPr>
                <w:rFonts w:hint="eastAsia" w:cs="Times New Roman"/>
                <w:color w:val="FF0000"/>
                <w:sz w:val="21"/>
                <w:szCs w:val="21"/>
                <w:lang w:val="en-US" w:eastAsia="zh-CN"/>
              </w:rPr>
              <w:t>育肥猪</w:t>
            </w:r>
            <w:r>
              <w:rPr>
                <w:rFonts w:hint="default" w:ascii="Times New Roman" w:hAnsi="Times New Roman" w:eastAsia="宋体" w:cs="Times New Roman"/>
                <w:color w:val="FF0000"/>
                <w:sz w:val="21"/>
                <w:szCs w:val="21"/>
              </w:rPr>
              <w:t>舍</w:t>
            </w:r>
            <w:r>
              <w:rPr>
                <w:rFonts w:hint="eastAsia" w:cs="Times New Roman"/>
                <w:color w:val="FF0000"/>
                <w:sz w:val="21"/>
                <w:szCs w:val="21"/>
                <w:lang w:eastAsia="zh-CN"/>
              </w:rPr>
              <w:t>，</w:t>
            </w:r>
            <w:r>
              <w:rPr>
                <w:rFonts w:hint="default" w:ascii="Times New Roman" w:hAnsi="Times New Roman" w:eastAsia="宋体" w:cs="Times New Roman"/>
                <w:color w:val="FF0000"/>
                <w:sz w:val="21"/>
                <w:szCs w:val="21"/>
              </w:rPr>
              <w:t>单座</w:t>
            </w:r>
            <w:r>
              <w:rPr>
                <w:rFonts w:hint="eastAsia" w:cs="Times New Roman"/>
                <w:color w:val="FF0000"/>
                <w:sz w:val="21"/>
                <w:szCs w:val="21"/>
                <w:lang w:val="en-US" w:eastAsia="zh-CN"/>
              </w:rPr>
              <w:t>猪</w:t>
            </w:r>
            <w:r>
              <w:rPr>
                <w:rFonts w:hint="default" w:ascii="Times New Roman" w:hAnsi="Times New Roman" w:eastAsia="宋体" w:cs="Times New Roman"/>
                <w:color w:val="FF0000"/>
                <w:sz w:val="21"/>
                <w:szCs w:val="21"/>
              </w:rPr>
              <w:t>舍建筑面积</w:t>
            </w:r>
            <w:r>
              <w:rPr>
                <w:rFonts w:hint="eastAsia" w:cs="Times New Roman"/>
                <w:color w:val="FF0000"/>
                <w:sz w:val="21"/>
                <w:szCs w:val="21"/>
                <w:lang w:val="en-US" w:eastAsia="zh-CN"/>
              </w:rPr>
              <w:t>为1200</w:t>
            </w:r>
            <w:r>
              <w:rPr>
                <w:rFonts w:hint="default" w:ascii="Times New Roman" w:hAnsi="Times New Roman" w:eastAsia="宋体" w:cs="Times New Roman"/>
                <w:color w:val="FF0000"/>
                <w:sz w:val="21"/>
                <w:szCs w:val="21"/>
              </w:rPr>
              <w:t>m</w:t>
            </w:r>
            <w:r>
              <w:rPr>
                <w:rFonts w:hint="default" w:ascii="Times New Roman" w:hAnsi="Times New Roman" w:eastAsia="宋体" w:cs="Times New Roman"/>
                <w:color w:val="FF0000"/>
                <w:sz w:val="21"/>
                <w:szCs w:val="21"/>
                <w:vertAlign w:val="superscript"/>
              </w:rPr>
              <w:t>2</w:t>
            </w:r>
            <w:r>
              <w:rPr>
                <w:rFonts w:hint="default" w:ascii="Times New Roman" w:hAnsi="Times New Roman" w:eastAsia="宋体" w:cs="Times New Roman"/>
                <w:color w:val="FF0000"/>
                <w:sz w:val="21"/>
                <w:szCs w:val="21"/>
              </w:rPr>
              <w:t>（</w:t>
            </w:r>
            <w:r>
              <w:rPr>
                <w:rFonts w:hint="eastAsia" w:cs="Times New Roman"/>
                <w:color w:val="FF0000"/>
                <w:sz w:val="21"/>
                <w:szCs w:val="21"/>
                <w:lang w:val="en-US" w:eastAsia="zh-CN"/>
              </w:rPr>
              <w:t>80</w:t>
            </w:r>
            <w:r>
              <w:rPr>
                <w:rFonts w:hint="default" w:ascii="Times New Roman" w:hAnsi="Times New Roman" w:eastAsia="宋体" w:cs="Times New Roman"/>
                <w:color w:val="FF0000"/>
                <w:sz w:val="21"/>
                <w:szCs w:val="21"/>
              </w:rPr>
              <w:t>m</w:t>
            </w:r>
            <w:r>
              <w:rPr>
                <w:rFonts w:hint="default" w:ascii="Times New Roman" w:hAnsi="Times New Roman" w:eastAsia="宋体" w:cs="Times New Roman"/>
                <w:color w:val="FF0000"/>
                <w:kern w:val="0"/>
                <w:sz w:val="21"/>
                <w:szCs w:val="21"/>
              </w:rPr>
              <w:t>×</w:t>
            </w:r>
            <w:r>
              <w:rPr>
                <w:rFonts w:hint="eastAsia" w:cs="Times New Roman"/>
                <w:color w:val="FF0000"/>
                <w:sz w:val="21"/>
                <w:szCs w:val="21"/>
                <w:lang w:val="en-US" w:eastAsia="zh-CN"/>
              </w:rPr>
              <w:t>15</w:t>
            </w:r>
            <w:r>
              <w:rPr>
                <w:rFonts w:hint="default" w:ascii="Times New Roman" w:hAnsi="Times New Roman" w:eastAsia="宋体" w:cs="Times New Roman"/>
                <w:color w:val="FF0000"/>
                <w:sz w:val="21"/>
                <w:szCs w:val="21"/>
              </w:rPr>
              <w:t>m），总建筑面积</w:t>
            </w:r>
            <w:r>
              <w:rPr>
                <w:rFonts w:hint="eastAsia" w:cs="Times New Roman"/>
                <w:color w:val="FF0000"/>
                <w:sz w:val="21"/>
                <w:szCs w:val="21"/>
                <w:lang w:val="en-US" w:eastAsia="zh-CN"/>
              </w:rPr>
              <w:t>9600</w:t>
            </w:r>
            <w:r>
              <w:rPr>
                <w:rFonts w:hint="default" w:ascii="Times New Roman" w:hAnsi="Times New Roman" w:eastAsia="宋体" w:cs="Times New Roman"/>
                <w:color w:val="FF0000"/>
                <w:sz w:val="21"/>
                <w:szCs w:val="21"/>
              </w:rPr>
              <w:t>m</w:t>
            </w:r>
            <w:r>
              <w:rPr>
                <w:rFonts w:hint="default" w:ascii="Times New Roman" w:hAnsi="Times New Roman" w:eastAsia="宋体" w:cs="Times New Roman"/>
                <w:color w:val="FF0000"/>
                <w:sz w:val="21"/>
                <w:szCs w:val="21"/>
                <w:vertAlign w:val="superscript"/>
              </w:rPr>
              <w:t>2</w:t>
            </w:r>
            <w:r>
              <w:rPr>
                <w:rFonts w:hint="default" w:ascii="Times New Roman" w:hAnsi="Times New Roman" w:eastAsia="宋体" w:cs="Times New Roman"/>
                <w:color w:val="FF0000"/>
                <w:sz w:val="21"/>
                <w:szCs w:val="21"/>
              </w:rPr>
              <w:t>，</w:t>
            </w:r>
            <w:r>
              <w:rPr>
                <w:rFonts w:hint="eastAsia" w:cs="Times New Roman"/>
                <w:color w:val="FF0000"/>
                <w:sz w:val="21"/>
                <w:szCs w:val="21"/>
                <w:lang w:val="en-US" w:eastAsia="zh-CN"/>
              </w:rPr>
              <w:t>每座育肥猪</w:t>
            </w:r>
            <w:r>
              <w:rPr>
                <w:rFonts w:hint="default" w:ascii="Times New Roman" w:hAnsi="Times New Roman" w:eastAsia="宋体" w:cs="Times New Roman"/>
                <w:color w:val="FF0000"/>
                <w:sz w:val="21"/>
                <w:szCs w:val="21"/>
              </w:rPr>
              <w:t>舍</w:t>
            </w:r>
            <w:r>
              <w:rPr>
                <w:rFonts w:hint="eastAsia" w:cs="Times New Roman"/>
                <w:color w:val="FF0000"/>
                <w:sz w:val="21"/>
                <w:szCs w:val="21"/>
                <w:lang w:val="en-US" w:eastAsia="zh-CN"/>
              </w:rPr>
              <w:t>可容纳</w:t>
            </w:r>
            <w:r>
              <w:rPr>
                <w:rFonts w:hint="eastAsia"/>
                <w:color w:val="FF0000"/>
                <w:sz w:val="21"/>
                <w:szCs w:val="21"/>
              </w:rPr>
              <w:t>1100头育肥猪</w:t>
            </w:r>
            <w:r>
              <w:rPr>
                <w:rFonts w:hint="eastAsia"/>
                <w:color w:val="FF0000"/>
                <w:sz w:val="21"/>
                <w:szCs w:val="21"/>
                <w:lang w:eastAsia="zh-CN"/>
              </w:rPr>
              <w:t>。</w:t>
            </w:r>
          </w:p>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color w:val="FF0000"/>
                <w:sz w:val="21"/>
                <w:szCs w:val="21"/>
                <w:lang w:eastAsia="zh-CN"/>
              </w:rPr>
            </w:pPr>
            <w:r>
              <w:rPr>
                <w:rFonts w:hint="eastAsia"/>
                <w:color w:val="FF0000"/>
                <w:sz w:val="21"/>
                <w:szCs w:val="21"/>
                <w:lang w:eastAsia="zh-CN"/>
              </w:rPr>
              <w:t>猪舍采用封闭有窗式结构，保温墙体，主体骨架采用轻钢结构，双坡式屋顶，屋顶覆盖应做好隔热防寒，以最大限度降低辐射热。</w:t>
            </w:r>
          </w:p>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FF0000"/>
                <w:sz w:val="21"/>
                <w:szCs w:val="21"/>
              </w:rPr>
            </w:pPr>
            <w:r>
              <w:rPr>
                <w:rFonts w:hint="eastAsia"/>
                <w:color w:val="FF0000"/>
                <w:sz w:val="21"/>
                <w:szCs w:val="21"/>
                <w:lang w:eastAsia="zh-CN"/>
              </w:rPr>
              <w:t>猪舍地面采用漏缝地板，猪粪和猪尿依靠重力作用落到</w:t>
            </w:r>
            <w:r>
              <w:rPr>
                <w:rFonts w:hint="eastAsia" w:cs="Times New Roman"/>
                <w:color w:val="FF0000"/>
                <w:lang w:eastAsia="zh-CN"/>
              </w:rPr>
              <w:t>猪舍粪污管道内，通过坡度自流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eastAsia" w:cs="Times New Roman"/>
                <w:color w:val="FF0000"/>
                <w:lang w:eastAsia="zh-CN"/>
              </w:rPr>
              <w:t>粪污管道和</w:t>
            </w:r>
            <w:r>
              <w:rPr>
                <w:rFonts w:hint="eastAsia"/>
                <w:color w:val="FF0000"/>
                <w:sz w:val="21"/>
                <w:szCs w:val="21"/>
                <w:lang w:val="en-US" w:eastAsia="zh-CN"/>
              </w:rPr>
              <w:t>化</w:t>
            </w:r>
            <w:r>
              <w:rPr>
                <w:rFonts w:hint="eastAsia"/>
                <w:color w:val="FF0000"/>
                <w:sz w:val="21"/>
                <w:szCs w:val="21"/>
                <w:lang w:eastAsia="zh-CN"/>
              </w:rPr>
              <w:t>粪池均位于地下。</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restart"/>
            <w:tcBorders>
              <w:top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辅助</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985" w:type="dxa"/>
            <w:gridSpan w:val="2"/>
            <w:tcBorders>
              <w:top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生活区</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在场区北侧新建</w:t>
            </w:r>
            <w:r>
              <w:rPr>
                <w:rFonts w:hint="default" w:ascii="Times New Roman" w:hAnsi="Times New Roman" w:eastAsia="宋体" w:cs="Times New Roman"/>
                <w:color w:val="auto"/>
                <w:sz w:val="21"/>
                <w:szCs w:val="21"/>
              </w:rPr>
              <w:t>生活区</w:t>
            </w:r>
            <w:r>
              <w:rPr>
                <w:rFonts w:hint="eastAsia" w:cs="Times New Roman"/>
                <w:color w:val="auto"/>
                <w:sz w:val="21"/>
                <w:szCs w:val="21"/>
                <w:lang w:eastAsia="zh-CN"/>
              </w:rPr>
              <w:t>，</w:t>
            </w:r>
            <w:r>
              <w:rPr>
                <w:rFonts w:hint="eastAsia" w:cs="Times New Roman"/>
                <w:color w:val="auto"/>
                <w:sz w:val="21"/>
                <w:szCs w:val="21"/>
                <w:lang w:val="en-US" w:eastAsia="zh-CN"/>
              </w:rPr>
              <w:t>单层砖混结构</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占地面积</w:t>
            </w:r>
            <w:r>
              <w:rPr>
                <w:rFonts w:hint="eastAsia" w:cs="Times New Roman"/>
                <w:color w:val="auto"/>
                <w:sz w:val="21"/>
                <w:szCs w:val="21"/>
                <w:lang w:val="en-US" w:eastAsia="zh-CN"/>
              </w:rPr>
              <w:t>890.4</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，建筑面积</w:t>
            </w:r>
            <w:r>
              <w:rPr>
                <w:rFonts w:hint="eastAsia" w:cs="Times New Roman"/>
                <w:color w:val="auto"/>
                <w:sz w:val="21"/>
                <w:szCs w:val="21"/>
                <w:lang w:val="en-US" w:eastAsia="zh-CN"/>
              </w:rPr>
              <w:t>890.4</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，设有办公室、会议室、餐厅</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职工宿舍楼</w:t>
            </w:r>
            <w:r>
              <w:rPr>
                <w:rFonts w:hint="default" w:ascii="Times New Roman" w:hAnsi="Times New Roman" w:eastAsia="宋体" w:cs="Times New Roman"/>
                <w:color w:val="auto"/>
                <w:sz w:val="21"/>
                <w:szCs w:val="21"/>
                <w:lang w:eastAsia="zh-CN"/>
              </w:rPr>
              <w:t>等</w:t>
            </w:r>
            <w:r>
              <w:rPr>
                <w:rFonts w:hint="default" w:ascii="Times New Roman" w:hAnsi="Times New Roman" w:eastAsia="宋体" w:cs="Times New Roman"/>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tcBorders>
              <w:top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洗消中心</w:t>
            </w:r>
          </w:p>
        </w:tc>
        <w:tc>
          <w:tcPr>
            <w:tcW w:w="631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eastAsia" w:ascii="宋体" w:hAnsi="宋体" w:eastAsia="宋体" w:cs="宋体"/>
                <w:color w:val="auto"/>
                <w:kern w:val="0"/>
                <w:sz w:val="21"/>
                <w:szCs w:val="21"/>
                <w:lang w:val="en-US" w:eastAsia="zh-CN" w:bidi="ar"/>
              </w:rPr>
              <w:t>洗消中心内设置洗车房</w:t>
            </w:r>
            <w:r>
              <w:rPr>
                <w:rFonts w:hint="eastAsia" w:ascii="宋体" w:hAnsi="宋体" w:cs="宋体"/>
                <w:color w:val="auto"/>
                <w:kern w:val="0"/>
                <w:sz w:val="21"/>
                <w:szCs w:val="21"/>
                <w:lang w:val="en-US" w:eastAsia="zh-CN" w:bidi="ar"/>
              </w:rPr>
              <w:t>1</w:t>
            </w:r>
            <w:r>
              <w:rPr>
                <w:rFonts w:hint="eastAsia" w:ascii="宋体" w:hAnsi="宋体" w:eastAsia="宋体" w:cs="宋体"/>
                <w:color w:val="auto"/>
                <w:kern w:val="0"/>
                <w:sz w:val="21"/>
                <w:szCs w:val="21"/>
                <w:lang w:val="en-US" w:eastAsia="zh-CN" w:bidi="ar"/>
              </w:rPr>
              <w:t>座、沉淀池</w:t>
            </w:r>
            <w:r>
              <w:rPr>
                <w:rFonts w:hint="eastAsia" w:ascii="宋体" w:hAnsi="宋体" w:cs="宋体"/>
                <w:color w:val="auto"/>
                <w:kern w:val="0"/>
                <w:sz w:val="21"/>
                <w:szCs w:val="21"/>
                <w:lang w:val="en-US" w:eastAsia="zh-CN" w:bidi="ar"/>
              </w:rPr>
              <w:t>1</w:t>
            </w:r>
            <w:r>
              <w:rPr>
                <w:rFonts w:hint="eastAsia" w:ascii="宋体" w:hAnsi="宋体" w:eastAsia="宋体" w:cs="宋体"/>
                <w:color w:val="auto"/>
                <w:kern w:val="0"/>
                <w:sz w:val="21"/>
                <w:szCs w:val="21"/>
                <w:lang w:val="en-US" w:eastAsia="zh-CN" w:bidi="ar"/>
              </w:rPr>
              <w:t>座</w:t>
            </w:r>
            <w:r>
              <w:rPr>
                <w:rFonts w:hint="eastAsia" w:ascii="宋体" w:hAnsi="宋体" w:cs="宋体"/>
                <w:color w:val="auto"/>
                <w:kern w:val="0"/>
                <w:sz w:val="21"/>
                <w:szCs w:val="21"/>
                <w:lang w:val="en-US" w:eastAsia="zh-CN" w:bidi="ar"/>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tcBorders>
              <w:bottom w:val="single" w:color="auto" w:sz="4" w:space="0"/>
            </w:tcBorders>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门卫室</w:t>
            </w:r>
          </w:p>
        </w:tc>
        <w:tc>
          <w:tcPr>
            <w:tcW w:w="6314" w:type="dxa"/>
            <w:tcBorders>
              <w:bottom w:val="single" w:color="auto" w:sz="4" w:space="0"/>
            </w:tcBorders>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人流出入口新建门卫室1座，</w:t>
            </w:r>
            <w:r>
              <w:rPr>
                <w:rFonts w:hint="eastAsia" w:cs="Times New Roman"/>
                <w:color w:val="auto"/>
                <w:sz w:val="21"/>
                <w:szCs w:val="21"/>
                <w:lang w:val="en-US" w:eastAsia="zh-CN"/>
              </w:rPr>
              <w:t>单层砖混结构</w:t>
            </w:r>
            <w:r>
              <w:rPr>
                <w:rFonts w:hint="default" w:ascii="Times New Roman" w:hAnsi="Times New Roman" w:eastAsia="宋体" w:cs="Times New Roman"/>
                <w:color w:val="auto"/>
                <w:sz w:val="21"/>
                <w:szCs w:val="21"/>
              </w:rPr>
              <w:t>，建筑面积</w:t>
            </w:r>
            <w:r>
              <w:rPr>
                <w:rFonts w:hint="eastAsia" w:cs="Times New Roman"/>
                <w:color w:val="auto"/>
                <w:sz w:val="21"/>
                <w:szCs w:val="21"/>
                <w:lang w:val="en-US" w:eastAsia="zh-CN"/>
              </w:rPr>
              <w:t>100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left="0" w:leftChars="0" w:firstLine="0" w:firstLineChars="0"/>
              <w:jc w:val="center"/>
              <w:rPr>
                <w:rFonts w:hint="default" w:ascii="Times New Roman" w:hAnsi="Times New Roman" w:eastAsia="宋体" w:cs="Times New Roman"/>
                <w:color w:val="auto"/>
                <w:sz w:val="21"/>
                <w:szCs w:val="21"/>
              </w:rPr>
            </w:pPr>
            <w:r>
              <w:rPr>
                <w:rFonts w:hint="eastAsia" w:ascii="宋体" w:hAnsi="宋体" w:eastAsia="宋体" w:cs="宋体"/>
                <w:color w:val="auto"/>
                <w:kern w:val="0"/>
                <w:sz w:val="21"/>
                <w:szCs w:val="21"/>
                <w:lang w:val="en-US" w:eastAsia="zh-CN" w:bidi="ar"/>
              </w:rPr>
              <w:t>饲料塔</w:t>
            </w:r>
          </w:p>
        </w:tc>
        <w:tc>
          <w:tcPr>
            <w:tcW w:w="6314" w:type="dxa"/>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eastAsia" w:ascii="宋体" w:hAnsi="宋体" w:cs="宋体"/>
                <w:color w:val="auto"/>
                <w:kern w:val="0"/>
                <w:sz w:val="21"/>
                <w:szCs w:val="21"/>
                <w:lang w:val="en-US" w:eastAsia="zh-CN" w:bidi="ar"/>
              </w:rPr>
              <w:t>新建8</w:t>
            </w:r>
            <w:r>
              <w:rPr>
                <w:rFonts w:hint="eastAsia" w:ascii="宋体" w:hAnsi="宋体" w:eastAsia="宋体" w:cs="宋体"/>
                <w:color w:val="auto"/>
                <w:kern w:val="0"/>
                <w:sz w:val="21"/>
                <w:szCs w:val="21"/>
                <w:lang w:val="en-US" w:eastAsia="zh-CN" w:bidi="ar"/>
              </w:rPr>
              <w:t>座封闭式饲料塔，</w:t>
            </w:r>
            <w:r>
              <w:rPr>
                <w:rFonts w:hint="eastAsia"/>
                <w:color w:val="auto"/>
                <w:sz w:val="21"/>
                <w:szCs w:val="21"/>
              </w:rPr>
              <w:t>位于8栋猪舍东侧，</w:t>
            </w:r>
            <w:r>
              <w:rPr>
                <w:color w:val="auto"/>
                <w:sz w:val="21"/>
                <w:szCs w:val="21"/>
              </w:rPr>
              <w:t>用于饲料成品暂存，</w:t>
            </w:r>
            <w:r>
              <w:rPr>
                <w:rFonts w:hint="eastAsia" w:ascii="宋体" w:hAnsi="宋体" w:eastAsia="宋体" w:cs="宋体"/>
                <w:color w:val="auto"/>
                <w:kern w:val="0"/>
                <w:sz w:val="21"/>
                <w:szCs w:val="21"/>
                <w:lang w:val="en-US" w:eastAsia="zh-CN" w:bidi="ar"/>
              </w:rPr>
              <w:t>为猪提供饲料</w:t>
            </w:r>
            <w:r>
              <w:rPr>
                <w:rFonts w:hint="eastAsia" w:ascii="宋体" w:hAnsi="宋体" w:cs="宋体"/>
                <w:color w:val="auto"/>
                <w:kern w:val="0"/>
                <w:sz w:val="21"/>
                <w:szCs w:val="21"/>
                <w:lang w:val="en-US" w:eastAsia="zh-CN" w:bidi="ar"/>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tcBorders>
              <w:bottom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eastAsia"/>
                <w:color w:val="auto"/>
                <w:sz w:val="21"/>
                <w:szCs w:val="21"/>
              </w:rPr>
              <w:t>深井泵房</w:t>
            </w:r>
          </w:p>
        </w:tc>
        <w:tc>
          <w:tcPr>
            <w:tcW w:w="6314" w:type="dxa"/>
            <w:tcBorders>
              <w:bottom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lang w:val="en-US" w:eastAsia="zh-CN"/>
              </w:rPr>
            </w:pPr>
            <w:r>
              <w:rPr>
                <w:rFonts w:hint="eastAsia" w:ascii="宋体" w:hAnsi="宋体" w:cs="宋体"/>
                <w:color w:val="auto"/>
                <w:kern w:val="0"/>
                <w:sz w:val="21"/>
                <w:szCs w:val="21"/>
                <w:lang w:val="en-US" w:eastAsia="zh-CN" w:bidi="ar"/>
              </w:rPr>
              <w:t>新建</w:t>
            </w:r>
            <w:r>
              <w:rPr>
                <w:rFonts w:hint="eastAsia"/>
                <w:color w:val="auto"/>
                <w:sz w:val="21"/>
                <w:szCs w:val="21"/>
                <w:lang w:val="en-US" w:eastAsia="zh-CN"/>
              </w:rPr>
              <w:t>2</w:t>
            </w:r>
            <w:r>
              <w:rPr>
                <w:rFonts w:hint="eastAsia"/>
                <w:color w:val="auto"/>
                <w:sz w:val="21"/>
                <w:szCs w:val="21"/>
              </w:rPr>
              <w:t>个深井泵房</w:t>
            </w:r>
            <w:r>
              <w:rPr>
                <w:rFonts w:hint="eastAsia"/>
                <w:color w:val="auto"/>
                <w:sz w:val="21"/>
                <w:szCs w:val="21"/>
                <w:lang w:eastAsia="zh-CN"/>
              </w:rPr>
              <w:t>，</w:t>
            </w:r>
            <w:r>
              <w:rPr>
                <w:rFonts w:hint="eastAsia"/>
                <w:color w:val="auto"/>
                <w:sz w:val="21"/>
                <w:szCs w:val="21"/>
                <w:lang w:val="en-US" w:eastAsia="zh-CN"/>
              </w:rPr>
              <w:t>为项目运营提供用水。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0"/>
                <w:sz w:val="21"/>
                <w:szCs w:val="21"/>
                <w:lang w:val="en-US" w:eastAsia="zh-CN" w:bidi="ar"/>
              </w:rPr>
              <w:t>蓄水池</w:t>
            </w:r>
          </w:p>
        </w:tc>
        <w:tc>
          <w:tcPr>
            <w:tcW w:w="6314" w:type="dxa"/>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kern w:val="2"/>
                <w:sz w:val="21"/>
                <w:szCs w:val="21"/>
                <w:lang w:val="en-US" w:eastAsia="zh-CN" w:bidi="ar-SA"/>
              </w:rPr>
            </w:pPr>
            <w:r>
              <w:rPr>
                <w:rFonts w:hint="eastAsia" w:ascii="宋体" w:hAnsi="宋体" w:cs="宋体"/>
                <w:color w:val="auto"/>
                <w:kern w:val="0"/>
                <w:sz w:val="21"/>
                <w:szCs w:val="21"/>
                <w:lang w:val="en-US" w:eastAsia="zh-CN" w:bidi="ar"/>
              </w:rPr>
              <w:t>新建1</w:t>
            </w:r>
            <w:r>
              <w:rPr>
                <w:rFonts w:hint="eastAsia" w:ascii="宋体" w:hAnsi="宋体" w:eastAsia="宋体" w:cs="宋体"/>
                <w:color w:val="auto"/>
                <w:kern w:val="0"/>
                <w:sz w:val="21"/>
                <w:szCs w:val="21"/>
                <w:lang w:val="en-US" w:eastAsia="zh-CN" w:bidi="ar"/>
              </w:rPr>
              <w:t>座</w:t>
            </w:r>
            <w:r>
              <w:rPr>
                <w:rFonts w:hint="eastAsia" w:ascii="宋体" w:hAnsi="宋体" w:cs="宋体"/>
                <w:color w:val="auto"/>
                <w:kern w:val="0"/>
                <w:sz w:val="21"/>
                <w:szCs w:val="21"/>
                <w:lang w:val="en-US" w:eastAsia="zh-CN" w:bidi="ar"/>
              </w:rPr>
              <w:t>4</w:t>
            </w:r>
            <w:r>
              <w:rPr>
                <w:rFonts w:hint="default" w:ascii="Times New Roman" w:hAnsi="Times New Roman" w:eastAsia="宋体" w:cs="Times New Roman"/>
                <w:color w:val="auto"/>
                <w:kern w:val="0"/>
                <w:sz w:val="21"/>
                <w:szCs w:val="21"/>
                <w:lang w:val="en-US" w:eastAsia="zh-CN" w:bidi="ar"/>
              </w:rPr>
              <w:t>00m</w:t>
            </w:r>
            <w:r>
              <w:rPr>
                <w:rFonts w:hint="eastAsia" w:ascii="Times New Roman" w:hAnsi="Times New Roman" w:cs="Times New Roman"/>
                <w:color w:val="auto"/>
                <w:kern w:val="0"/>
                <w:sz w:val="21"/>
                <w:szCs w:val="21"/>
                <w:vertAlign w:val="superscript"/>
                <w:lang w:val="en-US" w:eastAsia="zh-CN" w:bidi="ar"/>
              </w:rPr>
              <w:t>3</w:t>
            </w:r>
            <w:r>
              <w:rPr>
                <w:rFonts w:hint="eastAsia" w:ascii="宋体" w:hAnsi="宋体" w:eastAsia="宋体" w:cs="宋体"/>
                <w:color w:val="auto"/>
                <w:kern w:val="0"/>
                <w:sz w:val="21"/>
                <w:szCs w:val="21"/>
                <w:lang w:val="en-US" w:eastAsia="zh-CN" w:bidi="ar"/>
              </w:rPr>
              <w:t>的蓄水池，主要用于猪饲喂水的储存</w:t>
            </w:r>
            <w:r>
              <w:rPr>
                <w:rFonts w:hint="eastAsia" w:ascii="宋体" w:hAnsi="宋体" w:cs="宋体"/>
                <w:color w:val="auto"/>
                <w:kern w:val="0"/>
                <w:sz w:val="21"/>
                <w:szCs w:val="21"/>
                <w:lang w:val="en-US" w:eastAsia="zh-CN" w:bidi="ar"/>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tcBorders>
              <w:bottom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eastAsia="宋体"/>
                <w:color w:val="FF0000"/>
                <w:sz w:val="21"/>
                <w:szCs w:val="21"/>
                <w:lang w:eastAsia="zh-CN"/>
              </w:rPr>
            </w:pPr>
            <w:r>
              <w:rPr>
                <w:rFonts w:hint="eastAsia"/>
                <w:color w:val="FF0000"/>
                <w:sz w:val="21"/>
                <w:szCs w:val="21"/>
                <w:lang w:eastAsia="zh-CN"/>
              </w:rPr>
              <w:t>化粪池</w:t>
            </w:r>
          </w:p>
        </w:tc>
        <w:tc>
          <w:tcPr>
            <w:tcW w:w="6314" w:type="dxa"/>
            <w:tcBorders>
              <w:bottom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cs="Times New Roman"/>
                <w:color w:val="FF0000"/>
                <w:sz w:val="21"/>
                <w:szCs w:val="21"/>
                <w:lang w:val="en-US" w:eastAsia="zh-CN"/>
              </w:rPr>
            </w:pPr>
            <w:r>
              <w:rPr>
                <w:rFonts w:hint="eastAsia" w:ascii="宋体" w:hAnsi="宋体" w:cs="宋体"/>
                <w:color w:val="FF0000"/>
                <w:kern w:val="0"/>
                <w:sz w:val="21"/>
                <w:szCs w:val="21"/>
                <w:lang w:val="en-US" w:eastAsia="zh-CN" w:bidi="ar"/>
              </w:rPr>
              <w:t>新建1</w:t>
            </w:r>
            <w:r>
              <w:rPr>
                <w:rFonts w:hint="eastAsia" w:ascii="宋体" w:hAnsi="宋体" w:eastAsia="宋体" w:cs="宋体"/>
                <w:color w:val="FF0000"/>
                <w:kern w:val="0"/>
                <w:sz w:val="21"/>
                <w:szCs w:val="21"/>
                <w:lang w:val="en-US" w:eastAsia="zh-CN" w:bidi="ar"/>
              </w:rPr>
              <w:t>座</w:t>
            </w:r>
            <w:r>
              <w:rPr>
                <w:rFonts w:hint="eastAsia" w:ascii="宋体" w:hAnsi="宋体" w:cs="宋体"/>
                <w:color w:val="FF0000"/>
                <w:kern w:val="0"/>
                <w:sz w:val="21"/>
                <w:szCs w:val="21"/>
                <w:lang w:val="en-US" w:eastAsia="zh-CN" w:bidi="ar"/>
              </w:rPr>
              <w:t>10</w:t>
            </w:r>
            <w:r>
              <w:rPr>
                <w:rFonts w:hint="default" w:ascii="Times New Roman" w:hAnsi="Times New Roman" w:eastAsia="宋体" w:cs="Times New Roman"/>
                <w:color w:val="FF0000"/>
                <w:kern w:val="0"/>
                <w:sz w:val="21"/>
                <w:szCs w:val="21"/>
                <w:lang w:val="en-US" w:eastAsia="zh-CN" w:bidi="ar"/>
              </w:rPr>
              <w:t>00m</w:t>
            </w:r>
            <w:r>
              <w:rPr>
                <w:rFonts w:hint="eastAsia" w:ascii="Times New Roman" w:hAnsi="Times New Roman" w:cs="Times New Roman"/>
                <w:color w:val="FF0000"/>
                <w:kern w:val="0"/>
                <w:sz w:val="21"/>
                <w:szCs w:val="21"/>
                <w:vertAlign w:val="superscript"/>
                <w:lang w:val="en-US" w:eastAsia="zh-CN" w:bidi="ar"/>
              </w:rPr>
              <w:t>3</w:t>
            </w:r>
            <w:r>
              <w:rPr>
                <w:rFonts w:hint="eastAsia" w:ascii="宋体" w:hAnsi="宋体" w:eastAsia="宋体" w:cs="宋体"/>
                <w:color w:val="FF0000"/>
                <w:kern w:val="0"/>
                <w:sz w:val="21"/>
                <w:szCs w:val="21"/>
                <w:lang w:val="en-US" w:eastAsia="zh-CN" w:bidi="ar"/>
              </w:rPr>
              <w:t>的</w:t>
            </w:r>
            <w:r>
              <w:rPr>
                <w:rFonts w:hint="eastAsia"/>
                <w:color w:val="FF0000"/>
                <w:sz w:val="21"/>
                <w:szCs w:val="21"/>
                <w:lang w:eastAsia="zh-CN"/>
              </w:rPr>
              <w:t>化粪池</w:t>
            </w:r>
            <w:r>
              <w:rPr>
                <w:rFonts w:hint="eastAsia" w:ascii="宋体" w:hAnsi="宋体" w:cs="宋体"/>
                <w:color w:val="FF0000"/>
                <w:kern w:val="0"/>
                <w:sz w:val="21"/>
                <w:szCs w:val="21"/>
                <w:lang w:val="en-US" w:eastAsia="zh-CN" w:bidi="ar"/>
              </w:rPr>
              <w:t>，位于</w:t>
            </w:r>
            <w:r>
              <w:rPr>
                <w:rFonts w:hint="eastAsia" w:cs="Times New Roman"/>
                <w:color w:val="FF0000"/>
                <w:sz w:val="21"/>
                <w:szCs w:val="21"/>
                <w:lang w:val="en-US" w:eastAsia="zh-CN"/>
              </w:rPr>
              <w:t>育肥猪</w:t>
            </w:r>
            <w:r>
              <w:rPr>
                <w:rFonts w:hint="default" w:ascii="Times New Roman" w:hAnsi="Times New Roman" w:eastAsia="宋体" w:cs="Times New Roman"/>
                <w:color w:val="FF0000"/>
                <w:sz w:val="21"/>
                <w:szCs w:val="21"/>
              </w:rPr>
              <w:t>舍</w:t>
            </w:r>
            <w:r>
              <w:rPr>
                <w:rFonts w:hint="eastAsia" w:ascii="Times New Roman" w:hAnsi="Times New Roman" w:cs="Times New Roman"/>
                <w:color w:val="FF0000"/>
                <w:sz w:val="21"/>
                <w:szCs w:val="21"/>
                <w:lang w:eastAsia="zh-CN"/>
              </w:rPr>
              <w:t>南侧，埋地密闭设置，深</w:t>
            </w:r>
            <w:r>
              <w:rPr>
                <w:rFonts w:hint="eastAsia" w:ascii="Times New Roman" w:hAnsi="Times New Roman" w:cs="Times New Roman"/>
                <w:color w:val="FF0000"/>
                <w:sz w:val="21"/>
                <w:szCs w:val="21"/>
                <w:lang w:val="en-US" w:eastAsia="zh-CN"/>
              </w:rPr>
              <w:t>5m</w:t>
            </w:r>
            <w:r>
              <w:rPr>
                <w:rFonts w:hint="eastAsia" w:ascii="Times New Roman" w:hAnsi="Times New Roman" w:cs="Times New Roman"/>
                <w:color w:val="FF0000"/>
                <w:sz w:val="21"/>
                <w:szCs w:val="21"/>
                <w:lang w:eastAsia="zh-CN"/>
              </w:rPr>
              <w:t>，并配套设置</w:t>
            </w:r>
            <w:r>
              <w:rPr>
                <w:rFonts w:hint="eastAsia" w:ascii="Times New Roman" w:hAnsi="Times New Roman" w:cs="Times New Roman"/>
                <w:color w:val="FF0000"/>
                <w:sz w:val="21"/>
                <w:szCs w:val="21"/>
                <w:lang w:val="en-US" w:eastAsia="zh-CN"/>
              </w:rPr>
              <w:t>1台</w:t>
            </w:r>
            <w:r>
              <w:rPr>
                <w:rFonts w:hint="eastAsia" w:cs="Times New Roman"/>
                <w:color w:val="FF0000"/>
                <w:sz w:val="21"/>
                <w:szCs w:val="21"/>
                <w:lang w:val="en-US" w:eastAsia="zh-CN"/>
              </w:rPr>
              <w:t>固液分离器；</w:t>
            </w:r>
          </w:p>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宋体" w:hAnsi="宋体" w:eastAsia="宋体" w:cs="宋体"/>
                <w:color w:val="FF0000"/>
                <w:kern w:val="0"/>
                <w:sz w:val="21"/>
                <w:szCs w:val="21"/>
                <w:lang w:val="en-US" w:eastAsia="zh-CN" w:bidi="ar"/>
              </w:rPr>
            </w:pPr>
            <w:r>
              <w:rPr>
                <w:rFonts w:hint="eastAsia" w:ascii="Times New Roman" w:hAnsi="Times New Roman" w:eastAsia="宋体" w:cs="Times New Roman"/>
                <w:color w:val="FF0000"/>
                <w:sz w:val="21"/>
                <w:szCs w:val="21"/>
                <w:highlight w:val="none"/>
                <w:lang w:eastAsia="zh-CN"/>
              </w:rPr>
              <w:t>池底和池壁</w:t>
            </w:r>
            <w:r>
              <w:rPr>
                <w:rFonts w:hint="default" w:ascii="Times New Roman" w:hAnsi="Times New Roman" w:eastAsia="宋体" w:cs="Times New Roman"/>
                <w:color w:val="FF0000"/>
                <w:sz w:val="21"/>
                <w:szCs w:val="21"/>
                <w:highlight w:val="none"/>
              </w:rPr>
              <w:t>渗透系数</w:t>
            </w:r>
            <w:r>
              <w:rPr>
                <w:rFonts w:hint="eastAsia"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10</w:t>
            </w:r>
            <w:r>
              <w:rPr>
                <w:rFonts w:hint="default" w:ascii="Times New Roman" w:hAnsi="Times New Roman" w:eastAsia="宋体" w:cs="Times New Roman"/>
                <w:color w:val="FF0000"/>
                <w:sz w:val="21"/>
                <w:szCs w:val="21"/>
                <w:highlight w:val="none"/>
                <w:vertAlign w:val="superscript"/>
              </w:rPr>
              <w:t>-7</w:t>
            </w:r>
            <w:r>
              <w:rPr>
                <w:rFonts w:hint="default" w:ascii="Times New Roman" w:hAnsi="Times New Roman" w:eastAsia="宋体" w:cs="Times New Roman"/>
                <w:color w:val="FF0000"/>
                <w:sz w:val="21"/>
                <w:szCs w:val="21"/>
                <w:highlight w:val="none"/>
              </w:rPr>
              <w:t>cm/s的要求</w:t>
            </w:r>
            <w:r>
              <w:rPr>
                <w:rFonts w:hint="eastAsia" w:cs="Times New Roman"/>
                <w:color w:val="FF000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tcBorders>
              <w:bottom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color w:val="FF0000"/>
                <w:sz w:val="21"/>
                <w:szCs w:val="21"/>
                <w:lang w:eastAsia="zh-CN"/>
              </w:rPr>
            </w:pPr>
            <w:r>
              <w:rPr>
                <w:rFonts w:hint="eastAsia"/>
                <w:color w:val="FF0000"/>
                <w:sz w:val="21"/>
                <w:szCs w:val="21"/>
                <w:lang w:eastAsia="zh-CN"/>
              </w:rPr>
              <w:t>晾粪台</w:t>
            </w:r>
          </w:p>
        </w:tc>
        <w:tc>
          <w:tcPr>
            <w:tcW w:w="6314" w:type="dxa"/>
            <w:tcBorders>
              <w:bottom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cs="Times New Roman"/>
                <w:color w:val="FF0000"/>
                <w:sz w:val="21"/>
                <w:szCs w:val="21"/>
                <w:lang w:val="en-US" w:eastAsia="zh-CN"/>
              </w:rPr>
            </w:pPr>
            <w:r>
              <w:rPr>
                <w:rFonts w:hint="eastAsia" w:ascii="宋体" w:hAnsi="宋体" w:cs="宋体"/>
                <w:color w:val="FF0000"/>
                <w:kern w:val="0"/>
                <w:sz w:val="21"/>
                <w:szCs w:val="21"/>
                <w:lang w:val="en-US" w:eastAsia="zh-CN" w:bidi="ar"/>
              </w:rPr>
              <w:t>新建1</w:t>
            </w:r>
            <w:r>
              <w:rPr>
                <w:rFonts w:hint="eastAsia" w:ascii="宋体" w:hAnsi="宋体" w:eastAsia="宋体" w:cs="宋体"/>
                <w:color w:val="FF0000"/>
                <w:kern w:val="0"/>
                <w:sz w:val="21"/>
                <w:szCs w:val="21"/>
                <w:lang w:val="en-US" w:eastAsia="zh-CN" w:bidi="ar"/>
              </w:rPr>
              <w:t>座</w:t>
            </w:r>
            <w:r>
              <w:rPr>
                <w:rFonts w:hint="eastAsia" w:ascii="宋体" w:hAnsi="宋体" w:cs="宋体"/>
                <w:color w:val="FF0000"/>
                <w:kern w:val="0"/>
                <w:sz w:val="21"/>
                <w:szCs w:val="21"/>
                <w:lang w:val="en-US" w:eastAsia="zh-CN" w:bidi="ar"/>
              </w:rPr>
              <w:t>10</w:t>
            </w:r>
            <w:r>
              <w:rPr>
                <w:rFonts w:hint="default" w:ascii="Times New Roman" w:hAnsi="Times New Roman" w:eastAsia="宋体" w:cs="Times New Roman"/>
                <w:color w:val="FF0000"/>
                <w:kern w:val="0"/>
                <w:sz w:val="21"/>
                <w:szCs w:val="21"/>
                <w:lang w:val="en-US" w:eastAsia="zh-CN" w:bidi="ar"/>
              </w:rPr>
              <w:t>00m</w:t>
            </w:r>
            <w:r>
              <w:rPr>
                <w:rFonts w:hint="eastAsia" w:ascii="Times New Roman" w:hAnsi="Times New Roman" w:cs="Times New Roman"/>
                <w:color w:val="FF0000"/>
                <w:kern w:val="0"/>
                <w:sz w:val="21"/>
                <w:szCs w:val="21"/>
                <w:vertAlign w:val="superscript"/>
                <w:lang w:val="en-US" w:eastAsia="zh-CN" w:bidi="ar"/>
              </w:rPr>
              <w:t>2</w:t>
            </w:r>
            <w:r>
              <w:rPr>
                <w:rFonts w:hint="eastAsia" w:ascii="宋体" w:hAnsi="宋体" w:eastAsia="宋体" w:cs="宋体"/>
                <w:color w:val="FF0000"/>
                <w:kern w:val="0"/>
                <w:sz w:val="21"/>
                <w:szCs w:val="21"/>
                <w:lang w:val="en-US" w:eastAsia="zh-CN" w:bidi="ar"/>
              </w:rPr>
              <w:t>的</w:t>
            </w:r>
            <w:r>
              <w:rPr>
                <w:rFonts w:hint="eastAsia"/>
                <w:color w:val="FF0000"/>
                <w:sz w:val="21"/>
                <w:szCs w:val="21"/>
                <w:lang w:eastAsia="zh-CN"/>
              </w:rPr>
              <w:t>晾粪台</w:t>
            </w:r>
            <w:r>
              <w:rPr>
                <w:rFonts w:hint="eastAsia" w:ascii="宋体" w:hAnsi="宋体" w:cs="宋体"/>
                <w:color w:val="FF0000"/>
                <w:kern w:val="0"/>
                <w:sz w:val="21"/>
                <w:szCs w:val="21"/>
                <w:lang w:val="en-US" w:eastAsia="zh-CN" w:bidi="ar"/>
              </w:rPr>
              <w:t>，位于</w:t>
            </w:r>
            <w:r>
              <w:rPr>
                <w:rFonts w:hint="eastAsia" w:cs="Times New Roman"/>
                <w:color w:val="FF0000"/>
                <w:sz w:val="21"/>
                <w:szCs w:val="21"/>
                <w:lang w:val="en-US" w:eastAsia="zh-CN"/>
              </w:rPr>
              <w:t>育肥猪</w:t>
            </w:r>
            <w:r>
              <w:rPr>
                <w:rFonts w:hint="default" w:ascii="Times New Roman" w:hAnsi="Times New Roman" w:eastAsia="宋体" w:cs="Times New Roman"/>
                <w:color w:val="FF0000"/>
                <w:sz w:val="21"/>
                <w:szCs w:val="21"/>
              </w:rPr>
              <w:t>舍</w:t>
            </w:r>
            <w:r>
              <w:rPr>
                <w:rFonts w:hint="eastAsia" w:ascii="Times New Roman" w:hAnsi="Times New Roman" w:cs="Times New Roman"/>
                <w:color w:val="FF0000"/>
                <w:sz w:val="21"/>
                <w:szCs w:val="21"/>
                <w:lang w:eastAsia="zh-CN"/>
              </w:rPr>
              <w:t>南侧，露天布置，四周设置</w:t>
            </w:r>
            <w:r>
              <w:rPr>
                <w:rFonts w:hint="eastAsia" w:ascii="Times New Roman" w:hAnsi="Times New Roman" w:cs="Times New Roman"/>
                <w:color w:val="FF0000"/>
                <w:sz w:val="21"/>
                <w:szCs w:val="21"/>
                <w:lang w:val="en-US" w:eastAsia="zh-CN"/>
              </w:rPr>
              <w:t>0.5m高的挡水墙；</w:t>
            </w:r>
          </w:p>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cs="Times New Roman"/>
                <w:color w:val="FF0000"/>
                <w:sz w:val="21"/>
                <w:szCs w:val="21"/>
                <w:lang w:val="en-US" w:eastAsia="zh-CN"/>
              </w:rPr>
            </w:pPr>
            <w:r>
              <w:rPr>
                <w:rFonts w:hint="eastAsia" w:ascii="Times New Roman" w:hAnsi="Times New Roman" w:eastAsia="宋体" w:cs="Times New Roman"/>
                <w:color w:val="FF0000"/>
                <w:sz w:val="21"/>
                <w:szCs w:val="21"/>
                <w:highlight w:val="none"/>
                <w:lang w:eastAsia="zh-CN"/>
              </w:rPr>
              <w:t>地面</w:t>
            </w:r>
            <w:r>
              <w:rPr>
                <w:rFonts w:hint="default" w:ascii="Times New Roman" w:hAnsi="Times New Roman" w:eastAsia="宋体" w:cs="Times New Roman"/>
                <w:color w:val="FF0000"/>
                <w:sz w:val="21"/>
                <w:szCs w:val="21"/>
                <w:highlight w:val="none"/>
              </w:rPr>
              <w:t>渗透系数</w:t>
            </w:r>
            <w:r>
              <w:rPr>
                <w:rFonts w:hint="eastAsia"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10</w:t>
            </w:r>
            <w:r>
              <w:rPr>
                <w:rFonts w:hint="default" w:ascii="Times New Roman" w:hAnsi="Times New Roman" w:eastAsia="宋体" w:cs="Times New Roman"/>
                <w:color w:val="FF0000"/>
                <w:sz w:val="21"/>
                <w:szCs w:val="21"/>
                <w:highlight w:val="none"/>
                <w:vertAlign w:val="superscript"/>
              </w:rPr>
              <w:t>-7</w:t>
            </w:r>
            <w:r>
              <w:rPr>
                <w:rFonts w:hint="default" w:ascii="Times New Roman" w:hAnsi="Times New Roman" w:eastAsia="宋体" w:cs="Times New Roman"/>
                <w:color w:val="FF0000"/>
                <w:sz w:val="21"/>
                <w:szCs w:val="21"/>
                <w:highlight w:val="none"/>
              </w:rPr>
              <w:t>cm/s的要求</w:t>
            </w:r>
            <w:r>
              <w:rPr>
                <w:rFonts w:hint="eastAsia" w:ascii="Times New Roman" w:hAnsi="Times New Roman" w:cs="Times New Roman"/>
                <w:color w:val="FF000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氧化塘</w:t>
            </w:r>
          </w:p>
        </w:tc>
        <w:tc>
          <w:tcPr>
            <w:tcW w:w="6314" w:type="dxa"/>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left"/>
              <w:rPr>
                <w:rFonts w:hint="eastAsia" w:cs="Times New Roman"/>
                <w:color w:val="FF0000"/>
                <w:kern w:val="2"/>
                <w:sz w:val="21"/>
                <w:szCs w:val="21"/>
                <w:lang w:val="en-US" w:eastAsia="zh-CN" w:bidi="ar-SA"/>
              </w:rPr>
            </w:pPr>
            <w:r>
              <w:rPr>
                <w:rFonts w:hint="eastAsia" w:ascii="宋体" w:hAnsi="宋体" w:cs="宋体"/>
                <w:color w:val="FF0000"/>
                <w:kern w:val="0"/>
                <w:sz w:val="21"/>
                <w:szCs w:val="21"/>
                <w:lang w:val="en-US" w:eastAsia="zh-CN" w:bidi="ar"/>
              </w:rPr>
              <w:t>新建2</w:t>
            </w:r>
            <w:r>
              <w:rPr>
                <w:rFonts w:hint="eastAsia" w:ascii="宋体" w:hAnsi="宋体" w:eastAsia="宋体" w:cs="宋体"/>
                <w:color w:val="FF0000"/>
                <w:kern w:val="0"/>
                <w:sz w:val="21"/>
                <w:szCs w:val="21"/>
                <w:lang w:val="en-US" w:eastAsia="zh-CN" w:bidi="ar"/>
              </w:rPr>
              <w:t>座</w:t>
            </w:r>
            <w:r>
              <w:rPr>
                <w:rFonts w:hint="eastAsia" w:ascii="宋体" w:hAnsi="宋体" w:cs="宋体"/>
                <w:color w:val="FF0000"/>
                <w:kern w:val="0"/>
                <w:sz w:val="21"/>
                <w:szCs w:val="21"/>
                <w:lang w:val="en-US" w:eastAsia="zh-CN" w:bidi="ar"/>
              </w:rPr>
              <w:t>85</w:t>
            </w:r>
            <w:r>
              <w:rPr>
                <w:rFonts w:hint="default" w:ascii="Times New Roman" w:hAnsi="Times New Roman" w:eastAsia="宋体" w:cs="Times New Roman"/>
                <w:color w:val="FF0000"/>
                <w:kern w:val="0"/>
                <w:sz w:val="21"/>
                <w:szCs w:val="21"/>
                <w:lang w:val="en-US" w:eastAsia="zh-CN" w:bidi="ar"/>
              </w:rPr>
              <w:t>00m</w:t>
            </w:r>
            <w:r>
              <w:rPr>
                <w:rFonts w:hint="eastAsia" w:ascii="Times New Roman" w:hAnsi="Times New Roman" w:cs="Times New Roman"/>
                <w:color w:val="FF0000"/>
                <w:kern w:val="0"/>
                <w:sz w:val="21"/>
                <w:szCs w:val="21"/>
                <w:vertAlign w:val="superscript"/>
                <w:lang w:val="en-US" w:eastAsia="zh-CN" w:bidi="ar"/>
              </w:rPr>
              <w:t>3</w:t>
            </w:r>
            <w:r>
              <w:rPr>
                <w:rFonts w:hint="eastAsia" w:ascii="宋体" w:hAnsi="宋体" w:eastAsia="宋体" w:cs="宋体"/>
                <w:color w:val="FF0000"/>
                <w:kern w:val="0"/>
                <w:sz w:val="21"/>
                <w:szCs w:val="21"/>
                <w:lang w:val="en-US" w:eastAsia="zh-CN" w:bidi="ar"/>
              </w:rPr>
              <w:t>的</w:t>
            </w:r>
            <w:r>
              <w:rPr>
                <w:rFonts w:hint="eastAsia" w:cs="Times New Roman"/>
                <w:color w:val="FF0000"/>
                <w:kern w:val="2"/>
                <w:sz w:val="21"/>
                <w:szCs w:val="21"/>
                <w:lang w:val="en-US" w:eastAsia="zh-CN" w:bidi="ar-SA"/>
              </w:rPr>
              <w:t>氧化塘，位于场区南侧，深4m，四周设置1m高的围堰，防治雨水流入氧化塘；</w:t>
            </w:r>
          </w:p>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sz w:val="21"/>
                <w:szCs w:val="21"/>
                <w:highlight w:val="none"/>
                <w:lang w:eastAsia="zh-CN"/>
              </w:rPr>
              <w:t>池底和池壁</w:t>
            </w:r>
            <w:r>
              <w:rPr>
                <w:rFonts w:hint="default" w:ascii="Times New Roman" w:hAnsi="Times New Roman" w:eastAsia="宋体" w:cs="Times New Roman"/>
                <w:color w:val="FF0000"/>
                <w:sz w:val="21"/>
                <w:szCs w:val="21"/>
                <w:highlight w:val="none"/>
              </w:rPr>
              <w:t>渗透系数</w:t>
            </w:r>
            <w:r>
              <w:rPr>
                <w:rFonts w:hint="eastAsia"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10</w:t>
            </w:r>
            <w:r>
              <w:rPr>
                <w:rFonts w:hint="default" w:ascii="Times New Roman" w:hAnsi="Times New Roman" w:eastAsia="宋体" w:cs="Times New Roman"/>
                <w:color w:val="FF0000"/>
                <w:sz w:val="21"/>
                <w:szCs w:val="21"/>
                <w:highlight w:val="none"/>
                <w:vertAlign w:val="superscript"/>
              </w:rPr>
              <w:t>-7</w:t>
            </w:r>
            <w:r>
              <w:rPr>
                <w:rFonts w:hint="default" w:ascii="Times New Roman" w:hAnsi="Times New Roman" w:eastAsia="宋体" w:cs="Times New Roman"/>
                <w:color w:val="FF0000"/>
                <w:sz w:val="21"/>
                <w:szCs w:val="21"/>
                <w:highlight w:val="none"/>
              </w:rPr>
              <w:t>cm/s的要求</w:t>
            </w:r>
            <w:r>
              <w:rPr>
                <w:rFonts w:hint="eastAsia" w:cs="Times New Roman"/>
                <w:color w:val="FF0000"/>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公用</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985" w:type="dxa"/>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供水</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项目用水由场区内深水井供给。</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供电</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当地供电网络提供电源</w:t>
            </w:r>
            <w:r>
              <w:rPr>
                <w:rFonts w:hint="default" w:ascii="Times New Roman" w:hAnsi="Times New Roman" w:eastAsia="宋体" w:cs="Times New Roman"/>
                <w:color w:val="auto"/>
                <w:kern w:val="0"/>
                <w:sz w:val="21"/>
                <w:szCs w:val="21"/>
              </w:rPr>
              <w:t>，在</w:t>
            </w:r>
            <w:r>
              <w:rPr>
                <w:rFonts w:hint="eastAsia" w:cs="Times New Roman"/>
                <w:color w:val="auto"/>
                <w:kern w:val="0"/>
                <w:sz w:val="21"/>
                <w:szCs w:val="21"/>
                <w:lang w:eastAsia="zh-CN"/>
              </w:rPr>
              <w:t>场区</w:t>
            </w:r>
            <w:r>
              <w:rPr>
                <w:rFonts w:hint="default" w:ascii="Times New Roman" w:hAnsi="Times New Roman" w:eastAsia="宋体" w:cs="Times New Roman"/>
                <w:color w:val="auto"/>
                <w:kern w:val="0"/>
                <w:sz w:val="21"/>
                <w:szCs w:val="21"/>
              </w:rPr>
              <w:t>内设变配电室1座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供暖</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项目新建锅炉房2座，1F，内部安装</w:t>
            </w: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rPr>
              <w:t>台电锅炉供暖，</w:t>
            </w:r>
            <w:r>
              <w:rPr>
                <w:rFonts w:hint="eastAsia" w:cs="Times New Roman"/>
                <w:color w:val="FF0000"/>
                <w:sz w:val="21"/>
                <w:szCs w:val="21"/>
                <w:lang w:eastAsia="zh-CN"/>
              </w:rPr>
              <w:t>每台</w:t>
            </w:r>
            <w:r>
              <w:rPr>
                <w:rFonts w:hint="default" w:ascii="Times New Roman" w:hAnsi="Times New Roman" w:eastAsia="宋体" w:cs="Times New Roman"/>
                <w:color w:val="auto"/>
                <w:sz w:val="21"/>
                <w:szCs w:val="21"/>
              </w:rPr>
              <w:t>额定热功率150KW。</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排水</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4"/>
                <w:sz w:val="21"/>
                <w:szCs w:val="21"/>
              </w:rPr>
              <w:t>猪舍地面采用漏缝地板，</w:t>
            </w:r>
            <w:r>
              <w:rPr>
                <w:rFonts w:hint="eastAsia"/>
                <w:color w:val="FF0000"/>
                <w:sz w:val="21"/>
                <w:szCs w:val="21"/>
                <w:lang w:eastAsia="zh-CN"/>
              </w:rPr>
              <w:t>猪粪和猪尿由猪舍内的地漏落到</w:t>
            </w:r>
            <w:r>
              <w:rPr>
                <w:rFonts w:hint="eastAsia" w:cs="Times New Roman"/>
                <w:color w:val="FF0000"/>
                <w:lang w:eastAsia="zh-CN"/>
              </w:rPr>
              <w:t>猪舍粪污管道内，通过坡度自流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default" w:ascii="Times New Roman" w:hAnsi="Times New Roman" w:eastAsia="宋体" w:cs="Times New Roman"/>
                <w:color w:val="FF0000"/>
                <w:spacing w:val="-4"/>
                <w:sz w:val="21"/>
                <w:szCs w:val="21"/>
              </w:rPr>
              <w:t>，</w:t>
            </w:r>
            <w:r>
              <w:rPr>
                <w:rFonts w:hint="eastAsia" w:cs="Times New Roman"/>
                <w:color w:val="FF0000"/>
                <w:spacing w:val="-4"/>
                <w:sz w:val="21"/>
                <w:szCs w:val="21"/>
                <w:lang w:val="en-US" w:eastAsia="zh-CN"/>
              </w:rPr>
              <w:t>化粪池内粪水经</w:t>
            </w:r>
            <w:r>
              <w:rPr>
                <w:rFonts w:hint="eastAsia" w:cs="Times New Roman"/>
                <w:color w:val="auto"/>
                <w:spacing w:val="-4"/>
                <w:sz w:val="21"/>
                <w:szCs w:val="21"/>
                <w:lang w:val="en-US" w:eastAsia="zh-CN"/>
              </w:rPr>
              <w:t>固液分离器将猪粪分离后</w:t>
            </w:r>
            <w:r>
              <w:rPr>
                <w:rFonts w:hint="default" w:ascii="Times New Roman" w:hAnsi="Times New Roman" w:eastAsia="宋体" w:cs="Times New Roman"/>
                <w:color w:val="auto"/>
                <w:spacing w:val="-4"/>
                <w:sz w:val="21"/>
                <w:szCs w:val="21"/>
              </w:rPr>
              <w:t>，猪尿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spacing w:val="-4"/>
                <w:sz w:val="21"/>
                <w:szCs w:val="21"/>
                <w:lang w:eastAsia="zh-CN"/>
              </w:rPr>
            </w:pPr>
            <w:r>
              <w:rPr>
                <w:rFonts w:hint="eastAsia" w:cs="Times New Roman"/>
                <w:color w:val="FF0000"/>
                <w:lang w:eastAsia="zh-CN"/>
              </w:rPr>
              <w:t>猪舍粪污管道冲洗废水通过粪污管道坡度自流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default" w:ascii="Times New Roman" w:hAnsi="Times New Roman" w:eastAsia="宋体" w:cs="Times New Roman"/>
                <w:color w:val="FF0000"/>
                <w:spacing w:val="-4"/>
                <w:sz w:val="21"/>
                <w:szCs w:val="21"/>
              </w:rPr>
              <w:t>，</w:t>
            </w:r>
            <w:r>
              <w:rPr>
                <w:rFonts w:hint="eastAsia" w:cs="Times New Roman"/>
                <w:color w:val="FF0000"/>
                <w:spacing w:val="-4"/>
                <w:sz w:val="21"/>
                <w:szCs w:val="21"/>
                <w:lang w:val="en-US" w:eastAsia="zh-CN"/>
              </w:rPr>
              <w:t>化粪池内粪水经固液分离器将猪粪分离后</w:t>
            </w:r>
            <w:r>
              <w:rPr>
                <w:rFonts w:hint="default" w:ascii="Times New Roman" w:hAnsi="Times New Roman" w:eastAsia="宋体" w:cs="Times New Roman"/>
                <w:color w:val="FF0000"/>
                <w:spacing w:val="-4"/>
                <w:sz w:val="21"/>
                <w:szCs w:val="21"/>
              </w:rPr>
              <w:t>，猪尿</w:t>
            </w:r>
            <w:r>
              <w:rPr>
                <w:rFonts w:hint="eastAsia" w:cs="Times New Roman"/>
                <w:color w:val="FF0000"/>
                <w:spacing w:val="-4"/>
                <w:sz w:val="21"/>
                <w:szCs w:val="21"/>
                <w:lang w:val="en-US" w:eastAsia="zh-CN"/>
              </w:rPr>
              <w:t>排入氧化塘</w:t>
            </w:r>
            <w:r>
              <w:rPr>
                <w:rFonts w:hint="default" w:ascii="Times New Roman" w:hAnsi="Times New Roman" w:eastAsia="宋体" w:cs="Times New Roman"/>
                <w:color w:val="FF0000"/>
                <w:spacing w:val="-4"/>
                <w:sz w:val="21"/>
                <w:szCs w:val="21"/>
              </w:rPr>
              <w:t>内发酵6个月，处理后的液肥用于还田</w:t>
            </w:r>
            <w:r>
              <w:rPr>
                <w:rFonts w:hint="eastAsia" w:ascii="Times New Roman" w:hAnsi="Times New Roman" w:cs="Times New Roman"/>
                <w:color w:val="FF0000"/>
                <w:spacing w:val="-4"/>
                <w:sz w:val="21"/>
                <w:szCs w:val="21"/>
                <w:lang w:eastAsia="zh-CN"/>
              </w:rPr>
              <w:t>；</w:t>
            </w:r>
          </w:p>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eastAsia" w:ascii="Times New Roman" w:hAnsi="Times New Roman" w:eastAsia="宋体" w:cs="Times New Roman"/>
                <w:color w:val="FF0000"/>
                <w:spacing w:val="-4"/>
                <w:sz w:val="21"/>
                <w:szCs w:val="21"/>
                <w:lang w:eastAsia="zh-CN"/>
              </w:rPr>
            </w:pPr>
            <w:r>
              <w:rPr>
                <w:rFonts w:hint="eastAsia" w:cs="Times New Roman"/>
                <w:color w:val="FF0000"/>
                <w:spacing w:val="-4"/>
                <w:sz w:val="21"/>
                <w:szCs w:val="21"/>
                <w:lang w:eastAsia="zh-CN"/>
              </w:rPr>
              <w:t>猪舍</w:t>
            </w:r>
            <w:r>
              <w:rPr>
                <w:rFonts w:hint="default" w:ascii="Times New Roman" w:hAnsi="Times New Roman" w:eastAsia="宋体" w:cs="Times New Roman"/>
                <w:color w:val="FF0000"/>
                <w:spacing w:val="-4"/>
                <w:sz w:val="21"/>
                <w:szCs w:val="21"/>
              </w:rPr>
              <w:t>降温水帘系统用水循环使用，无废水排放</w:t>
            </w:r>
            <w:r>
              <w:rPr>
                <w:rFonts w:hint="eastAsia" w:cs="Times New Roman"/>
                <w:color w:val="FF0000"/>
                <w:spacing w:val="-4"/>
                <w:sz w:val="21"/>
                <w:szCs w:val="21"/>
                <w:lang w:eastAsia="zh-CN"/>
              </w:rPr>
              <w:t>；</w:t>
            </w:r>
          </w:p>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4"/>
                <w:sz w:val="21"/>
                <w:szCs w:val="21"/>
              </w:rPr>
              <w:t>生活污水</w:t>
            </w:r>
            <w:r>
              <w:rPr>
                <w:rFonts w:hint="eastAsia" w:cs="Times New Roman"/>
                <w:color w:val="auto"/>
                <w:spacing w:val="-4"/>
                <w:sz w:val="21"/>
                <w:szCs w:val="21"/>
                <w:lang w:val="en-US" w:eastAsia="zh-CN"/>
              </w:rPr>
              <w:t>排入</w:t>
            </w:r>
            <w:r>
              <w:rPr>
                <w:rFonts w:hint="default" w:ascii="Times New Roman" w:hAnsi="Times New Roman" w:eastAsia="宋体" w:cs="Times New Roman"/>
                <w:color w:val="auto"/>
                <w:spacing w:val="-4"/>
                <w:sz w:val="21"/>
                <w:szCs w:val="21"/>
              </w:rPr>
              <w:t>化粪池</w:t>
            </w:r>
            <w:r>
              <w:rPr>
                <w:rFonts w:hint="eastAsia" w:cs="Times New Roman"/>
                <w:color w:val="auto"/>
                <w:spacing w:val="-4"/>
                <w:sz w:val="21"/>
                <w:szCs w:val="21"/>
                <w:lang w:eastAsia="zh-CN"/>
              </w:rPr>
              <w:t>，</w:t>
            </w:r>
            <w:r>
              <w:rPr>
                <w:rFonts w:hint="eastAsia" w:cs="Times New Roman"/>
                <w:color w:val="auto"/>
                <w:spacing w:val="-4"/>
                <w:sz w:val="21"/>
                <w:szCs w:val="21"/>
                <w:lang w:val="en-US" w:eastAsia="zh-CN"/>
              </w:rPr>
              <w:t>经固液分离器分离后，</w:t>
            </w:r>
            <w:r>
              <w:rPr>
                <w:rFonts w:hint="default" w:ascii="Times New Roman" w:hAnsi="Times New Roman" w:eastAsia="宋体" w:cs="Times New Roman"/>
                <w:color w:val="auto"/>
                <w:spacing w:val="-4"/>
                <w:sz w:val="21"/>
                <w:szCs w:val="21"/>
              </w:rPr>
              <w:t>与猪尿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eastAsia" w:ascii="Times New Roman" w:hAnsi="Times New Roman" w:eastAsia="宋体" w:cs="Times New Roman"/>
                <w:color w:val="auto"/>
                <w:spacing w:val="-4"/>
                <w:sz w:val="21"/>
                <w:szCs w:val="21"/>
                <w:lang w:eastAsia="zh-CN"/>
              </w:rPr>
            </w:pPr>
            <w:r>
              <w:rPr>
                <w:rFonts w:hint="default" w:ascii="Times New Roman" w:hAnsi="Times New Roman" w:eastAsia="宋体" w:cs="Times New Roman"/>
                <w:color w:val="auto"/>
                <w:spacing w:val="-4"/>
                <w:sz w:val="21"/>
                <w:szCs w:val="21"/>
              </w:rPr>
              <w:t>洗消中心洗车废水、消毒废水经沉淀池处理后，上清液循环使用，不外排</w:t>
            </w:r>
            <w:r>
              <w:rPr>
                <w:rFonts w:hint="eastAsia" w:cs="Times New Roman"/>
                <w:color w:val="auto"/>
                <w:spacing w:val="-4"/>
                <w:sz w:val="21"/>
                <w:szCs w:val="21"/>
                <w:lang w:eastAsia="zh-CN"/>
              </w:rPr>
              <w:t>；</w:t>
            </w:r>
          </w:p>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电锅炉定期排水用于道路抑尘。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环保</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738" w:type="dxa"/>
            <w:vMerge w:val="restar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w:t>
            </w:r>
          </w:p>
        </w:tc>
        <w:tc>
          <w:tcPr>
            <w:tcW w:w="1247" w:type="dxa"/>
            <w:tcBorders>
              <w:left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ascii="宋体" w:hAnsi="宋体" w:eastAsia="宋体" w:cs="宋体"/>
                <w:color w:val="auto"/>
                <w:kern w:val="0"/>
                <w:sz w:val="21"/>
                <w:szCs w:val="21"/>
                <w:lang w:val="en-US" w:eastAsia="zh-CN" w:bidi="ar"/>
              </w:rPr>
              <w:t>猪舍恶臭</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场区内采取控制饲养密度、加强舍内通风、调控喂食量、喷洒化学+生物除臭剂等措施降低臭气浓度；</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晾粪台</w:t>
            </w:r>
            <w:r>
              <w:rPr>
                <w:rFonts w:hint="eastAsia" w:ascii="宋体" w:hAnsi="宋体" w:eastAsia="宋体" w:cs="宋体"/>
                <w:color w:val="auto"/>
                <w:kern w:val="0"/>
                <w:sz w:val="21"/>
                <w:szCs w:val="21"/>
                <w:lang w:val="en-US" w:eastAsia="zh-CN" w:bidi="ar"/>
              </w:rPr>
              <w:t>恶臭</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晾粪台</w:t>
            </w:r>
            <w:r>
              <w:rPr>
                <w:rFonts w:hint="eastAsia"/>
                <w:color w:val="auto"/>
                <w:sz w:val="21"/>
                <w:szCs w:val="21"/>
              </w:rPr>
              <w:t>定期喷洒减少氨释放和保氮的复合菌剂，</w:t>
            </w:r>
            <w:r>
              <w:rPr>
                <w:rFonts w:hint="default" w:ascii="Times New Roman" w:hAnsi="Times New Roman" w:eastAsia="宋体" w:cs="Times New Roman"/>
                <w:color w:val="auto"/>
                <w:sz w:val="21"/>
                <w:szCs w:val="21"/>
              </w:rPr>
              <w:t>通过菌类自身繁殖达到去除臭气的目的</w:t>
            </w:r>
            <w:r>
              <w:rPr>
                <w:rFonts w:hint="eastAsia"/>
                <w:color w:val="auto"/>
                <w:sz w:val="21"/>
                <w:szCs w:val="21"/>
              </w:rPr>
              <w:t>，同时场区内加强绿化</w:t>
            </w:r>
            <w:r>
              <w:rPr>
                <w:rFonts w:hint="eastAsia"/>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氧化塘</w:t>
            </w:r>
            <w:r>
              <w:rPr>
                <w:rFonts w:hint="eastAsia" w:ascii="宋体" w:hAnsi="宋体" w:eastAsia="宋体" w:cs="宋体"/>
                <w:color w:val="auto"/>
                <w:kern w:val="0"/>
                <w:sz w:val="21"/>
                <w:szCs w:val="21"/>
                <w:lang w:val="en-US" w:eastAsia="zh-CN" w:bidi="ar"/>
              </w:rPr>
              <w:t>恶臭</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color w:val="auto"/>
                <w:sz w:val="21"/>
                <w:szCs w:val="21"/>
              </w:rPr>
              <w:t xml:space="preserve"> </w:t>
            </w:r>
            <w:r>
              <w:rPr>
                <w:rFonts w:hint="eastAsia"/>
                <w:color w:val="auto"/>
                <w:sz w:val="21"/>
                <w:szCs w:val="21"/>
              </w:rPr>
              <w:t>氧化塘定期喷洒减少氨释放和保氮的复合菌剂，</w:t>
            </w:r>
            <w:r>
              <w:rPr>
                <w:rFonts w:hint="default" w:ascii="Times New Roman" w:hAnsi="Times New Roman" w:eastAsia="宋体" w:cs="Times New Roman"/>
                <w:color w:val="auto"/>
                <w:sz w:val="21"/>
                <w:szCs w:val="21"/>
              </w:rPr>
              <w:t>通过菌类自身繁殖达到去除臭气的目的</w:t>
            </w:r>
            <w:r>
              <w:rPr>
                <w:rFonts w:hint="eastAsia"/>
                <w:color w:val="auto"/>
                <w:sz w:val="21"/>
                <w:szCs w:val="21"/>
              </w:rPr>
              <w:t>，同时场区内加强绿化</w:t>
            </w:r>
            <w:r>
              <w:rPr>
                <w:rFonts w:hint="eastAsia"/>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restar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w:t>
            </w: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猪舍废水</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猪舍地面采用漏缝地板，</w:t>
            </w:r>
            <w:r>
              <w:rPr>
                <w:rFonts w:hint="eastAsia"/>
                <w:color w:val="FF0000"/>
                <w:sz w:val="21"/>
                <w:szCs w:val="21"/>
                <w:lang w:eastAsia="zh-CN"/>
              </w:rPr>
              <w:t>猪粪和猪尿由猪舍内的地漏落到</w:t>
            </w:r>
            <w:r>
              <w:rPr>
                <w:rFonts w:hint="eastAsia" w:cs="Times New Roman"/>
                <w:color w:val="FF0000"/>
                <w:lang w:eastAsia="zh-CN"/>
              </w:rPr>
              <w:t>猪舍粪污管道内，通过坡度自流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default" w:ascii="Times New Roman" w:hAnsi="Times New Roman" w:eastAsia="宋体" w:cs="Times New Roman"/>
                <w:color w:val="FF0000"/>
                <w:spacing w:val="-4"/>
                <w:sz w:val="21"/>
                <w:szCs w:val="21"/>
              </w:rPr>
              <w:t>，</w:t>
            </w:r>
            <w:r>
              <w:rPr>
                <w:rFonts w:hint="eastAsia" w:cs="Times New Roman"/>
                <w:color w:val="FF0000"/>
                <w:spacing w:val="-4"/>
                <w:sz w:val="21"/>
                <w:szCs w:val="21"/>
                <w:lang w:val="en-US" w:eastAsia="zh-CN"/>
              </w:rPr>
              <w:t>化粪池内粪水经</w:t>
            </w:r>
            <w:r>
              <w:rPr>
                <w:rFonts w:hint="eastAsia" w:cs="Times New Roman"/>
                <w:color w:val="auto"/>
                <w:spacing w:val="-4"/>
                <w:sz w:val="21"/>
                <w:szCs w:val="21"/>
                <w:lang w:val="en-US" w:eastAsia="zh-CN"/>
              </w:rPr>
              <w:t>固液分离器将猪粪分离后</w:t>
            </w:r>
            <w:r>
              <w:rPr>
                <w:rFonts w:hint="default" w:ascii="Times New Roman" w:hAnsi="Times New Roman" w:eastAsia="宋体" w:cs="Times New Roman"/>
                <w:color w:val="auto"/>
                <w:spacing w:val="-4"/>
                <w:sz w:val="21"/>
                <w:szCs w:val="21"/>
              </w:rPr>
              <w:t>，猪尿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pacing w:val="-4"/>
                <w:sz w:val="21"/>
                <w:szCs w:val="21"/>
              </w:rPr>
            </w:pPr>
            <w:r>
              <w:rPr>
                <w:rFonts w:hint="eastAsia" w:cs="Times New Roman"/>
                <w:color w:val="FF0000"/>
                <w:lang w:eastAsia="zh-CN"/>
              </w:rPr>
              <w:t>猪舍粪污管道冲洗废水</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pacing w:val="-4"/>
                <w:sz w:val="21"/>
                <w:szCs w:val="21"/>
              </w:rPr>
            </w:pPr>
            <w:r>
              <w:rPr>
                <w:rFonts w:hint="eastAsia" w:cs="Times New Roman"/>
                <w:color w:val="FF0000"/>
                <w:lang w:eastAsia="zh-CN"/>
              </w:rPr>
              <w:t>猪舍粪污管道冲洗废水通过粪污管道坡度自流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default" w:ascii="Times New Roman" w:hAnsi="Times New Roman" w:eastAsia="宋体" w:cs="Times New Roman"/>
                <w:color w:val="FF0000"/>
                <w:spacing w:val="-4"/>
                <w:sz w:val="21"/>
                <w:szCs w:val="21"/>
              </w:rPr>
              <w:t>，</w:t>
            </w:r>
            <w:r>
              <w:rPr>
                <w:rFonts w:hint="eastAsia" w:cs="Times New Roman"/>
                <w:color w:val="FF0000"/>
                <w:spacing w:val="-4"/>
                <w:sz w:val="21"/>
                <w:szCs w:val="21"/>
                <w:lang w:val="en-US" w:eastAsia="zh-CN"/>
              </w:rPr>
              <w:t>化粪池内粪水经固液分离器将猪粪分离后</w:t>
            </w:r>
            <w:r>
              <w:rPr>
                <w:rFonts w:hint="default" w:ascii="Times New Roman" w:hAnsi="Times New Roman" w:eastAsia="宋体" w:cs="Times New Roman"/>
                <w:color w:val="FF0000"/>
                <w:spacing w:val="-4"/>
                <w:sz w:val="21"/>
                <w:szCs w:val="21"/>
              </w:rPr>
              <w:t>，猪尿</w:t>
            </w:r>
            <w:r>
              <w:rPr>
                <w:rFonts w:hint="eastAsia" w:cs="Times New Roman"/>
                <w:color w:val="FF0000"/>
                <w:spacing w:val="-4"/>
                <w:sz w:val="21"/>
                <w:szCs w:val="21"/>
                <w:lang w:val="en-US" w:eastAsia="zh-CN"/>
              </w:rPr>
              <w:t>排入氧化塘</w:t>
            </w:r>
            <w:r>
              <w:rPr>
                <w:rFonts w:hint="default" w:ascii="Times New Roman" w:hAnsi="Times New Roman" w:eastAsia="宋体" w:cs="Times New Roman"/>
                <w:color w:val="FF0000"/>
                <w:spacing w:val="-4"/>
                <w:sz w:val="21"/>
                <w:szCs w:val="21"/>
              </w:rPr>
              <w:t>内发酵6个月，处理后的液肥用于还田</w:t>
            </w:r>
            <w:r>
              <w:rPr>
                <w:rFonts w:hint="default" w:ascii="Times New Roman" w:hAnsi="Times New Roman" w:eastAsia="宋体" w:cs="Times New Roman"/>
                <w:color w:val="auto"/>
                <w:spacing w:val="-4"/>
                <w:sz w:val="21"/>
                <w:szCs w:val="21"/>
              </w:rPr>
              <w:t>猪舍地面采用漏缝地板，</w:t>
            </w:r>
            <w:r>
              <w:rPr>
                <w:rFonts w:hint="eastAsia" w:cs="Times New Roman"/>
                <w:color w:val="auto"/>
                <w:spacing w:val="-4"/>
                <w:sz w:val="21"/>
                <w:szCs w:val="21"/>
                <w:lang w:eastAsia="zh-CN"/>
              </w:rPr>
              <w:t>猪舍粪污管道冲洗废水</w:t>
            </w:r>
            <w:r>
              <w:rPr>
                <w:rFonts w:hint="default" w:ascii="Times New Roman" w:hAnsi="Times New Roman" w:eastAsia="宋体" w:cs="Times New Roman"/>
                <w:color w:val="auto"/>
                <w:spacing w:val="-4"/>
                <w:sz w:val="21"/>
                <w:szCs w:val="21"/>
              </w:rPr>
              <w:t>由猪舍内的地漏落到</w:t>
            </w:r>
            <w:r>
              <w:rPr>
                <w:rFonts w:hint="eastAsia" w:cs="Times New Roman"/>
                <w:color w:val="auto"/>
                <w:spacing w:val="-4"/>
                <w:sz w:val="21"/>
                <w:szCs w:val="21"/>
                <w:lang w:val="en-US" w:eastAsia="zh-CN"/>
              </w:rPr>
              <w:t>化</w:t>
            </w:r>
            <w:r>
              <w:rPr>
                <w:rFonts w:hint="default" w:ascii="Times New Roman" w:hAnsi="Times New Roman" w:eastAsia="宋体" w:cs="Times New Roman"/>
                <w:color w:val="auto"/>
                <w:spacing w:val="-4"/>
                <w:sz w:val="21"/>
                <w:szCs w:val="21"/>
              </w:rPr>
              <w:t>粪池内，</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r>
              <w:rPr>
                <w:rFonts w:hint="eastAsia" w:cs="Times New Roman"/>
                <w:color w:val="auto"/>
                <w:spacing w:val="-4"/>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pacing w:val="-4"/>
                <w:sz w:val="21"/>
                <w:szCs w:val="21"/>
              </w:rPr>
            </w:pPr>
            <w:r>
              <w:rPr>
                <w:rFonts w:hint="eastAsia" w:cs="Times New Roman"/>
                <w:color w:val="FF0000"/>
                <w:spacing w:val="-4"/>
                <w:sz w:val="21"/>
                <w:szCs w:val="21"/>
                <w:lang w:eastAsia="zh-CN"/>
              </w:rPr>
              <w:t>猪舍</w:t>
            </w:r>
            <w:r>
              <w:rPr>
                <w:rFonts w:hint="default" w:ascii="Times New Roman" w:hAnsi="Times New Roman" w:eastAsia="宋体" w:cs="Times New Roman"/>
                <w:color w:val="FF0000"/>
                <w:spacing w:val="-4"/>
                <w:sz w:val="21"/>
                <w:szCs w:val="21"/>
              </w:rPr>
              <w:t>降温水帘系统用水</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eastAsia" w:ascii="Times New Roman" w:hAnsi="Times New Roman" w:eastAsia="宋体" w:cs="Times New Roman"/>
                <w:color w:val="auto"/>
                <w:spacing w:val="-4"/>
                <w:sz w:val="21"/>
                <w:szCs w:val="21"/>
                <w:lang w:eastAsia="zh-CN"/>
              </w:rPr>
            </w:pPr>
            <w:r>
              <w:rPr>
                <w:rFonts w:hint="default" w:ascii="Times New Roman" w:hAnsi="Times New Roman" w:eastAsia="宋体" w:cs="Times New Roman"/>
                <w:color w:val="FF0000"/>
                <w:spacing w:val="-4"/>
                <w:sz w:val="21"/>
                <w:szCs w:val="21"/>
              </w:rPr>
              <w:t>循环使用，无废水排放</w:t>
            </w:r>
            <w:r>
              <w:rPr>
                <w:rFonts w:hint="eastAsia" w:ascii="Times New Roman" w:hAnsi="Times New Roman" w:cs="Times New Roman"/>
                <w:color w:val="FF0000"/>
                <w:spacing w:val="-4"/>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生活废水</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4"/>
                <w:sz w:val="21"/>
                <w:szCs w:val="21"/>
              </w:rPr>
              <w:t>生活污水</w:t>
            </w:r>
            <w:r>
              <w:rPr>
                <w:rFonts w:hint="eastAsia" w:cs="Times New Roman"/>
                <w:color w:val="auto"/>
                <w:spacing w:val="-4"/>
                <w:sz w:val="21"/>
                <w:szCs w:val="21"/>
                <w:lang w:val="en-US" w:eastAsia="zh-CN"/>
              </w:rPr>
              <w:t>排入</w:t>
            </w:r>
            <w:r>
              <w:rPr>
                <w:rFonts w:hint="default" w:ascii="Times New Roman" w:hAnsi="Times New Roman" w:eastAsia="宋体" w:cs="Times New Roman"/>
                <w:color w:val="auto"/>
                <w:spacing w:val="-4"/>
                <w:sz w:val="21"/>
                <w:szCs w:val="21"/>
              </w:rPr>
              <w:t>化粪池</w:t>
            </w:r>
            <w:r>
              <w:rPr>
                <w:rFonts w:hint="eastAsia" w:cs="Times New Roman"/>
                <w:color w:val="auto"/>
                <w:spacing w:val="-4"/>
                <w:sz w:val="21"/>
                <w:szCs w:val="21"/>
                <w:lang w:eastAsia="zh-CN"/>
              </w:rPr>
              <w:t>，</w:t>
            </w:r>
            <w:r>
              <w:rPr>
                <w:rFonts w:hint="eastAsia" w:cs="Times New Roman"/>
                <w:color w:val="auto"/>
                <w:spacing w:val="-4"/>
                <w:sz w:val="21"/>
                <w:szCs w:val="21"/>
                <w:lang w:val="en-US" w:eastAsia="zh-CN"/>
              </w:rPr>
              <w:t>经固液分离器分离后，</w:t>
            </w:r>
            <w:r>
              <w:rPr>
                <w:rFonts w:hint="default" w:ascii="Times New Roman" w:hAnsi="Times New Roman" w:eastAsia="宋体" w:cs="Times New Roman"/>
                <w:color w:val="auto"/>
                <w:spacing w:val="-4"/>
                <w:sz w:val="21"/>
                <w:szCs w:val="21"/>
              </w:rPr>
              <w:t>与猪尿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洗消中心洗车废水、消毒废水</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洗消中心洗车废水、消毒废水经沉淀池处理后，上清液循环使用，不外排</w:t>
            </w:r>
            <w:r>
              <w:rPr>
                <w:rFonts w:hint="eastAsia" w:cs="Times New Roman"/>
                <w:color w:val="auto"/>
                <w:spacing w:val="-4"/>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锅炉排水</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电锅炉定期排水用于道路抑尘</w:t>
            </w:r>
            <w:r>
              <w:rPr>
                <w:rFonts w:hint="eastAsia" w:cs="Times New Roman"/>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restar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固体废物</w:t>
            </w: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猪粪</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4"/>
                <w:sz w:val="21"/>
                <w:szCs w:val="21"/>
              </w:rPr>
              <w:t>猪舍地面采用漏缝地板，猪粪和猪尿依靠重力作用落到</w:t>
            </w:r>
            <w:r>
              <w:rPr>
                <w:rFonts w:hint="eastAsia" w:cs="Times New Roman"/>
                <w:color w:val="auto"/>
                <w:spacing w:val="-4"/>
                <w:sz w:val="21"/>
                <w:szCs w:val="21"/>
                <w:lang w:val="en-US" w:eastAsia="zh-CN"/>
              </w:rPr>
              <w:t>化</w:t>
            </w:r>
            <w:r>
              <w:rPr>
                <w:rFonts w:hint="default" w:ascii="Times New Roman" w:hAnsi="Times New Roman" w:eastAsia="宋体" w:cs="Times New Roman"/>
                <w:color w:val="auto"/>
                <w:spacing w:val="-4"/>
                <w:sz w:val="21"/>
                <w:szCs w:val="21"/>
              </w:rPr>
              <w:t>粪池内，</w:t>
            </w:r>
            <w:r>
              <w:rPr>
                <w:rFonts w:hint="eastAsia" w:cs="Times New Roman"/>
                <w:color w:val="auto"/>
                <w:spacing w:val="-4"/>
                <w:sz w:val="21"/>
                <w:szCs w:val="21"/>
                <w:lang w:val="en-US" w:eastAsia="zh-CN"/>
              </w:rPr>
              <w:t>经固液分离器将猪粪分离后，猪粪储存于晾粪台，</w:t>
            </w:r>
            <w:r>
              <w:rPr>
                <w:rFonts w:hint="eastAsia" w:cs="Times New Roman"/>
                <w:color w:val="auto"/>
                <w:sz w:val="21"/>
                <w:szCs w:val="21"/>
                <w:lang w:eastAsia="zh-CN"/>
              </w:rPr>
              <w:t>出售有机肥生产厂家进行资源化利用；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病死猪</w:t>
            </w:r>
          </w:p>
        </w:tc>
        <w:tc>
          <w:tcPr>
            <w:tcW w:w="6314" w:type="dxa"/>
            <w:vAlign w:val="center"/>
          </w:tcPr>
          <w:p>
            <w:pPr>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eastAsia="zh-CN"/>
              </w:rPr>
              <w:t>将病死猪填埋于</w:t>
            </w:r>
            <w:r>
              <w:rPr>
                <w:rFonts w:hint="eastAsia"/>
                <w:color w:val="auto"/>
                <w:sz w:val="21"/>
                <w:szCs w:val="21"/>
                <w:lang w:val="en-US" w:eastAsia="zh-CN"/>
              </w:rPr>
              <w:t>2</w:t>
            </w:r>
            <w:r>
              <w:rPr>
                <w:rFonts w:hint="eastAsia"/>
                <w:color w:val="auto"/>
                <w:sz w:val="21"/>
                <w:szCs w:val="21"/>
              </w:rPr>
              <w:t>个安全填埋井（每个规格为</w:t>
            </w:r>
            <w:r>
              <w:rPr>
                <w:rFonts w:hint="eastAsia"/>
                <w:color w:val="auto"/>
                <w:sz w:val="21"/>
                <w:szCs w:val="21"/>
                <w:lang w:val="en-US" w:eastAsia="zh-CN"/>
              </w:rPr>
              <w:t>3.4</w:t>
            </w:r>
            <w:r>
              <w:rPr>
                <w:rFonts w:hint="eastAsia"/>
                <w:color w:val="auto"/>
                <w:sz w:val="21"/>
                <w:szCs w:val="21"/>
              </w:rPr>
              <w:t>m</w:t>
            </w:r>
            <w:r>
              <w:rPr>
                <w:rFonts w:hint="eastAsia"/>
                <w:color w:val="auto"/>
                <w:spacing w:val="-4"/>
                <w:sz w:val="21"/>
                <w:szCs w:val="21"/>
              </w:rPr>
              <w:t>×</w:t>
            </w:r>
            <w:r>
              <w:rPr>
                <w:rFonts w:hint="eastAsia"/>
                <w:color w:val="auto"/>
                <w:spacing w:val="-4"/>
                <w:sz w:val="21"/>
                <w:szCs w:val="21"/>
                <w:lang w:val="en-US" w:eastAsia="zh-CN"/>
              </w:rPr>
              <w:t>3.3</w:t>
            </w:r>
            <w:r>
              <w:rPr>
                <w:rFonts w:hint="eastAsia"/>
                <w:color w:val="auto"/>
                <w:spacing w:val="-4"/>
                <w:sz w:val="21"/>
                <w:szCs w:val="21"/>
              </w:rPr>
              <w:t>m×</w:t>
            </w:r>
            <w:r>
              <w:rPr>
                <w:rFonts w:hint="eastAsia"/>
                <w:color w:val="auto"/>
                <w:spacing w:val="-4"/>
                <w:sz w:val="21"/>
                <w:szCs w:val="21"/>
                <w:lang w:val="en-US" w:eastAsia="zh-CN"/>
              </w:rPr>
              <w:t>3</w:t>
            </w:r>
            <w:r>
              <w:rPr>
                <w:rFonts w:hint="eastAsia"/>
                <w:color w:val="auto"/>
                <w:spacing w:val="-4"/>
                <w:sz w:val="21"/>
                <w:szCs w:val="21"/>
              </w:rPr>
              <w:t>m</w:t>
            </w:r>
            <w:r>
              <w:rPr>
                <w:rFonts w:hint="eastAsia"/>
                <w:color w:val="auto"/>
                <w:sz w:val="21"/>
                <w:szCs w:val="21"/>
              </w:rPr>
              <w:t>），填埋井为混凝土结构，井口加盖密封。进行填埋时，在每次投入猪尸体后，覆盖一层厚度1</w:t>
            </w:r>
            <w:r>
              <w:rPr>
                <w:rFonts w:hint="eastAsia"/>
                <w:color w:val="auto"/>
                <w:sz w:val="21"/>
                <w:szCs w:val="21"/>
                <w:lang w:val="en-US" w:eastAsia="zh-CN"/>
              </w:rPr>
              <w:t>0</w:t>
            </w:r>
            <w:r>
              <w:rPr>
                <w:rFonts w:hint="eastAsia"/>
                <w:color w:val="auto"/>
                <w:sz w:val="21"/>
                <w:szCs w:val="21"/>
              </w:rPr>
              <w:t>cm的熟石灰，井填满后，用粘土填埋压实并封口</w:t>
            </w:r>
            <w:r>
              <w:rPr>
                <w:rFonts w:hint="eastAsia"/>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危险废物</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lang w:bidi="zh-CN"/>
              </w:rPr>
            </w:pPr>
            <w:r>
              <w:rPr>
                <w:rFonts w:hint="default" w:ascii="Times New Roman" w:hAnsi="Times New Roman" w:eastAsia="宋体" w:cs="Times New Roman"/>
                <w:color w:val="auto"/>
                <w:sz w:val="21"/>
                <w:szCs w:val="21"/>
                <w:lang w:bidi="zh-CN"/>
              </w:rPr>
              <w:t>项目运营过程产生的医疗垃圾为危险废物，封闭包装后分区存放危险废物暂存间后交由有资质单位处理</w:t>
            </w:r>
            <w:r>
              <w:rPr>
                <w:rFonts w:hint="eastAsia" w:cs="Times New Roman"/>
                <w:color w:val="auto"/>
                <w:sz w:val="21"/>
                <w:szCs w:val="21"/>
                <w:lang w:bidi="zh-CN"/>
              </w:rPr>
              <w:t>；</w:t>
            </w:r>
          </w:p>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kern w:val="2"/>
                <w:sz w:val="21"/>
                <w:szCs w:val="21"/>
                <w:lang w:val="en-US" w:eastAsia="zh-CN" w:bidi="zh-CN"/>
              </w:rPr>
            </w:pPr>
            <w:r>
              <w:rPr>
                <w:rFonts w:hint="default" w:ascii="Times New Roman" w:hAnsi="Times New Roman" w:eastAsia="宋体" w:cs="Times New Roman"/>
                <w:color w:val="auto"/>
                <w:sz w:val="21"/>
                <w:szCs w:val="21"/>
              </w:rPr>
              <w:t>新建1座危险废物暂存间（建筑面积10m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），内部分隔为医疗废物暂存间及其他暂存间</w:t>
            </w:r>
            <w:r>
              <w:rPr>
                <w:rFonts w:hint="eastAsia" w:cs="Times New Roman"/>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废离子树脂</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eastAsia" w:cs="Times New Roman"/>
                <w:color w:val="auto"/>
                <w:sz w:val="21"/>
                <w:szCs w:val="21"/>
                <w:lang w:bidi="zh-CN"/>
              </w:rPr>
              <w:t>场区</w:t>
            </w:r>
            <w:r>
              <w:rPr>
                <w:rFonts w:hint="default" w:ascii="Times New Roman" w:hAnsi="Times New Roman" w:eastAsia="宋体" w:cs="Times New Roman"/>
                <w:color w:val="auto"/>
                <w:sz w:val="21"/>
                <w:szCs w:val="21"/>
                <w:lang w:bidi="zh-CN"/>
              </w:rPr>
              <w:t>设置垃圾桶分类收集，</w:t>
            </w:r>
            <w:r>
              <w:rPr>
                <w:rFonts w:hint="eastAsia" w:cs="Times New Roman"/>
                <w:color w:val="auto"/>
                <w:sz w:val="21"/>
                <w:szCs w:val="21"/>
                <w:lang w:bidi="zh-CN"/>
              </w:rPr>
              <w:t>由厂家回收</w:t>
            </w:r>
            <w:r>
              <w:rPr>
                <w:rFonts w:hint="eastAsia" w:cs="Times New Roman"/>
                <w:color w:val="auto"/>
                <w:sz w:val="21"/>
                <w:szCs w:val="21"/>
                <w:lang w:bidi="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生活垃圾</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bidi="zh-CN"/>
              </w:rPr>
              <w:t>场区</w:t>
            </w:r>
            <w:r>
              <w:rPr>
                <w:rFonts w:hint="default" w:ascii="Times New Roman" w:hAnsi="Times New Roman" w:eastAsia="宋体" w:cs="Times New Roman"/>
                <w:color w:val="auto"/>
                <w:sz w:val="21"/>
                <w:szCs w:val="21"/>
                <w:lang w:bidi="zh-CN"/>
              </w:rPr>
              <w:t>设置垃圾桶分类收集，清运到环卫部门指定的地点集中处理</w:t>
            </w:r>
            <w:r>
              <w:rPr>
                <w:rFonts w:hint="eastAsia" w:cs="Times New Roman"/>
                <w:color w:val="auto"/>
                <w:sz w:val="21"/>
                <w:szCs w:val="21"/>
                <w:lang w:bidi="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bCs/>
                <w:color w:val="auto"/>
                <w:sz w:val="21"/>
                <w:szCs w:val="21"/>
              </w:rPr>
              <w:t>噪声</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52" w:firstLineChars="200"/>
              <w:jc w:val="left"/>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8"/>
                <w:sz w:val="21"/>
                <w:szCs w:val="21"/>
              </w:rPr>
              <w:t>采取减振、隔声、合理布局等降噪措施</w:t>
            </w:r>
            <w:r>
              <w:rPr>
                <w:rFonts w:hint="eastAsia" w:cs="Times New Roman"/>
                <w:color w:val="auto"/>
                <w:spacing w:val="8"/>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restar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地下水</w:t>
            </w: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地下水监控井</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FF0000"/>
                <w:sz w:val="21"/>
                <w:szCs w:val="21"/>
                <w:lang w:eastAsia="zh-CN"/>
              </w:rPr>
              <w:t>养殖场</w:t>
            </w:r>
            <w:r>
              <w:rPr>
                <w:rFonts w:hint="eastAsia" w:cs="Times New Roman"/>
                <w:color w:val="FF0000"/>
                <w:sz w:val="21"/>
                <w:szCs w:val="21"/>
                <w:lang w:eastAsia="zh-CN"/>
              </w:rPr>
              <w:t>北侧</w:t>
            </w:r>
            <w:r>
              <w:rPr>
                <w:rFonts w:hint="default" w:ascii="Times New Roman" w:hAnsi="Times New Roman" w:eastAsia="宋体" w:cs="Times New Roman"/>
                <w:color w:val="FF0000"/>
                <w:sz w:val="21"/>
                <w:szCs w:val="21"/>
                <w:lang w:eastAsia="zh-CN"/>
              </w:rPr>
              <w:t>设置</w:t>
            </w:r>
            <w:r>
              <w:rPr>
                <w:rFonts w:hint="default" w:ascii="Times New Roman" w:hAnsi="Times New Roman" w:eastAsia="宋体" w:cs="Times New Roman"/>
                <w:color w:val="FF0000"/>
                <w:sz w:val="21"/>
                <w:szCs w:val="21"/>
                <w:lang w:val="en-US" w:eastAsia="zh-CN"/>
              </w:rPr>
              <w:t>1个</w:t>
            </w:r>
            <w:r>
              <w:rPr>
                <w:rFonts w:hint="default" w:ascii="Times New Roman" w:hAnsi="Times New Roman" w:eastAsia="宋体" w:cs="Times New Roman"/>
                <w:color w:val="FF0000"/>
                <w:sz w:val="21"/>
                <w:szCs w:val="21"/>
              </w:rPr>
              <w:t>地下水监控井</w:t>
            </w:r>
            <w:r>
              <w:rPr>
                <w:rFonts w:hint="eastAsia" w:cs="Times New Roman"/>
                <w:color w:val="FF0000"/>
                <w:sz w:val="21"/>
                <w:szCs w:val="21"/>
                <w:lang w:eastAsia="zh-CN"/>
              </w:rPr>
              <w:t>（E107°39'3.32'',N40°53'33.28''）；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重点防渗区</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危险废物暂存间等重点防渗区铺设2mm厚HDPE土工膜进行防渗，</w:t>
            </w:r>
            <w:r>
              <w:rPr>
                <w:rFonts w:hint="default" w:ascii="Times New Roman" w:hAnsi="Times New Roman" w:eastAsia="宋体" w:cs="Times New Roman"/>
                <w:color w:val="FF0000"/>
                <w:kern w:val="0"/>
                <w:sz w:val="21"/>
                <w:szCs w:val="21"/>
              </w:rPr>
              <w:t>或可参照</w:t>
            </w:r>
            <w:r>
              <w:rPr>
                <w:rFonts w:hint="default" w:ascii="Times New Roman" w:hAnsi="Times New Roman" w:eastAsia="宋体" w:cs="Times New Roman"/>
                <w:color w:val="FF0000"/>
                <w:sz w:val="21"/>
                <w:szCs w:val="21"/>
              </w:rPr>
              <w:t>《危险废物贮存污染控制标准》（GB18597-2001）</w:t>
            </w:r>
            <w:r>
              <w:rPr>
                <w:rFonts w:hint="default" w:ascii="Times New Roman" w:hAnsi="Times New Roman" w:eastAsia="宋体" w:cs="Times New Roman"/>
                <w:color w:val="FF0000"/>
                <w:kern w:val="0"/>
                <w:sz w:val="21"/>
                <w:szCs w:val="21"/>
              </w:rPr>
              <w:t>中的相关要求进行防渗，</w:t>
            </w:r>
            <w:r>
              <w:rPr>
                <w:rFonts w:hint="default" w:ascii="Times New Roman" w:hAnsi="Times New Roman" w:eastAsia="宋体" w:cs="Times New Roman"/>
                <w:color w:val="FF0000"/>
                <w:sz w:val="21"/>
                <w:szCs w:val="21"/>
              </w:rPr>
              <w:t>渗透系数不大于1.0×10</w:t>
            </w:r>
            <w:r>
              <w:rPr>
                <w:rFonts w:hint="default" w:ascii="Times New Roman" w:hAnsi="Times New Roman" w:eastAsia="宋体" w:cs="Times New Roman"/>
                <w:color w:val="FF0000"/>
                <w:sz w:val="21"/>
                <w:szCs w:val="21"/>
                <w:vertAlign w:val="superscript"/>
              </w:rPr>
              <w:t>-10</w:t>
            </w:r>
            <w:r>
              <w:rPr>
                <w:rFonts w:hint="default" w:ascii="Times New Roman" w:hAnsi="Times New Roman" w:eastAsia="宋体" w:cs="Times New Roman"/>
                <w:color w:val="FF0000"/>
                <w:sz w:val="21"/>
                <w:szCs w:val="21"/>
              </w:rPr>
              <w:t>cm/s</w:t>
            </w:r>
            <w:r>
              <w:rPr>
                <w:rFonts w:hint="eastAsia" w:cs="Times New Roman"/>
                <w:color w:val="FF0000"/>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738" w:type="dxa"/>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247" w:type="dxa"/>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一般防渗区</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368" w:firstLineChars="200"/>
              <w:jc w:val="lef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pacing w:val="-13"/>
                <w:sz w:val="21"/>
                <w:szCs w:val="21"/>
              </w:rPr>
              <w:t>粪污通道、</w:t>
            </w:r>
            <w:r>
              <w:rPr>
                <w:rFonts w:hint="eastAsia" w:cs="Times New Roman"/>
                <w:color w:val="FF0000"/>
                <w:sz w:val="21"/>
                <w:szCs w:val="21"/>
                <w:lang w:val="en-US" w:eastAsia="zh-CN"/>
              </w:rPr>
              <w:t>化粪池、晾粪台和氧化塘</w:t>
            </w:r>
            <w:r>
              <w:rPr>
                <w:rFonts w:hint="default" w:ascii="Times New Roman" w:hAnsi="Times New Roman" w:eastAsia="宋体" w:cs="Times New Roman"/>
                <w:color w:val="FF0000"/>
                <w:spacing w:val="-4"/>
                <w:sz w:val="21"/>
                <w:szCs w:val="21"/>
              </w:rPr>
              <w:t>等构筑物，均</w:t>
            </w:r>
            <w:r>
              <w:rPr>
                <w:rFonts w:hint="default" w:ascii="Times New Roman" w:hAnsi="Times New Roman" w:eastAsia="宋体" w:cs="Times New Roman"/>
                <w:color w:val="FF0000"/>
                <w:spacing w:val="-3"/>
                <w:sz w:val="21"/>
                <w:szCs w:val="21"/>
              </w:rPr>
              <w:t xml:space="preserve">参照《一般工业固体废物贮存、处置场污染控制标准》（GB18599-2001）中的相关要求进行防渗，渗透系数≤1.0×10 </w:t>
            </w:r>
            <w:r>
              <w:rPr>
                <w:rFonts w:hint="default" w:ascii="Times New Roman" w:hAnsi="Times New Roman" w:eastAsia="宋体" w:cs="Times New Roman"/>
                <w:color w:val="FF0000"/>
                <w:spacing w:val="-3"/>
                <w:sz w:val="21"/>
                <w:szCs w:val="21"/>
                <w:vertAlign w:val="superscript"/>
              </w:rPr>
              <w:t>-7</w:t>
            </w:r>
            <w:r>
              <w:rPr>
                <w:rFonts w:hint="default" w:ascii="Times New Roman" w:hAnsi="Times New Roman" w:eastAsia="宋体" w:cs="Times New Roman"/>
                <w:color w:val="FF0000"/>
                <w:spacing w:val="-3"/>
                <w:sz w:val="21"/>
                <w:szCs w:val="21"/>
              </w:rPr>
              <w:t>cm/s；</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47" w:type="dxa"/>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1985" w:type="dxa"/>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生态</w:t>
            </w:r>
          </w:p>
        </w:tc>
        <w:tc>
          <w:tcPr>
            <w:tcW w:w="6314" w:type="dxa"/>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绿化面积</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000m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rPr>
              <w:t>占用地总面积的</w:t>
            </w: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74</w:t>
            </w:r>
            <w:r>
              <w:rPr>
                <w:rFonts w:hint="default" w:ascii="Times New Roman" w:hAnsi="Times New Roman" w:eastAsia="宋体" w:cs="Times New Roman"/>
                <w:color w:val="auto"/>
                <w:sz w:val="21"/>
                <w:szCs w:val="21"/>
              </w:rPr>
              <w:t>%。</w:t>
            </w:r>
          </w:p>
        </w:tc>
      </w:tr>
    </w:tbl>
    <w:p>
      <w:pPr>
        <w:pStyle w:val="6"/>
        <w:rPr>
          <w:rFonts w:hint="default" w:ascii="Times New Roman" w:hAnsi="Times New Roman" w:eastAsia="宋体" w:cs="Times New Roman"/>
          <w:color w:val="auto"/>
        </w:rPr>
      </w:pPr>
      <w:bookmarkStart w:id="194" w:name="_Toc13678"/>
      <w:r>
        <w:rPr>
          <w:rFonts w:hint="default" w:ascii="Times New Roman" w:hAnsi="Times New Roman" w:eastAsia="宋体" w:cs="Times New Roman"/>
          <w:color w:val="auto"/>
        </w:rPr>
        <w:t>3.1.3产品方案</w:t>
      </w:r>
      <w:bookmarkEnd w:id="194"/>
    </w:p>
    <w:p>
      <w:pPr>
        <w:spacing w:line="4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项目产品方案见下表。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表3.1-</w:t>
      </w:r>
      <w:r>
        <w:rPr>
          <w:rFonts w:hint="eastAsia" w:cs="Times New Roman"/>
          <w:color w:val="auto"/>
          <w:lang w:val="en-US" w:eastAsia="zh-CN"/>
        </w:rPr>
        <w:t>4</w:t>
      </w:r>
      <w:r>
        <w:rPr>
          <w:rFonts w:hint="default" w:ascii="Times New Roman" w:hAnsi="Times New Roman" w:eastAsia="宋体" w:cs="Times New Roman"/>
          <w:color w:val="auto"/>
        </w:rPr>
        <w:t xml:space="preserve">    项目产品方案一览表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02"/>
        <w:gridCol w:w="1949"/>
        <w:gridCol w:w="1953"/>
        <w:gridCol w:w="1953"/>
        <w:gridCol w:w="194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tblHeader/>
          <w:jc w:val="center"/>
        </w:trPr>
        <w:tc>
          <w:tcPr>
            <w:tcW w:w="667"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序号</w:t>
            </w:r>
          </w:p>
        </w:tc>
        <w:tc>
          <w:tcPr>
            <w:tcW w:w="108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产品名称</w:t>
            </w:r>
          </w:p>
        </w:tc>
        <w:tc>
          <w:tcPr>
            <w:tcW w:w="1084"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单位</w:t>
            </w:r>
          </w:p>
        </w:tc>
        <w:tc>
          <w:tcPr>
            <w:tcW w:w="1084"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产量</w:t>
            </w:r>
          </w:p>
        </w:tc>
        <w:tc>
          <w:tcPr>
            <w:tcW w:w="108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667"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w:t>
            </w:r>
          </w:p>
        </w:tc>
        <w:tc>
          <w:tcPr>
            <w:tcW w:w="1082" w:type="pct"/>
            <w:vAlign w:val="center"/>
          </w:tcPr>
          <w:p>
            <w:pPr>
              <w:pStyle w:val="58"/>
              <w:rPr>
                <w:rFonts w:hint="default" w:ascii="Times New Roman" w:hAnsi="Times New Roman" w:eastAsia="宋体" w:cs="Times New Roman"/>
                <w:color w:val="auto"/>
              </w:rPr>
            </w:pPr>
            <w:r>
              <w:rPr>
                <w:rFonts w:hint="eastAsia"/>
                <w:color w:val="auto"/>
              </w:rPr>
              <w:t>育肥猪</w:t>
            </w:r>
          </w:p>
        </w:tc>
        <w:tc>
          <w:tcPr>
            <w:tcW w:w="1084" w:type="pct"/>
            <w:vAlign w:val="center"/>
          </w:tcPr>
          <w:p>
            <w:pPr>
              <w:pStyle w:val="58"/>
              <w:rPr>
                <w:rFonts w:hint="default" w:ascii="Times New Roman" w:hAnsi="Times New Roman" w:eastAsia="宋体" w:cs="Times New Roman"/>
                <w:color w:val="auto"/>
              </w:rPr>
            </w:pPr>
            <w:r>
              <w:rPr>
                <w:rFonts w:hint="eastAsia" w:cs="Times New Roman"/>
                <w:color w:val="auto"/>
                <w:lang w:val="en-US" w:eastAsia="zh-CN"/>
              </w:rPr>
              <w:t>头</w:t>
            </w:r>
            <w:r>
              <w:rPr>
                <w:rFonts w:hint="default" w:ascii="Times New Roman" w:hAnsi="Times New Roman" w:eastAsia="宋体" w:cs="Times New Roman"/>
                <w:color w:val="auto"/>
              </w:rPr>
              <w:t>/a</w:t>
            </w:r>
          </w:p>
        </w:tc>
        <w:tc>
          <w:tcPr>
            <w:tcW w:w="1084" w:type="pct"/>
            <w:vAlign w:val="center"/>
          </w:tcPr>
          <w:p>
            <w:pPr>
              <w:pStyle w:val="58"/>
              <w:rPr>
                <w:rFonts w:hint="default" w:ascii="Times New Roman" w:hAnsi="Times New Roman" w:eastAsia="宋体" w:cs="Times New Roman"/>
                <w:color w:val="auto"/>
                <w:lang w:val="en-US" w:eastAsia="zh-CN"/>
              </w:rPr>
            </w:pPr>
            <w:r>
              <w:rPr>
                <w:rFonts w:hint="eastAsia" w:cs="Times New Roman"/>
                <w:color w:val="FF0000"/>
                <w:lang w:val="en-US" w:eastAsia="zh-CN"/>
              </w:rPr>
              <w:t>20000</w:t>
            </w:r>
          </w:p>
        </w:tc>
        <w:tc>
          <w:tcPr>
            <w:tcW w:w="1080"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外售</w:t>
            </w:r>
          </w:p>
        </w:tc>
      </w:tr>
    </w:tbl>
    <w:p>
      <w:pPr>
        <w:pStyle w:val="6"/>
        <w:pageBreakBefore w:val="0"/>
        <w:widowControl w:val="0"/>
        <w:kinsoku/>
        <w:wordWrap/>
        <w:overflowPunct/>
        <w:topLinePunct/>
        <w:autoSpaceDE w:val="0"/>
        <w:autoSpaceDN/>
        <w:bidi w:val="0"/>
        <w:spacing w:line="480" w:lineRule="exact"/>
        <w:textAlignment w:val="auto"/>
        <w:rPr>
          <w:rFonts w:hint="default" w:ascii="Times New Roman" w:hAnsi="Times New Roman" w:eastAsia="宋体" w:cs="Times New Roman"/>
          <w:color w:val="auto"/>
        </w:rPr>
      </w:pPr>
      <w:bookmarkStart w:id="195" w:name="_Toc18108"/>
      <w:r>
        <w:rPr>
          <w:rFonts w:hint="default" w:ascii="Times New Roman" w:hAnsi="Times New Roman" w:eastAsia="宋体" w:cs="Times New Roman"/>
          <w:color w:val="auto"/>
        </w:rPr>
        <w:t>3.1.4主要原辅料</w:t>
      </w:r>
      <w:r>
        <w:rPr>
          <w:rFonts w:hint="eastAsia" w:cs="Times New Roman"/>
          <w:color w:val="auto"/>
          <w:lang w:eastAsia="zh-CN"/>
        </w:rPr>
        <w:t>、</w:t>
      </w:r>
      <w:r>
        <w:rPr>
          <w:rFonts w:hint="default" w:ascii="Times New Roman" w:hAnsi="Times New Roman" w:eastAsia="宋体" w:cs="Times New Roman"/>
          <w:color w:val="auto"/>
        </w:rPr>
        <w:t>能源消耗</w:t>
      </w:r>
      <w:bookmarkEnd w:id="195"/>
    </w:p>
    <w:p>
      <w:pPr>
        <w:pageBreakBefore w:val="0"/>
        <w:widowControl w:val="0"/>
        <w:kinsoku/>
        <w:wordWrap/>
        <w:overflowPunct/>
        <w:topLinePunct/>
        <w:autoSpaceDE w:val="0"/>
        <w:autoSpaceDN/>
        <w:bidi w:val="0"/>
        <w:spacing w:line="480" w:lineRule="exact"/>
        <w:ind w:firstLine="480"/>
        <w:textAlignment w:val="auto"/>
        <w:rPr>
          <w:rFonts w:hint="default" w:eastAsia="宋体"/>
          <w:color w:val="auto"/>
          <w:sz w:val="24"/>
          <w:lang w:val="en-US" w:eastAsia="zh-CN"/>
        </w:rPr>
      </w:pPr>
      <w:r>
        <w:rPr>
          <w:rFonts w:hint="eastAsia"/>
          <w:color w:val="FF0000"/>
          <w:sz w:val="24"/>
        </w:rPr>
        <w:t>本项目所用饲料全部来自于外购成品配合饲料，场内不涉及饲料搅拌加工</w:t>
      </w:r>
      <w:r>
        <w:rPr>
          <w:rFonts w:hint="eastAsia"/>
          <w:color w:val="FF0000"/>
          <w:sz w:val="24"/>
          <w:lang w:eastAsia="zh-CN"/>
        </w:rPr>
        <w:t>，</w:t>
      </w:r>
      <w:r>
        <w:rPr>
          <w:color w:val="FF0000"/>
          <w:sz w:val="24"/>
        </w:rPr>
        <w:t>按照常年存栏量计算项目饲料年消耗量为</w:t>
      </w:r>
      <w:r>
        <w:rPr>
          <w:rFonts w:hint="eastAsia"/>
          <w:color w:val="FF0000"/>
          <w:sz w:val="24"/>
          <w:lang w:val="en-US" w:eastAsia="zh-CN"/>
        </w:rPr>
        <w:t>13067.04</w:t>
      </w:r>
      <w:r>
        <w:rPr>
          <w:color w:val="FF0000"/>
          <w:sz w:val="24"/>
        </w:rPr>
        <w:t>t/a，饲料由</w:t>
      </w:r>
      <w:r>
        <w:rPr>
          <w:rFonts w:hint="eastAsia"/>
          <w:color w:val="FF0000"/>
          <w:sz w:val="24"/>
          <w:lang w:val="en-US" w:eastAsia="zh-CN"/>
        </w:rPr>
        <w:t>内蒙古正大公司</w:t>
      </w:r>
      <w:r>
        <w:rPr>
          <w:color w:val="FF0000"/>
          <w:sz w:val="24"/>
        </w:rPr>
        <w:t>提供养殖</w:t>
      </w:r>
      <w:r>
        <w:rPr>
          <w:rFonts w:hint="eastAsia"/>
          <w:color w:val="FF0000"/>
          <w:sz w:val="24"/>
        </w:rPr>
        <w:t>袋装</w:t>
      </w:r>
      <w:r>
        <w:rPr>
          <w:color w:val="FF0000"/>
          <w:sz w:val="24"/>
        </w:rPr>
        <w:t>饲料（饲料已配置好组分无需再次加工）</w:t>
      </w:r>
      <w:r>
        <w:rPr>
          <w:rFonts w:hint="eastAsia"/>
          <w:color w:val="FF0000"/>
          <w:sz w:val="24"/>
        </w:rPr>
        <w:t>，汽运进场，直接储存于各猪舍</w:t>
      </w:r>
      <w:r>
        <w:rPr>
          <w:rFonts w:hint="eastAsia"/>
          <w:color w:val="FF0000"/>
          <w:sz w:val="24"/>
          <w:lang w:val="en-US" w:eastAsia="zh-CN"/>
        </w:rPr>
        <w:t>旁饲料塔</w:t>
      </w:r>
      <w:r>
        <w:rPr>
          <w:rFonts w:hint="eastAsia"/>
          <w:color w:val="FF0000"/>
          <w:sz w:val="24"/>
        </w:rPr>
        <w:t>内</w:t>
      </w:r>
      <w:r>
        <w:rPr>
          <w:color w:val="FF0000"/>
          <w:sz w:val="24"/>
        </w:rPr>
        <w:t>，并装备斜槽定时下放饲料饲养生猪，能够满足生产需要</w:t>
      </w:r>
      <w:r>
        <w:rPr>
          <w:rFonts w:hint="eastAsia"/>
          <w:color w:val="auto"/>
          <w:sz w:val="24"/>
          <w:lang w:val="en-US" w:eastAsia="zh-CN"/>
        </w:rPr>
        <w:t>。</w:t>
      </w:r>
    </w:p>
    <w:p>
      <w:pPr>
        <w:pageBreakBefore w:val="0"/>
        <w:widowControl w:val="0"/>
        <w:kinsoku/>
        <w:wordWrap/>
        <w:overflowPunct/>
        <w:topLinePunct/>
        <w:autoSpaceDE w:val="0"/>
        <w:autoSpaceDN/>
        <w:bidi w:val="0"/>
        <w:adjustRightInd w:val="0"/>
        <w:snapToGrid w:val="0"/>
        <w:spacing w:line="480" w:lineRule="exact"/>
        <w:ind w:firstLine="482" w:firstLineChars="200"/>
        <w:jc w:val="center"/>
        <w:textAlignment w:val="auto"/>
        <w:rPr>
          <w:rFonts w:hint="eastAsia"/>
          <w:b/>
          <w:color w:val="FF0000"/>
          <w:sz w:val="24"/>
        </w:rPr>
      </w:pPr>
      <w:r>
        <w:rPr>
          <w:rFonts w:hint="eastAsia"/>
          <w:b/>
          <w:color w:val="FF0000"/>
          <w:sz w:val="24"/>
        </w:rPr>
        <w:t>表3.</w:t>
      </w:r>
      <w:r>
        <w:rPr>
          <w:rFonts w:hint="eastAsia"/>
          <w:b/>
          <w:color w:val="FF0000"/>
          <w:sz w:val="24"/>
          <w:lang w:val="en-US" w:eastAsia="zh-CN"/>
        </w:rPr>
        <w:t>1</w:t>
      </w:r>
      <w:r>
        <w:rPr>
          <w:rFonts w:hint="eastAsia"/>
          <w:b/>
          <w:color w:val="FF0000"/>
          <w:sz w:val="24"/>
        </w:rPr>
        <w:t>-</w:t>
      </w:r>
      <w:r>
        <w:rPr>
          <w:rFonts w:hint="eastAsia"/>
          <w:b/>
          <w:color w:val="FF0000"/>
          <w:sz w:val="24"/>
          <w:lang w:val="en-US" w:eastAsia="zh-CN"/>
        </w:rPr>
        <w:t>5</w:t>
      </w:r>
      <w:r>
        <w:rPr>
          <w:rFonts w:hint="eastAsia"/>
          <w:b/>
          <w:color w:val="FF0000"/>
          <w:sz w:val="24"/>
        </w:rPr>
        <w:t xml:space="preserve">   饲料</w:t>
      </w:r>
      <w:r>
        <w:rPr>
          <w:rFonts w:hint="eastAsia"/>
          <w:b/>
          <w:color w:val="FF0000"/>
          <w:sz w:val="24"/>
          <w:lang w:eastAsia="zh-CN"/>
        </w:rPr>
        <w:t>消耗</w:t>
      </w:r>
      <w:r>
        <w:rPr>
          <w:rFonts w:hint="eastAsia"/>
          <w:b/>
          <w:color w:val="FF0000"/>
          <w:sz w:val="24"/>
        </w:rPr>
        <w:t>表</w:t>
      </w:r>
    </w:p>
    <w:tbl>
      <w:tblPr>
        <w:tblStyle w:val="34"/>
        <w:tblW w:w="9003" w:type="dxa"/>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2" w:space="0"/>
        </w:tblBorders>
        <w:tblLayout w:type="fixed"/>
        <w:tblCellMar>
          <w:top w:w="0" w:type="dxa"/>
          <w:left w:w="108" w:type="dxa"/>
          <w:bottom w:w="0" w:type="dxa"/>
          <w:right w:w="108" w:type="dxa"/>
        </w:tblCellMar>
      </w:tblPr>
      <w:tblGrid>
        <w:gridCol w:w="1310"/>
        <w:gridCol w:w="1310"/>
        <w:gridCol w:w="1311"/>
        <w:gridCol w:w="1312"/>
        <w:gridCol w:w="1312"/>
        <w:gridCol w:w="2448"/>
      </w:tblGrid>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2" w:space="0"/>
          </w:tblBorders>
          <w:tblCellMar>
            <w:top w:w="0" w:type="dxa"/>
            <w:left w:w="108" w:type="dxa"/>
            <w:bottom w:w="0" w:type="dxa"/>
            <w:right w:w="108" w:type="dxa"/>
          </w:tblCellMar>
        </w:tblPrEx>
        <w:trPr>
          <w:trHeight w:val="340" w:hRule="atLeast"/>
          <w:jc w:val="center"/>
        </w:trPr>
        <w:tc>
          <w:tcPr>
            <w:tcW w:w="1310"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eastAsia="zh-CN"/>
              </w:rPr>
            </w:pPr>
            <w:r>
              <w:rPr>
                <w:rFonts w:hint="eastAsia"/>
                <w:color w:val="FF0000"/>
                <w:kern w:val="0"/>
                <w:sz w:val="21"/>
                <w:szCs w:val="21"/>
                <w:lang w:eastAsia="zh-CN"/>
              </w:rPr>
              <w:t>序号</w:t>
            </w:r>
          </w:p>
        </w:tc>
        <w:tc>
          <w:tcPr>
            <w:tcW w:w="1310"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eastAsia="zh-CN"/>
              </w:rPr>
            </w:pPr>
            <w:r>
              <w:rPr>
                <w:rFonts w:hint="eastAsia"/>
                <w:color w:val="FF0000"/>
                <w:kern w:val="0"/>
                <w:sz w:val="21"/>
                <w:szCs w:val="21"/>
                <w:lang w:eastAsia="zh-CN"/>
              </w:rPr>
              <w:t>类型</w:t>
            </w:r>
          </w:p>
        </w:tc>
        <w:tc>
          <w:tcPr>
            <w:tcW w:w="1311"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eastAsia="zh-CN"/>
              </w:rPr>
            </w:pPr>
            <w:r>
              <w:rPr>
                <w:rFonts w:hint="eastAsia"/>
                <w:color w:val="FF0000"/>
                <w:kern w:val="0"/>
                <w:sz w:val="21"/>
                <w:szCs w:val="21"/>
                <w:lang w:eastAsia="zh-CN"/>
              </w:rPr>
              <w:t>名称</w:t>
            </w:r>
          </w:p>
        </w:tc>
        <w:tc>
          <w:tcPr>
            <w:tcW w:w="1312"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eastAsia="zh-CN"/>
              </w:rPr>
            </w:pPr>
            <w:r>
              <w:rPr>
                <w:rFonts w:hint="eastAsia"/>
                <w:color w:val="FF0000"/>
                <w:kern w:val="0"/>
                <w:sz w:val="21"/>
                <w:szCs w:val="21"/>
                <w:lang w:eastAsia="zh-CN"/>
              </w:rPr>
              <w:t>单位</w:t>
            </w:r>
          </w:p>
        </w:tc>
        <w:tc>
          <w:tcPr>
            <w:tcW w:w="1312"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eastAsia="zh-CN"/>
              </w:rPr>
            </w:pPr>
            <w:r>
              <w:rPr>
                <w:rFonts w:hint="eastAsia"/>
                <w:color w:val="FF0000"/>
                <w:kern w:val="0"/>
                <w:sz w:val="21"/>
                <w:szCs w:val="21"/>
                <w:lang w:eastAsia="zh-CN"/>
              </w:rPr>
              <w:t>消耗量</w:t>
            </w:r>
          </w:p>
        </w:tc>
        <w:tc>
          <w:tcPr>
            <w:tcW w:w="2448"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eastAsia="zh-CN"/>
              </w:rPr>
            </w:pPr>
            <w:r>
              <w:rPr>
                <w:rFonts w:hint="eastAsia"/>
                <w:color w:val="FF0000"/>
                <w:kern w:val="0"/>
                <w:sz w:val="21"/>
                <w:szCs w:val="21"/>
                <w:lang w:eastAsia="zh-CN"/>
              </w:rPr>
              <w:t>来源</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2" w:space="0"/>
          </w:tblBorders>
          <w:tblCellMar>
            <w:top w:w="0" w:type="dxa"/>
            <w:left w:w="108" w:type="dxa"/>
            <w:bottom w:w="0" w:type="dxa"/>
            <w:right w:w="108" w:type="dxa"/>
          </w:tblCellMar>
        </w:tblPrEx>
        <w:trPr>
          <w:trHeight w:val="340" w:hRule="atLeast"/>
          <w:jc w:val="center"/>
        </w:trPr>
        <w:tc>
          <w:tcPr>
            <w:tcW w:w="1310"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val="en-US" w:eastAsia="zh-CN"/>
              </w:rPr>
            </w:pPr>
            <w:r>
              <w:rPr>
                <w:rFonts w:hint="eastAsia"/>
                <w:color w:val="FF0000"/>
                <w:kern w:val="0"/>
                <w:sz w:val="21"/>
                <w:szCs w:val="21"/>
                <w:lang w:val="en-US" w:eastAsia="zh-CN"/>
              </w:rPr>
              <w:t>1</w:t>
            </w:r>
          </w:p>
        </w:tc>
        <w:tc>
          <w:tcPr>
            <w:tcW w:w="1310" w:type="dxa"/>
            <w:vMerge w:val="restart"/>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eastAsia="zh-CN"/>
              </w:rPr>
            </w:pPr>
            <w:r>
              <w:rPr>
                <w:rFonts w:hint="eastAsia"/>
                <w:color w:val="FF0000"/>
                <w:kern w:val="0"/>
                <w:sz w:val="21"/>
                <w:szCs w:val="21"/>
                <w:lang w:eastAsia="zh-CN"/>
              </w:rPr>
              <w:t>饲料</w:t>
            </w:r>
          </w:p>
        </w:tc>
        <w:tc>
          <w:tcPr>
            <w:tcW w:w="1311"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kern w:val="0"/>
                <w:sz w:val="21"/>
                <w:szCs w:val="21"/>
                <w:lang w:val="en-US" w:eastAsia="zh-CN"/>
              </w:rPr>
            </w:pPr>
            <w:r>
              <w:rPr>
                <w:rFonts w:hint="eastAsia"/>
                <w:color w:val="FF0000"/>
                <w:kern w:val="0"/>
                <w:sz w:val="21"/>
                <w:szCs w:val="21"/>
                <w:lang w:val="en-US" w:eastAsia="zh-CN"/>
              </w:rPr>
              <w:t>551</w:t>
            </w:r>
          </w:p>
        </w:tc>
        <w:tc>
          <w:tcPr>
            <w:tcW w:w="1312"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kern w:val="0"/>
                <w:sz w:val="21"/>
                <w:szCs w:val="21"/>
                <w:lang w:val="en-US" w:eastAsia="zh-CN"/>
              </w:rPr>
            </w:pPr>
            <w:r>
              <w:rPr>
                <w:rFonts w:hint="eastAsia"/>
                <w:color w:val="FF0000"/>
                <w:kern w:val="0"/>
                <w:sz w:val="21"/>
                <w:szCs w:val="21"/>
                <w:lang w:val="en-US" w:eastAsia="zh-CN"/>
              </w:rPr>
              <w:t>t/a</w:t>
            </w:r>
          </w:p>
        </w:tc>
        <w:tc>
          <w:tcPr>
            <w:tcW w:w="1312"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color w:val="FF0000"/>
                <w:kern w:val="0"/>
                <w:sz w:val="21"/>
                <w:szCs w:val="21"/>
              </w:rPr>
            </w:pPr>
            <w:r>
              <w:rPr>
                <w:rFonts w:hint="eastAsia"/>
                <w:color w:val="FF0000"/>
                <w:kern w:val="0"/>
                <w:sz w:val="21"/>
                <w:szCs w:val="21"/>
              </w:rPr>
              <w:t>4983.16</w:t>
            </w:r>
          </w:p>
        </w:tc>
        <w:tc>
          <w:tcPr>
            <w:tcW w:w="2448"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color w:val="FF0000"/>
                <w:kern w:val="0"/>
                <w:sz w:val="21"/>
                <w:szCs w:val="21"/>
              </w:rPr>
            </w:pPr>
            <w:r>
              <w:rPr>
                <w:rFonts w:hint="eastAsia"/>
                <w:color w:val="FF0000"/>
                <w:sz w:val="21"/>
                <w:szCs w:val="21"/>
                <w:lang w:val="en-US" w:eastAsia="zh-CN"/>
              </w:rPr>
              <w:t>内蒙古正大公司供应</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2" w:space="0"/>
          </w:tblBorders>
          <w:tblCellMar>
            <w:top w:w="0" w:type="dxa"/>
            <w:left w:w="108" w:type="dxa"/>
            <w:bottom w:w="0" w:type="dxa"/>
            <w:right w:w="108" w:type="dxa"/>
          </w:tblCellMar>
        </w:tblPrEx>
        <w:trPr>
          <w:trHeight w:val="340" w:hRule="atLeast"/>
          <w:jc w:val="center"/>
        </w:trPr>
        <w:tc>
          <w:tcPr>
            <w:tcW w:w="1310" w:type="dxa"/>
            <w:tcBorders>
              <w:lef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eastAsia" w:eastAsia="宋体"/>
                <w:color w:val="FF0000"/>
                <w:kern w:val="0"/>
                <w:sz w:val="21"/>
                <w:szCs w:val="21"/>
                <w:lang w:val="en-US" w:eastAsia="zh-CN"/>
              </w:rPr>
            </w:pPr>
            <w:r>
              <w:rPr>
                <w:rFonts w:hint="eastAsia"/>
                <w:color w:val="FF0000"/>
                <w:kern w:val="0"/>
                <w:sz w:val="21"/>
                <w:szCs w:val="21"/>
                <w:lang w:val="en-US" w:eastAsia="zh-CN"/>
              </w:rPr>
              <w:t>2</w:t>
            </w:r>
          </w:p>
        </w:tc>
        <w:tc>
          <w:tcPr>
            <w:tcW w:w="1310" w:type="dxa"/>
            <w:vMerge w:val="continue"/>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color w:val="FF0000"/>
                <w:kern w:val="0"/>
                <w:sz w:val="21"/>
                <w:szCs w:val="21"/>
              </w:rPr>
            </w:pPr>
          </w:p>
        </w:tc>
        <w:tc>
          <w:tcPr>
            <w:tcW w:w="1311"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kern w:val="0"/>
                <w:sz w:val="21"/>
                <w:szCs w:val="21"/>
                <w:lang w:val="en-US" w:eastAsia="zh-CN"/>
              </w:rPr>
            </w:pPr>
            <w:r>
              <w:rPr>
                <w:rFonts w:hint="eastAsia"/>
                <w:color w:val="FF0000"/>
                <w:kern w:val="0"/>
                <w:sz w:val="21"/>
                <w:szCs w:val="21"/>
                <w:lang w:val="en-US" w:eastAsia="zh-CN"/>
              </w:rPr>
              <w:t>552</w:t>
            </w:r>
          </w:p>
        </w:tc>
        <w:tc>
          <w:tcPr>
            <w:tcW w:w="1312"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color w:val="FF0000"/>
                <w:kern w:val="0"/>
                <w:sz w:val="21"/>
                <w:szCs w:val="21"/>
              </w:rPr>
            </w:pPr>
            <w:r>
              <w:rPr>
                <w:rFonts w:hint="eastAsia"/>
                <w:color w:val="FF0000"/>
                <w:kern w:val="0"/>
                <w:sz w:val="21"/>
                <w:szCs w:val="21"/>
                <w:lang w:val="en-US" w:eastAsia="zh-CN"/>
              </w:rPr>
              <w:t>t/a</w:t>
            </w:r>
          </w:p>
        </w:tc>
        <w:tc>
          <w:tcPr>
            <w:tcW w:w="1312" w:type="dxa"/>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color w:val="FF0000"/>
                <w:kern w:val="0"/>
                <w:sz w:val="21"/>
                <w:szCs w:val="21"/>
              </w:rPr>
            </w:pPr>
            <w:r>
              <w:rPr>
                <w:rFonts w:hint="eastAsia"/>
                <w:color w:val="FF0000"/>
                <w:kern w:val="0"/>
                <w:sz w:val="21"/>
                <w:szCs w:val="21"/>
              </w:rPr>
              <w:t>8083.88</w:t>
            </w:r>
          </w:p>
        </w:tc>
        <w:tc>
          <w:tcPr>
            <w:tcW w:w="2448" w:type="dxa"/>
            <w:tcBorders>
              <w:right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color w:val="FF0000"/>
                <w:kern w:val="0"/>
                <w:sz w:val="21"/>
                <w:szCs w:val="21"/>
              </w:rPr>
            </w:pPr>
            <w:r>
              <w:rPr>
                <w:rFonts w:hint="eastAsia"/>
                <w:color w:val="FF0000"/>
                <w:sz w:val="21"/>
                <w:szCs w:val="21"/>
                <w:lang w:val="en-US" w:eastAsia="zh-CN"/>
              </w:rPr>
              <w:t>内蒙古正大公司供应</w:t>
            </w:r>
          </w:p>
        </w:tc>
      </w:tr>
    </w:tbl>
    <w:p>
      <w:pPr>
        <w:keepNext w:val="0"/>
        <w:keepLines w:val="0"/>
        <w:pageBreakBefore w:val="0"/>
        <w:widowControl w:val="0"/>
        <w:kinsoku/>
        <w:wordWrap/>
        <w:overflowPunct/>
        <w:topLinePunct/>
        <w:autoSpaceDE w:val="0"/>
        <w:autoSpaceDN/>
        <w:bidi w:val="0"/>
        <w:adjustRightInd w:val="0"/>
        <w:snapToGrid w:val="0"/>
        <w:spacing w:line="480" w:lineRule="exact"/>
        <w:jc w:val="center"/>
        <w:textAlignment w:val="auto"/>
        <w:rPr>
          <w:rFonts w:hint="eastAsia"/>
          <w:b/>
          <w:color w:val="auto"/>
          <w:sz w:val="24"/>
        </w:rPr>
      </w:pPr>
      <w:r>
        <w:rPr>
          <w:rFonts w:hint="eastAsia"/>
          <w:b/>
          <w:color w:val="auto"/>
          <w:sz w:val="24"/>
        </w:rPr>
        <w:t>表3.</w:t>
      </w:r>
      <w:r>
        <w:rPr>
          <w:rFonts w:hint="eastAsia"/>
          <w:b/>
          <w:color w:val="auto"/>
          <w:sz w:val="24"/>
          <w:lang w:val="en-US" w:eastAsia="zh-CN"/>
        </w:rPr>
        <w:t>1</w:t>
      </w:r>
      <w:r>
        <w:rPr>
          <w:rFonts w:hint="eastAsia"/>
          <w:b/>
          <w:color w:val="auto"/>
          <w:sz w:val="24"/>
        </w:rPr>
        <w:t>-</w:t>
      </w:r>
      <w:r>
        <w:rPr>
          <w:rFonts w:hint="eastAsia"/>
          <w:b/>
          <w:color w:val="auto"/>
          <w:sz w:val="24"/>
          <w:lang w:val="en-US" w:eastAsia="zh-CN"/>
        </w:rPr>
        <w:t xml:space="preserve">6  </w:t>
      </w:r>
      <w:r>
        <w:rPr>
          <w:rFonts w:hint="eastAsia"/>
          <w:b/>
          <w:color w:val="auto"/>
          <w:sz w:val="24"/>
        </w:rPr>
        <w:t xml:space="preserve"> 消毒药及疫苗年用量</w:t>
      </w:r>
    </w:p>
    <w:tbl>
      <w:tblPr>
        <w:tblStyle w:val="34"/>
        <w:tblW w:w="0" w:type="auto"/>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85"/>
        <w:gridCol w:w="3746"/>
        <w:gridCol w:w="2959"/>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5" w:type="dxa"/>
            <w:tcBorders>
              <w:top w:val="single" w:color="000000" w:sz="2"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消毒药名称</w:t>
            </w:r>
          </w:p>
        </w:tc>
        <w:tc>
          <w:tcPr>
            <w:tcW w:w="3746" w:type="dxa"/>
            <w:tcBorders>
              <w:top w:val="single" w:color="000000" w:sz="2"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年用量</w:t>
            </w:r>
            <w:r>
              <w:rPr>
                <w:color w:val="auto"/>
                <w:sz w:val="21"/>
                <w:szCs w:val="18"/>
              </w:rPr>
              <w:t>(</w:t>
            </w:r>
            <w:r>
              <w:rPr>
                <w:rFonts w:hint="eastAsia"/>
                <w:color w:val="auto"/>
                <w:sz w:val="21"/>
                <w:szCs w:val="18"/>
              </w:rPr>
              <w:t>t</w:t>
            </w:r>
            <w:r>
              <w:rPr>
                <w:color w:val="auto"/>
                <w:sz w:val="21"/>
                <w:szCs w:val="18"/>
              </w:rPr>
              <w:t>/a)</w:t>
            </w:r>
          </w:p>
        </w:tc>
        <w:tc>
          <w:tcPr>
            <w:tcW w:w="2959" w:type="dxa"/>
            <w:tcBorders>
              <w:top w:val="single" w:color="000000" w:sz="2" w:space="0"/>
              <w:left w:val="single" w:color="000000" w:sz="4" w:space="0"/>
              <w:bottom w:val="single" w:color="000000" w:sz="4" w:space="0"/>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用途</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疫苗</w:t>
            </w:r>
          </w:p>
        </w:tc>
        <w:tc>
          <w:tcPr>
            <w:tcW w:w="3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int="eastAsia"/>
                <w:color w:val="auto"/>
                <w:sz w:val="21"/>
                <w:szCs w:val="18"/>
              </w:rPr>
              <w:t>0.</w:t>
            </w:r>
            <w:r>
              <w:rPr>
                <w:color w:val="auto"/>
                <w:sz w:val="21"/>
                <w:szCs w:val="18"/>
              </w:rPr>
              <w:t>500</w:t>
            </w:r>
          </w:p>
        </w:tc>
        <w:tc>
          <w:tcPr>
            <w:tcW w:w="2959" w:type="dxa"/>
            <w:tcBorders>
              <w:top w:val="single" w:color="000000" w:sz="4" w:space="0"/>
              <w:left w:val="single" w:color="000000" w:sz="4" w:space="0"/>
              <w:bottom w:val="single" w:color="000000" w:sz="4" w:space="0"/>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防疫</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消毒剂</w:t>
            </w:r>
          </w:p>
        </w:tc>
        <w:tc>
          <w:tcPr>
            <w:tcW w:w="3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color w:val="auto"/>
                <w:sz w:val="21"/>
                <w:szCs w:val="18"/>
              </w:rPr>
              <w:t>3</w:t>
            </w:r>
            <w:r>
              <w:rPr>
                <w:rFonts w:hint="eastAsia"/>
                <w:color w:val="auto"/>
                <w:sz w:val="21"/>
                <w:szCs w:val="18"/>
              </w:rPr>
              <w:t>.</w:t>
            </w:r>
            <w:r>
              <w:rPr>
                <w:color w:val="auto"/>
                <w:sz w:val="21"/>
                <w:szCs w:val="18"/>
              </w:rPr>
              <w:t>400</w:t>
            </w:r>
          </w:p>
        </w:tc>
        <w:tc>
          <w:tcPr>
            <w:tcW w:w="2959" w:type="dxa"/>
            <w:tcBorders>
              <w:top w:val="single" w:color="000000" w:sz="4" w:space="0"/>
              <w:left w:val="single" w:color="000000" w:sz="4" w:space="0"/>
              <w:bottom w:val="single" w:color="000000" w:sz="4" w:space="0"/>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猪场消毒</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兽药</w:t>
            </w:r>
          </w:p>
        </w:tc>
        <w:tc>
          <w:tcPr>
            <w:tcW w:w="37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color w:val="auto"/>
                <w:sz w:val="21"/>
                <w:szCs w:val="18"/>
              </w:rPr>
              <w:t>1</w:t>
            </w:r>
            <w:r>
              <w:rPr>
                <w:rFonts w:hint="eastAsia"/>
                <w:color w:val="auto"/>
                <w:sz w:val="21"/>
                <w:szCs w:val="18"/>
              </w:rPr>
              <w:t>.</w:t>
            </w:r>
            <w:r>
              <w:rPr>
                <w:color w:val="auto"/>
                <w:sz w:val="21"/>
                <w:szCs w:val="18"/>
              </w:rPr>
              <w:t>100</w:t>
            </w:r>
          </w:p>
        </w:tc>
        <w:tc>
          <w:tcPr>
            <w:tcW w:w="2959" w:type="dxa"/>
            <w:tcBorders>
              <w:top w:val="single" w:color="000000" w:sz="4" w:space="0"/>
              <w:left w:val="single" w:color="000000" w:sz="4" w:space="0"/>
              <w:bottom w:val="single" w:color="000000" w:sz="4" w:space="0"/>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auto"/>
                <w:sz w:val="21"/>
                <w:szCs w:val="18"/>
              </w:rPr>
            </w:pPr>
            <w:r>
              <w:rPr>
                <w:rFonts w:hAnsi="宋体"/>
                <w:color w:val="auto"/>
                <w:sz w:val="21"/>
                <w:szCs w:val="18"/>
              </w:rPr>
              <w:t>治疗</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90" w:type="dxa"/>
            <w:gridSpan w:val="3"/>
            <w:tcBorders>
              <w:top w:val="single" w:color="000000" w:sz="4" w:space="0"/>
              <w:left w:val="nil"/>
              <w:bottom w:val="single" w:color="000000" w:sz="2" w:space="0"/>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bCs/>
                <w:color w:val="auto"/>
                <w:sz w:val="21"/>
                <w:szCs w:val="18"/>
              </w:rPr>
            </w:pPr>
            <w:r>
              <w:rPr>
                <w:rFonts w:hint="eastAsia"/>
                <w:bCs/>
                <w:color w:val="auto"/>
                <w:sz w:val="21"/>
                <w:szCs w:val="18"/>
              </w:rPr>
              <w:t>注：本项目使用的消毒液较少，自然挥发、降解，不外排。</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项目动力消耗情况见下表。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表3.1-</w:t>
      </w:r>
      <w:r>
        <w:rPr>
          <w:rFonts w:hint="eastAsia" w:cs="Times New Roman"/>
          <w:color w:val="auto"/>
          <w:lang w:val="en-US" w:eastAsia="zh-CN"/>
        </w:rPr>
        <w:t>7</w:t>
      </w:r>
      <w:r>
        <w:rPr>
          <w:rFonts w:hint="default" w:ascii="Times New Roman" w:hAnsi="Times New Roman" w:eastAsia="宋体" w:cs="Times New Roman"/>
          <w:color w:val="auto"/>
        </w:rPr>
        <w:t xml:space="preserve">    动力消耗一览表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368"/>
        <w:gridCol w:w="1693"/>
        <w:gridCol w:w="2251"/>
        <w:gridCol w:w="169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70"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名称</w:t>
            </w:r>
          </w:p>
        </w:tc>
        <w:tc>
          <w:tcPr>
            <w:tcW w:w="940"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单位</w:t>
            </w:r>
          </w:p>
        </w:tc>
        <w:tc>
          <w:tcPr>
            <w:tcW w:w="1250"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消耗量</w:t>
            </w:r>
          </w:p>
        </w:tc>
        <w:tc>
          <w:tcPr>
            <w:tcW w:w="939"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70"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新鲜水</w:t>
            </w:r>
          </w:p>
        </w:tc>
        <w:tc>
          <w:tcPr>
            <w:tcW w:w="940"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w:t>
            </w:r>
          </w:p>
        </w:tc>
        <w:tc>
          <w:tcPr>
            <w:tcW w:w="1250" w:type="pct"/>
            <w:shd w:val="clear" w:color="auto" w:fill="auto"/>
            <w:vAlign w:val="center"/>
          </w:tcPr>
          <w:p>
            <w:pPr>
              <w:pStyle w:val="58"/>
              <w:rPr>
                <w:rFonts w:hint="default" w:ascii="Times New Roman" w:hAnsi="Times New Roman" w:eastAsia="宋体" w:cs="Times New Roman"/>
                <w:color w:val="auto"/>
                <w:lang w:val="en-US" w:eastAsia="zh-CN"/>
              </w:rPr>
            </w:pPr>
            <w:r>
              <w:rPr>
                <w:rFonts w:hint="eastAsia" w:cs="Times New Roman"/>
                <w:color w:val="auto"/>
                <w:lang w:val="en-US" w:eastAsia="zh-CN"/>
              </w:rPr>
              <w:t>27144</w:t>
            </w:r>
          </w:p>
        </w:tc>
        <w:tc>
          <w:tcPr>
            <w:tcW w:w="939"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深井水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70"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电</w:t>
            </w:r>
          </w:p>
        </w:tc>
        <w:tc>
          <w:tcPr>
            <w:tcW w:w="940"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万kwh/a</w:t>
            </w:r>
          </w:p>
        </w:tc>
        <w:tc>
          <w:tcPr>
            <w:tcW w:w="1250" w:type="pct"/>
            <w:shd w:val="clear" w:color="auto" w:fill="auto"/>
            <w:vAlign w:val="center"/>
          </w:tcPr>
          <w:p>
            <w:pPr>
              <w:pStyle w:val="58"/>
              <w:rPr>
                <w:rFonts w:hint="default" w:ascii="Times New Roman" w:hAnsi="Times New Roman" w:eastAsia="宋体" w:cs="Times New Roman"/>
                <w:color w:val="auto"/>
                <w:lang w:val="en-US" w:eastAsia="zh-CN"/>
              </w:rPr>
            </w:pPr>
            <w:r>
              <w:rPr>
                <w:rFonts w:hint="eastAsia" w:cs="Times New Roman"/>
                <w:color w:val="auto"/>
                <w:lang w:val="en-US" w:eastAsia="zh-CN"/>
              </w:rPr>
              <w:t>55</w:t>
            </w:r>
          </w:p>
        </w:tc>
        <w:tc>
          <w:tcPr>
            <w:tcW w:w="939" w:type="pct"/>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外供</w:t>
            </w:r>
          </w:p>
        </w:tc>
      </w:tr>
    </w:tbl>
    <w:p>
      <w:pPr>
        <w:pStyle w:val="6"/>
        <w:rPr>
          <w:rFonts w:hint="default" w:ascii="Times New Roman" w:hAnsi="Times New Roman" w:eastAsia="宋体" w:cs="Times New Roman"/>
          <w:color w:val="auto"/>
        </w:rPr>
      </w:pPr>
      <w:bookmarkStart w:id="196" w:name="_Toc4244"/>
      <w:r>
        <w:rPr>
          <w:rFonts w:hint="default" w:ascii="Times New Roman" w:hAnsi="Times New Roman" w:eastAsia="宋体" w:cs="Times New Roman"/>
          <w:color w:val="auto"/>
        </w:rPr>
        <w:t>3.1.5主要设备</w:t>
      </w:r>
      <w:bookmarkEnd w:id="19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项目主要生产设备、设施见表3.1-</w:t>
      </w:r>
      <w:r>
        <w:rPr>
          <w:rFonts w:hint="eastAsia" w:cs="Times New Roman"/>
          <w:color w:val="auto"/>
          <w:lang w:val="en-US" w:eastAsia="zh-CN"/>
        </w:rPr>
        <w:t>8</w:t>
      </w:r>
      <w:r>
        <w:rPr>
          <w:rFonts w:hint="default" w:ascii="Times New Roman" w:hAnsi="Times New Roman" w:eastAsia="宋体" w:cs="Times New Roman"/>
          <w:color w:val="auto"/>
        </w:rPr>
        <w:t>。</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表3.1-</w:t>
      </w:r>
      <w:r>
        <w:rPr>
          <w:rFonts w:hint="eastAsia" w:cs="Times New Roman"/>
          <w:color w:val="auto"/>
          <w:lang w:val="en-US" w:eastAsia="zh-CN"/>
        </w:rPr>
        <w:t>8</w:t>
      </w:r>
      <w:r>
        <w:rPr>
          <w:rFonts w:hint="default" w:ascii="Times New Roman" w:hAnsi="Times New Roman" w:eastAsia="宋体" w:cs="Times New Roman"/>
          <w:color w:val="auto"/>
        </w:rPr>
        <w:t xml:space="preserve">   主要生产设备、设施一览表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03"/>
        <w:gridCol w:w="5390"/>
        <w:gridCol w:w="1205"/>
        <w:gridCol w:w="120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rPr>
            </w:pPr>
            <w:r>
              <w:rPr>
                <w:rFonts w:hint="default"/>
                <w:color w:val="FF0000"/>
                <w:sz w:val="21"/>
                <w:szCs w:val="21"/>
              </w:rPr>
              <w:t>序号</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rPr>
            </w:pPr>
            <w:r>
              <w:rPr>
                <w:rFonts w:hint="default"/>
                <w:color w:val="FF0000"/>
                <w:sz w:val="21"/>
                <w:szCs w:val="21"/>
              </w:rPr>
              <w:t>设备名称</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rPr>
            </w:pPr>
            <w:r>
              <w:rPr>
                <w:rFonts w:hint="default"/>
                <w:color w:val="FF0000"/>
                <w:sz w:val="21"/>
                <w:szCs w:val="21"/>
              </w:rPr>
              <w:t>单位</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rPr>
            </w:pPr>
            <w:r>
              <w:rPr>
                <w:rFonts w:hint="default"/>
                <w:color w:val="FF0000"/>
                <w:sz w:val="21"/>
                <w:szCs w:val="21"/>
              </w:rPr>
              <w:t>数量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rPr>
              <w:t>1</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料线系统</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套</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rPr>
              <w:t>2</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eastAsia="zh-CN"/>
              </w:rPr>
            </w:pPr>
            <w:r>
              <w:rPr>
                <w:rFonts w:hint="eastAsia"/>
                <w:color w:val="FF0000"/>
                <w:sz w:val="21"/>
                <w:szCs w:val="21"/>
                <w:lang w:val="en-US" w:eastAsia="zh-CN"/>
              </w:rPr>
              <w:t>水线系统</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eastAsia="zh-CN"/>
              </w:rPr>
            </w:pPr>
            <w:r>
              <w:rPr>
                <w:rFonts w:hint="eastAsia"/>
                <w:color w:val="FF0000"/>
                <w:sz w:val="21"/>
                <w:szCs w:val="21"/>
                <w:lang w:val="en-US" w:eastAsia="zh-CN"/>
              </w:rPr>
              <w:t>套</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rPr>
              <w:t>3</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eastAsia="zh-CN"/>
              </w:rPr>
            </w:pPr>
            <w:r>
              <w:rPr>
                <w:rFonts w:hint="default"/>
                <w:color w:val="FF0000"/>
                <w:sz w:val="21"/>
                <w:szCs w:val="21"/>
                <w:lang w:eastAsia="zh-CN"/>
              </w:rPr>
              <w:t>猪舍栏位</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个</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若干</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rPr>
              <w:t>4</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eastAsia="zh-CN"/>
              </w:rPr>
            </w:pPr>
            <w:r>
              <w:rPr>
                <w:rFonts w:hint="eastAsia"/>
                <w:color w:val="FF0000"/>
                <w:sz w:val="21"/>
                <w:szCs w:val="21"/>
                <w:lang w:val="en-US" w:eastAsia="zh-CN"/>
              </w:rPr>
              <w:t>污水泵</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eastAsia="zh-CN"/>
              </w:rPr>
            </w:pPr>
            <w:r>
              <w:rPr>
                <w:rFonts w:hint="eastAsia"/>
                <w:color w:val="FF0000"/>
                <w:sz w:val="21"/>
                <w:szCs w:val="21"/>
                <w:lang w:val="en-US" w:eastAsia="zh-CN"/>
              </w:rPr>
              <w:t>套</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rPr>
              <w:t>5</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化粪池</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座</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rPr>
              <w:t>6</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固液分离器</w:t>
            </w:r>
          </w:p>
        </w:tc>
        <w:tc>
          <w:tcPr>
            <w:tcW w:w="669" w:type="pct"/>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lang w:eastAsia="zh-CN"/>
              </w:rPr>
              <w:t>台</w:t>
            </w:r>
          </w:p>
        </w:tc>
        <w:tc>
          <w:tcPr>
            <w:tcW w:w="669" w:type="pct"/>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rPr>
              <w:t>7</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color w:val="FF0000"/>
                <w:sz w:val="21"/>
                <w:szCs w:val="21"/>
                <w:lang w:val="en-US" w:eastAsia="zh-CN"/>
              </w:rPr>
            </w:pPr>
            <w:r>
              <w:rPr>
                <w:rFonts w:hint="eastAsia"/>
                <w:color w:val="FF0000"/>
                <w:sz w:val="21"/>
                <w:szCs w:val="21"/>
                <w:lang w:val="en-US" w:eastAsia="zh-CN"/>
              </w:rPr>
              <w:t>通风系统</w:t>
            </w:r>
          </w:p>
        </w:tc>
        <w:tc>
          <w:tcPr>
            <w:tcW w:w="669" w:type="pct"/>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color w:val="FF0000"/>
                <w:sz w:val="21"/>
                <w:szCs w:val="21"/>
                <w:lang w:val="en-US" w:eastAsia="zh-CN"/>
              </w:rPr>
            </w:pPr>
            <w:r>
              <w:rPr>
                <w:rFonts w:hint="eastAsia"/>
                <w:color w:val="FF0000"/>
                <w:sz w:val="21"/>
                <w:szCs w:val="21"/>
                <w:lang w:val="en-US" w:eastAsia="zh-CN"/>
              </w:rPr>
              <w:t>套</w:t>
            </w:r>
          </w:p>
        </w:tc>
        <w:tc>
          <w:tcPr>
            <w:tcW w:w="669" w:type="pct"/>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default"/>
                <w:color w:val="FF0000"/>
                <w:sz w:val="21"/>
                <w:szCs w:val="21"/>
              </w:rPr>
              <w:t>8</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eastAsia="zh-CN"/>
              </w:rPr>
            </w:pPr>
            <w:r>
              <w:rPr>
                <w:rFonts w:hint="eastAsia"/>
                <w:color w:val="FF0000"/>
                <w:sz w:val="21"/>
                <w:szCs w:val="21"/>
                <w:lang w:eastAsia="zh-CN"/>
              </w:rPr>
              <w:t>降温水帘</w:t>
            </w:r>
            <w:r>
              <w:rPr>
                <w:rFonts w:hint="eastAsia"/>
                <w:color w:val="FF0000"/>
                <w:sz w:val="21"/>
                <w:szCs w:val="21"/>
                <w:lang w:val="en-US" w:eastAsia="zh-CN"/>
              </w:rPr>
              <w:t>系统</w:t>
            </w:r>
          </w:p>
        </w:tc>
        <w:tc>
          <w:tcPr>
            <w:tcW w:w="669" w:type="pct"/>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套</w:t>
            </w:r>
          </w:p>
        </w:tc>
        <w:tc>
          <w:tcPr>
            <w:tcW w:w="669" w:type="pct"/>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9</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eastAsia="zh-CN"/>
              </w:rPr>
            </w:pPr>
            <w:r>
              <w:rPr>
                <w:rFonts w:hint="eastAsia"/>
                <w:color w:val="FF0000"/>
                <w:sz w:val="21"/>
                <w:szCs w:val="21"/>
                <w:lang w:val="en-US" w:eastAsia="zh-CN"/>
              </w:rPr>
              <w:t>氧化塘</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rPr>
            </w:pPr>
            <w:r>
              <w:rPr>
                <w:rFonts w:hint="eastAsia"/>
                <w:color w:val="FF0000"/>
                <w:sz w:val="21"/>
                <w:szCs w:val="21"/>
                <w:lang w:val="en-US" w:eastAsia="zh-CN"/>
              </w:rPr>
              <w:t>座</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10</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color w:val="FF0000"/>
                <w:sz w:val="21"/>
                <w:szCs w:val="21"/>
                <w:lang w:val="en-US" w:eastAsia="zh-CN"/>
              </w:rPr>
            </w:pPr>
            <w:r>
              <w:rPr>
                <w:rFonts w:hint="eastAsia"/>
                <w:color w:val="FF0000"/>
                <w:sz w:val="21"/>
                <w:szCs w:val="21"/>
                <w:lang w:val="en-US" w:eastAsia="zh-CN"/>
              </w:rPr>
              <w:t>抽粪车</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台</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11</w:t>
            </w:r>
          </w:p>
        </w:tc>
        <w:tc>
          <w:tcPr>
            <w:tcW w:w="2993" w:type="pc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铲车</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color w:val="FF0000"/>
                <w:sz w:val="21"/>
                <w:szCs w:val="21"/>
                <w:lang w:val="en-US" w:eastAsia="zh-CN"/>
              </w:rPr>
            </w:pPr>
            <w:r>
              <w:rPr>
                <w:rFonts w:hint="eastAsia"/>
                <w:color w:val="FF0000"/>
                <w:sz w:val="21"/>
                <w:szCs w:val="21"/>
                <w:lang w:val="en-US" w:eastAsia="zh-CN"/>
              </w:rPr>
              <w:t>辆</w:t>
            </w:r>
          </w:p>
        </w:tc>
        <w:tc>
          <w:tcPr>
            <w:tcW w:w="66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2</w:t>
            </w:r>
          </w:p>
        </w:tc>
      </w:tr>
    </w:tbl>
    <w:p>
      <w:pPr>
        <w:pStyle w:val="6"/>
        <w:pageBreakBefore w:val="0"/>
        <w:kinsoku/>
        <w:wordWrap/>
        <w:overflowPunct/>
        <w:topLinePunct/>
        <w:autoSpaceDE w:val="0"/>
        <w:autoSpaceDN/>
        <w:bidi w:val="0"/>
        <w:adjustRightInd/>
        <w:snapToGrid/>
        <w:spacing w:line="480" w:lineRule="exact"/>
        <w:textAlignment w:val="auto"/>
        <w:rPr>
          <w:rFonts w:hint="default" w:ascii="Times New Roman" w:hAnsi="Times New Roman" w:eastAsia="宋体" w:cs="Times New Roman"/>
          <w:color w:val="auto"/>
        </w:rPr>
      </w:pPr>
      <w:bookmarkStart w:id="197" w:name="_Toc30898"/>
      <w:r>
        <w:rPr>
          <w:rFonts w:hint="default" w:ascii="Times New Roman" w:hAnsi="Times New Roman" w:eastAsia="宋体" w:cs="Times New Roman"/>
          <w:color w:val="auto"/>
        </w:rPr>
        <w:t>3.1.6公用工程</w:t>
      </w:r>
      <w:bookmarkEnd w:id="197"/>
    </w:p>
    <w:p>
      <w:pPr>
        <w:pStyle w:val="7"/>
        <w:pageBreakBefore w:val="0"/>
        <w:kinsoku/>
        <w:wordWrap/>
        <w:overflowPunct/>
        <w:topLinePunct/>
        <w:autoSpaceDE w:val="0"/>
        <w:autoSpaceDN/>
        <w:bidi w:val="0"/>
        <w:adjustRightInd/>
        <w:snapToGrid/>
        <w:spacing w:line="48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3.1.6.1给排水</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1、水源</w:t>
      </w:r>
    </w:p>
    <w:p>
      <w:pPr>
        <w:keepNext w:val="0"/>
        <w:keepLines w:val="0"/>
        <w:pageBreakBefore w:val="0"/>
        <w:widowControl/>
        <w:suppressLineNumbers w:val="0"/>
        <w:kinsoku/>
        <w:wordWrap/>
        <w:overflowPunct/>
        <w:topLinePunct/>
        <w:autoSpaceDE w:val="0"/>
        <w:autoSpaceDN/>
        <w:bidi w:val="0"/>
        <w:adjustRightInd/>
        <w:snapToGrid/>
        <w:spacing w:line="480" w:lineRule="exact"/>
        <w:jc w:val="left"/>
        <w:textAlignment w:val="auto"/>
        <w:rPr>
          <w:color w:val="auto"/>
        </w:rPr>
      </w:pPr>
      <w:r>
        <w:rPr>
          <w:rFonts w:hint="default" w:ascii="Times New Roman" w:hAnsi="Times New Roman" w:eastAsia="宋体" w:cs="Times New Roman"/>
          <w:color w:val="auto"/>
        </w:rPr>
        <w:t>生产用水采用地下水供水，水质可满足</w:t>
      </w:r>
      <w:r>
        <w:rPr>
          <w:rFonts w:hint="eastAsia" w:cs="Times New Roman"/>
          <w:color w:val="auto"/>
          <w:lang w:val="en-US" w:eastAsia="zh-CN"/>
        </w:rPr>
        <w:t>养殖</w:t>
      </w:r>
      <w:r>
        <w:rPr>
          <w:rFonts w:hint="default" w:ascii="Times New Roman" w:hAnsi="Times New Roman" w:eastAsia="宋体" w:cs="Times New Roman"/>
          <w:color w:val="auto"/>
        </w:rPr>
        <w:t>用水需求。项目运营期用水主要为</w:t>
      </w:r>
      <w:r>
        <w:rPr>
          <w:rFonts w:hint="eastAsia" w:ascii="宋体" w:hAnsi="宋体" w:eastAsia="宋体" w:cs="宋体"/>
          <w:color w:val="auto"/>
          <w:kern w:val="0"/>
          <w:sz w:val="24"/>
          <w:szCs w:val="24"/>
          <w:lang w:val="en-US" w:eastAsia="zh-CN" w:bidi="ar"/>
        </w:rPr>
        <w:t>猪饮用水、</w:t>
      </w:r>
      <w:r>
        <w:rPr>
          <w:rFonts w:hint="eastAsia" w:cs="Times New Roman"/>
          <w:color w:val="FF0000"/>
          <w:lang w:eastAsia="zh-CN"/>
        </w:rPr>
        <w:t>猪舍降温用水、猪舍粪污管道冲洗用水</w:t>
      </w:r>
      <w:r>
        <w:rPr>
          <w:rFonts w:hint="default" w:ascii="Times New Roman" w:hAnsi="Times New Roman" w:eastAsia="宋体" w:cs="Times New Roman"/>
          <w:color w:val="auto"/>
        </w:rPr>
        <w:t>、</w:t>
      </w:r>
      <w:r>
        <w:rPr>
          <w:rFonts w:hint="eastAsia" w:cs="Times New Roman"/>
          <w:color w:val="auto"/>
          <w:lang w:val="en-US" w:eastAsia="zh-Hans"/>
        </w:rPr>
        <w:t>锅炉用水</w:t>
      </w:r>
      <w:r>
        <w:rPr>
          <w:rFonts w:hint="eastAsia" w:cs="Times New Roman"/>
          <w:color w:val="FF0000"/>
          <w:lang w:eastAsia="zh-CN"/>
        </w:rPr>
        <w:t>、</w:t>
      </w:r>
      <w:r>
        <w:rPr>
          <w:rFonts w:hint="default" w:ascii="Times New Roman" w:hAnsi="Times New Roman" w:eastAsia="宋体" w:cs="Times New Roman"/>
          <w:color w:val="auto"/>
        </w:rPr>
        <w:t>洗消中心清洗及消毒用水</w:t>
      </w:r>
      <w:r>
        <w:rPr>
          <w:rFonts w:hint="eastAsia" w:cs="Times New Roman"/>
          <w:color w:val="auto"/>
          <w:lang w:val="en-US" w:eastAsia="zh-CN"/>
        </w:rPr>
        <w:t>等</w:t>
      </w:r>
      <w:r>
        <w:rPr>
          <w:rFonts w:hint="eastAsia" w:ascii="宋体" w:hAnsi="宋体" w:cs="宋体"/>
          <w:color w:val="auto"/>
          <w:kern w:val="0"/>
          <w:sz w:val="24"/>
          <w:szCs w:val="24"/>
          <w:lang w:val="en-US" w:eastAsia="zh-CN" w:bidi="ar"/>
        </w:rPr>
        <w:t>。</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2、水平衡分析</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w:t>
      </w:r>
      <w:r>
        <w:rPr>
          <w:rFonts w:hint="eastAsia" w:ascii="宋体" w:hAnsi="宋体" w:eastAsia="宋体" w:cs="宋体"/>
          <w:color w:val="auto"/>
          <w:kern w:val="0"/>
          <w:sz w:val="24"/>
          <w:szCs w:val="24"/>
          <w:lang w:val="en-US" w:eastAsia="zh-CN" w:bidi="ar"/>
        </w:rPr>
        <w:t>猪饮用水</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根据企业提供资料</w:t>
      </w:r>
      <w:r>
        <w:rPr>
          <w:rFonts w:hint="default" w:ascii="Times New Roman" w:hAnsi="Times New Roman" w:eastAsia="宋体" w:cs="Times New Roman"/>
          <w:color w:val="auto"/>
          <w:sz w:val="24"/>
          <w:szCs w:val="24"/>
        </w:rPr>
        <w:t>以及参考</w:t>
      </w:r>
      <w:r>
        <w:rPr>
          <w:rFonts w:hint="default" w:ascii="Times New Roman" w:hAnsi="Times New Roman" w:eastAsia="宋体" w:cs="Times New Roman"/>
          <w:color w:val="FF0000"/>
          <w:sz w:val="24"/>
          <w:szCs w:val="24"/>
        </w:rPr>
        <w:t>《生猪健康养殖技术规程》（DB34/T 1133-2010），育肥猪饮水量按照6L/头•日计算，</w:t>
      </w:r>
      <w:r>
        <w:rPr>
          <w:rFonts w:hint="default" w:ascii="Times New Roman" w:hAnsi="Times New Roman" w:eastAsia="宋体" w:cs="Times New Roman"/>
          <w:color w:val="FF0000"/>
        </w:rPr>
        <w:t>本</w:t>
      </w:r>
      <w:r>
        <w:rPr>
          <w:rFonts w:hint="eastAsia" w:cs="Times New Roman"/>
          <w:color w:val="FF0000"/>
          <w:lang w:val="en-US" w:eastAsia="zh-CN"/>
        </w:rPr>
        <w:t>项目</w:t>
      </w:r>
      <w:r>
        <w:rPr>
          <w:rFonts w:hint="default" w:ascii="Times New Roman" w:hAnsi="Times New Roman" w:eastAsia="宋体" w:cs="Times New Roman"/>
          <w:color w:val="FF0000"/>
        </w:rPr>
        <w:t>年存栏总量为</w:t>
      </w:r>
      <w:r>
        <w:rPr>
          <w:rFonts w:hint="eastAsia" w:cs="Times New Roman"/>
          <w:color w:val="FF0000"/>
          <w:lang w:val="en-US" w:eastAsia="zh-CN"/>
        </w:rPr>
        <w:t>88</w:t>
      </w:r>
      <w:r>
        <w:rPr>
          <w:rFonts w:hint="default" w:ascii="Times New Roman" w:hAnsi="Times New Roman" w:eastAsia="宋体" w:cs="Times New Roman"/>
          <w:color w:val="FF0000"/>
        </w:rPr>
        <w:t>00头，故项目育肥猪饮用水水量为</w:t>
      </w:r>
      <w:r>
        <w:rPr>
          <w:rFonts w:hint="eastAsia" w:cs="Times New Roman"/>
          <w:color w:val="FF0000"/>
          <w:lang w:val="en-US" w:eastAsia="zh-CN"/>
        </w:rPr>
        <w:t>52.8</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rPr>
        <w:t>/d（</w:t>
      </w:r>
      <w:r>
        <w:rPr>
          <w:rFonts w:hint="eastAsia" w:cs="Times New Roman"/>
          <w:color w:val="FF0000"/>
          <w:lang w:val="en-US" w:eastAsia="zh-CN"/>
        </w:rPr>
        <w:t>19272</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rPr>
        <w:t>/a）。</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w:t>
      </w:r>
      <w:r>
        <w:rPr>
          <w:rFonts w:hint="eastAsia" w:cs="Times New Roman"/>
          <w:color w:val="FF0000"/>
          <w:sz w:val="24"/>
          <w:szCs w:val="24"/>
          <w:lang w:val="en-US" w:eastAsia="zh-CN"/>
        </w:rPr>
        <w:t>2</w:t>
      </w:r>
      <w:r>
        <w:rPr>
          <w:rFonts w:hint="default" w:ascii="Times New Roman" w:hAnsi="Times New Roman" w:eastAsia="宋体" w:cs="Times New Roman"/>
          <w:color w:val="FF0000"/>
          <w:sz w:val="24"/>
          <w:szCs w:val="24"/>
        </w:rPr>
        <w:t>）</w:t>
      </w:r>
      <w:r>
        <w:rPr>
          <w:rFonts w:hint="eastAsia" w:cs="Times New Roman"/>
          <w:color w:val="FF0000"/>
          <w:sz w:val="24"/>
          <w:szCs w:val="24"/>
          <w:lang w:eastAsia="zh-CN"/>
        </w:rPr>
        <w:t>猪舍降温用水</w:t>
      </w:r>
    </w:p>
    <w:p>
      <w:pPr>
        <w:keepNext w:val="0"/>
        <w:keepLines w:val="0"/>
        <w:widowControl/>
        <w:suppressLineNumbers w:val="0"/>
        <w:jc w:val="left"/>
        <w:rPr>
          <w:color w:val="FF0000"/>
          <w:sz w:val="24"/>
          <w:szCs w:val="24"/>
        </w:rPr>
      </w:pPr>
      <w:r>
        <w:rPr>
          <w:rFonts w:hint="eastAsia" w:ascii="宋体" w:hAnsi="宋体" w:eastAsia="宋体" w:cs="宋体"/>
          <w:color w:val="FF0000"/>
          <w:kern w:val="0"/>
          <w:sz w:val="24"/>
          <w:szCs w:val="24"/>
          <w:lang w:val="en-US" w:eastAsia="zh-CN" w:bidi="ar"/>
        </w:rPr>
        <w:t>夏季猪舍采用水帘系统对猪舍进行降温处理，</w:t>
      </w:r>
      <w:r>
        <w:rPr>
          <w:rFonts w:hint="eastAsia" w:ascii="宋体" w:hAnsi="宋体" w:cs="宋体"/>
          <w:color w:val="FF0000"/>
          <w:kern w:val="0"/>
          <w:sz w:val="24"/>
          <w:szCs w:val="24"/>
          <w:lang w:val="en-US" w:eastAsia="zh-CN" w:bidi="ar"/>
        </w:rPr>
        <w:t>场区</w:t>
      </w:r>
      <w:r>
        <w:rPr>
          <w:rFonts w:hint="eastAsia" w:ascii="宋体" w:hAnsi="宋体" w:eastAsia="宋体" w:cs="宋体"/>
          <w:color w:val="FF0000"/>
          <w:kern w:val="0"/>
          <w:sz w:val="24"/>
          <w:szCs w:val="24"/>
          <w:lang w:val="en-US" w:eastAsia="zh-CN" w:bidi="ar"/>
        </w:rPr>
        <w:t>共计</w:t>
      </w:r>
      <w:r>
        <w:rPr>
          <w:rFonts w:hint="eastAsia" w:ascii="Times New Roman" w:hAnsi="Times New Roman" w:cs="Times New Roman"/>
          <w:color w:val="FF0000"/>
          <w:kern w:val="0"/>
          <w:sz w:val="24"/>
          <w:szCs w:val="24"/>
          <w:lang w:val="en-US" w:eastAsia="zh-CN" w:bidi="ar"/>
        </w:rPr>
        <w:t>8</w:t>
      </w:r>
      <w:r>
        <w:rPr>
          <w:rFonts w:hint="eastAsia" w:ascii="宋体" w:hAnsi="宋体" w:eastAsia="宋体" w:cs="宋体"/>
          <w:color w:val="FF0000"/>
          <w:kern w:val="0"/>
          <w:sz w:val="24"/>
          <w:szCs w:val="24"/>
          <w:lang w:val="en-US" w:eastAsia="zh-CN" w:bidi="ar"/>
        </w:rPr>
        <w:t>个猪舍，配套设置</w:t>
      </w:r>
      <w:r>
        <w:rPr>
          <w:rFonts w:hint="eastAsia" w:ascii="Times New Roman" w:hAnsi="Times New Roman" w:cs="Times New Roman"/>
          <w:color w:val="FF0000"/>
          <w:kern w:val="0"/>
          <w:sz w:val="24"/>
          <w:szCs w:val="24"/>
          <w:lang w:val="en-US" w:eastAsia="zh-CN" w:bidi="ar"/>
        </w:rPr>
        <w:t>8</w:t>
      </w:r>
      <w:r>
        <w:rPr>
          <w:rFonts w:hint="eastAsia" w:ascii="宋体" w:hAnsi="宋体" w:eastAsia="宋体" w:cs="宋体"/>
          <w:color w:val="FF0000"/>
          <w:kern w:val="0"/>
          <w:sz w:val="24"/>
          <w:szCs w:val="24"/>
          <w:lang w:val="en-US" w:eastAsia="zh-CN" w:bidi="ar"/>
        </w:rPr>
        <w:t>套降温水帘设备，降温期大约</w:t>
      </w:r>
      <w:r>
        <w:rPr>
          <w:rFonts w:hint="default" w:ascii="Times New Roman" w:hAnsi="Times New Roman" w:eastAsia="宋体" w:cs="Times New Roman"/>
          <w:color w:val="FF0000"/>
          <w:kern w:val="0"/>
          <w:sz w:val="24"/>
          <w:szCs w:val="24"/>
          <w:lang w:val="en-US" w:eastAsia="zh-CN" w:bidi="ar"/>
        </w:rPr>
        <w:t>60d</w:t>
      </w:r>
      <w:r>
        <w:rPr>
          <w:rFonts w:hint="eastAsia" w:ascii="宋体" w:hAnsi="宋体" w:eastAsia="宋体" w:cs="宋体"/>
          <w:color w:val="FF0000"/>
          <w:kern w:val="0"/>
          <w:sz w:val="24"/>
          <w:szCs w:val="24"/>
          <w:lang w:val="en-US" w:eastAsia="zh-CN" w:bidi="ar"/>
        </w:rPr>
        <w:t>（夏季），运行时间约每天</w:t>
      </w:r>
      <w:r>
        <w:rPr>
          <w:rFonts w:hint="default" w:ascii="Times New Roman" w:hAnsi="Times New Roman" w:eastAsia="宋体" w:cs="Times New Roman"/>
          <w:color w:val="FF0000"/>
          <w:kern w:val="0"/>
          <w:sz w:val="24"/>
          <w:szCs w:val="24"/>
          <w:lang w:val="en-US" w:eastAsia="zh-CN" w:bidi="ar"/>
        </w:rPr>
        <w:t>5</w:t>
      </w:r>
      <w:r>
        <w:rPr>
          <w:rFonts w:hint="eastAsia" w:ascii="宋体" w:hAnsi="宋体" w:eastAsia="宋体" w:cs="宋体"/>
          <w:color w:val="FF0000"/>
          <w:kern w:val="0"/>
          <w:sz w:val="24"/>
          <w:szCs w:val="24"/>
          <w:lang w:val="en-US" w:eastAsia="zh-CN" w:bidi="ar"/>
        </w:rPr>
        <w:t>小时，根据企业提供数据，每套循环水规模为</w:t>
      </w:r>
      <w:r>
        <w:rPr>
          <w:rFonts w:hint="default" w:ascii="Times New Roman" w:hAnsi="Times New Roman" w:eastAsia="宋体" w:cs="Times New Roman"/>
          <w:color w:val="FF0000"/>
          <w:kern w:val="0"/>
          <w:sz w:val="24"/>
          <w:szCs w:val="24"/>
          <w:lang w:val="en-US" w:eastAsia="zh-CN" w:bidi="ar"/>
        </w:rPr>
        <w:t>1.2m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/h</w:t>
      </w:r>
      <w:r>
        <w:rPr>
          <w:rFonts w:hint="eastAsia" w:ascii="宋体" w:hAnsi="宋体" w:eastAsia="宋体" w:cs="宋体"/>
          <w:color w:val="FF0000"/>
          <w:kern w:val="0"/>
          <w:sz w:val="24"/>
          <w:szCs w:val="24"/>
          <w:lang w:val="en-US" w:eastAsia="zh-CN" w:bidi="ar"/>
        </w:rPr>
        <w:t>，水循环利用约</w:t>
      </w:r>
      <w:r>
        <w:rPr>
          <w:rFonts w:hint="default" w:ascii="Times New Roman" w:hAnsi="Times New Roman" w:eastAsia="宋体" w:cs="Times New Roman"/>
          <w:color w:val="FF0000"/>
          <w:kern w:val="0"/>
          <w:sz w:val="24"/>
          <w:szCs w:val="24"/>
          <w:lang w:val="en-US" w:eastAsia="zh-CN" w:bidi="ar"/>
        </w:rPr>
        <w:t>90%</w:t>
      </w:r>
      <w:r>
        <w:rPr>
          <w:rFonts w:hint="eastAsia" w:ascii="宋体" w:hAnsi="宋体" w:eastAsia="宋体" w:cs="宋体"/>
          <w:color w:val="FF0000"/>
          <w:kern w:val="0"/>
          <w:sz w:val="24"/>
          <w:szCs w:val="24"/>
          <w:lang w:val="en-US" w:eastAsia="zh-CN" w:bidi="ar"/>
        </w:rPr>
        <w:t>，一套降温水帘系统新鲜水补水量为</w:t>
      </w:r>
      <w:r>
        <w:rPr>
          <w:rFonts w:hint="default" w:ascii="Times New Roman" w:hAnsi="Times New Roman" w:eastAsia="宋体" w:cs="Times New Roman"/>
          <w:color w:val="FF0000"/>
          <w:kern w:val="0"/>
          <w:sz w:val="24"/>
          <w:szCs w:val="24"/>
          <w:lang w:val="en-US" w:eastAsia="zh-CN" w:bidi="ar"/>
        </w:rPr>
        <w:t>0.6m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ascii="Times New Roman" w:hAnsi="Times New Roman" w:cs="Times New Roman"/>
          <w:color w:val="FF0000"/>
          <w:kern w:val="0"/>
          <w:sz w:val="24"/>
          <w:szCs w:val="24"/>
          <w:lang w:val="en-US" w:eastAsia="zh-CN" w:bidi="ar"/>
        </w:rPr>
        <w:t>8</w:t>
      </w:r>
      <w:r>
        <w:rPr>
          <w:rFonts w:hint="eastAsia" w:ascii="宋体" w:hAnsi="宋体" w:eastAsia="宋体" w:cs="宋体"/>
          <w:color w:val="FF0000"/>
          <w:kern w:val="0"/>
          <w:sz w:val="24"/>
          <w:szCs w:val="24"/>
          <w:lang w:val="en-US" w:eastAsia="zh-CN" w:bidi="ar"/>
        </w:rPr>
        <w:t>套为</w:t>
      </w:r>
      <w:r>
        <w:rPr>
          <w:rFonts w:hint="eastAsia" w:ascii="Times New Roman" w:hAnsi="Times New Roman" w:cs="Times New Roman"/>
          <w:color w:val="FF0000"/>
          <w:kern w:val="0"/>
          <w:sz w:val="24"/>
          <w:szCs w:val="24"/>
          <w:lang w:val="en-US" w:eastAsia="zh-CN" w:bidi="ar"/>
        </w:rPr>
        <w:t>4.8</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，年降温用水量为</w:t>
      </w:r>
      <w:r>
        <w:rPr>
          <w:rFonts w:hint="eastAsia" w:ascii="Times New Roman" w:hAnsi="Times New Roman" w:cs="Times New Roman"/>
          <w:color w:val="FF0000"/>
          <w:kern w:val="0"/>
          <w:sz w:val="24"/>
          <w:szCs w:val="24"/>
          <w:lang w:val="en-US" w:eastAsia="zh-CN" w:bidi="ar"/>
        </w:rPr>
        <w:t>288</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/a</w:t>
      </w:r>
      <w:r>
        <w:rPr>
          <w:rFonts w:hint="eastAsia" w:ascii="宋体" w:hAnsi="宋体" w:eastAsia="宋体" w:cs="宋体"/>
          <w:color w:val="FF0000"/>
          <w:kern w:val="0"/>
          <w:sz w:val="24"/>
          <w:szCs w:val="24"/>
          <w:lang w:val="en-US" w:eastAsia="zh-CN" w:bidi="ar"/>
        </w:rPr>
        <w:t>。</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FF0000"/>
        </w:rPr>
      </w:pPr>
      <w:r>
        <w:rPr>
          <w:rFonts w:hint="default" w:ascii="Times New Roman" w:hAnsi="Times New Roman" w:eastAsia="宋体" w:cs="Times New Roman"/>
          <w:color w:val="FF0000"/>
          <w:sz w:val="24"/>
          <w:szCs w:val="24"/>
        </w:rPr>
        <w:t>（</w:t>
      </w:r>
      <w:r>
        <w:rPr>
          <w:rFonts w:hint="eastAsia" w:cs="Times New Roman"/>
          <w:color w:val="FF0000"/>
          <w:sz w:val="24"/>
          <w:szCs w:val="24"/>
          <w:lang w:val="en-US" w:eastAsia="zh-CN"/>
        </w:rPr>
        <w:t>3</w:t>
      </w:r>
      <w:r>
        <w:rPr>
          <w:rFonts w:hint="default" w:ascii="Times New Roman" w:hAnsi="Times New Roman" w:eastAsia="宋体" w:cs="Times New Roman"/>
          <w:color w:val="FF0000"/>
          <w:sz w:val="24"/>
          <w:szCs w:val="24"/>
        </w:rPr>
        <w:t>）</w:t>
      </w:r>
      <w:r>
        <w:rPr>
          <w:rFonts w:hint="eastAsia" w:cs="Times New Roman"/>
          <w:color w:val="FF0000"/>
          <w:lang w:eastAsia="zh-CN"/>
        </w:rPr>
        <w:t>猪舍粪污管道冲洗用水</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rPr>
        <w:t>本项目育肥猪舍</w:t>
      </w:r>
      <w:r>
        <w:rPr>
          <w:rFonts w:hint="eastAsia" w:ascii="Times New Roman" w:hAnsi="Times New Roman" w:cs="Times New Roman"/>
          <w:color w:val="FF0000"/>
          <w:lang w:eastAsia="zh-CN"/>
        </w:rPr>
        <w:t>下方</w:t>
      </w:r>
      <w:r>
        <w:rPr>
          <w:rFonts w:hint="default" w:ascii="Times New Roman" w:hAnsi="Times New Roman" w:eastAsia="宋体" w:cs="Times New Roman"/>
          <w:color w:val="FF0000"/>
        </w:rPr>
        <w:t>粪污管道</w:t>
      </w:r>
      <w:r>
        <w:rPr>
          <w:rFonts w:hint="eastAsia" w:ascii="Times New Roman" w:hAnsi="Times New Roman" w:cs="Times New Roman"/>
          <w:color w:val="FF0000"/>
          <w:lang w:eastAsia="zh-CN"/>
        </w:rPr>
        <w:t>每天冲洗一次，</w:t>
      </w:r>
      <w:r>
        <w:rPr>
          <w:rFonts w:hint="eastAsia" w:cs="Times New Roman"/>
          <w:color w:val="FF0000"/>
          <w:lang w:eastAsia="zh-CN"/>
        </w:rPr>
        <w:t>单座猪舍粪污管道</w:t>
      </w:r>
      <w:r>
        <w:rPr>
          <w:rFonts w:hint="eastAsia" w:ascii="Times New Roman" w:hAnsi="Times New Roman" w:cs="Times New Roman"/>
          <w:color w:val="FF0000"/>
          <w:lang w:eastAsia="zh-CN"/>
        </w:rPr>
        <w:t>冲洗</w:t>
      </w:r>
      <w:r>
        <w:rPr>
          <w:rFonts w:hint="eastAsia" w:cs="Times New Roman"/>
          <w:color w:val="FF0000"/>
          <w:lang w:val="en-US" w:eastAsia="zh-CN"/>
        </w:rPr>
        <w:t>水用量为2m</w:t>
      </w:r>
      <w:r>
        <w:rPr>
          <w:rFonts w:hint="eastAsia" w:cs="Times New Roman"/>
          <w:color w:val="FF0000"/>
          <w:vertAlign w:val="superscript"/>
          <w:lang w:val="en-US" w:eastAsia="zh-CN"/>
        </w:rPr>
        <w:t>3</w:t>
      </w:r>
      <w:r>
        <w:rPr>
          <w:rFonts w:hint="eastAsia" w:cs="Times New Roman"/>
          <w:color w:val="FF0000"/>
          <w:lang w:val="en-US" w:eastAsia="zh-CN"/>
        </w:rPr>
        <w:t>/d，则8座</w:t>
      </w:r>
      <w:r>
        <w:rPr>
          <w:rFonts w:hint="eastAsia" w:cs="Times New Roman"/>
          <w:color w:val="FF0000"/>
          <w:lang w:eastAsia="zh-CN"/>
        </w:rPr>
        <w:t>猪舍粪污管道冲洗用水量为</w:t>
      </w:r>
      <w:r>
        <w:rPr>
          <w:rFonts w:hint="eastAsia" w:cs="Times New Roman"/>
          <w:color w:val="FF0000"/>
          <w:lang w:val="en-US" w:eastAsia="zh-CN"/>
        </w:rPr>
        <w:t>5840m</w:t>
      </w:r>
      <w:r>
        <w:rPr>
          <w:rFonts w:hint="eastAsia" w:cs="Times New Roman"/>
          <w:color w:val="FF0000"/>
          <w:vertAlign w:val="superscript"/>
          <w:lang w:val="en-US" w:eastAsia="zh-CN"/>
        </w:rPr>
        <w:t>3</w:t>
      </w:r>
      <w:r>
        <w:rPr>
          <w:rFonts w:hint="eastAsia" w:cs="Times New Roman"/>
          <w:color w:val="FF0000"/>
          <w:lang w:val="en-US" w:eastAsia="zh-CN"/>
        </w:rPr>
        <w:t>/a。</w:t>
      </w:r>
    </w:p>
    <w:p>
      <w:pPr>
        <w:pageBreakBefore w:val="0"/>
        <w:kinsoku/>
        <w:wordWrap/>
        <w:overflowPunct/>
        <w:topLinePunct/>
        <w:autoSpaceDE w:val="0"/>
        <w:autoSpaceDN/>
        <w:bidi w:val="0"/>
        <w:adjustRightInd/>
        <w:snapToGrid/>
        <w:spacing w:line="480" w:lineRule="exact"/>
        <w:ind w:firstLine="480"/>
        <w:jc w:val="both"/>
        <w:textAlignment w:val="auto"/>
        <w:rPr>
          <w:rFonts w:hint="eastAsia" w:cs="Times New Roman"/>
          <w:color w:val="auto"/>
          <w:lang w:val="en-US" w:eastAsia="zh-CN"/>
        </w:rPr>
      </w:pPr>
      <w:r>
        <w:rPr>
          <w:rFonts w:hint="default" w:ascii="Times New Roman" w:hAnsi="Times New Roman" w:eastAsia="宋体" w:cs="Times New Roman"/>
          <w:color w:val="FF0000"/>
          <w:sz w:val="24"/>
          <w:szCs w:val="24"/>
        </w:rPr>
        <w:t>（</w:t>
      </w:r>
      <w:r>
        <w:rPr>
          <w:rFonts w:hint="eastAsia" w:cs="Times New Roman"/>
          <w:color w:val="FF0000"/>
          <w:sz w:val="24"/>
          <w:szCs w:val="24"/>
          <w:lang w:val="en-US" w:eastAsia="zh-CN"/>
        </w:rPr>
        <w:t>4</w:t>
      </w:r>
      <w:r>
        <w:rPr>
          <w:rFonts w:hint="default" w:ascii="Times New Roman" w:hAnsi="Times New Roman" w:eastAsia="宋体" w:cs="Times New Roman"/>
          <w:color w:val="FF0000"/>
          <w:sz w:val="24"/>
          <w:szCs w:val="24"/>
        </w:rPr>
        <w:t>）</w:t>
      </w:r>
      <w:r>
        <w:rPr>
          <w:rFonts w:hint="eastAsia" w:cs="Times New Roman"/>
          <w:color w:val="auto"/>
          <w:lang w:val="en-US" w:eastAsia="zh-CN"/>
        </w:rPr>
        <w:t>锅炉用水</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rPr>
        <w:t>本项目安装</w:t>
      </w:r>
      <w:r>
        <w:rPr>
          <w:rFonts w:hint="eastAsia" w:cs="Times New Roman"/>
          <w:color w:val="auto"/>
          <w:lang w:val="en-US" w:eastAsia="zh-CN"/>
        </w:rPr>
        <w:t>4</w:t>
      </w:r>
      <w:r>
        <w:rPr>
          <w:rFonts w:hint="default" w:ascii="Times New Roman" w:hAnsi="Times New Roman" w:eastAsia="宋体" w:cs="Times New Roman"/>
          <w:color w:val="auto"/>
        </w:rPr>
        <w:t>台150KW电热水锅炉供暖，供暖热水锅炉每天运行时间为10h，</w:t>
      </w:r>
      <w:r>
        <w:rPr>
          <w:rFonts w:hint="default" w:ascii="Times New Roman" w:hAnsi="Times New Roman" w:eastAsia="宋体" w:cs="Times New Roman"/>
          <w:color w:val="auto"/>
          <w:szCs w:val="21"/>
        </w:rPr>
        <w:t>锅炉排水有锅炉排污水和软化系统排污水，</w:t>
      </w:r>
      <w:r>
        <w:rPr>
          <w:rFonts w:hint="default" w:ascii="Times New Roman" w:hAnsi="Times New Roman" w:eastAsia="宋体" w:cs="Times New Roman"/>
          <w:color w:val="auto"/>
        </w:rPr>
        <w:t>热水锅炉排污量按照吨位数5%计算，热水损失按1%计</w:t>
      </w:r>
      <w:r>
        <w:rPr>
          <w:rFonts w:hint="eastAsia" w:cs="Times New Roman"/>
          <w:color w:val="auto"/>
          <w:lang w:eastAsia="zh-CN"/>
        </w:rPr>
        <w:t>。</w:t>
      </w:r>
      <w:r>
        <w:rPr>
          <w:rFonts w:hint="default" w:ascii="Times New Roman" w:hAnsi="Times New Roman" w:eastAsia="宋体" w:cs="Times New Roman"/>
          <w:color w:val="auto"/>
          <w:szCs w:val="21"/>
        </w:rPr>
        <w:t>锅炉排污水</w:t>
      </w:r>
      <w:r>
        <w:rPr>
          <w:rFonts w:hint="eastAsia" w:cs="Times New Roman"/>
          <w:color w:val="auto"/>
          <w:lang w:val="en-US" w:eastAsia="zh-CN"/>
        </w:rPr>
        <w:t>量</w:t>
      </w:r>
      <w:r>
        <w:rPr>
          <w:rFonts w:hint="default" w:ascii="Times New Roman" w:hAnsi="Times New Roman" w:eastAsia="宋体" w:cs="Times New Roman"/>
          <w:color w:val="auto"/>
          <w:szCs w:val="21"/>
        </w:rPr>
        <w:t>2.0m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/d，</w:t>
      </w:r>
      <w:r>
        <w:rPr>
          <w:rFonts w:hint="default" w:ascii="Times New Roman" w:hAnsi="Times New Roman" w:eastAsia="宋体" w:cs="Times New Roman"/>
          <w:color w:val="auto"/>
        </w:rPr>
        <w:t>热水损失</w:t>
      </w:r>
      <w:r>
        <w:rPr>
          <w:rFonts w:hint="eastAsia" w:cs="Times New Roman"/>
          <w:color w:val="auto"/>
          <w:lang w:val="en-US" w:eastAsia="zh-CN"/>
        </w:rPr>
        <w:t>量</w:t>
      </w:r>
      <w:r>
        <w:rPr>
          <w:rFonts w:hint="eastAsia" w:cs="Times New Roman"/>
          <w:color w:val="auto"/>
          <w:szCs w:val="21"/>
          <w:lang w:val="en-US" w:eastAsia="zh-CN"/>
        </w:rPr>
        <w:t>0.4</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/d，</w:t>
      </w:r>
      <w:r>
        <w:rPr>
          <w:rFonts w:hint="default" w:ascii="Times New Roman" w:hAnsi="Times New Roman" w:eastAsia="宋体" w:cs="Times New Roman"/>
          <w:color w:val="auto"/>
        </w:rPr>
        <w:t>供暖季锅炉补水量为</w:t>
      </w:r>
      <w:r>
        <w:rPr>
          <w:rFonts w:hint="eastAsia" w:cs="Times New Roman"/>
          <w:color w:val="auto"/>
          <w:lang w:val="en-US" w:eastAsia="zh-CN"/>
        </w:rPr>
        <w:t>2.4</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/d，</w:t>
      </w:r>
      <w:r>
        <w:rPr>
          <w:rFonts w:hint="default" w:ascii="Times New Roman" w:hAnsi="Times New Roman" w:eastAsia="宋体" w:cs="Times New Roman"/>
          <w:color w:val="auto"/>
          <w:szCs w:val="21"/>
        </w:rPr>
        <w:t>软化制备系统制水率为75%。据此计算出供暖热水锅炉补充新鲜水量为</w:t>
      </w:r>
      <w:r>
        <w:rPr>
          <w:rFonts w:hint="eastAsia" w:cs="Times New Roman"/>
          <w:color w:val="auto"/>
          <w:szCs w:val="21"/>
          <w:lang w:val="en-US" w:eastAsia="zh-CN"/>
        </w:rPr>
        <w:t>3.2</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/d</w:t>
      </w:r>
      <w:r>
        <w:rPr>
          <w:rFonts w:hint="eastAsia" w:cs="Times New Roman"/>
          <w:color w:val="auto"/>
          <w:szCs w:val="21"/>
          <w:lang w:eastAsia="zh-CN"/>
        </w:rPr>
        <w:t>（</w:t>
      </w:r>
      <w:r>
        <w:rPr>
          <w:rFonts w:hint="eastAsia" w:cs="Times New Roman"/>
          <w:color w:val="auto"/>
          <w:szCs w:val="21"/>
          <w:lang w:val="en-US" w:eastAsia="zh-CN"/>
        </w:rPr>
        <w:t>576</w:t>
      </w:r>
      <w:r>
        <w:rPr>
          <w:rFonts w:hint="default" w:ascii="Times New Roman" w:hAnsi="Times New Roman" w:eastAsia="宋体" w:cs="Times New Roman"/>
          <w:color w:val="auto"/>
        </w:rPr>
        <w:t>t/a</w:t>
      </w:r>
      <w:r>
        <w:rPr>
          <w:rFonts w:hint="eastAsia" w:cs="Times New Roman"/>
          <w:color w:val="auto"/>
          <w:szCs w:val="21"/>
          <w:lang w:eastAsia="zh-CN"/>
        </w:rPr>
        <w:t>）</w:t>
      </w:r>
      <w:r>
        <w:rPr>
          <w:rFonts w:hint="default" w:ascii="Times New Roman" w:hAnsi="Times New Roman" w:eastAsia="宋体" w:cs="Times New Roman"/>
          <w:color w:val="auto"/>
          <w:szCs w:val="21"/>
        </w:rPr>
        <w:t>。</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w:t>
      </w:r>
      <w:r>
        <w:rPr>
          <w:rFonts w:hint="eastAsia" w:cs="Times New Roman"/>
          <w:color w:val="auto"/>
          <w:lang w:val="en-US" w:eastAsia="zh-CN"/>
        </w:rPr>
        <w:t>5</w:t>
      </w:r>
      <w:r>
        <w:rPr>
          <w:rFonts w:hint="default" w:ascii="Times New Roman" w:hAnsi="Times New Roman" w:eastAsia="宋体" w:cs="Times New Roman"/>
          <w:color w:val="auto"/>
        </w:rPr>
        <w:t>）</w:t>
      </w:r>
      <w:r>
        <w:rPr>
          <w:rFonts w:hint="eastAsia" w:cs="Times New Roman"/>
          <w:color w:val="auto"/>
          <w:lang w:val="en-US" w:eastAsia="zh-CN"/>
        </w:rPr>
        <w:t>洗消中心用水</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主要是进入场区内拉猪车、饲料运输车辆清洗消毒，车辆清洗冲洗水量按0.1m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/辆·次，每天进入猪场配套洗消中心的车辆按10车次计算，全天合计</w:t>
      </w:r>
      <w:r>
        <w:rPr>
          <w:rFonts w:hint="eastAsia" w:cs="Times New Roman"/>
          <w:color w:val="auto"/>
          <w:lang w:val="en-US" w:eastAsia="zh-CN"/>
        </w:rPr>
        <w:t>1</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/d，循环利用系数按0.8计算，新鲜水补水量为</w:t>
      </w:r>
      <w:r>
        <w:rPr>
          <w:rFonts w:hint="eastAsia" w:cs="Times New Roman"/>
          <w:color w:val="auto"/>
          <w:lang w:val="en-US" w:eastAsia="zh-CN"/>
        </w:rPr>
        <w:t>0</w:t>
      </w:r>
      <w:r>
        <w:rPr>
          <w:rFonts w:hint="default" w:ascii="Times New Roman" w:hAnsi="Times New Roman" w:eastAsia="宋体" w:cs="Times New Roman"/>
          <w:color w:val="auto"/>
        </w:rPr>
        <w:t>.2m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/d，年用水量为</w:t>
      </w:r>
      <w:r>
        <w:rPr>
          <w:rFonts w:hint="eastAsia" w:cs="Times New Roman"/>
          <w:color w:val="auto"/>
          <w:lang w:val="en-US" w:eastAsia="zh-CN"/>
        </w:rPr>
        <w:t>73</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w:t>
      </w:r>
      <w:r>
        <w:rPr>
          <w:rFonts w:hint="eastAsia" w:cs="Times New Roman"/>
          <w:color w:val="auto"/>
          <w:lang w:val="en-US" w:eastAsia="zh-CN"/>
        </w:rPr>
        <w:t>6</w:t>
      </w:r>
      <w:r>
        <w:rPr>
          <w:rFonts w:hint="default" w:ascii="Times New Roman" w:hAnsi="Times New Roman" w:eastAsia="宋体" w:cs="Times New Roman"/>
          <w:color w:val="auto"/>
        </w:rPr>
        <w:t>）</w:t>
      </w:r>
      <w:r>
        <w:rPr>
          <w:rFonts w:hint="eastAsia" w:cs="Times New Roman"/>
          <w:color w:val="auto"/>
          <w:lang w:val="en-US" w:eastAsia="zh-CN"/>
        </w:rPr>
        <w:t>生活用水</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职工生活用水按</w:t>
      </w:r>
      <w:r>
        <w:rPr>
          <w:rFonts w:hint="eastAsia" w:cs="Times New Roman"/>
          <w:color w:val="auto"/>
          <w:lang w:val="en-US" w:eastAsia="zh-CN"/>
        </w:rPr>
        <w:t>6</w:t>
      </w:r>
      <w:r>
        <w:rPr>
          <w:rFonts w:hint="default" w:ascii="Times New Roman" w:hAnsi="Times New Roman" w:eastAsia="宋体" w:cs="Times New Roman"/>
          <w:color w:val="auto"/>
        </w:rPr>
        <w:t>0L/人·d计，劳动定员50人，生活用水</w:t>
      </w:r>
      <w:r>
        <w:rPr>
          <w:rFonts w:hint="eastAsia" w:cs="Times New Roman"/>
          <w:color w:val="auto"/>
          <w:lang w:val="en-US" w:eastAsia="zh-CN"/>
        </w:rPr>
        <w:t>3</w:t>
      </w:r>
      <w:r>
        <w:rPr>
          <w:rFonts w:hint="default" w:ascii="Times New Roman" w:hAnsi="Times New Roman" w:eastAsia="宋体" w:cs="Times New Roman"/>
          <w:color w:val="auto"/>
        </w:rPr>
        <w:t>.0m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/d（</w:t>
      </w:r>
      <w:r>
        <w:rPr>
          <w:rFonts w:hint="eastAsia" w:cs="Times New Roman"/>
          <w:color w:val="auto"/>
          <w:lang w:val="en-US" w:eastAsia="zh-CN"/>
        </w:rPr>
        <w:t>1095</w:t>
      </w:r>
      <w:r>
        <w:rPr>
          <w:rFonts w:hint="default" w:ascii="Times New Roman" w:hAnsi="Times New Roman" w:eastAsia="宋体" w:cs="Times New Roman"/>
          <w:color w:val="auto"/>
        </w:rPr>
        <w:t>.0m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w:t>
      </w:r>
    </w:p>
    <w:p>
      <w:pPr>
        <w:pStyle w:val="7"/>
        <w:pageBreakBefore w:val="0"/>
        <w:kinsoku/>
        <w:wordWrap/>
        <w:overflowPunct/>
        <w:topLinePunct/>
        <w:autoSpaceDE w:val="0"/>
        <w:autoSpaceDN/>
        <w:bidi w:val="0"/>
        <w:adjustRightInd/>
        <w:snapToGrid/>
        <w:spacing w:line="48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3.1.6.2排水</w:t>
      </w:r>
    </w:p>
    <w:p>
      <w:pPr>
        <w:keepNext w:val="0"/>
        <w:keepLines w:val="0"/>
        <w:pageBreakBefore w:val="0"/>
        <w:widowControl/>
        <w:suppressLineNumbers w:val="0"/>
        <w:kinsoku/>
        <w:wordWrap/>
        <w:overflowPunct/>
        <w:topLinePunct/>
        <w:autoSpaceDE w:val="0"/>
        <w:autoSpaceDN/>
        <w:bidi w:val="0"/>
        <w:adjustRightInd/>
        <w:snapToGrid/>
        <w:spacing w:line="480" w:lineRule="exact"/>
        <w:jc w:val="left"/>
        <w:textAlignment w:val="auto"/>
        <w:rPr>
          <w:rFonts w:hint="eastAsia" w:ascii="Times New Roman" w:hAnsi="Times New Roman" w:eastAsia="宋体" w:cs="Times New Roman"/>
          <w:color w:val="FF0000"/>
          <w:lang w:eastAsia="zh-CN"/>
        </w:rPr>
      </w:pPr>
      <w:r>
        <w:rPr>
          <w:rFonts w:hint="default" w:ascii="Times New Roman" w:hAnsi="Times New Roman" w:eastAsia="宋体" w:cs="Times New Roman"/>
          <w:color w:val="auto"/>
        </w:rPr>
        <w:t>（1）</w:t>
      </w:r>
      <w:r>
        <w:rPr>
          <w:rFonts w:hint="eastAsia" w:ascii="宋体" w:hAnsi="宋体" w:eastAsia="宋体" w:cs="宋体"/>
          <w:color w:val="auto"/>
          <w:kern w:val="0"/>
          <w:sz w:val="24"/>
          <w:szCs w:val="24"/>
          <w:lang w:val="en-US" w:eastAsia="zh-CN" w:bidi="ar"/>
        </w:rPr>
        <w:t>猪粪尿：猪尿液产生量参考《畜禽养殖污染防治最佳可行技术指南》（试行），该指南中猪的排尿量按</w:t>
      </w:r>
      <w:r>
        <w:rPr>
          <w:rFonts w:hint="default" w:ascii="Times New Roman" w:hAnsi="Times New Roman" w:eastAsia="宋体" w:cs="Times New Roman"/>
          <w:color w:val="auto"/>
          <w:kern w:val="0"/>
          <w:sz w:val="24"/>
          <w:szCs w:val="24"/>
          <w:lang w:val="en-US" w:eastAsia="zh-CN" w:bidi="ar"/>
        </w:rPr>
        <w:t>Yu=0.205+0.438W</w:t>
      </w:r>
      <w:r>
        <w:rPr>
          <w:rFonts w:hint="eastAsia" w:ascii="宋体" w:hAnsi="宋体" w:eastAsia="宋体" w:cs="宋体"/>
          <w:color w:val="auto"/>
          <w:kern w:val="0"/>
          <w:sz w:val="24"/>
          <w:szCs w:val="24"/>
          <w:lang w:val="en-US" w:eastAsia="zh-CN" w:bidi="ar"/>
        </w:rPr>
        <w:t>计算（</w:t>
      </w:r>
      <w:r>
        <w:rPr>
          <w:rFonts w:hint="default" w:ascii="Times New Roman" w:hAnsi="Times New Roman" w:eastAsia="宋体" w:cs="Times New Roman"/>
          <w:color w:val="auto"/>
          <w:kern w:val="0"/>
          <w:sz w:val="24"/>
          <w:szCs w:val="24"/>
          <w:lang w:val="en-US" w:eastAsia="zh-CN" w:bidi="ar"/>
        </w:rPr>
        <w:t>Yu</w:t>
      </w:r>
      <w:r>
        <w:rPr>
          <w:rFonts w:hint="eastAsia" w:ascii="宋体" w:hAnsi="宋体" w:eastAsia="宋体" w:cs="宋体"/>
          <w:color w:val="auto"/>
          <w:kern w:val="0"/>
          <w:sz w:val="24"/>
          <w:szCs w:val="24"/>
          <w:lang w:val="en-US" w:eastAsia="zh-CN" w:bidi="ar"/>
        </w:rPr>
        <w:t xml:space="preserve">：尿排泄量 </w:t>
      </w:r>
      <w:r>
        <w:rPr>
          <w:rFonts w:hint="default" w:ascii="Times New Roman" w:hAnsi="Times New Roman" w:eastAsia="宋体" w:cs="Times New Roman"/>
          <w:color w:val="auto"/>
          <w:kern w:val="0"/>
          <w:sz w:val="24"/>
          <w:szCs w:val="24"/>
          <w:lang w:val="en-US" w:eastAsia="zh-CN" w:bidi="ar"/>
        </w:rPr>
        <w:t>kg</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W</w:t>
      </w:r>
      <w:r>
        <w:rPr>
          <w:rFonts w:hint="eastAsia" w:ascii="宋体" w:hAnsi="宋体" w:eastAsia="宋体" w:cs="宋体"/>
          <w:color w:val="auto"/>
          <w:kern w:val="0"/>
          <w:sz w:val="24"/>
          <w:szCs w:val="24"/>
          <w:lang w:val="en-US" w:eastAsia="zh-CN" w:bidi="ar"/>
        </w:rPr>
        <w:t xml:space="preserve">：饮水量 </w:t>
      </w:r>
      <w:r>
        <w:rPr>
          <w:rFonts w:hint="default" w:ascii="Times New Roman" w:hAnsi="Times New Roman" w:eastAsia="宋体" w:cs="Times New Roman"/>
          <w:color w:val="auto"/>
          <w:kern w:val="0"/>
          <w:sz w:val="24"/>
          <w:szCs w:val="24"/>
          <w:lang w:val="en-US" w:eastAsia="zh-CN" w:bidi="ar"/>
        </w:rPr>
        <w:t>kg</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FF0000"/>
          <w:sz w:val="24"/>
          <w:szCs w:val="24"/>
        </w:rPr>
        <w:t>育肥猪饮水量按照6L/头•日计算</w:t>
      </w:r>
      <w:r>
        <w:rPr>
          <w:rFonts w:hint="eastAsia" w:ascii="宋体" w:hAnsi="宋体" w:eastAsia="宋体" w:cs="宋体"/>
          <w:color w:val="FF0000"/>
          <w:kern w:val="0"/>
          <w:sz w:val="24"/>
          <w:szCs w:val="24"/>
          <w:lang w:val="en-US" w:eastAsia="zh-CN" w:bidi="ar"/>
        </w:rPr>
        <w:t>，故育肥猪的排尿量为</w:t>
      </w:r>
      <w:r>
        <w:rPr>
          <w:rFonts w:hint="eastAsia" w:cs="Times New Roman"/>
          <w:color w:val="FF0000"/>
          <w:kern w:val="0"/>
          <w:sz w:val="24"/>
          <w:szCs w:val="24"/>
          <w:lang w:val="en-US" w:eastAsia="zh-CN" w:bidi="ar"/>
        </w:rPr>
        <w:t>2.833</w:t>
      </w:r>
      <w:r>
        <w:rPr>
          <w:rFonts w:hint="default" w:ascii="Times New Roman" w:hAnsi="Times New Roman" w:eastAsia="宋体" w:cs="Times New Roman"/>
          <w:color w:val="FF0000"/>
          <w:kern w:val="0"/>
          <w:sz w:val="24"/>
          <w:szCs w:val="24"/>
          <w:lang w:val="en-US" w:eastAsia="zh-CN" w:bidi="ar"/>
        </w:rPr>
        <w:t>kg/</w:t>
      </w:r>
      <w:r>
        <w:rPr>
          <w:rFonts w:hint="eastAsia" w:ascii="宋体" w:hAnsi="宋体" w:eastAsia="宋体" w:cs="宋体"/>
          <w:color w:val="FF0000"/>
          <w:kern w:val="0"/>
          <w:sz w:val="24"/>
          <w:szCs w:val="24"/>
          <w:lang w:val="en-US" w:eastAsia="zh-CN" w:bidi="ar"/>
        </w:rPr>
        <w:t>（头</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）。本项目年存栏量为</w:t>
      </w:r>
      <w:r>
        <w:rPr>
          <w:rFonts w:hint="eastAsia" w:ascii="Times New Roman" w:hAnsi="Times New Roman" w:cs="Times New Roman"/>
          <w:color w:val="FF0000"/>
          <w:kern w:val="0"/>
          <w:sz w:val="24"/>
          <w:szCs w:val="24"/>
          <w:lang w:val="en-US" w:eastAsia="zh-CN" w:bidi="ar"/>
        </w:rPr>
        <w:t>88</w:t>
      </w:r>
      <w:r>
        <w:rPr>
          <w:rFonts w:hint="default" w:ascii="Times New Roman" w:hAnsi="Times New Roman" w:eastAsia="宋体" w:cs="Times New Roman"/>
          <w:color w:val="FF0000"/>
          <w:kern w:val="0"/>
          <w:sz w:val="24"/>
          <w:szCs w:val="24"/>
          <w:lang w:val="en-US" w:eastAsia="zh-CN" w:bidi="ar"/>
        </w:rPr>
        <w:t>00</w:t>
      </w:r>
      <w:r>
        <w:rPr>
          <w:rFonts w:hint="eastAsia" w:ascii="宋体" w:hAnsi="宋体" w:eastAsia="宋体" w:cs="宋体"/>
          <w:color w:val="FF0000"/>
          <w:kern w:val="0"/>
          <w:sz w:val="24"/>
          <w:szCs w:val="24"/>
          <w:lang w:val="en-US" w:eastAsia="zh-CN" w:bidi="ar"/>
        </w:rPr>
        <w:t>头育肥猪，故项目育肥猪尿产生量为</w:t>
      </w:r>
      <w:r>
        <w:rPr>
          <w:rFonts w:hint="eastAsia" w:ascii="宋体" w:hAnsi="宋体" w:cs="宋体"/>
          <w:color w:val="FF0000"/>
          <w:kern w:val="0"/>
          <w:sz w:val="24"/>
          <w:szCs w:val="24"/>
          <w:lang w:val="en-US" w:eastAsia="zh-CN" w:bidi="ar"/>
        </w:rPr>
        <w:t>24.93</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kern w:val="0"/>
          <w:sz w:val="24"/>
          <w:szCs w:val="24"/>
          <w:lang w:val="en-US" w:eastAsia="zh-CN" w:bidi="ar"/>
        </w:rPr>
        <w:t>9099.45</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eastAsia" w:ascii="Times New Roman" w:hAnsi="Times New Roman" w:cs="Times New Roman"/>
          <w:color w:val="FF0000"/>
          <w:kern w:val="0"/>
          <w:sz w:val="24"/>
          <w:szCs w:val="24"/>
          <w:lang w:val="en-US" w:eastAsia="zh-CN" w:bidi="ar"/>
        </w:rPr>
        <w:t>/a</w:t>
      </w:r>
      <w:r>
        <w:rPr>
          <w:rFonts w:hint="eastAsia" w:ascii="宋体" w:hAnsi="宋体" w:eastAsia="宋体" w:cs="宋体"/>
          <w:color w:val="FF0000"/>
          <w:kern w:val="0"/>
          <w:sz w:val="24"/>
          <w:szCs w:val="24"/>
          <w:lang w:val="en-US" w:eastAsia="zh-CN" w:bidi="ar"/>
        </w:rPr>
        <w:t>）</w:t>
      </w:r>
      <w:r>
        <w:rPr>
          <w:rFonts w:hint="eastAsia" w:ascii="宋体" w:hAnsi="宋体" w:cs="宋体"/>
          <w:color w:val="FF0000"/>
          <w:kern w:val="0"/>
          <w:sz w:val="24"/>
          <w:szCs w:val="24"/>
          <w:lang w:val="en-US" w:eastAsia="zh-CN" w:bidi="ar"/>
        </w:rPr>
        <w:t>，</w:t>
      </w:r>
      <w:r>
        <w:rPr>
          <w:rFonts w:hint="default" w:ascii="Times New Roman" w:hAnsi="Times New Roman" w:eastAsia="宋体" w:cs="Times New Roman"/>
          <w:color w:val="FF0000"/>
        </w:rPr>
        <w:t>排入氧化塘内发酵6个月，处理后的液肥用于还田</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ascii="Times New Roman" w:hAnsi="Times New Roman" w:eastAsia="宋体" w:cs="Times New Roman"/>
          <w:color w:val="FF0000"/>
          <w:lang w:eastAsia="zh-CN"/>
        </w:rPr>
      </w:pPr>
      <w:r>
        <w:rPr>
          <w:rFonts w:hint="default" w:ascii="Times New Roman" w:hAnsi="Times New Roman" w:eastAsia="宋体" w:cs="Times New Roman"/>
          <w:color w:val="FF0000"/>
        </w:rPr>
        <w:t>（</w:t>
      </w:r>
      <w:r>
        <w:rPr>
          <w:rFonts w:hint="eastAsia" w:cs="Times New Roman"/>
          <w:color w:val="FF0000"/>
          <w:lang w:val="en-US" w:eastAsia="zh-CN"/>
        </w:rPr>
        <w:t>2</w:t>
      </w:r>
      <w:r>
        <w:rPr>
          <w:rFonts w:hint="default" w:ascii="Times New Roman" w:hAnsi="Times New Roman" w:eastAsia="宋体" w:cs="Times New Roman"/>
          <w:color w:val="FF0000"/>
        </w:rPr>
        <w:t>）</w:t>
      </w:r>
      <w:r>
        <w:rPr>
          <w:rFonts w:hint="eastAsia" w:cs="Times New Roman"/>
          <w:color w:val="FF0000"/>
          <w:sz w:val="24"/>
          <w:szCs w:val="24"/>
          <w:lang w:eastAsia="zh-CN"/>
        </w:rPr>
        <w:t>猪舍降温</w:t>
      </w:r>
      <w:r>
        <w:rPr>
          <w:rFonts w:hint="eastAsia" w:cs="Times New Roman"/>
          <w:color w:val="FF0000"/>
          <w:sz w:val="24"/>
          <w:szCs w:val="24"/>
          <w:lang w:val="en-US" w:eastAsia="zh-CN"/>
        </w:rPr>
        <w:t>废</w:t>
      </w:r>
      <w:r>
        <w:rPr>
          <w:rFonts w:hint="eastAsia" w:cs="Times New Roman"/>
          <w:color w:val="FF0000"/>
          <w:sz w:val="24"/>
          <w:szCs w:val="24"/>
          <w:lang w:eastAsia="zh-CN"/>
        </w:rPr>
        <w:t>水：</w:t>
      </w:r>
      <w:r>
        <w:rPr>
          <w:rFonts w:hint="default" w:ascii="Times New Roman" w:hAnsi="Times New Roman" w:eastAsia="宋体" w:cs="Times New Roman"/>
          <w:color w:val="FF0000"/>
        </w:rPr>
        <w:t>降温水帘系统用水循环使用，无废水排放</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cs="Times New Roman"/>
          <w:color w:val="FF0000"/>
          <w:lang w:eastAsia="zh-CN"/>
        </w:rPr>
      </w:pPr>
      <w:r>
        <w:rPr>
          <w:rFonts w:hint="eastAsia" w:cs="Times New Roman"/>
          <w:color w:val="FF0000"/>
          <w:lang w:eastAsia="zh-CN"/>
        </w:rPr>
        <w:t>（</w:t>
      </w:r>
      <w:r>
        <w:rPr>
          <w:rFonts w:hint="eastAsia" w:cs="Times New Roman"/>
          <w:color w:val="FF0000"/>
          <w:lang w:val="en-US" w:eastAsia="zh-CN"/>
        </w:rPr>
        <w:t>3</w:t>
      </w:r>
      <w:r>
        <w:rPr>
          <w:rFonts w:hint="eastAsia" w:cs="Times New Roman"/>
          <w:color w:val="FF0000"/>
          <w:lang w:eastAsia="zh-CN"/>
        </w:rPr>
        <w:t>）猪舍粪污管道冲洗废水：</w:t>
      </w:r>
      <w:r>
        <w:rPr>
          <w:rFonts w:hint="eastAsia" w:cs="Times New Roman"/>
          <w:color w:val="FF0000"/>
          <w:lang w:val="en-US" w:eastAsia="zh-CN"/>
        </w:rPr>
        <w:t>8座</w:t>
      </w:r>
      <w:r>
        <w:rPr>
          <w:rFonts w:hint="eastAsia" w:cs="Times New Roman"/>
          <w:color w:val="FF0000"/>
          <w:lang w:eastAsia="zh-CN"/>
        </w:rPr>
        <w:t>猪舍粪污管道冲洗用水量为</w:t>
      </w:r>
      <w:r>
        <w:rPr>
          <w:rFonts w:hint="eastAsia" w:cs="Times New Roman"/>
          <w:color w:val="FF0000"/>
          <w:lang w:val="en-US" w:eastAsia="zh-CN"/>
        </w:rPr>
        <w:t>16</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5840m</w:t>
      </w:r>
      <w:r>
        <w:rPr>
          <w:rFonts w:hint="eastAsia" w:cs="Times New Roman"/>
          <w:color w:val="FF0000"/>
          <w:vertAlign w:val="superscript"/>
          <w:lang w:val="en-US" w:eastAsia="zh-CN"/>
        </w:rPr>
        <w:t>3</w:t>
      </w:r>
      <w:r>
        <w:rPr>
          <w:rFonts w:hint="eastAsia" w:cs="Times New Roman"/>
          <w:color w:val="FF0000"/>
          <w:lang w:val="en-US" w:eastAsia="zh-CN"/>
        </w:rPr>
        <w:t>/a</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w:t>
      </w:r>
      <w:r>
        <w:rPr>
          <w:rFonts w:hint="default" w:ascii="Times New Roman" w:hAnsi="Times New Roman" w:eastAsia="宋体" w:cs="Times New Roman"/>
          <w:color w:val="FF0000"/>
        </w:rPr>
        <w:t>冲洗过程中约有</w:t>
      </w:r>
      <w:r>
        <w:rPr>
          <w:rFonts w:hint="eastAsia" w:cs="Times New Roman"/>
          <w:color w:val="FF0000"/>
          <w:lang w:val="en-US" w:eastAsia="zh-CN"/>
        </w:rPr>
        <w:t>1</w:t>
      </w:r>
      <w:r>
        <w:rPr>
          <w:rFonts w:hint="default" w:ascii="Times New Roman" w:hAnsi="Times New Roman" w:eastAsia="宋体" w:cs="Times New Roman"/>
          <w:color w:val="FF0000"/>
        </w:rPr>
        <w:t>0%蒸发，剩余</w:t>
      </w:r>
      <w:r>
        <w:rPr>
          <w:rFonts w:hint="eastAsia" w:cs="Times New Roman"/>
          <w:color w:val="FF0000"/>
          <w:lang w:val="en-US" w:eastAsia="zh-CN"/>
        </w:rPr>
        <w:t>9</w:t>
      </w:r>
      <w:r>
        <w:rPr>
          <w:rFonts w:hint="default" w:ascii="Times New Roman" w:hAnsi="Times New Roman" w:eastAsia="宋体" w:cs="Times New Roman"/>
          <w:color w:val="FF0000"/>
        </w:rPr>
        <w:t>0%冲洗废水</w:t>
      </w:r>
      <w:r>
        <w:rPr>
          <w:rFonts w:hint="eastAsia" w:cs="Times New Roman"/>
          <w:color w:val="FF0000"/>
          <w:lang w:eastAsia="zh-CN"/>
        </w:rPr>
        <w:t>排</w:t>
      </w:r>
      <w:r>
        <w:rPr>
          <w:rFonts w:hint="default" w:ascii="Times New Roman" w:hAnsi="Times New Roman" w:eastAsia="宋体" w:cs="Times New Roman"/>
          <w:color w:val="FF0000"/>
        </w:rPr>
        <w:t>到化粪池内，废水产生量为</w:t>
      </w:r>
      <w:r>
        <w:rPr>
          <w:rFonts w:hint="eastAsia" w:cs="Times New Roman"/>
          <w:color w:val="FF0000"/>
          <w:lang w:val="en-US" w:eastAsia="zh-CN"/>
        </w:rPr>
        <w:t>14.4</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5256m</w:t>
      </w:r>
      <w:r>
        <w:rPr>
          <w:rFonts w:hint="eastAsia" w:cs="Times New Roman"/>
          <w:color w:val="FF0000"/>
          <w:vertAlign w:val="superscript"/>
          <w:lang w:val="en-US" w:eastAsia="zh-CN"/>
        </w:rPr>
        <w:t>3</w:t>
      </w:r>
      <w:r>
        <w:rPr>
          <w:rFonts w:hint="eastAsia" w:cs="Times New Roman"/>
          <w:color w:val="FF0000"/>
          <w:lang w:val="en-US" w:eastAsia="zh-CN"/>
        </w:rPr>
        <w:t>/a</w:t>
      </w:r>
      <w:r>
        <w:rPr>
          <w:rFonts w:hint="eastAsia" w:ascii="宋体" w:hAnsi="宋体" w:eastAsia="宋体" w:cs="宋体"/>
          <w:color w:val="FF0000"/>
          <w:kern w:val="0"/>
          <w:sz w:val="24"/>
          <w:szCs w:val="24"/>
          <w:lang w:val="en-US" w:eastAsia="zh-CN" w:bidi="ar"/>
        </w:rPr>
        <w:t>）</w:t>
      </w:r>
      <w:r>
        <w:rPr>
          <w:rFonts w:hint="eastAsia" w:cs="Times New Roman"/>
          <w:color w:val="FF0000"/>
          <w:lang w:eastAsia="zh-CN"/>
        </w:rPr>
        <w:t>，</w:t>
      </w:r>
      <w:r>
        <w:rPr>
          <w:rFonts w:hint="default" w:ascii="Times New Roman" w:hAnsi="Times New Roman" w:eastAsia="宋体" w:cs="Times New Roman"/>
          <w:color w:val="FF0000"/>
        </w:rPr>
        <w:t>排入氧化塘内发酵6个月，处理后的液肥用于还田</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FF0000"/>
        </w:rPr>
      </w:pPr>
      <w:r>
        <w:rPr>
          <w:rFonts w:hint="eastAsia" w:cs="Times New Roman"/>
          <w:color w:val="FF0000"/>
          <w:lang w:eastAsia="zh-CN"/>
        </w:rPr>
        <w:t>（</w:t>
      </w:r>
      <w:r>
        <w:rPr>
          <w:rFonts w:hint="eastAsia" w:cs="Times New Roman"/>
          <w:color w:val="FF0000"/>
          <w:lang w:val="en-US" w:eastAsia="zh-CN"/>
        </w:rPr>
        <w:t>4</w:t>
      </w:r>
      <w:r>
        <w:rPr>
          <w:rFonts w:hint="eastAsia" w:cs="Times New Roman"/>
          <w:color w:val="FF0000"/>
          <w:lang w:eastAsia="zh-CN"/>
        </w:rPr>
        <w:t>）</w:t>
      </w:r>
      <w:r>
        <w:rPr>
          <w:rFonts w:hint="default" w:ascii="Times New Roman" w:hAnsi="Times New Roman" w:eastAsia="宋体" w:cs="Times New Roman"/>
          <w:color w:val="FF0000"/>
        </w:rPr>
        <w:t>洗消中心洗车废水、消毒废水</w:t>
      </w:r>
      <w:r>
        <w:rPr>
          <w:rFonts w:hint="eastAsia" w:cs="Times New Roman"/>
          <w:color w:val="FF0000"/>
          <w:lang w:eastAsia="zh-CN"/>
        </w:rPr>
        <w:t>：洗消中心洗车废水、消毒废水经沉淀池处理后，上清液循环使用，不外排</w:t>
      </w:r>
      <w:r>
        <w:rPr>
          <w:rFonts w:hint="default" w:ascii="Times New Roman" w:hAnsi="Times New Roman" w:eastAsia="宋体" w:cs="Times New Roman"/>
          <w:color w:val="FF0000"/>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ascii="Times New Roman" w:hAnsi="Times New Roman" w:eastAsia="宋体" w:cs="Times New Roman"/>
          <w:color w:val="FF0000"/>
          <w:lang w:eastAsia="zh-CN"/>
        </w:rPr>
      </w:pPr>
      <w:r>
        <w:rPr>
          <w:rFonts w:hint="eastAsia" w:cs="Times New Roman"/>
          <w:color w:val="FF0000"/>
          <w:lang w:eastAsia="zh-CN"/>
        </w:rPr>
        <w:t>（</w:t>
      </w:r>
      <w:r>
        <w:rPr>
          <w:rFonts w:hint="eastAsia" w:cs="Times New Roman"/>
          <w:color w:val="FF0000"/>
          <w:lang w:val="en-US" w:eastAsia="zh-CN"/>
        </w:rPr>
        <w:t>5</w:t>
      </w:r>
      <w:r>
        <w:rPr>
          <w:rFonts w:hint="eastAsia" w:cs="Times New Roman"/>
          <w:color w:val="FF0000"/>
          <w:lang w:eastAsia="zh-CN"/>
        </w:rPr>
        <w:t>）</w:t>
      </w:r>
      <w:r>
        <w:rPr>
          <w:rFonts w:hint="default" w:ascii="Times New Roman" w:hAnsi="Times New Roman" w:eastAsia="宋体" w:cs="Times New Roman"/>
          <w:color w:val="FF0000"/>
        </w:rPr>
        <w:t>生活污水</w:t>
      </w:r>
      <w:r>
        <w:rPr>
          <w:rFonts w:hint="eastAsia" w:cs="Times New Roman"/>
          <w:color w:val="FF0000"/>
          <w:lang w:eastAsia="zh-CN"/>
        </w:rPr>
        <w:t>：</w:t>
      </w:r>
      <w:r>
        <w:rPr>
          <w:rFonts w:hint="eastAsia" w:cs="Times New Roman"/>
          <w:color w:val="FF0000"/>
          <w:lang w:val="en-US" w:eastAsia="zh-CN"/>
        </w:rPr>
        <w:t>施工生活污水</w:t>
      </w:r>
      <w:r>
        <w:rPr>
          <w:rFonts w:hint="default" w:ascii="Times New Roman" w:hAnsi="Times New Roman" w:eastAsia="宋体" w:cs="Times New Roman"/>
          <w:color w:val="FF0000"/>
        </w:rPr>
        <w:t>排放按用水量的80%计，</w:t>
      </w:r>
      <w:r>
        <w:rPr>
          <w:rFonts w:hint="eastAsia" w:cs="Times New Roman"/>
          <w:color w:val="FF0000"/>
          <w:lang w:val="en-US" w:eastAsia="zh-CN"/>
        </w:rPr>
        <w:t>则生活污水产生</w:t>
      </w:r>
      <w:r>
        <w:rPr>
          <w:rFonts w:hint="default" w:ascii="Times New Roman" w:hAnsi="Times New Roman" w:eastAsia="宋体" w:cs="Times New Roman"/>
          <w:color w:val="FF0000"/>
        </w:rPr>
        <w:t>量</w:t>
      </w:r>
      <w:r>
        <w:rPr>
          <w:rFonts w:hint="eastAsia" w:cs="Times New Roman"/>
          <w:color w:val="FF0000"/>
          <w:lang w:val="en-US" w:eastAsia="zh-CN"/>
        </w:rPr>
        <w:t>2.4</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/d</w:t>
      </w:r>
      <w:r>
        <w:rPr>
          <w:rFonts w:hint="eastAsia" w:cs="Times New Roman"/>
          <w:color w:val="FF0000"/>
          <w:lang w:eastAsia="zh-CN"/>
        </w:rPr>
        <w:t>（</w:t>
      </w:r>
      <w:r>
        <w:rPr>
          <w:rFonts w:hint="eastAsia" w:cs="Times New Roman"/>
          <w:color w:val="FF0000"/>
          <w:lang w:val="en-US" w:eastAsia="zh-CN"/>
        </w:rPr>
        <w:t>876</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/a</w:t>
      </w:r>
      <w:r>
        <w:rPr>
          <w:rFonts w:hint="eastAsia" w:cs="Times New Roman"/>
          <w:color w:val="FF0000"/>
          <w:lang w:eastAsia="zh-CN"/>
        </w:rPr>
        <w:t>）</w:t>
      </w:r>
      <w:r>
        <w:rPr>
          <w:rFonts w:hint="default" w:ascii="Times New Roman" w:hAnsi="Times New Roman" w:eastAsia="宋体" w:cs="Times New Roman"/>
          <w:color w:val="FF0000"/>
        </w:rPr>
        <w:t>。排入化粪池，经固液分离器分离后，与猪尿排入氧化塘内发酵6个月，处理后的液肥用于还田。</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FF0000"/>
        </w:rPr>
      </w:pPr>
      <w:r>
        <w:rPr>
          <w:rFonts w:hint="default" w:ascii="Times New Roman" w:hAnsi="Times New Roman" w:eastAsia="宋体" w:cs="Times New Roman"/>
          <w:color w:val="FF0000"/>
        </w:rPr>
        <w:t>（</w:t>
      </w:r>
      <w:r>
        <w:rPr>
          <w:rFonts w:hint="eastAsia" w:cs="Times New Roman"/>
          <w:color w:val="FF0000"/>
          <w:lang w:val="en-US" w:eastAsia="zh-CN"/>
        </w:rPr>
        <w:t>6</w:t>
      </w:r>
      <w:r>
        <w:rPr>
          <w:rFonts w:hint="default" w:ascii="Times New Roman" w:hAnsi="Times New Roman" w:eastAsia="宋体" w:cs="Times New Roman"/>
          <w:color w:val="FF0000"/>
        </w:rPr>
        <w:t>）锅炉排水</w:t>
      </w:r>
      <w:r>
        <w:rPr>
          <w:rFonts w:hint="eastAsia" w:cs="Times New Roman"/>
          <w:color w:val="FF0000"/>
          <w:lang w:eastAsia="zh-CN"/>
        </w:rPr>
        <w:t>：</w:t>
      </w:r>
      <w:r>
        <w:rPr>
          <w:rFonts w:hint="default" w:ascii="Times New Roman" w:hAnsi="Times New Roman" w:eastAsia="宋体" w:cs="Times New Roman"/>
          <w:color w:val="FF0000"/>
          <w:szCs w:val="21"/>
        </w:rPr>
        <w:t>锅炉排污水</w:t>
      </w:r>
      <w:r>
        <w:rPr>
          <w:rFonts w:hint="eastAsia" w:cs="Times New Roman"/>
          <w:color w:val="FF0000"/>
          <w:lang w:val="en-US" w:eastAsia="zh-CN"/>
        </w:rPr>
        <w:t>量</w:t>
      </w:r>
      <w:r>
        <w:rPr>
          <w:rFonts w:hint="default" w:ascii="Times New Roman" w:hAnsi="Times New Roman" w:eastAsia="宋体" w:cs="Times New Roman"/>
          <w:color w:val="FF0000"/>
          <w:szCs w:val="21"/>
        </w:rPr>
        <w:t>2.0m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/d，软化系统排污水0.8m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/d，合计</w:t>
      </w:r>
      <w:r>
        <w:rPr>
          <w:rFonts w:hint="eastAsia" w:cs="Times New Roman"/>
          <w:color w:val="FF0000"/>
          <w:szCs w:val="21"/>
          <w:lang w:val="en-US" w:eastAsia="zh-CN"/>
        </w:rPr>
        <w:t>2.8</w:t>
      </w:r>
      <w:r>
        <w:rPr>
          <w:rFonts w:hint="default" w:ascii="Times New Roman" w:hAnsi="Times New Roman" w:eastAsia="宋体" w:cs="Times New Roman"/>
          <w:color w:val="FF0000"/>
          <w:szCs w:val="21"/>
        </w:rPr>
        <w:t>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w:t>
      </w:r>
      <w:r>
        <w:rPr>
          <w:rFonts w:hint="eastAsia" w:cs="Times New Roman"/>
          <w:color w:val="FF0000"/>
          <w:szCs w:val="21"/>
          <w:lang w:eastAsia="zh-CN"/>
        </w:rPr>
        <w:t>，用于</w:t>
      </w:r>
      <w:r>
        <w:rPr>
          <w:rFonts w:hint="eastAsia" w:cs="Times New Roman"/>
          <w:color w:val="FF0000"/>
          <w:szCs w:val="21"/>
          <w:lang w:val="en-US" w:eastAsia="zh-CN"/>
        </w:rPr>
        <w:t>场区</w:t>
      </w:r>
      <w:r>
        <w:rPr>
          <w:rFonts w:hint="eastAsia" w:cs="Times New Roman"/>
          <w:color w:val="FF0000"/>
          <w:szCs w:val="21"/>
          <w:lang w:eastAsia="zh-CN"/>
        </w:rPr>
        <w:t>道路抑尘</w:t>
      </w:r>
      <w:r>
        <w:rPr>
          <w:rFonts w:hint="default" w:ascii="Times New Roman" w:hAnsi="Times New Roman" w:eastAsia="宋体" w:cs="Times New Roman"/>
          <w:color w:val="FF0000"/>
        </w:rPr>
        <w:t>。</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FF0000"/>
        </w:rPr>
        <w:t>项目水平衡如图3.1-4</w:t>
      </w:r>
      <w:r>
        <w:rPr>
          <w:rFonts w:hint="eastAsia" w:cs="Times New Roman"/>
          <w:color w:val="FF0000"/>
          <w:lang w:eastAsia="zh-CN"/>
        </w:rPr>
        <w:t>、图</w:t>
      </w:r>
      <w:r>
        <w:rPr>
          <w:rFonts w:hint="eastAsia" w:cs="Times New Roman"/>
          <w:color w:val="FF0000"/>
          <w:lang w:val="en-US" w:eastAsia="zh-CN"/>
        </w:rPr>
        <w:t>3.1-5</w:t>
      </w:r>
      <w:r>
        <w:rPr>
          <w:rFonts w:hint="default" w:ascii="Times New Roman" w:hAnsi="Times New Roman" w:eastAsia="宋体" w:cs="Times New Roman"/>
          <w:color w:val="FF0000"/>
        </w:rPr>
        <w:t>所示。</w:t>
      </w:r>
    </w:p>
    <w:p>
      <w:pPr>
        <w:pageBreakBefore w:val="0"/>
        <w:kinsoku/>
        <w:wordWrap/>
        <w:overflowPunct/>
        <w:topLinePunct/>
        <w:autoSpaceDE w:val="0"/>
        <w:autoSpaceDN/>
        <w:bidi w:val="0"/>
        <w:adjustRightInd/>
        <w:snapToGrid/>
        <w:spacing w:line="480" w:lineRule="exact"/>
        <w:ind w:firstLine="480"/>
        <w:textAlignment w:val="auto"/>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8"/>
        <w:rPr>
          <w:rFonts w:hint="default" w:ascii="Times New Roman" w:hAnsi="Times New Roman" w:eastAsia="宋体" w:cs="Times New Roman"/>
          <w:color w:val="FF0000"/>
        </w:rPr>
      </w:pPr>
      <w:r>
        <w:rPr>
          <w:rFonts w:hint="default" w:ascii="Times New Roman" w:hAnsi="Times New Roman" w:eastAsia="宋体" w:cs="Times New Roman"/>
          <w:color w:val="FF0000"/>
        </w:rPr>
        <w:t>表3.1-</w:t>
      </w:r>
      <w:r>
        <w:rPr>
          <w:rFonts w:hint="eastAsia" w:cs="Times New Roman"/>
          <w:color w:val="FF0000"/>
          <w:lang w:val="en-US" w:eastAsia="zh-CN"/>
        </w:rPr>
        <w:t>9</w:t>
      </w:r>
      <w:r>
        <w:rPr>
          <w:rFonts w:hint="default" w:ascii="Times New Roman" w:hAnsi="Times New Roman" w:eastAsia="宋体" w:cs="Times New Roman"/>
          <w:color w:val="FF0000"/>
        </w:rPr>
        <w:t xml:space="preserve">    项目用排水情况统计表</w:t>
      </w:r>
    </w:p>
    <w:tbl>
      <w:tblPr>
        <w:tblStyle w:val="34"/>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00"/>
        <w:gridCol w:w="1991"/>
        <w:gridCol w:w="854"/>
        <w:gridCol w:w="2196"/>
        <w:gridCol w:w="1555"/>
        <w:gridCol w:w="1222"/>
        <w:gridCol w:w="1188"/>
        <w:gridCol w:w="1417"/>
        <w:gridCol w:w="1418"/>
        <w:gridCol w:w="194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序号</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用水项目</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规模</w:t>
            </w:r>
          </w:p>
        </w:tc>
        <w:tc>
          <w:tcPr>
            <w:tcW w:w="219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用水量</w:t>
            </w:r>
          </w:p>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标准</w:t>
            </w:r>
          </w:p>
        </w:tc>
        <w:tc>
          <w:tcPr>
            <w:tcW w:w="155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日用水量</w:t>
            </w:r>
          </w:p>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/d）</w:t>
            </w:r>
          </w:p>
        </w:tc>
        <w:tc>
          <w:tcPr>
            <w:tcW w:w="1222"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年用水量</w:t>
            </w:r>
          </w:p>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/a）</w:t>
            </w:r>
          </w:p>
        </w:tc>
        <w:tc>
          <w:tcPr>
            <w:tcW w:w="118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折减</w:t>
            </w:r>
          </w:p>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系数</w:t>
            </w:r>
          </w:p>
        </w:tc>
        <w:tc>
          <w:tcPr>
            <w:tcW w:w="141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日排水量</w:t>
            </w:r>
          </w:p>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/d）</w:t>
            </w:r>
          </w:p>
        </w:tc>
        <w:tc>
          <w:tcPr>
            <w:tcW w:w="141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年排水量</w:t>
            </w:r>
          </w:p>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/a）</w:t>
            </w:r>
          </w:p>
        </w:tc>
        <w:tc>
          <w:tcPr>
            <w:tcW w:w="19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eastAsia"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1</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eastAsia" w:ascii="宋体" w:hAnsi="宋体" w:eastAsia="宋体" w:cs="宋体"/>
                <w:color w:val="FF0000"/>
                <w:kern w:val="0"/>
                <w:sz w:val="21"/>
                <w:szCs w:val="21"/>
                <w:lang w:val="en-US" w:eastAsia="zh-CN" w:bidi="ar"/>
              </w:rPr>
              <w:t>猪饮用水</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bCs/>
                <w:color w:val="FF0000"/>
                <w:sz w:val="21"/>
                <w:szCs w:val="21"/>
              </w:rPr>
            </w:pPr>
            <w:r>
              <w:rPr>
                <w:rFonts w:hint="eastAsia" w:cs="Times New Roman"/>
                <w:color w:val="FF0000"/>
                <w:sz w:val="21"/>
                <w:szCs w:val="21"/>
                <w:lang w:val="en-US" w:eastAsia="zh-CN"/>
              </w:rPr>
              <w:t>88</w:t>
            </w:r>
            <w:r>
              <w:rPr>
                <w:rFonts w:hint="default" w:ascii="Times New Roman" w:hAnsi="Times New Roman" w:eastAsia="宋体" w:cs="Times New Roman"/>
                <w:color w:val="FF0000"/>
                <w:sz w:val="21"/>
                <w:szCs w:val="21"/>
              </w:rPr>
              <w:t>00头</w:t>
            </w:r>
          </w:p>
        </w:tc>
        <w:tc>
          <w:tcPr>
            <w:tcW w:w="219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bCs/>
                <w:color w:val="FF0000"/>
                <w:sz w:val="21"/>
                <w:szCs w:val="21"/>
              </w:rPr>
            </w:pPr>
            <w:r>
              <w:rPr>
                <w:rFonts w:hint="default" w:ascii="Times New Roman" w:hAnsi="Times New Roman" w:eastAsia="宋体" w:cs="Times New Roman"/>
                <w:bCs/>
                <w:color w:val="FF0000"/>
                <w:sz w:val="21"/>
                <w:szCs w:val="21"/>
              </w:rPr>
              <w:t>6L/头•日</w:t>
            </w:r>
          </w:p>
        </w:tc>
        <w:tc>
          <w:tcPr>
            <w:tcW w:w="155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cs="Times New Roman"/>
                <w:bCs/>
                <w:color w:val="FF0000"/>
                <w:sz w:val="21"/>
                <w:szCs w:val="21"/>
                <w:lang w:val="en-US" w:eastAsia="zh-CN"/>
              </w:rPr>
            </w:pPr>
            <w:r>
              <w:rPr>
                <w:rFonts w:hint="eastAsia" w:cs="Times New Roman"/>
                <w:bCs/>
                <w:color w:val="FF0000"/>
                <w:sz w:val="21"/>
                <w:szCs w:val="21"/>
                <w:lang w:val="en-US" w:eastAsia="zh-CN"/>
              </w:rPr>
              <w:t>52.8</w:t>
            </w:r>
          </w:p>
        </w:tc>
        <w:tc>
          <w:tcPr>
            <w:tcW w:w="1222"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cs="Times New Roman"/>
                <w:bCs/>
                <w:color w:val="FF0000"/>
                <w:sz w:val="21"/>
                <w:szCs w:val="21"/>
                <w:lang w:val="en-US" w:eastAsia="zh-CN"/>
              </w:rPr>
            </w:pPr>
            <w:r>
              <w:rPr>
                <w:rFonts w:hint="eastAsia" w:cs="Times New Roman"/>
                <w:bCs/>
                <w:color w:val="FF0000"/>
                <w:sz w:val="21"/>
                <w:szCs w:val="21"/>
                <w:lang w:val="en-US" w:eastAsia="zh-CN"/>
              </w:rPr>
              <w:t>19272</w:t>
            </w:r>
          </w:p>
        </w:tc>
        <w:tc>
          <w:tcPr>
            <w:tcW w:w="118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cs="Times New Roman"/>
                <w:bCs/>
                <w:color w:val="FF0000"/>
                <w:sz w:val="21"/>
                <w:szCs w:val="21"/>
                <w:lang w:val="en-US" w:eastAsia="zh-CN"/>
              </w:rPr>
            </w:pPr>
            <w:r>
              <w:rPr>
                <w:rFonts w:hint="default" w:cs="Times New Roman"/>
                <w:bCs/>
                <w:color w:val="FF0000"/>
                <w:sz w:val="21"/>
                <w:szCs w:val="21"/>
                <w:lang w:val="en-US" w:eastAsia="zh-CN"/>
              </w:rPr>
              <w:t>/</w:t>
            </w:r>
          </w:p>
        </w:tc>
        <w:tc>
          <w:tcPr>
            <w:tcW w:w="141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cs="Times New Roman"/>
                <w:bCs/>
                <w:color w:val="FF0000"/>
                <w:sz w:val="21"/>
                <w:szCs w:val="21"/>
                <w:lang w:val="en-US" w:eastAsia="zh-CN"/>
              </w:rPr>
            </w:pPr>
            <w:r>
              <w:rPr>
                <w:rFonts w:hint="eastAsia" w:cs="Times New Roman"/>
                <w:bCs/>
                <w:color w:val="FF0000"/>
                <w:sz w:val="21"/>
                <w:szCs w:val="21"/>
                <w:lang w:val="en-US" w:eastAsia="zh-CN"/>
              </w:rPr>
              <w:t>24.93</w:t>
            </w:r>
          </w:p>
        </w:tc>
        <w:tc>
          <w:tcPr>
            <w:tcW w:w="141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cs="Times New Roman"/>
                <w:bCs/>
                <w:color w:val="FF0000"/>
                <w:sz w:val="21"/>
                <w:szCs w:val="21"/>
                <w:lang w:val="en-US" w:eastAsia="zh-CN"/>
              </w:rPr>
            </w:pPr>
            <w:r>
              <w:rPr>
                <w:rFonts w:hint="eastAsia" w:cs="Times New Roman"/>
                <w:bCs/>
                <w:color w:val="FF0000"/>
                <w:sz w:val="21"/>
                <w:szCs w:val="21"/>
                <w:lang w:val="en-US" w:eastAsia="zh-CN"/>
              </w:rPr>
              <w:t>9099.45</w:t>
            </w:r>
          </w:p>
        </w:tc>
        <w:tc>
          <w:tcPr>
            <w:tcW w:w="19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使用新鲜水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2</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猪舍粪污管道冲洗用水</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8座</w:t>
            </w:r>
          </w:p>
        </w:tc>
        <w:tc>
          <w:tcPr>
            <w:tcW w:w="219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bCs/>
                <w:color w:val="FF0000"/>
                <w:kern w:val="2"/>
                <w:sz w:val="21"/>
                <w:szCs w:val="21"/>
                <w:lang w:val="en-US" w:eastAsia="zh-CN" w:bidi="ar-SA"/>
              </w:rPr>
            </w:pPr>
            <w:r>
              <w:rPr>
                <w:rFonts w:hint="eastAsia" w:cs="Times New Roman"/>
                <w:bCs/>
                <w:color w:val="FF0000"/>
                <w:sz w:val="21"/>
                <w:szCs w:val="21"/>
                <w:lang w:val="en-US" w:eastAsia="zh-CN"/>
              </w:rPr>
              <w:t>2</w:t>
            </w:r>
            <w:r>
              <w:rPr>
                <w:rFonts w:hint="default" w:ascii="Times New Roman" w:hAnsi="Times New Roman" w:eastAsia="宋体" w:cs="Times New Roman"/>
                <w:color w:val="FF0000"/>
                <w:kern w:val="0"/>
                <w:sz w:val="21"/>
                <w:szCs w:val="21"/>
                <w:lang w:val="en-US" w:eastAsia="zh-CN" w:bidi="ar"/>
              </w:rPr>
              <w:t>m</w:t>
            </w:r>
            <w:r>
              <w:rPr>
                <w:rFonts w:hint="default" w:ascii="Times New Roman" w:hAnsi="Times New Roman" w:eastAsia="宋体" w:cs="Times New Roman"/>
                <w:color w:val="FF0000"/>
                <w:kern w:val="0"/>
                <w:sz w:val="21"/>
                <w:szCs w:val="21"/>
                <w:vertAlign w:val="superscript"/>
                <w:lang w:val="en-US" w:eastAsia="zh-CN" w:bidi="ar"/>
              </w:rPr>
              <w:t>3</w:t>
            </w:r>
            <w:r>
              <w:rPr>
                <w:rFonts w:hint="default" w:ascii="Times New Roman" w:hAnsi="Times New Roman" w:eastAsia="宋体" w:cs="Times New Roman"/>
                <w:color w:val="FF0000"/>
                <w:kern w:val="0"/>
                <w:sz w:val="21"/>
                <w:szCs w:val="21"/>
                <w:lang w:val="en-US" w:eastAsia="zh-CN" w:bidi="ar"/>
              </w:rPr>
              <w:t>/d</w:t>
            </w:r>
          </w:p>
        </w:tc>
        <w:tc>
          <w:tcPr>
            <w:tcW w:w="155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bCs/>
                <w:color w:val="FF0000"/>
                <w:kern w:val="2"/>
                <w:sz w:val="21"/>
                <w:szCs w:val="21"/>
                <w:lang w:val="en-US" w:eastAsia="zh-CN" w:bidi="ar-SA"/>
              </w:rPr>
            </w:pPr>
            <w:r>
              <w:rPr>
                <w:rFonts w:hint="eastAsia" w:cs="Times New Roman"/>
                <w:bCs/>
                <w:color w:val="FF0000"/>
                <w:sz w:val="21"/>
                <w:szCs w:val="21"/>
                <w:lang w:val="en-US" w:eastAsia="zh-CN"/>
              </w:rPr>
              <w:t>16</w:t>
            </w:r>
          </w:p>
        </w:tc>
        <w:tc>
          <w:tcPr>
            <w:tcW w:w="1222"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bCs/>
                <w:color w:val="FF0000"/>
                <w:kern w:val="2"/>
                <w:sz w:val="21"/>
                <w:szCs w:val="21"/>
                <w:lang w:val="en-US" w:eastAsia="zh-CN" w:bidi="ar-SA"/>
              </w:rPr>
            </w:pPr>
            <w:r>
              <w:rPr>
                <w:rFonts w:hint="eastAsia" w:cs="Times New Roman"/>
                <w:bCs/>
                <w:color w:val="FF0000"/>
                <w:sz w:val="21"/>
                <w:szCs w:val="21"/>
                <w:lang w:val="en-US" w:eastAsia="zh-CN"/>
              </w:rPr>
              <w:t>5840</w:t>
            </w:r>
          </w:p>
        </w:tc>
        <w:tc>
          <w:tcPr>
            <w:tcW w:w="118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bCs/>
                <w:color w:val="FF0000"/>
                <w:kern w:val="2"/>
                <w:sz w:val="21"/>
                <w:szCs w:val="21"/>
                <w:lang w:val="en-US" w:eastAsia="zh-CN" w:bidi="ar-SA"/>
              </w:rPr>
            </w:pPr>
            <w:r>
              <w:rPr>
                <w:rFonts w:hint="eastAsia" w:cs="Times New Roman"/>
                <w:bCs/>
                <w:color w:val="FF0000"/>
                <w:sz w:val="21"/>
                <w:szCs w:val="21"/>
                <w:lang w:val="en-US" w:eastAsia="zh-CN"/>
              </w:rPr>
              <w:t>0.9</w:t>
            </w:r>
          </w:p>
        </w:tc>
        <w:tc>
          <w:tcPr>
            <w:tcW w:w="141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bCs/>
                <w:color w:val="FF0000"/>
                <w:kern w:val="2"/>
                <w:sz w:val="21"/>
                <w:szCs w:val="21"/>
                <w:lang w:val="en-US" w:eastAsia="zh-CN" w:bidi="ar-SA"/>
              </w:rPr>
            </w:pPr>
            <w:r>
              <w:rPr>
                <w:rFonts w:hint="eastAsia" w:cs="Times New Roman"/>
                <w:bCs/>
                <w:color w:val="FF0000"/>
                <w:sz w:val="21"/>
                <w:szCs w:val="21"/>
                <w:lang w:val="en-US" w:eastAsia="zh-CN"/>
              </w:rPr>
              <w:t>14.4</w:t>
            </w:r>
          </w:p>
        </w:tc>
        <w:tc>
          <w:tcPr>
            <w:tcW w:w="141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bCs/>
                <w:color w:val="FF0000"/>
                <w:kern w:val="2"/>
                <w:sz w:val="21"/>
                <w:szCs w:val="21"/>
                <w:lang w:val="en-US" w:eastAsia="zh-CN" w:bidi="ar-SA"/>
              </w:rPr>
            </w:pPr>
            <w:r>
              <w:rPr>
                <w:rFonts w:hint="eastAsia" w:cs="Times New Roman"/>
                <w:bCs/>
                <w:color w:val="FF0000"/>
                <w:sz w:val="21"/>
                <w:szCs w:val="21"/>
                <w:lang w:val="en-US" w:eastAsia="zh-CN"/>
              </w:rPr>
              <w:t>5256</w:t>
            </w:r>
          </w:p>
        </w:tc>
        <w:tc>
          <w:tcPr>
            <w:tcW w:w="19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使用新鲜水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3</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猪舍降温用水</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eastAsia" w:cs="Times New Roman"/>
                <w:color w:val="FF0000"/>
                <w:sz w:val="21"/>
                <w:szCs w:val="21"/>
                <w:lang w:val="en-US" w:eastAsia="zh-CN"/>
              </w:rPr>
            </w:pPr>
            <w:r>
              <w:rPr>
                <w:rFonts w:hint="eastAsia" w:cs="Times New Roman"/>
                <w:color w:val="FF0000"/>
                <w:sz w:val="21"/>
                <w:szCs w:val="21"/>
                <w:lang w:val="en-US" w:eastAsia="zh-CN"/>
              </w:rPr>
              <w:t>8套</w:t>
            </w:r>
          </w:p>
        </w:tc>
        <w:tc>
          <w:tcPr>
            <w:tcW w:w="219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bCs/>
                <w:color w:val="FF0000"/>
                <w:sz w:val="21"/>
                <w:szCs w:val="21"/>
              </w:rPr>
            </w:pPr>
            <w:r>
              <w:rPr>
                <w:rFonts w:hint="default" w:ascii="Times New Roman" w:hAnsi="Times New Roman" w:eastAsia="宋体" w:cs="Times New Roman"/>
                <w:color w:val="FF0000"/>
                <w:kern w:val="0"/>
                <w:sz w:val="21"/>
                <w:szCs w:val="21"/>
                <w:lang w:val="en-US" w:eastAsia="zh-CN" w:bidi="ar"/>
              </w:rPr>
              <w:t>0.6m</w:t>
            </w:r>
            <w:r>
              <w:rPr>
                <w:rFonts w:hint="default" w:ascii="Times New Roman" w:hAnsi="Times New Roman" w:eastAsia="宋体" w:cs="Times New Roman"/>
                <w:color w:val="FF0000"/>
                <w:kern w:val="0"/>
                <w:sz w:val="21"/>
                <w:szCs w:val="21"/>
                <w:vertAlign w:val="superscript"/>
                <w:lang w:val="en-US" w:eastAsia="zh-CN" w:bidi="ar"/>
              </w:rPr>
              <w:t>3</w:t>
            </w:r>
            <w:r>
              <w:rPr>
                <w:rFonts w:hint="default" w:ascii="Times New Roman" w:hAnsi="Times New Roman" w:eastAsia="宋体" w:cs="Times New Roman"/>
                <w:color w:val="FF0000"/>
                <w:kern w:val="0"/>
                <w:sz w:val="21"/>
                <w:szCs w:val="21"/>
                <w:lang w:val="en-US" w:eastAsia="zh-CN" w:bidi="ar"/>
              </w:rPr>
              <w:t>/d</w:t>
            </w:r>
          </w:p>
        </w:tc>
        <w:tc>
          <w:tcPr>
            <w:tcW w:w="155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cs="Times New Roman"/>
                <w:bCs/>
                <w:color w:val="FF0000"/>
                <w:sz w:val="21"/>
                <w:szCs w:val="21"/>
                <w:lang w:val="en-US" w:eastAsia="zh-CN"/>
              </w:rPr>
            </w:pPr>
            <w:r>
              <w:rPr>
                <w:rFonts w:hint="eastAsia" w:cs="Times New Roman"/>
                <w:bCs/>
                <w:color w:val="FF0000"/>
                <w:sz w:val="21"/>
                <w:szCs w:val="21"/>
                <w:lang w:val="en-US" w:eastAsia="zh-CN"/>
              </w:rPr>
              <w:t>4.8</w:t>
            </w:r>
          </w:p>
        </w:tc>
        <w:tc>
          <w:tcPr>
            <w:tcW w:w="1222"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cs="Times New Roman"/>
                <w:bCs/>
                <w:color w:val="FF0000"/>
                <w:sz w:val="21"/>
                <w:szCs w:val="21"/>
                <w:lang w:val="en-US" w:eastAsia="zh-CN"/>
              </w:rPr>
            </w:pPr>
            <w:r>
              <w:rPr>
                <w:rFonts w:hint="eastAsia" w:cs="Times New Roman"/>
                <w:bCs/>
                <w:color w:val="FF0000"/>
                <w:sz w:val="21"/>
                <w:szCs w:val="21"/>
                <w:lang w:val="en-US" w:eastAsia="zh-CN"/>
              </w:rPr>
              <w:t>288</w:t>
            </w:r>
          </w:p>
        </w:tc>
        <w:tc>
          <w:tcPr>
            <w:tcW w:w="118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cs="Times New Roman"/>
                <w:bCs/>
                <w:color w:val="FF0000"/>
                <w:sz w:val="21"/>
                <w:szCs w:val="21"/>
                <w:lang w:val="en-US" w:eastAsia="zh-CN"/>
              </w:rPr>
            </w:pPr>
            <w:r>
              <w:rPr>
                <w:rFonts w:hint="default" w:cs="Times New Roman"/>
                <w:bCs/>
                <w:color w:val="FF0000"/>
                <w:sz w:val="21"/>
                <w:szCs w:val="21"/>
                <w:lang w:val="en-US" w:eastAsia="zh-CN"/>
              </w:rPr>
              <w:t>/</w:t>
            </w:r>
          </w:p>
        </w:tc>
        <w:tc>
          <w:tcPr>
            <w:tcW w:w="141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cs="Times New Roman"/>
                <w:bCs/>
                <w:color w:val="FF0000"/>
                <w:sz w:val="21"/>
                <w:szCs w:val="21"/>
                <w:lang w:val="en-US" w:eastAsia="zh-CN"/>
              </w:rPr>
            </w:pPr>
            <w:r>
              <w:rPr>
                <w:rFonts w:hint="eastAsia" w:cs="Times New Roman"/>
                <w:bCs/>
                <w:color w:val="FF0000"/>
                <w:sz w:val="21"/>
                <w:szCs w:val="21"/>
                <w:lang w:val="en-US" w:eastAsia="zh-CN"/>
              </w:rPr>
              <w:t>/</w:t>
            </w:r>
          </w:p>
        </w:tc>
        <w:tc>
          <w:tcPr>
            <w:tcW w:w="141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cs="Times New Roman"/>
                <w:bCs/>
                <w:color w:val="FF0000"/>
                <w:sz w:val="21"/>
                <w:szCs w:val="21"/>
                <w:lang w:val="en-US" w:eastAsia="zh-CN"/>
              </w:rPr>
            </w:pPr>
            <w:r>
              <w:rPr>
                <w:rFonts w:hint="eastAsia" w:cs="Times New Roman"/>
                <w:bCs/>
                <w:color w:val="FF0000"/>
                <w:sz w:val="21"/>
                <w:szCs w:val="21"/>
                <w:lang w:val="en-US" w:eastAsia="zh-CN"/>
              </w:rPr>
              <w:t>/</w:t>
            </w:r>
          </w:p>
        </w:tc>
        <w:tc>
          <w:tcPr>
            <w:tcW w:w="19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rPr>
            </w:pPr>
            <w:r>
              <w:rPr>
                <w:rFonts w:hint="eastAsia" w:cs="Times New Roman"/>
                <w:color w:val="FF0000"/>
                <w:kern w:val="2"/>
                <w:sz w:val="21"/>
                <w:szCs w:val="21"/>
                <w:lang w:val="en-US" w:eastAsia="zh-CN" w:bidi="ar-SA"/>
              </w:rPr>
              <w:t>循环使用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4</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冬季</w:t>
            </w:r>
            <w:r>
              <w:rPr>
                <w:rFonts w:hint="default" w:ascii="Times New Roman" w:hAnsi="Times New Roman" w:eastAsia="宋体" w:cs="Times New Roman"/>
                <w:bCs/>
                <w:color w:val="FF0000"/>
                <w:sz w:val="21"/>
                <w:szCs w:val="21"/>
              </w:rPr>
              <w:t>电锅炉</w:t>
            </w:r>
            <w:r>
              <w:rPr>
                <w:rFonts w:hint="default" w:ascii="Times New Roman" w:hAnsi="Times New Roman" w:eastAsia="宋体" w:cs="Times New Roman"/>
                <w:color w:val="FF0000"/>
                <w:sz w:val="21"/>
                <w:szCs w:val="21"/>
              </w:rPr>
              <w:t>补水</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bCs/>
                <w:color w:val="FF0000"/>
                <w:kern w:val="2"/>
                <w:sz w:val="21"/>
                <w:szCs w:val="21"/>
                <w:lang w:val="en-US" w:eastAsia="zh-CN" w:bidi="ar-SA"/>
              </w:rPr>
            </w:pPr>
            <w:r>
              <w:rPr>
                <w:rFonts w:hint="eastAsia" w:cs="Times New Roman"/>
                <w:bCs/>
                <w:color w:val="FF0000"/>
                <w:sz w:val="21"/>
                <w:szCs w:val="21"/>
                <w:lang w:val="en-US" w:eastAsia="zh-CN"/>
              </w:rPr>
              <w:t>4</w:t>
            </w:r>
            <w:r>
              <w:rPr>
                <w:rFonts w:hint="default" w:ascii="Times New Roman" w:hAnsi="Times New Roman" w:eastAsia="宋体" w:cs="Times New Roman"/>
                <w:bCs/>
                <w:color w:val="FF0000"/>
                <w:sz w:val="21"/>
                <w:szCs w:val="21"/>
              </w:rPr>
              <w:t>台</w:t>
            </w:r>
          </w:p>
        </w:tc>
        <w:tc>
          <w:tcPr>
            <w:tcW w:w="219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bCs/>
                <w:color w:val="FF0000"/>
                <w:kern w:val="2"/>
                <w:sz w:val="21"/>
                <w:szCs w:val="21"/>
                <w:lang w:val="en-US" w:eastAsia="zh-CN" w:bidi="ar-SA"/>
              </w:rPr>
            </w:pPr>
            <w:r>
              <w:rPr>
                <w:rFonts w:hint="default" w:ascii="Times New Roman" w:hAnsi="Times New Roman" w:eastAsia="宋体" w:cs="Times New Roman"/>
                <w:bCs/>
                <w:color w:val="FF0000"/>
                <w:sz w:val="21"/>
                <w:szCs w:val="21"/>
              </w:rPr>
              <w:t>/</w:t>
            </w:r>
          </w:p>
        </w:tc>
        <w:tc>
          <w:tcPr>
            <w:tcW w:w="155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3.2</w:t>
            </w:r>
          </w:p>
        </w:tc>
        <w:tc>
          <w:tcPr>
            <w:tcW w:w="1222"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576</w:t>
            </w:r>
          </w:p>
        </w:tc>
        <w:tc>
          <w:tcPr>
            <w:tcW w:w="118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w:t>
            </w:r>
          </w:p>
        </w:tc>
        <w:tc>
          <w:tcPr>
            <w:tcW w:w="141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2.8</w:t>
            </w:r>
          </w:p>
        </w:tc>
        <w:tc>
          <w:tcPr>
            <w:tcW w:w="141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504</w:t>
            </w:r>
          </w:p>
        </w:tc>
        <w:tc>
          <w:tcPr>
            <w:tcW w:w="19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使用新鲜水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5</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洗消中心用水</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1座</w:t>
            </w:r>
          </w:p>
        </w:tc>
        <w:tc>
          <w:tcPr>
            <w:tcW w:w="219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bCs/>
                <w:color w:val="FF0000"/>
                <w:sz w:val="21"/>
                <w:szCs w:val="21"/>
              </w:rPr>
              <w:t>/</w:t>
            </w:r>
          </w:p>
        </w:tc>
        <w:tc>
          <w:tcPr>
            <w:tcW w:w="155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0.2</w:t>
            </w:r>
          </w:p>
        </w:tc>
        <w:tc>
          <w:tcPr>
            <w:tcW w:w="1222"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73</w:t>
            </w:r>
          </w:p>
        </w:tc>
        <w:tc>
          <w:tcPr>
            <w:tcW w:w="118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w:t>
            </w:r>
          </w:p>
        </w:tc>
        <w:tc>
          <w:tcPr>
            <w:tcW w:w="141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w:t>
            </w:r>
          </w:p>
        </w:tc>
        <w:tc>
          <w:tcPr>
            <w:tcW w:w="141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w:t>
            </w:r>
          </w:p>
        </w:tc>
        <w:tc>
          <w:tcPr>
            <w:tcW w:w="19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循环使用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6</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生活用水</w:t>
            </w:r>
          </w:p>
        </w:tc>
        <w:tc>
          <w:tcPr>
            <w:tcW w:w="0" w:type="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50人</w:t>
            </w:r>
          </w:p>
        </w:tc>
        <w:tc>
          <w:tcPr>
            <w:tcW w:w="2196"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6</w:t>
            </w:r>
            <w:r>
              <w:rPr>
                <w:rFonts w:hint="default" w:ascii="Times New Roman" w:hAnsi="Times New Roman" w:eastAsia="宋体" w:cs="Times New Roman"/>
                <w:color w:val="FF0000"/>
                <w:sz w:val="21"/>
                <w:szCs w:val="21"/>
              </w:rPr>
              <w:t>0L/人·d</w:t>
            </w:r>
          </w:p>
        </w:tc>
        <w:tc>
          <w:tcPr>
            <w:tcW w:w="155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3</w:t>
            </w:r>
            <w:r>
              <w:rPr>
                <w:rFonts w:hint="default" w:ascii="Times New Roman" w:hAnsi="Times New Roman" w:eastAsia="宋体" w:cs="Times New Roman"/>
                <w:color w:val="FF0000"/>
                <w:sz w:val="21"/>
                <w:szCs w:val="21"/>
              </w:rPr>
              <w:t>.0</w:t>
            </w:r>
          </w:p>
        </w:tc>
        <w:tc>
          <w:tcPr>
            <w:tcW w:w="1222"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109</w:t>
            </w:r>
            <w:r>
              <w:rPr>
                <w:rFonts w:hint="default" w:ascii="Times New Roman" w:hAnsi="Times New Roman" w:eastAsia="宋体" w:cs="Times New Roman"/>
                <w:color w:val="FF0000"/>
                <w:sz w:val="21"/>
                <w:szCs w:val="21"/>
              </w:rPr>
              <w:t>5.0</w:t>
            </w:r>
          </w:p>
        </w:tc>
        <w:tc>
          <w:tcPr>
            <w:tcW w:w="118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0.80</w:t>
            </w:r>
          </w:p>
        </w:tc>
        <w:tc>
          <w:tcPr>
            <w:tcW w:w="141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2.4</w:t>
            </w:r>
          </w:p>
        </w:tc>
        <w:tc>
          <w:tcPr>
            <w:tcW w:w="141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876</w:t>
            </w:r>
          </w:p>
        </w:tc>
        <w:tc>
          <w:tcPr>
            <w:tcW w:w="19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使用新鲜水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641" w:type="dxa"/>
            <w:gridSpan w:val="4"/>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新鲜水合计</w:t>
            </w:r>
          </w:p>
        </w:tc>
        <w:tc>
          <w:tcPr>
            <w:tcW w:w="1555"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80</w:t>
            </w:r>
          </w:p>
        </w:tc>
        <w:tc>
          <w:tcPr>
            <w:tcW w:w="1222"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27144</w:t>
            </w:r>
          </w:p>
        </w:tc>
        <w:tc>
          <w:tcPr>
            <w:tcW w:w="118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w:t>
            </w:r>
          </w:p>
        </w:tc>
        <w:tc>
          <w:tcPr>
            <w:tcW w:w="1417"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44.53</w:t>
            </w:r>
          </w:p>
        </w:tc>
        <w:tc>
          <w:tcPr>
            <w:tcW w:w="141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15735.45</w:t>
            </w:r>
          </w:p>
        </w:tc>
        <w:tc>
          <w:tcPr>
            <w:tcW w:w="1948"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w:t>
            </w:r>
          </w:p>
        </w:tc>
      </w:tr>
    </w:tbl>
    <w:p>
      <w:pPr>
        <w:pStyle w:val="41"/>
        <w:rPr>
          <w:rFonts w:hint="default"/>
          <w:color w:val="auto"/>
          <w:lang w:val="en-US" w:eastAsia="zh-CN"/>
        </w:rPr>
        <w:sectPr>
          <w:pgSz w:w="16838" w:h="11906" w:orient="landscape"/>
          <w:pgMar w:top="1418" w:right="1247" w:bottom="1701" w:left="1418"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41"/>
        <w:ind w:left="0" w:leftChars="0" w:firstLine="0" w:firstLineChars="0"/>
        <w:rPr>
          <w:rFonts w:hint="default"/>
          <w:color w:val="auto"/>
          <w:lang w:val="en-US" w:eastAsia="zh-CN"/>
        </w:rPr>
      </w:pPr>
      <w:r>
        <w:rPr>
          <w:rFonts w:hint="default"/>
          <w:color w:val="auto"/>
          <w:lang w:val="en-US" w:eastAsia="zh-CN"/>
        </w:rPr>
        <w:drawing>
          <wp:anchor distT="0" distB="0" distL="114300" distR="114300" simplePos="0" relativeHeight="251794432" behindDoc="0" locked="0" layoutInCell="1" allowOverlap="1">
            <wp:simplePos x="0" y="0"/>
            <wp:positionH relativeFrom="column">
              <wp:posOffset>138430</wp:posOffset>
            </wp:positionH>
            <wp:positionV relativeFrom="paragraph">
              <wp:posOffset>179070</wp:posOffset>
            </wp:positionV>
            <wp:extent cx="5400040" cy="3181350"/>
            <wp:effectExtent l="0" t="0" r="10160" b="0"/>
            <wp:wrapNone/>
            <wp:docPr id="18" name="图片 18"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4"/>
                    <pic:cNvPicPr>
                      <a:picLocks noChangeAspect="1"/>
                    </pic:cNvPicPr>
                  </pic:nvPicPr>
                  <pic:blipFill>
                    <a:blip r:embed="rId26"/>
                    <a:stretch>
                      <a:fillRect/>
                    </a:stretch>
                  </pic:blipFill>
                  <pic:spPr>
                    <a:xfrm>
                      <a:off x="0" y="0"/>
                      <a:ext cx="5400040" cy="3181350"/>
                    </a:xfrm>
                    <a:prstGeom prst="rect">
                      <a:avLst/>
                    </a:prstGeom>
                  </pic:spPr>
                </pic:pic>
              </a:graphicData>
            </a:graphic>
          </wp:anchor>
        </w:drawing>
      </w:r>
    </w:p>
    <w:p>
      <w:pPr>
        <w:pStyle w:val="41"/>
        <w:rPr>
          <w:rFonts w:hint="default"/>
          <w:color w:val="auto"/>
          <w:lang w:val="en-US" w:eastAsia="zh-CN"/>
        </w:rPr>
      </w:pPr>
    </w:p>
    <w:p>
      <w:pPr>
        <w:bidi w:val="0"/>
        <w:ind w:left="0" w:leftChars="0" w:firstLine="0" w:firstLineChars="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pStyle w:val="41"/>
        <w:rPr>
          <w:rFonts w:hint="default" w:ascii="Times New Roman" w:hAnsi="Times New Roman" w:eastAsia="宋体" w:cs="Times New Roman"/>
          <w:color w:val="auto"/>
          <w:lang w:val="en-US" w:eastAsia="zh-CN"/>
        </w:rPr>
      </w:pPr>
    </w:p>
    <w:p>
      <w:pPr>
        <w:pStyle w:val="41"/>
        <w:rPr>
          <w:rFonts w:hint="default" w:ascii="Times New Roman" w:hAnsi="Times New Roman" w:eastAsia="宋体" w:cs="Times New Roman"/>
          <w:color w:val="auto"/>
          <w:lang w:val="en-US" w:eastAsia="zh-CN"/>
        </w:rPr>
      </w:pPr>
    </w:p>
    <w:p>
      <w:pPr>
        <w:pStyle w:val="41"/>
        <w:rPr>
          <w:rFonts w:hint="default" w:ascii="Times New Roman" w:hAnsi="Times New Roman" w:eastAsia="宋体" w:cs="Times New Roman"/>
          <w:color w:val="auto"/>
          <w:lang w:val="en-US" w:eastAsia="zh-CN"/>
        </w:rPr>
      </w:pPr>
    </w:p>
    <w:p>
      <w:pPr>
        <w:pStyle w:val="41"/>
        <w:rPr>
          <w:rFonts w:hint="default" w:ascii="Times New Roman" w:hAnsi="Times New Roman" w:eastAsia="宋体" w:cs="Times New Roman"/>
          <w:color w:val="auto"/>
          <w:lang w:val="en-US" w:eastAsia="zh-CN"/>
        </w:rPr>
      </w:pPr>
    </w:p>
    <w:p>
      <w:pPr>
        <w:pStyle w:val="41"/>
        <w:rPr>
          <w:rFonts w:hint="default" w:ascii="Times New Roman" w:hAnsi="Times New Roman" w:eastAsia="宋体" w:cs="Times New Roman"/>
          <w:color w:val="auto"/>
          <w:lang w:val="en-US" w:eastAsia="zh-CN"/>
        </w:rPr>
      </w:pPr>
    </w:p>
    <w:p>
      <w:pPr>
        <w:pStyle w:val="41"/>
        <w:rPr>
          <w:rFonts w:hint="default" w:ascii="Times New Roman" w:hAnsi="Times New Roman" w:eastAsia="宋体" w:cs="Times New Roman"/>
          <w:color w:val="auto"/>
          <w:lang w:val="en-US" w:eastAsia="zh-CN"/>
        </w:rPr>
      </w:pPr>
    </w:p>
    <w:p>
      <w:pPr>
        <w:pStyle w:val="41"/>
        <w:ind w:left="0" w:leftChars="0" w:firstLine="0" w:firstLineChars="0"/>
        <w:jc w:val="center"/>
        <w:rPr>
          <w:rFonts w:hint="eastAsia" w:cs="Times New Roman"/>
          <w:color w:val="FF0000"/>
          <w:lang w:eastAsia="zh-CN"/>
        </w:rPr>
      </w:pPr>
      <w:r>
        <w:rPr>
          <w:rFonts w:hint="default" w:ascii="Times New Roman" w:hAnsi="Times New Roman" w:eastAsia="宋体" w:cs="Times New Roman"/>
          <w:b/>
          <w:bCs/>
          <w:color w:val="FF0000"/>
        </w:rPr>
        <w:t>图3.1-4</w:t>
      </w:r>
      <w:r>
        <w:rPr>
          <w:rFonts w:hint="eastAsia" w:cs="Times New Roman"/>
          <w:b/>
          <w:bCs/>
          <w:color w:val="FF0000"/>
          <w:lang w:val="en-US" w:eastAsia="zh-CN"/>
        </w:rPr>
        <w:t xml:space="preserve">   </w:t>
      </w:r>
      <w:r>
        <w:rPr>
          <w:rFonts w:hint="eastAsia" w:cs="Times New Roman"/>
          <w:b/>
          <w:bCs/>
          <w:color w:val="FF0000"/>
          <w:lang w:eastAsia="zh-CN"/>
        </w:rPr>
        <w:t>夏季</w:t>
      </w:r>
      <w:r>
        <w:rPr>
          <w:rFonts w:hint="default" w:ascii="Times New Roman" w:hAnsi="Times New Roman" w:eastAsia="宋体" w:cs="Times New Roman"/>
          <w:b/>
          <w:bCs/>
          <w:color w:val="FF0000"/>
        </w:rPr>
        <w:t>水平衡</w:t>
      </w:r>
      <w:r>
        <w:rPr>
          <w:rFonts w:hint="eastAsia" w:cs="Times New Roman"/>
          <w:b/>
          <w:bCs/>
          <w:color w:val="FF0000"/>
          <w:lang w:eastAsia="zh-CN"/>
        </w:rPr>
        <w:t>图</w:t>
      </w:r>
    </w:p>
    <w:p>
      <w:pPr>
        <w:pStyle w:val="41"/>
        <w:ind w:left="0" w:leftChars="0" w:firstLine="0" w:firstLineChars="0"/>
        <w:rPr>
          <w:rFonts w:hint="eastAsia" w:cs="Times New Roman"/>
          <w:color w:val="FF0000"/>
          <w:lang w:eastAsia="zh-CN"/>
        </w:rPr>
      </w:pPr>
      <w:r>
        <w:rPr>
          <w:rFonts w:hint="eastAsia" w:cs="Times New Roman"/>
          <w:color w:val="FF0000"/>
          <w:lang w:eastAsia="zh-CN"/>
        </w:rPr>
        <w:drawing>
          <wp:anchor distT="0" distB="0" distL="114300" distR="114300" simplePos="0" relativeHeight="251795456" behindDoc="0" locked="0" layoutInCell="1" allowOverlap="1">
            <wp:simplePos x="0" y="0"/>
            <wp:positionH relativeFrom="column">
              <wp:posOffset>176530</wp:posOffset>
            </wp:positionH>
            <wp:positionV relativeFrom="paragraph">
              <wp:posOffset>243205</wp:posOffset>
            </wp:positionV>
            <wp:extent cx="5400040" cy="2898140"/>
            <wp:effectExtent l="0" t="0" r="10160" b="16510"/>
            <wp:wrapNone/>
            <wp:docPr id="20" name="图片 20"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5"/>
                    <pic:cNvPicPr>
                      <a:picLocks noChangeAspect="1"/>
                    </pic:cNvPicPr>
                  </pic:nvPicPr>
                  <pic:blipFill>
                    <a:blip r:embed="rId27"/>
                    <a:stretch>
                      <a:fillRect/>
                    </a:stretch>
                  </pic:blipFill>
                  <pic:spPr>
                    <a:xfrm>
                      <a:off x="0" y="0"/>
                      <a:ext cx="5400040" cy="2898140"/>
                    </a:xfrm>
                    <a:prstGeom prst="rect">
                      <a:avLst/>
                    </a:prstGeom>
                  </pic:spPr>
                </pic:pic>
              </a:graphicData>
            </a:graphic>
          </wp:anchor>
        </w:drawing>
      </w:r>
    </w:p>
    <w:p>
      <w:pPr>
        <w:pStyle w:val="41"/>
        <w:ind w:left="0" w:leftChars="0" w:firstLine="0" w:firstLineChars="0"/>
        <w:rPr>
          <w:rFonts w:hint="eastAsia" w:cs="Times New Roman"/>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eastAsia" w:cs="Times New Roman"/>
          <w:b/>
          <w:bCs/>
          <w:color w:val="FF0000"/>
          <w:lang w:eastAsia="zh-CN"/>
        </w:rPr>
      </w:pPr>
    </w:p>
    <w:p>
      <w:pPr>
        <w:pStyle w:val="41"/>
        <w:ind w:left="0" w:leftChars="0" w:firstLine="0" w:firstLineChars="0"/>
        <w:jc w:val="center"/>
        <w:rPr>
          <w:rFonts w:hint="default" w:ascii="Times New Roman" w:hAnsi="Times New Roman" w:eastAsia="宋体" w:cs="Times New Roman"/>
          <w:color w:val="auto"/>
          <w:lang w:val="en-US" w:eastAsia="zh-CN"/>
        </w:rPr>
      </w:pPr>
      <w:r>
        <w:rPr>
          <w:rFonts w:hint="eastAsia" w:cs="Times New Roman"/>
          <w:b/>
          <w:bCs/>
          <w:color w:val="FF0000"/>
          <w:lang w:eastAsia="zh-CN"/>
        </w:rPr>
        <w:t>图</w:t>
      </w:r>
      <w:r>
        <w:rPr>
          <w:rFonts w:hint="eastAsia" w:cs="Times New Roman"/>
          <w:b/>
          <w:bCs/>
          <w:color w:val="FF0000"/>
          <w:lang w:val="en-US" w:eastAsia="zh-CN"/>
        </w:rPr>
        <w:t>3.1-5   冬季水平衡图</w:t>
      </w:r>
    </w:p>
    <w:p>
      <w:pPr>
        <w:pStyle w:val="41"/>
        <w:rPr>
          <w:rFonts w:hint="default" w:ascii="Times New Roman" w:hAnsi="Times New Roman" w:eastAsia="宋体" w:cs="Times New Roman"/>
          <w:color w:val="auto"/>
          <w:lang w:val="en-US" w:eastAsia="zh-CN"/>
        </w:rPr>
      </w:pPr>
    </w:p>
    <w:p>
      <w:pPr>
        <w:pStyle w:val="41"/>
        <w:rPr>
          <w:rFonts w:hint="default" w:ascii="Times New Roman" w:hAnsi="Times New Roman" w:eastAsia="宋体" w:cs="Times New Roman"/>
          <w:color w:val="auto"/>
          <w:lang w:val="en-US" w:eastAsia="zh-CN"/>
        </w:rPr>
        <w:sectPr>
          <w:pgSz w:w="11906" w:h="16838"/>
          <w:pgMar w:top="1247" w:right="1701" w:bottom="1418" w:left="1418"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3.1.6.3供电</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本项目用电由当地供电网络提供电源，本项目设变配电室1座，安装容量为315KVA变压器1台，年用电量为</w:t>
      </w:r>
      <w:r>
        <w:rPr>
          <w:rFonts w:hint="eastAsia" w:cs="Times New Roman"/>
          <w:color w:val="auto"/>
          <w:lang w:val="en-US" w:eastAsia="zh-CN"/>
        </w:rPr>
        <w:t>55</w:t>
      </w:r>
      <w:r>
        <w:rPr>
          <w:rFonts w:hint="default" w:ascii="Times New Roman" w:hAnsi="Times New Roman" w:eastAsia="宋体" w:cs="Times New Roman"/>
          <w:color w:val="auto"/>
        </w:rPr>
        <w:t>万KW·h。</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配电线路采用放射式方式敷设。场区内的电缆采用电缆架空、穿管埋地敷设和直埋敷设相结合的方式。照明导线敷设方式为穿阻燃PVC管暗配或明配。</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3.1.6.4供热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项目新建锅炉房2座，1F，内部安装</w:t>
      </w:r>
      <w:r>
        <w:rPr>
          <w:rFonts w:hint="eastAsia" w:ascii="Times New Roman" w:hAnsi="Times New Roman" w:eastAsia="宋体" w:cs="Times New Roman"/>
          <w:color w:val="auto"/>
          <w:lang w:val="en-US" w:eastAsia="zh-CN"/>
        </w:rPr>
        <w:t>4</w:t>
      </w:r>
      <w:r>
        <w:rPr>
          <w:rFonts w:hint="default" w:ascii="Times New Roman" w:hAnsi="Times New Roman" w:eastAsia="宋体" w:cs="Times New Roman"/>
          <w:color w:val="auto"/>
        </w:rPr>
        <w:t>台电锅炉供暖，</w:t>
      </w:r>
      <w:r>
        <w:rPr>
          <w:rFonts w:hint="eastAsia" w:cs="Times New Roman"/>
          <w:color w:val="FF0000"/>
          <w:lang w:eastAsia="zh-CN"/>
        </w:rPr>
        <w:t>单台</w:t>
      </w:r>
      <w:r>
        <w:rPr>
          <w:rFonts w:hint="default" w:ascii="Times New Roman" w:hAnsi="Times New Roman" w:eastAsia="宋体" w:cs="Times New Roman"/>
          <w:color w:val="auto"/>
        </w:rPr>
        <w:t>额定热功率150KW</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为猪舍和生活区供暖</w:t>
      </w:r>
      <w:r>
        <w:rPr>
          <w:rFonts w:hint="default" w:ascii="Times New Roman" w:hAnsi="Times New Roman" w:eastAsia="宋体" w:cs="Times New Roman"/>
          <w:color w:val="auto"/>
        </w:rPr>
        <w:t>。</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3.1.6.</w:t>
      </w:r>
      <w:r>
        <w:rPr>
          <w:rFonts w:hint="default" w:ascii="Times New Roman" w:hAnsi="Times New Roman" w:eastAsia="宋体" w:cs="Times New Roman"/>
          <w:color w:val="auto"/>
          <w:lang w:val="en-US" w:eastAsia="zh-CN"/>
        </w:rPr>
        <w:t>5</w:t>
      </w:r>
      <w:r>
        <w:rPr>
          <w:rFonts w:hint="eastAsia" w:cs="Times New Roman"/>
          <w:color w:val="auto"/>
          <w:lang w:eastAsia="zh-CN"/>
        </w:rPr>
        <w:t>猪舍</w:t>
      </w:r>
      <w:r>
        <w:rPr>
          <w:rFonts w:hint="default" w:ascii="Times New Roman" w:hAnsi="Times New Roman" w:eastAsia="宋体" w:cs="Times New Roman"/>
          <w:color w:val="auto"/>
        </w:rPr>
        <w:t>保暖和通风</w:t>
      </w:r>
    </w:p>
    <w:p>
      <w:pPr>
        <w:ind w:firstLine="480"/>
        <w:rPr>
          <w:rFonts w:hint="default" w:ascii="Times New Roman" w:hAnsi="Times New Roman" w:eastAsia="宋体" w:cs="Times New Roman"/>
          <w:color w:val="auto"/>
        </w:rPr>
      </w:pPr>
      <w:r>
        <w:rPr>
          <w:color w:val="auto"/>
          <w:kern w:val="0"/>
          <w:sz w:val="24"/>
        </w:rPr>
        <w:t>车间内通风以自然通风为主，辅以机械通风。各猪舍均设置有通风系统，保证猪舍的空气流通。进风由外窗及外门补风，排风由屋脊通风器排风，在发热较大的工作岗位设置屋顶风机局部通风</w:t>
      </w:r>
      <w:r>
        <w:rPr>
          <w:rFonts w:hint="default" w:ascii="Times New Roman" w:hAnsi="Times New Roman" w:eastAsia="宋体" w:cs="Times New Roman"/>
          <w:color w:val="auto"/>
          <w:lang w:val="zh-CN"/>
        </w:rPr>
        <w:t>。</w:t>
      </w:r>
    </w:p>
    <w:p>
      <w:pPr>
        <w:pStyle w:val="6"/>
        <w:rPr>
          <w:rFonts w:hint="default" w:ascii="Times New Roman" w:hAnsi="Times New Roman" w:eastAsia="宋体" w:cs="Times New Roman"/>
          <w:color w:val="auto"/>
        </w:rPr>
      </w:pPr>
      <w:bookmarkStart w:id="198" w:name="_Toc46421088"/>
      <w:bookmarkStart w:id="199" w:name="_Toc494206290"/>
      <w:bookmarkStart w:id="200" w:name="_Toc523322290"/>
      <w:bookmarkStart w:id="201" w:name="_Toc29331"/>
      <w:r>
        <w:rPr>
          <w:rFonts w:hint="default" w:ascii="Times New Roman" w:hAnsi="Times New Roman" w:eastAsia="宋体" w:cs="Times New Roman"/>
          <w:color w:val="auto"/>
        </w:rPr>
        <w:t>3.1.7储运工程</w:t>
      </w:r>
      <w:bookmarkEnd w:id="198"/>
      <w:bookmarkEnd w:id="199"/>
      <w:bookmarkEnd w:id="200"/>
      <w:bookmarkEnd w:id="201"/>
    </w:p>
    <w:p>
      <w:pPr>
        <w:ind w:firstLine="480"/>
        <w:rPr>
          <w:rFonts w:hint="eastAsia" w:ascii="Times New Roman" w:hAnsi="Times New Roman" w:eastAsia="宋体" w:cs="Times New Roman"/>
          <w:color w:val="auto"/>
          <w:lang w:eastAsia="zh-CN"/>
        </w:rPr>
      </w:pPr>
      <w:r>
        <w:rPr>
          <w:color w:val="auto"/>
          <w:sz w:val="24"/>
        </w:rPr>
        <w:t>项目进场的原材料和出厂的商品猪全部采用公路运输的方式，场区道路在设计时将人流、物流分开，防止交叉污染，并严格限制进厂的车辆。车辆进入养殖区前，需经过门口的消毒通道</w:t>
      </w:r>
      <w:r>
        <w:rPr>
          <w:rFonts w:hint="eastAsia"/>
          <w:color w:val="auto"/>
          <w:sz w:val="24"/>
          <w:lang w:eastAsia="zh-CN"/>
        </w:rPr>
        <w:t>。</w:t>
      </w:r>
    </w:p>
    <w:p>
      <w:pPr>
        <w:pStyle w:val="6"/>
        <w:rPr>
          <w:rFonts w:hint="default" w:ascii="Times New Roman" w:hAnsi="Times New Roman" w:eastAsia="宋体" w:cs="Times New Roman"/>
          <w:color w:val="auto"/>
        </w:rPr>
      </w:pPr>
      <w:bookmarkStart w:id="202" w:name="_Toc46421089"/>
      <w:bookmarkStart w:id="203" w:name="_Toc9393"/>
      <w:r>
        <w:rPr>
          <w:rFonts w:hint="default" w:ascii="Times New Roman" w:hAnsi="Times New Roman" w:eastAsia="宋体" w:cs="Times New Roman"/>
          <w:color w:val="auto"/>
        </w:rPr>
        <w:t>3.1.8总平面布置</w:t>
      </w:r>
      <w:bookmarkEnd w:id="202"/>
      <w:bookmarkEnd w:id="20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本项目分为养殖区、生活区</w:t>
      </w:r>
      <w:r>
        <w:rPr>
          <w:rFonts w:hint="eastAsia" w:cs="Times New Roman"/>
          <w:color w:val="auto"/>
          <w:lang w:eastAsia="zh-CN"/>
        </w:rPr>
        <w:t>、</w:t>
      </w:r>
      <w:r>
        <w:rPr>
          <w:rFonts w:hint="eastAsia" w:cs="Times New Roman"/>
          <w:color w:val="auto"/>
          <w:lang w:val="en-US" w:eastAsia="zh-CN"/>
        </w:rPr>
        <w:t>粪污处置区三</w:t>
      </w:r>
      <w:r>
        <w:rPr>
          <w:rFonts w:hint="default" w:ascii="Times New Roman" w:hAnsi="Times New Roman" w:eastAsia="宋体" w:cs="Times New Roman"/>
          <w:color w:val="auto"/>
        </w:rPr>
        <w:t>个功能区。其中养殖区位于厂址</w:t>
      </w:r>
      <w:r>
        <w:rPr>
          <w:rFonts w:hint="eastAsia" w:cs="Times New Roman"/>
          <w:color w:val="auto"/>
          <w:lang w:val="en-US" w:eastAsia="zh-CN"/>
        </w:rPr>
        <w:t>中部</w:t>
      </w:r>
      <w:r>
        <w:rPr>
          <w:rFonts w:hint="eastAsia" w:cs="Times New Roman"/>
          <w:color w:val="auto"/>
          <w:lang w:eastAsia="zh-CN"/>
        </w:rPr>
        <w:t>、</w:t>
      </w:r>
      <w:r>
        <w:rPr>
          <w:rFonts w:hint="default" w:ascii="Times New Roman" w:hAnsi="Times New Roman" w:eastAsia="宋体" w:cs="Times New Roman"/>
          <w:color w:val="auto"/>
        </w:rPr>
        <w:t>生活区布置位于场区</w:t>
      </w:r>
      <w:r>
        <w:rPr>
          <w:rFonts w:hint="default" w:ascii="Times New Roman" w:hAnsi="Times New Roman" w:eastAsia="宋体" w:cs="Times New Roman"/>
          <w:color w:val="auto"/>
          <w:lang w:eastAsia="zh-CN"/>
        </w:rPr>
        <w:t>北</w:t>
      </w:r>
      <w:r>
        <w:rPr>
          <w:rFonts w:hint="eastAsia" w:cs="Times New Roman"/>
          <w:color w:val="auto"/>
          <w:lang w:val="en-US" w:eastAsia="zh-CN"/>
        </w:rPr>
        <w:t>侧、粪污处置区</w:t>
      </w:r>
      <w:r>
        <w:rPr>
          <w:rFonts w:hint="default" w:ascii="Times New Roman" w:hAnsi="Times New Roman" w:eastAsia="宋体" w:cs="Times New Roman"/>
          <w:color w:val="auto"/>
        </w:rPr>
        <w:t>位于场区</w:t>
      </w:r>
      <w:r>
        <w:rPr>
          <w:rFonts w:hint="eastAsia" w:cs="Times New Roman"/>
          <w:color w:val="auto"/>
          <w:lang w:val="en-US" w:eastAsia="zh-CN"/>
        </w:rPr>
        <w:t>南侧</w:t>
      </w:r>
      <w:r>
        <w:rPr>
          <w:rFonts w:hint="default" w:ascii="Times New Roman" w:hAnsi="Times New Roman" w:eastAsia="宋体" w:cs="Times New Roman"/>
          <w:color w:val="auto"/>
        </w:rPr>
        <w:t>；见图</w:t>
      </w:r>
      <w:r>
        <w:rPr>
          <w:rFonts w:hint="default" w:ascii="Times New Roman" w:hAnsi="Times New Roman" w:eastAsia="宋体" w:cs="Times New Roman"/>
          <w:color w:val="auto"/>
          <w:lang w:val="en-US" w:eastAsia="zh-CN"/>
        </w:rPr>
        <w:t>3.1-5</w:t>
      </w:r>
      <w:r>
        <w:rPr>
          <w:rFonts w:hint="default" w:ascii="Times New Roman" w:hAnsi="Times New Roman" w:eastAsia="宋体" w:cs="Times New Roman"/>
          <w:color w:val="auto"/>
        </w:rPr>
        <w:t>所示。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（1）本工程养殖区、生活管理区相互分开，</w:t>
      </w:r>
      <w:r>
        <w:rPr>
          <w:rFonts w:hint="eastAsia" w:cs="Times New Roman"/>
          <w:color w:val="auto"/>
          <w:lang w:val="en-US" w:eastAsia="zh-CN"/>
        </w:rPr>
        <w:t>位于</w:t>
      </w:r>
      <w:r>
        <w:rPr>
          <w:rFonts w:hint="default" w:ascii="Times New Roman" w:hAnsi="Times New Roman" w:eastAsia="宋体" w:cs="Times New Roman"/>
          <w:color w:val="auto"/>
        </w:rPr>
        <w:t>项目粪污处理区20年主导风向</w:t>
      </w:r>
      <w:r>
        <w:rPr>
          <w:rFonts w:hint="eastAsia" w:cs="Times New Roman"/>
          <w:color w:val="auto"/>
          <w:lang w:val="en-US" w:eastAsia="zh-CN"/>
        </w:rPr>
        <w:t>上</w:t>
      </w:r>
      <w:r>
        <w:rPr>
          <w:rFonts w:hint="default" w:ascii="Times New Roman" w:hAnsi="Times New Roman" w:eastAsia="宋体" w:cs="Times New Roman"/>
          <w:color w:val="auto"/>
        </w:rPr>
        <w:t>风向处，符合《畜禽养殖业污染防治技术规范》（HJ/T81-2001）的规定。</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rPr>
        <w:t>）本工程排水系统实行雨污分流，雨水沿着场区净水管网排出场区汇入排水沟，</w:t>
      </w:r>
      <w:r>
        <w:rPr>
          <w:rFonts w:hint="eastAsia" w:cs="Times New Roman"/>
          <w:color w:val="auto"/>
          <w:lang w:val="en-US" w:eastAsia="zh-CN"/>
        </w:rPr>
        <w:t>养殖废水</w:t>
      </w:r>
      <w:r>
        <w:rPr>
          <w:rFonts w:hint="default" w:ascii="Times New Roman" w:hAnsi="Times New Roman" w:eastAsia="宋体" w:cs="Times New Roman"/>
          <w:color w:val="auto"/>
        </w:rPr>
        <w:t>经厌氧发酵达到无害化后资源化还田利用。符合《畜禽养殖业污染防治技术规范》（HJ/T81-2001）的相关规定。</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3</w:t>
      </w:r>
      <w:r>
        <w:rPr>
          <w:rFonts w:hint="default" w:ascii="Times New Roman" w:hAnsi="Times New Roman" w:eastAsia="宋体" w:cs="Times New Roman"/>
          <w:color w:val="auto"/>
        </w:rPr>
        <w:t>）项目</w:t>
      </w:r>
      <w:r>
        <w:rPr>
          <w:rFonts w:hint="eastAsia" w:cs="Times New Roman"/>
          <w:color w:val="auto"/>
          <w:lang w:eastAsia="zh-CN"/>
        </w:rPr>
        <w:t>晾粪台</w:t>
      </w:r>
      <w:r>
        <w:rPr>
          <w:rFonts w:hint="default" w:ascii="Times New Roman" w:hAnsi="Times New Roman" w:eastAsia="宋体" w:cs="Times New Roman"/>
          <w:color w:val="auto"/>
        </w:rPr>
        <w:t>、</w:t>
      </w:r>
      <w:r>
        <w:rPr>
          <w:rFonts w:hint="eastAsia" w:cs="Times New Roman"/>
          <w:color w:val="auto"/>
          <w:lang w:val="en-US" w:eastAsia="zh-CN"/>
        </w:rPr>
        <w:t>化粪池、</w:t>
      </w:r>
      <w:r>
        <w:rPr>
          <w:rFonts w:hint="default" w:ascii="Times New Roman" w:hAnsi="Times New Roman" w:eastAsia="宋体" w:cs="Times New Roman"/>
          <w:color w:val="auto"/>
        </w:rPr>
        <w:t>氧化塘等采取防渗等措施，氧化塘容积完全满足当地农作物生产用肥的最大间隔时间的养殖场所产生的粪便总量贮存要求，符合《畜禽养殖业污染防治技术规范》（HJ/T81-2001）的规定。</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4</w:t>
      </w:r>
      <w:r>
        <w:rPr>
          <w:rFonts w:hint="default" w:ascii="Times New Roman" w:hAnsi="Times New Roman" w:eastAsia="宋体" w:cs="Times New Roman"/>
          <w:color w:val="auto"/>
        </w:rPr>
        <w:t>）项目</w:t>
      </w:r>
      <w:r>
        <w:rPr>
          <w:rFonts w:hint="default" w:ascii="Times New Roman" w:hAnsi="Times New Roman" w:eastAsia="宋体" w:cs="Times New Roman"/>
          <w:color w:val="auto"/>
          <w:lang w:eastAsia="zh-CN"/>
        </w:rPr>
        <w:t>养殖场</w:t>
      </w:r>
      <w:r>
        <w:rPr>
          <w:rFonts w:hint="default" w:ascii="Times New Roman" w:hAnsi="Times New Roman" w:eastAsia="宋体" w:cs="Times New Roman"/>
          <w:color w:val="auto"/>
        </w:rPr>
        <w:t>场址选择地势高燥、排水良好、空气流畅、非污染区域，并且避开城镇和村民居住区的水源地；地面应相对平坦，坡度不宜过大，背风向阳，未建在低凹、风口处，符合</w:t>
      </w:r>
      <w:r>
        <w:rPr>
          <w:rFonts w:hint="default" w:ascii="Times New Roman" w:hAnsi="Times New Roman" w:eastAsia="宋体" w:cs="Times New Roman"/>
          <w:color w:val="auto"/>
          <w:lang w:eastAsia="zh-CN"/>
        </w:rPr>
        <w:t>养殖</w:t>
      </w:r>
      <w:r>
        <w:rPr>
          <w:rFonts w:hint="default" w:ascii="Times New Roman" w:hAnsi="Times New Roman" w:eastAsia="宋体" w:cs="Times New Roman"/>
          <w:color w:val="auto"/>
        </w:rPr>
        <w:t>场的选址要求。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5</w:t>
      </w:r>
      <w:r>
        <w:rPr>
          <w:rFonts w:hint="default" w:ascii="Times New Roman" w:hAnsi="Times New Roman" w:eastAsia="宋体" w:cs="Times New Roman"/>
          <w:color w:val="auto"/>
        </w:rPr>
        <w:t>）项目建成投产后，养殖废气经处理达标后外排对周边环境的影响较小，区域环境空气质量能满足《环境空气质量标准》（GB3095-2012）中二级标准要求。虽然项目所产生的</w:t>
      </w:r>
      <w:r>
        <w:rPr>
          <w:rFonts w:hint="default" w:ascii="Times New Roman" w:hAnsi="Times New Roman" w:eastAsia="宋体" w:cs="Times New Roman"/>
          <w:color w:val="auto"/>
          <w:lang w:eastAsia="zh-CN"/>
        </w:rPr>
        <w:t>恶臭气体</w:t>
      </w:r>
      <w:r>
        <w:rPr>
          <w:rFonts w:hint="default" w:ascii="Times New Roman" w:hAnsi="Times New Roman" w:eastAsia="宋体" w:cs="Times New Roman"/>
          <w:color w:val="auto"/>
        </w:rPr>
        <w:t>对周围环境有一定的影响，</w:t>
      </w:r>
      <w:r>
        <w:rPr>
          <w:rFonts w:hint="default" w:ascii="Times New Roman" w:hAnsi="Times New Roman" w:eastAsia="宋体" w:cs="Times New Roman"/>
          <w:color w:val="auto"/>
          <w:lang w:eastAsia="zh-CN"/>
        </w:rPr>
        <w:t>养殖</w:t>
      </w:r>
      <w:r>
        <w:rPr>
          <w:rFonts w:hint="default" w:ascii="Times New Roman" w:hAnsi="Times New Roman" w:eastAsia="宋体" w:cs="Times New Roman"/>
          <w:color w:val="auto"/>
        </w:rPr>
        <w:t>场距离最近的村庄超过500m，能满足卫生防护距离（500m）的要求。</w:t>
      </w:r>
    </w:p>
    <w:p>
      <w:pPr>
        <w:ind w:firstLine="480"/>
        <w:rPr>
          <w:rFonts w:hint="default" w:ascii="Times New Roman" w:hAnsi="Times New Roman" w:eastAsia="宋体" w:cs="Times New Roman"/>
          <w:color w:val="FF0000"/>
        </w:rPr>
      </w:pPr>
      <w:r>
        <w:rPr>
          <w:rFonts w:hint="default" w:ascii="Times New Roman" w:hAnsi="Times New Roman" w:eastAsia="宋体" w:cs="Times New Roman"/>
          <w:color w:val="FF0000"/>
        </w:rPr>
        <w:t>（</w:t>
      </w:r>
      <w:r>
        <w:rPr>
          <w:rFonts w:hint="eastAsia" w:cs="Times New Roman"/>
          <w:color w:val="FF0000"/>
          <w:lang w:val="en-US" w:eastAsia="zh-CN"/>
        </w:rPr>
        <w:t>6</w:t>
      </w:r>
      <w:r>
        <w:rPr>
          <w:rFonts w:hint="default" w:ascii="Times New Roman" w:hAnsi="Times New Roman" w:eastAsia="宋体" w:cs="Times New Roman"/>
          <w:color w:val="FF0000"/>
        </w:rPr>
        <w:t>）项目周边主要为</w:t>
      </w:r>
      <w:r>
        <w:rPr>
          <w:rFonts w:hint="default" w:ascii="Times New Roman" w:hAnsi="Times New Roman" w:eastAsia="宋体" w:cs="Times New Roman"/>
          <w:color w:val="FF0000"/>
          <w:lang w:eastAsia="zh-CN"/>
        </w:rPr>
        <w:t>沙地</w:t>
      </w:r>
      <w:r>
        <w:rPr>
          <w:rFonts w:hint="eastAsia" w:cs="Times New Roman"/>
          <w:color w:val="FF0000"/>
          <w:lang w:eastAsia="zh-CN"/>
        </w:rPr>
        <w:t>、</w:t>
      </w:r>
      <w:r>
        <w:rPr>
          <w:rFonts w:hint="eastAsia"/>
          <w:color w:val="FF0000"/>
          <w:lang w:val="en-US" w:eastAsia="zh-CN"/>
        </w:rPr>
        <w:t>内陆滩涂</w:t>
      </w:r>
      <w:r>
        <w:rPr>
          <w:rFonts w:hint="default" w:ascii="Times New Roman" w:hAnsi="Times New Roman" w:eastAsia="宋体" w:cs="Times New Roman"/>
          <w:color w:val="FF0000"/>
        </w:rPr>
        <w:t>，植被为自然植被，项目产生的三废经处理后对周边环境影响较小。</w:t>
      </w:r>
    </w:p>
    <w:p>
      <w:pPr>
        <w:ind w:firstLine="480"/>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综上所述，本工程总平面布置充分利用现有地势，按照功能和工艺流程，总体上按由北往南方向布置，生活区和养殖区分开，并用绿化树木和草地建立隔离带，粪污处理系统位于场地的南侧。场内道路和各种运输管线闭合成环线，规划合理，饲养道和运粪道不交叉。从整体布局和环境影响上看，工程总平面布置较合理</w:t>
      </w:r>
      <w:r>
        <w:rPr>
          <w:rFonts w:hint="default" w:ascii="Times New Roman" w:hAnsi="Times New Roman" w:eastAsia="宋体" w:cs="Times New Roman"/>
          <w:color w:val="auto"/>
          <w:lang w:eastAsia="zh-CN"/>
        </w:rPr>
        <w:t>。</w:t>
      </w:r>
    </w:p>
    <w:p>
      <w:pPr>
        <w:ind w:firstLine="480"/>
        <w:rPr>
          <w:rFonts w:hint="default" w:ascii="Times New Roman" w:hAnsi="Times New Roman" w:eastAsia="宋体" w:cs="Times New Roman"/>
          <w:color w:val="auto"/>
          <w:lang w:eastAsia="zh-CN"/>
        </w:rPr>
      </w:pPr>
    </w:p>
    <w:p>
      <w:pPr>
        <w:ind w:firstLine="480"/>
        <w:rPr>
          <w:rFonts w:hint="default" w:ascii="Times New Roman" w:hAnsi="Times New Roman" w:eastAsia="宋体" w:cs="Times New Roman"/>
          <w:color w:val="auto"/>
          <w:lang w:eastAsia="zh-CN"/>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42"/>
        <w:ind w:left="0" w:leftChars="0" w:firstLine="0" w:firstLineChars="0"/>
        <w:jc w:val="center"/>
        <w:rPr>
          <w:rFonts w:hint="default"/>
        </w:rPr>
      </w:pPr>
      <w:r>
        <w:rPr>
          <w:color w:val="auto"/>
        </w:rPr>
        <w:drawing>
          <wp:anchor distT="0" distB="0" distL="114300" distR="114300" simplePos="0" relativeHeight="252043264" behindDoc="0" locked="0" layoutInCell="1" allowOverlap="1">
            <wp:simplePos x="0" y="0"/>
            <wp:positionH relativeFrom="column">
              <wp:posOffset>7636510</wp:posOffset>
            </wp:positionH>
            <wp:positionV relativeFrom="paragraph">
              <wp:posOffset>13335</wp:posOffset>
            </wp:positionV>
            <wp:extent cx="532765" cy="587375"/>
            <wp:effectExtent l="0" t="0" r="635" b="3175"/>
            <wp:wrapNone/>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25"/>
                    <a:stretch>
                      <a:fillRect/>
                    </a:stretch>
                  </pic:blipFill>
                  <pic:spPr>
                    <a:xfrm>
                      <a:off x="0" y="0"/>
                      <a:ext cx="532765" cy="587375"/>
                    </a:xfrm>
                    <a:prstGeom prst="rect">
                      <a:avLst/>
                    </a:prstGeom>
                    <a:noFill/>
                    <a:ln>
                      <a:noFill/>
                    </a:ln>
                  </pic:spPr>
                </pic:pic>
              </a:graphicData>
            </a:graphic>
          </wp:anchor>
        </w:drawing>
      </w:r>
      <w:r>
        <w:rPr>
          <w:color w:val="auto"/>
        </w:rPr>
        <w:object>
          <v:shape id="_x0000_i1026" o:spt="75" type="#_x0000_t75" style="height:405.35pt;width:584.9pt;" o:ole="t" filled="f" o:preferrelative="t" stroked="f" coordsize="21600,21600">
            <v:path/>
            <v:fill on="f" focussize="0,0"/>
            <v:stroke on="f"/>
            <v:imagedata r:id="rId29" o:title=""/>
            <o:lock v:ext="edit" aspectratio="t"/>
            <w10:wrap type="none"/>
            <w10:anchorlock/>
          </v:shape>
          <o:OLEObject Type="Embed" ProgID="Visio.Drawing.11" ShapeID="_x0000_i1026" DrawAspect="Content" ObjectID="_1468075726" r:id="rId28">
            <o:LockedField>false</o:LockedField>
          </o:OLEObject>
        </w:object>
      </w:r>
    </w:p>
    <w:p>
      <w:pPr>
        <w:ind w:left="0" w:leftChars="0" w:firstLine="0" w:firstLineChars="0"/>
        <w:jc w:val="center"/>
        <w:rPr>
          <w:rFonts w:hint="default" w:ascii="Times New Roman" w:hAnsi="Times New Roman" w:eastAsia="宋体" w:cs="Times New Roman"/>
          <w:color w:val="FF0000"/>
          <w:lang w:eastAsia="zh-CN"/>
        </w:rPr>
        <w:sectPr>
          <w:pgSz w:w="16838" w:h="11906" w:orient="landscape"/>
          <w:pgMar w:top="1701" w:right="1418" w:bottom="1418" w:left="1247" w:header="851"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Times New Roman" w:hAnsi="Times New Roman" w:eastAsia="宋体" w:cs="Times New Roman"/>
          <w:b/>
          <w:bCs/>
          <w:color w:val="FF0000"/>
        </w:rPr>
        <w:t>图3.1-</w:t>
      </w:r>
      <w:r>
        <w:rPr>
          <w:rFonts w:hint="eastAsia" w:cs="Times New Roman"/>
          <w:b/>
          <w:bCs/>
          <w:color w:val="FF0000"/>
          <w:lang w:val="en-US" w:eastAsia="zh-CN"/>
        </w:rPr>
        <w:t>6</w:t>
      </w:r>
      <w:r>
        <w:rPr>
          <w:rFonts w:hint="default" w:ascii="Times New Roman" w:hAnsi="Times New Roman" w:eastAsia="宋体" w:cs="Times New Roman"/>
          <w:b/>
          <w:bCs/>
          <w:color w:val="FF0000"/>
        </w:rPr>
        <w:t xml:space="preserve">    项目</w:t>
      </w:r>
      <w:r>
        <w:rPr>
          <w:rFonts w:hint="default" w:ascii="Times New Roman" w:hAnsi="Times New Roman" w:eastAsia="宋体" w:cs="Times New Roman"/>
          <w:b/>
          <w:bCs/>
          <w:color w:val="FF0000"/>
          <w:lang w:eastAsia="zh-CN"/>
        </w:rPr>
        <w:t>平面布置图</w:t>
      </w:r>
    </w:p>
    <w:p>
      <w:pPr>
        <w:pStyle w:val="5"/>
        <w:rPr>
          <w:rFonts w:hint="default" w:ascii="Times New Roman" w:hAnsi="Times New Roman" w:eastAsia="宋体" w:cs="Times New Roman"/>
          <w:color w:val="auto"/>
        </w:rPr>
      </w:pPr>
      <w:bookmarkStart w:id="204" w:name="_Toc46421090"/>
      <w:bookmarkStart w:id="205" w:name="_Toc19399"/>
      <w:r>
        <w:rPr>
          <w:rFonts w:hint="default" w:ascii="Times New Roman" w:hAnsi="Times New Roman" w:eastAsia="宋体" w:cs="Times New Roman"/>
          <w:color w:val="auto"/>
        </w:rPr>
        <w:t>3.2项目污染影响因素分析</w:t>
      </w:r>
      <w:bookmarkEnd w:id="204"/>
      <w:bookmarkEnd w:id="20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本项目主要进行</w:t>
      </w:r>
      <w:r>
        <w:rPr>
          <w:rFonts w:hint="eastAsia" w:cs="Times New Roman"/>
          <w:color w:val="auto"/>
          <w:lang w:val="en-US" w:eastAsia="zh-CN"/>
        </w:rPr>
        <w:t>育肥猪</w:t>
      </w:r>
      <w:r>
        <w:rPr>
          <w:rFonts w:hint="default" w:ascii="Times New Roman" w:hAnsi="Times New Roman" w:eastAsia="宋体" w:cs="Times New Roman"/>
          <w:color w:val="auto"/>
        </w:rPr>
        <w:t>饲养，主要产污节点包括饲养和排泄物处理过程，项目采用《内蒙古自治区畜禽养殖主要污染物减排项目建设技术指南（试行）（内环发【2014】83号）》的鼓励模式⑤：（</w:t>
      </w:r>
      <w:r>
        <w:rPr>
          <w:rFonts w:hint="eastAsia" w:cs="Times New Roman"/>
          <w:color w:val="auto"/>
          <w:lang w:val="en-US" w:eastAsia="zh-CN"/>
        </w:rPr>
        <w:t>粪便堆放+污水厌氧处理或</w:t>
      </w:r>
      <w:r>
        <w:rPr>
          <w:rFonts w:hint="default" w:ascii="Times New Roman" w:hAnsi="Times New Roman" w:eastAsia="宋体" w:cs="Times New Roman"/>
          <w:color w:val="auto"/>
        </w:rPr>
        <w:t>储存+消纳土地）</w:t>
      </w:r>
      <w:r>
        <w:rPr>
          <w:rFonts w:hint="eastAsia" w:cs="Times New Roman"/>
          <w:color w:val="auto"/>
          <w:lang w:val="en-US" w:eastAsia="zh-CN"/>
        </w:rPr>
        <w:t>生猪</w:t>
      </w:r>
      <w:r>
        <w:rPr>
          <w:rFonts w:hint="default" w:ascii="Times New Roman" w:hAnsi="Times New Roman" w:eastAsia="宋体" w:cs="Times New Roman"/>
          <w:color w:val="auto"/>
        </w:rPr>
        <w:t>规模化养殖场建设废弃物储存设施的方式处理养殖废物。</w:t>
      </w:r>
    </w:p>
    <w:p>
      <w:pPr>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rPr>
        <w:object>
          <v:shape id="_x0000_i1027" o:spt="75" type="#_x0000_t75" style="height:270.4pt;width:425.2pt;" o:ole="t" filled="f" o:preferrelative="t" stroked="f" coordsize="21600,21600">
            <v:path/>
            <v:fill on="f" focussize="0,0"/>
            <v:stroke on="f"/>
            <v:imagedata r:id="rId31" o:title=""/>
            <o:lock v:ext="edit" aspectratio="t"/>
            <w10:wrap type="none"/>
            <w10:anchorlock/>
          </v:shape>
          <o:OLEObject Type="Embed" ProgID="Visio.Drawing.11" ShapeID="_x0000_i1027" DrawAspect="Content" ObjectID="_1468075727" r:id="rId30">
            <o:LockedField>false</o:LockedField>
          </o:OLEObject>
        </w:objec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图3.2-1    养殖工艺流程及产污环节</w:t>
      </w:r>
    </w:p>
    <w:p>
      <w:pPr>
        <w:pStyle w:val="6"/>
        <w:rPr>
          <w:rStyle w:val="37"/>
          <w:rFonts w:hint="default" w:ascii="Times New Roman" w:hAnsi="Times New Roman" w:eastAsia="宋体" w:cs="Times New Roman"/>
          <w:color w:val="auto"/>
        </w:rPr>
      </w:pPr>
      <w:bookmarkStart w:id="206" w:name="_Toc46421091"/>
      <w:bookmarkStart w:id="207" w:name="_Toc2082"/>
      <w:r>
        <w:rPr>
          <w:rFonts w:hint="default" w:ascii="Times New Roman" w:hAnsi="Times New Roman" w:eastAsia="宋体" w:cs="Times New Roman"/>
          <w:color w:val="auto"/>
        </w:rPr>
        <w:t>3.2.1</w:t>
      </w:r>
      <w:bookmarkStart w:id="208" w:name="_Hlk44173656"/>
      <w:r>
        <w:rPr>
          <w:rFonts w:hint="eastAsia" w:cs="Times New Roman"/>
          <w:color w:val="auto"/>
          <w:lang w:val="en-US" w:eastAsia="zh-CN"/>
        </w:rPr>
        <w:t>饲养</w:t>
      </w:r>
      <w:r>
        <w:rPr>
          <w:rFonts w:hint="default" w:ascii="Times New Roman" w:hAnsi="Times New Roman" w:eastAsia="宋体" w:cs="Times New Roman"/>
          <w:color w:val="auto"/>
        </w:rPr>
        <w:t>流程简述</w:t>
      </w:r>
      <w:bookmarkEnd w:id="206"/>
      <w:bookmarkEnd w:id="207"/>
    </w:p>
    <w:p>
      <w:pPr>
        <w:ind w:firstLine="480"/>
        <w:rPr>
          <w:rFonts w:hint="eastAsia" w:cs="Times New Roman"/>
          <w:color w:val="auto"/>
          <w:lang w:eastAsia="zh-CN"/>
        </w:rPr>
      </w:pPr>
      <w:r>
        <w:rPr>
          <w:rFonts w:hint="default" w:ascii="Times New Roman" w:hAnsi="Times New Roman" w:eastAsia="宋体" w:cs="Times New Roman"/>
          <w:color w:val="auto"/>
        </w:rPr>
        <w:t>传统养猪长期依靠农村分散粗放的喂养方式，缺乏统一的饲养管理，难以适应先进的科学技术，为适应养猪业的发展，本项目由内蒙古正大公司负责运营，选用优良</w:t>
      </w:r>
      <w:r>
        <w:rPr>
          <w:rFonts w:hint="eastAsia" w:cs="Times New Roman"/>
          <w:color w:val="auto"/>
          <w:lang w:val="en-US" w:eastAsia="zh-CN"/>
        </w:rPr>
        <w:t>仔</w:t>
      </w:r>
      <w:r>
        <w:rPr>
          <w:rFonts w:hint="default" w:ascii="Times New Roman" w:hAnsi="Times New Roman" w:eastAsia="宋体" w:cs="Times New Roman"/>
          <w:color w:val="auto"/>
        </w:rPr>
        <w:t>猪、标准猪舍、标准饲养管理技术和疾病防治方案进行标准化的养猪生产，从而实现养猪生产圈舍标准化、品种标准化、营养标准化、猪群保健标准化、生产管理技术标准化，具有冬暖夏凉的饲养环境，降低饲养劳动强度，减少舍内氨气浓度，仔猪存活率高，料肉比低，饲养周期短等优点，达到养猪业“高效率、高效益”的目的。全部生产过程实行电脑控制、自动化饲养方式，配合正大标准化免疫程序和严格的消毒防疫制度及猪舍环境控制标准，实行温度、湿度、通风、空气质量等综合环境自动化控制</w:t>
      </w:r>
      <w:r>
        <w:rPr>
          <w:rFonts w:hint="eastAsia" w:cs="Times New Roman"/>
          <w:color w:val="auto"/>
          <w:lang w:eastAsia="zh-CN"/>
        </w:rPr>
        <w:t>。</w:t>
      </w:r>
    </w:p>
    <w:p>
      <w:pPr>
        <w:ind w:firstLine="480"/>
        <w:rPr>
          <w:rFonts w:hint="default" w:ascii="Times New Roman" w:hAnsi="Times New Roman" w:eastAsia="宋体" w:cs="Times New Roman"/>
          <w:color w:val="auto"/>
        </w:rPr>
      </w:pPr>
      <w:r>
        <w:rPr>
          <w:rFonts w:hint="eastAsia" w:cs="Times New Roman"/>
          <w:color w:val="auto"/>
          <w:lang w:val="en-US" w:eastAsia="zh-CN"/>
        </w:rPr>
        <w:t>本项目购买</w:t>
      </w:r>
      <w:r>
        <w:rPr>
          <w:rFonts w:hint="default" w:ascii="Times New Roman" w:hAnsi="Times New Roman" w:eastAsia="宋体" w:cs="Times New Roman"/>
          <w:color w:val="auto"/>
        </w:rPr>
        <w:t>内蒙古正大公司</w:t>
      </w:r>
      <w:r>
        <w:rPr>
          <w:rFonts w:hint="eastAsia" w:cs="Times New Roman"/>
          <w:color w:val="auto"/>
          <w:lang w:val="en-US" w:eastAsia="zh-CN"/>
        </w:rPr>
        <w:t>仔猪进行</w:t>
      </w:r>
      <w:r>
        <w:rPr>
          <w:rFonts w:hint="default" w:ascii="Times New Roman" w:hAnsi="Times New Roman" w:eastAsia="宋体" w:cs="Times New Roman"/>
          <w:color w:val="auto"/>
        </w:rPr>
        <w:t>育肥</w:t>
      </w:r>
      <w:r>
        <w:rPr>
          <w:rFonts w:hint="eastAsia" w:cs="Times New Roman"/>
          <w:color w:val="auto"/>
          <w:lang w:eastAsia="zh-CN"/>
        </w:rPr>
        <w:t>，</w:t>
      </w:r>
      <w:r>
        <w:rPr>
          <w:rFonts w:hint="eastAsia" w:cs="Times New Roman"/>
          <w:color w:val="auto"/>
          <w:lang w:val="en-US" w:eastAsia="zh-CN"/>
        </w:rPr>
        <w:t>育肥时间为6个月，</w:t>
      </w:r>
      <w:r>
        <w:rPr>
          <w:rFonts w:hint="default" w:ascii="Times New Roman" w:hAnsi="Times New Roman" w:eastAsia="宋体" w:cs="Times New Roman"/>
          <w:color w:val="auto"/>
        </w:rPr>
        <w:t>体重达到100kg后即</w:t>
      </w:r>
      <w:r>
        <w:rPr>
          <w:rFonts w:hint="eastAsia" w:cs="Times New Roman"/>
          <w:color w:val="auto"/>
          <w:lang w:val="en-US" w:eastAsia="zh-CN"/>
        </w:rPr>
        <w:t>出售</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1</w:t>
      </w:r>
      <w:r>
        <w:rPr>
          <w:rFonts w:hint="default" w:ascii="Times New Roman" w:hAnsi="Times New Roman" w:eastAsia="宋体" w:cs="Times New Roman"/>
          <w:color w:val="auto"/>
        </w:rPr>
        <w:t>）饮水系统</w:t>
      </w:r>
    </w:p>
    <w:p>
      <w:pPr>
        <w:ind w:firstLine="480"/>
        <w:rPr>
          <w:rFonts w:hint="eastAsia" w:cs="Times New Roman"/>
          <w:color w:val="auto"/>
          <w:lang w:val="en-US" w:eastAsia="zh-CN"/>
        </w:rPr>
      </w:pPr>
      <w:r>
        <w:rPr>
          <w:rFonts w:hint="default" w:ascii="Times New Roman" w:hAnsi="Times New Roman" w:eastAsia="宋体" w:cs="Times New Roman"/>
          <w:color w:val="auto"/>
        </w:rPr>
        <w:t>舍内饮水管道采用镀锌钢管，舍内连接PVC管，每栏配四个饮水器和两个鸭嘴饮水器，水压以饮水器每分钟流量500ml为宜</w:t>
      </w:r>
      <w:r>
        <w:rPr>
          <w:rFonts w:hint="eastAsia" w:cs="Times New Roman"/>
          <w:color w:val="auto"/>
          <w:lang w:val="en-US" w:eastAsia="zh-CN"/>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2</w:t>
      </w:r>
      <w:r>
        <w:rPr>
          <w:rFonts w:hint="default" w:ascii="Times New Roman" w:hAnsi="Times New Roman" w:eastAsia="宋体" w:cs="Times New Roman"/>
          <w:color w:val="auto"/>
        </w:rPr>
        <w:t>）喂料、清粪系统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本项目采用</w:t>
      </w:r>
      <w:r>
        <w:rPr>
          <w:rFonts w:hint="eastAsia" w:cs="Times New Roman"/>
          <w:color w:val="auto"/>
          <w:lang w:val="en-US" w:eastAsia="zh-CN"/>
        </w:rPr>
        <w:t>饲料</w:t>
      </w:r>
      <w:r>
        <w:rPr>
          <w:rFonts w:hint="default" w:ascii="Times New Roman" w:hAnsi="Times New Roman" w:eastAsia="宋体" w:cs="Times New Roman"/>
          <w:color w:val="auto"/>
        </w:rPr>
        <w:t>塔的方式进行喂料，通过电脑中控自动控制；猪场均采用双列式（两排）养殖栏，每列均分为上下两层，上层为养殖栏（高2m），下层为集粪池，上层全部采用地板+漏缝地板，使猪粪、尿漏入集粪池，</w:t>
      </w:r>
      <w:r>
        <w:rPr>
          <w:rFonts w:hint="eastAsia" w:cs="Times New Roman"/>
          <w:color w:val="auto"/>
          <w:lang w:val="en-US" w:eastAsia="zh-CN"/>
        </w:rPr>
        <w:t>收集至化粪池内，先经固液分离，</w:t>
      </w:r>
      <w:r>
        <w:rPr>
          <w:rFonts w:hint="eastAsia" w:cs="Times New Roman"/>
          <w:color w:val="auto"/>
          <w:lang w:eastAsia="zh-CN"/>
        </w:rPr>
        <w:t>液体</w:t>
      </w:r>
      <w:r>
        <w:rPr>
          <w:rFonts w:hint="default" w:ascii="Times New Roman" w:hAnsi="Times New Roman" w:eastAsia="宋体" w:cs="Times New Roman"/>
          <w:color w:val="auto"/>
        </w:rPr>
        <w:t>用泵打至</w:t>
      </w:r>
      <w:r>
        <w:rPr>
          <w:rFonts w:hint="eastAsia" w:cs="Times New Roman"/>
          <w:color w:val="auto"/>
          <w:lang w:val="en-US" w:eastAsia="zh-CN"/>
        </w:rPr>
        <w:t>氧化塘内，固体清运至</w:t>
      </w:r>
      <w:r>
        <w:rPr>
          <w:rFonts w:hint="eastAsia" w:cs="Times New Roman"/>
          <w:color w:val="auto"/>
          <w:lang w:eastAsia="zh-CN"/>
        </w:rPr>
        <w:t>晾粪台</w:t>
      </w:r>
      <w:r>
        <w:rPr>
          <w:rFonts w:hint="default" w:ascii="Times New Roman" w:hAnsi="Times New Roman" w:eastAsia="宋体" w:cs="Times New Roman"/>
          <w:color w:val="auto"/>
        </w:rPr>
        <w:t>。</w:t>
      </w:r>
    </w:p>
    <w:p>
      <w:pPr>
        <w:pStyle w:val="6"/>
        <w:rPr>
          <w:rFonts w:hint="default" w:ascii="Times New Roman" w:hAnsi="Times New Roman" w:eastAsia="宋体" w:cs="Times New Roman"/>
          <w:color w:val="auto"/>
        </w:rPr>
      </w:pPr>
      <w:bookmarkStart w:id="209" w:name="_Toc46421092"/>
      <w:bookmarkStart w:id="210" w:name="_Toc16496"/>
      <w:r>
        <w:rPr>
          <w:rFonts w:hint="default" w:ascii="Times New Roman" w:hAnsi="Times New Roman" w:eastAsia="宋体" w:cs="Times New Roman"/>
          <w:color w:val="auto"/>
        </w:rPr>
        <w:t>3.2.2</w:t>
      </w:r>
      <w:r>
        <w:rPr>
          <w:rFonts w:hint="eastAsia" w:cs="Times New Roman"/>
          <w:color w:val="auto"/>
          <w:lang w:val="en-US" w:eastAsia="zh-CN"/>
        </w:rPr>
        <w:t>粪污处理工艺</w:t>
      </w:r>
      <w:r>
        <w:rPr>
          <w:rFonts w:hint="default" w:ascii="Times New Roman" w:hAnsi="Times New Roman" w:eastAsia="宋体" w:cs="Times New Roman"/>
          <w:color w:val="auto"/>
        </w:rPr>
        <w:t>简述</w:t>
      </w:r>
      <w:bookmarkEnd w:id="209"/>
      <w:bookmarkEnd w:id="210"/>
    </w:p>
    <w:p>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项目猪</w:t>
      </w:r>
      <w:r>
        <w:rPr>
          <w:rFonts w:hint="eastAsia" w:ascii="宋体" w:hAnsi="宋体" w:cs="宋体"/>
          <w:color w:val="auto"/>
          <w:kern w:val="0"/>
          <w:sz w:val="24"/>
          <w:szCs w:val="24"/>
          <w:lang w:val="en-US" w:eastAsia="zh-CN" w:bidi="ar"/>
        </w:rPr>
        <w:t>粪便</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猪舍粪污管道冲洗废水</w:t>
      </w:r>
      <w:r>
        <w:rPr>
          <w:rFonts w:hint="eastAsia" w:ascii="宋体" w:hAnsi="宋体" w:eastAsia="宋体" w:cs="宋体"/>
          <w:color w:val="auto"/>
          <w:kern w:val="0"/>
          <w:sz w:val="24"/>
          <w:szCs w:val="24"/>
          <w:lang w:val="en-US" w:eastAsia="zh-CN" w:bidi="ar"/>
        </w:rPr>
        <w:t>采用</w:t>
      </w:r>
      <w:r>
        <w:rPr>
          <w:rFonts w:hint="eastAsia" w:ascii="宋体" w:hAnsi="宋体" w:cs="宋体"/>
          <w:color w:val="auto"/>
          <w:kern w:val="0"/>
          <w:sz w:val="24"/>
          <w:szCs w:val="24"/>
          <w:lang w:val="en-US" w:eastAsia="zh-CN" w:bidi="ar"/>
        </w:rPr>
        <w:t>化粪池+固液分离+氧化塘</w:t>
      </w:r>
      <w:r>
        <w:rPr>
          <w:rFonts w:hint="eastAsia" w:ascii="宋体" w:hAnsi="宋体" w:eastAsia="宋体" w:cs="宋体"/>
          <w:color w:val="auto"/>
          <w:kern w:val="0"/>
          <w:sz w:val="24"/>
          <w:szCs w:val="24"/>
          <w:lang w:val="en-US" w:eastAsia="zh-CN" w:bidi="ar"/>
        </w:rPr>
        <w:t>（厌氧发酵）</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还田模式，猪舍地面设置漏缝板，猪排泄的粪尿通过漏粪板落入漏缝地板下部深坑</w:t>
      </w:r>
      <w:r>
        <w:rPr>
          <w:rFonts w:hint="eastAsia" w:ascii="宋体" w:hAnsi="宋体" w:cs="宋体"/>
          <w:color w:val="auto"/>
          <w:kern w:val="0"/>
          <w:sz w:val="24"/>
          <w:szCs w:val="24"/>
          <w:lang w:val="en-US" w:eastAsia="zh-CN" w:bidi="ar"/>
        </w:rPr>
        <w:t>集</w:t>
      </w:r>
      <w:r>
        <w:rPr>
          <w:rFonts w:hint="eastAsia" w:ascii="宋体" w:hAnsi="宋体" w:eastAsia="宋体" w:cs="宋体"/>
          <w:color w:val="auto"/>
          <w:kern w:val="0"/>
          <w:sz w:val="24"/>
          <w:szCs w:val="24"/>
          <w:lang w:val="en-US" w:eastAsia="zh-CN" w:bidi="ar"/>
        </w:rPr>
        <w:t>粪池内，</w:t>
      </w:r>
      <w:r>
        <w:rPr>
          <w:rFonts w:hint="eastAsia" w:ascii="宋体" w:hAnsi="宋体" w:cs="宋体"/>
          <w:color w:val="auto"/>
          <w:kern w:val="0"/>
          <w:sz w:val="24"/>
          <w:szCs w:val="24"/>
          <w:lang w:val="en-US" w:eastAsia="zh-CN" w:bidi="ar"/>
        </w:rPr>
        <w:t>通过化粪</w:t>
      </w:r>
      <w:r>
        <w:rPr>
          <w:rFonts w:hint="eastAsia" w:ascii="宋体" w:hAnsi="宋体" w:eastAsia="宋体" w:cs="宋体"/>
          <w:color w:val="auto"/>
          <w:kern w:val="0"/>
          <w:sz w:val="24"/>
          <w:szCs w:val="24"/>
          <w:lang w:val="en-US" w:eastAsia="zh-CN" w:bidi="ar"/>
        </w:rPr>
        <w:t>池内</w:t>
      </w:r>
      <w:r>
        <w:rPr>
          <w:rFonts w:hint="eastAsia" w:ascii="宋体" w:hAnsi="宋体" w:cs="宋体"/>
          <w:color w:val="auto"/>
          <w:kern w:val="0"/>
          <w:sz w:val="24"/>
          <w:szCs w:val="24"/>
          <w:lang w:val="en-US" w:eastAsia="zh-CN" w:bidi="ar"/>
        </w:rPr>
        <w:t>进行固液分离，排入氧化塘发酵6</w:t>
      </w:r>
      <w:r>
        <w:rPr>
          <w:rFonts w:hint="eastAsia" w:ascii="宋体" w:hAnsi="宋体" w:eastAsia="宋体" w:cs="宋体"/>
          <w:color w:val="auto"/>
          <w:kern w:val="0"/>
          <w:sz w:val="24"/>
          <w:szCs w:val="24"/>
          <w:lang w:val="en-US" w:eastAsia="zh-CN" w:bidi="ar"/>
        </w:rPr>
        <w:t>个月</w:t>
      </w:r>
      <w:r>
        <w:rPr>
          <w:rFonts w:hint="eastAsia" w:ascii="宋体" w:hAnsi="宋体" w:cs="宋体"/>
          <w:color w:val="auto"/>
          <w:kern w:val="0"/>
          <w:sz w:val="24"/>
          <w:szCs w:val="24"/>
          <w:lang w:val="en-US" w:eastAsia="zh-CN" w:bidi="ar"/>
        </w:rPr>
        <w:t>后</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在</w:t>
      </w:r>
      <w:r>
        <w:rPr>
          <w:rFonts w:hint="eastAsia" w:ascii="宋体" w:hAnsi="宋体" w:eastAsia="宋体" w:cs="宋体"/>
          <w:color w:val="auto"/>
          <w:kern w:val="0"/>
          <w:sz w:val="24"/>
          <w:szCs w:val="24"/>
          <w:lang w:val="en-US" w:eastAsia="zh-CN" w:bidi="ar"/>
        </w:rPr>
        <w:t xml:space="preserve">春秋施肥前用底部设置的搅拌器把池底沉淀物与上清液混合均匀，然后把液体肥泵送至罐车内，池底不会沉淀，也不需要清理池底。 </w:t>
      </w:r>
    </w:p>
    <w:p>
      <w:pPr>
        <w:keepNext w:val="0"/>
        <w:keepLines w:val="0"/>
        <w:widowControl/>
        <w:suppressLineNumbers w:val="0"/>
        <w:jc w:val="left"/>
        <w:rPr>
          <w:rFonts w:hint="eastAsia" w:ascii="宋体" w:hAnsi="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生活污水经化粪池沉降后，同猪粪尿一同</w:t>
      </w:r>
      <w:r>
        <w:rPr>
          <w:rFonts w:hint="eastAsia" w:ascii="宋体" w:hAnsi="宋体" w:cs="宋体"/>
          <w:color w:val="auto"/>
          <w:kern w:val="0"/>
          <w:sz w:val="24"/>
          <w:szCs w:val="24"/>
          <w:lang w:val="en-US" w:eastAsia="zh-CN" w:bidi="ar"/>
        </w:rPr>
        <w:t>发酵</w:t>
      </w:r>
      <w:r>
        <w:rPr>
          <w:rFonts w:hint="eastAsia" w:ascii="宋体" w:hAnsi="宋体" w:eastAsia="宋体" w:cs="宋体"/>
          <w:color w:val="auto"/>
          <w:kern w:val="0"/>
          <w:sz w:val="24"/>
          <w:szCs w:val="24"/>
          <w:lang w:val="en-US" w:eastAsia="zh-CN" w:bidi="ar"/>
        </w:rPr>
        <w:t>后于春秋两季还田</w:t>
      </w:r>
      <w:r>
        <w:rPr>
          <w:rFonts w:hint="eastAsia" w:ascii="宋体" w:hAnsi="宋体" w:cs="宋体"/>
          <w:color w:val="auto"/>
          <w:kern w:val="0"/>
          <w:sz w:val="24"/>
          <w:szCs w:val="24"/>
          <w:lang w:val="en-US" w:eastAsia="zh-CN" w:bidi="ar"/>
        </w:rPr>
        <w:t>。</w:t>
      </w:r>
    </w:p>
    <w:p>
      <w:pPr>
        <w:keepNext w:val="0"/>
        <w:keepLines w:val="0"/>
        <w:widowControl/>
        <w:suppressLineNumbers w:val="0"/>
        <w:jc w:val="left"/>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本项目场区内共设置2座氧化塘，每座氧化塘收集6个月养殖废水后，轮替使用另一座氧化塘收集养殖废水，与此同时，第1座氧化塘可发酵养殖废水6</w:t>
      </w:r>
      <w:r>
        <w:rPr>
          <w:rFonts w:hint="eastAsia" w:ascii="宋体" w:hAnsi="宋体" w:eastAsia="宋体" w:cs="宋体"/>
          <w:color w:val="auto"/>
          <w:kern w:val="0"/>
          <w:sz w:val="24"/>
          <w:szCs w:val="24"/>
          <w:lang w:val="en-US" w:eastAsia="zh-CN" w:bidi="ar"/>
        </w:rPr>
        <w:t>个月</w:t>
      </w:r>
      <w:r>
        <w:rPr>
          <w:rFonts w:hint="eastAsia" w:ascii="宋体" w:hAnsi="宋体" w:cs="宋体"/>
          <w:color w:val="auto"/>
          <w:kern w:val="0"/>
          <w:sz w:val="24"/>
          <w:szCs w:val="24"/>
          <w:lang w:val="en-US" w:eastAsia="zh-CN" w:bidi="ar"/>
        </w:rPr>
        <w:t>。本项目单座氧化塘容积为8500m</w:t>
      </w:r>
      <w:r>
        <w:rPr>
          <w:rFonts w:hint="eastAsia" w:ascii="宋体" w:hAnsi="宋体" w:cs="宋体"/>
          <w:color w:val="auto"/>
          <w:kern w:val="0"/>
          <w:sz w:val="24"/>
          <w:szCs w:val="24"/>
          <w:vertAlign w:val="superscript"/>
          <w:lang w:val="en-US" w:eastAsia="zh-CN" w:bidi="ar"/>
        </w:rPr>
        <w:t>3</w:t>
      </w:r>
      <w:r>
        <w:rPr>
          <w:rFonts w:hint="eastAsia" w:ascii="宋体" w:hAnsi="宋体" w:cs="宋体"/>
          <w:color w:val="auto"/>
          <w:kern w:val="0"/>
          <w:sz w:val="24"/>
          <w:szCs w:val="24"/>
          <w:lang w:val="en-US" w:eastAsia="zh-CN" w:bidi="ar"/>
        </w:rPr>
        <w:t>，根据表3.1-10项目用排水情况统计表可知，排入2座氧化塘的养殖废水总量为</w:t>
      </w:r>
      <w:r>
        <w:rPr>
          <w:rFonts w:hint="eastAsia" w:cs="Times New Roman"/>
          <w:color w:val="FF0000"/>
          <w:lang w:val="en-US" w:eastAsia="zh-CN"/>
        </w:rPr>
        <w:t>15231.45</w:t>
      </w:r>
      <w:r>
        <w:rPr>
          <w:rFonts w:hint="eastAsia" w:ascii="宋体" w:hAnsi="宋体" w:cs="宋体"/>
          <w:color w:val="FF0000"/>
          <w:kern w:val="0"/>
          <w:sz w:val="24"/>
          <w:szCs w:val="24"/>
          <w:lang w:val="en-US" w:eastAsia="zh-CN" w:bidi="ar"/>
        </w:rPr>
        <w:t>m</w:t>
      </w:r>
      <w:r>
        <w:rPr>
          <w:rFonts w:hint="eastAsia" w:ascii="宋体" w:hAnsi="宋体" w:cs="宋体"/>
          <w:color w:val="FF0000"/>
          <w:kern w:val="0"/>
          <w:sz w:val="24"/>
          <w:szCs w:val="24"/>
          <w:vertAlign w:val="superscript"/>
          <w:lang w:val="en-US" w:eastAsia="zh-CN" w:bidi="ar"/>
        </w:rPr>
        <w:t>3</w:t>
      </w:r>
      <w:r>
        <w:rPr>
          <w:rFonts w:hint="eastAsia" w:ascii="宋体" w:hAnsi="宋体" w:cs="宋体"/>
          <w:color w:val="FF0000"/>
          <w:kern w:val="0"/>
          <w:sz w:val="24"/>
          <w:szCs w:val="24"/>
          <w:lang w:val="en-US" w:eastAsia="zh-CN" w:bidi="ar"/>
        </w:rPr>
        <w:t>/a，每6个月养殖废水产生量为7615.725m</w:t>
      </w:r>
      <w:r>
        <w:rPr>
          <w:rFonts w:hint="eastAsia" w:ascii="宋体" w:hAnsi="宋体" w:cs="宋体"/>
          <w:color w:val="FF0000"/>
          <w:kern w:val="0"/>
          <w:sz w:val="24"/>
          <w:szCs w:val="24"/>
          <w:vertAlign w:val="superscript"/>
          <w:lang w:val="en-US" w:eastAsia="zh-CN" w:bidi="ar"/>
        </w:rPr>
        <w:t>3</w:t>
      </w:r>
      <w:r>
        <w:rPr>
          <w:rFonts w:hint="eastAsia" w:ascii="宋体" w:hAnsi="宋体" w:cs="宋体"/>
          <w:color w:val="FF0000"/>
          <w:kern w:val="0"/>
          <w:sz w:val="24"/>
          <w:szCs w:val="24"/>
          <w:lang w:val="en-US" w:eastAsia="zh-CN" w:bidi="ar"/>
        </w:rPr>
        <w:t>，</w:t>
      </w:r>
      <w:r>
        <w:rPr>
          <w:rFonts w:hint="eastAsia" w:ascii="宋体" w:hAnsi="宋体" w:cs="宋体"/>
          <w:color w:val="auto"/>
          <w:kern w:val="0"/>
          <w:sz w:val="24"/>
          <w:szCs w:val="24"/>
          <w:lang w:val="en-US" w:eastAsia="zh-CN" w:bidi="ar"/>
        </w:rPr>
        <w:t>小于单座氧化塘容积</w:t>
      </w:r>
      <w:r>
        <w:rPr>
          <w:rFonts w:hint="eastAsia" w:ascii="宋体" w:hAnsi="宋体" w:cs="宋体"/>
          <w:color w:val="FF0000"/>
          <w:kern w:val="0"/>
          <w:sz w:val="24"/>
          <w:szCs w:val="24"/>
          <w:lang w:val="en-US" w:eastAsia="zh-CN" w:bidi="ar"/>
        </w:rPr>
        <w:t>（</w:t>
      </w:r>
      <w:r>
        <w:rPr>
          <w:rFonts w:hint="eastAsia" w:ascii="宋体" w:hAnsi="宋体" w:cs="宋体"/>
          <w:color w:val="FF0000"/>
          <w:kern w:val="0"/>
          <w:sz w:val="24"/>
          <w:szCs w:val="24"/>
          <w:lang w:val="en-US" w:eastAsia="zh-CN" w:bidi="ar"/>
        </w:rPr>
        <w:t>8500m</w:t>
      </w:r>
      <w:r>
        <w:rPr>
          <w:rFonts w:hint="eastAsia" w:ascii="宋体" w:hAnsi="宋体" w:cs="宋体"/>
          <w:color w:val="FF0000"/>
          <w:kern w:val="0"/>
          <w:sz w:val="24"/>
          <w:szCs w:val="24"/>
          <w:vertAlign w:val="superscript"/>
          <w:lang w:val="en-US" w:eastAsia="zh-CN" w:bidi="ar"/>
        </w:rPr>
        <w:t>3</w:t>
      </w:r>
      <w:r>
        <w:rPr>
          <w:rFonts w:hint="eastAsia" w:ascii="宋体" w:hAnsi="宋体" w:cs="宋体"/>
          <w:color w:val="FF0000"/>
          <w:kern w:val="0"/>
          <w:sz w:val="24"/>
          <w:szCs w:val="24"/>
          <w:lang w:val="en-US" w:eastAsia="zh-CN" w:bidi="ar"/>
        </w:rPr>
        <w:t>）</w:t>
      </w:r>
      <w:r>
        <w:rPr>
          <w:rFonts w:hint="eastAsia" w:ascii="宋体" w:hAnsi="宋体" w:cs="宋体"/>
          <w:color w:val="auto"/>
          <w:kern w:val="0"/>
          <w:sz w:val="24"/>
          <w:szCs w:val="24"/>
          <w:lang w:val="en-US" w:eastAsia="zh-CN" w:bidi="ar"/>
        </w:rPr>
        <w:t>，因此，每座氧化塘均可满足6个月养殖废水量收集。</w:t>
      </w:r>
    </w:p>
    <w:p>
      <w:pPr>
        <w:keepNext w:val="0"/>
        <w:keepLines w:val="0"/>
        <w:widowControl/>
        <w:suppressLineNumbers w:val="0"/>
        <w:jc w:val="left"/>
        <w:rPr>
          <w:color w:val="auto"/>
        </w:rPr>
      </w:pPr>
      <w:r>
        <w:rPr>
          <w:rFonts w:hint="eastAsia" w:ascii="宋体" w:hAnsi="宋体" w:cs="宋体"/>
          <w:color w:val="auto"/>
          <w:kern w:val="0"/>
          <w:sz w:val="24"/>
          <w:szCs w:val="24"/>
          <w:lang w:val="en-US" w:eastAsia="zh-CN" w:bidi="ar"/>
        </w:rPr>
        <w:t>综上，本项目设置2座氧化塘可满足本项目养殖废水的使用。</w:t>
      </w:r>
    </w:p>
    <w:p>
      <w:pPr>
        <w:pStyle w:val="6"/>
        <w:rPr>
          <w:rFonts w:hint="default" w:ascii="Times New Roman" w:hAnsi="Times New Roman" w:eastAsia="宋体" w:cs="Times New Roman"/>
          <w:color w:val="auto"/>
        </w:rPr>
      </w:pPr>
      <w:bookmarkStart w:id="211" w:name="_Toc46421093"/>
      <w:bookmarkStart w:id="212" w:name="_Toc2263"/>
      <w:r>
        <w:rPr>
          <w:rFonts w:hint="default" w:ascii="Times New Roman" w:hAnsi="Times New Roman" w:eastAsia="宋体" w:cs="Times New Roman"/>
          <w:color w:val="auto"/>
        </w:rPr>
        <w:t>3.2.3</w:t>
      </w:r>
      <w:bookmarkEnd w:id="211"/>
      <w:r>
        <w:rPr>
          <w:rFonts w:hint="default" w:ascii="Times New Roman" w:hAnsi="Times New Roman" w:eastAsia="宋体" w:cs="Times New Roman"/>
          <w:color w:val="auto"/>
        </w:rPr>
        <w:t>洗消中心工艺简述</w:t>
      </w:r>
      <w:bookmarkEnd w:id="21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洗消中心主要用于进出饲养区的车辆消毒和清洗。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洗车：将需要清洗的车辆分类停在清洗区，使用高压水枪对卡车、轿车等进行全部或局部的清洗，清洗后的车辆自然干燥，对于主要含砂砾等SS污染物的废水经收集后进行沉淀处理后回用。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消毒：洗消中心消毒</w:t>
      </w:r>
      <w:r>
        <w:rPr>
          <w:rFonts w:hint="eastAsia" w:cs="Times New Roman"/>
          <w:color w:val="auto"/>
          <w:lang w:eastAsia="zh-CN"/>
        </w:rPr>
        <w:t>剂为</w:t>
      </w:r>
      <w:r>
        <w:rPr>
          <w:rFonts w:hint="default" w:ascii="Times New Roman" w:hAnsi="Times New Roman" w:eastAsia="宋体" w:cs="Times New Roman"/>
          <w:color w:val="auto"/>
        </w:rPr>
        <w:t>戊二醛，消毒</w:t>
      </w:r>
      <w:r>
        <w:rPr>
          <w:rFonts w:hint="eastAsia" w:cs="Times New Roman"/>
          <w:color w:val="auto"/>
          <w:lang w:val="en-US" w:eastAsia="zh-CN"/>
        </w:rPr>
        <w:t>30</w:t>
      </w:r>
      <w:r>
        <w:rPr>
          <w:rFonts w:hint="default" w:ascii="Times New Roman" w:hAnsi="Times New Roman" w:eastAsia="宋体" w:cs="Times New Roman"/>
          <w:color w:val="auto"/>
        </w:rPr>
        <w:t>分钟，车辆驶出，洗车及消毒废水收集至外部圆形沉淀池内沉淀处理后循环利用，不外排。</w:t>
      </w:r>
      <w:bookmarkEnd w:id="208"/>
    </w:p>
    <w:p>
      <w:pPr>
        <w:pStyle w:val="6"/>
        <w:rPr>
          <w:rFonts w:hint="default" w:ascii="Times New Roman" w:hAnsi="Times New Roman" w:eastAsia="宋体" w:cs="Times New Roman"/>
          <w:color w:val="auto"/>
        </w:rPr>
      </w:pPr>
      <w:bookmarkStart w:id="213" w:name="_Toc28509"/>
      <w:r>
        <w:rPr>
          <w:rFonts w:hint="default" w:ascii="Times New Roman" w:hAnsi="Times New Roman" w:eastAsia="宋体" w:cs="Times New Roman"/>
          <w:color w:val="auto"/>
        </w:rPr>
        <w:t>3.2.</w:t>
      </w:r>
      <w:r>
        <w:rPr>
          <w:rFonts w:hint="eastAsia" w:cs="Times New Roman"/>
          <w:color w:val="auto"/>
          <w:lang w:val="en-US" w:eastAsia="zh-CN"/>
        </w:rPr>
        <w:t>4病死猪处理</w:t>
      </w:r>
      <w:r>
        <w:rPr>
          <w:rFonts w:hint="default" w:ascii="Times New Roman" w:hAnsi="Times New Roman" w:eastAsia="宋体" w:cs="Times New Roman"/>
          <w:color w:val="auto"/>
        </w:rPr>
        <w:t>简述</w:t>
      </w:r>
      <w:bookmarkEnd w:id="213"/>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outlineLvl w:val="9"/>
        <w:rPr>
          <w:rFonts w:hAnsi="宋体"/>
          <w:color w:val="auto"/>
          <w:sz w:val="24"/>
          <w:szCs w:val="24"/>
        </w:rPr>
      </w:pPr>
      <w:r>
        <w:rPr>
          <w:rFonts w:hAnsi="宋体"/>
          <w:color w:val="auto"/>
          <w:sz w:val="24"/>
          <w:szCs w:val="24"/>
        </w:rPr>
        <w:t>生猪养殖过程中产生的病死猪尸体，包括发生猪瘟时病死猪尸体均通过由</w:t>
      </w:r>
      <w:r>
        <w:rPr>
          <w:rFonts w:hint="eastAsia" w:hAnsi="宋体"/>
          <w:color w:val="auto"/>
          <w:sz w:val="24"/>
          <w:szCs w:val="24"/>
          <w:lang w:eastAsia="zh-CN"/>
        </w:rPr>
        <w:t>场区</w:t>
      </w:r>
      <w:r>
        <w:rPr>
          <w:rFonts w:hAnsi="宋体"/>
          <w:color w:val="auto"/>
          <w:sz w:val="24"/>
          <w:szCs w:val="24"/>
        </w:rPr>
        <w:t>内设置的</w:t>
      </w:r>
      <w:r>
        <w:rPr>
          <w:rFonts w:hint="eastAsia"/>
          <w:color w:val="auto"/>
          <w:sz w:val="24"/>
          <w:szCs w:val="24"/>
          <w:lang w:val="en-US" w:eastAsia="zh-CN"/>
        </w:rPr>
        <w:t>2</w:t>
      </w:r>
      <w:r>
        <w:rPr>
          <w:rFonts w:hAnsi="宋体"/>
          <w:color w:val="auto"/>
          <w:sz w:val="24"/>
          <w:szCs w:val="24"/>
        </w:rPr>
        <w:t>个安全填埋井无害化处理。</w:t>
      </w:r>
    </w:p>
    <w:p>
      <w:pPr>
        <w:pStyle w:val="41"/>
        <w:keepNext w:val="0"/>
        <w:keepLines w:val="0"/>
        <w:pageBreakBefore w:val="0"/>
        <w:widowControl w:val="0"/>
        <w:kinsoku/>
        <w:wordWrap/>
        <w:overflowPunct/>
        <w:topLinePunct w:val="0"/>
        <w:bidi w:val="0"/>
        <w:adjustRightInd/>
        <w:snapToGrid/>
        <w:spacing w:line="480" w:lineRule="exact"/>
        <w:ind w:firstLine="480" w:firstLineChars="200"/>
        <w:jc w:val="left"/>
        <w:textAlignment w:val="auto"/>
        <w:outlineLvl w:val="9"/>
        <w:rPr>
          <w:rFonts w:hint="eastAsia" w:hAnsi="宋体"/>
          <w:color w:val="auto"/>
          <w:sz w:val="24"/>
          <w:szCs w:val="24"/>
          <w:lang w:val="en-US" w:eastAsia="zh-CN"/>
        </w:rPr>
      </w:pPr>
      <w:r>
        <w:rPr>
          <w:rFonts w:hint="eastAsia" w:hAnsi="宋体"/>
          <w:color w:val="auto"/>
          <w:sz w:val="24"/>
          <w:szCs w:val="24"/>
          <w:lang w:eastAsia="zh-CN"/>
        </w:rPr>
        <w:t>根据《畜禽养殖业污染防治技术规范》（</w:t>
      </w:r>
      <w:r>
        <w:rPr>
          <w:rFonts w:hint="eastAsia" w:hAnsi="宋体"/>
          <w:color w:val="auto"/>
          <w:sz w:val="24"/>
          <w:szCs w:val="24"/>
          <w:lang w:val="en-US" w:eastAsia="zh-CN"/>
        </w:rPr>
        <w:t>HJ/T81-2001</w:t>
      </w:r>
      <w:r>
        <w:rPr>
          <w:rFonts w:hint="eastAsia" w:hAnsi="宋体"/>
          <w:color w:val="auto"/>
          <w:sz w:val="24"/>
          <w:szCs w:val="24"/>
          <w:lang w:eastAsia="zh-CN"/>
        </w:rPr>
        <w:t>）</w:t>
      </w:r>
      <w:r>
        <w:rPr>
          <w:rFonts w:hint="eastAsia" w:hAnsi="宋体"/>
          <w:color w:val="auto"/>
          <w:sz w:val="24"/>
          <w:szCs w:val="24"/>
          <w:lang w:val="en-US" w:eastAsia="zh-CN"/>
        </w:rPr>
        <w:t>，第9章“病死禽畜尸体的处理与处置”。</w:t>
      </w:r>
    </w:p>
    <w:p>
      <w:pPr>
        <w:pStyle w:val="41"/>
        <w:keepNext w:val="0"/>
        <w:keepLines w:val="0"/>
        <w:pageBreakBefore w:val="0"/>
        <w:widowControl w:val="0"/>
        <w:kinsoku/>
        <w:wordWrap/>
        <w:overflowPunct/>
        <w:topLinePunct w:val="0"/>
        <w:bidi w:val="0"/>
        <w:adjustRightInd/>
        <w:snapToGrid/>
        <w:spacing w:line="480" w:lineRule="exact"/>
        <w:ind w:firstLine="480" w:firstLineChars="200"/>
        <w:jc w:val="left"/>
        <w:textAlignment w:val="auto"/>
        <w:outlineLvl w:val="9"/>
        <w:rPr>
          <w:rFonts w:hint="eastAsia" w:hAnsi="宋体"/>
          <w:color w:val="auto"/>
          <w:sz w:val="24"/>
          <w:szCs w:val="24"/>
          <w:lang w:val="en-US" w:eastAsia="zh-CN"/>
        </w:rPr>
      </w:pPr>
      <w:r>
        <w:rPr>
          <w:rFonts w:hint="eastAsia" w:hAnsi="宋体"/>
          <w:color w:val="auto"/>
          <w:sz w:val="24"/>
          <w:szCs w:val="24"/>
          <w:lang w:val="en-US" w:eastAsia="zh-CN"/>
        </w:rPr>
        <w:t>1、病死禽畜尸体要及时处理，严禁随意丢弃，严禁出售或作为饲料再利用。</w:t>
      </w:r>
    </w:p>
    <w:p>
      <w:pPr>
        <w:pStyle w:val="41"/>
        <w:keepNext w:val="0"/>
        <w:keepLines w:val="0"/>
        <w:pageBreakBefore w:val="0"/>
        <w:widowControl w:val="0"/>
        <w:kinsoku/>
        <w:wordWrap/>
        <w:overflowPunct/>
        <w:topLinePunct w:val="0"/>
        <w:bidi w:val="0"/>
        <w:adjustRightInd/>
        <w:snapToGrid/>
        <w:spacing w:line="480" w:lineRule="exact"/>
        <w:ind w:firstLine="480" w:firstLineChars="200"/>
        <w:jc w:val="left"/>
        <w:textAlignment w:val="auto"/>
        <w:outlineLvl w:val="9"/>
        <w:rPr>
          <w:rFonts w:hint="eastAsia" w:hAnsi="宋体"/>
          <w:color w:val="auto"/>
          <w:sz w:val="24"/>
          <w:szCs w:val="24"/>
          <w:lang w:val="en-US" w:eastAsia="zh-CN"/>
        </w:rPr>
      </w:pPr>
      <w:r>
        <w:rPr>
          <w:rFonts w:hint="eastAsia" w:hAnsi="宋体"/>
          <w:color w:val="auto"/>
          <w:sz w:val="24"/>
          <w:szCs w:val="24"/>
          <w:lang w:val="en-US" w:eastAsia="zh-CN"/>
        </w:rPr>
        <w:t>2、病死禽畜尸体处理采用设置两个以上安全填埋井，填埋井应为混凝土结构，深度大于2m，直径1m，进口加盖密封。进行填埋时，在每次投入畜禽尸体后，应覆盖一层厚度大于10cm的熟石灰，井填满后须用粘土填埋压实并封口。</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outlineLvl w:val="9"/>
        <w:rPr>
          <w:rFonts w:hint="eastAsia" w:hAnsi="宋体"/>
          <w:color w:val="auto"/>
          <w:sz w:val="24"/>
          <w:szCs w:val="24"/>
          <w:lang w:val="en-US" w:eastAsia="zh-CN"/>
        </w:rPr>
      </w:pPr>
      <w:r>
        <w:rPr>
          <w:rFonts w:hint="eastAsia" w:hAnsi="宋体"/>
          <w:color w:val="auto"/>
          <w:sz w:val="24"/>
          <w:szCs w:val="24"/>
          <w:lang w:eastAsia="zh-CN"/>
        </w:rPr>
        <w:t>本项目设置</w:t>
      </w:r>
      <w:r>
        <w:rPr>
          <w:rFonts w:hint="eastAsia" w:hAnsi="宋体"/>
          <w:color w:val="auto"/>
          <w:sz w:val="24"/>
          <w:szCs w:val="24"/>
          <w:lang w:val="en-US" w:eastAsia="zh-CN"/>
        </w:rPr>
        <w:t>2个安全填埋井，</w:t>
      </w:r>
      <w:r>
        <w:rPr>
          <w:rFonts w:hAnsi="宋体"/>
          <w:color w:val="auto"/>
          <w:sz w:val="24"/>
          <w:szCs w:val="24"/>
        </w:rPr>
        <w:t>每个安全填埋井规格为</w:t>
      </w:r>
      <w:r>
        <w:rPr>
          <w:rFonts w:hint="eastAsia" w:hAnsi="宋体"/>
          <w:color w:val="auto"/>
          <w:sz w:val="24"/>
          <w:szCs w:val="24"/>
          <w:lang w:eastAsia="zh-CN"/>
        </w:rPr>
        <w:t>长</w:t>
      </w:r>
      <w:r>
        <w:rPr>
          <w:rFonts w:hint="eastAsia"/>
          <w:color w:val="auto"/>
          <w:sz w:val="24"/>
          <w:szCs w:val="24"/>
          <w:lang w:val="en-US" w:eastAsia="zh-CN"/>
        </w:rPr>
        <w:t>3.4</w:t>
      </w:r>
      <w:r>
        <w:rPr>
          <w:color w:val="auto"/>
          <w:sz w:val="24"/>
          <w:szCs w:val="24"/>
        </w:rPr>
        <w:t>m</w:t>
      </w:r>
      <w:r>
        <w:rPr>
          <w:rFonts w:hint="eastAsia"/>
          <w:color w:val="auto"/>
          <w:sz w:val="24"/>
          <w:szCs w:val="24"/>
          <w:lang w:eastAsia="zh-CN"/>
        </w:rPr>
        <w:t>、宽</w:t>
      </w:r>
      <w:r>
        <w:rPr>
          <w:rFonts w:hint="eastAsia"/>
          <w:color w:val="auto"/>
          <w:spacing w:val="-4"/>
          <w:sz w:val="24"/>
          <w:szCs w:val="24"/>
          <w:lang w:val="en-US" w:eastAsia="zh-CN"/>
        </w:rPr>
        <w:t>3.3</w:t>
      </w:r>
      <w:r>
        <w:rPr>
          <w:color w:val="auto"/>
          <w:spacing w:val="-4"/>
          <w:sz w:val="24"/>
          <w:szCs w:val="24"/>
        </w:rPr>
        <w:t>m</w:t>
      </w:r>
      <w:r>
        <w:rPr>
          <w:rFonts w:hint="eastAsia"/>
          <w:color w:val="auto"/>
          <w:spacing w:val="-4"/>
          <w:sz w:val="24"/>
          <w:szCs w:val="24"/>
          <w:lang w:eastAsia="zh-CN"/>
        </w:rPr>
        <w:t>、</w:t>
      </w:r>
      <w:r>
        <w:rPr>
          <w:rFonts w:hint="eastAsia"/>
          <w:color w:val="FF0000"/>
          <w:spacing w:val="-4"/>
          <w:sz w:val="24"/>
          <w:szCs w:val="24"/>
          <w:lang w:eastAsia="zh-CN"/>
        </w:rPr>
        <w:t>深</w:t>
      </w:r>
      <w:r>
        <w:rPr>
          <w:rFonts w:hint="eastAsia"/>
          <w:color w:val="FF0000"/>
          <w:spacing w:val="-4"/>
          <w:sz w:val="24"/>
          <w:szCs w:val="24"/>
          <w:lang w:val="en-US" w:eastAsia="zh-CN"/>
        </w:rPr>
        <w:t>2.5</w:t>
      </w:r>
      <w:r>
        <w:rPr>
          <w:color w:val="FF0000"/>
          <w:spacing w:val="-4"/>
          <w:sz w:val="24"/>
          <w:szCs w:val="24"/>
        </w:rPr>
        <w:t>m</w:t>
      </w:r>
      <w:r>
        <w:rPr>
          <w:rFonts w:hAnsi="宋体"/>
          <w:color w:val="FF0000"/>
          <w:sz w:val="24"/>
          <w:szCs w:val="24"/>
        </w:rPr>
        <w:t>，</w:t>
      </w:r>
      <w:r>
        <w:rPr>
          <w:rFonts w:hint="eastAsia" w:hAnsi="宋体"/>
          <w:color w:val="auto"/>
          <w:sz w:val="24"/>
          <w:szCs w:val="24"/>
          <w:lang w:eastAsia="zh-CN"/>
        </w:rPr>
        <w:t>井口加盖密封，能满足病死猪填埋要求。安全填埋井进行防渗处理，</w:t>
      </w:r>
      <w:r>
        <w:rPr>
          <w:rFonts w:hint="eastAsia" w:hAnsi="宋体"/>
          <w:color w:val="auto"/>
          <w:sz w:val="24"/>
          <w:szCs w:val="24"/>
          <w:lang w:val="en-US" w:eastAsia="zh-CN"/>
        </w:rPr>
        <w:t>按《危险废物贮存污染控制标准》要求，基础防渗，渗透系数≤10</w:t>
      </w:r>
      <w:r>
        <w:rPr>
          <w:rFonts w:hint="eastAsia" w:hAnsi="宋体"/>
          <w:color w:val="auto"/>
          <w:sz w:val="24"/>
          <w:szCs w:val="24"/>
          <w:vertAlign w:val="superscript"/>
          <w:lang w:val="en-US" w:eastAsia="zh-CN"/>
        </w:rPr>
        <w:t>-10</w:t>
      </w:r>
      <w:r>
        <w:rPr>
          <w:rFonts w:hint="eastAsia" w:hAnsi="宋体"/>
          <w:color w:val="auto"/>
          <w:sz w:val="24"/>
          <w:szCs w:val="24"/>
          <w:lang w:val="en-US" w:eastAsia="zh-CN"/>
        </w:rPr>
        <w:t>cm/s，</w:t>
      </w:r>
      <w:r>
        <w:rPr>
          <w:rFonts w:hint="eastAsia" w:hAnsi="宋体"/>
          <w:color w:val="auto"/>
          <w:sz w:val="24"/>
          <w:szCs w:val="24"/>
          <w:lang w:eastAsia="zh-CN"/>
        </w:rPr>
        <w:t>井底和井壁采取混凝土浇筑硬化，并铺设</w:t>
      </w:r>
      <w:r>
        <w:rPr>
          <w:rFonts w:hint="eastAsia" w:hAnsi="宋体"/>
          <w:color w:val="auto"/>
          <w:sz w:val="24"/>
          <w:szCs w:val="24"/>
          <w:lang w:val="en-US" w:eastAsia="zh-CN"/>
        </w:rPr>
        <w:t>HDPE防渗膜（或其他防渗防腐材料）。</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outlineLvl w:val="9"/>
        <w:rPr>
          <w:color w:val="auto"/>
          <w:sz w:val="24"/>
          <w:szCs w:val="24"/>
        </w:rPr>
      </w:pPr>
      <w:r>
        <w:rPr>
          <w:rFonts w:hint="eastAsia"/>
          <w:color w:val="auto"/>
          <w:sz w:val="24"/>
          <w:szCs w:val="24"/>
          <w:lang w:eastAsia="zh-CN"/>
        </w:rPr>
        <w:t>填埋时池底要铺</w:t>
      </w:r>
      <w:r>
        <w:rPr>
          <w:rFonts w:hint="eastAsia"/>
          <w:color w:val="auto"/>
          <w:sz w:val="24"/>
          <w:szCs w:val="24"/>
          <w:lang w:val="en-US" w:eastAsia="zh-CN"/>
        </w:rPr>
        <w:t>2cm厚生石灰，填土要实，</w:t>
      </w:r>
      <w:r>
        <w:rPr>
          <w:rFonts w:hAnsi="宋体"/>
          <w:color w:val="auto"/>
          <w:sz w:val="24"/>
          <w:szCs w:val="24"/>
        </w:rPr>
        <w:t>进行填埋时，在每次投入猪尸体后，覆盖一层厚度</w:t>
      </w:r>
      <w:r>
        <w:rPr>
          <w:color w:val="auto"/>
          <w:sz w:val="24"/>
          <w:szCs w:val="24"/>
        </w:rPr>
        <w:t>1</w:t>
      </w:r>
      <w:r>
        <w:rPr>
          <w:rFonts w:hint="eastAsia"/>
          <w:color w:val="auto"/>
          <w:sz w:val="24"/>
          <w:szCs w:val="24"/>
          <w:lang w:val="en-US" w:eastAsia="zh-CN"/>
        </w:rPr>
        <w:t>0</w:t>
      </w:r>
      <w:r>
        <w:rPr>
          <w:color w:val="auto"/>
          <w:sz w:val="24"/>
          <w:szCs w:val="24"/>
        </w:rPr>
        <w:t>cm</w:t>
      </w:r>
      <w:r>
        <w:rPr>
          <w:rFonts w:hAnsi="宋体"/>
          <w:color w:val="auto"/>
          <w:sz w:val="24"/>
          <w:szCs w:val="24"/>
        </w:rPr>
        <w:t>的熟石灰，</w:t>
      </w:r>
      <w:r>
        <w:rPr>
          <w:rFonts w:hint="eastAsia"/>
          <w:color w:val="auto"/>
          <w:sz w:val="24"/>
          <w:szCs w:val="24"/>
          <w:lang w:val="en-US" w:eastAsia="zh-CN"/>
        </w:rPr>
        <w:t>用生石灰销毁、杀菌，井填满后，用粘土填埋压实并封口，确保安全干净。符合</w:t>
      </w:r>
      <w:r>
        <w:rPr>
          <w:rFonts w:hint="eastAsia" w:hAnsi="宋体"/>
          <w:color w:val="auto"/>
          <w:sz w:val="24"/>
          <w:szCs w:val="24"/>
          <w:lang w:eastAsia="zh-CN"/>
        </w:rPr>
        <w:t>《畜禽养殖业污染防治技术规范》（</w:t>
      </w:r>
      <w:r>
        <w:rPr>
          <w:rFonts w:hint="eastAsia" w:hAnsi="宋体"/>
          <w:color w:val="auto"/>
          <w:sz w:val="24"/>
          <w:szCs w:val="24"/>
          <w:lang w:val="en-US" w:eastAsia="zh-CN"/>
        </w:rPr>
        <w:t>HJ/T81-2001</w:t>
      </w:r>
      <w:r>
        <w:rPr>
          <w:rFonts w:hint="eastAsia" w:hAnsi="宋体"/>
          <w:color w:val="auto"/>
          <w:sz w:val="24"/>
          <w:szCs w:val="24"/>
          <w:lang w:eastAsia="zh-CN"/>
        </w:rPr>
        <w:t>）</w:t>
      </w:r>
      <w:r>
        <w:rPr>
          <w:rFonts w:hint="eastAsia" w:hAnsi="宋体"/>
          <w:color w:val="auto"/>
          <w:sz w:val="24"/>
          <w:szCs w:val="24"/>
          <w:lang w:val="en-US" w:eastAsia="zh-CN"/>
        </w:rPr>
        <w:t>，第9章“病死禽畜尸体的处理与处置”的相关要求。</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outlineLvl w:val="9"/>
        <w:rPr>
          <w:color w:val="auto"/>
          <w:sz w:val="24"/>
          <w:szCs w:val="24"/>
        </w:rPr>
      </w:pPr>
      <w:r>
        <w:rPr>
          <w:color w:val="auto"/>
          <w:sz w:val="24"/>
          <w:szCs w:val="24"/>
        </w:rPr>
        <w:t>病死猪处理规范要符合《</w:t>
      </w:r>
      <w:r>
        <w:rPr>
          <w:rFonts w:hint="eastAsia"/>
          <w:color w:val="auto"/>
          <w:sz w:val="24"/>
          <w:szCs w:val="24"/>
        </w:rPr>
        <w:t>病死及病害动物无害化处理技术规范</w:t>
      </w:r>
      <w:r>
        <w:rPr>
          <w:color w:val="auto"/>
          <w:sz w:val="24"/>
          <w:szCs w:val="24"/>
        </w:rPr>
        <w:t>》（</w:t>
      </w:r>
      <w:r>
        <w:rPr>
          <w:rFonts w:hint="eastAsia"/>
          <w:color w:val="auto"/>
          <w:sz w:val="24"/>
          <w:szCs w:val="24"/>
        </w:rPr>
        <w:t>农医发〔2017〕25号</w:t>
      </w:r>
      <w:r>
        <w:rPr>
          <w:color w:val="auto"/>
          <w:sz w:val="24"/>
          <w:szCs w:val="24"/>
        </w:rPr>
        <w:t>）中</w:t>
      </w:r>
      <w:r>
        <w:rPr>
          <w:rFonts w:hint="eastAsia"/>
          <w:color w:val="auto"/>
          <w:sz w:val="24"/>
          <w:szCs w:val="24"/>
        </w:rPr>
        <w:t>“4.4深埋法”</w:t>
      </w:r>
      <w:r>
        <w:rPr>
          <w:color w:val="auto"/>
          <w:sz w:val="24"/>
          <w:szCs w:val="24"/>
        </w:rPr>
        <w:t>的相关规定。</w:t>
      </w:r>
    </w:p>
    <w:p>
      <w:pPr>
        <w:pStyle w:val="3"/>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480" w:firstLineChars="200"/>
        <w:jc w:val="left"/>
        <w:textAlignment w:val="auto"/>
        <w:outlineLvl w:val="9"/>
        <w:rPr>
          <w:rFonts w:hint="eastAsia"/>
          <w:color w:val="auto"/>
          <w:sz w:val="24"/>
          <w:szCs w:val="24"/>
        </w:rPr>
      </w:pPr>
      <w:r>
        <w:rPr>
          <w:rFonts w:hint="eastAsia"/>
          <w:color w:val="auto"/>
          <w:sz w:val="24"/>
          <w:szCs w:val="24"/>
        </w:rPr>
        <w:t>（1）深埋坑体容积以实际处理动物尸体及相关动物产品确定；</w:t>
      </w:r>
    </w:p>
    <w:p>
      <w:pPr>
        <w:pStyle w:val="3"/>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480" w:firstLineChars="200"/>
        <w:jc w:val="left"/>
        <w:textAlignment w:val="auto"/>
        <w:outlineLvl w:val="9"/>
        <w:rPr>
          <w:rFonts w:hint="eastAsia"/>
          <w:color w:val="auto"/>
          <w:sz w:val="24"/>
          <w:szCs w:val="24"/>
        </w:rPr>
      </w:pPr>
      <w:r>
        <w:rPr>
          <w:rFonts w:hint="eastAsia"/>
          <w:color w:val="auto"/>
          <w:sz w:val="24"/>
          <w:szCs w:val="24"/>
        </w:rPr>
        <w:t>（2）深埋坑底应高出地下水位1.5m以上，要防渗、防漏；</w:t>
      </w:r>
    </w:p>
    <w:p>
      <w:pPr>
        <w:pStyle w:val="3"/>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480" w:firstLineChars="200"/>
        <w:jc w:val="left"/>
        <w:textAlignment w:val="auto"/>
        <w:outlineLvl w:val="9"/>
        <w:rPr>
          <w:rFonts w:hint="eastAsia"/>
          <w:color w:val="auto"/>
          <w:sz w:val="24"/>
          <w:szCs w:val="24"/>
        </w:rPr>
      </w:pPr>
      <w:r>
        <w:rPr>
          <w:rFonts w:hint="eastAsia"/>
          <w:color w:val="auto"/>
          <w:sz w:val="24"/>
          <w:szCs w:val="24"/>
        </w:rPr>
        <w:t>（3）坑底洒一层厚度为2-5cm的生石灰或漂白粉等消毒药；</w:t>
      </w:r>
    </w:p>
    <w:p>
      <w:pPr>
        <w:pStyle w:val="3"/>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480" w:firstLineChars="200"/>
        <w:jc w:val="left"/>
        <w:textAlignment w:val="auto"/>
        <w:outlineLvl w:val="9"/>
        <w:rPr>
          <w:rFonts w:hint="eastAsia"/>
          <w:color w:val="auto"/>
          <w:sz w:val="24"/>
          <w:szCs w:val="24"/>
        </w:rPr>
      </w:pPr>
      <w:r>
        <w:rPr>
          <w:rFonts w:hint="eastAsia"/>
          <w:color w:val="auto"/>
          <w:sz w:val="24"/>
          <w:szCs w:val="24"/>
        </w:rPr>
        <w:t>（4）将动物尸体及相关动物产品投入坑内，最上层距离地表1.5m以上；</w:t>
      </w:r>
    </w:p>
    <w:p>
      <w:pPr>
        <w:pStyle w:val="3"/>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480" w:firstLineChars="200"/>
        <w:jc w:val="left"/>
        <w:textAlignment w:val="auto"/>
        <w:outlineLvl w:val="9"/>
        <w:rPr>
          <w:rFonts w:hint="eastAsia"/>
          <w:color w:val="auto"/>
          <w:sz w:val="24"/>
          <w:szCs w:val="24"/>
        </w:rPr>
      </w:pPr>
      <w:r>
        <w:rPr>
          <w:rFonts w:hint="eastAsia"/>
          <w:color w:val="auto"/>
          <w:sz w:val="24"/>
          <w:szCs w:val="24"/>
        </w:rPr>
        <w:t>（5）生石灰或漂白粉等消毒药消毒；</w:t>
      </w:r>
    </w:p>
    <w:p>
      <w:pPr>
        <w:keepNext w:val="0"/>
        <w:keepLines w:val="0"/>
        <w:pageBreakBefore w:val="0"/>
        <w:widowControl w:val="0"/>
        <w:kinsoku/>
        <w:wordWrap/>
        <w:overflowPunct/>
        <w:autoSpaceDN/>
        <w:bidi w:val="0"/>
        <w:adjustRightInd/>
        <w:snapToGrid/>
        <w:ind w:left="0" w:leftChars="0" w:firstLine="480"/>
        <w:textAlignment w:val="auto"/>
        <w:rPr>
          <w:rFonts w:hint="eastAsia" w:ascii="Times New Roman" w:hAnsi="Times New Roman" w:eastAsia="宋体" w:cs="Times New Roman"/>
          <w:color w:val="auto"/>
          <w:lang w:eastAsia="zh-CN"/>
        </w:rPr>
      </w:pPr>
      <w:r>
        <w:rPr>
          <w:rFonts w:hint="eastAsia"/>
          <w:color w:val="auto"/>
          <w:sz w:val="24"/>
          <w:szCs w:val="24"/>
        </w:rPr>
        <w:t>（6）覆盖距地表20-30cm，厚度不少于1-1.2m的覆土</w:t>
      </w:r>
      <w:r>
        <w:rPr>
          <w:rFonts w:hint="eastAsia"/>
          <w:color w:val="auto"/>
          <w:sz w:val="24"/>
          <w:szCs w:val="24"/>
          <w:lang w:eastAsia="zh-CN"/>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根据项目流程及建设内容可知，项目主要污染物见下表。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表3.2-1    项目排污环节分析一览表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708"/>
        <w:gridCol w:w="1355"/>
        <w:gridCol w:w="1309"/>
        <w:gridCol w:w="471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类别</w:t>
            </w: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编号</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污染工序</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主要污染物</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处理措施/去向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restar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w:t>
            </w: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G1</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猪</w:t>
            </w:r>
            <w:r>
              <w:rPr>
                <w:rFonts w:hint="default" w:ascii="Times New Roman" w:hAnsi="Times New Roman" w:eastAsia="宋体" w:cs="Times New Roman"/>
                <w:color w:val="auto"/>
                <w:sz w:val="21"/>
                <w:szCs w:val="21"/>
              </w:rPr>
              <w:t>舍</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硫化氢、氨气、臭气浓度</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场区内采取控制饲养密度、加强舍内通风、调控喂食量、喷洒化学+生物除臭剂等措施降低臭气浓度；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G2</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eastAsia" w:cs="Times New Roman"/>
                <w:color w:val="auto"/>
                <w:sz w:val="21"/>
                <w:szCs w:val="21"/>
                <w:lang w:eastAsia="zh-CN"/>
              </w:rPr>
              <w:t>晾粪台</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硫化氢、氨气、臭气浓度</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晾粪台</w:t>
            </w:r>
            <w:r>
              <w:rPr>
                <w:rFonts w:hint="eastAsia"/>
                <w:color w:val="auto"/>
                <w:sz w:val="21"/>
                <w:szCs w:val="21"/>
              </w:rPr>
              <w:t>定期喷洒减少氨释放和保氮的复合菌剂，</w:t>
            </w:r>
            <w:r>
              <w:rPr>
                <w:rFonts w:hint="default" w:ascii="Times New Roman" w:hAnsi="Times New Roman" w:eastAsia="宋体" w:cs="Times New Roman"/>
                <w:color w:val="auto"/>
                <w:sz w:val="21"/>
                <w:szCs w:val="21"/>
              </w:rPr>
              <w:t>通过菌类自身繁殖达到去除臭气的目的</w:t>
            </w:r>
            <w:r>
              <w:rPr>
                <w:rFonts w:hint="eastAsia"/>
                <w:color w:val="auto"/>
                <w:sz w:val="21"/>
                <w:szCs w:val="21"/>
              </w:rPr>
              <w:t>，同时场区内加强绿化</w:t>
            </w:r>
            <w:r>
              <w:rPr>
                <w:rFonts w:hint="eastAsia"/>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G</w:t>
            </w:r>
            <w:r>
              <w:rPr>
                <w:rFonts w:hint="eastAsia" w:cs="Times New Roman"/>
                <w:color w:val="auto"/>
                <w:sz w:val="21"/>
                <w:szCs w:val="21"/>
                <w:lang w:val="en-US" w:eastAsia="zh-CN"/>
              </w:rPr>
              <w:t>3</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氧化塘</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硫化氢、氨气、臭气浓度</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sz w:val="21"/>
                <w:szCs w:val="21"/>
              </w:rPr>
              <w:t xml:space="preserve"> </w:t>
            </w:r>
            <w:r>
              <w:rPr>
                <w:rFonts w:hint="eastAsia"/>
                <w:color w:val="auto"/>
                <w:sz w:val="21"/>
                <w:szCs w:val="21"/>
              </w:rPr>
              <w:t>氧化塘定期喷洒减少氨释放和保氮的复合菌剂，</w:t>
            </w:r>
            <w:r>
              <w:rPr>
                <w:rFonts w:hint="default" w:ascii="Times New Roman" w:hAnsi="Times New Roman" w:eastAsia="宋体" w:cs="Times New Roman"/>
                <w:color w:val="auto"/>
                <w:sz w:val="21"/>
                <w:szCs w:val="21"/>
              </w:rPr>
              <w:t>通过菌类自身繁殖达到去除臭气的目的</w:t>
            </w:r>
            <w:r>
              <w:rPr>
                <w:rFonts w:hint="eastAsia"/>
                <w:color w:val="auto"/>
                <w:sz w:val="21"/>
                <w:szCs w:val="21"/>
              </w:rPr>
              <w:t>，同时场区内加强绿化</w:t>
            </w:r>
            <w:r>
              <w:rPr>
                <w:rFonts w:hint="eastAsia"/>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restar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w:t>
            </w: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W1</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猪粪尿</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COD、BOD、氨氮、总氮、总磷、PH</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04" w:firstLineChars="200"/>
              <w:jc w:val="left"/>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4"/>
                <w:sz w:val="21"/>
                <w:szCs w:val="21"/>
              </w:rPr>
              <w:t>猪舍地面采用漏缝地板，</w:t>
            </w:r>
            <w:r>
              <w:rPr>
                <w:rFonts w:hint="eastAsia"/>
                <w:color w:val="FF0000"/>
                <w:sz w:val="21"/>
                <w:szCs w:val="21"/>
                <w:lang w:eastAsia="zh-CN"/>
              </w:rPr>
              <w:t>猪粪和猪尿由猪舍内的地漏落到</w:t>
            </w:r>
            <w:r>
              <w:rPr>
                <w:rFonts w:hint="eastAsia" w:cs="Times New Roman"/>
                <w:color w:val="FF0000"/>
                <w:lang w:eastAsia="zh-CN"/>
              </w:rPr>
              <w:t>猪舍粪污管道内，通过坡度自流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default" w:ascii="Times New Roman" w:hAnsi="Times New Roman" w:eastAsia="宋体" w:cs="Times New Roman"/>
                <w:color w:val="FF0000"/>
                <w:spacing w:val="-4"/>
                <w:sz w:val="21"/>
                <w:szCs w:val="21"/>
              </w:rPr>
              <w:t>，</w:t>
            </w:r>
            <w:r>
              <w:rPr>
                <w:rFonts w:hint="eastAsia" w:cs="Times New Roman"/>
                <w:color w:val="FF0000"/>
                <w:spacing w:val="-4"/>
                <w:sz w:val="21"/>
                <w:szCs w:val="21"/>
                <w:lang w:val="en-US" w:eastAsia="zh-CN"/>
              </w:rPr>
              <w:t>化粪池内粪水经固液分离器将猪粪分离后</w:t>
            </w:r>
            <w:r>
              <w:rPr>
                <w:rFonts w:hint="default" w:ascii="Times New Roman" w:hAnsi="Times New Roman" w:eastAsia="宋体" w:cs="Times New Roman"/>
                <w:color w:val="FF0000"/>
                <w:spacing w:val="-4"/>
                <w:sz w:val="21"/>
                <w:szCs w:val="21"/>
              </w:rPr>
              <w:t>，猪尿</w:t>
            </w:r>
            <w:r>
              <w:rPr>
                <w:rFonts w:hint="eastAsia" w:cs="Times New Roman"/>
                <w:color w:val="FF0000"/>
                <w:spacing w:val="-4"/>
                <w:sz w:val="21"/>
                <w:szCs w:val="21"/>
                <w:lang w:val="en-US" w:eastAsia="zh-CN"/>
              </w:rPr>
              <w:t>排入氧化塘</w:t>
            </w:r>
            <w:r>
              <w:rPr>
                <w:rFonts w:hint="default" w:ascii="Times New Roman" w:hAnsi="Times New Roman" w:eastAsia="宋体" w:cs="Times New Roman"/>
                <w:color w:val="FF0000"/>
                <w:spacing w:val="-4"/>
                <w:sz w:val="21"/>
                <w:szCs w:val="21"/>
              </w:rPr>
              <w:t>内发酵6个月，处理后的液肥用于还田；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W2</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lang w:eastAsia="zh-CN"/>
              </w:rPr>
              <w:t>猪舍粪污管道冲洗废水</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COD、BOD、氨氮、总氮、总磷、PH</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Times New Roman" w:hAnsi="Times New Roman" w:eastAsia="宋体" w:cs="Times New Roman"/>
                <w:color w:val="FF0000"/>
                <w:spacing w:val="-4"/>
                <w:sz w:val="21"/>
                <w:szCs w:val="21"/>
              </w:rPr>
            </w:pPr>
            <w:r>
              <w:rPr>
                <w:rFonts w:hint="eastAsia" w:cs="Times New Roman"/>
                <w:color w:val="FF0000"/>
                <w:lang w:eastAsia="zh-CN"/>
              </w:rPr>
              <w:t>通过粪污管道坡度自流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default" w:ascii="Times New Roman" w:hAnsi="Times New Roman" w:eastAsia="宋体" w:cs="Times New Roman"/>
                <w:color w:val="FF0000"/>
                <w:spacing w:val="-4"/>
                <w:sz w:val="21"/>
                <w:szCs w:val="21"/>
              </w:rPr>
              <w:t>，</w:t>
            </w:r>
            <w:r>
              <w:rPr>
                <w:rFonts w:hint="eastAsia" w:cs="Times New Roman"/>
                <w:color w:val="FF0000"/>
                <w:spacing w:val="-4"/>
                <w:sz w:val="21"/>
                <w:szCs w:val="21"/>
                <w:lang w:val="en-US" w:eastAsia="zh-CN"/>
              </w:rPr>
              <w:t>化粪池内粪水经固液分离器将猪粪分离后</w:t>
            </w:r>
            <w:r>
              <w:rPr>
                <w:rFonts w:hint="default" w:ascii="Times New Roman" w:hAnsi="Times New Roman" w:eastAsia="宋体" w:cs="Times New Roman"/>
                <w:color w:val="FF0000"/>
                <w:spacing w:val="-4"/>
                <w:sz w:val="21"/>
                <w:szCs w:val="21"/>
              </w:rPr>
              <w:t>，猪尿</w:t>
            </w:r>
            <w:r>
              <w:rPr>
                <w:rFonts w:hint="eastAsia" w:cs="Times New Roman"/>
                <w:color w:val="FF0000"/>
                <w:spacing w:val="-4"/>
                <w:sz w:val="21"/>
                <w:szCs w:val="21"/>
                <w:lang w:val="en-US" w:eastAsia="zh-CN"/>
              </w:rPr>
              <w:t>排入氧化塘</w:t>
            </w:r>
            <w:r>
              <w:rPr>
                <w:rFonts w:hint="default" w:ascii="Times New Roman" w:hAnsi="Times New Roman" w:eastAsia="宋体" w:cs="Times New Roman"/>
                <w:color w:val="FF0000"/>
                <w:spacing w:val="-4"/>
                <w:sz w:val="21"/>
                <w:szCs w:val="21"/>
              </w:rPr>
              <w:t>内发酵6个月，处理后的液肥用于还田</w:t>
            </w:r>
            <w:r>
              <w:rPr>
                <w:rFonts w:hint="eastAsia" w:cs="Times New Roman"/>
                <w:color w:val="FF0000"/>
                <w:spacing w:val="-4"/>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W</w:t>
            </w:r>
            <w:r>
              <w:rPr>
                <w:rFonts w:hint="eastAsia" w:ascii="Times New Roman" w:hAnsi="Times New Roman" w:eastAsia="宋体" w:cs="Times New Roman"/>
                <w:color w:val="FF0000"/>
                <w:sz w:val="21"/>
                <w:szCs w:val="21"/>
                <w:lang w:val="en-US" w:eastAsia="zh-CN"/>
              </w:rPr>
              <w:t>3</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spacing w:val="-4"/>
                <w:sz w:val="21"/>
                <w:szCs w:val="21"/>
                <w:lang w:eastAsia="zh-CN"/>
              </w:rPr>
              <w:t>猪舍</w:t>
            </w:r>
            <w:r>
              <w:rPr>
                <w:rFonts w:hint="default" w:ascii="Times New Roman" w:hAnsi="Times New Roman" w:eastAsia="宋体" w:cs="Times New Roman"/>
                <w:color w:val="FF0000"/>
                <w:spacing w:val="-4"/>
                <w:sz w:val="21"/>
                <w:szCs w:val="21"/>
              </w:rPr>
              <w:t>降温水帘系统废水</w:t>
            </w:r>
          </w:p>
        </w:tc>
        <w:tc>
          <w:tcPr>
            <w:tcW w:w="740" w:type="pct"/>
            <w:tcMar>
              <w:left w:w="28" w:type="dxa"/>
              <w:right w:w="28"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04" w:firstLineChars="200"/>
              <w:jc w:val="left"/>
              <w:textAlignment w:val="center"/>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rPr>
              <w:t>循环使用，无废水排放</w:t>
            </w:r>
            <w:r>
              <w:rPr>
                <w:rFonts w:hint="eastAsia" w:cs="Times New Roman"/>
                <w:color w:val="FF0000"/>
                <w:spacing w:val="-4"/>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W</w:t>
            </w:r>
            <w:r>
              <w:rPr>
                <w:rFonts w:hint="eastAsia" w:cs="Times New Roman"/>
                <w:color w:val="FF0000"/>
                <w:sz w:val="21"/>
                <w:szCs w:val="21"/>
                <w:lang w:val="en-US" w:eastAsia="zh-CN"/>
              </w:rPr>
              <w:t>4</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生活废水</w:t>
            </w:r>
          </w:p>
        </w:tc>
        <w:tc>
          <w:tcPr>
            <w:tcW w:w="740" w:type="pct"/>
            <w:tcMar>
              <w:left w:w="28" w:type="dxa"/>
              <w:right w:w="28"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COD、BOD、氨氮、总氮、总磷、PH</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04" w:firstLineChars="200"/>
              <w:jc w:val="left"/>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4"/>
                <w:sz w:val="21"/>
                <w:szCs w:val="21"/>
              </w:rPr>
              <w:t>生活污水</w:t>
            </w:r>
            <w:r>
              <w:rPr>
                <w:rFonts w:hint="eastAsia" w:cs="Times New Roman"/>
                <w:color w:val="FF0000"/>
                <w:spacing w:val="-4"/>
                <w:sz w:val="21"/>
                <w:szCs w:val="21"/>
                <w:lang w:val="en-US" w:eastAsia="zh-CN"/>
              </w:rPr>
              <w:t>排入</w:t>
            </w:r>
            <w:r>
              <w:rPr>
                <w:rFonts w:hint="default" w:ascii="Times New Roman" w:hAnsi="Times New Roman" w:eastAsia="宋体" w:cs="Times New Roman"/>
                <w:color w:val="FF0000"/>
                <w:spacing w:val="-4"/>
                <w:sz w:val="21"/>
                <w:szCs w:val="21"/>
              </w:rPr>
              <w:t>化粪池</w:t>
            </w:r>
            <w:r>
              <w:rPr>
                <w:rFonts w:hint="eastAsia" w:cs="Times New Roman"/>
                <w:color w:val="FF0000"/>
                <w:spacing w:val="-4"/>
                <w:sz w:val="21"/>
                <w:szCs w:val="21"/>
                <w:lang w:eastAsia="zh-CN"/>
              </w:rPr>
              <w:t>，</w:t>
            </w:r>
            <w:r>
              <w:rPr>
                <w:rFonts w:hint="eastAsia" w:cs="Times New Roman"/>
                <w:color w:val="FF0000"/>
                <w:spacing w:val="-4"/>
                <w:sz w:val="21"/>
                <w:szCs w:val="21"/>
                <w:lang w:val="en-US" w:eastAsia="zh-CN"/>
              </w:rPr>
              <w:t>经固液分离器分离后，</w:t>
            </w:r>
            <w:r>
              <w:rPr>
                <w:rFonts w:hint="default" w:ascii="Times New Roman" w:hAnsi="Times New Roman" w:eastAsia="宋体" w:cs="Times New Roman"/>
                <w:color w:val="FF0000"/>
                <w:spacing w:val="-4"/>
                <w:sz w:val="21"/>
                <w:szCs w:val="21"/>
              </w:rPr>
              <w:t>与猪尿</w:t>
            </w:r>
            <w:r>
              <w:rPr>
                <w:rFonts w:hint="eastAsia" w:cs="Times New Roman"/>
                <w:color w:val="FF0000"/>
                <w:spacing w:val="-4"/>
                <w:sz w:val="21"/>
                <w:szCs w:val="21"/>
                <w:lang w:val="en-US" w:eastAsia="zh-CN"/>
              </w:rPr>
              <w:t>排入氧化塘</w:t>
            </w:r>
            <w:r>
              <w:rPr>
                <w:rFonts w:hint="default" w:ascii="Times New Roman" w:hAnsi="Times New Roman" w:eastAsia="宋体" w:cs="Times New Roman"/>
                <w:color w:val="FF0000"/>
                <w:spacing w:val="-4"/>
                <w:sz w:val="21"/>
                <w:szCs w:val="21"/>
              </w:rPr>
              <w:t>内发酵6个月，处理后的液肥用于还田；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rPr>
              <w:t>W</w:t>
            </w:r>
            <w:r>
              <w:rPr>
                <w:rFonts w:hint="eastAsia" w:cs="Times New Roman"/>
                <w:color w:val="FF0000"/>
                <w:sz w:val="21"/>
                <w:szCs w:val="21"/>
                <w:lang w:val="en-US" w:eastAsia="zh-CN"/>
              </w:rPr>
              <w:t>5</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4"/>
                <w:sz w:val="21"/>
                <w:szCs w:val="21"/>
              </w:rPr>
              <w:t>洗消中心洗车废水、消毒废水</w:t>
            </w:r>
          </w:p>
        </w:tc>
        <w:tc>
          <w:tcPr>
            <w:tcW w:w="740" w:type="pct"/>
            <w:tcMar>
              <w:left w:w="28" w:type="dxa"/>
              <w:right w:w="28"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COD、BOD、氨氮、总氮、总磷、PH</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04" w:firstLineChars="200"/>
              <w:jc w:val="left"/>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4"/>
                <w:sz w:val="21"/>
                <w:szCs w:val="21"/>
              </w:rPr>
              <w:t>洗消中心洗车废水、消毒废水经沉淀池处理后，上清液循环使用，不外排</w:t>
            </w:r>
            <w:r>
              <w:rPr>
                <w:rFonts w:hint="eastAsia" w:cs="Times New Roman"/>
                <w:color w:val="FF0000"/>
                <w:spacing w:val="-4"/>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rPr>
              <w:t>W</w:t>
            </w:r>
            <w:r>
              <w:rPr>
                <w:rFonts w:hint="eastAsia" w:cs="Times New Roman"/>
                <w:color w:val="FF0000"/>
                <w:sz w:val="21"/>
                <w:szCs w:val="21"/>
                <w:lang w:val="en-US" w:eastAsia="zh-CN"/>
              </w:rPr>
              <w:t>6</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锅炉排水</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SS、Ca</w:t>
            </w:r>
            <w:r>
              <w:rPr>
                <w:rFonts w:hint="default" w:ascii="Times New Roman" w:hAnsi="Times New Roman" w:eastAsia="宋体" w:cs="Times New Roman"/>
                <w:color w:val="FF0000"/>
                <w:sz w:val="21"/>
                <w:szCs w:val="21"/>
                <w:vertAlign w:val="superscript"/>
              </w:rPr>
              <w:t>2+</w:t>
            </w:r>
            <w:r>
              <w:rPr>
                <w:rFonts w:hint="default" w:ascii="Times New Roman" w:hAnsi="Times New Roman" w:eastAsia="宋体" w:cs="Times New Roman"/>
                <w:color w:val="FF0000"/>
                <w:sz w:val="21"/>
                <w:szCs w:val="21"/>
              </w:rPr>
              <w:t>、Mg</w:t>
            </w:r>
            <w:r>
              <w:rPr>
                <w:rFonts w:hint="default" w:ascii="Times New Roman" w:hAnsi="Times New Roman" w:eastAsia="宋体" w:cs="Times New Roman"/>
                <w:color w:val="FF0000"/>
                <w:sz w:val="21"/>
                <w:szCs w:val="21"/>
                <w:vertAlign w:val="superscript"/>
              </w:rPr>
              <w:t>2+</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eastAsia"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电锅炉定期排水用于道路抑尘</w:t>
            </w:r>
            <w:r>
              <w:rPr>
                <w:rFonts w:hint="eastAsia" w:cs="Times New Roman"/>
                <w:color w:val="FF0000"/>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restar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固废</w:t>
            </w: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S1</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猪</w:t>
            </w:r>
            <w:r>
              <w:rPr>
                <w:rFonts w:hint="default" w:ascii="Times New Roman" w:hAnsi="Times New Roman" w:eastAsia="宋体" w:cs="Times New Roman"/>
                <w:color w:val="auto"/>
                <w:sz w:val="21"/>
                <w:szCs w:val="21"/>
              </w:rPr>
              <w:t>粪</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猪</w:t>
            </w:r>
            <w:r>
              <w:rPr>
                <w:rFonts w:hint="default" w:ascii="Times New Roman" w:hAnsi="Times New Roman" w:eastAsia="宋体" w:cs="Times New Roman"/>
                <w:color w:val="auto"/>
                <w:sz w:val="21"/>
                <w:szCs w:val="21"/>
              </w:rPr>
              <w:t>粪</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04" w:firstLineChars="20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4"/>
                <w:sz w:val="21"/>
                <w:szCs w:val="21"/>
              </w:rPr>
              <w:t>猪舍地面采用漏缝地板，猪粪和猪尿依靠重力作用落到</w:t>
            </w:r>
            <w:r>
              <w:rPr>
                <w:rFonts w:hint="eastAsia" w:cs="Times New Roman"/>
                <w:color w:val="auto"/>
                <w:spacing w:val="-4"/>
                <w:sz w:val="21"/>
                <w:szCs w:val="21"/>
                <w:lang w:val="en-US" w:eastAsia="zh-CN"/>
              </w:rPr>
              <w:t>化</w:t>
            </w:r>
            <w:r>
              <w:rPr>
                <w:rFonts w:hint="default" w:ascii="Times New Roman" w:hAnsi="Times New Roman" w:eastAsia="宋体" w:cs="Times New Roman"/>
                <w:color w:val="auto"/>
                <w:spacing w:val="-4"/>
                <w:sz w:val="21"/>
                <w:szCs w:val="21"/>
              </w:rPr>
              <w:t>粪池内，</w:t>
            </w:r>
            <w:r>
              <w:rPr>
                <w:rFonts w:hint="eastAsia" w:cs="Times New Roman"/>
                <w:color w:val="auto"/>
                <w:spacing w:val="-4"/>
                <w:sz w:val="21"/>
                <w:szCs w:val="21"/>
                <w:lang w:val="en-US" w:eastAsia="zh-CN"/>
              </w:rPr>
              <w:t>经固液分离器将猪粪分离后，猪粪储存于晾粪台，</w:t>
            </w:r>
            <w:r>
              <w:rPr>
                <w:rFonts w:hint="eastAsia" w:cs="Times New Roman"/>
                <w:color w:val="auto"/>
                <w:sz w:val="21"/>
                <w:szCs w:val="21"/>
                <w:lang w:eastAsia="zh-CN"/>
              </w:rPr>
              <w:t>出售有机肥生产厂家进行资源化利用；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S2</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医疗废物</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医疗废物</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z w:val="21"/>
                <w:szCs w:val="21"/>
                <w:lang w:bidi="zh-CN"/>
              </w:rPr>
            </w:pPr>
            <w:r>
              <w:rPr>
                <w:rFonts w:hint="default" w:ascii="Times New Roman" w:hAnsi="Times New Roman" w:eastAsia="宋体" w:cs="Times New Roman"/>
                <w:color w:val="auto"/>
                <w:sz w:val="21"/>
                <w:szCs w:val="21"/>
                <w:lang w:bidi="zh-CN"/>
              </w:rPr>
              <w:t>项目运营过程产生的医疗垃圾为危险废物，封闭包装后分区存放危险废物暂存间后交由有资质单位处理</w:t>
            </w:r>
            <w:r>
              <w:rPr>
                <w:rFonts w:hint="eastAsia" w:cs="Times New Roman"/>
                <w:color w:val="auto"/>
                <w:sz w:val="21"/>
                <w:szCs w:val="21"/>
                <w:lang w:bidi="zh-CN"/>
              </w:rPr>
              <w:t>；</w:t>
            </w:r>
          </w:p>
          <w:p>
            <w:pPr>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新建1座危险废物暂存间（建筑面积10m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），内部分隔为医疗废物暂存间及其他暂存间</w:t>
            </w:r>
            <w:r>
              <w:rPr>
                <w:rFonts w:hint="eastAsia" w:ascii="Times New Roman" w:hAnsi="Times New Roman" w:eastAsia="宋体" w:cs="Times New Roman"/>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S3</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病死</w:t>
            </w:r>
            <w:r>
              <w:rPr>
                <w:rFonts w:hint="eastAsia" w:cs="Times New Roman"/>
                <w:color w:val="auto"/>
                <w:sz w:val="21"/>
                <w:szCs w:val="21"/>
                <w:lang w:val="en-US" w:eastAsia="zh-CN"/>
              </w:rPr>
              <w:t>猪</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病死</w:t>
            </w:r>
            <w:r>
              <w:rPr>
                <w:rFonts w:hint="eastAsia" w:cs="Times New Roman"/>
                <w:color w:val="auto"/>
                <w:sz w:val="21"/>
                <w:szCs w:val="21"/>
                <w:lang w:val="en-US" w:eastAsia="zh-CN"/>
              </w:rPr>
              <w:t>猪</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color w:val="auto"/>
                <w:kern w:val="2"/>
                <w:sz w:val="21"/>
                <w:szCs w:val="21"/>
                <w:lang w:val="en-US" w:eastAsia="zh-CN" w:bidi="zh-CN"/>
              </w:rPr>
            </w:pPr>
            <w:r>
              <w:rPr>
                <w:rFonts w:hint="eastAsia"/>
                <w:color w:val="auto"/>
                <w:sz w:val="21"/>
                <w:szCs w:val="21"/>
                <w:lang w:eastAsia="zh-CN"/>
              </w:rPr>
              <w:t>将病死猪填埋于</w:t>
            </w:r>
            <w:r>
              <w:rPr>
                <w:rFonts w:hint="eastAsia"/>
                <w:color w:val="auto"/>
                <w:sz w:val="21"/>
                <w:szCs w:val="21"/>
                <w:lang w:val="en-US" w:eastAsia="zh-CN"/>
              </w:rPr>
              <w:t>2</w:t>
            </w:r>
            <w:r>
              <w:rPr>
                <w:rFonts w:hint="eastAsia"/>
                <w:color w:val="auto"/>
                <w:sz w:val="21"/>
                <w:szCs w:val="21"/>
              </w:rPr>
              <w:t>个安全填埋井（每个规格为</w:t>
            </w:r>
            <w:r>
              <w:rPr>
                <w:rFonts w:hint="eastAsia"/>
                <w:color w:val="auto"/>
                <w:sz w:val="21"/>
                <w:szCs w:val="21"/>
                <w:lang w:val="en-US" w:eastAsia="zh-CN"/>
              </w:rPr>
              <w:t>3.4</w:t>
            </w:r>
            <w:r>
              <w:rPr>
                <w:rFonts w:hint="eastAsia"/>
                <w:color w:val="auto"/>
                <w:sz w:val="21"/>
                <w:szCs w:val="21"/>
              </w:rPr>
              <w:t>m</w:t>
            </w:r>
            <w:r>
              <w:rPr>
                <w:rFonts w:hint="eastAsia"/>
                <w:color w:val="auto"/>
                <w:spacing w:val="-4"/>
                <w:sz w:val="21"/>
                <w:szCs w:val="21"/>
              </w:rPr>
              <w:t>×</w:t>
            </w:r>
            <w:r>
              <w:rPr>
                <w:rFonts w:hint="eastAsia"/>
                <w:color w:val="auto"/>
                <w:spacing w:val="-4"/>
                <w:sz w:val="21"/>
                <w:szCs w:val="21"/>
                <w:lang w:val="en-US" w:eastAsia="zh-CN"/>
              </w:rPr>
              <w:t>3.3</w:t>
            </w:r>
            <w:r>
              <w:rPr>
                <w:rFonts w:hint="eastAsia"/>
                <w:color w:val="auto"/>
                <w:spacing w:val="-4"/>
                <w:sz w:val="21"/>
                <w:szCs w:val="21"/>
              </w:rPr>
              <w:t>m</w:t>
            </w:r>
            <w:r>
              <w:rPr>
                <w:rFonts w:hint="eastAsia"/>
                <w:color w:val="FF0000"/>
                <w:spacing w:val="-4"/>
                <w:sz w:val="21"/>
                <w:szCs w:val="21"/>
              </w:rPr>
              <w:t>×</w:t>
            </w:r>
            <w:r>
              <w:rPr>
                <w:rFonts w:hint="eastAsia"/>
                <w:color w:val="FF0000"/>
                <w:spacing w:val="-4"/>
                <w:sz w:val="21"/>
                <w:szCs w:val="21"/>
                <w:lang w:val="en-US" w:eastAsia="zh-CN"/>
              </w:rPr>
              <w:t>2.5</w:t>
            </w:r>
            <w:r>
              <w:rPr>
                <w:rFonts w:hint="eastAsia"/>
                <w:color w:val="FF0000"/>
                <w:spacing w:val="-4"/>
                <w:sz w:val="21"/>
                <w:szCs w:val="21"/>
              </w:rPr>
              <w:t>m</w:t>
            </w:r>
            <w:r>
              <w:rPr>
                <w:rFonts w:hint="eastAsia"/>
                <w:color w:val="FF0000"/>
                <w:sz w:val="21"/>
                <w:szCs w:val="21"/>
              </w:rPr>
              <w:t>）</w:t>
            </w:r>
            <w:r>
              <w:rPr>
                <w:rFonts w:hint="eastAsia"/>
                <w:color w:val="auto"/>
                <w:sz w:val="21"/>
                <w:szCs w:val="21"/>
              </w:rPr>
              <w:t>，填埋井为混凝土结构，井口加盖密封。进行填埋时，在每次投入猪尸体后，覆盖一层厚度1</w:t>
            </w:r>
            <w:r>
              <w:rPr>
                <w:rFonts w:hint="eastAsia"/>
                <w:color w:val="auto"/>
                <w:sz w:val="21"/>
                <w:szCs w:val="21"/>
                <w:lang w:val="en-US" w:eastAsia="zh-CN"/>
              </w:rPr>
              <w:t>0</w:t>
            </w:r>
            <w:r>
              <w:rPr>
                <w:rFonts w:hint="eastAsia"/>
                <w:color w:val="auto"/>
                <w:sz w:val="21"/>
                <w:szCs w:val="21"/>
              </w:rPr>
              <w:t>cm的熟石灰，井填满后，用粘土填埋压实并封口</w:t>
            </w:r>
            <w:r>
              <w:rPr>
                <w:rFonts w:hint="eastAsia" w:cs="Times New Roman"/>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S4</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电锅炉</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废离子树脂</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Times New Roman" w:hAnsi="Times New Roman" w:eastAsia="宋体" w:cs="Times New Roman"/>
                <w:color w:val="auto"/>
                <w:sz w:val="21"/>
                <w:szCs w:val="21"/>
              </w:rPr>
            </w:pPr>
            <w:r>
              <w:rPr>
                <w:rFonts w:hint="eastAsia" w:cs="Times New Roman"/>
                <w:color w:val="auto"/>
                <w:sz w:val="21"/>
                <w:szCs w:val="21"/>
                <w:lang w:bidi="zh-CN"/>
              </w:rPr>
              <w:t>由厂家回收；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vMerge w:val="continue"/>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S5</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职工</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生活垃圾</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Times New Roman" w:hAnsi="Times New Roman" w:eastAsia="宋体" w:cs="Times New Roman"/>
                <w:color w:val="auto"/>
                <w:sz w:val="21"/>
                <w:szCs w:val="21"/>
              </w:rPr>
            </w:pPr>
            <w:r>
              <w:rPr>
                <w:rFonts w:hint="eastAsia" w:cs="Times New Roman"/>
                <w:color w:val="auto"/>
                <w:sz w:val="21"/>
                <w:szCs w:val="21"/>
                <w:lang w:bidi="zh-CN"/>
              </w:rPr>
              <w:t>场区</w:t>
            </w:r>
            <w:r>
              <w:rPr>
                <w:rFonts w:hint="default" w:ascii="Times New Roman" w:hAnsi="Times New Roman" w:eastAsia="宋体" w:cs="Times New Roman"/>
                <w:color w:val="auto"/>
                <w:sz w:val="21"/>
                <w:szCs w:val="21"/>
                <w:lang w:bidi="zh-CN"/>
              </w:rPr>
              <w:t>设置垃圾桶分类收集，清运到环卫部门指定的地点集中处理</w:t>
            </w:r>
            <w:r>
              <w:rPr>
                <w:rFonts w:hint="eastAsia" w:cs="Times New Roman"/>
                <w:color w:val="auto"/>
                <w:sz w:val="21"/>
                <w:szCs w:val="21"/>
                <w:lang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40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w:t>
            </w:r>
          </w:p>
        </w:tc>
        <w:tc>
          <w:tcPr>
            <w:tcW w:w="766"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各工段</w:t>
            </w:r>
          </w:p>
        </w:tc>
        <w:tc>
          <w:tcPr>
            <w:tcW w:w="740"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2665" w:type="pct"/>
            <w:tcMar>
              <w:left w:w="28" w:type="dxa"/>
              <w:right w:w="28" w:type="dxa"/>
            </w:tcMar>
            <w:vAlign w:val="center"/>
          </w:tcPr>
          <w:p>
            <w:pPr>
              <w:pStyle w:val="58"/>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采取减振、隔声、合理布局等降噪措施</w:t>
            </w:r>
            <w:r>
              <w:rPr>
                <w:rFonts w:hint="eastAsia" w:cs="Times New Roman"/>
                <w:color w:val="auto"/>
                <w:sz w:val="21"/>
                <w:szCs w:val="21"/>
                <w:lang w:eastAsia="zh-CN"/>
              </w:rPr>
              <w:t>；</w:t>
            </w:r>
          </w:p>
        </w:tc>
      </w:tr>
    </w:tbl>
    <w:p>
      <w:pPr>
        <w:pStyle w:val="5"/>
        <w:pageBreakBefore w:val="0"/>
        <w:widowControl w:val="0"/>
        <w:kinsoku/>
        <w:wordWrap/>
        <w:topLinePunct/>
        <w:autoSpaceDN/>
        <w:bidi w:val="0"/>
        <w:adjustRightInd/>
        <w:snapToGrid/>
        <w:spacing w:line="480" w:lineRule="exact"/>
        <w:textAlignment w:val="auto"/>
        <w:rPr>
          <w:rFonts w:hint="default" w:ascii="Times New Roman" w:hAnsi="Times New Roman" w:eastAsia="宋体" w:cs="Times New Roman"/>
          <w:color w:val="auto"/>
        </w:rPr>
      </w:pPr>
      <w:bookmarkStart w:id="214" w:name="_Toc46421098"/>
      <w:bookmarkStart w:id="215" w:name="_Toc523322300"/>
      <w:bookmarkStart w:id="216" w:name="_Toc389"/>
      <w:r>
        <w:rPr>
          <w:rFonts w:hint="default" w:ascii="Times New Roman" w:hAnsi="Times New Roman" w:eastAsia="宋体" w:cs="Times New Roman"/>
          <w:color w:val="auto"/>
        </w:rPr>
        <w:t>3.3项目污染源源强核算</w:t>
      </w:r>
      <w:bookmarkEnd w:id="214"/>
      <w:bookmarkEnd w:id="215"/>
      <w:bookmarkEnd w:id="216"/>
    </w:p>
    <w:p>
      <w:pPr>
        <w:pageBreakBefore w:val="0"/>
        <w:widowControl w:val="0"/>
        <w:kinsoku/>
        <w:wordWrap/>
        <w:overflowPunct w:val="0"/>
        <w:topLinePunct/>
        <w:autoSpaceDE/>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根据工艺流程，通过产排污分析、物料平衡分析，本工程污染物产排情况按工序分别进行论述。</w:t>
      </w:r>
    </w:p>
    <w:p>
      <w:pPr>
        <w:pStyle w:val="6"/>
        <w:pageBreakBefore w:val="0"/>
        <w:widowControl w:val="0"/>
        <w:kinsoku/>
        <w:wordWrap/>
        <w:topLinePunct/>
        <w:autoSpaceDN/>
        <w:bidi w:val="0"/>
        <w:adjustRightInd/>
        <w:snapToGrid/>
        <w:spacing w:line="480" w:lineRule="exact"/>
        <w:textAlignment w:val="auto"/>
        <w:rPr>
          <w:rFonts w:hint="default" w:ascii="Times New Roman" w:hAnsi="Times New Roman" w:eastAsia="宋体" w:cs="Times New Roman"/>
          <w:color w:val="auto"/>
        </w:rPr>
      </w:pPr>
      <w:bookmarkStart w:id="217" w:name="_Toc46421099"/>
      <w:bookmarkStart w:id="218" w:name="_Toc11022"/>
      <w:r>
        <w:rPr>
          <w:rFonts w:hint="default" w:ascii="Times New Roman" w:hAnsi="Times New Roman" w:eastAsia="宋体" w:cs="Times New Roman"/>
          <w:color w:val="auto"/>
        </w:rPr>
        <w:t>3.3.1大气污染物</w:t>
      </w:r>
      <w:bookmarkEnd w:id="217"/>
      <w:bookmarkEnd w:id="218"/>
    </w:p>
    <w:p>
      <w:pPr>
        <w:pageBreakBefore w:val="0"/>
        <w:widowControl w:val="0"/>
        <w:kinsoku/>
        <w:wordWrap/>
        <w:topLinePunct/>
        <w:autoSpaceDN/>
        <w:bidi w:val="0"/>
        <w:adjustRightInd/>
        <w:snapToGrid/>
        <w:spacing w:line="480" w:lineRule="exact"/>
        <w:ind w:firstLine="480"/>
        <w:textAlignment w:val="auto"/>
        <w:rPr>
          <w:rFonts w:hint="default" w:ascii="Times New Roman" w:hAnsi="Times New Roman" w:eastAsia="宋体" w:cs="Times New Roman"/>
          <w:b/>
          <w:bCs/>
          <w:color w:val="auto"/>
        </w:rPr>
      </w:pPr>
      <w:r>
        <w:rPr>
          <w:rFonts w:hint="eastAsia" w:cs="Times New Roman"/>
          <w:b/>
          <w:bCs/>
          <w:color w:val="auto"/>
          <w:lang w:eastAsia="zh-CN"/>
        </w:rPr>
        <w:t>（</w:t>
      </w:r>
      <w:r>
        <w:rPr>
          <w:rFonts w:hint="eastAsia" w:cs="Times New Roman"/>
          <w:b/>
          <w:bCs/>
          <w:color w:val="auto"/>
          <w:lang w:val="en-US" w:eastAsia="zh-CN"/>
        </w:rPr>
        <w:t>1</w:t>
      </w:r>
      <w:r>
        <w:rPr>
          <w:rFonts w:hint="eastAsia" w:cs="Times New Roman"/>
          <w:b/>
          <w:bCs/>
          <w:color w:val="auto"/>
          <w:lang w:eastAsia="zh-CN"/>
        </w:rPr>
        <w:t>）</w:t>
      </w:r>
      <w:r>
        <w:rPr>
          <w:rFonts w:ascii="Times New Roman" w:eastAsia="宋体"/>
          <w:b/>
          <w:bCs/>
          <w:color w:val="auto"/>
          <w:sz w:val="24"/>
        </w:rPr>
        <w:t>各猪舍臭气源强分析（G1）</w:t>
      </w:r>
    </w:p>
    <w:p>
      <w:pPr>
        <w:pStyle w:val="140"/>
        <w:pageBreakBefore w:val="0"/>
        <w:widowControl w:val="0"/>
        <w:kinsoku/>
        <w:wordWrap/>
        <w:topLinePunct/>
        <w:autoSpaceDN/>
        <w:bidi w:val="0"/>
        <w:adjustRightInd/>
        <w:snapToGrid/>
        <w:spacing w:line="480" w:lineRule="exact"/>
        <w:textAlignment w:val="auto"/>
        <w:rPr>
          <w:rFonts w:hint="eastAsia"/>
          <w:color w:val="auto"/>
        </w:rPr>
      </w:pPr>
      <w:r>
        <w:rPr>
          <w:rFonts w:hint="eastAsia"/>
          <w:snapToGrid w:val="0"/>
          <w:color w:val="auto"/>
          <w:position w:val="-2"/>
          <w:lang w:val="en-US" w:eastAsia="zh-CN"/>
        </w:rPr>
        <w:t>根据</w:t>
      </w:r>
      <w:r>
        <w:rPr>
          <w:rFonts w:hint="eastAsia"/>
          <w:snapToGrid w:val="0"/>
          <w:color w:val="auto"/>
          <w:position w:val="-2"/>
        </w:rPr>
        <w:t>《养猪场恶臭影响量化分析及控制对策研究》（孙艳青、张潞、李万庆，天津市环境影响评价中心，2010年）的研究资料及类比调查，养猪场猪舍NH</w:t>
      </w:r>
      <w:r>
        <w:rPr>
          <w:rFonts w:hint="eastAsia"/>
          <w:snapToGrid w:val="0"/>
          <w:color w:val="auto"/>
          <w:position w:val="-2"/>
          <w:vertAlign w:val="subscript"/>
        </w:rPr>
        <w:t>3</w:t>
      </w:r>
      <w:r>
        <w:rPr>
          <w:rFonts w:hint="eastAsia"/>
          <w:snapToGrid w:val="0"/>
          <w:color w:val="auto"/>
          <w:position w:val="-2"/>
        </w:rPr>
        <w:t>、H</w:t>
      </w:r>
      <w:r>
        <w:rPr>
          <w:rFonts w:hint="eastAsia"/>
          <w:snapToGrid w:val="0"/>
          <w:color w:val="auto"/>
          <w:position w:val="-2"/>
          <w:vertAlign w:val="subscript"/>
        </w:rPr>
        <w:t>2</w:t>
      </w:r>
      <w:r>
        <w:rPr>
          <w:rFonts w:hint="eastAsia"/>
          <w:snapToGrid w:val="0"/>
          <w:color w:val="auto"/>
          <w:position w:val="-2"/>
        </w:rPr>
        <w:t>S浓度分布特征是：</w:t>
      </w:r>
      <w:r>
        <w:rPr>
          <w:rFonts w:hint="eastAsia"/>
          <w:snapToGrid w:val="0"/>
          <w:color w:val="auto"/>
          <w:position w:val="-2"/>
          <w:lang w:eastAsia="zh-CN"/>
        </w:rPr>
        <w:t>场区</w:t>
      </w:r>
      <w:r>
        <w:rPr>
          <w:rFonts w:hint="eastAsia"/>
          <w:snapToGrid w:val="0"/>
          <w:color w:val="auto"/>
          <w:position w:val="-2"/>
        </w:rPr>
        <w:t>内地点浓度差异显著，生产区中心部位高于下风向；不同季节的氨气浓度则表现为，春季显著高于冬、夏两季。猪舍的NH</w:t>
      </w:r>
      <w:r>
        <w:rPr>
          <w:rFonts w:hint="eastAsia"/>
          <w:snapToGrid w:val="0"/>
          <w:color w:val="auto"/>
          <w:position w:val="-2"/>
          <w:vertAlign w:val="subscript"/>
        </w:rPr>
        <w:t>3</w:t>
      </w:r>
      <w:r>
        <w:rPr>
          <w:rFonts w:hint="eastAsia"/>
          <w:snapToGrid w:val="0"/>
          <w:color w:val="auto"/>
          <w:position w:val="-2"/>
        </w:rPr>
        <w:t>、H</w:t>
      </w:r>
      <w:r>
        <w:rPr>
          <w:rFonts w:hint="eastAsia"/>
          <w:snapToGrid w:val="0"/>
          <w:color w:val="auto"/>
          <w:position w:val="-2"/>
          <w:vertAlign w:val="subscript"/>
        </w:rPr>
        <w:t>2</w:t>
      </w:r>
      <w:r>
        <w:rPr>
          <w:rFonts w:hint="eastAsia"/>
          <w:snapToGrid w:val="0"/>
          <w:color w:val="auto"/>
          <w:position w:val="-2"/>
        </w:rPr>
        <w:t>S的排放强度受到许多因素的影响，包括生产工艺、气温、湿度、猪群种类、室内排风情况以及粪便的堆积时间等</w:t>
      </w:r>
      <w:r>
        <w:rPr>
          <w:rFonts w:hint="eastAsia"/>
          <w:color w:val="auto"/>
        </w:rPr>
        <w:t>中有关数据；本次环评报告结合项目建设区域气候特性、工艺特点及建设单位所提供的资料，得知本项目猪舍中产生的恶臭系数见下表：</w:t>
      </w:r>
    </w:p>
    <w:p>
      <w:pPr>
        <w:pStyle w:val="140"/>
        <w:pageBreakBefore w:val="0"/>
        <w:widowControl w:val="0"/>
        <w:kinsoku/>
        <w:wordWrap/>
        <w:topLinePunct/>
        <w:autoSpaceDN/>
        <w:bidi w:val="0"/>
        <w:adjustRightInd/>
        <w:snapToGrid/>
        <w:spacing w:line="480" w:lineRule="exact"/>
        <w:ind w:firstLine="482"/>
        <w:jc w:val="center"/>
        <w:textAlignment w:val="auto"/>
        <w:rPr>
          <w:rFonts w:hint="eastAsia"/>
          <w:b/>
          <w:bCs/>
          <w:color w:val="auto"/>
        </w:rPr>
      </w:pPr>
      <w:r>
        <w:rPr>
          <w:rFonts w:hint="eastAsia"/>
          <w:b/>
          <w:bCs/>
          <w:color w:val="auto"/>
        </w:rPr>
        <w:t>表</w:t>
      </w:r>
      <w:r>
        <w:rPr>
          <w:rFonts w:hint="eastAsia"/>
          <w:b/>
          <w:bCs/>
          <w:color w:val="auto"/>
          <w:lang w:val="en-US" w:eastAsia="zh-CN"/>
        </w:rPr>
        <w:t>3.3-1</w:t>
      </w:r>
      <w:r>
        <w:rPr>
          <w:rFonts w:hint="eastAsia"/>
          <w:b/>
          <w:bCs/>
          <w:color w:val="auto"/>
        </w:rPr>
        <w:t xml:space="preserve">   猪舍NH</w:t>
      </w:r>
      <w:r>
        <w:rPr>
          <w:rFonts w:hint="eastAsia"/>
          <w:b/>
          <w:bCs/>
          <w:color w:val="auto"/>
          <w:vertAlign w:val="subscript"/>
        </w:rPr>
        <w:t>3</w:t>
      </w:r>
      <w:r>
        <w:rPr>
          <w:rFonts w:hint="eastAsia"/>
          <w:b/>
          <w:bCs/>
          <w:color w:val="auto"/>
        </w:rPr>
        <w:t>、H</w:t>
      </w:r>
      <w:r>
        <w:rPr>
          <w:rFonts w:hint="eastAsia"/>
          <w:b/>
          <w:bCs/>
          <w:color w:val="auto"/>
          <w:vertAlign w:val="subscript"/>
        </w:rPr>
        <w:t>2</w:t>
      </w:r>
      <w:r>
        <w:rPr>
          <w:rFonts w:hint="eastAsia"/>
          <w:b/>
          <w:bCs/>
          <w:color w:val="auto"/>
        </w:rPr>
        <w:t>S排放强度统计</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7"/>
        <w:gridCol w:w="1477"/>
        <w:gridCol w:w="1477"/>
        <w:gridCol w:w="1478"/>
        <w:gridCol w:w="1478"/>
        <w:gridCol w:w="1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77" w:type="dxa"/>
            <w:tcBorders>
              <w:left w:val="nil"/>
            </w:tcBorders>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bCs/>
                <w:color w:val="FF0000"/>
                <w:sz w:val="21"/>
                <w:szCs w:val="21"/>
              </w:rPr>
            </w:pPr>
            <w:r>
              <w:rPr>
                <w:rFonts w:hint="eastAsia"/>
                <w:bCs/>
                <w:color w:val="FF0000"/>
                <w:sz w:val="21"/>
                <w:szCs w:val="21"/>
              </w:rPr>
              <w:t>猪舍</w:t>
            </w:r>
          </w:p>
        </w:tc>
        <w:tc>
          <w:tcPr>
            <w:tcW w:w="1477" w:type="dxa"/>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bCs/>
                <w:color w:val="FF0000"/>
                <w:sz w:val="21"/>
                <w:szCs w:val="21"/>
              </w:rPr>
            </w:pPr>
            <w:r>
              <w:rPr>
                <w:rFonts w:hint="eastAsia"/>
                <w:bCs/>
                <w:color w:val="FF0000"/>
                <w:sz w:val="21"/>
                <w:szCs w:val="21"/>
              </w:rPr>
              <w:t>数量</w:t>
            </w:r>
          </w:p>
        </w:tc>
        <w:tc>
          <w:tcPr>
            <w:tcW w:w="1477" w:type="dxa"/>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bCs/>
                <w:color w:val="FF0000"/>
                <w:sz w:val="21"/>
                <w:szCs w:val="21"/>
              </w:rPr>
            </w:pPr>
            <w:r>
              <w:rPr>
                <w:rFonts w:hint="eastAsia"/>
                <w:bCs/>
                <w:color w:val="FF0000"/>
                <w:sz w:val="21"/>
                <w:szCs w:val="21"/>
              </w:rPr>
              <w:t>NH</w:t>
            </w:r>
            <w:r>
              <w:rPr>
                <w:rFonts w:hint="eastAsia"/>
                <w:bCs/>
                <w:color w:val="FF0000"/>
                <w:sz w:val="21"/>
                <w:szCs w:val="21"/>
                <w:vertAlign w:val="subscript"/>
              </w:rPr>
              <w:t>3</w:t>
            </w:r>
            <w:r>
              <w:rPr>
                <w:rFonts w:hint="eastAsia"/>
                <w:bCs/>
                <w:color w:val="FF0000"/>
                <w:sz w:val="21"/>
                <w:szCs w:val="21"/>
              </w:rPr>
              <w:t>产生强度（g/（头·d））</w:t>
            </w:r>
          </w:p>
        </w:tc>
        <w:tc>
          <w:tcPr>
            <w:tcW w:w="1478" w:type="dxa"/>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bCs/>
                <w:color w:val="FF0000"/>
                <w:sz w:val="21"/>
                <w:szCs w:val="21"/>
              </w:rPr>
            </w:pPr>
            <w:r>
              <w:rPr>
                <w:rFonts w:hint="eastAsia"/>
                <w:bCs/>
                <w:color w:val="FF0000"/>
                <w:sz w:val="21"/>
                <w:szCs w:val="21"/>
              </w:rPr>
              <w:t>NH</w:t>
            </w:r>
            <w:r>
              <w:rPr>
                <w:rFonts w:hint="eastAsia"/>
                <w:bCs/>
                <w:color w:val="FF0000"/>
                <w:sz w:val="21"/>
                <w:szCs w:val="21"/>
                <w:vertAlign w:val="subscript"/>
              </w:rPr>
              <w:t>3</w:t>
            </w:r>
            <w:r>
              <w:rPr>
                <w:rFonts w:hint="eastAsia"/>
                <w:bCs/>
                <w:color w:val="FF0000"/>
                <w:sz w:val="21"/>
                <w:szCs w:val="21"/>
              </w:rPr>
              <w:t>产生量（</w:t>
            </w:r>
            <w:r>
              <w:rPr>
                <w:rFonts w:hint="eastAsia"/>
                <w:color w:val="FF0000"/>
                <w:sz w:val="21"/>
                <w:szCs w:val="21"/>
              </w:rPr>
              <w:t>kg/d</w:t>
            </w:r>
            <w:r>
              <w:rPr>
                <w:rFonts w:hint="eastAsia"/>
                <w:bCs/>
                <w:color w:val="FF0000"/>
                <w:sz w:val="21"/>
                <w:szCs w:val="21"/>
              </w:rPr>
              <w:t>）</w:t>
            </w:r>
          </w:p>
        </w:tc>
        <w:tc>
          <w:tcPr>
            <w:tcW w:w="1478" w:type="dxa"/>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bCs/>
                <w:color w:val="FF0000"/>
                <w:sz w:val="21"/>
                <w:szCs w:val="21"/>
              </w:rPr>
            </w:pPr>
            <w:r>
              <w:rPr>
                <w:rFonts w:hint="eastAsia"/>
                <w:bCs/>
                <w:color w:val="FF0000"/>
                <w:sz w:val="21"/>
                <w:szCs w:val="21"/>
              </w:rPr>
              <w:t>H</w:t>
            </w:r>
            <w:r>
              <w:rPr>
                <w:rFonts w:hint="eastAsia"/>
                <w:bCs/>
                <w:color w:val="FF0000"/>
                <w:sz w:val="21"/>
                <w:szCs w:val="21"/>
                <w:vertAlign w:val="subscript"/>
              </w:rPr>
              <w:t>2</w:t>
            </w:r>
            <w:r>
              <w:rPr>
                <w:rFonts w:hint="eastAsia"/>
                <w:bCs/>
                <w:color w:val="FF0000"/>
                <w:sz w:val="21"/>
                <w:szCs w:val="21"/>
              </w:rPr>
              <w:t>S产生强度（g/（头·d））</w:t>
            </w:r>
          </w:p>
        </w:tc>
        <w:tc>
          <w:tcPr>
            <w:tcW w:w="1478" w:type="dxa"/>
            <w:tcBorders>
              <w:right w:val="nil"/>
            </w:tcBorders>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bCs/>
                <w:color w:val="FF0000"/>
                <w:sz w:val="21"/>
                <w:szCs w:val="21"/>
              </w:rPr>
            </w:pPr>
            <w:r>
              <w:rPr>
                <w:rFonts w:hint="eastAsia"/>
                <w:bCs/>
                <w:color w:val="FF0000"/>
                <w:sz w:val="21"/>
                <w:szCs w:val="21"/>
              </w:rPr>
              <w:t>H</w:t>
            </w:r>
            <w:r>
              <w:rPr>
                <w:rFonts w:hint="eastAsia"/>
                <w:bCs/>
                <w:color w:val="FF0000"/>
                <w:sz w:val="21"/>
                <w:szCs w:val="21"/>
                <w:vertAlign w:val="subscript"/>
              </w:rPr>
              <w:t>2</w:t>
            </w:r>
            <w:r>
              <w:rPr>
                <w:rFonts w:hint="eastAsia"/>
                <w:bCs/>
                <w:color w:val="FF0000"/>
                <w:sz w:val="21"/>
                <w:szCs w:val="21"/>
              </w:rPr>
              <w:t>S产生量（</w:t>
            </w:r>
            <w:r>
              <w:rPr>
                <w:rFonts w:hint="eastAsia"/>
                <w:color w:val="FF0000"/>
                <w:sz w:val="21"/>
                <w:szCs w:val="21"/>
              </w:rPr>
              <w:t>kg/d</w:t>
            </w:r>
            <w:r>
              <w:rPr>
                <w:rFonts w:hint="eastAsia"/>
                <w:bCs/>
                <w:color w:val="FF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77" w:type="dxa"/>
            <w:tcBorders>
              <w:left w:val="nil"/>
            </w:tcBorders>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color w:val="FF0000"/>
                <w:sz w:val="21"/>
                <w:szCs w:val="21"/>
              </w:rPr>
            </w:pPr>
            <w:r>
              <w:rPr>
                <w:rFonts w:hint="eastAsia"/>
                <w:color w:val="FF0000"/>
                <w:sz w:val="21"/>
                <w:szCs w:val="21"/>
                <w:lang w:eastAsia="zh-CN"/>
              </w:rPr>
              <w:t>仔</w:t>
            </w:r>
            <w:r>
              <w:rPr>
                <w:rFonts w:hint="eastAsia"/>
                <w:color w:val="FF0000"/>
                <w:sz w:val="21"/>
                <w:szCs w:val="21"/>
              </w:rPr>
              <w:t>猪</w:t>
            </w:r>
          </w:p>
        </w:tc>
        <w:tc>
          <w:tcPr>
            <w:tcW w:w="1477" w:type="dxa"/>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sz w:val="21"/>
                <w:szCs w:val="21"/>
                <w:lang w:val="en-US" w:eastAsia="zh-CN"/>
              </w:rPr>
            </w:pPr>
            <w:r>
              <w:rPr>
                <w:rFonts w:hint="eastAsia"/>
                <w:color w:val="FF0000"/>
                <w:sz w:val="21"/>
                <w:szCs w:val="21"/>
                <w:lang w:val="en-US" w:eastAsia="zh-CN"/>
              </w:rPr>
              <w:t>8800</w:t>
            </w:r>
          </w:p>
        </w:tc>
        <w:tc>
          <w:tcPr>
            <w:tcW w:w="1477" w:type="dxa"/>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sz w:val="21"/>
                <w:szCs w:val="21"/>
                <w:lang w:val="en-US" w:eastAsia="zh-CN"/>
              </w:rPr>
            </w:pPr>
            <w:r>
              <w:rPr>
                <w:rFonts w:hint="eastAsia"/>
                <w:color w:val="FF0000"/>
                <w:sz w:val="21"/>
                <w:szCs w:val="21"/>
                <w:lang w:val="en-US" w:eastAsia="zh-CN"/>
              </w:rPr>
              <w:t>0.6</w:t>
            </w:r>
          </w:p>
        </w:tc>
        <w:tc>
          <w:tcPr>
            <w:tcW w:w="1478" w:type="dxa"/>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sz w:val="21"/>
                <w:szCs w:val="21"/>
                <w:lang w:val="en-US" w:eastAsia="zh-CN"/>
              </w:rPr>
            </w:pPr>
            <w:r>
              <w:rPr>
                <w:rFonts w:hint="eastAsia"/>
                <w:color w:val="FF0000"/>
                <w:sz w:val="21"/>
                <w:szCs w:val="21"/>
                <w:lang w:val="en-US" w:eastAsia="zh-CN"/>
              </w:rPr>
              <w:t>5.28</w:t>
            </w:r>
          </w:p>
        </w:tc>
        <w:tc>
          <w:tcPr>
            <w:tcW w:w="1478" w:type="dxa"/>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eastAsia"/>
                <w:color w:val="FF0000"/>
                <w:sz w:val="21"/>
                <w:szCs w:val="21"/>
              </w:rPr>
            </w:pPr>
            <w:r>
              <w:rPr>
                <w:rFonts w:hint="eastAsia"/>
                <w:color w:val="FF0000"/>
                <w:sz w:val="21"/>
                <w:szCs w:val="21"/>
              </w:rPr>
              <w:t>0.2</w:t>
            </w:r>
          </w:p>
        </w:tc>
        <w:tc>
          <w:tcPr>
            <w:tcW w:w="1478" w:type="dxa"/>
            <w:tcBorders>
              <w:right w:val="nil"/>
            </w:tcBorders>
            <w:noWrap w:val="0"/>
            <w:vAlign w:val="center"/>
          </w:tcPr>
          <w:p>
            <w:pPr>
              <w:pStyle w:val="140"/>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sz w:val="21"/>
                <w:szCs w:val="21"/>
                <w:lang w:val="en-US" w:eastAsia="zh-CN"/>
              </w:rPr>
            </w:pPr>
            <w:r>
              <w:rPr>
                <w:rFonts w:hint="eastAsia"/>
                <w:color w:val="FF0000"/>
                <w:sz w:val="21"/>
                <w:szCs w:val="21"/>
                <w:lang w:val="en-US" w:eastAsia="zh-CN"/>
              </w:rPr>
              <w:t>1.76</w:t>
            </w:r>
          </w:p>
        </w:tc>
      </w:tr>
    </w:tbl>
    <w:p>
      <w:pPr>
        <w:pStyle w:val="142"/>
        <w:spacing w:line="476" w:lineRule="exact"/>
        <w:rPr>
          <w:rFonts w:hint="eastAsia" w:ascii="Times New Roman" w:hAnsi="Times New Roman"/>
          <w:color w:val="auto"/>
          <w:lang w:eastAsia="zh-CN"/>
        </w:rPr>
      </w:pPr>
      <w:r>
        <w:rPr>
          <w:rFonts w:hint="eastAsia" w:ascii="Times New Roman" w:hAnsi="Times New Roman"/>
          <w:color w:val="auto"/>
        </w:rPr>
        <w:t>项目通过</w:t>
      </w:r>
      <w:r>
        <w:rPr>
          <w:rFonts w:hint="eastAsia" w:ascii="Times New Roman" w:hAnsi="Times New Roman"/>
          <w:color w:val="auto"/>
          <w:lang w:eastAsia="zh-CN"/>
        </w:rPr>
        <w:t>通过日粮设计、在</w:t>
      </w:r>
      <w:r>
        <w:rPr>
          <w:rFonts w:hint="eastAsia" w:ascii="Times New Roman" w:hAnsi="Times New Roman"/>
          <w:color w:val="auto"/>
        </w:rPr>
        <w:t>饲料中添加EM菌剂</w:t>
      </w:r>
      <w:r>
        <w:rPr>
          <w:rFonts w:hint="eastAsia" w:ascii="Times New Roman" w:hAnsi="Times New Roman"/>
          <w:color w:val="auto"/>
          <w:lang w:eastAsia="zh-CN"/>
        </w:rPr>
        <w:t>和</w:t>
      </w:r>
      <w:r>
        <w:rPr>
          <w:rFonts w:hint="eastAsia" w:ascii="Times New Roman" w:hAnsi="Times New Roman"/>
          <w:color w:val="auto"/>
        </w:rPr>
        <w:t>并采用低氮饲料喂养猪只的方法从源头减臭产生量。EM菌剂</w:t>
      </w:r>
      <w:r>
        <w:rPr>
          <w:rFonts w:hint="eastAsia" w:ascii="Times New Roman" w:hAnsi="Times New Roman"/>
          <w:color w:val="auto"/>
          <w:lang w:eastAsia="zh-CN"/>
        </w:rPr>
        <w:t>以添加剂的形式加到饲料中，以增加饲料蛋白的消化吸收以及减少臭气排放，在投入有用菌后，肠道内有用菌占优势的厂内细菌丛，将脂肪、碳水合物、蛋白质发酵、分解、合成各种营养成分的能力显著增强，肠道内腐败物质的产生量显著减少，排出的粪便无臭味。</w:t>
      </w:r>
    </w:p>
    <w:p>
      <w:pPr>
        <w:pStyle w:val="142"/>
        <w:spacing w:line="476" w:lineRule="exact"/>
        <w:rPr>
          <w:rFonts w:hint="eastAsia" w:ascii="Times New Roman" w:hAnsi="Times New Roman"/>
          <w:color w:val="auto"/>
          <w:lang w:eastAsia="zh-CN"/>
        </w:rPr>
      </w:pPr>
      <w:r>
        <w:rPr>
          <w:rFonts w:hint="eastAsia" w:ascii="Times New Roman" w:hAnsi="Times New Roman"/>
          <w:color w:val="auto"/>
          <w:lang w:eastAsia="zh-CN"/>
        </w:rPr>
        <w:t>1）日粮设计与恶臭控制</w:t>
      </w:r>
    </w:p>
    <w:p>
      <w:pPr>
        <w:pStyle w:val="142"/>
        <w:spacing w:line="476" w:lineRule="exact"/>
        <w:rPr>
          <w:rFonts w:hint="eastAsia" w:ascii="Times New Roman" w:hAnsi="Times New Roman"/>
          <w:color w:val="auto"/>
          <w:lang w:eastAsia="zh-CN"/>
        </w:rPr>
      </w:pPr>
      <w:r>
        <w:rPr>
          <w:rFonts w:hint="eastAsia" w:ascii="Times New Roman" w:hAnsi="Times New Roman"/>
          <w:color w:val="auto"/>
          <w:lang w:eastAsia="zh-CN"/>
        </w:rPr>
        <w:t>家畜禽场恶臭的控制从日粮设计和日粮供给开始。饲料在消化过程中，未消化吸收的部分进入后段肠道，因微生物作用产生臭气，排出体外继续经微生物作用产生更多的臭气。提高口粮消化率、减少干物质（蛋白质）排出量是减少恶臭来源的有效措施。据测定，日粮粗纤维每增加1%，蛋白质消化率就降低 1.4%；减少日粮蛋白质2%，粪便排泄量可降低20%。</w:t>
      </w:r>
    </w:p>
    <w:p>
      <w:pPr>
        <w:pStyle w:val="142"/>
        <w:spacing w:line="476" w:lineRule="exact"/>
        <w:rPr>
          <w:rFonts w:hint="eastAsia" w:ascii="Times New Roman" w:hAnsi="Times New Roman"/>
          <w:color w:val="auto"/>
          <w:lang w:val="en-US" w:eastAsia="zh-CN"/>
        </w:rPr>
      </w:pPr>
      <w:r>
        <w:rPr>
          <w:rFonts w:hint="eastAsia" w:ascii="Times New Roman" w:hAnsi="Times New Roman"/>
          <w:color w:val="auto"/>
          <w:lang w:val="en-US" w:eastAsia="zh-CN"/>
        </w:rPr>
        <w:t>2）</w:t>
      </w:r>
      <w:r>
        <w:rPr>
          <w:rFonts w:hint="eastAsia" w:ascii="Times New Roman" w:hAnsi="Times New Roman"/>
          <w:color w:val="auto"/>
        </w:rPr>
        <w:t>添加EM菌剂</w:t>
      </w:r>
    </w:p>
    <w:p>
      <w:pPr>
        <w:pStyle w:val="142"/>
        <w:spacing w:line="476" w:lineRule="exact"/>
        <w:rPr>
          <w:rFonts w:hint="eastAsia" w:ascii="Times New Roman" w:hAnsi="Times New Roman"/>
          <w:color w:val="auto"/>
        </w:rPr>
      </w:pPr>
      <w:r>
        <w:rPr>
          <w:rFonts w:hint="eastAsia" w:ascii="Times New Roman" w:hAnsi="Times New Roman"/>
          <w:color w:val="auto"/>
        </w:rPr>
        <w:t>根据参照2004年11月第25卷第4期的《家禽生态》中于桂阳、郑春芳写的《EM菌料饲喂生长育肥猪的试验效果》一文可知，在畜禽日粮</w:t>
      </w:r>
      <w:r>
        <w:rPr>
          <w:rFonts w:hint="eastAsia" w:ascii="Times New Roman" w:hAnsi="Times New Roman"/>
          <w:color w:val="auto"/>
          <w:lang w:eastAsia="zh-CN"/>
        </w:rPr>
        <w:t>中加入</w:t>
      </w:r>
      <w:r>
        <w:rPr>
          <w:rFonts w:hint="eastAsia" w:ascii="Times New Roman" w:hAnsi="Times New Roman"/>
          <w:color w:val="auto"/>
        </w:rPr>
        <w:t>EM菌剂等有益微生物，能</w:t>
      </w:r>
      <w:r>
        <w:rPr>
          <w:rFonts w:hint="eastAsia" w:ascii="Times New Roman" w:hAnsi="Times New Roman"/>
          <w:color w:val="auto"/>
          <w:lang w:eastAsia="zh-CN"/>
        </w:rPr>
        <w:t>提高了饲料消化吸收利用率，</w:t>
      </w:r>
      <w:r>
        <w:rPr>
          <w:rFonts w:hint="eastAsia" w:ascii="Times New Roman" w:hAnsi="Times New Roman"/>
          <w:color w:val="auto"/>
        </w:rPr>
        <w:t>有效降解NH</w:t>
      </w:r>
      <w:r>
        <w:rPr>
          <w:rFonts w:hint="eastAsia" w:ascii="Times New Roman" w:hAnsi="Times New Roman"/>
          <w:color w:val="auto"/>
          <w:vertAlign w:val="subscript"/>
        </w:rPr>
        <w:t>3</w:t>
      </w:r>
      <w:r>
        <w:rPr>
          <w:rFonts w:hint="eastAsia" w:ascii="Times New Roman" w:hAnsi="Times New Roman"/>
          <w:color w:val="auto"/>
        </w:rPr>
        <w:t>、H</w:t>
      </w:r>
      <w:r>
        <w:rPr>
          <w:rFonts w:hint="eastAsia" w:ascii="Times New Roman" w:hAnsi="Times New Roman"/>
          <w:color w:val="auto"/>
          <w:vertAlign w:val="subscript"/>
        </w:rPr>
        <w:t>2</w:t>
      </w:r>
      <w:r>
        <w:rPr>
          <w:rFonts w:hint="eastAsia" w:ascii="Times New Roman" w:hAnsi="Times New Roman"/>
          <w:color w:val="auto"/>
        </w:rPr>
        <w:t>S等有害气体，NH</w:t>
      </w:r>
      <w:r>
        <w:rPr>
          <w:rFonts w:hint="eastAsia" w:ascii="Times New Roman" w:hAnsi="Times New Roman"/>
          <w:color w:val="auto"/>
          <w:vertAlign w:val="subscript"/>
        </w:rPr>
        <w:t>3</w:t>
      </w:r>
      <w:r>
        <w:rPr>
          <w:rFonts w:hint="eastAsia" w:ascii="Times New Roman" w:hAnsi="Times New Roman"/>
          <w:color w:val="auto"/>
        </w:rPr>
        <w:t>的降解率＞</w:t>
      </w:r>
      <w:r>
        <w:rPr>
          <w:rFonts w:hint="eastAsia" w:ascii="Times New Roman" w:hAnsi="Times New Roman"/>
          <w:color w:val="auto"/>
          <w:lang w:val="en-US" w:eastAsia="zh-CN"/>
        </w:rPr>
        <w:t>36</w:t>
      </w:r>
      <w:r>
        <w:rPr>
          <w:rFonts w:hint="eastAsia" w:ascii="Times New Roman" w:hAnsi="Times New Roman"/>
          <w:color w:val="auto"/>
        </w:rPr>
        <w:t>%，硫化氢的降解率＞</w:t>
      </w:r>
      <w:r>
        <w:rPr>
          <w:rFonts w:hint="eastAsia" w:ascii="Times New Roman" w:hAnsi="Times New Roman"/>
          <w:color w:val="auto"/>
          <w:lang w:val="en-US" w:eastAsia="zh-CN"/>
        </w:rPr>
        <w:t>65</w:t>
      </w:r>
      <w:r>
        <w:rPr>
          <w:rFonts w:hint="eastAsia" w:ascii="Times New Roman" w:hAnsi="Times New Roman"/>
          <w:color w:val="auto"/>
        </w:rPr>
        <w:t>%。</w:t>
      </w:r>
    </w:p>
    <w:p>
      <w:pPr>
        <w:pStyle w:val="142"/>
        <w:spacing w:line="476" w:lineRule="exact"/>
        <w:rPr>
          <w:rFonts w:hint="default" w:ascii="Times New Roman" w:hAnsi="Times New Roman"/>
          <w:color w:val="auto"/>
          <w:lang w:val="en-US" w:eastAsia="zh-CN"/>
        </w:rPr>
      </w:pPr>
      <w:r>
        <w:rPr>
          <w:rFonts w:hint="eastAsia" w:ascii="Times New Roman" w:hAnsi="Times New Roman"/>
          <w:color w:val="auto"/>
          <w:lang w:val="en-US" w:eastAsia="zh-CN"/>
        </w:rPr>
        <w:t>3）播撒微生物除臭剂</w:t>
      </w:r>
    </w:p>
    <w:p>
      <w:pPr>
        <w:pStyle w:val="142"/>
        <w:keepNext w:val="0"/>
        <w:keepLines w:val="0"/>
        <w:pageBreakBefore w:val="0"/>
        <w:widowControl w:val="0"/>
        <w:numPr>
          <w:ilvl w:val="0"/>
          <w:numId w:val="0"/>
        </w:numPr>
        <w:kinsoku/>
        <w:wordWrap/>
        <w:overflowPunct/>
        <w:topLinePunct/>
        <w:autoSpaceDE w:val="0"/>
        <w:autoSpaceDN/>
        <w:bidi w:val="0"/>
        <w:adjustRightInd/>
        <w:snapToGrid/>
        <w:spacing w:line="476" w:lineRule="exact"/>
        <w:ind w:firstLine="480" w:firstLineChars="200"/>
        <w:textAlignment w:val="auto"/>
        <w:rPr>
          <w:rFonts w:hint="eastAsia" w:ascii="Times New Roman" w:hAnsi="Times New Roman"/>
          <w:color w:val="auto"/>
          <w:lang w:val="en-US"/>
        </w:rPr>
      </w:pPr>
      <w:r>
        <w:rPr>
          <w:rFonts w:hint="eastAsia" w:ascii="Times New Roman" w:hAnsi="Times New Roman"/>
          <w:color w:val="auto"/>
          <w:lang w:val="en-US" w:eastAsia="zh-CN"/>
        </w:rPr>
        <w:t>猪舍内播撒微生物除臭剂，</w:t>
      </w:r>
      <w:r>
        <w:rPr>
          <w:rFonts w:hint="eastAsia" w:ascii="Times New Roman" w:hAnsi="Times New Roman"/>
          <w:color w:val="auto"/>
          <w:lang w:eastAsia="zh-CN"/>
        </w:rPr>
        <w:t>根据《微生物除臭剂的研究进展》（荣达德、杨琼、刘吉升、刑东旭、李庆荣编制），采用微生物除臭剂可使猪舍内的</w:t>
      </w:r>
      <w:r>
        <w:rPr>
          <w:rFonts w:hint="eastAsia" w:ascii="Times New Roman" w:hAnsi="Times New Roman"/>
          <w:color w:val="auto"/>
        </w:rPr>
        <w:t>NH</w:t>
      </w:r>
      <w:r>
        <w:rPr>
          <w:rFonts w:hint="eastAsia" w:ascii="Times New Roman" w:hAnsi="Times New Roman"/>
          <w:color w:val="auto"/>
          <w:vertAlign w:val="subscript"/>
        </w:rPr>
        <w:t>3</w:t>
      </w:r>
      <w:r>
        <w:rPr>
          <w:rFonts w:hint="eastAsia" w:ascii="Times New Roman" w:hAnsi="Times New Roman"/>
          <w:color w:val="auto"/>
          <w:lang w:eastAsia="zh-CN"/>
        </w:rPr>
        <w:t>浓度降低</w:t>
      </w:r>
      <w:r>
        <w:rPr>
          <w:rFonts w:hint="eastAsia" w:ascii="Times New Roman" w:hAnsi="Times New Roman"/>
          <w:color w:val="auto"/>
          <w:lang w:val="en-US" w:eastAsia="zh-CN"/>
        </w:rPr>
        <w:t>78.4%、</w:t>
      </w:r>
      <w:r>
        <w:rPr>
          <w:rFonts w:hint="eastAsia" w:ascii="Times New Roman" w:hAnsi="Times New Roman"/>
          <w:color w:val="auto"/>
        </w:rPr>
        <w:t>H</w:t>
      </w:r>
      <w:r>
        <w:rPr>
          <w:rFonts w:hint="eastAsia" w:ascii="Times New Roman" w:hAnsi="Times New Roman"/>
          <w:color w:val="auto"/>
          <w:vertAlign w:val="subscript"/>
        </w:rPr>
        <w:t>2</w:t>
      </w:r>
      <w:r>
        <w:rPr>
          <w:rFonts w:hint="eastAsia" w:ascii="Times New Roman" w:hAnsi="Times New Roman"/>
          <w:color w:val="auto"/>
        </w:rPr>
        <w:t>S</w:t>
      </w:r>
      <w:r>
        <w:rPr>
          <w:rFonts w:hint="eastAsia" w:ascii="Times New Roman" w:hAnsi="Times New Roman"/>
          <w:color w:val="auto"/>
          <w:lang w:eastAsia="zh-CN"/>
        </w:rPr>
        <w:t>浓度降低</w:t>
      </w:r>
      <w:r>
        <w:rPr>
          <w:rFonts w:hint="eastAsia" w:ascii="Times New Roman" w:hAnsi="Times New Roman"/>
          <w:color w:val="auto"/>
          <w:lang w:val="en-US" w:eastAsia="zh-CN"/>
        </w:rPr>
        <w:t>66.7%。</w:t>
      </w:r>
    </w:p>
    <w:p>
      <w:pPr>
        <w:pStyle w:val="142"/>
        <w:spacing w:line="476" w:lineRule="exact"/>
        <w:rPr>
          <w:color w:val="auto"/>
          <w:sz w:val="24"/>
        </w:rPr>
      </w:pPr>
      <w:r>
        <w:rPr>
          <w:rFonts w:hint="eastAsia" w:ascii="Times New Roman" w:hAnsi="Times New Roman"/>
          <w:color w:val="auto"/>
          <w:lang w:val="en-US" w:eastAsia="zh-CN"/>
        </w:rPr>
        <w:t>综上，猪舍恶臭废气经以上措施处理后，本次环评认为猪舍污染物</w:t>
      </w:r>
      <w:r>
        <w:rPr>
          <w:rFonts w:hint="eastAsia" w:ascii="Times New Roman" w:hAnsi="Times New Roman"/>
          <w:color w:val="auto"/>
        </w:rPr>
        <w:t>NH</w:t>
      </w:r>
      <w:r>
        <w:rPr>
          <w:rFonts w:hint="eastAsia" w:ascii="Times New Roman" w:hAnsi="Times New Roman"/>
          <w:color w:val="auto"/>
          <w:vertAlign w:val="subscript"/>
        </w:rPr>
        <w:t>3</w:t>
      </w:r>
      <w:r>
        <w:rPr>
          <w:rFonts w:hint="eastAsia" w:ascii="Times New Roman" w:hAnsi="Times New Roman"/>
          <w:color w:val="auto"/>
          <w:lang w:val="en-US" w:eastAsia="zh-CN"/>
        </w:rPr>
        <w:t>、</w:t>
      </w:r>
      <w:r>
        <w:rPr>
          <w:rFonts w:hint="eastAsia" w:ascii="Times New Roman" w:hAnsi="Times New Roman"/>
          <w:color w:val="auto"/>
        </w:rPr>
        <w:t>H</w:t>
      </w:r>
      <w:r>
        <w:rPr>
          <w:rFonts w:hint="eastAsia" w:ascii="Times New Roman" w:hAnsi="Times New Roman"/>
          <w:color w:val="auto"/>
          <w:vertAlign w:val="subscript"/>
        </w:rPr>
        <w:t>2</w:t>
      </w:r>
      <w:r>
        <w:rPr>
          <w:rFonts w:hint="eastAsia" w:ascii="Times New Roman" w:hAnsi="Times New Roman"/>
          <w:color w:val="auto"/>
        </w:rPr>
        <w:t>S</w:t>
      </w:r>
      <w:r>
        <w:rPr>
          <w:rFonts w:hint="eastAsia" w:ascii="Times New Roman" w:hAnsi="Times New Roman"/>
          <w:color w:val="auto"/>
          <w:lang w:eastAsia="zh-CN"/>
        </w:rPr>
        <w:t>处理效率为</w:t>
      </w:r>
      <w:r>
        <w:rPr>
          <w:rFonts w:hint="eastAsia" w:ascii="Times New Roman" w:hAnsi="Times New Roman"/>
          <w:color w:val="auto"/>
          <w:lang w:val="en-US" w:eastAsia="zh-CN"/>
        </w:rPr>
        <w:t>90%以上，</w:t>
      </w:r>
      <w:r>
        <w:rPr>
          <w:color w:val="auto"/>
          <w:sz w:val="24"/>
        </w:rPr>
        <w:t>本项目猪舍恶臭气体产生及排放情况见</w:t>
      </w:r>
      <w:r>
        <w:rPr>
          <w:rFonts w:hint="eastAsia" w:ascii="Times New Roman" w:hAnsi="Times New Roman"/>
          <w:color w:val="auto"/>
          <w:kern w:val="2"/>
          <w:sz w:val="24"/>
          <w:szCs w:val="24"/>
          <w:lang w:val="en-US" w:eastAsia="zh-CN" w:bidi="ar-SA"/>
        </w:rPr>
        <w:t>表3.3-2。</w:t>
      </w:r>
    </w:p>
    <w:p>
      <w:pPr>
        <w:pStyle w:val="143"/>
        <w:spacing w:line="476" w:lineRule="exact"/>
        <w:ind w:firstLine="482" w:firstLineChars="200"/>
        <w:rPr>
          <w:color w:val="auto"/>
          <w:sz w:val="24"/>
          <w:szCs w:val="24"/>
        </w:rPr>
      </w:pPr>
      <w:r>
        <w:rPr>
          <w:rFonts w:hint="eastAsia" w:ascii="Times New Roman" w:hAnsi="Times New Roman"/>
          <w:b/>
          <w:bCs/>
          <w:color w:val="auto"/>
          <w:kern w:val="2"/>
          <w:sz w:val="24"/>
          <w:szCs w:val="24"/>
          <w:lang w:val="en-US" w:eastAsia="zh-CN" w:bidi="ar-SA"/>
        </w:rPr>
        <w:t>表</w:t>
      </w:r>
      <w:r>
        <w:rPr>
          <w:rFonts w:hint="eastAsia"/>
          <w:b/>
          <w:bCs/>
          <w:color w:val="auto"/>
          <w:kern w:val="2"/>
          <w:sz w:val="24"/>
          <w:szCs w:val="24"/>
          <w:lang w:val="en-US" w:eastAsia="zh-CN" w:bidi="ar-SA"/>
        </w:rPr>
        <w:t xml:space="preserve">3.3-2 </w:t>
      </w:r>
      <w:r>
        <w:rPr>
          <w:color w:val="auto"/>
          <w:sz w:val="24"/>
          <w:szCs w:val="24"/>
        </w:rPr>
        <w:t xml:space="preserve"> </w:t>
      </w:r>
      <w:r>
        <w:rPr>
          <w:rFonts w:hint="eastAsia"/>
          <w:color w:val="auto"/>
          <w:sz w:val="24"/>
          <w:szCs w:val="24"/>
          <w:lang w:val="en-US" w:eastAsia="zh-CN"/>
        </w:rPr>
        <w:t xml:space="preserve"> </w:t>
      </w:r>
      <w:r>
        <w:rPr>
          <w:rFonts w:hAnsi="宋体"/>
          <w:color w:val="auto"/>
          <w:sz w:val="24"/>
          <w:szCs w:val="24"/>
        </w:rPr>
        <w:t>猪舍恶臭气体产生及排放情况</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785"/>
        <w:gridCol w:w="800"/>
        <w:gridCol w:w="933"/>
        <w:gridCol w:w="963"/>
        <w:gridCol w:w="1028"/>
        <w:gridCol w:w="1022"/>
        <w:gridCol w:w="1749"/>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5"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污染源</w:t>
            </w:r>
          </w:p>
        </w:tc>
        <w:tc>
          <w:tcPr>
            <w:tcW w:w="785"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项目</w:t>
            </w:r>
          </w:p>
        </w:tc>
        <w:tc>
          <w:tcPr>
            <w:tcW w:w="800"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产生量</w:t>
            </w:r>
            <w:r>
              <w:rPr>
                <w:rFonts w:hint="eastAsia"/>
                <w:color w:val="FF0000"/>
                <w:sz w:val="21"/>
                <w:szCs w:val="21"/>
              </w:rPr>
              <w:t>kg</w:t>
            </w:r>
            <w:r>
              <w:rPr>
                <w:color w:val="FF0000"/>
                <w:sz w:val="21"/>
                <w:szCs w:val="21"/>
              </w:rPr>
              <w:t>/</w:t>
            </w:r>
            <w:r>
              <w:rPr>
                <w:rFonts w:hint="eastAsia"/>
                <w:color w:val="FF0000"/>
                <w:sz w:val="21"/>
                <w:szCs w:val="21"/>
              </w:rPr>
              <w:t>d</w:t>
            </w:r>
          </w:p>
        </w:tc>
        <w:tc>
          <w:tcPr>
            <w:tcW w:w="933"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产生量t/a</w:t>
            </w:r>
          </w:p>
        </w:tc>
        <w:tc>
          <w:tcPr>
            <w:tcW w:w="963"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处理措施及处理效率</w:t>
            </w:r>
          </w:p>
        </w:tc>
        <w:tc>
          <w:tcPr>
            <w:tcW w:w="1028"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排放量t/a</w:t>
            </w:r>
          </w:p>
        </w:tc>
        <w:tc>
          <w:tcPr>
            <w:tcW w:w="1022"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排放量</w:t>
            </w:r>
            <w:r>
              <w:rPr>
                <w:rFonts w:hint="eastAsia"/>
                <w:color w:val="FF0000"/>
                <w:sz w:val="21"/>
                <w:szCs w:val="21"/>
              </w:rPr>
              <w:t>速率（kg/h）</w:t>
            </w:r>
          </w:p>
        </w:tc>
        <w:tc>
          <w:tcPr>
            <w:tcW w:w="2904" w:type="dxa"/>
            <w:gridSpan w:val="2"/>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color w:val="FF0000"/>
                <w:sz w:val="21"/>
                <w:szCs w:val="21"/>
              </w:rPr>
              <w:t>排放标准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5"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785"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800"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933"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963"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1028"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1022"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1749"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排放标准</w:t>
            </w:r>
          </w:p>
        </w:tc>
        <w:tc>
          <w:tcPr>
            <w:tcW w:w="1155"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color w:val="FF0000"/>
                <w:sz w:val="21"/>
                <w:szCs w:val="21"/>
              </w:rPr>
              <w:t>标准</w:t>
            </w:r>
            <w:r>
              <w:rPr>
                <w:rFonts w:hint="eastAsia"/>
                <w:color w:val="FF0000"/>
                <w:sz w:val="21"/>
                <w:szCs w:val="21"/>
              </w:rPr>
              <w:t>限值</w:t>
            </w:r>
          </w:p>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rFonts w:hint="eastAsia"/>
                <w:color w:val="FF0000"/>
                <w:sz w:val="21"/>
                <w:szCs w:val="21"/>
              </w:rPr>
              <w:t>mg/m³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5"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猪舍</w:t>
            </w:r>
          </w:p>
        </w:tc>
        <w:tc>
          <w:tcPr>
            <w:tcW w:w="785"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NH</w:t>
            </w:r>
            <w:r>
              <w:rPr>
                <w:color w:val="FF0000"/>
                <w:sz w:val="21"/>
                <w:szCs w:val="21"/>
                <w:vertAlign w:val="subscript"/>
              </w:rPr>
              <w:t>3</w:t>
            </w:r>
          </w:p>
        </w:tc>
        <w:tc>
          <w:tcPr>
            <w:tcW w:w="800"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FF0000"/>
                <w:sz w:val="21"/>
                <w:szCs w:val="21"/>
                <w:lang w:val="en-US" w:eastAsia="zh-CN"/>
              </w:rPr>
            </w:pPr>
            <w:r>
              <w:rPr>
                <w:rFonts w:hint="eastAsia"/>
                <w:color w:val="FF0000"/>
                <w:sz w:val="21"/>
                <w:szCs w:val="21"/>
                <w:lang w:val="en-US" w:eastAsia="zh-CN"/>
              </w:rPr>
              <w:t>5.28</w:t>
            </w:r>
          </w:p>
        </w:tc>
        <w:tc>
          <w:tcPr>
            <w:tcW w:w="933" w:type="dxa"/>
            <w:noWrap w:val="0"/>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1.927</w:t>
            </w:r>
          </w:p>
        </w:tc>
        <w:tc>
          <w:tcPr>
            <w:tcW w:w="963"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rFonts w:hint="eastAsia"/>
                <w:color w:val="FF0000"/>
                <w:sz w:val="21"/>
                <w:szCs w:val="21"/>
              </w:rPr>
              <w:t>削减恶臭污染源强</w:t>
            </w:r>
            <w:r>
              <w:rPr>
                <w:rFonts w:hint="eastAsia"/>
                <w:color w:val="FF0000"/>
                <w:sz w:val="21"/>
                <w:szCs w:val="21"/>
                <w:lang w:val="en-US" w:eastAsia="zh-CN"/>
              </w:rPr>
              <w:t>9</w:t>
            </w:r>
            <w:r>
              <w:rPr>
                <w:rFonts w:hint="eastAsia"/>
                <w:color w:val="FF0000"/>
                <w:sz w:val="21"/>
                <w:szCs w:val="21"/>
              </w:rPr>
              <w:t>0%</w:t>
            </w:r>
          </w:p>
        </w:tc>
        <w:tc>
          <w:tcPr>
            <w:tcW w:w="1028" w:type="dxa"/>
            <w:noWrap w:val="0"/>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sz w:val="21"/>
                <w:szCs w:val="21"/>
                <w:lang w:val="en-US" w:eastAsia="zh-CN"/>
              </w:rPr>
            </w:pPr>
            <w:r>
              <w:rPr>
                <w:rFonts w:hint="eastAsia" w:ascii="Times New Roman" w:hAnsi="Times New Roman" w:eastAsia="宋体" w:cs="Times New Roman"/>
                <w:color w:val="FF0000"/>
                <w:kern w:val="2"/>
                <w:sz w:val="21"/>
                <w:szCs w:val="21"/>
                <w:lang w:val="en-US" w:eastAsia="zh-CN" w:bidi="ar-SA"/>
              </w:rPr>
              <w:t>0.193</w:t>
            </w:r>
          </w:p>
        </w:tc>
        <w:tc>
          <w:tcPr>
            <w:tcW w:w="1022"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FF0000"/>
                <w:sz w:val="21"/>
                <w:szCs w:val="21"/>
                <w:lang w:val="en-US" w:eastAsia="zh-CN"/>
              </w:rPr>
            </w:pPr>
            <w:r>
              <w:rPr>
                <w:rFonts w:hint="eastAsia"/>
                <w:color w:val="FF0000"/>
                <w:sz w:val="21"/>
                <w:szCs w:val="21"/>
                <w:lang w:val="en-US" w:eastAsia="zh-CN"/>
              </w:rPr>
              <w:t>0.022</w:t>
            </w:r>
          </w:p>
        </w:tc>
        <w:tc>
          <w:tcPr>
            <w:tcW w:w="1749"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color w:val="FF0000"/>
                <w:sz w:val="21"/>
                <w:szCs w:val="21"/>
                <w:lang w:val="zh-CN"/>
              </w:rPr>
              <w:t>《恶臭污染物排放标准》（GB14554-93）</w:t>
            </w:r>
            <w:r>
              <w:rPr>
                <w:rFonts w:hint="eastAsia"/>
                <w:color w:val="FF0000"/>
                <w:sz w:val="21"/>
                <w:szCs w:val="21"/>
                <w:lang w:val="zh-CN"/>
              </w:rPr>
              <w:t>厂界无组织浓度</w:t>
            </w:r>
          </w:p>
        </w:tc>
        <w:tc>
          <w:tcPr>
            <w:tcW w:w="1155"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rFonts w:hint="eastAsia"/>
                <w:color w:val="FF0000"/>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5"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785"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H</w:t>
            </w:r>
            <w:r>
              <w:rPr>
                <w:color w:val="FF0000"/>
                <w:sz w:val="21"/>
                <w:szCs w:val="21"/>
                <w:vertAlign w:val="subscript"/>
              </w:rPr>
              <w:t>2</w:t>
            </w:r>
            <w:r>
              <w:rPr>
                <w:color w:val="FF0000"/>
                <w:sz w:val="21"/>
                <w:szCs w:val="21"/>
              </w:rPr>
              <w:t>S</w:t>
            </w:r>
          </w:p>
        </w:tc>
        <w:tc>
          <w:tcPr>
            <w:tcW w:w="800"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FF0000"/>
                <w:sz w:val="21"/>
                <w:szCs w:val="21"/>
                <w:lang w:val="en-US" w:eastAsia="zh-CN"/>
              </w:rPr>
            </w:pPr>
            <w:r>
              <w:rPr>
                <w:rFonts w:hint="eastAsia"/>
                <w:color w:val="FF0000"/>
                <w:sz w:val="21"/>
                <w:szCs w:val="21"/>
                <w:lang w:val="en-US" w:eastAsia="zh-CN"/>
              </w:rPr>
              <w:t>1.76</w:t>
            </w:r>
          </w:p>
        </w:tc>
        <w:tc>
          <w:tcPr>
            <w:tcW w:w="933" w:type="dxa"/>
            <w:noWrap w:val="0"/>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0.642</w:t>
            </w:r>
          </w:p>
        </w:tc>
        <w:tc>
          <w:tcPr>
            <w:tcW w:w="963"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p>
        </w:tc>
        <w:tc>
          <w:tcPr>
            <w:tcW w:w="1028" w:type="dxa"/>
            <w:noWrap w:val="0"/>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FF0000"/>
                <w:sz w:val="21"/>
                <w:szCs w:val="21"/>
                <w:lang w:val="en-US" w:eastAsia="zh-CN"/>
              </w:rPr>
            </w:pPr>
            <w:r>
              <w:rPr>
                <w:rFonts w:hint="eastAsia" w:ascii="Times New Roman" w:hAnsi="Times New Roman" w:eastAsia="宋体" w:cs="Times New Roman"/>
                <w:color w:val="FF0000"/>
                <w:kern w:val="2"/>
                <w:sz w:val="21"/>
                <w:szCs w:val="21"/>
                <w:lang w:val="en-US" w:eastAsia="zh-CN" w:bidi="ar-SA"/>
              </w:rPr>
              <w:t>0.064</w:t>
            </w:r>
          </w:p>
        </w:tc>
        <w:tc>
          <w:tcPr>
            <w:tcW w:w="1022"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FF0000"/>
                <w:sz w:val="21"/>
                <w:szCs w:val="21"/>
                <w:lang w:val="en-US" w:eastAsia="zh-CN"/>
              </w:rPr>
            </w:pPr>
            <w:r>
              <w:rPr>
                <w:rFonts w:hint="eastAsia"/>
                <w:color w:val="FF0000"/>
                <w:sz w:val="21"/>
                <w:szCs w:val="21"/>
                <w:lang w:val="en-US" w:eastAsia="zh-CN"/>
              </w:rPr>
              <w:t>0.007</w:t>
            </w:r>
          </w:p>
        </w:tc>
        <w:tc>
          <w:tcPr>
            <w:tcW w:w="1749"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p>
        </w:tc>
        <w:tc>
          <w:tcPr>
            <w:tcW w:w="1155"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rFonts w:hint="eastAsia"/>
                <w:color w:val="FF0000"/>
                <w:sz w:val="21"/>
                <w:szCs w:val="21"/>
              </w:rPr>
              <w:t>0.06</w:t>
            </w:r>
          </w:p>
        </w:tc>
      </w:tr>
    </w:tbl>
    <w:p>
      <w:pPr>
        <w:pStyle w:val="139"/>
        <w:spacing w:line="480" w:lineRule="exact"/>
        <w:ind w:firstLine="482"/>
        <w:rPr>
          <w:rFonts w:ascii="Times New Roman" w:eastAsia="宋体"/>
          <w:b/>
          <w:color w:val="auto"/>
          <w:sz w:val="24"/>
        </w:rPr>
      </w:pPr>
      <w:r>
        <w:rPr>
          <w:rFonts w:hint="eastAsia" w:ascii="宋体" w:hAnsi="宋体" w:eastAsia="宋体"/>
          <w:b/>
          <w:color w:val="auto"/>
          <w:sz w:val="24"/>
          <w:lang w:eastAsia="zh-CN"/>
        </w:rPr>
        <w:t>（</w:t>
      </w:r>
      <w:r>
        <w:rPr>
          <w:rFonts w:hint="eastAsia" w:ascii="宋体" w:hAnsi="宋体" w:eastAsia="宋体"/>
          <w:b/>
          <w:color w:val="auto"/>
          <w:sz w:val="24"/>
          <w:lang w:val="en-US" w:eastAsia="zh-CN"/>
        </w:rPr>
        <w:t>2</w:t>
      </w:r>
      <w:r>
        <w:rPr>
          <w:rFonts w:hint="eastAsia" w:ascii="宋体" w:hAnsi="宋体" w:eastAsia="宋体"/>
          <w:b/>
          <w:color w:val="auto"/>
          <w:sz w:val="24"/>
          <w:lang w:eastAsia="zh-CN"/>
        </w:rPr>
        <w:t>）晾粪台</w:t>
      </w:r>
      <w:r>
        <w:rPr>
          <w:rFonts w:hint="eastAsia" w:ascii="Times New Roman" w:eastAsia="宋体"/>
          <w:b/>
          <w:color w:val="auto"/>
          <w:sz w:val="24"/>
        </w:rPr>
        <w:t>恶臭</w:t>
      </w:r>
      <w:r>
        <w:rPr>
          <w:rFonts w:ascii="Times New Roman" w:eastAsia="宋体"/>
          <w:b/>
          <w:color w:val="auto"/>
          <w:sz w:val="24"/>
        </w:rPr>
        <w:t>源强分析（G</w:t>
      </w:r>
      <w:r>
        <w:rPr>
          <w:rFonts w:hint="eastAsia" w:ascii="Times New Roman" w:eastAsia="宋体"/>
          <w:b/>
          <w:color w:val="auto"/>
          <w:sz w:val="24"/>
          <w:lang w:val="en-US" w:eastAsia="zh-CN"/>
        </w:rPr>
        <w:t>2</w:t>
      </w:r>
      <w:r>
        <w:rPr>
          <w:rFonts w:ascii="Times New Roman" w:eastAsia="宋体"/>
          <w:b/>
          <w:color w:val="auto"/>
          <w:sz w:val="24"/>
        </w:rPr>
        <w:t>）</w:t>
      </w:r>
    </w:p>
    <w:p>
      <w:pPr>
        <w:adjustRightInd w:val="0"/>
        <w:snapToGrid w:val="0"/>
        <w:spacing w:line="480" w:lineRule="exact"/>
        <w:ind w:firstLine="480" w:firstLineChars="200"/>
        <w:rPr>
          <w:rFonts w:hint="eastAsia"/>
          <w:snapToGrid w:val="0"/>
          <w:color w:val="FF0000"/>
          <w:position w:val="-2"/>
          <w:sz w:val="24"/>
        </w:rPr>
      </w:pPr>
      <w:r>
        <w:rPr>
          <w:rFonts w:hint="eastAsia"/>
          <w:snapToGrid w:val="0"/>
          <w:color w:val="FF0000"/>
          <w:position w:val="-2"/>
          <w:sz w:val="24"/>
        </w:rPr>
        <w:t>跟据</w:t>
      </w:r>
      <w:r>
        <w:rPr>
          <w:rFonts w:hint="eastAsia"/>
          <w:snapToGrid w:val="0"/>
          <w:color w:val="FF0000"/>
          <w:position w:val="-2"/>
          <w:sz w:val="24"/>
          <w:lang w:eastAsia="zh-CN"/>
        </w:rPr>
        <w:t>中国环境科学学会学术年会论文集</w:t>
      </w:r>
      <w:r>
        <w:rPr>
          <w:rFonts w:hint="eastAsia"/>
          <w:snapToGrid w:val="0"/>
          <w:color w:val="FF0000"/>
          <w:position w:val="-2"/>
          <w:sz w:val="24"/>
        </w:rPr>
        <w:t>《养猪场恶臭影响量化分析及控制对策研究》</w:t>
      </w:r>
      <w:r>
        <w:rPr>
          <w:rFonts w:hint="eastAsia"/>
          <w:snapToGrid w:val="0"/>
          <w:color w:val="FF0000"/>
          <w:position w:val="-2"/>
          <w:sz w:val="24"/>
          <w:lang w:eastAsia="zh-CN"/>
        </w:rPr>
        <w:t>中数据，堆</w:t>
      </w:r>
      <w:r>
        <w:rPr>
          <w:rFonts w:hint="eastAsia"/>
          <w:snapToGrid w:val="0"/>
          <w:color w:val="FF0000"/>
          <w:position w:val="-2"/>
          <w:sz w:val="24"/>
          <w:lang w:val="en-US" w:eastAsia="zh-CN"/>
        </w:rPr>
        <w:t>粪</w:t>
      </w:r>
      <w:r>
        <w:rPr>
          <w:rFonts w:hint="eastAsia"/>
          <w:snapToGrid w:val="0"/>
          <w:color w:val="FF0000"/>
          <w:position w:val="-2"/>
          <w:sz w:val="24"/>
          <w:lang w:eastAsia="zh-CN"/>
        </w:rPr>
        <w:t>产污堆存区NH</w:t>
      </w:r>
      <w:r>
        <w:rPr>
          <w:rFonts w:hint="eastAsia"/>
          <w:snapToGrid w:val="0"/>
          <w:color w:val="FF0000"/>
          <w:position w:val="-2"/>
          <w:sz w:val="24"/>
          <w:vertAlign w:val="subscript"/>
          <w:lang w:eastAsia="zh-CN"/>
        </w:rPr>
        <w:t>3</w:t>
      </w:r>
      <w:r>
        <w:rPr>
          <w:rFonts w:hint="eastAsia"/>
          <w:snapToGrid w:val="0"/>
          <w:color w:val="FF0000"/>
          <w:position w:val="-2"/>
          <w:sz w:val="24"/>
          <w:lang w:eastAsia="zh-CN"/>
        </w:rPr>
        <w:t>产生量按</w:t>
      </w:r>
      <w:r>
        <w:rPr>
          <w:rFonts w:hint="eastAsia"/>
          <w:snapToGrid w:val="0"/>
          <w:color w:val="FF0000"/>
          <w:position w:val="-2"/>
          <w:sz w:val="24"/>
          <w:lang w:val="en-US" w:eastAsia="zh-CN"/>
        </w:rPr>
        <w:t>0.9g/</w:t>
      </w:r>
      <w:r>
        <w:rPr>
          <w:rFonts w:hint="eastAsia"/>
          <w:snapToGrid w:val="0"/>
          <w:color w:val="FF0000"/>
          <w:position w:val="-2"/>
          <w:sz w:val="24"/>
          <w:lang w:eastAsia="zh-CN"/>
        </w:rPr>
        <w:t>（m</w:t>
      </w:r>
      <w:r>
        <w:rPr>
          <w:rFonts w:hint="eastAsia"/>
          <w:snapToGrid w:val="0"/>
          <w:color w:val="FF0000"/>
          <w:position w:val="-2"/>
          <w:sz w:val="24"/>
          <w:vertAlign w:val="superscript"/>
          <w:lang w:eastAsia="zh-CN"/>
        </w:rPr>
        <w:t>2</w:t>
      </w:r>
      <w:r>
        <w:rPr>
          <w:rFonts w:hint="eastAsia"/>
          <w:snapToGrid w:val="0"/>
          <w:color w:val="FF0000"/>
          <w:position w:val="-2"/>
          <w:sz w:val="24"/>
          <w:lang w:eastAsia="zh-CN"/>
        </w:rPr>
        <w:t>·d）计</w:t>
      </w:r>
      <w:r>
        <w:rPr>
          <w:rFonts w:hint="eastAsia"/>
          <w:snapToGrid w:val="0"/>
          <w:color w:val="FF0000"/>
          <w:position w:val="-2"/>
          <w:sz w:val="24"/>
        </w:rPr>
        <w:t>、</w:t>
      </w:r>
      <w:r>
        <w:rPr>
          <w:snapToGrid w:val="0"/>
          <w:color w:val="FF0000"/>
          <w:position w:val="-2"/>
          <w:sz w:val="24"/>
        </w:rPr>
        <w:t>H</w:t>
      </w:r>
      <w:r>
        <w:rPr>
          <w:snapToGrid w:val="0"/>
          <w:color w:val="FF0000"/>
          <w:position w:val="-2"/>
          <w:sz w:val="24"/>
          <w:vertAlign w:val="subscript"/>
        </w:rPr>
        <w:t>2</w:t>
      </w:r>
      <w:r>
        <w:rPr>
          <w:snapToGrid w:val="0"/>
          <w:color w:val="FF0000"/>
          <w:position w:val="-2"/>
          <w:sz w:val="24"/>
        </w:rPr>
        <w:t>S的</w:t>
      </w:r>
      <w:r>
        <w:rPr>
          <w:rFonts w:hint="eastAsia"/>
          <w:snapToGrid w:val="0"/>
          <w:color w:val="FF0000"/>
          <w:position w:val="-2"/>
          <w:sz w:val="24"/>
        </w:rPr>
        <w:t>产生量按0.</w:t>
      </w:r>
      <w:r>
        <w:rPr>
          <w:rFonts w:hint="eastAsia"/>
          <w:snapToGrid w:val="0"/>
          <w:color w:val="FF0000"/>
          <w:position w:val="-2"/>
          <w:sz w:val="24"/>
          <w:lang w:val="en-US" w:eastAsia="zh-CN"/>
        </w:rPr>
        <w:t>09</w:t>
      </w:r>
      <w:r>
        <w:rPr>
          <w:rFonts w:hint="eastAsia"/>
          <w:snapToGrid w:val="0"/>
          <w:color w:val="FF0000"/>
          <w:position w:val="-2"/>
          <w:sz w:val="24"/>
        </w:rPr>
        <w:t>g/（m</w:t>
      </w:r>
      <w:r>
        <w:rPr>
          <w:rFonts w:hint="eastAsia"/>
          <w:snapToGrid w:val="0"/>
          <w:color w:val="FF0000"/>
          <w:position w:val="-2"/>
          <w:sz w:val="24"/>
          <w:vertAlign w:val="superscript"/>
        </w:rPr>
        <w:t>2</w:t>
      </w:r>
      <w:r>
        <w:rPr>
          <w:rFonts w:hint="eastAsia"/>
          <w:snapToGrid w:val="0"/>
          <w:color w:val="FF0000"/>
          <w:position w:val="-2"/>
          <w:sz w:val="24"/>
        </w:rPr>
        <w:t>·d）计</w:t>
      </w:r>
      <w:r>
        <w:rPr>
          <w:rFonts w:hint="eastAsia"/>
          <w:snapToGrid w:val="0"/>
          <w:color w:val="FF0000"/>
          <w:position w:val="-2"/>
          <w:sz w:val="24"/>
          <w:lang w:eastAsia="zh-CN"/>
        </w:rPr>
        <w:t>。</w:t>
      </w:r>
      <w:r>
        <w:rPr>
          <w:rFonts w:hint="eastAsia"/>
          <w:snapToGrid w:val="0"/>
          <w:color w:val="FF0000"/>
          <w:position w:val="-2"/>
          <w:sz w:val="24"/>
        </w:rPr>
        <w:t>本项目晾粪台面积为</w:t>
      </w:r>
      <w:r>
        <w:rPr>
          <w:rFonts w:hint="eastAsia"/>
          <w:snapToGrid w:val="0"/>
          <w:color w:val="FF0000"/>
          <w:position w:val="-2"/>
          <w:sz w:val="24"/>
          <w:lang w:val="en-US" w:eastAsia="zh-CN"/>
        </w:rPr>
        <w:t>10</w:t>
      </w:r>
      <w:r>
        <w:rPr>
          <w:rFonts w:hint="eastAsia"/>
          <w:snapToGrid w:val="0"/>
          <w:color w:val="FF0000"/>
          <w:position w:val="-2"/>
          <w:sz w:val="24"/>
        </w:rPr>
        <w:t>00m</w:t>
      </w:r>
      <w:r>
        <w:rPr>
          <w:rFonts w:hint="eastAsia"/>
          <w:snapToGrid w:val="0"/>
          <w:color w:val="FF0000"/>
          <w:position w:val="-2"/>
          <w:sz w:val="24"/>
          <w:vertAlign w:val="superscript"/>
        </w:rPr>
        <w:t>2</w:t>
      </w:r>
      <w:r>
        <w:rPr>
          <w:rFonts w:hint="eastAsia"/>
          <w:snapToGrid w:val="0"/>
          <w:color w:val="FF0000"/>
          <w:position w:val="-2"/>
          <w:sz w:val="24"/>
        </w:rPr>
        <w:t>，则</w:t>
      </w:r>
      <w:r>
        <w:rPr>
          <w:snapToGrid w:val="0"/>
          <w:color w:val="FF0000"/>
          <w:position w:val="-2"/>
          <w:sz w:val="24"/>
        </w:rPr>
        <w:t>NH</w:t>
      </w:r>
      <w:r>
        <w:rPr>
          <w:snapToGrid w:val="0"/>
          <w:color w:val="FF0000"/>
          <w:position w:val="-2"/>
          <w:sz w:val="24"/>
          <w:vertAlign w:val="subscript"/>
        </w:rPr>
        <w:t>3</w:t>
      </w:r>
      <w:r>
        <w:rPr>
          <w:rFonts w:hint="eastAsia"/>
          <w:snapToGrid w:val="0"/>
          <w:color w:val="FF0000"/>
          <w:position w:val="-2"/>
          <w:sz w:val="24"/>
        </w:rPr>
        <w:t>的产生量为</w:t>
      </w:r>
      <w:r>
        <w:rPr>
          <w:rFonts w:hint="eastAsia"/>
          <w:snapToGrid w:val="0"/>
          <w:color w:val="FF0000"/>
          <w:position w:val="-2"/>
          <w:sz w:val="24"/>
          <w:lang w:val="en-US" w:eastAsia="zh-CN"/>
        </w:rPr>
        <w:t>0.9</w:t>
      </w:r>
      <w:r>
        <w:rPr>
          <w:rFonts w:hint="eastAsia"/>
          <w:snapToGrid w:val="0"/>
          <w:color w:val="FF0000"/>
          <w:position w:val="-2"/>
          <w:sz w:val="24"/>
        </w:rPr>
        <w:t>kg/</w:t>
      </w:r>
      <w:r>
        <w:rPr>
          <w:rFonts w:hint="eastAsia"/>
          <w:snapToGrid w:val="0"/>
          <w:color w:val="FF0000"/>
          <w:position w:val="-2"/>
          <w:sz w:val="24"/>
          <w:lang w:val="en-US" w:eastAsia="zh-CN"/>
        </w:rPr>
        <w:t>d</w:t>
      </w:r>
      <w:r>
        <w:rPr>
          <w:rFonts w:hint="eastAsia"/>
          <w:snapToGrid w:val="0"/>
          <w:color w:val="FF0000"/>
          <w:position w:val="-2"/>
          <w:sz w:val="24"/>
        </w:rPr>
        <w:t>，</w:t>
      </w:r>
      <w:r>
        <w:rPr>
          <w:snapToGrid w:val="0"/>
          <w:color w:val="FF0000"/>
          <w:position w:val="-2"/>
          <w:sz w:val="24"/>
        </w:rPr>
        <w:t>H</w:t>
      </w:r>
      <w:r>
        <w:rPr>
          <w:snapToGrid w:val="0"/>
          <w:color w:val="FF0000"/>
          <w:position w:val="-2"/>
          <w:sz w:val="24"/>
          <w:vertAlign w:val="subscript"/>
        </w:rPr>
        <w:t>2</w:t>
      </w:r>
      <w:r>
        <w:rPr>
          <w:snapToGrid w:val="0"/>
          <w:color w:val="FF0000"/>
          <w:position w:val="-2"/>
          <w:sz w:val="24"/>
        </w:rPr>
        <w:t>S的</w:t>
      </w:r>
      <w:r>
        <w:rPr>
          <w:rFonts w:hint="eastAsia"/>
          <w:snapToGrid w:val="0"/>
          <w:color w:val="FF0000"/>
          <w:position w:val="-2"/>
          <w:sz w:val="24"/>
        </w:rPr>
        <w:t>产生量为0.</w:t>
      </w:r>
      <w:r>
        <w:rPr>
          <w:rFonts w:hint="eastAsia"/>
          <w:snapToGrid w:val="0"/>
          <w:color w:val="FF0000"/>
          <w:position w:val="-2"/>
          <w:sz w:val="24"/>
          <w:lang w:val="en-US" w:eastAsia="zh-CN"/>
        </w:rPr>
        <w:t>09</w:t>
      </w:r>
      <w:r>
        <w:rPr>
          <w:rFonts w:hint="eastAsia"/>
          <w:snapToGrid w:val="0"/>
          <w:color w:val="FF0000"/>
          <w:position w:val="-2"/>
          <w:sz w:val="24"/>
        </w:rPr>
        <w:t>kg</w:t>
      </w:r>
      <w:r>
        <w:rPr>
          <w:rFonts w:hint="eastAsia"/>
          <w:snapToGrid w:val="0"/>
          <w:color w:val="FF0000"/>
          <w:position w:val="-2"/>
          <w:sz w:val="24"/>
          <w:lang w:val="en-US" w:eastAsia="zh-CN"/>
        </w:rPr>
        <w:t>/d</w:t>
      </w:r>
      <w:r>
        <w:rPr>
          <w:rFonts w:hint="eastAsia"/>
          <w:snapToGrid w:val="0"/>
          <w:color w:val="FF0000"/>
          <w:position w:val="-2"/>
          <w:sz w:val="24"/>
        </w:rPr>
        <w:t>。</w:t>
      </w:r>
    </w:p>
    <w:p>
      <w:pPr>
        <w:adjustRightInd w:val="0"/>
        <w:snapToGrid w:val="0"/>
        <w:spacing w:line="480" w:lineRule="exact"/>
        <w:ind w:firstLine="480" w:firstLineChars="200"/>
        <w:rPr>
          <w:rFonts w:hint="eastAsia"/>
          <w:snapToGrid w:val="0"/>
          <w:color w:val="auto"/>
          <w:position w:val="-2"/>
          <w:sz w:val="24"/>
          <w:lang w:val="en-US" w:eastAsia="zh-CN"/>
        </w:rPr>
      </w:pPr>
      <w:r>
        <w:rPr>
          <w:rFonts w:hint="eastAsia"/>
          <w:snapToGrid w:val="0"/>
          <w:color w:val="auto"/>
          <w:position w:val="-2"/>
          <w:sz w:val="24"/>
          <w:lang w:val="en-US" w:eastAsia="zh-CN"/>
        </w:rPr>
        <w:t>本项目晾粪台覆盖篷布、喷洒微生物除臭剂等环保措施，根据《微生物除臭剂的研究进展》（荣达德、杨琼、刘吉升、刑东旭、李庆荣编制），采用微生物除臭剂可使猪粪堆场内的NH</w:t>
      </w:r>
      <w:r>
        <w:rPr>
          <w:rFonts w:hint="eastAsia"/>
          <w:snapToGrid w:val="0"/>
          <w:color w:val="auto"/>
          <w:position w:val="-2"/>
          <w:sz w:val="24"/>
          <w:vertAlign w:val="subscript"/>
          <w:lang w:val="en-US" w:eastAsia="zh-CN"/>
        </w:rPr>
        <w:t>3</w:t>
      </w:r>
      <w:r>
        <w:rPr>
          <w:rFonts w:hint="eastAsia"/>
          <w:snapToGrid w:val="0"/>
          <w:color w:val="auto"/>
          <w:position w:val="-2"/>
          <w:sz w:val="24"/>
          <w:lang w:val="en-US" w:eastAsia="zh-CN"/>
        </w:rPr>
        <w:t>浓度降低84.4%、H</w:t>
      </w:r>
      <w:r>
        <w:rPr>
          <w:rFonts w:hint="eastAsia"/>
          <w:snapToGrid w:val="0"/>
          <w:color w:val="auto"/>
          <w:position w:val="-2"/>
          <w:sz w:val="24"/>
          <w:vertAlign w:val="subscript"/>
          <w:lang w:val="en-US" w:eastAsia="zh-CN"/>
        </w:rPr>
        <w:t>2</w:t>
      </w:r>
      <w:r>
        <w:rPr>
          <w:rFonts w:hint="eastAsia"/>
          <w:snapToGrid w:val="0"/>
          <w:color w:val="auto"/>
          <w:position w:val="-2"/>
          <w:sz w:val="24"/>
          <w:lang w:val="en-US" w:eastAsia="zh-CN"/>
        </w:rPr>
        <w:t>S浓度降低62.1%。</w:t>
      </w:r>
    </w:p>
    <w:p>
      <w:pPr>
        <w:adjustRightInd w:val="0"/>
        <w:snapToGrid w:val="0"/>
        <w:spacing w:line="480" w:lineRule="exact"/>
        <w:ind w:firstLine="480" w:firstLineChars="200"/>
        <w:rPr>
          <w:rFonts w:hint="eastAsia"/>
          <w:snapToGrid w:val="0"/>
          <w:color w:val="auto"/>
          <w:position w:val="-2"/>
          <w:sz w:val="24"/>
          <w:lang w:val="en-US" w:eastAsia="zh-CN"/>
        </w:rPr>
      </w:pPr>
      <w:r>
        <w:rPr>
          <w:rFonts w:hint="eastAsia"/>
          <w:snapToGrid w:val="0"/>
          <w:color w:val="auto"/>
          <w:position w:val="-2"/>
          <w:sz w:val="24"/>
          <w:lang w:val="en-US" w:eastAsia="zh-CN"/>
        </w:rPr>
        <w:t>本工程晾粪台臭气产生及排放情况见表3.3-3。</w:t>
      </w:r>
    </w:p>
    <w:p>
      <w:pPr>
        <w:spacing w:line="480" w:lineRule="exact"/>
        <w:ind w:firstLine="482" w:firstLineChars="200"/>
        <w:jc w:val="center"/>
        <w:rPr>
          <w:b/>
          <w:bCs/>
          <w:color w:val="auto"/>
          <w:sz w:val="24"/>
        </w:rPr>
      </w:pPr>
      <w:r>
        <w:rPr>
          <w:rFonts w:hAnsi="宋体"/>
          <w:b/>
          <w:bCs/>
          <w:color w:val="auto"/>
          <w:sz w:val="24"/>
        </w:rPr>
        <w:t>表</w:t>
      </w:r>
      <w:r>
        <w:rPr>
          <w:rFonts w:hint="eastAsia"/>
          <w:b/>
          <w:bCs/>
          <w:color w:val="auto"/>
          <w:sz w:val="24"/>
          <w:lang w:val="en-US" w:eastAsia="zh-CN"/>
        </w:rPr>
        <w:t>3.3-3</w:t>
      </w:r>
      <w:r>
        <w:rPr>
          <w:b/>
          <w:bCs/>
          <w:color w:val="auto"/>
          <w:sz w:val="24"/>
        </w:rPr>
        <w:t xml:space="preserve">   </w:t>
      </w:r>
      <w:r>
        <w:rPr>
          <w:rFonts w:hint="eastAsia"/>
          <w:b/>
          <w:bCs/>
          <w:color w:val="auto"/>
          <w:sz w:val="24"/>
        </w:rPr>
        <w:t>晾粪台</w:t>
      </w:r>
      <w:r>
        <w:rPr>
          <w:rFonts w:hAnsi="宋体"/>
          <w:b/>
          <w:bCs/>
          <w:color w:val="auto"/>
          <w:sz w:val="24"/>
        </w:rPr>
        <w:t>臭气产生及排放一览表</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125"/>
        <w:gridCol w:w="850"/>
        <w:gridCol w:w="850"/>
        <w:gridCol w:w="992"/>
        <w:gridCol w:w="1134"/>
        <w:gridCol w:w="1734"/>
        <w:gridCol w:w="1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项目</w:t>
            </w:r>
          </w:p>
        </w:tc>
        <w:tc>
          <w:tcPr>
            <w:tcW w:w="1125"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产生</w:t>
            </w:r>
            <w:r>
              <w:rPr>
                <w:rFonts w:hint="eastAsia"/>
                <w:color w:val="FF0000"/>
                <w:sz w:val="21"/>
                <w:szCs w:val="21"/>
                <w:lang w:eastAsia="zh-CN"/>
              </w:rPr>
              <w:t>速率</w:t>
            </w:r>
            <w:r>
              <w:rPr>
                <w:color w:val="FF0000"/>
                <w:sz w:val="21"/>
                <w:szCs w:val="21"/>
              </w:rPr>
              <w:t>（kg/</w:t>
            </w:r>
            <w:r>
              <w:rPr>
                <w:rFonts w:hint="eastAsia"/>
                <w:color w:val="FF0000"/>
                <w:sz w:val="21"/>
                <w:szCs w:val="21"/>
                <w:lang w:val="en-US" w:eastAsia="zh-CN"/>
              </w:rPr>
              <w:t>d</w:t>
            </w:r>
            <w:r>
              <w:rPr>
                <w:snapToGrid w:val="0"/>
                <w:color w:val="FF0000"/>
                <w:position w:val="-2"/>
                <w:sz w:val="21"/>
                <w:szCs w:val="21"/>
              </w:rPr>
              <w:t>）</w:t>
            </w:r>
          </w:p>
        </w:tc>
        <w:tc>
          <w:tcPr>
            <w:tcW w:w="850"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产生量t/a</w:t>
            </w:r>
          </w:p>
        </w:tc>
        <w:tc>
          <w:tcPr>
            <w:tcW w:w="850"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处理措施及处理效率</w:t>
            </w:r>
          </w:p>
        </w:tc>
        <w:tc>
          <w:tcPr>
            <w:tcW w:w="992"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排放量t/a</w:t>
            </w:r>
          </w:p>
        </w:tc>
        <w:tc>
          <w:tcPr>
            <w:tcW w:w="1134"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排放速率（kg/</w:t>
            </w:r>
            <w:r>
              <w:rPr>
                <w:rFonts w:hint="eastAsia"/>
                <w:color w:val="FF0000"/>
                <w:sz w:val="21"/>
                <w:szCs w:val="21"/>
                <w:lang w:val="en-US" w:eastAsia="zh-CN"/>
              </w:rPr>
              <w:t>h</w:t>
            </w:r>
            <w:r>
              <w:rPr>
                <w:color w:val="FF0000"/>
                <w:sz w:val="21"/>
                <w:szCs w:val="21"/>
              </w:rPr>
              <w:t>）</w:t>
            </w:r>
          </w:p>
        </w:tc>
        <w:tc>
          <w:tcPr>
            <w:tcW w:w="3110" w:type="dxa"/>
            <w:gridSpan w:val="2"/>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rPr>
              <w:t>排放标准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1125"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850"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850"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992"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1134"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173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color w:val="FF0000"/>
                <w:sz w:val="21"/>
                <w:szCs w:val="21"/>
              </w:rPr>
            </w:pPr>
            <w:r>
              <w:rPr>
                <w:rFonts w:hint="eastAsia"/>
                <w:color w:val="FF0000"/>
                <w:sz w:val="21"/>
                <w:szCs w:val="21"/>
              </w:rPr>
              <w:t>排放标准</w:t>
            </w:r>
          </w:p>
        </w:tc>
        <w:tc>
          <w:tcPr>
            <w:tcW w:w="1376"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color w:val="FF0000"/>
                <w:sz w:val="21"/>
                <w:szCs w:val="21"/>
              </w:rPr>
              <w:t>标准</w:t>
            </w:r>
            <w:r>
              <w:rPr>
                <w:rFonts w:hint="eastAsia"/>
                <w:color w:val="FF0000"/>
                <w:sz w:val="21"/>
                <w:szCs w:val="21"/>
              </w:rPr>
              <w:t>限值</w:t>
            </w:r>
          </w:p>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rFonts w:hint="eastAsia"/>
                <w:color w:val="FF0000"/>
                <w:sz w:val="21"/>
                <w:szCs w:val="21"/>
              </w:rPr>
              <w:t>mg/m³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snapToGrid w:val="0"/>
                <w:color w:val="FF0000"/>
                <w:position w:val="-2"/>
                <w:sz w:val="21"/>
                <w:szCs w:val="21"/>
                <w:lang w:val="en-US" w:eastAsia="zh-CN"/>
              </w:rPr>
            </w:pPr>
            <w:r>
              <w:rPr>
                <w:color w:val="FF0000"/>
                <w:sz w:val="21"/>
                <w:szCs w:val="21"/>
              </w:rPr>
              <w:t>NH</w:t>
            </w:r>
            <w:r>
              <w:rPr>
                <w:color w:val="FF0000"/>
                <w:sz w:val="21"/>
                <w:szCs w:val="21"/>
                <w:vertAlign w:val="subscript"/>
              </w:rPr>
              <w:t>3</w:t>
            </w:r>
          </w:p>
        </w:tc>
        <w:tc>
          <w:tcPr>
            <w:tcW w:w="1125"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snapToGrid w:val="0"/>
                <w:color w:val="FF0000"/>
                <w:position w:val="-2"/>
                <w:sz w:val="21"/>
                <w:szCs w:val="21"/>
                <w:lang w:val="en-US" w:eastAsia="zh-CN"/>
              </w:rPr>
            </w:pPr>
            <w:r>
              <w:rPr>
                <w:rFonts w:hint="eastAsia"/>
                <w:snapToGrid w:val="0"/>
                <w:color w:val="FF0000"/>
                <w:position w:val="-2"/>
                <w:sz w:val="21"/>
                <w:szCs w:val="21"/>
                <w:lang w:val="en-US" w:eastAsia="zh-CN"/>
              </w:rPr>
              <w:t>0.9</w:t>
            </w:r>
          </w:p>
        </w:tc>
        <w:tc>
          <w:tcPr>
            <w:tcW w:w="850"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snapToGrid w:val="0"/>
                <w:color w:val="FF0000"/>
                <w:position w:val="-2"/>
                <w:sz w:val="21"/>
                <w:szCs w:val="21"/>
                <w:lang w:val="en-US" w:eastAsia="zh-CN"/>
              </w:rPr>
            </w:pPr>
            <w:r>
              <w:rPr>
                <w:rFonts w:hint="eastAsia"/>
                <w:snapToGrid w:val="0"/>
                <w:color w:val="FF0000"/>
                <w:position w:val="-2"/>
                <w:sz w:val="21"/>
                <w:szCs w:val="21"/>
                <w:lang w:val="en-US" w:eastAsia="zh-CN"/>
              </w:rPr>
              <w:t>0.329</w:t>
            </w:r>
          </w:p>
        </w:tc>
        <w:tc>
          <w:tcPr>
            <w:tcW w:w="850"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snapToGrid w:val="0"/>
                <w:color w:val="FF0000"/>
                <w:position w:val="-2"/>
                <w:sz w:val="21"/>
                <w:szCs w:val="21"/>
                <w:lang w:val="en-US" w:eastAsia="zh-CN"/>
              </w:rPr>
            </w:pPr>
            <w:r>
              <w:rPr>
                <w:rFonts w:hint="eastAsia"/>
                <w:snapToGrid w:val="0"/>
                <w:color w:val="FF0000"/>
                <w:position w:val="-2"/>
                <w:sz w:val="21"/>
                <w:szCs w:val="21"/>
                <w:lang w:val="en-US" w:eastAsia="zh-CN"/>
              </w:rPr>
              <w:t>84.4%</w:t>
            </w:r>
          </w:p>
        </w:tc>
        <w:tc>
          <w:tcPr>
            <w:tcW w:w="992"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snapToGrid w:val="0"/>
                <w:color w:val="FF0000"/>
                <w:position w:val="-2"/>
                <w:sz w:val="21"/>
                <w:szCs w:val="21"/>
                <w:lang w:val="en-US" w:eastAsia="zh-CN"/>
              </w:rPr>
            </w:pPr>
            <w:r>
              <w:rPr>
                <w:rFonts w:hint="eastAsia"/>
                <w:snapToGrid w:val="0"/>
                <w:color w:val="FF0000"/>
                <w:position w:val="-2"/>
                <w:sz w:val="21"/>
                <w:szCs w:val="21"/>
                <w:lang w:val="en-US" w:eastAsia="zh-CN"/>
              </w:rPr>
              <w:t>0.051</w:t>
            </w:r>
          </w:p>
        </w:tc>
        <w:tc>
          <w:tcPr>
            <w:tcW w:w="1134"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snapToGrid w:val="0"/>
                <w:color w:val="FF0000"/>
                <w:position w:val="-2"/>
                <w:sz w:val="21"/>
                <w:szCs w:val="21"/>
                <w:lang w:val="en-US" w:eastAsia="zh-CN"/>
              </w:rPr>
            </w:pPr>
            <w:r>
              <w:rPr>
                <w:rFonts w:hint="eastAsia"/>
                <w:snapToGrid w:val="0"/>
                <w:color w:val="FF0000"/>
                <w:position w:val="-2"/>
                <w:sz w:val="21"/>
                <w:szCs w:val="21"/>
                <w:lang w:val="en-US" w:eastAsia="zh-CN"/>
              </w:rPr>
              <w:t>0.006</w:t>
            </w:r>
          </w:p>
        </w:tc>
        <w:tc>
          <w:tcPr>
            <w:tcW w:w="1734" w:type="dxa"/>
            <w:vMerge w:val="restart"/>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r>
              <w:rPr>
                <w:color w:val="FF0000"/>
                <w:sz w:val="21"/>
                <w:szCs w:val="21"/>
                <w:lang w:val="zh-CN"/>
              </w:rPr>
              <w:t>《恶臭污染物排放标准》（GB14554-93）</w:t>
            </w:r>
            <w:r>
              <w:rPr>
                <w:rFonts w:hint="eastAsia"/>
                <w:color w:val="FF0000"/>
                <w:sz w:val="21"/>
                <w:szCs w:val="21"/>
                <w:lang w:val="zh-CN"/>
              </w:rPr>
              <w:t>厂界无组织浓度</w:t>
            </w:r>
            <w:r>
              <w:rPr>
                <w:color w:val="FF0000"/>
                <w:sz w:val="21"/>
                <w:szCs w:val="21"/>
                <w:lang w:val="zh-CN"/>
              </w:rPr>
              <w:t>）</w:t>
            </w:r>
          </w:p>
        </w:tc>
        <w:tc>
          <w:tcPr>
            <w:tcW w:w="1376"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rFonts w:hint="eastAsia"/>
                <w:color w:val="FF0000"/>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snapToGrid w:val="0"/>
                <w:color w:val="FF0000"/>
                <w:position w:val="-2"/>
                <w:sz w:val="21"/>
                <w:szCs w:val="21"/>
                <w:lang w:val="en-US" w:eastAsia="zh-CN"/>
              </w:rPr>
            </w:pPr>
            <w:r>
              <w:rPr>
                <w:color w:val="FF0000"/>
                <w:sz w:val="21"/>
                <w:szCs w:val="21"/>
              </w:rPr>
              <w:t>H</w:t>
            </w:r>
            <w:r>
              <w:rPr>
                <w:color w:val="FF0000"/>
                <w:sz w:val="21"/>
                <w:szCs w:val="21"/>
                <w:vertAlign w:val="subscript"/>
              </w:rPr>
              <w:t>2</w:t>
            </w:r>
            <w:r>
              <w:rPr>
                <w:color w:val="FF0000"/>
                <w:sz w:val="21"/>
                <w:szCs w:val="21"/>
              </w:rPr>
              <w:t>S</w:t>
            </w:r>
          </w:p>
        </w:tc>
        <w:tc>
          <w:tcPr>
            <w:tcW w:w="1125"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snapToGrid w:val="0"/>
                <w:color w:val="FF0000"/>
                <w:position w:val="-2"/>
                <w:sz w:val="21"/>
                <w:szCs w:val="21"/>
                <w:lang w:val="en-US" w:eastAsia="zh-CN"/>
              </w:rPr>
            </w:pPr>
            <w:r>
              <w:rPr>
                <w:rFonts w:hint="eastAsia"/>
                <w:snapToGrid w:val="0"/>
                <w:color w:val="FF0000"/>
                <w:position w:val="-2"/>
                <w:sz w:val="21"/>
                <w:szCs w:val="21"/>
                <w:lang w:val="en-US" w:eastAsia="zh-CN"/>
              </w:rPr>
              <w:t>0.09</w:t>
            </w:r>
          </w:p>
        </w:tc>
        <w:tc>
          <w:tcPr>
            <w:tcW w:w="850"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snapToGrid w:val="0"/>
                <w:color w:val="FF0000"/>
                <w:position w:val="-2"/>
                <w:sz w:val="21"/>
                <w:szCs w:val="21"/>
                <w:lang w:val="en-US" w:eastAsia="zh-CN"/>
              </w:rPr>
            </w:pPr>
            <w:r>
              <w:rPr>
                <w:rFonts w:hint="eastAsia"/>
                <w:snapToGrid w:val="0"/>
                <w:color w:val="FF0000"/>
                <w:position w:val="-2"/>
                <w:sz w:val="21"/>
                <w:szCs w:val="21"/>
                <w:lang w:val="en-US" w:eastAsia="zh-CN"/>
              </w:rPr>
              <w:t>0.033</w:t>
            </w:r>
          </w:p>
        </w:tc>
        <w:tc>
          <w:tcPr>
            <w:tcW w:w="850"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snapToGrid w:val="0"/>
                <w:color w:val="FF0000"/>
                <w:position w:val="-2"/>
                <w:sz w:val="21"/>
                <w:szCs w:val="21"/>
                <w:lang w:val="en-US" w:eastAsia="zh-CN"/>
              </w:rPr>
            </w:pPr>
            <w:r>
              <w:rPr>
                <w:rFonts w:hint="eastAsia"/>
                <w:snapToGrid w:val="0"/>
                <w:color w:val="FF0000"/>
                <w:position w:val="-2"/>
                <w:sz w:val="21"/>
                <w:szCs w:val="21"/>
                <w:lang w:val="en-US" w:eastAsia="zh-CN"/>
              </w:rPr>
              <w:t>62.1%</w:t>
            </w:r>
          </w:p>
        </w:tc>
        <w:tc>
          <w:tcPr>
            <w:tcW w:w="992"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snapToGrid w:val="0"/>
                <w:color w:val="FF0000"/>
                <w:position w:val="-2"/>
                <w:sz w:val="21"/>
                <w:szCs w:val="21"/>
                <w:lang w:val="en-US" w:eastAsia="zh-CN"/>
              </w:rPr>
            </w:pPr>
            <w:r>
              <w:rPr>
                <w:rFonts w:hint="eastAsia"/>
                <w:snapToGrid w:val="0"/>
                <w:color w:val="FF0000"/>
                <w:position w:val="-2"/>
                <w:sz w:val="21"/>
                <w:szCs w:val="21"/>
                <w:lang w:val="en-US" w:eastAsia="zh-CN"/>
              </w:rPr>
              <w:t>0.012</w:t>
            </w:r>
          </w:p>
        </w:tc>
        <w:tc>
          <w:tcPr>
            <w:tcW w:w="1134"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snapToGrid w:val="0"/>
                <w:color w:val="FF0000"/>
                <w:position w:val="-2"/>
                <w:sz w:val="21"/>
                <w:szCs w:val="21"/>
                <w:lang w:val="en-US" w:eastAsia="zh-CN"/>
              </w:rPr>
            </w:pPr>
            <w:r>
              <w:rPr>
                <w:rFonts w:hint="eastAsia"/>
                <w:snapToGrid w:val="0"/>
                <w:color w:val="FF0000"/>
                <w:position w:val="-2"/>
                <w:sz w:val="21"/>
                <w:szCs w:val="21"/>
                <w:lang w:val="en-US" w:eastAsia="zh-CN"/>
              </w:rPr>
              <w:t>0.001</w:t>
            </w:r>
          </w:p>
        </w:tc>
        <w:tc>
          <w:tcPr>
            <w:tcW w:w="1734" w:type="dxa"/>
            <w:vMerge w:val="continue"/>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FF0000"/>
                <w:sz w:val="21"/>
                <w:szCs w:val="21"/>
              </w:rPr>
            </w:pPr>
          </w:p>
        </w:tc>
        <w:tc>
          <w:tcPr>
            <w:tcW w:w="1376" w:type="dxa"/>
            <w:noWrap w:val="0"/>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FF0000"/>
                <w:sz w:val="21"/>
                <w:szCs w:val="21"/>
              </w:rPr>
            </w:pPr>
            <w:r>
              <w:rPr>
                <w:rFonts w:hint="eastAsia"/>
                <w:color w:val="FF0000"/>
                <w:sz w:val="21"/>
                <w:szCs w:val="21"/>
              </w:rPr>
              <w:t>0.06</w:t>
            </w:r>
          </w:p>
        </w:tc>
      </w:tr>
    </w:tbl>
    <w:p>
      <w:pPr>
        <w:pStyle w:val="139"/>
        <w:spacing w:line="476" w:lineRule="exact"/>
        <w:ind w:firstLine="482"/>
        <w:rPr>
          <w:rFonts w:ascii="Times New Roman" w:eastAsia="宋体"/>
          <w:b/>
          <w:color w:val="auto"/>
          <w:sz w:val="24"/>
        </w:rPr>
      </w:pPr>
      <w:r>
        <w:rPr>
          <w:rFonts w:hint="eastAsia" w:ascii="宋体" w:hAnsi="宋体" w:eastAsia="宋体"/>
          <w:b/>
          <w:color w:val="auto"/>
          <w:sz w:val="24"/>
          <w:lang w:eastAsia="zh-CN"/>
        </w:rPr>
        <w:t>（</w:t>
      </w:r>
      <w:r>
        <w:rPr>
          <w:rFonts w:hint="eastAsia" w:ascii="宋体" w:hAnsi="宋体" w:eastAsia="宋体"/>
          <w:b/>
          <w:color w:val="auto"/>
          <w:sz w:val="24"/>
          <w:lang w:val="en-US" w:eastAsia="zh-CN"/>
        </w:rPr>
        <w:t>3</w:t>
      </w:r>
      <w:r>
        <w:rPr>
          <w:rFonts w:hint="eastAsia" w:ascii="宋体" w:hAnsi="宋体" w:eastAsia="宋体"/>
          <w:b/>
          <w:color w:val="auto"/>
          <w:sz w:val="24"/>
          <w:lang w:eastAsia="zh-CN"/>
        </w:rPr>
        <w:t>）</w:t>
      </w:r>
      <w:r>
        <w:rPr>
          <w:rFonts w:hint="eastAsia" w:ascii="Times New Roman" w:eastAsia="宋体"/>
          <w:b/>
          <w:color w:val="auto"/>
          <w:sz w:val="24"/>
          <w:lang w:val="en-US" w:eastAsia="zh-CN"/>
        </w:rPr>
        <w:t>氧化塘</w:t>
      </w:r>
      <w:r>
        <w:rPr>
          <w:rFonts w:ascii="Times New Roman" w:eastAsia="宋体"/>
          <w:b/>
          <w:color w:val="auto"/>
          <w:sz w:val="24"/>
        </w:rPr>
        <w:t>恶臭源强分析（G</w:t>
      </w:r>
      <w:r>
        <w:rPr>
          <w:rFonts w:hint="eastAsia" w:ascii="Times New Roman" w:eastAsia="宋体"/>
          <w:b/>
          <w:color w:val="auto"/>
          <w:sz w:val="24"/>
          <w:lang w:val="en-US" w:eastAsia="zh-CN"/>
        </w:rPr>
        <w:t>3</w:t>
      </w:r>
      <w:r>
        <w:rPr>
          <w:rFonts w:ascii="Times New Roman" w:eastAsia="宋体"/>
          <w:b/>
          <w:color w:val="auto"/>
          <w:sz w:val="24"/>
        </w:rPr>
        <w:t>）</w:t>
      </w:r>
    </w:p>
    <w:p>
      <w:pPr>
        <w:adjustRightInd w:val="0"/>
        <w:snapToGrid w:val="0"/>
        <w:spacing w:line="476" w:lineRule="exact"/>
        <w:ind w:firstLine="480" w:firstLineChars="200"/>
        <w:rPr>
          <w:rFonts w:hint="eastAsia" w:hAnsi="Arial"/>
          <w:color w:val="auto"/>
          <w:sz w:val="24"/>
        </w:rPr>
      </w:pPr>
      <w:r>
        <w:rPr>
          <w:rFonts w:hint="eastAsia" w:ascii="Times New Roman" w:hAnsi="Times New Roman"/>
          <w:color w:val="auto"/>
          <w:kern w:val="2"/>
          <w:sz w:val="24"/>
          <w:szCs w:val="24"/>
          <w:lang w:val="en-US" w:eastAsia="zh-CN" w:bidi="ar-SA"/>
        </w:rPr>
        <w:t>氧化塘排放的恶臭气体主要包括NH</w:t>
      </w:r>
      <w:r>
        <w:rPr>
          <w:rFonts w:hint="eastAsia" w:ascii="Times New Roman" w:hAnsi="Times New Roman"/>
          <w:color w:val="auto"/>
          <w:kern w:val="2"/>
          <w:sz w:val="24"/>
          <w:szCs w:val="24"/>
          <w:vertAlign w:val="subscript"/>
          <w:lang w:val="en-US" w:eastAsia="zh-CN" w:bidi="ar-SA"/>
        </w:rPr>
        <w:t>3</w:t>
      </w:r>
      <w:r>
        <w:rPr>
          <w:rFonts w:hint="eastAsia" w:ascii="Times New Roman" w:hAnsi="Times New Roman"/>
          <w:color w:val="auto"/>
          <w:kern w:val="2"/>
          <w:sz w:val="24"/>
          <w:szCs w:val="24"/>
          <w:lang w:val="en-US" w:eastAsia="zh-CN" w:bidi="ar-SA"/>
        </w:rPr>
        <w:t>、H</w:t>
      </w:r>
      <w:r>
        <w:rPr>
          <w:rFonts w:hint="eastAsia" w:ascii="Times New Roman" w:hAnsi="Times New Roman"/>
          <w:color w:val="auto"/>
          <w:kern w:val="2"/>
          <w:sz w:val="24"/>
          <w:szCs w:val="24"/>
          <w:vertAlign w:val="subscript"/>
          <w:lang w:val="en-US" w:eastAsia="zh-CN" w:bidi="ar-SA"/>
        </w:rPr>
        <w:t>2</w:t>
      </w:r>
      <w:r>
        <w:rPr>
          <w:rFonts w:hint="eastAsia" w:ascii="Times New Roman" w:hAnsi="Times New Roman"/>
          <w:color w:val="auto"/>
          <w:kern w:val="2"/>
          <w:sz w:val="24"/>
          <w:szCs w:val="24"/>
          <w:lang w:val="en-US" w:eastAsia="zh-CN" w:bidi="ar-SA"/>
        </w:rPr>
        <w:t>S等。项目氧化塘排放的恶臭与水流速度、温度、含污染物的浓度及水处理设施的几何尺寸、密闭方式、当时的气温、日照、气压等多种因素有关。本项目恶臭物质中主要含有NH</w:t>
      </w:r>
      <w:r>
        <w:rPr>
          <w:rFonts w:hint="eastAsia" w:ascii="Times New Roman" w:hAnsi="Times New Roman"/>
          <w:color w:val="auto"/>
          <w:kern w:val="2"/>
          <w:sz w:val="24"/>
          <w:szCs w:val="24"/>
          <w:vertAlign w:val="subscript"/>
          <w:lang w:val="en-US" w:eastAsia="zh-CN" w:bidi="ar-SA"/>
        </w:rPr>
        <w:t>3</w:t>
      </w:r>
      <w:r>
        <w:rPr>
          <w:rFonts w:hint="eastAsia" w:ascii="Times New Roman" w:hAnsi="Times New Roman"/>
          <w:color w:val="auto"/>
          <w:kern w:val="2"/>
          <w:sz w:val="24"/>
          <w:szCs w:val="24"/>
          <w:lang w:val="en-US" w:eastAsia="zh-CN" w:bidi="ar-SA"/>
        </w:rPr>
        <w:t>、H</w:t>
      </w:r>
      <w:r>
        <w:rPr>
          <w:rFonts w:hint="eastAsia" w:ascii="Times New Roman" w:hAnsi="Times New Roman"/>
          <w:color w:val="auto"/>
          <w:kern w:val="2"/>
          <w:sz w:val="24"/>
          <w:szCs w:val="24"/>
          <w:vertAlign w:val="subscript"/>
          <w:lang w:val="en-US" w:eastAsia="zh-CN" w:bidi="ar-SA"/>
        </w:rPr>
        <w:t>2</w:t>
      </w:r>
      <w:r>
        <w:rPr>
          <w:rFonts w:hint="eastAsia" w:ascii="Times New Roman" w:hAnsi="Times New Roman"/>
          <w:color w:val="auto"/>
          <w:kern w:val="2"/>
          <w:sz w:val="24"/>
          <w:szCs w:val="24"/>
          <w:lang w:val="en-US" w:eastAsia="zh-CN" w:bidi="ar-SA"/>
        </w:rPr>
        <w:t>S等，恶臭在水底大部分转化为氨盐，只有少数通过液面排溢出来。根据美国EPA对城市污水处理厂恶臭污染物产生情况的研究，</w:t>
      </w:r>
      <w:r>
        <w:rPr>
          <w:rFonts w:hint="eastAsia" w:ascii="Times New Roman" w:hAnsi="Times New Roman"/>
          <w:color w:val="FF0000"/>
          <w:kern w:val="2"/>
          <w:sz w:val="24"/>
          <w:szCs w:val="24"/>
          <w:lang w:val="en-US" w:eastAsia="zh-CN" w:bidi="ar-SA"/>
        </w:rPr>
        <w:t>每处理1g的BOD可产生0.0031g的NH</w:t>
      </w:r>
      <w:r>
        <w:rPr>
          <w:rFonts w:hint="eastAsia" w:ascii="Times New Roman" w:hAnsi="Times New Roman"/>
          <w:color w:val="FF0000"/>
          <w:kern w:val="2"/>
          <w:sz w:val="24"/>
          <w:szCs w:val="24"/>
          <w:vertAlign w:val="subscript"/>
          <w:lang w:val="en-US" w:eastAsia="zh-CN" w:bidi="ar-SA"/>
        </w:rPr>
        <w:t>3</w:t>
      </w:r>
      <w:r>
        <w:rPr>
          <w:rFonts w:hint="eastAsia" w:ascii="Times New Roman" w:hAnsi="Times New Roman"/>
          <w:color w:val="FF0000"/>
          <w:kern w:val="2"/>
          <w:sz w:val="24"/>
          <w:szCs w:val="24"/>
          <w:lang w:val="en-US" w:eastAsia="zh-CN" w:bidi="ar-SA"/>
        </w:rPr>
        <w:t>和0.00012g的H</w:t>
      </w:r>
      <w:r>
        <w:rPr>
          <w:rFonts w:hint="eastAsia" w:ascii="Times New Roman" w:hAnsi="Times New Roman"/>
          <w:color w:val="FF0000"/>
          <w:kern w:val="2"/>
          <w:sz w:val="24"/>
          <w:szCs w:val="24"/>
          <w:vertAlign w:val="subscript"/>
          <w:lang w:val="en-US" w:eastAsia="zh-CN" w:bidi="ar-SA"/>
        </w:rPr>
        <w:t>2</w:t>
      </w:r>
      <w:r>
        <w:rPr>
          <w:rFonts w:hint="eastAsia" w:ascii="Times New Roman" w:hAnsi="Times New Roman"/>
          <w:color w:val="FF0000"/>
          <w:kern w:val="2"/>
          <w:sz w:val="24"/>
          <w:szCs w:val="24"/>
          <w:lang w:val="en-US" w:eastAsia="zh-CN" w:bidi="ar-SA"/>
        </w:rPr>
        <w:t>S。</w:t>
      </w:r>
      <w:r>
        <w:rPr>
          <w:rFonts w:hint="eastAsia"/>
          <w:color w:val="FF0000"/>
        </w:rPr>
        <w:t>氧化塘</w:t>
      </w:r>
      <w:r>
        <w:rPr>
          <w:color w:val="FF0000"/>
        </w:rPr>
        <w:t>BOD</w:t>
      </w:r>
      <w:r>
        <w:rPr>
          <w:color w:val="FF0000"/>
          <w:vertAlign w:val="subscript"/>
        </w:rPr>
        <w:t>5</w:t>
      </w:r>
      <w:r>
        <w:rPr>
          <w:rFonts w:hint="eastAsia"/>
          <w:color w:val="FF0000"/>
        </w:rPr>
        <w:t>（降解率30%）</w:t>
      </w:r>
      <w:r>
        <w:rPr>
          <w:rFonts w:hint="eastAsia" w:ascii="Times New Roman" w:hAnsi="Times New Roman"/>
          <w:color w:val="FF0000"/>
          <w:kern w:val="2"/>
          <w:sz w:val="24"/>
          <w:szCs w:val="24"/>
          <w:lang w:val="en-US" w:eastAsia="zh-CN" w:bidi="ar-SA"/>
        </w:rPr>
        <w:t>处理量为</w:t>
      </w:r>
      <w:r>
        <w:rPr>
          <w:rFonts w:hint="eastAsia"/>
          <w:color w:val="FF0000"/>
          <w:kern w:val="2"/>
          <w:sz w:val="24"/>
          <w:szCs w:val="24"/>
          <w:lang w:val="en-US" w:eastAsia="zh-CN" w:bidi="ar-SA"/>
        </w:rPr>
        <w:t>27.4</w:t>
      </w:r>
      <w:r>
        <w:rPr>
          <w:rFonts w:hint="eastAsia" w:ascii="Times New Roman" w:hAnsi="Times New Roman"/>
          <w:color w:val="FF0000"/>
          <w:kern w:val="2"/>
          <w:sz w:val="24"/>
          <w:szCs w:val="24"/>
          <w:lang w:val="en-US" w:eastAsia="zh-CN" w:bidi="ar-SA"/>
        </w:rPr>
        <w:t>t/a，则本项目污水处理站产生的NH</w:t>
      </w:r>
      <w:r>
        <w:rPr>
          <w:rFonts w:hint="eastAsia" w:ascii="Times New Roman" w:hAnsi="Times New Roman"/>
          <w:color w:val="FF0000"/>
          <w:kern w:val="2"/>
          <w:sz w:val="24"/>
          <w:szCs w:val="24"/>
          <w:vertAlign w:val="subscript"/>
          <w:lang w:val="en-US" w:eastAsia="zh-CN" w:bidi="ar-SA"/>
        </w:rPr>
        <w:t>3</w:t>
      </w:r>
      <w:r>
        <w:rPr>
          <w:rFonts w:hint="eastAsia" w:ascii="Times New Roman" w:hAnsi="Times New Roman"/>
          <w:color w:val="FF0000"/>
          <w:kern w:val="2"/>
          <w:sz w:val="24"/>
          <w:szCs w:val="24"/>
          <w:lang w:val="en-US" w:eastAsia="zh-CN" w:bidi="ar-SA"/>
        </w:rPr>
        <w:t>和H</w:t>
      </w:r>
      <w:r>
        <w:rPr>
          <w:rFonts w:hint="eastAsia" w:ascii="Times New Roman" w:hAnsi="Times New Roman"/>
          <w:color w:val="FF0000"/>
          <w:kern w:val="2"/>
          <w:sz w:val="24"/>
          <w:szCs w:val="24"/>
          <w:vertAlign w:val="subscript"/>
          <w:lang w:val="en-US" w:eastAsia="zh-CN" w:bidi="ar-SA"/>
        </w:rPr>
        <w:t>2</w:t>
      </w:r>
      <w:r>
        <w:rPr>
          <w:rFonts w:hint="eastAsia" w:ascii="Times New Roman" w:hAnsi="Times New Roman"/>
          <w:color w:val="FF0000"/>
          <w:kern w:val="2"/>
          <w:sz w:val="24"/>
          <w:szCs w:val="24"/>
          <w:lang w:val="en-US" w:eastAsia="zh-CN" w:bidi="ar-SA"/>
        </w:rPr>
        <w:t>S产生量分别为0.</w:t>
      </w:r>
      <w:r>
        <w:rPr>
          <w:rFonts w:hint="eastAsia"/>
          <w:color w:val="FF0000"/>
          <w:kern w:val="2"/>
          <w:sz w:val="24"/>
          <w:szCs w:val="24"/>
          <w:lang w:val="en-US" w:eastAsia="zh-CN" w:bidi="ar-SA"/>
        </w:rPr>
        <w:t>085</w:t>
      </w:r>
      <w:r>
        <w:rPr>
          <w:rFonts w:hint="eastAsia" w:ascii="Times New Roman" w:hAnsi="Times New Roman"/>
          <w:color w:val="FF0000"/>
          <w:kern w:val="2"/>
          <w:sz w:val="24"/>
          <w:szCs w:val="24"/>
          <w:lang w:val="en-US" w:eastAsia="zh-CN" w:bidi="ar-SA"/>
        </w:rPr>
        <w:t>t/a（</w:t>
      </w:r>
      <w:r>
        <w:rPr>
          <w:rFonts w:hint="eastAsia"/>
          <w:color w:val="FF0000"/>
          <w:kern w:val="2"/>
          <w:sz w:val="24"/>
          <w:szCs w:val="24"/>
          <w:lang w:val="en-US" w:eastAsia="zh-CN" w:bidi="ar-SA"/>
        </w:rPr>
        <w:t>0.010</w:t>
      </w:r>
      <w:r>
        <w:rPr>
          <w:rFonts w:hint="eastAsia" w:ascii="Times New Roman" w:hAnsi="Times New Roman"/>
          <w:color w:val="FF0000"/>
        </w:rPr>
        <w:t>kg/</w:t>
      </w:r>
      <w:r>
        <w:rPr>
          <w:rFonts w:hint="eastAsia"/>
          <w:color w:val="FF0000"/>
          <w:lang w:val="en-US" w:eastAsia="zh-CN"/>
        </w:rPr>
        <w:t>h</w:t>
      </w:r>
      <w:r>
        <w:rPr>
          <w:rFonts w:hint="eastAsia" w:ascii="Times New Roman" w:hAnsi="Times New Roman"/>
          <w:color w:val="FF0000"/>
          <w:kern w:val="2"/>
          <w:sz w:val="24"/>
          <w:szCs w:val="24"/>
          <w:lang w:val="en-US" w:eastAsia="zh-CN" w:bidi="ar-SA"/>
        </w:rPr>
        <w:t>）、0.00</w:t>
      </w:r>
      <w:r>
        <w:rPr>
          <w:rFonts w:hint="eastAsia"/>
          <w:color w:val="FF0000"/>
          <w:kern w:val="2"/>
          <w:sz w:val="24"/>
          <w:szCs w:val="24"/>
          <w:lang w:val="en-US" w:eastAsia="zh-CN" w:bidi="ar-SA"/>
        </w:rPr>
        <w:t>3</w:t>
      </w:r>
      <w:r>
        <w:rPr>
          <w:rFonts w:hint="eastAsia" w:ascii="Times New Roman" w:hAnsi="Times New Roman"/>
          <w:color w:val="FF0000"/>
          <w:kern w:val="2"/>
          <w:sz w:val="24"/>
          <w:szCs w:val="24"/>
          <w:lang w:val="en-US" w:eastAsia="zh-CN" w:bidi="ar-SA"/>
        </w:rPr>
        <w:t>t/a（0.00</w:t>
      </w:r>
      <w:r>
        <w:rPr>
          <w:rFonts w:hint="eastAsia"/>
          <w:color w:val="FF0000"/>
          <w:kern w:val="2"/>
          <w:sz w:val="24"/>
          <w:szCs w:val="24"/>
          <w:lang w:val="en-US" w:eastAsia="zh-CN" w:bidi="ar-SA"/>
        </w:rPr>
        <w:t>03</w:t>
      </w:r>
      <w:r>
        <w:rPr>
          <w:rFonts w:hint="eastAsia" w:ascii="Times New Roman" w:hAnsi="Times New Roman"/>
          <w:color w:val="FF0000"/>
        </w:rPr>
        <w:t>kg/</w:t>
      </w:r>
      <w:r>
        <w:rPr>
          <w:rFonts w:hint="eastAsia"/>
          <w:color w:val="FF0000"/>
          <w:lang w:val="en-US" w:eastAsia="zh-CN"/>
        </w:rPr>
        <w:t>h</w:t>
      </w:r>
      <w:r>
        <w:rPr>
          <w:rFonts w:hint="eastAsia" w:ascii="Times New Roman" w:hAnsi="Times New Roman"/>
          <w:color w:val="FF0000"/>
          <w:kern w:val="2"/>
          <w:sz w:val="24"/>
          <w:szCs w:val="24"/>
          <w:lang w:val="en-US" w:eastAsia="zh-CN" w:bidi="ar-SA"/>
        </w:rPr>
        <w:t>）。</w:t>
      </w:r>
    </w:p>
    <w:p>
      <w:pPr>
        <w:pStyle w:val="6"/>
        <w:rPr>
          <w:rFonts w:hint="default" w:ascii="Times New Roman" w:hAnsi="Times New Roman" w:eastAsia="宋体" w:cs="Times New Roman"/>
          <w:color w:val="auto"/>
        </w:rPr>
      </w:pPr>
      <w:bookmarkStart w:id="219" w:name="_Toc46421100"/>
      <w:bookmarkStart w:id="220" w:name="_Toc15075"/>
      <w:r>
        <w:rPr>
          <w:rFonts w:hint="default" w:ascii="Times New Roman" w:hAnsi="Times New Roman" w:eastAsia="宋体" w:cs="Times New Roman"/>
          <w:color w:val="auto"/>
        </w:rPr>
        <w:t>3.3.2水污染物</w:t>
      </w:r>
      <w:bookmarkEnd w:id="219"/>
      <w:bookmarkEnd w:id="220"/>
    </w:p>
    <w:p>
      <w:pPr>
        <w:keepNext w:val="0"/>
        <w:keepLines w:val="0"/>
        <w:pageBreakBefore w:val="0"/>
        <w:widowControl/>
        <w:suppressLineNumbers w:val="0"/>
        <w:kinsoku/>
        <w:wordWrap/>
        <w:overflowPunct/>
        <w:topLinePunct/>
        <w:autoSpaceDE w:val="0"/>
        <w:autoSpaceDN/>
        <w:bidi w:val="0"/>
        <w:adjustRightInd/>
        <w:snapToGrid/>
        <w:spacing w:line="480" w:lineRule="exact"/>
        <w:jc w:val="left"/>
        <w:textAlignment w:val="auto"/>
        <w:rPr>
          <w:rFonts w:hint="eastAsia" w:ascii="Times New Roman" w:hAnsi="Times New Roman" w:eastAsia="宋体" w:cs="Times New Roman"/>
          <w:color w:val="FF0000"/>
          <w:lang w:eastAsia="zh-CN"/>
        </w:rPr>
      </w:pPr>
      <w:r>
        <w:rPr>
          <w:rFonts w:hint="default" w:ascii="Times New Roman" w:hAnsi="Times New Roman" w:eastAsia="宋体" w:cs="Times New Roman"/>
          <w:color w:val="auto"/>
        </w:rPr>
        <w:t>（1）</w:t>
      </w:r>
      <w:r>
        <w:rPr>
          <w:rFonts w:hint="eastAsia" w:ascii="宋体" w:hAnsi="宋体" w:eastAsia="宋体" w:cs="宋体"/>
          <w:color w:val="auto"/>
          <w:kern w:val="0"/>
          <w:sz w:val="24"/>
          <w:szCs w:val="24"/>
          <w:lang w:val="en-US" w:eastAsia="zh-CN" w:bidi="ar"/>
        </w:rPr>
        <w:t>猪粪尿：猪尿液产生量参考《畜禽养殖污染防治最佳可行技术指南》（试行），该指南中猪的排尿量按</w:t>
      </w:r>
      <w:r>
        <w:rPr>
          <w:rFonts w:hint="default" w:ascii="Times New Roman" w:hAnsi="Times New Roman" w:eastAsia="宋体" w:cs="Times New Roman"/>
          <w:color w:val="auto"/>
          <w:kern w:val="0"/>
          <w:sz w:val="24"/>
          <w:szCs w:val="24"/>
          <w:lang w:val="en-US" w:eastAsia="zh-CN" w:bidi="ar"/>
        </w:rPr>
        <w:t>Yu=0.205+0.438W</w:t>
      </w:r>
      <w:r>
        <w:rPr>
          <w:rFonts w:hint="eastAsia" w:ascii="宋体" w:hAnsi="宋体" w:eastAsia="宋体" w:cs="宋体"/>
          <w:color w:val="auto"/>
          <w:kern w:val="0"/>
          <w:sz w:val="24"/>
          <w:szCs w:val="24"/>
          <w:lang w:val="en-US" w:eastAsia="zh-CN" w:bidi="ar"/>
        </w:rPr>
        <w:t>计算（</w:t>
      </w:r>
      <w:r>
        <w:rPr>
          <w:rFonts w:hint="default" w:ascii="Times New Roman" w:hAnsi="Times New Roman" w:eastAsia="宋体" w:cs="Times New Roman"/>
          <w:color w:val="auto"/>
          <w:kern w:val="0"/>
          <w:sz w:val="24"/>
          <w:szCs w:val="24"/>
          <w:lang w:val="en-US" w:eastAsia="zh-CN" w:bidi="ar"/>
        </w:rPr>
        <w:t>Yu</w:t>
      </w:r>
      <w:r>
        <w:rPr>
          <w:rFonts w:hint="eastAsia" w:ascii="宋体" w:hAnsi="宋体" w:eastAsia="宋体" w:cs="宋体"/>
          <w:color w:val="auto"/>
          <w:kern w:val="0"/>
          <w:sz w:val="24"/>
          <w:szCs w:val="24"/>
          <w:lang w:val="en-US" w:eastAsia="zh-CN" w:bidi="ar"/>
        </w:rPr>
        <w:t xml:space="preserve">：尿排泄量 </w:t>
      </w:r>
      <w:r>
        <w:rPr>
          <w:rFonts w:hint="default" w:ascii="Times New Roman" w:hAnsi="Times New Roman" w:eastAsia="宋体" w:cs="Times New Roman"/>
          <w:color w:val="auto"/>
          <w:kern w:val="0"/>
          <w:sz w:val="24"/>
          <w:szCs w:val="24"/>
          <w:lang w:val="en-US" w:eastAsia="zh-CN" w:bidi="ar"/>
        </w:rPr>
        <w:t>kg</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W</w:t>
      </w:r>
      <w:r>
        <w:rPr>
          <w:rFonts w:hint="eastAsia" w:ascii="宋体" w:hAnsi="宋体" w:eastAsia="宋体" w:cs="宋体"/>
          <w:color w:val="auto"/>
          <w:kern w:val="0"/>
          <w:sz w:val="24"/>
          <w:szCs w:val="24"/>
          <w:lang w:val="en-US" w:eastAsia="zh-CN" w:bidi="ar"/>
        </w:rPr>
        <w:t xml:space="preserve">：饮水量 </w:t>
      </w:r>
      <w:r>
        <w:rPr>
          <w:rFonts w:hint="default" w:ascii="Times New Roman" w:hAnsi="Times New Roman" w:eastAsia="宋体" w:cs="Times New Roman"/>
          <w:color w:val="auto"/>
          <w:kern w:val="0"/>
          <w:sz w:val="24"/>
          <w:szCs w:val="24"/>
          <w:lang w:val="en-US" w:eastAsia="zh-CN" w:bidi="ar"/>
        </w:rPr>
        <w:t>kg</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FF0000"/>
          <w:sz w:val="24"/>
          <w:szCs w:val="24"/>
        </w:rPr>
        <w:t>育肥猪饮水量按照6L/头•日计算</w:t>
      </w:r>
      <w:r>
        <w:rPr>
          <w:rFonts w:hint="eastAsia" w:ascii="宋体" w:hAnsi="宋体" w:eastAsia="宋体" w:cs="宋体"/>
          <w:color w:val="FF0000"/>
          <w:kern w:val="0"/>
          <w:sz w:val="24"/>
          <w:szCs w:val="24"/>
          <w:lang w:val="en-US" w:eastAsia="zh-CN" w:bidi="ar"/>
        </w:rPr>
        <w:t>，故育肥猪的排尿量为</w:t>
      </w:r>
      <w:r>
        <w:rPr>
          <w:rFonts w:hint="eastAsia" w:cs="Times New Roman"/>
          <w:color w:val="FF0000"/>
          <w:kern w:val="0"/>
          <w:sz w:val="24"/>
          <w:szCs w:val="24"/>
          <w:lang w:val="en-US" w:eastAsia="zh-CN" w:bidi="ar"/>
        </w:rPr>
        <w:t>2.833</w:t>
      </w:r>
      <w:r>
        <w:rPr>
          <w:rFonts w:hint="default" w:ascii="Times New Roman" w:hAnsi="Times New Roman" w:eastAsia="宋体" w:cs="Times New Roman"/>
          <w:color w:val="FF0000"/>
          <w:kern w:val="0"/>
          <w:sz w:val="24"/>
          <w:szCs w:val="24"/>
          <w:lang w:val="en-US" w:eastAsia="zh-CN" w:bidi="ar"/>
        </w:rPr>
        <w:t>kg/</w:t>
      </w:r>
      <w:r>
        <w:rPr>
          <w:rFonts w:hint="eastAsia" w:ascii="宋体" w:hAnsi="宋体" w:eastAsia="宋体" w:cs="宋体"/>
          <w:color w:val="FF0000"/>
          <w:kern w:val="0"/>
          <w:sz w:val="24"/>
          <w:szCs w:val="24"/>
          <w:lang w:val="en-US" w:eastAsia="zh-CN" w:bidi="ar"/>
        </w:rPr>
        <w:t>（头</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）。本项目年存栏量为</w:t>
      </w:r>
      <w:r>
        <w:rPr>
          <w:rFonts w:hint="eastAsia" w:ascii="Times New Roman" w:hAnsi="Times New Roman" w:cs="Times New Roman"/>
          <w:color w:val="FF0000"/>
          <w:kern w:val="0"/>
          <w:sz w:val="24"/>
          <w:szCs w:val="24"/>
          <w:lang w:val="en-US" w:eastAsia="zh-CN" w:bidi="ar"/>
        </w:rPr>
        <w:t>88</w:t>
      </w:r>
      <w:r>
        <w:rPr>
          <w:rFonts w:hint="default" w:ascii="Times New Roman" w:hAnsi="Times New Roman" w:eastAsia="宋体" w:cs="Times New Roman"/>
          <w:color w:val="FF0000"/>
          <w:kern w:val="0"/>
          <w:sz w:val="24"/>
          <w:szCs w:val="24"/>
          <w:lang w:val="en-US" w:eastAsia="zh-CN" w:bidi="ar"/>
        </w:rPr>
        <w:t>00</w:t>
      </w:r>
      <w:r>
        <w:rPr>
          <w:rFonts w:hint="eastAsia" w:ascii="宋体" w:hAnsi="宋体" w:eastAsia="宋体" w:cs="宋体"/>
          <w:color w:val="FF0000"/>
          <w:kern w:val="0"/>
          <w:sz w:val="24"/>
          <w:szCs w:val="24"/>
          <w:lang w:val="en-US" w:eastAsia="zh-CN" w:bidi="ar"/>
        </w:rPr>
        <w:t>头育肥猪，故项目育肥猪尿产生量为</w:t>
      </w:r>
      <w:r>
        <w:rPr>
          <w:rFonts w:hint="eastAsia" w:ascii="宋体" w:hAnsi="宋体" w:cs="宋体"/>
          <w:color w:val="FF0000"/>
          <w:kern w:val="0"/>
          <w:sz w:val="24"/>
          <w:szCs w:val="24"/>
          <w:lang w:val="en-US" w:eastAsia="zh-CN" w:bidi="ar"/>
        </w:rPr>
        <w:t>24.93</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kern w:val="0"/>
          <w:sz w:val="24"/>
          <w:szCs w:val="24"/>
          <w:lang w:val="en-US" w:eastAsia="zh-CN" w:bidi="ar"/>
        </w:rPr>
        <w:t>9099.45</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eastAsia" w:ascii="Times New Roman" w:hAnsi="Times New Roman" w:cs="Times New Roman"/>
          <w:color w:val="FF0000"/>
          <w:kern w:val="0"/>
          <w:sz w:val="24"/>
          <w:szCs w:val="24"/>
          <w:lang w:val="en-US" w:eastAsia="zh-CN" w:bidi="ar"/>
        </w:rPr>
        <w:t>/a</w:t>
      </w:r>
      <w:r>
        <w:rPr>
          <w:rFonts w:hint="eastAsia" w:ascii="宋体" w:hAnsi="宋体" w:eastAsia="宋体" w:cs="宋体"/>
          <w:color w:val="FF0000"/>
          <w:kern w:val="0"/>
          <w:sz w:val="24"/>
          <w:szCs w:val="24"/>
          <w:lang w:val="en-US" w:eastAsia="zh-CN" w:bidi="ar"/>
        </w:rPr>
        <w:t>）</w:t>
      </w:r>
      <w:r>
        <w:rPr>
          <w:rFonts w:hint="eastAsia" w:ascii="宋体" w:hAnsi="宋体" w:cs="宋体"/>
          <w:color w:val="FF0000"/>
          <w:kern w:val="0"/>
          <w:sz w:val="24"/>
          <w:szCs w:val="24"/>
          <w:lang w:val="en-US" w:eastAsia="zh-CN" w:bidi="ar"/>
        </w:rPr>
        <w:t>，</w:t>
      </w:r>
      <w:r>
        <w:rPr>
          <w:rFonts w:hint="default" w:ascii="Times New Roman" w:hAnsi="Times New Roman" w:eastAsia="宋体" w:cs="Times New Roman"/>
          <w:color w:val="FF0000"/>
        </w:rPr>
        <w:t>排入氧化塘内发酵6个月，处理后的液肥用于还田</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ascii="Times New Roman" w:hAnsi="Times New Roman" w:eastAsia="宋体" w:cs="Times New Roman"/>
          <w:color w:val="FF0000"/>
          <w:lang w:eastAsia="zh-CN"/>
        </w:rPr>
      </w:pPr>
      <w:r>
        <w:rPr>
          <w:rFonts w:hint="default" w:ascii="Times New Roman" w:hAnsi="Times New Roman" w:eastAsia="宋体" w:cs="Times New Roman"/>
          <w:color w:val="FF0000"/>
        </w:rPr>
        <w:t>（</w:t>
      </w:r>
      <w:r>
        <w:rPr>
          <w:rFonts w:hint="eastAsia" w:cs="Times New Roman"/>
          <w:color w:val="FF0000"/>
          <w:lang w:val="en-US" w:eastAsia="zh-CN"/>
        </w:rPr>
        <w:t>2</w:t>
      </w:r>
      <w:r>
        <w:rPr>
          <w:rFonts w:hint="default" w:ascii="Times New Roman" w:hAnsi="Times New Roman" w:eastAsia="宋体" w:cs="Times New Roman"/>
          <w:color w:val="FF0000"/>
        </w:rPr>
        <w:t>）</w:t>
      </w:r>
      <w:r>
        <w:rPr>
          <w:rFonts w:hint="eastAsia" w:cs="Times New Roman"/>
          <w:color w:val="FF0000"/>
          <w:sz w:val="24"/>
          <w:szCs w:val="24"/>
          <w:lang w:eastAsia="zh-CN"/>
        </w:rPr>
        <w:t>猪舍降温</w:t>
      </w:r>
      <w:r>
        <w:rPr>
          <w:rFonts w:hint="eastAsia" w:cs="Times New Roman"/>
          <w:color w:val="FF0000"/>
          <w:sz w:val="24"/>
          <w:szCs w:val="24"/>
          <w:lang w:val="en-US" w:eastAsia="zh-CN"/>
        </w:rPr>
        <w:t>废</w:t>
      </w:r>
      <w:r>
        <w:rPr>
          <w:rFonts w:hint="eastAsia" w:cs="Times New Roman"/>
          <w:color w:val="FF0000"/>
          <w:sz w:val="24"/>
          <w:szCs w:val="24"/>
          <w:lang w:eastAsia="zh-CN"/>
        </w:rPr>
        <w:t>水：</w:t>
      </w:r>
      <w:r>
        <w:rPr>
          <w:rFonts w:hint="default" w:ascii="Times New Roman" w:hAnsi="Times New Roman" w:eastAsia="宋体" w:cs="Times New Roman"/>
          <w:color w:val="FF0000"/>
        </w:rPr>
        <w:t>降温水帘系统用水循环使用，无废水排放</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cs="Times New Roman"/>
          <w:color w:val="FF0000"/>
          <w:lang w:eastAsia="zh-CN"/>
        </w:rPr>
      </w:pPr>
      <w:r>
        <w:rPr>
          <w:rFonts w:hint="eastAsia" w:cs="Times New Roman"/>
          <w:color w:val="FF0000"/>
          <w:lang w:eastAsia="zh-CN"/>
        </w:rPr>
        <w:t>（</w:t>
      </w:r>
      <w:r>
        <w:rPr>
          <w:rFonts w:hint="eastAsia" w:cs="Times New Roman"/>
          <w:color w:val="FF0000"/>
          <w:lang w:val="en-US" w:eastAsia="zh-CN"/>
        </w:rPr>
        <w:t>3</w:t>
      </w:r>
      <w:r>
        <w:rPr>
          <w:rFonts w:hint="eastAsia" w:cs="Times New Roman"/>
          <w:color w:val="FF0000"/>
          <w:lang w:eastAsia="zh-CN"/>
        </w:rPr>
        <w:t>）猪舍粪污管道冲洗废水：</w:t>
      </w:r>
      <w:r>
        <w:rPr>
          <w:rFonts w:hint="eastAsia" w:cs="Times New Roman"/>
          <w:color w:val="FF0000"/>
          <w:lang w:val="en-US" w:eastAsia="zh-CN"/>
        </w:rPr>
        <w:t>8座</w:t>
      </w:r>
      <w:r>
        <w:rPr>
          <w:rFonts w:hint="eastAsia" w:cs="Times New Roman"/>
          <w:color w:val="FF0000"/>
          <w:lang w:eastAsia="zh-CN"/>
        </w:rPr>
        <w:t>猪舍粪污管道冲洗用水量为</w:t>
      </w:r>
      <w:r>
        <w:rPr>
          <w:rFonts w:hint="eastAsia" w:cs="Times New Roman"/>
          <w:color w:val="FF0000"/>
          <w:lang w:val="en-US" w:eastAsia="zh-CN"/>
        </w:rPr>
        <w:t>16</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5840m</w:t>
      </w:r>
      <w:r>
        <w:rPr>
          <w:rFonts w:hint="eastAsia" w:cs="Times New Roman"/>
          <w:color w:val="FF0000"/>
          <w:vertAlign w:val="superscript"/>
          <w:lang w:val="en-US" w:eastAsia="zh-CN"/>
        </w:rPr>
        <w:t>3</w:t>
      </w:r>
      <w:r>
        <w:rPr>
          <w:rFonts w:hint="eastAsia" w:cs="Times New Roman"/>
          <w:color w:val="FF0000"/>
          <w:lang w:val="en-US" w:eastAsia="zh-CN"/>
        </w:rPr>
        <w:t>/a</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w:t>
      </w:r>
      <w:r>
        <w:rPr>
          <w:rFonts w:hint="default" w:ascii="Times New Roman" w:hAnsi="Times New Roman" w:eastAsia="宋体" w:cs="Times New Roman"/>
          <w:color w:val="FF0000"/>
        </w:rPr>
        <w:t>冲洗过程中约有</w:t>
      </w:r>
      <w:r>
        <w:rPr>
          <w:rFonts w:hint="eastAsia" w:cs="Times New Roman"/>
          <w:color w:val="FF0000"/>
          <w:lang w:val="en-US" w:eastAsia="zh-CN"/>
        </w:rPr>
        <w:t>1</w:t>
      </w:r>
      <w:r>
        <w:rPr>
          <w:rFonts w:hint="default" w:ascii="Times New Roman" w:hAnsi="Times New Roman" w:eastAsia="宋体" w:cs="Times New Roman"/>
          <w:color w:val="FF0000"/>
        </w:rPr>
        <w:t>0%蒸发，剩余</w:t>
      </w:r>
      <w:r>
        <w:rPr>
          <w:rFonts w:hint="eastAsia" w:cs="Times New Roman"/>
          <w:color w:val="FF0000"/>
          <w:lang w:val="en-US" w:eastAsia="zh-CN"/>
        </w:rPr>
        <w:t>9</w:t>
      </w:r>
      <w:r>
        <w:rPr>
          <w:rFonts w:hint="default" w:ascii="Times New Roman" w:hAnsi="Times New Roman" w:eastAsia="宋体" w:cs="Times New Roman"/>
          <w:color w:val="FF0000"/>
        </w:rPr>
        <w:t>0%冲洗废水</w:t>
      </w:r>
      <w:r>
        <w:rPr>
          <w:rFonts w:hint="eastAsia" w:cs="Times New Roman"/>
          <w:color w:val="FF0000"/>
          <w:lang w:eastAsia="zh-CN"/>
        </w:rPr>
        <w:t>排</w:t>
      </w:r>
      <w:r>
        <w:rPr>
          <w:rFonts w:hint="default" w:ascii="Times New Roman" w:hAnsi="Times New Roman" w:eastAsia="宋体" w:cs="Times New Roman"/>
          <w:color w:val="FF0000"/>
        </w:rPr>
        <w:t>到化粪池内，废水产生量为</w:t>
      </w:r>
      <w:r>
        <w:rPr>
          <w:rFonts w:hint="eastAsia" w:cs="Times New Roman"/>
          <w:color w:val="FF0000"/>
          <w:lang w:val="en-US" w:eastAsia="zh-CN"/>
        </w:rPr>
        <w:t>14.4</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5256m</w:t>
      </w:r>
      <w:r>
        <w:rPr>
          <w:rFonts w:hint="eastAsia" w:cs="Times New Roman"/>
          <w:color w:val="FF0000"/>
          <w:vertAlign w:val="superscript"/>
          <w:lang w:val="en-US" w:eastAsia="zh-CN"/>
        </w:rPr>
        <w:t>3</w:t>
      </w:r>
      <w:r>
        <w:rPr>
          <w:rFonts w:hint="eastAsia" w:cs="Times New Roman"/>
          <w:color w:val="FF0000"/>
          <w:lang w:val="en-US" w:eastAsia="zh-CN"/>
        </w:rPr>
        <w:t>/a</w:t>
      </w:r>
      <w:r>
        <w:rPr>
          <w:rFonts w:hint="eastAsia" w:ascii="宋体" w:hAnsi="宋体" w:eastAsia="宋体" w:cs="宋体"/>
          <w:color w:val="FF0000"/>
          <w:kern w:val="0"/>
          <w:sz w:val="24"/>
          <w:szCs w:val="24"/>
          <w:lang w:val="en-US" w:eastAsia="zh-CN" w:bidi="ar"/>
        </w:rPr>
        <w:t>）</w:t>
      </w:r>
      <w:r>
        <w:rPr>
          <w:rFonts w:hint="eastAsia" w:cs="Times New Roman"/>
          <w:color w:val="FF0000"/>
          <w:lang w:eastAsia="zh-CN"/>
        </w:rPr>
        <w:t>，</w:t>
      </w:r>
      <w:r>
        <w:rPr>
          <w:rFonts w:hint="default" w:ascii="Times New Roman" w:hAnsi="Times New Roman" w:eastAsia="宋体" w:cs="Times New Roman"/>
          <w:color w:val="FF0000"/>
        </w:rPr>
        <w:t>排入氧化塘内发酵6个月，处理后的液肥用于还田</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FF0000"/>
        </w:rPr>
      </w:pPr>
      <w:r>
        <w:rPr>
          <w:rFonts w:hint="eastAsia" w:cs="Times New Roman"/>
          <w:color w:val="FF0000"/>
          <w:lang w:eastAsia="zh-CN"/>
        </w:rPr>
        <w:t>（</w:t>
      </w:r>
      <w:r>
        <w:rPr>
          <w:rFonts w:hint="eastAsia" w:cs="Times New Roman"/>
          <w:color w:val="FF0000"/>
          <w:lang w:val="en-US" w:eastAsia="zh-CN"/>
        </w:rPr>
        <w:t>4</w:t>
      </w:r>
      <w:r>
        <w:rPr>
          <w:rFonts w:hint="eastAsia" w:cs="Times New Roman"/>
          <w:color w:val="FF0000"/>
          <w:lang w:eastAsia="zh-CN"/>
        </w:rPr>
        <w:t>）</w:t>
      </w:r>
      <w:r>
        <w:rPr>
          <w:rFonts w:hint="default" w:ascii="Times New Roman" w:hAnsi="Times New Roman" w:eastAsia="宋体" w:cs="Times New Roman"/>
          <w:color w:val="FF0000"/>
        </w:rPr>
        <w:t>洗消中心洗车废水、消毒废水</w:t>
      </w:r>
      <w:r>
        <w:rPr>
          <w:rFonts w:hint="eastAsia" w:cs="Times New Roman"/>
          <w:color w:val="FF0000"/>
          <w:lang w:eastAsia="zh-CN"/>
        </w:rPr>
        <w:t>：洗消中心洗车废水、消毒废水经沉淀池处理后，上清液循环使用，不外排</w:t>
      </w:r>
      <w:r>
        <w:rPr>
          <w:rFonts w:hint="default" w:ascii="Times New Roman" w:hAnsi="Times New Roman" w:eastAsia="宋体" w:cs="Times New Roman"/>
          <w:color w:val="FF0000"/>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ascii="Times New Roman" w:hAnsi="Times New Roman" w:eastAsia="宋体" w:cs="Times New Roman"/>
          <w:color w:val="FF0000"/>
          <w:lang w:eastAsia="zh-CN"/>
        </w:rPr>
      </w:pPr>
      <w:r>
        <w:rPr>
          <w:rFonts w:hint="eastAsia" w:cs="Times New Roman"/>
          <w:color w:val="FF0000"/>
          <w:lang w:eastAsia="zh-CN"/>
        </w:rPr>
        <w:t>（</w:t>
      </w:r>
      <w:r>
        <w:rPr>
          <w:rFonts w:hint="eastAsia" w:cs="Times New Roman"/>
          <w:color w:val="FF0000"/>
          <w:lang w:val="en-US" w:eastAsia="zh-CN"/>
        </w:rPr>
        <w:t>5</w:t>
      </w:r>
      <w:r>
        <w:rPr>
          <w:rFonts w:hint="eastAsia" w:cs="Times New Roman"/>
          <w:color w:val="FF0000"/>
          <w:lang w:eastAsia="zh-CN"/>
        </w:rPr>
        <w:t>）</w:t>
      </w:r>
      <w:r>
        <w:rPr>
          <w:rFonts w:hint="default" w:ascii="Times New Roman" w:hAnsi="Times New Roman" w:eastAsia="宋体" w:cs="Times New Roman"/>
          <w:color w:val="FF0000"/>
        </w:rPr>
        <w:t>生活污水</w:t>
      </w:r>
      <w:r>
        <w:rPr>
          <w:rFonts w:hint="eastAsia" w:cs="Times New Roman"/>
          <w:color w:val="FF0000"/>
          <w:lang w:eastAsia="zh-CN"/>
        </w:rPr>
        <w:t>：</w:t>
      </w:r>
      <w:r>
        <w:rPr>
          <w:rFonts w:hint="eastAsia" w:cs="Times New Roman"/>
          <w:color w:val="FF0000"/>
          <w:lang w:val="en-US" w:eastAsia="zh-CN"/>
        </w:rPr>
        <w:t>施工生活污水</w:t>
      </w:r>
      <w:r>
        <w:rPr>
          <w:rFonts w:hint="default" w:ascii="Times New Roman" w:hAnsi="Times New Roman" w:eastAsia="宋体" w:cs="Times New Roman"/>
          <w:color w:val="FF0000"/>
        </w:rPr>
        <w:t>排放按用水量的80%计，</w:t>
      </w:r>
      <w:r>
        <w:rPr>
          <w:rFonts w:hint="eastAsia" w:cs="Times New Roman"/>
          <w:color w:val="FF0000"/>
          <w:lang w:val="en-US" w:eastAsia="zh-CN"/>
        </w:rPr>
        <w:t>则生活污水产生</w:t>
      </w:r>
      <w:r>
        <w:rPr>
          <w:rFonts w:hint="default" w:ascii="Times New Roman" w:hAnsi="Times New Roman" w:eastAsia="宋体" w:cs="Times New Roman"/>
          <w:color w:val="FF0000"/>
        </w:rPr>
        <w:t>量</w:t>
      </w:r>
      <w:r>
        <w:rPr>
          <w:rFonts w:hint="eastAsia" w:cs="Times New Roman"/>
          <w:color w:val="FF0000"/>
          <w:lang w:val="en-US" w:eastAsia="zh-CN"/>
        </w:rPr>
        <w:t>2.4</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/d</w:t>
      </w:r>
      <w:r>
        <w:rPr>
          <w:rFonts w:hint="eastAsia" w:cs="Times New Roman"/>
          <w:color w:val="FF0000"/>
          <w:lang w:eastAsia="zh-CN"/>
        </w:rPr>
        <w:t>（</w:t>
      </w:r>
      <w:r>
        <w:rPr>
          <w:rFonts w:hint="eastAsia" w:cs="Times New Roman"/>
          <w:color w:val="FF0000"/>
          <w:lang w:val="en-US" w:eastAsia="zh-CN"/>
        </w:rPr>
        <w:t>876</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/a</w:t>
      </w:r>
      <w:r>
        <w:rPr>
          <w:rFonts w:hint="eastAsia" w:cs="Times New Roman"/>
          <w:color w:val="FF0000"/>
          <w:lang w:eastAsia="zh-CN"/>
        </w:rPr>
        <w:t>）</w:t>
      </w:r>
      <w:r>
        <w:rPr>
          <w:rFonts w:hint="default" w:ascii="Times New Roman" w:hAnsi="Times New Roman" w:eastAsia="宋体" w:cs="Times New Roman"/>
          <w:color w:val="FF0000"/>
        </w:rPr>
        <w:t>。排入化粪池，经固液分离器分离后，与猪尿排入氧化塘内发酵6个月，处理后的液肥用于还田。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FF0000"/>
        </w:rPr>
        <w:t>（</w:t>
      </w:r>
      <w:r>
        <w:rPr>
          <w:rFonts w:hint="eastAsia" w:cs="Times New Roman"/>
          <w:color w:val="FF0000"/>
          <w:lang w:val="en-US" w:eastAsia="zh-CN"/>
        </w:rPr>
        <w:t>6</w:t>
      </w:r>
      <w:r>
        <w:rPr>
          <w:rFonts w:hint="default" w:ascii="Times New Roman" w:hAnsi="Times New Roman" w:eastAsia="宋体" w:cs="Times New Roman"/>
          <w:color w:val="FF0000"/>
        </w:rPr>
        <w:t>）锅炉排水</w:t>
      </w:r>
      <w:r>
        <w:rPr>
          <w:rFonts w:hint="eastAsia" w:cs="Times New Roman"/>
          <w:color w:val="FF0000"/>
          <w:lang w:eastAsia="zh-CN"/>
        </w:rPr>
        <w:t>：</w:t>
      </w:r>
      <w:r>
        <w:rPr>
          <w:rFonts w:hint="default" w:ascii="Times New Roman" w:hAnsi="Times New Roman" w:eastAsia="宋体" w:cs="Times New Roman"/>
          <w:color w:val="FF0000"/>
          <w:szCs w:val="21"/>
        </w:rPr>
        <w:t>锅炉排污水</w:t>
      </w:r>
      <w:r>
        <w:rPr>
          <w:rFonts w:hint="eastAsia" w:cs="Times New Roman"/>
          <w:color w:val="FF0000"/>
          <w:lang w:val="en-US" w:eastAsia="zh-CN"/>
        </w:rPr>
        <w:t>量</w:t>
      </w:r>
      <w:r>
        <w:rPr>
          <w:rFonts w:hint="default" w:ascii="Times New Roman" w:hAnsi="Times New Roman" w:eastAsia="宋体" w:cs="Times New Roman"/>
          <w:color w:val="FF0000"/>
          <w:szCs w:val="21"/>
        </w:rPr>
        <w:t>2.0m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/d，软化系统排污水0.8m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/d，合计</w:t>
      </w:r>
      <w:r>
        <w:rPr>
          <w:rFonts w:hint="eastAsia" w:cs="Times New Roman"/>
          <w:color w:val="FF0000"/>
          <w:szCs w:val="21"/>
          <w:lang w:val="en-US" w:eastAsia="zh-CN"/>
        </w:rPr>
        <w:t>2.8</w:t>
      </w:r>
      <w:r>
        <w:rPr>
          <w:rFonts w:hint="default" w:ascii="Times New Roman" w:hAnsi="Times New Roman" w:eastAsia="宋体" w:cs="Times New Roman"/>
          <w:color w:val="FF0000"/>
          <w:szCs w:val="21"/>
        </w:rPr>
        <w:t>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w:t>
      </w:r>
      <w:r>
        <w:rPr>
          <w:rFonts w:hint="eastAsia" w:cs="Times New Roman"/>
          <w:color w:val="FF0000"/>
          <w:szCs w:val="21"/>
          <w:lang w:eastAsia="zh-CN"/>
        </w:rPr>
        <w:t>，用于</w:t>
      </w:r>
      <w:r>
        <w:rPr>
          <w:rFonts w:hint="eastAsia" w:cs="Times New Roman"/>
          <w:color w:val="FF0000"/>
          <w:szCs w:val="21"/>
          <w:lang w:val="en-US" w:eastAsia="zh-CN"/>
        </w:rPr>
        <w:t>厂区</w:t>
      </w:r>
      <w:r>
        <w:rPr>
          <w:rFonts w:hint="eastAsia" w:cs="Times New Roman"/>
          <w:color w:val="FF0000"/>
          <w:szCs w:val="21"/>
          <w:lang w:eastAsia="zh-CN"/>
        </w:rPr>
        <w:t>道路抑尘</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根据《畜禽养殖业污染治理工程技术规范》（HJ497-2009）和《畜禽养殖污染防治最佳可行技术指南（试行）》（2011年5月），畜禽养殖废水中主要污染物浓度见下表。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表3.3-</w:t>
      </w:r>
      <w:r>
        <w:rPr>
          <w:rFonts w:hint="eastAsia" w:cs="Times New Roman"/>
          <w:color w:val="auto"/>
          <w:lang w:val="en-US" w:eastAsia="zh-CN"/>
        </w:rPr>
        <w:t xml:space="preserve">4 </w:t>
      </w:r>
      <w:r>
        <w:rPr>
          <w:rFonts w:hint="default" w:ascii="Times New Roman" w:hAnsi="Times New Roman" w:eastAsia="宋体" w:cs="Times New Roman"/>
          <w:color w:val="auto"/>
        </w:rPr>
        <w:t xml:space="preserve">   污染物产生浓度统计表（mg/L）</w:t>
      </w:r>
    </w:p>
    <w:tbl>
      <w:tblPr>
        <w:tblStyle w:val="34"/>
        <w:tblW w:w="495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958"/>
        <w:gridCol w:w="1099"/>
        <w:gridCol w:w="958"/>
        <w:gridCol w:w="858"/>
        <w:gridCol w:w="858"/>
        <w:gridCol w:w="1042"/>
        <w:gridCol w:w="18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9"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w:t>
            </w:r>
          </w:p>
        </w:tc>
        <w:tc>
          <w:tcPr>
            <w:tcW w:w="537"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COD</w:t>
            </w:r>
          </w:p>
        </w:tc>
        <w:tc>
          <w:tcPr>
            <w:tcW w:w="616"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BOD</w:t>
            </w:r>
            <w:r>
              <w:rPr>
                <w:rFonts w:hint="default" w:ascii="Times New Roman" w:hAnsi="Times New Roman" w:eastAsia="宋体" w:cs="Times New Roman"/>
                <w:color w:val="auto"/>
                <w:vertAlign w:val="subscript"/>
              </w:rPr>
              <w:t>5</w:t>
            </w:r>
          </w:p>
        </w:tc>
        <w:tc>
          <w:tcPr>
            <w:tcW w:w="537"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SS</w:t>
            </w:r>
          </w:p>
        </w:tc>
        <w:tc>
          <w:tcPr>
            <w:tcW w:w="4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氨氮</w:t>
            </w:r>
          </w:p>
        </w:tc>
        <w:tc>
          <w:tcPr>
            <w:tcW w:w="4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总氮</w:t>
            </w:r>
          </w:p>
        </w:tc>
        <w:tc>
          <w:tcPr>
            <w:tcW w:w="584"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总磷</w:t>
            </w:r>
          </w:p>
        </w:tc>
        <w:tc>
          <w:tcPr>
            <w:tcW w:w="101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蛔虫卵（个/L）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9"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产生浓度</w:t>
            </w:r>
          </w:p>
        </w:tc>
        <w:tc>
          <w:tcPr>
            <w:tcW w:w="537" w:type="pct"/>
            <w:vAlign w:val="center"/>
          </w:tcPr>
          <w:p>
            <w:pPr>
              <w:pStyle w:val="58"/>
              <w:rPr>
                <w:rFonts w:hint="default" w:ascii="Times New Roman" w:hAnsi="Times New Roman" w:eastAsia="宋体" w:cs="Times New Roman"/>
                <w:color w:val="auto"/>
                <w:lang w:val="en-US" w:eastAsia="zh-CN"/>
              </w:rPr>
            </w:pPr>
            <w:r>
              <w:rPr>
                <w:rFonts w:hint="eastAsia" w:cs="Times New Roman"/>
                <w:color w:val="auto"/>
                <w:lang w:val="en-US" w:eastAsia="zh-CN"/>
              </w:rPr>
              <w:t>10000</w:t>
            </w:r>
          </w:p>
        </w:tc>
        <w:tc>
          <w:tcPr>
            <w:tcW w:w="616" w:type="pct"/>
            <w:vAlign w:val="center"/>
          </w:tcPr>
          <w:p>
            <w:pPr>
              <w:pStyle w:val="58"/>
              <w:rPr>
                <w:rFonts w:hint="default" w:ascii="Times New Roman" w:hAnsi="Times New Roman" w:eastAsia="宋体" w:cs="Times New Roman"/>
                <w:color w:val="auto"/>
                <w:lang w:val="en-US" w:eastAsia="zh-CN"/>
              </w:rPr>
            </w:pPr>
            <w:r>
              <w:rPr>
                <w:rFonts w:hint="eastAsia" w:cs="Times New Roman"/>
                <w:color w:val="auto"/>
                <w:lang w:val="en-US" w:eastAsia="zh-CN"/>
              </w:rPr>
              <w:t>6000</w:t>
            </w:r>
          </w:p>
        </w:tc>
        <w:tc>
          <w:tcPr>
            <w:tcW w:w="537" w:type="pct"/>
            <w:vAlign w:val="center"/>
          </w:tcPr>
          <w:p>
            <w:pPr>
              <w:pStyle w:val="58"/>
              <w:rPr>
                <w:rFonts w:hint="default" w:ascii="Times New Roman" w:hAnsi="Times New Roman" w:eastAsia="宋体" w:cs="Times New Roman"/>
                <w:color w:val="auto"/>
                <w:lang w:val="en-US"/>
              </w:rPr>
            </w:pPr>
            <w:r>
              <w:rPr>
                <w:rFonts w:hint="eastAsia" w:cs="Times New Roman"/>
                <w:color w:val="auto"/>
                <w:lang w:val="en-US" w:eastAsia="zh-CN"/>
              </w:rPr>
              <w:t>12000</w:t>
            </w:r>
          </w:p>
        </w:tc>
        <w:tc>
          <w:tcPr>
            <w:tcW w:w="481" w:type="pct"/>
            <w:vAlign w:val="center"/>
          </w:tcPr>
          <w:p>
            <w:pPr>
              <w:pStyle w:val="58"/>
              <w:rPr>
                <w:rFonts w:hint="default" w:ascii="Times New Roman" w:hAnsi="Times New Roman" w:eastAsia="宋体" w:cs="Times New Roman"/>
                <w:color w:val="auto"/>
                <w:lang w:val="en-US" w:eastAsia="zh-CN"/>
              </w:rPr>
            </w:pPr>
            <w:r>
              <w:rPr>
                <w:rFonts w:hint="eastAsia" w:cs="Times New Roman"/>
                <w:color w:val="auto"/>
                <w:lang w:val="en-US" w:eastAsia="zh-CN"/>
              </w:rPr>
              <w:t>600</w:t>
            </w:r>
          </w:p>
        </w:tc>
        <w:tc>
          <w:tcPr>
            <w:tcW w:w="481" w:type="pct"/>
            <w:vAlign w:val="center"/>
          </w:tcPr>
          <w:p>
            <w:pPr>
              <w:pStyle w:val="58"/>
              <w:rPr>
                <w:rFonts w:hint="default" w:ascii="Times New Roman" w:hAnsi="Times New Roman" w:eastAsia="宋体" w:cs="Times New Roman"/>
                <w:color w:val="auto"/>
                <w:lang w:val="en-US" w:eastAsia="zh-CN"/>
              </w:rPr>
            </w:pPr>
            <w:r>
              <w:rPr>
                <w:rFonts w:hint="eastAsia" w:cs="Times New Roman"/>
                <w:color w:val="auto"/>
                <w:lang w:val="en-US" w:eastAsia="zh-CN"/>
              </w:rPr>
              <w:t>805</w:t>
            </w:r>
          </w:p>
        </w:tc>
        <w:tc>
          <w:tcPr>
            <w:tcW w:w="584" w:type="pct"/>
            <w:vAlign w:val="center"/>
          </w:tcPr>
          <w:p>
            <w:pPr>
              <w:pStyle w:val="58"/>
              <w:rPr>
                <w:rFonts w:hint="default" w:ascii="Times New Roman" w:hAnsi="Times New Roman" w:eastAsia="宋体" w:cs="Times New Roman"/>
                <w:color w:val="auto"/>
                <w:lang w:val="en-US" w:eastAsia="zh-CN"/>
              </w:rPr>
            </w:pPr>
            <w:r>
              <w:rPr>
                <w:rFonts w:hint="eastAsia" w:cs="Times New Roman"/>
                <w:color w:val="auto"/>
                <w:lang w:val="en-US" w:eastAsia="zh-CN"/>
              </w:rPr>
              <w:t>127</w:t>
            </w:r>
          </w:p>
        </w:tc>
        <w:tc>
          <w:tcPr>
            <w:tcW w:w="1012" w:type="pct"/>
            <w:vAlign w:val="center"/>
          </w:tcPr>
          <w:p>
            <w:pPr>
              <w:pStyle w:val="58"/>
              <w:rPr>
                <w:rFonts w:hint="eastAsia" w:ascii="Times New Roman" w:hAnsi="Times New Roman" w:eastAsia="宋体" w:cs="Times New Roman"/>
                <w:color w:val="auto"/>
                <w:lang w:val="en-US" w:eastAsia="zh-CN"/>
              </w:rPr>
            </w:pPr>
            <w:r>
              <w:rPr>
                <w:rFonts w:hint="eastAsia" w:cs="Times New Roman"/>
                <w:color w:val="auto"/>
                <w:lang w:val="en-US" w:eastAsia="zh-CN"/>
              </w:rPr>
              <w:t>7</w:t>
            </w:r>
          </w:p>
        </w:tc>
      </w:tr>
    </w:tbl>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由表3.3-</w:t>
      </w:r>
      <w:r>
        <w:rPr>
          <w:rFonts w:hint="eastAsia" w:cs="Times New Roman"/>
          <w:color w:val="auto"/>
          <w:sz w:val="24"/>
          <w:szCs w:val="24"/>
          <w:lang w:val="en-US" w:eastAsia="zh-CN"/>
        </w:rPr>
        <w:t>7</w:t>
      </w:r>
      <w:r>
        <w:rPr>
          <w:rFonts w:hint="default" w:ascii="Times New Roman" w:hAnsi="Times New Roman" w:eastAsia="宋体" w:cs="Times New Roman"/>
          <w:color w:val="auto"/>
          <w:sz w:val="24"/>
          <w:szCs w:val="24"/>
        </w:rPr>
        <w:t>可知，畜禽养殖废水产生浓度较高，如不合理处理，不仅会造成大量蚊虫孳生，而且还会成为传染源，造成疫病传播，影响人类和畜禽健康。</w:t>
      </w:r>
    </w:p>
    <w:p>
      <w:pPr>
        <w:pStyle w:val="6"/>
        <w:rPr>
          <w:rFonts w:hint="default" w:ascii="Times New Roman" w:hAnsi="Times New Roman" w:eastAsia="宋体" w:cs="Times New Roman"/>
          <w:color w:val="auto"/>
          <w:sz w:val="24"/>
          <w:szCs w:val="24"/>
        </w:rPr>
      </w:pPr>
      <w:bookmarkStart w:id="221" w:name="_Toc46421101"/>
      <w:bookmarkStart w:id="222" w:name="_Toc8391"/>
      <w:r>
        <w:rPr>
          <w:rFonts w:hint="default" w:ascii="Times New Roman" w:hAnsi="Times New Roman" w:eastAsia="宋体" w:cs="Times New Roman"/>
          <w:color w:val="auto"/>
          <w:sz w:val="24"/>
          <w:szCs w:val="24"/>
        </w:rPr>
        <w:t>3.3.3噪声</w:t>
      </w:r>
      <w:bookmarkEnd w:id="221"/>
      <w:bookmarkEnd w:id="222"/>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本项目噪声源主要为降温风扇、</w:t>
      </w:r>
      <w:r>
        <w:rPr>
          <w:color w:val="auto"/>
          <w:sz w:val="24"/>
          <w:szCs w:val="24"/>
        </w:rPr>
        <w:t>水泵</w:t>
      </w:r>
      <w:r>
        <w:rPr>
          <w:rFonts w:hint="default" w:ascii="Times New Roman" w:hAnsi="Times New Roman" w:eastAsia="宋体" w:cs="Times New Roman"/>
          <w:color w:val="auto"/>
          <w:sz w:val="24"/>
          <w:szCs w:val="24"/>
        </w:rPr>
        <w:t>、</w:t>
      </w:r>
      <w:r>
        <w:rPr>
          <w:rFonts w:hint="eastAsia" w:ascii="宋体" w:hAnsi="宋体" w:eastAsia="宋体" w:cs="宋体"/>
          <w:color w:val="auto"/>
          <w:kern w:val="0"/>
          <w:sz w:val="24"/>
          <w:szCs w:val="24"/>
          <w:lang w:val="en-US" w:eastAsia="zh-CN" w:bidi="ar"/>
        </w:rPr>
        <w:t>搅拌泵</w:t>
      </w:r>
      <w:r>
        <w:rPr>
          <w:rFonts w:hint="default" w:ascii="Times New Roman" w:hAnsi="Times New Roman" w:eastAsia="宋体" w:cs="Times New Roman"/>
          <w:color w:val="auto"/>
          <w:sz w:val="24"/>
          <w:szCs w:val="24"/>
        </w:rPr>
        <w:t>、</w:t>
      </w:r>
      <w:r>
        <w:rPr>
          <w:rFonts w:hint="eastAsia" w:cs="Times New Roman"/>
          <w:color w:val="auto"/>
          <w:sz w:val="24"/>
          <w:szCs w:val="24"/>
          <w:lang w:eastAsia="zh-CN"/>
        </w:rPr>
        <w:t>固液分离器</w:t>
      </w:r>
      <w:r>
        <w:rPr>
          <w:rFonts w:hint="default" w:ascii="Times New Roman" w:hAnsi="Times New Roman" w:eastAsia="宋体" w:cs="Times New Roman"/>
          <w:color w:val="auto"/>
          <w:sz w:val="24"/>
          <w:szCs w:val="24"/>
        </w:rPr>
        <w:t>等。噪声声级在</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0~</w:t>
      </w:r>
      <w:r>
        <w:rPr>
          <w:rFonts w:hint="default" w:ascii="Times New Roman" w:hAnsi="Times New Roman" w:eastAsia="宋体" w:cs="Times New Roman"/>
          <w:color w:val="auto"/>
          <w:sz w:val="24"/>
          <w:szCs w:val="24"/>
          <w:lang w:val="en-US" w:eastAsia="zh-CN"/>
        </w:rPr>
        <w:t>85</w:t>
      </w:r>
      <w:r>
        <w:rPr>
          <w:rFonts w:hint="default" w:ascii="Times New Roman" w:hAnsi="Times New Roman" w:eastAsia="宋体" w:cs="Times New Roman"/>
          <w:color w:val="auto"/>
          <w:sz w:val="24"/>
          <w:szCs w:val="24"/>
        </w:rPr>
        <w:t>dB（A）。本项目的噪声产生源强情况见下表。</w:t>
      </w:r>
    </w:p>
    <w:p>
      <w:pPr>
        <w:pStyle w:val="8"/>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表3.3-</w:t>
      </w: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 xml:space="preserve">    噪声产生源强一览表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431"/>
        <w:gridCol w:w="1125"/>
        <w:gridCol w:w="1203"/>
        <w:gridCol w:w="1161"/>
        <w:gridCol w:w="2365"/>
        <w:gridCol w:w="1044"/>
        <w:gridCol w:w="1458"/>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tblHeader/>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324" w:type="pct"/>
            <w:gridSpan w:val="2"/>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噪声源</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治理措施</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源强dB(A)</w:t>
            </w:r>
          </w:p>
        </w:tc>
        <w:tc>
          <w:tcPr>
            <w:tcW w:w="829" w:type="pct"/>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排放强度dB(A)</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c>
          <w:tcPr>
            <w:tcW w:w="64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猪</w:t>
            </w:r>
            <w:r>
              <w:rPr>
                <w:rFonts w:hint="default" w:ascii="Times New Roman" w:hAnsi="Times New Roman" w:eastAsia="宋体" w:cs="Times New Roman"/>
                <w:color w:val="auto"/>
                <w:sz w:val="21"/>
                <w:szCs w:val="21"/>
              </w:rPr>
              <w:t>舍</w:t>
            </w:r>
          </w:p>
        </w:tc>
        <w:tc>
          <w:tcPr>
            <w:tcW w:w="68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降温风扇</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置于室内</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64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eastAsia"/>
                <w:color w:val="auto"/>
                <w:sz w:val="21"/>
                <w:szCs w:val="21"/>
              </w:rPr>
              <w:t>深井泵房</w:t>
            </w:r>
          </w:p>
        </w:tc>
        <w:tc>
          <w:tcPr>
            <w:tcW w:w="684" w:type="pct"/>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Times New Roman" w:hAnsi="Times New Roman" w:eastAsia="宋体" w:cs="Times New Roman"/>
                <w:color w:val="auto"/>
                <w:kern w:val="2"/>
                <w:sz w:val="21"/>
                <w:szCs w:val="18"/>
                <w:lang w:val="en-US" w:eastAsia="zh-CN" w:bidi="ar-SA"/>
              </w:rPr>
            </w:pPr>
            <w:r>
              <w:rPr>
                <w:color w:val="auto"/>
                <w:sz w:val="21"/>
                <w:szCs w:val="18"/>
              </w:rPr>
              <w:t>水泵</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基础减振、建筑隔声</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85</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65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640"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粪污处理</w:t>
            </w:r>
          </w:p>
        </w:tc>
        <w:tc>
          <w:tcPr>
            <w:tcW w:w="68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eastAsia" w:ascii="宋体" w:hAnsi="宋体" w:eastAsia="宋体" w:cs="宋体"/>
                <w:color w:val="auto"/>
                <w:kern w:val="0"/>
                <w:sz w:val="21"/>
                <w:szCs w:val="21"/>
                <w:lang w:val="en-US" w:eastAsia="zh-CN" w:bidi="ar"/>
              </w:rPr>
              <w:t>搅拌泵</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2</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基础减振、建筑隔声</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85</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65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c>
          <w:tcPr>
            <w:tcW w:w="640"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68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水泵</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4</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基础减振、建筑隔声</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85</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65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640"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68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2"/>
                <w:sz w:val="21"/>
                <w:szCs w:val="22"/>
                <w:lang w:val="en-US" w:eastAsia="zh-CN" w:bidi="ar-SA"/>
              </w:rPr>
            </w:pPr>
            <w:r>
              <w:rPr>
                <w:rFonts w:hint="eastAsia" w:cs="Times New Roman"/>
                <w:color w:val="auto"/>
                <w:lang w:eastAsia="zh-CN"/>
              </w:rPr>
              <w:t>固液分离器</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lang w:val="en-US" w:eastAsia="zh-CN"/>
              </w:rPr>
              <w:t>1</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基础减振、建筑隔声</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85</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65</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本项目在选用低噪声新型设备基础上，将生产设备安置在厂房内，并对设备进行基础减振、封闭门窗等，可使噪声排放减少20~25dB(A)。</w:t>
      </w:r>
    </w:p>
    <w:p>
      <w:pPr>
        <w:pStyle w:val="6"/>
        <w:rPr>
          <w:rFonts w:hint="default" w:ascii="Times New Roman" w:hAnsi="Times New Roman" w:eastAsia="宋体" w:cs="Times New Roman"/>
          <w:color w:val="auto"/>
        </w:rPr>
      </w:pPr>
      <w:bookmarkStart w:id="223" w:name="_Toc46421102"/>
      <w:bookmarkStart w:id="224" w:name="_Toc16098"/>
      <w:r>
        <w:rPr>
          <w:rFonts w:hint="default" w:ascii="Times New Roman" w:hAnsi="Times New Roman" w:eastAsia="宋体" w:cs="Times New Roman"/>
          <w:color w:val="auto"/>
        </w:rPr>
        <w:t>3.3.4固体废弃物</w:t>
      </w:r>
      <w:bookmarkEnd w:id="223"/>
      <w:bookmarkEnd w:id="224"/>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项目产生的固体废弃物主要包括</w:t>
      </w:r>
      <w:r>
        <w:rPr>
          <w:rFonts w:hint="eastAsia" w:cs="Times New Roman"/>
          <w:color w:val="auto"/>
          <w:lang w:val="en-US" w:eastAsia="zh-CN"/>
        </w:rPr>
        <w:t>猪粪、</w:t>
      </w:r>
      <w:r>
        <w:rPr>
          <w:rFonts w:hint="default" w:ascii="Times New Roman" w:hAnsi="Times New Roman" w:eastAsia="宋体" w:cs="Times New Roman"/>
          <w:color w:val="auto"/>
        </w:rPr>
        <w:t>病死</w:t>
      </w:r>
      <w:r>
        <w:rPr>
          <w:rFonts w:hint="eastAsia" w:cs="Times New Roman"/>
          <w:color w:val="auto"/>
          <w:lang w:val="en-US" w:eastAsia="zh-CN"/>
        </w:rPr>
        <w:t>猪、</w:t>
      </w:r>
      <w:r>
        <w:rPr>
          <w:rFonts w:hint="default" w:ascii="Times New Roman" w:hAnsi="Times New Roman" w:eastAsia="宋体" w:cs="Times New Roman"/>
          <w:color w:val="auto"/>
        </w:rPr>
        <w:t>医疗废弃物、废离子交换树脂</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生活垃圾等。</w:t>
      </w:r>
    </w:p>
    <w:p>
      <w:pPr>
        <w:pStyle w:val="7"/>
        <w:rPr>
          <w:rFonts w:hint="default" w:ascii="Times New Roman" w:hAnsi="Times New Roman" w:eastAsia="宋体" w:cs="Times New Roman"/>
          <w:color w:val="auto"/>
          <w:szCs w:val="22"/>
        </w:rPr>
      </w:pPr>
      <w:r>
        <w:rPr>
          <w:rFonts w:hint="default" w:ascii="Times New Roman" w:hAnsi="Times New Roman" w:eastAsia="宋体" w:cs="Times New Roman"/>
          <w:color w:val="auto"/>
        </w:rPr>
        <w:t>3.3.4.1</w:t>
      </w:r>
      <w:r>
        <w:rPr>
          <w:rFonts w:hint="default" w:ascii="Times New Roman" w:hAnsi="Times New Roman" w:eastAsia="宋体" w:cs="Times New Roman"/>
          <w:color w:val="auto"/>
          <w:szCs w:val="22"/>
        </w:rPr>
        <w:t>一般固废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eastAsia" w:cs="Times New Roman"/>
          <w:color w:val="auto"/>
          <w:lang w:val="en-US" w:eastAsia="zh-CN"/>
        </w:rPr>
        <w:t>猪</w:t>
      </w:r>
      <w:r>
        <w:rPr>
          <w:rFonts w:hint="default" w:ascii="Times New Roman" w:hAnsi="Times New Roman" w:eastAsia="宋体" w:cs="Times New Roman"/>
          <w:color w:val="auto"/>
        </w:rPr>
        <w:t>粪</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猪粪便产生量根据《畜禽养殖污染防治最佳可行技术指南》（试行），育肥猪粪便产生量按1.4kg/（头•d），本期年存栏量为</w:t>
      </w:r>
      <w:r>
        <w:rPr>
          <w:rFonts w:hint="eastAsia" w:cs="Times New Roman"/>
          <w:color w:val="auto"/>
          <w:lang w:val="en-US" w:eastAsia="zh-CN"/>
        </w:rPr>
        <w:t>8800</w:t>
      </w:r>
      <w:r>
        <w:rPr>
          <w:rFonts w:hint="default" w:ascii="Times New Roman" w:hAnsi="Times New Roman" w:eastAsia="宋体" w:cs="Times New Roman"/>
          <w:color w:val="auto"/>
        </w:rPr>
        <w:t>头育肥猪，故育肥猪粪便产生量为</w:t>
      </w:r>
      <w:r>
        <w:rPr>
          <w:rFonts w:hint="eastAsia" w:cs="Times New Roman"/>
          <w:color w:val="auto"/>
          <w:lang w:val="en-US" w:eastAsia="zh-CN"/>
        </w:rPr>
        <w:t>12.32</w:t>
      </w:r>
      <w:r>
        <w:rPr>
          <w:rFonts w:hint="default" w:ascii="Times New Roman" w:hAnsi="Times New Roman" w:eastAsia="宋体" w:cs="Times New Roman"/>
          <w:color w:val="auto"/>
        </w:rPr>
        <w:t>t/d（</w:t>
      </w:r>
      <w:r>
        <w:rPr>
          <w:rFonts w:hint="eastAsia" w:cs="Times New Roman"/>
          <w:color w:val="auto"/>
          <w:lang w:val="en-US" w:eastAsia="zh-CN"/>
        </w:rPr>
        <w:t>4496.8</w:t>
      </w:r>
      <w:r>
        <w:rPr>
          <w:rFonts w:hint="default" w:ascii="Times New Roman" w:hAnsi="Times New Roman" w:eastAsia="宋体" w:cs="Times New Roman"/>
          <w:color w:val="auto"/>
        </w:rPr>
        <w:t>t/a）。</w:t>
      </w:r>
    </w:p>
    <w:p>
      <w:pPr>
        <w:ind w:firstLine="480"/>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w:t>猪舍地面采用漏缝地板，猪粪和猪尿依靠重力作用落到化粪池内，经固液分离器将猪粪分离后，猪粪储存于晾粪台，出售有机肥生产厂家进行资源化利用</w:t>
      </w:r>
      <w:r>
        <w:rPr>
          <w:rFonts w:hint="eastAsia" w:cs="Times New Roman"/>
          <w:color w:val="auto"/>
          <w:lang w:eastAsia="zh-CN"/>
        </w:rPr>
        <w:t>。</w:t>
      </w:r>
    </w:p>
    <w:p>
      <w:pPr>
        <w:ind w:firstLine="480"/>
        <w:rPr>
          <w:rFonts w:hint="eastAsia" w:ascii="Times New Roman" w:hAnsi="Times New Roman" w:eastAsia="宋体" w:cs="Times New Roman"/>
          <w:color w:val="auto"/>
          <w:lang w:eastAsia="zh-CN"/>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病死</w:t>
      </w:r>
      <w:r>
        <w:rPr>
          <w:rFonts w:hint="eastAsia" w:cs="Times New Roman"/>
          <w:color w:val="auto"/>
          <w:lang w:val="en-US" w:eastAsia="zh-CN"/>
        </w:rPr>
        <w:t>猪</w:t>
      </w:r>
    </w:p>
    <w:p>
      <w:pPr>
        <w:adjustRightInd w:val="0"/>
        <w:snapToGrid w:val="0"/>
        <w:spacing w:line="476" w:lineRule="exact"/>
        <w:ind w:firstLine="480" w:firstLineChars="200"/>
        <w:rPr>
          <w:snapToGrid w:val="0"/>
          <w:color w:val="auto"/>
          <w:position w:val="-2"/>
          <w:sz w:val="24"/>
        </w:rPr>
      </w:pPr>
      <w:r>
        <w:rPr>
          <w:snapToGrid w:val="0"/>
          <w:color w:val="auto"/>
          <w:position w:val="-2"/>
          <w:sz w:val="24"/>
        </w:rPr>
        <w:t>一般而言，哺乳期后的猪抗病、抗寒能力比哺乳期的猪仔要强得多，因此死亡的猪主要来自处于哺乳期的猪仔，猪仔的死亡率约5～6%，且主要死于出生后的前两周，第一周死亡的猪仔占82%，第二周占12%。</w:t>
      </w:r>
      <w:r>
        <w:rPr>
          <w:rFonts w:hint="default" w:ascii="Times New Roman" w:hAnsi="Times New Roman" w:eastAsia="宋体" w:cs="Times New Roman"/>
          <w:color w:val="auto"/>
        </w:rPr>
        <w:t>年存栏量为</w:t>
      </w:r>
      <w:r>
        <w:rPr>
          <w:rFonts w:hint="eastAsia" w:cs="Times New Roman"/>
          <w:color w:val="auto"/>
          <w:lang w:val="en-US" w:eastAsia="zh-CN"/>
        </w:rPr>
        <w:t>8800</w:t>
      </w:r>
      <w:r>
        <w:rPr>
          <w:rFonts w:hint="default" w:ascii="Times New Roman" w:hAnsi="Times New Roman" w:eastAsia="宋体" w:cs="Times New Roman"/>
          <w:color w:val="auto"/>
        </w:rPr>
        <w:t>头育肥猪</w:t>
      </w:r>
      <w:r>
        <w:rPr>
          <w:snapToGrid w:val="0"/>
          <w:color w:val="auto"/>
          <w:position w:val="-2"/>
          <w:sz w:val="24"/>
        </w:rPr>
        <w:t>，死亡率按</w:t>
      </w:r>
      <w:r>
        <w:rPr>
          <w:rFonts w:hint="eastAsia"/>
          <w:snapToGrid w:val="0"/>
          <w:color w:val="auto"/>
          <w:position w:val="-2"/>
          <w:sz w:val="24"/>
        </w:rPr>
        <w:t>5</w:t>
      </w:r>
      <w:r>
        <w:rPr>
          <w:snapToGrid w:val="0"/>
          <w:color w:val="auto"/>
          <w:position w:val="-2"/>
          <w:sz w:val="24"/>
        </w:rPr>
        <w:t>%计，则年死亡的猪仔有</w:t>
      </w:r>
      <w:r>
        <w:rPr>
          <w:rFonts w:hint="eastAsia"/>
          <w:snapToGrid w:val="0"/>
          <w:color w:val="auto"/>
          <w:position w:val="-2"/>
          <w:sz w:val="24"/>
          <w:lang w:val="en-US" w:eastAsia="zh-CN"/>
        </w:rPr>
        <w:t>44</w:t>
      </w:r>
      <w:r>
        <w:rPr>
          <w:rFonts w:hint="eastAsia"/>
          <w:snapToGrid w:val="0"/>
          <w:color w:val="auto"/>
          <w:position w:val="-2"/>
          <w:sz w:val="24"/>
        </w:rPr>
        <w:t>0</w:t>
      </w:r>
      <w:r>
        <w:rPr>
          <w:snapToGrid w:val="0"/>
          <w:color w:val="auto"/>
          <w:position w:val="-2"/>
          <w:sz w:val="24"/>
        </w:rPr>
        <w:t>头，平均体重为6kg，则年病死猪只为</w:t>
      </w:r>
      <w:r>
        <w:rPr>
          <w:rFonts w:hint="eastAsia"/>
          <w:snapToGrid w:val="0"/>
          <w:color w:val="auto"/>
          <w:position w:val="-2"/>
          <w:sz w:val="24"/>
          <w:lang w:val="en-US" w:eastAsia="zh-CN"/>
        </w:rPr>
        <w:t>2.</w:t>
      </w:r>
      <w:r>
        <w:rPr>
          <w:rFonts w:hint="eastAsia"/>
          <w:snapToGrid w:val="0"/>
          <w:color w:val="auto"/>
          <w:position w:val="-2"/>
          <w:sz w:val="24"/>
        </w:rPr>
        <w:t>6</w:t>
      </w:r>
      <w:r>
        <w:rPr>
          <w:rFonts w:hint="eastAsia"/>
          <w:snapToGrid w:val="0"/>
          <w:color w:val="auto"/>
          <w:position w:val="-2"/>
          <w:sz w:val="24"/>
          <w:lang w:val="en-US" w:eastAsia="zh-CN"/>
        </w:rPr>
        <w:t>4</w:t>
      </w:r>
      <w:r>
        <w:rPr>
          <w:snapToGrid w:val="0"/>
          <w:color w:val="auto"/>
          <w:position w:val="-2"/>
          <w:sz w:val="24"/>
        </w:rPr>
        <w:t>t/a。根据《国家危险废物名录》，病死猪尸体属于HW01非特定行业中“为防治动物传染病而需要收集和处置的废物”（废物代码：900-001-01）。</w:t>
      </w:r>
    </w:p>
    <w:p>
      <w:pPr>
        <w:spacing w:line="440" w:lineRule="exact"/>
        <w:ind w:firstLine="480"/>
        <w:rPr>
          <w:rFonts w:hint="default" w:ascii="Times New Roman" w:hAnsi="Times New Roman" w:eastAsia="宋体" w:cs="Times New Roman"/>
          <w:color w:val="auto"/>
          <w:lang w:eastAsia="zh-CN"/>
        </w:rPr>
      </w:pPr>
      <w:r>
        <w:rPr>
          <w:rFonts w:hint="eastAsia"/>
          <w:snapToGrid w:val="0"/>
          <w:color w:val="auto"/>
          <w:position w:val="-2"/>
          <w:sz w:val="24"/>
        </w:rPr>
        <w:t>根</w:t>
      </w:r>
      <w:r>
        <w:rPr>
          <w:snapToGrid w:val="0"/>
          <w:color w:val="auto"/>
          <w:position w:val="-2"/>
          <w:sz w:val="24"/>
        </w:rPr>
        <w:t>据《病害动物和病害动物产品生物安全处理规程》（GB16548-2006）中的规定</w:t>
      </w:r>
      <w:r>
        <w:rPr>
          <w:rFonts w:hint="eastAsia"/>
          <w:snapToGrid w:val="0"/>
          <w:color w:val="auto"/>
          <w:position w:val="-2"/>
          <w:sz w:val="24"/>
        </w:rPr>
        <w:t>进行</w:t>
      </w:r>
      <w:r>
        <w:rPr>
          <w:snapToGrid w:val="0"/>
          <w:color w:val="auto"/>
          <w:position w:val="-2"/>
          <w:sz w:val="24"/>
        </w:rPr>
        <w:t>无害化处理</w:t>
      </w:r>
      <w:r>
        <w:rPr>
          <w:rFonts w:hint="eastAsia"/>
          <w:snapToGrid w:val="0"/>
          <w:color w:val="auto"/>
          <w:position w:val="-2"/>
          <w:sz w:val="24"/>
        </w:rPr>
        <w:t>，</w:t>
      </w:r>
      <w:r>
        <w:rPr>
          <w:color w:val="auto"/>
          <w:sz w:val="24"/>
        </w:rPr>
        <w:t>建设单位设置有隔离猪舍及</w:t>
      </w:r>
      <w:r>
        <w:rPr>
          <w:rFonts w:hint="eastAsia"/>
          <w:color w:val="auto"/>
          <w:sz w:val="24"/>
          <w:lang w:eastAsia="zh-CN"/>
        </w:rPr>
        <w:t>填埋井</w:t>
      </w:r>
      <w:r>
        <w:rPr>
          <w:color w:val="auto"/>
          <w:sz w:val="24"/>
        </w:rPr>
        <w:t>，病猪先进行隔离观察治疗，无法治疗的病死猪在专业技术人员的指导下，在</w:t>
      </w:r>
      <w:r>
        <w:rPr>
          <w:rFonts w:hint="eastAsia"/>
          <w:color w:val="auto"/>
          <w:sz w:val="24"/>
          <w:lang w:eastAsia="zh-CN"/>
        </w:rPr>
        <w:t>场区</w:t>
      </w:r>
      <w:r>
        <w:rPr>
          <w:color w:val="auto"/>
          <w:sz w:val="24"/>
        </w:rPr>
        <w:t>内设置的</w:t>
      </w:r>
      <w:r>
        <w:rPr>
          <w:rFonts w:hint="eastAsia"/>
          <w:color w:val="auto"/>
          <w:sz w:val="24"/>
          <w:lang w:val="en-US" w:eastAsia="zh-CN"/>
        </w:rPr>
        <w:t>2</w:t>
      </w:r>
      <w:r>
        <w:rPr>
          <w:rFonts w:hint="eastAsia"/>
          <w:color w:val="auto"/>
          <w:sz w:val="24"/>
        </w:rPr>
        <w:t>个</w:t>
      </w:r>
      <w:r>
        <w:rPr>
          <w:rFonts w:hint="eastAsia"/>
          <w:color w:val="auto"/>
          <w:sz w:val="24"/>
          <w:lang w:eastAsia="zh-CN"/>
        </w:rPr>
        <w:t>填埋井</w:t>
      </w:r>
      <w:r>
        <w:rPr>
          <w:rFonts w:hint="eastAsia"/>
          <w:color w:val="auto"/>
          <w:sz w:val="24"/>
        </w:rPr>
        <w:t>进行无害化处理</w:t>
      </w:r>
      <w:r>
        <w:rPr>
          <w:rFonts w:hint="default" w:ascii="Times New Roman" w:hAnsi="Times New Roman" w:eastAsia="宋体" w:cs="Times New Roman"/>
          <w:color w:val="auto"/>
          <w:lang w:eastAsia="zh-CN"/>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废离子交换树脂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电锅炉软化水采用离子交换树脂，每三年更换一次</w:t>
      </w:r>
      <w:r>
        <w:rPr>
          <w:rFonts w:hint="eastAsia" w:cs="Times New Roman"/>
          <w:color w:val="auto"/>
          <w:lang w:eastAsia="zh-CN"/>
        </w:rPr>
        <w:t>，产生量约</w:t>
      </w:r>
      <w:r>
        <w:rPr>
          <w:rFonts w:hint="eastAsia" w:cs="Times New Roman"/>
          <w:color w:val="auto"/>
          <w:lang w:val="en-US" w:eastAsia="zh-CN"/>
        </w:rPr>
        <w:t>0.3t/a</w:t>
      </w:r>
      <w:r>
        <w:rPr>
          <w:rFonts w:hint="default" w:ascii="Times New Roman" w:hAnsi="Times New Roman" w:eastAsia="宋体" w:cs="Times New Roman"/>
          <w:color w:val="auto"/>
          <w:lang w:eastAsia="zh-CN"/>
        </w:rPr>
        <w:t>；根据查阅《国家危险废物名录》（</w:t>
      </w:r>
      <w:r>
        <w:rPr>
          <w:rFonts w:hint="default" w:ascii="Times New Roman" w:hAnsi="Times New Roman" w:eastAsia="宋体" w:cs="Times New Roman"/>
          <w:color w:val="auto"/>
          <w:lang w:val="en-US" w:eastAsia="zh-CN"/>
        </w:rPr>
        <w:t>2021年</w:t>
      </w:r>
      <w:r>
        <w:rPr>
          <w:rFonts w:hint="default" w:ascii="Times New Roman" w:hAnsi="Times New Roman" w:eastAsia="宋体" w:cs="Times New Roman"/>
          <w:color w:val="auto"/>
          <w:lang w:eastAsia="zh-CN"/>
        </w:rPr>
        <w:t>），锅炉软化水制备中产生的离子交换树脂不属于危险废物，属于一般固废，</w:t>
      </w:r>
      <w:r>
        <w:rPr>
          <w:rFonts w:hint="eastAsia" w:cs="Times New Roman"/>
          <w:color w:val="auto"/>
          <w:lang w:eastAsia="zh-CN"/>
        </w:rPr>
        <w:t>由厂家回收</w:t>
      </w:r>
      <w:r>
        <w:rPr>
          <w:rFonts w:hint="default" w:ascii="Times New Roman" w:hAnsi="Times New Roman" w:eastAsia="宋体" w:cs="Times New Roman"/>
          <w:color w:val="auto"/>
        </w:rPr>
        <w:t>。</w:t>
      </w:r>
    </w:p>
    <w:p>
      <w:pPr>
        <w:ind w:left="0" w:leftChars="0" w:firstLine="0" w:firstLineChars="0"/>
        <w:rPr>
          <w:rFonts w:hint="default" w:ascii="Times New Roman" w:hAnsi="Times New Roman" w:eastAsia="宋体" w:cs="Times New Roman"/>
          <w:b/>
          <w:bCs/>
          <w:color w:val="auto"/>
          <w:kern w:val="2"/>
          <w:sz w:val="24"/>
          <w:szCs w:val="28"/>
          <w:lang w:val="en-US" w:eastAsia="zh-CN" w:bidi="ar-SA"/>
        </w:rPr>
      </w:pPr>
      <w:r>
        <w:rPr>
          <w:rFonts w:hint="default" w:ascii="Times New Roman" w:hAnsi="Times New Roman" w:eastAsia="宋体" w:cs="Times New Roman"/>
          <w:b/>
          <w:bCs/>
          <w:color w:val="auto"/>
          <w:kern w:val="2"/>
          <w:sz w:val="24"/>
          <w:szCs w:val="28"/>
          <w:lang w:val="en-US" w:eastAsia="zh-CN" w:bidi="ar-SA"/>
        </w:rPr>
        <w:t>3.3.4.2危险废物</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医疗垃圾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项目配套设置兽医室，负责日常保健及疾病治疗，运营期在检疫、治疗过程中会产生废弃医疗试剂、废纱布等医疗垃圾，根据《国家危险废物名录》</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2021年</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的规定，危废类别为HW01医疗废物，编号为900-001-01，通过类比同类型项目的医疗垃圾产生情况，产生量约40kg/月（0.48t/a）。</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医疗垃圾主要为一次性医疗用品及一次性医疗器械，携带有病原微生物，易引发感染性疾病的传播，属于感染性医疗废物，集中收集单独定点存放，根据《医疗废物管理条例》中的要求，本项目设置医疗废物临时储存间，医疗废物经临时储存后交由有医疗废物处理资质的单位进行集中清运、处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项目危险废物暂存间面积设置为10m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内部分隔为医疗废物暂存间及其他暂存间，危废暂存间建设按照《危险废物贮存污染控制标准》（GB18597-2001）、《医疗卫生机构医疗废物管理办法》和《危险废物污染防治技术政策》的要求设置。暂存间地面铺HDPE膜防渗，渗透系数</w:t>
      </w:r>
      <w:r>
        <w:rPr>
          <w:rFonts w:hint="default" w:ascii="Times New Roman" w:hAnsi="Times New Roman" w:eastAsia="宋体" w:cs="Times New Roman"/>
          <w:color w:val="auto"/>
          <w:szCs w:val="21"/>
        </w:rPr>
        <w:t>小于</w:t>
      </w:r>
      <w:r>
        <w:rPr>
          <w:rFonts w:hint="default" w:ascii="Times New Roman" w:hAnsi="Times New Roman" w:eastAsia="宋体" w:cs="Times New Roman"/>
          <w:color w:val="auto"/>
        </w:rPr>
        <w:t>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cm/s。暂存间的地面与裙脚要用坚固、防渗的材料建造，建筑材料必须与危险废物相容。常温下贮存期不得超过1天，于5</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以下冷藏的，不得超过7天。危险废物垃圾集中收集暂存、转移委外处理过程中，建设单位须按照相关规定填报转移联单，做好台账。</w:t>
      </w:r>
    </w:p>
    <w:p>
      <w:pPr>
        <w:pStyle w:val="7"/>
        <w:rPr>
          <w:rFonts w:hint="default" w:ascii="Times New Roman" w:hAnsi="Times New Roman" w:eastAsia="宋体" w:cs="Times New Roman"/>
          <w:color w:val="auto"/>
          <w:szCs w:val="22"/>
        </w:rPr>
      </w:pPr>
      <w:r>
        <w:rPr>
          <w:rFonts w:hint="default" w:ascii="Times New Roman" w:hAnsi="Times New Roman" w:eastAsia="宋体" w:cs="Times New Roman"/>
          <w:color w:val="auto"/>
        </w:rPr>
        <w:t>3.3.4.3</w:t>
      </w:r>
      <w:r>
        <w:rPr>
          <w:rFonts w:hint="default" w:ascii="Times New Roman" w:hAnsi="Times New Roman" w:eastAsia="宋体" w:cs="Times New Roman"/>
          <w:color w:val="auto"/>
          <w:szCs w:val="22"/>
        </w:rPr>
        <w:t>生活垃圾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生活垃圾按0.5kg/人</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rPr>
        <w:t>d计，项目劳动定员50人，产生量</w:t>
      </w:r>
      <w:r>
        <w:rPr>
          <w:rFonts w:hint="eastAsia" w:cs="Times New Roman"/>
          <w:color w:val="auto"/>
          <w:lang w:val="en-US" w:eastAsia="zh-CN"/>
        </w:rPr>
        <w:t>9.125</w:t>
      </w:r>
      <w:r>
        <w:rPr>
          <w:rFonts w:hint="default" w:ascii="Times New Roman" w:hAnsi="Times New Roman" w:eastAsia="宋体" w:cs="Times New Roman"/>
          <w:color w:val="auto"/>
        </w:rPr>
        <w:t>t/a（</w:t>
      </w:r>
      <w:r>
        <w:rPr>
          <w:rFonts w:hint="eastAsia" w:cs="Times New Roman"/>
          <w:color w:val="auto"/>
          <w:lang w:val="en-US" w:eastAsia="zh-CN"/>
        </w:rPr>
        <w:t>2</w:t>
      </w:r>
      <w:r>
        <w:rPr>
          <w:rFonts w:hint="default" w:ascii="Times New Roman" w:hAnsi="Times New Roman" w:eastAsia="宋体" w:cs="Times New Roman"/>
          <w:color w:val="auto"/>
        </w:rPr>
        <w:t>5kg/d）。生活垃圾</w:t>
      </w:r>
      <w:r>
        <w:rPr>
          <w:rFonts w:hint="default" w:ascii="Times New Roman" w:hAnsi="Times New Roman" w:eastAsia="宋体" w:cs="Times New Roman"/>
          <w:color w:val="auto"/>
          <w:lang w:bidi="zh-CN"/>
        </w:rPr>
        <w:t>清运到环卫部门指定的地点集中处理</w:t>
      </w:r>
      <w:r>
        <w:rPr>
          <w:rFonts w:hint="default" w:ascii="Times New Roman" w:hAnsi="Times New Roman" w:eastAsia="宋体" w:cs="Times New Roman"/>
          <w:color w:val="auto"/>
        </w:rPr>
        <w:t>。</w:t>
      </w:r>
    </w:p>
    <w:p>
      <w:pPr>
        <w:pStyle w:val="5"/>
        <w:rPr>
          <w:rFonts w:hint="default" w:ascii="Times New Roman" w:hAnsi="Times New Roman" w:eastAsia="宋体" w:cs="Times New Roman"/>
          <w:color w:val="auto"/>
        </w:rPr>
      </w:pPr>
      <w:bookmarkStart w:id="225" w:name="_Toc46421103"/>
      <w:bookmarkStart w:id="226" w:name="_Toc1390"/>
      <w:r>
        <w:rPr>
          <w:rFonts w:hint="default" w:ascii="Times New Roman" w:hAnsi="Times New Roman" w:eastAsia="宋体" w:cs="Times New Roman"/>
          <w:color w:val="auto"/>
        </w:rPr>
        <w:t>3.4粪污资源化利用综述</w:t>
      </w:r>
      <w:bookmarkEnd w:id="225"/>
      <w:bookmarkEnd w:id="226"/>
    </w:p>
    <w:p>
      <w:pPr>
        <w:pStyle w:val="6"/>
        <w:rPr>
          <w:rFonts w:hint="default" w:ascii="Times New Roman" w:hAnsi="Times New Roman" w:eastAsia="宋体" w:cs="Times New Roman"/>
          <w:color w:val="auto"/>
        </w:rPr>
      </w:pPr>
      <w:bookmarkStart w:id="227" w:name="_Toc46421104"/>
      <w:bookmarkStart w:id="228" w:name="_Toc24226"/>
      <w:r>
        <w:rPr>
          <w:rFonts w:hint="default" w:ascii="Times New Roman" w:hAnsi="Times New Roman" w:eastAsia="宋体" w:cs="Times New Roman"/>
          <w:color w:val="auto"/>
        </w:rPr>
        <w:t>3.4.1有机肥产生量</w:t>
      </w:r>
      <w:bookmarkEnd w:id="227"/>
      <w:bookmarkEnd w:id="228"/>
    </w:p>
    <w:p>
      <w:pPr>
        <w:ind w:firstLine="480"/>
        <w:rPr>
          <w:rFonts w:hint="eastAsia" w:cs="Times New Roman"/>
          <w:color w:val="auto"/>
          <w:lang w:eastAsia="zh-CN"/>
        </w:rPr>
      </w:pPr>
      <w:r>
        <w:rPr>
          <w:rFonts w:hint="default" w:ascii="Times New Roman" w:hAnsi="Times New Roman" w:eastAsia="宋体" w:cs="Times New Roman"/>
          <w:color w:val="auto"/>
        </w:rPr>
        <w:t>通过工程分析，项目产生的</w:t>
      </w:r>
      <w:r>
        <w:rPr>
          <w:rFonts w:hint="eastAsia" w:cs="Times New Roman"/>
          <w:color w:val="auto"/>
          <w:lang w:val="en-US" w:eastAsia="zh-CN"/>
        </w:rPr>
        <w:t>猪</w:t>
      </w:r>
      <w:r>
        <w:rPr>
          <w:rFonts w:hint="default" w:ascii="Times New Roman" w:hAnsi="Times New Roman" w:eastAsia="宋体" w:cs="Times New Roman"/>
          <w:color w:val="auto"/>
        </w:rPr>
        <w:t>粪</w:t>
      </w:r>
      <w:r>
        <w:rPr>
          <w:rFonts w:hint="eastAsia" w:cs="Times New Roman"/>
          <w:color w:val="auto"/>
          <w:lang w:val="en-US" w:eastAsia="zh-CN"/>
        </w:rPr>
        <w:t>量为4496.8</w:t>
      </w:r>
      <w:r>
        <w:rPr>
          <w:rFonts w:hint="default" w:ascii="Times New Roman" w:hAnsi="Times New Roman" w:eastAsia="宋体" w:cs="Times New Roman"/>
          <w:color w:val="auto"/>
        </w:rPr>
        <w:t>t/a</w:t>
      </w:r>
      <w:r>
        <w:rPr>
          <w:rFonts w:hint="eastAsia" w:cs="Times New Roman"/>
          <w:color w:val="auto"/>
          <w:lang w:eastAsia="zh-CN"/>
        </w:rPr>
        <w:t>，粪便出售有机肥生产厂家进行资源化利用。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粪污水量</w:t>
      </w:r>
      <w:r>
        <w:rPr>
          <w:rFonts w:hint="eastAsia" w:cs="Times New Roman"/>
          <w:color w:val="FF0000"/>
          <w:lang w:val="en-US" w:eastAsia="zh-CN"/>
        </w:rPr>
        <w:t>15231.45</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/a，</w:t>
      </w:r>
      <w:r>
        <w:rPr>
          <w:rFonts w:hint="default" w:ascii="Times New Roman" w:hAnsi="Times New Roman" w:eastAsia="宋体" w:cs="Times New Roman"/>
          <w:color w:val="auto"/>
        </w:rPr>
        <w:t>进入氧化塘厌氧发酵，上述污染物发酵后均进行还田处理，进行资源化利用。</w:t>
      </w:r>
    </w:p>
    <w:p>
      <w:pPr>
        <w:pStyle w:val="6"/>
        <w:rPr>
          <w:rFonts w:hint="default" w:ascii="Times New Roman" w:hAnsi="Times New Roman" w:eastAsia="宋体" w:cs="Times New Roman"/>
          <w:color w:val="auto"/>
        </w:rPr>
      </w:pPr>
      <w:bookmarkStart w:id="229" w:name="_Toc46421105"/>
      <w:bookmarkStart w:id="230" w:name="_Toc24108"/>
      <w:r>
        <w:rPr>
          <w:rFonts w:hint="default" w:ascii="Times New Roman" w:hAnsi="Times New Roman" w:eastAsia="宋体" w:cs="Times New Roman"/>
          <w:color w:val="auto"/>
        </w:rPr>
        <w:t>3.4.2土地消纳能力</w:t>
      </w:r>
      <w:bookmarkEnd w:id="229"/>
      <w:bookmarkEnd w:id="23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项目粪污水量</w:t>
      </w:r>
      <w:r>
        <w:rPr>
          <w:rFonts w:hint="eastAsia" w:cs="Times New Roman"/>
          <w:color w:val="FF0000"/>
          <w:lang w:val="en-US" w:eastAsia="zh-CN"/>
        </w:rPr>
        <w:t>15231.45</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/a，</w:t>
      </w:r>
      <w:r>
        <w:rPr>
          <w:rFonts w:hint="default" w:ascii="Times New Roman" w:hAnsi="Times New Roman" w:eastAsia="宋体" w:cs="Times New Roman"/>
          <w:color w:val="auto"/>
        </w:rPr>
        <w:t>考虑本项目液肥采用罐车输送方式配肥，且每年仅有2个月能够还田，</w:t>
      </w:r>
      <w:r>
        <w:rPr>
          <w:rFonts w:hint="default" w:ascii="Times New Roman" w:hAnsi="Times New Roman" w:eastAsia="宋体" w:cs="Times New Roman"/>
          <w:color w:val="auto"/>
          <w:lang w:eastAsia="zh-CN"/>
        </w:rPr>
        <w:t>分别为春耕前和秋收后，</w:t>
      </w:r>
      <w:r>
        <w:rPr>
          <w:rFonts w:hint="default" w:ascii="Times New Roman" w:hAnsi="Times New Roman" w:eastAsia="宋体" w:cs="Times New Roman"/>
          <w:color w:val="auto"/>
        </w:rPr>
        <w:t>因此</w:t>
      </w:r>
      <w:r>
        <w:rPr>
          <w:rFonts w:hint="eastAsia" w:cs="Times New Roman"/>
          <w:color w:val="auto"/>
          <w:lang w:eastAsia="zh-CN"/>
        </w:rPr>
        <w:t>，单座</w:t>
      </w:r>
      <w:r>
        <w:rPr>
          <w:rFonts w:hint="default" w:ascii="Times New Roman" w:hAnsi="Times New Roman" w:eastAsia="宋体" w:cs="Times New Roman"/>
          <w:color w:val="auto"/>
        </w:rPr>
        <w:t>氧化塘容积应满足项目6个月废水存储要求，即</w:t>
      </w:r>
      <w:r>
        <w:rPr>
          <w:rFonts w:hint="eastAsia" w:cs="Times New Roman"/>
          <w:color w:val="auto"/>
          <w:lang w:eastAsia="zh-CN"/>
        </w:rPr>
        <w:t>单座</w:t>
      </w:r>
      <w:r>
        <w:rPr>
          <w:rFonts w:hint="default" w:ascii="Times New Roman" w:hAnsi="Times New Roman" w:eastAsia="宋体" w:cs="Times New Roman"/>
          <w:color w:val="auto"/>
        </w:rPr>
        <w:t>氧化塘容积不得小于</w:t>
      </w:r>
      <w:r>
        <w:rPr>
          <w:rFonts w:hint="eastAsia" w:cs="Times New Roman"/>
          <w:color w:val="FF0000"/>
          <w:lang w:val="en-US" w:eastAsia="zh-CN"/>
        </w:rPr>
        <w:t>7615.725</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w:t>
      </w:r>
      <w:r>
        <w:rPr>
          <w:rFonts w:hint="default" w:ascii="Times New Roman" w:hAnsi="Times New Roman" w:eastAsia="宋体" w:cs="Times New Roman"/>
          <w:color w:val="auto"/>
        </w:rPr>
        <w:t>项目设置</w:t>
      </w:r>
      <w:r>
        <w:rPr>
          <w:rFonts w:hint="eastAsia" w:ascii="宋体" w:hAnsi="宋体" w:cs="宋体"/>
          <w:color w:val="auto"/>
          <w:kern w:val="0"/>
          <w:sz w:val="24"/>
          <w:szCs w:val="24"/>
          <w:lang w:val="en-US" w:eastAsia="zh-CN" w:bidi="ar"/>
        </w:rPr>
        <w:t>2座氧化塘（单座氧化塘容积为8500m</w:t>
      </w:r>
      <w:r>
        <w:rPr>
          <w:rFonts w:hint="eastAsia" w:ascii="宋体" w:hAnsi="宋体" w:cs="宋体"/>
          <w:color w:val="auto"/>
          <w:kern w:val="0"/>
          <w:sz w:val="24"/>
          <w:szCs w:val="24"/>
          <w:vertAlign w:val="superscript"/>
          <w:lang w:val="en-US" w:eastAsia="zh-CN" w:bidi="ar"/>
        </w:rPr>
        <w:t>3</w:t>
      </w:r>
      <w:r>
        <w:rPr>
          <w:rFonts w:hint="eastAsia" w:ascii="宋体" w:hAnsi="宋体" w:cs="宋体"/>
          <w:color w:val="auto"/>
          <w:kern w:val="0"/>
          <w:sz w:val="24"/>
          <w:szCs w:val="24"/>
          <w:lang w:val="en-US" w:eastAsia="zh-CN" w:bidi="ar"/>
        </w:rPr>
        <w:t>）</w:t>
      </w:r>
      <w:r>
        <w:rPr>
          <w:rFonts w:hint="default" w:ascii="Times New Roman" w:hAnsi="Times New Roman" w:eastAsia="宋体" w:cs="Times New Roman"/>
          <w:color w:val="auto"/>
        </w:rPr>
        <w:t>。同时，氧化塘容积能够满足《畜禽养殖污水贮存设施设计要求》（GB/T26624-2011）中“污水/尿液储存池容积应能容纳2个月以上的污水/尿液”</w:t>
      </w:r>
      <w:r>
        <w:rPr>
          <w:rFonts w:hint="eastAsia" w:cs="Times New Roman"/>
          <w:color w:val="auto"/>
          <w:lang w:eastAsia="zh-CN"/>
        </w:rPr>
        <w:t>和</w:t>
      </w:r>
      <w:r>
        <w:rPr>
          <w:rFonts w:hint="eastAsia" w:cs="Times New Roman"/>
          <w:color w:val="auto"/>
          <w:lang w:val="en-US" w:eastAsia="zh-CN"/>
        </w:rPr>
        <w:t>6个月发酵时间的要求</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项目配套粪污消纳土地</w:t>
      </w:r>
      <w:r>
        <w:rPr>
          <w:rFonts w:hint="default" w:ascii="Times New Roman" w:hAnsi="Times New Roman" w:eastAsia="宋体" w:cs="Times New Roman"/>
          <w:color w:val="auto"/>
          <w:lang w:eastAsia="zh-CN"/>
        </w:rPr>
        <w:t>1</w:t>
      </w:r>
      <w:r>
        <w:rPr>
          <w:rFonts w:hint="eastAsia" w:cs="Times New Roman"/>
          <w:color w:val="auto"/>
          <w:lang w:val="en-US" w:eastAsia="zh-CN"/>
        </w:rPr>
        <w:t>0</w:t>
      </w:r>
      <w:r>
        <w:rPr>
          <w:rFonts w:hint="default" w:ascii="Times New Roman" w:hAnsi="Times New Roman" w:eastAsia="宋体" w:cs="Times New Roman"/>
          <w:color w:val="auto"/>
          <w:lang w:eastAsia="zh-CN"/>
        </w:rPr>
        <w:t>00亩</w:t>
      </w:r>
      <w:r>
        <w:rPr>
          <w:rFonts w:hint="default" w:ascii="Times New Roman" w:hAnsi="Times New Roman" w:eastAsia="宋体" w:cs="Times New Roman"/>
          <w:color w:val="auto"/>
        </w:rPr>
        <w:t>，</w:t>
      </w:r>
      <w:r>
        <w:rPr>
          <w:rFonts w:hint="default" w:ascii="Times New Roman" w:hAnsi="Times New Roman" w:eastAsia="宋体" w:cs="Times New Roman"/>
          <w:color w:val="auto"/>
          <w:highlight w:val="none"/>
        </w:rPr>
        <w:t>满足《内蒙古自治区畜禽养殖主要污染物减排工程项目建设技术指南（试行）》（内环发【2014】83号）</w:t>
      </w:r>
      <w:r>
        <w:rPr>
          <w:rFonts w:hint="default" w:ascii="Times New Roman" w:hAnsi="Times New Roman" w:eastAsia="宋体" w:cs="Times New Roman"/>
          <w:color w:val="auto"/>
          <w:highlight w:val="none"/>
          <w:lang w:eastAsia="zh-CN"/>
        </w:rPr>
        <w:t>和《</w:t>
      </w:r>
      <w:r>
        <w:rPr>
          <w:rFonts w:hint="default" w:ascii="Times New Roman" w:hAnsi="Times New Roman" w:eastAsia="宋体" w:cs="Times New Roman"/>
          <w:i w:val="0"/>
          <w:caps w:val="0"/>
          <w:color w:val="auto"/>
          <w:spacing w:val="8"/>
          <w:sz w:val="24"/>
          <w:szCs w:val="24"/>
          <w:highlight w:val="none"/>
          <w:shd w:val="clear" w:fill="FFFFFF"/>
        </w:rPr>
        <w:t>畜禽粪污土地承载力测算技术指南</w:t>
      </w:r>
      <w:r>
        <w:rPr>
          <w:rFonts w:hint="default" w:ascii="Times New Roman" w:hAnsi="Times New Roman" w:eastAsia="宋体" w:cs="Times New Roman"/>
          <w:i w:val="0"/>
          <w:caps w:val="0"/>
          <w:color w:val="auto"/>
          <w:spacing w:val="8"/>
          <w:sz w:val="24"/>
          <w:szCs w:val="24"/>
          <w:highlight w:val="none"/>
          <w:shd w:val="clear" w:fill="FFFFFF"/>
          <w:lang w:eastAsia="zh-CN"/>
        </w:rPr>
        <w:t>》（农办牧</w:t>
      </w:r>
      <w:r>
        <w:rPr>
          <w:rFonts w:hint="default" w:ascii="Times New Roman" w:hAnsi="Times New Roman" w:eastAsia="宋体" w:cs="Times New Roman"/>
          <w:i w:val="0"/>
          <w:caps w:val="0"/>
          <w:color w:val="auto"/>
          <w:spacing w:val="8"/>
          <w:sz w:val="24"/>
          <w:szCs w:val="24"/>
          <w:highlight w:val="none"/>
          <w:shd w:val="clear" w:fill="FFFFFF"/>
          <w:lang w:val="en-US" w:eastAsia="zh-CN"/>
        </w:rPr>
        <w:t>[2018]1号</w:t>
      </w:r>
      <w:r>
        <w:rPr>
          <w:rFonts w:hint="default" w:ascii="Times New Roman" w:hAnsi="Times New Roman" w:eastAsia="宋体" w:cs="Times New Roman"/>
          <w:i w:val="0"/>
          <w:caps w:val="0"/>
          <w:color w:val="auto"/>
          <w:spacing w:val="8"/>
          <w:sz w:val="24"/>
          <w:szCs w:val="24"/>
          <w:highlight w:val="none"/>
          <w:shd w:val="clear" w:fill="FFFFFF"/>
          <w:lang w:eastAsia="zh-CN"/>
        </w:rPr>
        <w:t>）</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rPr>
        <w:t>消纳土地面积要求每头</w:t>
      </w:r>
      <w:r>
        <w:rPr>
          <w:rFonts w:hint="eastAsia" w:cs="Times New Roman"/>
          <w:color w:val="auto"/>
          <w:lang w:val="en-US" w:eastAsia="zh-CN"/>
        </w:rPr>
        <w:t>猪</w:t>
      </w:r>
      <w:r>
        <w:rPr>
          <w:rFonts w:hint="default" w:ascii="Times New Roman" w:hAnsi="Times New Roman" w:eastAsia="宋体" w:cs="Times New Roman"/>
          <w:color w:val="auto"/>
        </w:rPr>
        <w:t>不少于</w:t>
      </w:r>
      <w:r>
        <w:rPr>
          <w:rFonts w:hint="eastAsia" w:cs="Times New Roman"/>
          <w:color w:val="auto"/>
          <w:lang w:val="en-US" w:eastAsia="zh-CN"/>
        </w:rPr>
        <w:t>0.1</w:t>
      </w:r>
      <w:r>
        <w:rPr>
          <w:rFonts w:hint="default" w:ascii="Times New Roman" w:hAnsi="Times New Roman" w:eastAsia="宋体" w:cs="Times New Roman"/>
          <w:color w:val="auto"/>
        </w:rPr>
        <w:t>亩土地。</w:t>
      </w:r>
    </w:p>
    <w:p>
      <w:pPr>
        <w:pStyle w:val="5"/>
        <w:rPr>
          <w:rFonts w:hint="default" w:ascii="Times New Roman" w:hAnsi="Times New Roman" w:eastAsia="宋体" w:cs="Times New Roman"/>
          <w:color w:val="auto"/>
        </w:rPr>
      </w:pPr>
      <w:bookmarkStart w:id="231" w:name="_Toc18702"/>
      <w:r>
        <w:rPr>
          <w:rFonts w:hint="default" w:ascii="Times New Roman" w:hAnsi="Times New Roman" w:eastAsia="宋体" w:cs="Times New Roman"/>
          <w:color w:val="auto"/>
        </w:rPr>
        <w:t>3.5污染物排放清单</w:t>
      </w:r>
      <w:bookmarkEnd w:id="231"/>
    </w:p>
    <w:p>
      <w:pPr>
        <w:overflowPunct w:val="0"/>
        <w:autoSpaceDE/>
        <w:ind w:firstLine="480"/>
        <w:rPr>
          <w:rFonts w:hint="default" w:ascii="Times New Roman" w:hAnsi="Times New Roman" w:eastAsia="宋体" w:cs="Times New Roman"/>
          <w:color w:val="auto"/>
          <w:szCs w:val="20"/>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8"/>
        <w:rPr>
          <w:color w:val="auto"/>
        </w:rPr>
      </w:pPr>
      <w:r>
        <w:rPr>
          <w:rFonts w:hint="eastAsia"/>
          <w:color w:val="auto"/>
        </w:rPr>
        <w:t>表</w:t>
      </w:r>
      <w:r>
        <w:rPr>
          <w:color w:val="auto"/>
        </w:rPr>
        <w:t>3</w:t>
      </w:r>
      <w:r>
        <w:rPr>
          <w:rFonts w:hint="eastAsia"/>
          <w:color w:val="auto"/>
        </w:rPr>
        <w:t>.</w:t>
      </w:r>
      <w:r>
        <w:rPr>
          <w:rFonts w:hint="eastAsia"/>
          <w:color w:val="auto"/>
          <w:lang w:val="en-US" w:eastAsia="zh-CN"/>
        </w:rPr>
        <w:t>5</w:t>
      </w:r>
      <w:r>
        <w:rPr>
          <w:rFonts w:hint="eastAsia"/>
          <w:color w:val="auto"/>
        </w:rPr>
        <w:t xml:space="preserve">-1    </w:t>
      </w:r>
      <w:r>
        <w:rPr>
          <w:color w:val="auto"/>
        </w:rPr>
        <w:t>污染物排放清单（排放浓度，大气mg/m</w:t>
      </w:r>
      <w:r>
        <w:rPr>
          <w:rFonts w:hint="eastAsia"/>
          <w:color w:val="auto"/>
          <w:vertAlign w:val="superscript"/>
        </w:rPr>
        <w:t>3</w:t>
      </w:r>
      <w:r>
        <w:rPr>
          <w:color w:val="auto"/>
        </w:rPr>
        <w:t>，废水mg/L）</w:t>
      </w:r>
    </w:p>
    <w:tbl>
      <w:tblPr>
        <w:tblStyle w:val="34"/>
        <w:tblW w:w="15185"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93"/>
        <w:gridCol w:w="564"/>
        <w:gridCol w:w="1603"/>
        <w:gridCol w:w="1275"/>
        <w:gridCol w:w="3036"/>
        <w:gridCol w:w="708"/>
        <w:gridCol w:w="1134"/>
        <w:gridCol w:w="709"/>
        <w:gridCol w:w="709"/>
        <w:gridCol w:w="709"/>
        <w:gridCol w:w="992"/>
        <w:gridCol w:w="2402"/>
        <w:gridCol w:w="85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bookmarkStart w:id="232" w:name="_Hlk46688799"/>
            <w:r>
              <w:rPr>
                <w:rFonts w:hint="eastAsia"/>
                <w:color w:val="auto"/>
                <w:kern w:val="0"/>
                <w:sz w:val="21"/>
                <w:szCs w:val="21"/>
              </w:rPr>
              <w:t>类别</w:t>
            </w:r>
          </w:p>
        </w:tc>
        <w:tc>
          <w:tcPr>
            <w:tcW w:w="564"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编号</w:t>
            </w:r>
          </w:p>
        </w:tc>
        <w:tc>
          <w:tcPr>
            <w:tcW w:w="7756" w:type="dxa"/>
            <w:gridSpan w:val="5"/>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污染源</w:t>
            </w:r>
          </w:p>
        </w:tc>
        <w:tc>
          <w:tcPr>
            <w:tcW w:w="2127" w:type="dxa"/>
            <w:gridSpan w:val="3"/>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排放参数</w:t>
            </w:r>
          </w:p>
        </w:tc>
        <w:tc>
          <w:tcPr>
            <w:tcW w:w="992"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新增总量指标</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t/a</w:t>
            </w:r>
          </w:p>
        </w:tc>
        <w:tc>
          <w:tcPr>
            <w:tcW w:w="2402"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执行环境标准</w:t>
            </w:r>
          </w:p>
        </w:tc>
        <w:tc>
          <w:tcPr>
            <w:tcW w:w="851"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达标</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564"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1603"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名称</w:t>
            </w: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污染物</w:t>
            </w:r>
          </w:p>
        </w:tc>
        <w:tc>
          <w:tcPr>
            <w:tcW w:w="3036"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环保措施</w:t>
            </w:r>
          </w:p>
        </w:tc>
        <w:tc>
          <w:tcPr>
            <w:tcW w:w="708"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排放浓度</w:t>
            </w:r>
          </w:p>
        </w:tc>
        <w:tc>
          <w:tcPr>
            <w:tcW w:w="113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排放量</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t/a</w:t>
            </w:r>
          </w:p>
        </w:tc>
        <w:tc>
          <w:tcPr>
            <w:tcW w:w="709"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ascii="宋体" w:hAnsi="宋体"/>
                <w:color w:val="auto"/>
                <w:kern w:val="0"/>
                <w:sz w:val="21"/>
                <w:szCs w:val="21"/>
              </w:rPr>
            </w:pPr>
            <w:r>
              <w:rPr>
                <w:rFonts w:hint="eastAsia"/>
                <w:color w:val="auto"/>
                <w:kern w:val="0"/>
                <w:sz w:val="21"/>
                <w:szCs w:val="21"/>
              </w:rPr>
              <w:t>H/</w:t>
            </w:r>
            <w:r>
              <w:rPr>
                <w:rFonts w:hint="eastAsia" w:ascii="宋体" w:hAnsi="宋体"/>
                <w:color w:val="auto"/>
                <w:kern w:val="0"/>
                <w:sz w:val="21"/>
                <w:szCs w:val="21"/>
              </w:rPr>
              <w:t>Φ</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ascii="宋体" w:hAnsi="宋体"/>
                <w:color w:val="auto"/>
                <w:kern w:val="0"/>
                <w:sz w:val="21"/>
                <w:szCs w:val="21"/>
              </w:rPr>
              <w:t>（</w:t>
            </w:r>
            <w:r>
              <w:rPr>
                <w:rFonts w:hint="eastAsia" w:ascii="黑体" w:hAnsi="黑体" w:eastAsia="黑体"/>
                <w:color w:val="auto"/>
                <w:kern w:val="0"/>
                <w:sz w:val="21"/>
                <w:szCs w:val="21"/>
              </w:rPr>
              <w:t>m</w:t>
            </w:r>
            <w:r>
              <w:rPr>
                <w:rFonts w:hint="eastAsia" w:ascii="宋体" w:hAnsi="宋体"/>
                <w:color w:val="auto"/>
                <w:kern w:val="0"/>
                <w:sz w:val="21"/>
                <w:szCs w:val="21"/>
              </w:rPr>
              <w:t>）</w:t>
            </w:r>
          </w:p>
        </w:tc>
        <w:tc>
          <w:tcPr>
            <w:tcW w:w="709"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温度/℃</w:t>
            </w:r>
          </w:p>
        </w:tc>
        <w:tc>
          <w:tcPr>
            <w:tcW w:w="709"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工作时间</w:t>
            </w: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85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废气</w:t>
            </w:r>
          </w:p>
        </w:tc>
        <w:tc>
          <w:tcPr>
            <w:tcW w:w="564"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1</w:t>
            </w:r>
          </w:p>
        </w:tc>
        <w:tc>
          <w:tcPr>
            <w:tcW w:w="1603"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color w:val="auto"/>
                <w:sz w:val="21"/>
                <w:szCs w:val="21"/>
              </w:rPr>
              <w:t>猪舍</w:t>
            </w: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sz w:val="21"/>
                <w:szCs w:val="21"/>
              </w:rPr>
              <w:t>NH</w:t>
            </w:r>
            <w:r>
              <w:rPr>
                <w:rFonts w:hint="eastAsia"/>
                <w:color w:val="auto"/>
                <w:sz w:val="21"/>
                <w:szCs w:val="21"/>
                <w:vertAlign w:val="subscript"/>
              </w:rPr>
              <w:t>3</w:t>
            </w:r>
          </w:p>
        </w:tc>
        <w:tc>
          <w:tcPr>
            <w:tcW w:w="3036"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textAlignment w:val="center"/>
              <w:rPr>
                <w:color w:val="auto"/>
                <w:kern w:val="0"/>
                <w:sz w:val="21"/>
                <w:szCs w:val="21"/>
              </w:rPr>
            </w:pPr>
            <w:r>
              <w:rPr>
                <w:rFonts w:hint="default" w:ascii="Times New Roman" w:hAnsi="Times New Roman" w:eastAsia="宋体" w:cs="Times New Roman"/>
                <w:color w:val="auto"/>
                <w:sz w:val="21"/>
                <w:szCs w:val="21"/>
              </w:rPr>
              <w:t>场区内采取控制饲养密度、加强舍内通风、调控喂食量、喷洒化学+ 生物除臭剂等措施降低臭气浓度</w:t>
            </w:r>
          </w:p>
        </w:tc>
        <w:tc>
          <w:tcPr>
            <w:tcW w:w="708"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w:t>
            </w:r>
          </w:p>
        </w:tc>
        <w:tc>
          <w:tcPr>
            <w:tcW w:w="1134" w:type="dxa"/>
            <w:shd w:val="clear" w:color="auto" w:fill="auto"/>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0.193</w:t>
            </w:r>
          </w:p>
        </w:tc>
        <w:tc>
          <w:tcPr>
            <w:tcW w:w="1418" w:type="dxa"/>
            <w:gridSpan w:val="2"/>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lang w:val="en-US" w:eastAsia="zh-CN"/>
              </w:rPr>
              <w:t>250</w:t>
            </w:r>
            <w:r>
              <w:rPr>
                <w:rFonts w:hint="eastAsia"/>
                <w:color w:val="auto"/>
                <w:kern w:val="0"/>
                <w:sz w:val="21"/>
                <w:szCs w:val="21"/>
              </w:rPr>
              <w:t>m×</w:t>
            </w:r>
            <w:r>
              <w:rPr>
                <w:rFonts w:hint="eastAsia"/>
                <w:color w:val="auto"/>
                <w:kern w:val="0"/>
                <w:sz w:val="21"/>
                <w:szCs w:val="21"/>
                <w:lang w:val="en-US" w:eastAsia="zh-CN"/>
              </w:rPr>
              <w:t>150</w:t>
            </w:r>
            <w:r>
              <w:rPr>
                <w:rFonts w:hint="eastAsia"/>
                <w:color w:val="auto"/>
                <w:kern w:val="0"/>
                <w:sz w:val="21"/>
                <w:szCs w:val="21"/>
              </w:rPr>
              <w:t>m</w:t>
            </w:r>
          </w:p>
        </w:tc>
        <w:tc>
          <w:tcPr>
            <w:tcW w:w="709"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连续</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8760</w:t>
            </w:r>
          </w:p>
        </w:tc>
        <w:tc>
          <w:tcPr>
            <w:tcW w:w="992"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w:t>
            </w:r>
          </w:p>
        </w:tc>
        <w:tc>
          <w:tcPr>
            <w:tcW w:w="2402"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《恶臭污染物排放标准》（GB14554-93）中二级标准</w:t>
            </w:r>
          </w:p>
        </w:tc>
        <w:tc>
          <w:tcPr>
            <w:tcW w:w="851"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564"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160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sz w:val="21"/>
                <w:szCs w:val="21"/>
              </w:rPr>
              <w:t>H</w:t>
            </w:r>
            <w:r>
              <w:rPr>
                <w:rFonts w:hint="eastAsia"/>
                <w:color w:val="auto"/>
                <w:sz w:val="21"/>
                <w:szCs w:val="21"/>
                <w:vertAlign w:val="subscript"/>
              </w:rPr>
              <w:t>2</w:t>
            </w:r>
            <w:r>
              <w:rPr>
                <w:rFonts w:hint="eastAsia"/>
                <w:color w:val="auto"/>
                <w:sz w:val="21"/>
                <w:szCs w:val="21"/>
              </w:rPr>
              <w:t>S</w:t>
            </w:r>
          </w:p>
        </w:tc>
        <w:tc>
          <w:tcPr>
            <w:tcW w:w="3036"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708"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w:t>
            </w:r>
          </w:p>
        </w:tc>
        <w:tc>
          <w:tcPr>
            <w:tcW w:w="1134" w:type="dxa"/>
            <w:shd w:val="clear" w:color="auto" w:fill="auto"/>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0.064</w:t>
            </w:r>
          </w:p>
        </w:tc>
        <w:tc>
          <w:tcPr>
            <w:tcW w:w="1418" w:type="dxa"/>
            <w:gridSpan w:val="2"/>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851"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564"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sz w:val="21"/>
                <w:szCs w:val="21"/>
                <w:lang w:val="en-US" w:eastAsia="zh-CN"/>
              </w:rPr>
            </w:pPr>
            <w:r>
              <w:rPr>
                <w:rFonts w:hint="eastAsia"/>
                <w:color w:val="auto"/>
                <w:sz w:val="21"/>
                <w:szCs w:val="21"/>
                <w:lang w:val="en-US" w:eastAsia="zh-CN"/>
              </w:rPr>
              <w:t>2</w:t>
            </w:r>
          </w:p>
        </w:tc>
        <w:tc>
          <w:tcPr>
            <w:tcW w:w="1603"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lang w:eastAsia="zh-CN"/>
              </w:rPr>
              <w:t>晾粪台</w:t>
            </w: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color w:val="auto"/>
                <w:sz w:val="21"/>
                <w:szCs w:val="21"/>
              </w:rPr>
              <w:t>NH</w:t>
            </w:r>
            <w:r>
              <w:rPr>
                <w:rFonts w:hint="eastAsia"/>
                <w:color w:val="auto"/>
                <w:sz w:val="21"/>
                <w:szCs w:val="21"/>
                <w:vertAlign w:val="subscript"/>
              </w:rPr>
              <w:t>3</w:t>
            </w:r>
          </w:p>
        </w:tc>
        <w:tc>
          <w:tcPr>
            <w:tcW w:w="3036"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textAlignment w:val="center"/>
              <w:rPr>
                <w:color w:val="auto"/>
                <w:kern w:val="0"/>
                <w:sz w:val="21"/>
                <w:szCs w:val="21"/>
              </w:rPr>
            </w:pPr>
            <w:r>
              <w:rPr>
                <w:rFonts w:hint="eastAsia" w:cs="Times New Roman"/>
                <w:color w:val="auto"/>
                <w:sz w:val="21"/>
                <w:szCs w:val="21"/>
                <w:lang w:val="en-US" w:eastAsia="zh-CN"/>
              </w:rPr>
              <w:t>晾粪台</w:t>
            </w:r>
            <w:r>
              <w:rPr>
                <w:rFonts w:hint="eastAsia"/>
                <w:color w:val="auto"/>
                <w:sz w:val="21"/>
                <w:szCs w:val="21"/>
              </w:rPr>
              <w:t>定期喷洒减少氨释放和保氮的复合菌剂，</w:t>
            </w:r>
            <w:r>
              <w:rPr>
                <w:rFonts w:hint="default" w:ascii="Times New Roman" w:hAnsi="Times New Roman" w:eastAsia="宋体" w:cs="Times New Roman"/>
                <w:color w:val="auto"/>
                <w:sz w:val="21"/>
                <w:szCs w:val="21"/>
              </w:rPr>
              <w:t>通过菌类自身 繁殖达到去除臭气的目的</w:t>
            </w:r>
            <w:r>
              <w:rPr>
                <w:rFonts w:hint="eastAsia"/>
                <w:color w:val="auto"/>
                <w:sz w:val="21"/>
                <w:szCs w:val="21"/>
              </w:rPr>
              <w:t>，同时场区内加强绿化</w:t>
            </w:r>
          </w:p>
        </w:tc>
        <w:tc>
          <w:tcPr>
            <w:tcW w:w="708"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sz w:val="21"/>
                <w:szCs w:val="21"/>
              </w:rPr>
            </w:pPr>
            <w:r>
              <w:rPr>
                <w:rFonts w:hint="eastAsia"/>
                <w:color w:val="auto"/>
                <w:sz w:val="21"/>
                <w:szCs w:val="21"/>
              </w:rPr>
              <w:t>/</w:t>
            </w:r>
          </w:p>
        </w:tc>
        <w:tc>
          <w:tcPr>
            <w:tcW w:w="1134" w:type="dxa"/>
            <w:shd w:val="clear" w:color="auto" w:fill="auto"/>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snapToGrid w:val="0"/>
                <w:color w:val="FF0000"/>
                <w:kern w:val="2"/>
                <w:position w:val="-2"/>
                <w:sz w:val="21"/>
                <w:szCs w:val="21"/>
                <w:lang w:val="en-US" w:eastAsia="zh-CN" w:bidi="ar-SA"/>
              </w:rPr>
            </w:pPr>
            <w:r>
              <w:rPr>
                <w:rFonts w:hint="eastAsia"/>
                <w:snapToGrid w:val="0"/>
                <w:color w:val="FF0000"/>
                <w:position w:val="-2"/>
                <w:sz w:val="21"/>
                <w:szCs w:val="21"/>
                <w:lang w:val="en-US" w:eastAsia="zh-CN"/>
              </w:rPr>
              <w:t>0.051</w:t>
            </w:r>
          </w:p>
        </w:tc>
        <w:tc>
          <w:tcPr>
            <w:tcW w:w="1418" w:type="dxa"/>
            <w:gridSpan w:val="2"/>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lang w:val="en-US" w:eastAsia="zh-CN"/>
              </w:rPr>
              <w:t>100</w:t>
            </w:r>
            <w:r>
              <w:rPr>
                <w:rFonts w:hint="eastAsia"/>
                <w:color w:val="auto"/>
                <w:kern w:val="0"/>
                <w:sz w:val="21"/>
                <w:szCs w:val="21"/>
              </w:rPr>
              <w:t>m×</w:t>
            </w:r>
            <w:r>
              <w:rPr>
                <w:rFonts w:hint="eastAsia"/>
                <w:color w:val="auto"/>
                <w:kern w:val="0"/>
                <w:sz w:val="21"/>
                <w:szCs w:val="21"/>
                <w:lang w:val="en-US" w:eastAsia="zh-CN"/>
              </w:rPr>
              <w:t>50</w:t>
            </w:r>
            <w:r>
              <w:rPr>
                <w:rFonts w:hint="eastAsia"/>
                <w:color w:val="auto"/>
                <w:kern w:val="0"/>
                <w:sz w:val="21"/>
                <w:szCs w:val="21"/>
              </w:rPr>
              <w:t>m</w:t>
            </w:r>
          </w:p>
        </w:tc>
        <w:tc>
          <w:tcPr>
            <w:tcW w:w="709"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连续</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8760</w:t>
            </w: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851" w:type="dxa"/>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sz w:val="21"/>
                <w:szCs w:val="21"/>
              </w:rPr>
            </w:pPr>
            <w:r>
              <w:rPr>
                <w:rFonts w:hint="eastAsia"/>
                <w:color w:val="auto"/>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564"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p>
        </w:tc>
        <w:tc>
          <w:tcPr>
            <w:tcW w:w="160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color w:val="auto"/>
                <w:sz w:val="21"/>
                <w:szCs w:val="21"/>
              </w:rPr>
              <w:t>H</w:t>
            </w:r>
            <w:r>
              <w:rPr>
                <w:rFonts w:hint="eastAsia"/>
                <w:color w:val="auto"/>
                <w:sz w:val="21"/>
                <w:szCs w:val="21"/>
                <w:vertAlign w:val="subscript"/>
              </w:rPr>
              <w:t>2</w:t>
            </w:r>
            <w:r>
              <w:rPr>
                <w:rFonts w:hint="eastAsia"/>
                <w:color w:val="auto"/>
                <w:sz w:val="21"/>
                <w:szCs w:val="21"/>
              </w:rPr>
              <w:t>S</w:t>
            </w:r>
          </w:p>
        </w:tc>
        <w:tc>
          <w:tcPr>
            <w:tcW w:w="3036"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708"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sz w:val="21"/>
                <w:szCs w:val="21"/>
              </w:rPr>
            </w:pPr>
            <w:r>
              <w:rPr>
                <w:rFonts w:hint="eastAsia"/>
                <w:color w:val="auto"/>
                <w:sz w:val="21"/>
                <w:szCs w:val="21"/>
              </w:rPr>
              <w:t>/</w:t>
            </w:r>
          </w:p>
        </w:tc>
        <w:tc>
          <w:tcPr>
            <w:tcW w:w="1134" w:type="dxa"/>
            <w:shd w:val="clear" w:color="auto" w:fill="auto"/>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snapToGrid w:val="0"/>
                <w:color w:val="FF0000"/>
                <w:kern w:val="2"/>
                <w:position w:val="-2"/>
                <w:sz w:val="21"/>
                <w:szCs w:val="21"/>
                <w:lang w:val="en-US" w:eastAsia="zh-CN" w:bidi="ar-SA"/>
              </w:rPr>
            </w:pPr>
            <w:r>
              <w:rPr>
                <w:rFonts w:hint="eastAsia"/>
                <w:snapToGrid w:val="0"/>
                <w:color w:val="FF0000"/>
                <w:position w:val="-2"/>
                <w:sz w:val="21"/>
                <w:szCs w:val="21"/>
                <w:lang w:val="en-US" w:eastAsia="zh-CN"/>
              </w:rPr>
              <w:t>0.012</w:t>
            </w:r>
          </w:p>
        </w:tc>
        <w:tc>
          <w:tcPr>
            <w:tcW w:w="1418" w:type="dxa"/>
            <w:gridSpan w:val="2"/>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851" w:type="dxa"/>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sz w:val="21"/>
                <w:szCs w:val="21"/>
              </w:rPr>
            </w:pPr>
            <w:r>
              <w:rPr>
                <w:rFonts w:hint="eastAsia"/>
                <w:color w:val="auto"/>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564"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sz w:val="21"/>
                <w:szCs w:val="21"/>
                <w:lang w:eastAsia="zh-CN"/>
              </w:rPr>
            </w:pPr>
            <w:r>
              <w:rPr>
                <w:rFonts w:hint="eastAsia"/>
                <w:color w:val="auto"/>
                <w:sz w:val="21"/>
                <w:szCs w:val="21"/>
                <w:lang w:val="en-US" w:eastAsia="zh-CN"/>
              </w:rPr>
              <w:t>3</w:t>
            </w:r>
          </w:p>
        </w:tc>
        <w:tc>
          <w:tcPr>
            <w:tcW w:w="1603"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氧化塘</w:t>
            </w: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NH</w:t>
            </w:r>
            <w:r>
              <w:rPr>
                <w:rFonts w:hint="eastAsia"/>
                <w:color w:val="auto"/>
                <w:sz w:val="21"/>
                <w:szCs w:val="21"/>
                <w:vertAlign w:val="subscript"/>
              </w:rPr>
              <w:t>3</w:t>
            </w:r>
          </w:p>
        </w:tc>
        <w:tc>
          <w:tcPr>
            <w:tcW w:w="3036"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氧化塘定期喷洒减少氨释放和保氮的复合菌剂，</w:t>
            </w:r>
            <w:r>
              <w:rPr>
                <w:rFonts w:hint="default" w:ascii="Times New Roman" w:hAnsi="Times New Roman" w:eastAsia="宋体" w:cs="Times New Roman"/>
                <w:color w:val="auto"/>
                <w:sz w:val="21"/>
                <w:szCs w:val="21"/>
              </w:rPr>
              <w:t>通过菌类自身 繁殖达到去除臭气的目的</w:t>
            </w:r>
            <w:r>
              <w:rPr>
                <w:rFonts w:hint="eastAsia"/>
                <w:color w:val="auto"/>
                <w:sz w:val="21"/>
                <w:szCs w:val="21"/>
              </w:rPr>
              <w:t>，同时场区内加强绿化</w:t>
            </w:r>
          </w:p>
        </w:tc>
        <w:tc>
          <w:tcPr>
            <w:tcW w:w="708"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color w:val="auto"/>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color w:val="FF0000"/>
                <w:sz w:val="21"/>
                <w:szCs w:val="21"/>
                <w:lang w:val="en-US"/>
              </w:rPr>
            </w:pPr>
            <w:r>
              <w:rPr>
                <w:rFonts w:hint="eastAsia" w:ascii="Times New Roman" w:hAnsi="Times New Roman"/>
                <w:color w:val="FF0000"/>
                <w:kern w:val="2"/>
                <w:sz w:val="21"/>
                <w:szCs w:val="21"/>
                <w:lang w:val="en-US" w:eastAsia="zh-CN" w:bidi="ar-SA"/>
              </w:rPr>
              <w:t>0.</w:t>
            </w:r>
            <w:r>
              <w:rPr>
                <w:rFonts w:hint="eastAsia"/>
                <w:color w:val="FF0000"/>
                <w:kern w:val="2"/>
                <w:sz w:val="21"/>
                <w:szCs w:val="21"/>
                <w:lang w:val="en-US" w:eastAsia="zh-CN" w:bidi="ar-SA"/>
              </w:rPr>
              <w:t>085</w:t>
            </w:r>
          </w:p>
        </w:tc>
        <w:tc>
          <w:tcPr>
            <w:tcW w:w="1418" w:type="dxa"/>
            <w:gridSpan w:val="2"/>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lang w:val="en-US" w:eastAsia="zh-CN"/>
              </w:rPr>
              <w:t>100</w:t>
            </w:r>
            <w:r>
              <w:rPr>
                <w:rFonts w:hint="eastAsia"/>
                <w:color w:val="auto"/>
                <w:kern w:val="0"/>
                <w:sz w:val="21"/>
                <w:szCs w:val="21"/>
              </w:rPr>
              <w:t>m×</w:t>
            </w:r>
            <w:r>
              <w:rPr>
                <w:rFonts w:hint="eastAsia"/>
                <w:color w:val="auto"/>
                <w:kern w:val="0"/>
                <w:sz w:val="21"/>
                <w:szCs w:val="21"/>
                <w:lang w:val="en-US" w:eastAsia="zh-CN"/>
              </w:rPr>
              <w:t>4</w:t>
            </w:r>
            <w:r>
              <w:rPr>
                <w:color w:val="auto"/>
                <w:kern w:val="0"/>
                <w:sz w:val="21"/>
                <w:szCs w:val="21"/>
              </w:rPr>
              <w:t>0</w:t>
            </w:r>
            <w:r>
              <w:rPr>
                <w:rFonts w:hint="eastAsia"/>
                <w:color w:val="auto"/>
                <w:kern w:val="0"/>
                <w:sz w:val="21"/>
                <w:szCs w:val="21"/>
              </w:rPr>
              <w:t>m</w:t>
            </w:r>
          </w:p>
        </w:tc>
        <w:tc>
          <w:tcPr>
            <w:tcW w:w="709"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连续</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r>
              <w:rPr>
                <w:rFonts w:hint="eastAsia"/>
                <w:color w:val="auto"/>
                <w:kern w:val="0"/>
                <w:sz w:val="21"/>
                <w:szCs w:val="21"/>
              </w:rPr>
              <w:t>8760</w:t>
            </w: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851"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564"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160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H</w:t>
            </w:r>
            <w:r>
              <w:rPr>
                <w:rFonts w:hint="eastAsia"/>
                <w:color w:val="auto"/>
                <w:sz w:val="21"/>
                <w:szCs w:val="21"/>
                <w:vertAlign w:val="subscript"/>
              </w:rPr>
              <w:t>2</w:t>
            </w:r>
            <w:r>
              <w:rPr>
                <w:rFonts w:hint="eastAsia"/>
                <w:color w:val="auto"/>
                <w:sz w:val="21"/>
                <w:szCs w:val="21"/>
              </w:rPr>
              <w:t>S</w:t>
            </w:r>
          </w:p>
        </w:tc>
        <w:tc>
          <w:tcPr>
            <w:tcW w:w="3036"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708"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FF0000"/>
                <w:sz w:val="21"/>
                <w:szCs w:val="21"/>
              </w:rPr>
            </w:pPr>
            <w:r>
              <w:rPr>
                <w:rFonts w:hint="eastAsia" w:ascii="Times New Roman" w:hAnsi="Times New Roman"/>
                <w:color w:val="FF0000"/>
                <w:kern w:val="2"/>
                <w:sz w:val="21"/>
                <w:szCs w:val="21"/>
                <w:lang w:val="en-US" w:eastAsia="zh-CN" w:bidi="ar-SA"/>
              </w:rPr>
              <w:t>0.00</w:t>
            </w:r>
            <w:r>
              <w:rPr>
                <w:rFonts w:hint="eastAsia"/>
                <w:color w:val="FF0000"/>
                <w:kern w:val="2"/>
                <w:sz w:val="21"/>
                <w:szCs w:val="21"/>
                <w:lang w:val="en-US" w:eastAsia="zh-CN" w:bidi="ar-SA"/>
              </w:rPr>
              <w:t>3</w:t>
            </w:r>
          </w:p>
        </w:tc>
        <w:tc>
          <w:tcPr>
            <w:tcW w:w="1418" w:type="dxa"/>
            <w:gridSpan w:val="2"/>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kern w:val="0"/>
                <w:sz w:val="21"/>
                <w:szCs w:val="21"/>
              </w:rPr>
            </w:pPr>
          </w:p>
        </w:tc>
        <w:tc>
          <w:tcPr>
            <w:tcW w:w="851" w:type="dxa"/>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rFonts w:hint="eastAsia"/>
                <w:color w:val="auto"/>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eastAsia"/>
                <w:color w:val="auto"/>
                <w:kern w:val="0"/>
                <w:sz w:val="21"/>
                <w:szCs w:val="21"/>
              </w:rPr>
              <w:t>废水</w:t>
            </w:r>
          </w:p>
        </w:tc>
        <w:tc>
          <w:tcPr>
            <w:tcW w:w="56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eastAsia"/>
                <w:color w:val="auto"/>
                <w:kern w:val="0"/>
                <w:sz w:val="21"/>
                <w:szCs w:val="21"/>
              </w:rPr>
              <w:t>W1</w:t>
            </w:r>
          </w:p>
        </w:tc>
        <w:tc>
          <w:tcPr>
            <w:tcW w:w="1603"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eastAsia"/>
                <w:color w:val="auto"/>
                <w:kern w:val="0"/>
                <w:sz w:val="21"/>
                <w:szCs w:val="21"/>
                <w:lang w:eastAsia="zh-CN"/>
              </w:rPr>
              <w:t>猪</w:t>
            </w:r>
            <w:r>
              <w:rPr>
                <w:rFonts w:hint="eastAsia"/>
                <w:color w:val="auto"/>
                <w:kern w:val="0"/>
                <w:sz w:val="21"/>
                <w:szCs w:val="21"/>
              </w:rPr>
              <w:t>尿</w:t>
            </w: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3036"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default" w:ascii="Times New Roman" w:hAnsi="Times New Roman" w:eastAsia="宋体" w:cs="Times New Roman"/>
                <w:color w:val="auto"/>
                <w:spacing w:val="-4"/>
                <w:sz w:val="21"/>
                <w:szCs w:val="21"/>
              </w:rPr>
              <w:t>猪舍地面采用漏缝地板，猪粪和猪尿依靠重力作用落到</w:t>
            </w:r>
            <w:r>
              <w:rPr>
                <w:rFonts w:hint="eastAsia" w:cs="Times New Roman"/>
                <w:color w:val="auto"/>
                <w:spacing w:val="-4"/>
                <w:sz w:val="21"/>
                <w:szCs w:val="21"/>
                <w:lang w:val="en-US" w:eastAsia="zh-CN"/>
              </w:rPr>
              <w:t>化</w:t>
            </w:r>
            <w:r>
              <w:rPr>
                <w:rFonts w:hint="default" w:ascii="Times New Roman" w:hAnsi="Times New Roman" w:eastAsia="宋体" w:cs="Times New Roman"/>
                <w:color w:val="auto"/>
                <w:spacing w:val="-4"/>
                <w:sz w:val="21"/>
                <w:szCs w:val="21"/>
              </w:rPr>
              <w:t>粪池内，</w:t>
            </w:r>
            <w:r>
              <w:rPr>
                <w:rFonts w:hint="eastAsia" w:cs="Times New Roman"/>
                <w:color w:val="auto"/>
                <w:spacing w:val="-4"/>
                <w:sz w:val="21"/>
                <w:szCs w:val="21"/>
                <w:lang w:val="en-US" w:eastAsia="zh-CN"/>
              </w:rPr>
              <w:t>经固液分离器将猪粪分离后</w:t>
            </w:r>
            <w:r>
              <w:rPr>
                <w:rFonts w:hint="default" w:ascii="Times New Roman" w:hAnsi="Times New Roman" w:eastAsia="宋体" w:cs="Times New Roman"/>
                <w:color w:val="auto"/>
                <w:spacing w:val="-4"/>
                <w:sz w:val="21"/>
                <w:szCs w:val="21"/>
              </w:rPr>
              <w:t>，猪尿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c>
          <w:tcPr>
            <w:tcW w:w="708"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sz w:val="21"/>
                <w:szCs w:val="21"/>
              </w:rPr>
            </w:pPr>
            <w:r>
              <w:rPr>
                <w:color w:val="auto"/>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sz w:val="21"/>
                <w:szCs w:val="21"/>
              </w:rPr>
            </w:pPr>
            <w:r>
              <w:rPr>
                <w:rFonts w:hint="eastAsia"/>
                <w:color w:val="FF0000"/>
                <w:sz w:val="21"/>
                <w:szCs w:val="21"/>
              </w:rPr>
              <w:t>9099.45</w:t>
            </w:r>
          </w:p>
        </w:tc>
        <w:tc>
          <w:tcPr>
            <w:tcW w:w="709"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eastAsia"/>
                <w:color w:val="auto"/>
                <w:kern w:val="0"/>
                <w:sz w:val="21"/>
                <w:szCs w:val="21"/>
              </w:rPr>
              <w:t>/</w:t>
            </w:r>
          </w:p>
        </w:tc>
        <w:tc>
          <w:tcPr>
            <w:tcW w:w="709"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eastAsia"/>
                <w:color w:val="auto"/>
                <w:kern w:val="0"/>
                <w:sz w:val="21"/>
                <w:szCs w:val="21"/>
              </w:rPr>
              <w:t>常温</w:t>
            </w:r>
          </w:p>
        </w:tc>
        <w:tc>
          <w:tcPr>
            <w:tcW w:w="709"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eastAsia"/>
                <w:color w:val="auto"/>
                <w:kern w:val="0"/>
                <w:sz w:val="21"/>
                <w:szCs w:val="21"/>
              </w:rPr>
              <w:t>间断</w:t>
            </w:r>
          </w:p>
        </w:tc>
        <w:tc>
          <w:tcPr>
            <w:tcW w:w="992"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eastAsia"/>
                <w:color w:val="auto"/>
                <w:kern w:val="0"/>
                <w:sz w:val="21"/>
                <w:szCs w:val="21"/>
              </w:rPr>
              <w:t>/</w:t>
            </w:r>
          </w:p>
        </w:tc>
        <w:tc>
          <w:tcPr>
            <w:tcW w:w="2402" w:type="dxa"/>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kern w:val="0"/>
                <w:sz w:val="21"/>
                <w:szCs w:val="21"/>
              </w:rPr>
            </w:pPr>
            <w:r>
              <w:rPr>
                <w:rFonts w:hint="eastAsia"/>
                <w:color w:val="auto"/>
                <w:kern w:val="0"/>
                <w:sz w:val="21"/>
                <w:szCs w:val="21"/>
              </w:rPr>
              <w:t>不外排</w:t>
            </w:r>
          </w:p>
        </w:tc>
        <w:tc>
          <w:tcPr>
            <w:tcW w:w="851" w:type="dxa"/>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sz w:val="21"/>
                <w:szCs w:val="21"/>
              </w:rPr>
            </w:pPr>
            <w:r>
              <w:rPr>
                <w:rFonts w:hint="eastAsia"/>
                <w:color w:val="auto"/>
                <w:sz w:val="21"/>
                <w:szCs w:val="21"/>
              </w:rPr>
              <w:t>合规</w:t>
            </w:r>
          </w:p>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color w:val="auto"/>
                <w:sz w:val="21"/>
                <w:szCs w:val="21"/>
              </w:rPr>
            </w:pPr>
            <w:r>
              <w:rPr>
                <w:rFonts w:hint="eastAsia"/>
                <w:color w:val="auto"/>
                <w:sz w:val="21"/>
                <w:szCs w:val="21"/>
              </w:rPr>
              <w:t>利用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56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FF0000"/>
                <w:kern w:val="0"/>
                <w:sz w:val="21"/>
                <w:szCs w:val="21"/>
              </w:rPr>
            </w:pPr>
            <w:r>
              <w:rPr>
                <w:rFonts w:hint="eastAsia"/>
                <w:color w:val="FF0000"/>
                <w:kern w:val="0"/>
                <w:sz w:val="21"/>
                <w:szCs w:val="21"/>
              </w:rPr>
              <w:t>W</w:t>
            </w:r>
            <w:r>
              <w:rPr>
                <w:color w:val="FF0000"/>
                <w:kern w:val="0"/>
                <w:sz w:val="21"/>
                <w:szCs w:val="21"/>
              </w:rPr>
              <w:t>2</w:t>
            </w:r>
          </w:p>
        </w:tc>
        <w:tc>
          <w:tcPr>
            <w:tcW w:w="1603"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FF0000"/>
                <w:kern w:val="0"/>
                <w:sz w:val="21"/>
                <w:szCs w:val="21"/>
                <w:lang w:eastAsia="zh-CN"/>
              </w:rPr>
            </w:pPr>
            <w:r>
              <w:rPr>
                <w:rFonts w:hint="eastAsia" w:cs="Times New Roman"/>
                <w:color w:val="FF0000"/>
                <w:lang w:eastAsia="zh-CN"/>
              </w:rPr>
              <w:t>猪舍粪污管道冲洗废水</w:t>
            </w:r>
          </w:p>
        </w:tc>
        <w:tc>
          <w:tcPr>
            <w:tcW w:w="1275"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COD、BOD、氨氮、总氮、总磷、PH</w:t>
            </w:r>
          </w:p>
        </w:tc>
        <w:tc>
          <w:tcPr>
            <w:tcW w:w="3036"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FF0000"/>
                <w:kern w:val="0"/>
                <w:sz w:val="21"/>
                <w:szCs w:val="21"/>
              </w:rPr>
            </w:pPr>
            <w:r>
              <w:rPr>
                <w:rFonts w:hint="default" w:ascii="Times New Roman" w:hAnsi="Times New Roman" w:eastAsia="宋体" w:cs="Times New Roman"/>
                <w:color w:val="FF0000"/>
                <w:spacing w:val="-4"/>
                <w:sz w:val="21"/>
                <w:szCs w:val="21"/>
              </w:rPr>
              <w:t>猪舍地面采用漏缝地板，</w:t>
            </w:r>
            <w:r>
              <w:rPr>
                <w:rFonts w:hint="eastAsia" w:cs="Times New Roman"/>
                <w:color w:val="FF0000"/>
                <w:spacing w:val="-4"/>
                <w:sz w:val="21"/>
                <w:szCs w:val="21"/>
                <w:lang w:eastAsia="zh-CN"/>
              </w:rPr>
              <w:t>猪舍粪污管道冲洗废水</w:t>
            </w:r>
            <w:r>
              <w:rPr>
                <w:rFonts w:hint="default" w:ascii="Times New Roman" w:hAnsi="Times New Roman" w:eastAsia="宋体" w:cs="Times New Roman"/>
                <w:color w:val="FF0000"/>
                <w:spacing w:val="-4"/>
                <w:sz w:val="21"/>
                <w:szCs w:val="21"/>
              </w:rPr>
              <w:t>由猪舍内的地漏落到</w:t>
            </w:r>
            <w:r>
              <w:rPr>
                <w:rFonts w:hint="eastAsia" w:cs="Times New Roman"/>
                <w:color w:val="FF0000"/>
                <w:spacing w:val="-4"/>
                <w:sz w:val="21"/>
                <w:szCs w:val="21"/>
                <w:lang w:val="en-US" w:eastAsia="zh-CN"/>
              </w:rPr>
              <w:t>化</w:t>
            </w:r>
            <w:r>
              <w:rPr>
                <w:rFonts w:hint="default" w:ascii="Times New Roman" w:hAnsi="Times New Roman" w:eastAsia="宋体" w:cs="Times New Roman"/>
                <w:color w:val="FF0000"/>
                <w:spacing w:val="-4"/>
                <w:sz w:val="21"/>
                <w:szCs w:val="21"/>
              </w:rPr>
              <w:t>粪池内，</w:t>
            </w:r>
            <w:r>
              <w:rPr>
                <w:rFonts w:hint="eastAsia" w:cs="Times New Roman"/>
                <w:color w:val="FF0000"/>
                <w:spacing w:val="-4"/>
                <w:sz w:val="21"/>
                <w:szCs w:val="21"/>
                <w:lang w:val="en-US" w:eastAsia="zh-CN"/>
              </w:rPr>
              <w:t>排入氧化塘</w:t>
            </w:r>
            <w:r>
              <w:rPr>
                <w:rFonts w:hint="default" w:ascii="Times New Roman" w:hAnsi="Times New Roman" w:eastAsia="宋体" w:cs="Times New Roman"/>
                <w:color w:val="FF0000"/>
                <w:spacing w:val="-4"/>
                <w:sz w:val="21"/>
                <w:szCs w:val="21"/>
              </w:rPr>
              <w:t>内发酵6个月，处理后的液肥用于还田</w:t>
            </w:r>
          </w:p>
        </w:tc>
        <w:tc>
          <w:tcPr>
            <w:tcW w:w="708"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FF0000"/>
                <w:sz w:val="21"/>
                <w:szCs w:val="21"/>
              </w:rPr>
            </w:pPr>
            <w:r>
              <w:rPr>
                <w:color w:val="FF0000"/>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FF0000"/>
                <w:sz w:val="21"/>
                <w:szCs w:val="21"/>
              </w:rPr>
            </w:pPr>
            <w:r>
              <w:rPr>
                <w:rFonts w:hint="eastAsia" w:cs="Times New Roman"/>
                <w:color w:val="FF0000"/>
                <w:lang w:val="en-US" w:eastAsia="zh-CN"/>
              </w:rPr>
              <w:t>5256</w:t>
            </w: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85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56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ascii="Times New Roman" w:hAnsi="Times New Roman" w:eastAsia="宋体" w:cs="Times New Roman"/>
                <w:color w:val="FF0000"/>
                <w:kern w:val="0"/>
                <w:sz w:val="21"/>
                <w:szCs w:val="21"/>
                <w:lang w:val="en-US" w:eastAsia="zh-CN" w:bidi="ar-SA"/>
              </w:rPr>
            </w:pPr>
            <w:r>
              <w:rPr>
                <w:rFonts w:hint="eastAsia"/>
                <w:color w:val="FF0000"/>
                <w:kern w:val="0"/>
                <w:sz w:val="21"/>
                <w:szCs w:val="21"/>
              </w:rPr>
              <w:t>W</w:t>
            </w:r>
            <w:r>
              <w:rPr>
                <w:rFonts w:hint="eastAsia"/>
                <w:color w:val="FF0000"/>
                <w:kern w:val="0"/>
                <w:sz w:val="21"/>
                <w:szCs w:val="21"/>
                <w:lang w:val="en-US" w:eastAsia="zh-CN"/>
              </w:rPr>
              <w:t>3</w:t>
            </w:r>
          </w:p>
        </w:tc>
        <w:tc>
          <w:tcPr>
            <w:tcW w:w="1603"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s="Times New Roman"/>
                <w:color w:val="FF0000"/>
                <w:sz w:val="21"/>
                <w:szCs w:val="21"/>
                <w:lang w:eastAsia="zh-CN"/>
              </w:rPr>
            </w:pPr>
            <w:r>
              <w:rPr>
                <w:rFonts w:hint="eastAsia" w:cs="Times New Roman"/>
                <w:color w:val="FF0000"/>
                <w:sz w:val="21"/>
                <w:szCs w:val="21"/>
                <w:lang w:eastAsia="zh-CN"/>
              </w:rPr>
              <w:t>猪舍降温</w:t>
            </w:r>
            <w:r>
              <w:rPr>
                <w:rFonts w:hint="eastAsia" w:cs="Times New Roman"/>
                <w:color w:val="FF0000"/>
                <w:sz w:val="21"/>
                <w:szCs w:val="21"/>
                <w:lang w:val="en-US" w:eastAsia="zh-CN"/>
              </w:rPr>
              <w:t>废</w:t>
            </w:r>
            <w:r>
              <w:rPr>
                <w:rFonts w:hint="eastAsia" w:cs="Times New Roman"/>
                <w:color w:val="FF0000"/>
                <w:sz w:val="21"/>
                <w:szCs w:val="21"/>
                <w:lang w:eastAsia="zh-CN"/>
              </w:rPr>
              <w:t>水</w:t>
            </w:r>
          </w:p>
        </w:tc>
        <w:tc>
          <w:tcPr>
            <w:tcW w:w="1275"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FF0000"/>
                <w:sz w:val="21"/>
                <w:szCs w:val="21"/>
              </w:rPr>
            </w:pPr>
            <w:r>
              <w:rPr>
                <w:color w:val="FF0000"/>
                <w:sz w:val="21"/>
                <w:szCs w:val="21"/>
              </w:rPr>
              <w:t>/</w:t>
            </w:r>
          </w:p>
        </w:tc>
        <w:tc>
          <w:tcPr>
            <w:tcW w:w="3036"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ascii="Times New Roman" w:hAnsi="Times New Roman" w:eastAsia="宋体" w:cs="Times New Roman"/>
                <w:color w:val="FF0000"/>
                <w:spacing w:val="-4"/>
                <w:sz w:val="21"/>
                <w:szCs w:val="21"/>
              </w:rPr>
            </w:pPr>
            <w:r>
              <w:rPr>
                <w:rFonts w:hint="default" w:ascii="Times New Roman" w:hAnsi="Times New Roman" w:eastAsia="宋体" w:cs="Times New Roman"/>
                <w:color w:val="FF0000"/>
                <w:sz w:val="21"/>
                <w:szCs w:val="21"/>
              </w:rPr>
              <w:t>降温水帘系统用水循环使用，无废水排放</w:t>
            </w:r>
          </w:p>
        </w:tc>
        <w:tc>
          <w:tcPr>
            <w:tcW w:w="708"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420" w:firstLineChars="200"/>
              <w:jc w:val="center"/>
              <w:rPr>
                <w:color w:val="FF0000"/>
                <w:sz w:val="21"/>
                <w:szCs w:val="21"/>
              </w:rPr>
            </w:pPr>
            <w:r>
              <w:rPr>
                <w:color w:val="FF0000"/>
                <w:sz w:val="21"/>
                <w:szCs w:val="21"/>
              </w:rPr>
              <w:t>/</w:t>
            </w:r>
          </w:p>
        </w:tc>
        <w:tc>
          <w:tcPr>
            <w:tcW w:w="1134"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420" w:firstLineChars="200"/>
              <w:jc w:val="center"/>
              <w:rPr>
                <w:rFonts w:hint="eastAsia" w:cs="Times New Roman"/>
                <w:color w:val="FF0000"/>
                <w:sz w:val="21"/>
                <w:szCs w:val="21"/>
                <w:lang w:val="en-US" w:eastAsia="zh-CN"/>
              </w:rPr>
            </w:pPr>
            <w:r>
              <w:rPr>
                <w:color w:val="FF0000"/>
                <w:sz w:val="21"/>
                <w:szCs w:val="21"/>
              </w:rPr>
              <w:t>/</w:t>
            </w: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85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56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ascii="Times New Roman" w:hAnsi="Times New Roman" w:eastAsia="宋体" w:cs="Times New Roman"/>
                <w:color w:val="FF0000"/>
                <w:kern w:val="0"/>
                <w:sz w:val="21"/>
                <w:szCs w:val="21"/>
                <w:lang w:val="en-US" w:eastAsia="zh-CN" w:bidi="ar-SA"/>
              </w:rPr>
            </w:pPr>
            <w:r>
              <w:rPr>
                <w:rFonts w:hint="eastAsia"/>
                <w:color w:val="FF0000"/>
                <w:kern w:val="0"/>
                <w:sz w:val="21"/>
                <w:szCs w:val="21"/>
              </w:rPr>
              <w:t>W</w:t>
            </w:r>
            <w:r>
              <w:rPr>
                <w:rFonts w:hint="eastAsia"/>
                <w:color w:val="FF0000"/>
                <w:kern w:val="0"/>
                <w:sz w:val="21"/>
                <w:szCs w:val="21"/>
                <w:lang w:val="en-US" w:eastAsia="zh-CN"/>
              </w:rPr>
              <w:t>4</w:t>
            </w:r>
          </w:p>
        </w:tc>
        <w:tc>
          <w:tcPr>
            <w:tcW w:w="1603"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FF0000"/>
                <w:kern w:val="0"/>
                <w:sz w:val="21"/>
                <w:szCs w:val="21"/>
                <w:lang w:eastAsia="zh-CN"/>
              </w:rPr>
            </w:pPr>
            <w:r>
              <w:rPr>
                <w:rFonts w:hint="default" w:ascii="Times New Roman" w:hAnsi="Times New Roman" w:eastAsia="宋体" w:cs="Times New Roman"/>
                <w:color w:val="FF0000"/>
                <w:sz w:val="21"/>
                <w:szCs w:val="21"/>
              </w:rPr>
              <w:t>洗消中心洗车废水、消毒废水</w:t>
            </w:r>
          </w:p>
        </w:tc>
        <w:tc>
          <w:tcPr>
            <w:tcW w:w="1275"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COD、BOD、氨氮、总氮、总磷、PH</w:t>
            </w:r>
          </w:p>
        </w:tc>
        <w:tc>
          <w:tcPr>
            <w:tcW w:w="3036"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FF0000"/>
                <w:kern w:val="0"/>
                <w:sz w:val="21"/>
                <w:szCs w:val="21"/>
              </w:rPr>
            </w:pPr>
            <w:r>
              <w:rPr>
                <w:rFonts w:hint="default" w:ascii="Times New Roman" w:hAnsi="Times New Roman" w:eastAsia="宋体" w:cs="Times New Roman"/>
                <w:color w:val="FF0000"/>
                <w:spacing w:val="-4"/>
                <w:sz w:val="21"/>
                <w:szCs w:val="21"/>
              </w:rPr>
              <w:t>经沉淀池处理后，上清液循环使用，不外排</w:t>
            </w:r>
          </w:p>
        </w:tc>
        <w:tc>
          <w:tcPr>
            <w:tcW w:w="708"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FF0000"/>
                <w:sz w:val="21"/>
                <w:szCs w:val="21"/>
              </w:rPr>
            </w:pPr>
            <w:r>
              <w:rPr>
                <w:color w:val="FF0000"/>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FF0000"/>
                <w:sz w:val="21"/>
                <w:szCs w:val="21"/>
              </w:rPr>
            </w:pPr>
            <w:r>
              <w:rPr>
                <w:color w:val="FF0000"/>
                <w:sz w:val="21"/>
                <w:szCs w:val="21"/>
              </w:rPr>
              <w:t>/</w:t>
            </w: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85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56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 w:val="21"/>
                <w:szCs w:val="21"/>
              </w:rPr>
              <w:t>W</w:t>
            </w:r>
            <w:r>
              <w:rPr>
                <w:rFonts w:hint="eastAsia"/>
                <w:color w:val="auto"/>
                <w:kern w:val="0"/>
                <w:sz w:val="21"/>
                <w:szCs w:val="21"/>
                <w:lang w:val="en-US" w:eastAsia="zh-CN"/>
              </w:rPr>
              <w:t>5</w:t>
            </w:r>
          </w:p>
        </w:tc>
        <w:tc>
          <w:tcPr>
            <w:tcW w:w="1603"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kern w:val="0"/>
                <w:sz w:val="21"/>
                <w:szCs w:val="21"/>
                <w:lang w:eastAsia="zh-CN"/>
              </w:rPr>
            </w:pPr>
            <w:r>
              <w:rPr>
                <w:rFonts w:hint="default" w:ascii="Times New Roman" w:hAnsi="Times New Roman" w:eastAsia="宋体" w:cs="Times New Roman"/>
                <w:color w:val="auto"/>
                <w:sz w:val="21"/>
                <w:szCs w:val="21"/>
              </w:rPr>
              <w:t>生活污水</w:t>
            </w: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3036"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kern w:val="0"/>
                <w:sz w:val="21"/>
                <w:szCs w:val="21"/>
              </w:rPr>
            </w:pPr>
            <w:r>
              <w:rPr>
                <w:rFonts w:hint="eastAsia" w:cs="Times New Roman"/>
                <w:color w:val="auto"/>
                <w:spacing w:val="-4"/>
                <w:sz w:val="21"/>
                <w:szCs w:val="21"/>
                <w:lang w:val="en-US" w:eastAsia="zh-CN"/>
              </w:rPr>
              <w:t>排入</w:t>
            </w:r>
            <w:r>
              <w:rPr>
                <w:rFonts w:hint="default" w:ascii="Times New Roman" w:hAnsi="Times New Roman" w:eastAsia="宋体" w:cs="Times New Roman"/>
                <w:color w:val="auto"/>
                <w:spacing w:val="-4"/>
                <w:sz w:val="21"/>
                <w:szCs w:val="21"/>
              </w:rPr>
              <w:t>化粪池</w:t>
            </w:r>
            <w:r>
              <w:rPr>
                <w:rFonts w:hint="eastAsia" w:cs="Times New Roman"/>
                <w:color w:val="auto"/>
                <w:spacing w:val="-4"/>
                <w:sz w:val="21"/>
                <w:szCs w:val="21"/>
                <w:lang w:eastAsia="zh-CN"/>
              </w:rPr>
              <w:t>，</w:t>
            </w:r>
            <w:r>
              <w:rPr>
                <w:rFonts w:hint="eastAsia" w:cs="Times New Roman"/>
                <w:color w:val="auto"/>
                <w:spacing w:val="-4"/>
                <w:sz w:val="21"/>
                <w:szCs w:val="21"/>
                <w:lang w:val="en-US" w:eastAsia="zh-CN"/>
              </w:rPr>
              <w:t>经固液分离器分离后，</w:t>
            </w:r>
            <w:r>
              <w:rPr>
                <w:rFonts w:hint="default" w:ascii="Times New Roman" w:hAnsi="Times New Roman" w:eastAsia="宋体" w:cs="Times New Roman"/>
                <w:color w:val="auto"/>
                <w:spacing w:val="-4"/>
                <w:sz w:val="21"/>
                <w:szCs w:val="21"/>
              </w:rPr>
              <w:t>与猪尿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c>
          <w:tcPr>
            <w:tcW w:w="708"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color w:val="auto"/>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sz w:val="21"/>
                <w:szCs w:val="21"/>
              </w:rPr>
            </w:pPr>
            <w:r>
              <w:rPr>
                <w:rFonts w:hint="eastAsia" w:cs="Times New Roman"/>
                <w:color w:val="auto"/>
                <w:sz w:val="21"/>
                <w:szCs w:val="21"/>
                <w:lang w:val="en-US" w:eastAsia="zh-CN"/>
              </w:rPr>
              <w:t>876</w:t>
            </w: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85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56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eastAsia="宋体"/>
                <w:color w:val="auto"/>
                <w:kern w:val="0"/>
                <w:sz w:val="21"/>
                <w:szCs w:val="21"/>
                <w:lang w:val="en-US" w:eastAsia="zh-CN"/>
              </w:rPr>
            </w:pPr>
            <w:r>
              <w:rPr>
                <w:rFonts w:hint="eastAsia"/>
                <w:color w:val="auto"/>
                <w:kern w:val="0"/>
                <w:sz w:val="21"/>
                <w:szCs w:val="21"/>
              </w:rPr>
              <w:t>W</w:t>
            </w:r>
            <w:r>
              <w:rPr>
                <w:rFonts w:hint="eastAsia"/>
                <w:color w:val="auto"/>
                <w:kern w:val="0"/>
                <w:sz w:val="21"/>
                <w:szCs w:val="21"/>
                <w:lang w:val="en-US" w:eastAsia="zh-CN"/>
              </w:rPr>
              <w:t>6</w:t>
            </w:r>
          </w:p>
        </w:tc>
        <w:tc>
          <w:tcPr>
            <w:tcW w:w="1603"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kern w:val="0"/>
                <w:sz w:val="21"/>
                <w:szCs w:val="21"/>
                <w:lang w:eastAsia="zh-CN"/>
              </w:rPr>
            </w:pPr>
            <w:r>
              <w:rPr>
                <w:rFonts w:hint="default" w:ascii="Times New Roman" w:hAnsi="Times New Roman" w:eastAsia="宋体" w:cs="Times New Roman"/>
                <w:color w:val="auto"/>
                <w:sz w:val="21"/>
                <w:szCs w:val="21"/>
              </w:rPr>
              <w:t>锅炉排水</w:t>
            </w:r>
          </w:p>
        </w:tc>
        <w:tc>
          <w:tcPr>
            <w:tcW w:w="1275"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kern w:val="0"/>
                <w:sz w:val="21"/>
                <w:szCs w:val="21"/>
              </w:rPr>
            </w:pPr>
            <w:r>
              <w:rPr>
                <w:rFonts w:hint="default" w:ascii="Times New Roman" w:hAnsi="Times New Roman" w:eastAsia="宋体" w:cs="Times New Roman"/>
                <w:color w:val="auto"/>
                <w:sz w:val="21"/>
                <w:szCs w:val="21"/>
              </w:rPr>
              <w:t>SS、Ca</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、Mg</w:t>
            </w:r>
            <w:r>
              <w:rPr>
                <w:rFonts w:hint="default" w:ascii="Times New Roman" w:hAnsi="Times New Roman" w:eastAsia="宋体" w:cs="Times New Roman"/>
                <w:color w:val="auto"/>
                <w:sz w:val="21"/>
                <w:szCs w:val="21"/>
                <w:vertAlign w:val="superscript"/>
              </w:rPr>
              <w:t>2+</w:t>
            </w:r>
          </w:p>
        </w:tc>
        <w:tc>
          <w:tcPr>
            <w:tcW w:w="3036"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eastAsia"/>
                <w:color w:val="auto"/>
                <w:kern w:val="0"/>
                <w:sz w:val="21"/>
                <w:szCs w:val="21"/>
              </w:rPr>
            </w:pPr>
            <w:r>
              <w:rPr>
                <w:rFonts w:hint="default" w:ascii="Times New Roman" w:hAnsi="Times New Roman" w:eastAsia="宋体" w:cs="Times New Roman"/>
                <w:color w:val="auto"/>
                <w:sz w:val="21"/>
                <w:szCs w:val="21"/>
              </w:rPr>
              <w:t>电锅炉定期排水用于道路抑尘</w:t>
            </w:r>
          </w:p>
        </w:tc>
        <w:tc>
          <w:tcPr>
            <w:tcW w:w="708"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color w:val="auto"/>
                <w:sz w:val="21"/>
                <w:szCs w:val="21"/>
              </w:rPr>
            </w:pPr>
            <w:r>
              <w:rPr>
                <w:color w:val="auto"/>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jc w:val="center"/>
              <w:rPr>
                <w:rFonts w:hint="default" w:eastAsia="宋体"/>
                <w:color w:val="auto"/>
                <w:sz w:val="21"/>
                <w:szCs w:val="21"/>
                <w:lang w:val="en-US" w:eastAsia="zh-CN"/>
              </w:rPr>
            </w:pPr>
            <w:r>
              <w:rPr>
                <w:color w:val="auto"/>
                <w:sz w:val="21"/>
                <w:szCs w:val="21"/>
              </w:rPr>
              <w:t>/</w:t>
            </w: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709"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99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2402" w:type="dxa"/>
            <w:vMerge w:val="continue"/>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kern w:val="0"/>
                <w:sz w:val="21"/>
                <w:szCs w:val="21"/>
              </w:rPr>
            </w:pPr>
          </w:p>
        </w:tc>
        <w:tc>
          <w:tcPr>
            <w:tcW w:w="851" w:type="dxa"/>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atLeast"/>
              <w:ind w:firstLine="0" w:firstLineChars="0"/>
              <w:rPr>
                <w:rFonts w:hint="eastAsia"/>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噪声</w:t>
            </w:r>
          </w:p>
        </w:tc>
        <w:tc>
          <w:tcPr>
            <w:tcW w:w="564"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1603"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设备运转</w:t>
            </w:r>
          </w:p>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机械运输</w:t>
            </w:r>
          </w:p>
        </w:tc>
        <w:tc>
          <w:tcPr>
            <w:tcW w:w="1275"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噪声</w:t>
            </w:r>
          </w:p>
        </w:tc>
        <w:tc>
          <w:tcPr>
            <w:tcW w:w="3036"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车间密闭+基础减振</w:t>
            </w:r>
          </w:p>
        </w:tc>
        <w:tc>
          <w:tcPr>
            <w:tcW w:w="708"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2127" w:type="dxa"/>
            <w:gridSpan w:val="3"/>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厂界监控</w:t>
            </w:r>
          </w:p>
        </w:tc>
        <w:tc>
          <w:tcPr>
            <w:tcW w:w="99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240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《工业企业厂界环境噪声排放标准》（GB12348-2008）2类</w:t>
            </w:r>
          </w:p>
        </w:tc>
        <w:tc>
          <w:tcPr>
            <w:tcW w:w="851" w:type="dxa"/>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color w:val="auto"/>
                <w:kern w:val="0"/>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restart"/>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固废</w:t>
            </w:r>
          </w:p>
        </w:tc>
        <w:tc>
          <w:tcPr>
            <w:tcW w:w="564"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rFonts w:hint="default" w:eastAsia="宋体"/>
                <w:color w:val="auto"/>
                <w:kern w:val="0"/>
                <w:sz w:val="21"/>
                <w:szCs w:val="21"/>
                <w:lang w:val="en-US" w:eastAsia="zh-CN"/>
              </w:rPr>
            </w:pPr>
            <w:r>
              <w:rPr>
                <w:rFonts w:hint="eastAsia"/>
                <w:color w:val="auto"/>
                <w:kern w:val="0"/>
                <w:sz w:val="21"/>
                <w:szCs w:val="21"/>
                <w:lang w:val="en-US" w:eastAsia="zh-CN"/>
              </w:rPr>
              <w:t>S1</w:t>
            </w:r>
          </w:p>
        </w:tc>
        <w:tc>
          <w:tcPr>
            <w:tcW w:w="1603"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危险废物</w:t>
            </w:r>
          </w:p>
        </w:tc>
        <w:tc>
          <w:tcPr>
            <w:tcW w:w="1275"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医疗废物</w:t>
            </w:r>
          </w:p>
        </w:tc>
        <w:tc>
          <w:tcPr>
            <w:tcW w:w="3036"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sz w:val="21"/>
                <w:szCs w:val="21"/>
              </w:rPr>
              <w:t>医疗废物密闭包装暂存于危险废物暂存间</w:t>
            </w:r>
            <w:r>
              <w:rPr>
                <w:rFonts w:hint="eastAsia"/>
                <w:color w:val="auto"/>
                <w:kern w:val="0"/>
                <w:sz w:val="21"/>
                <w:szCs w:val="21"/>
              </w:rPr>
              <w:t>。</w:t>
            </w:r>
          </w:p>
        </w:tc>
        <w:tc>
          <w:tcPr>
            <w:tcW w:w="708"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default" w:ascii="Times New Roman" w:hAnsi="Times New Roman" w:eastAsia="宋体" w:cs="Times New Roman"/>
                <w:color w:val="auto"/>
                <w:sz w:val="21"/>
                <w:szCs w:val="21"/>
              </w:rPr>
              <w:t>0.48</w:t>
            </w:r>
          </w:p>
        </w:tc>
        <w:tc>
          <w:tcPr>
            <w:tcW w:w="2127" w:type="dxa"/>
            <w:gridSpan w:val="3"/>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交有资质单位处理</w:t>
            </w:r>
          </w:p>
        </w:tc>
        <w:tc>
          <w:tcPr>
            <w:tcW w:w="99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240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《危险废物贮存污染控制标准》（GB18597-2001）及修改单</w:t>
            </w:r>
          </w:p>
        </w:tc>
        <w:tc>
          <w:tcPr>
            <w:tcW w:w="851" w:type="dxa"/>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color w:val="auto"/>
                <w:kern w:val="0"/>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p>
        </w:tc>
        <w:tc>
          <w:tcPr>
            <w:tcW w:w="564"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textAlignment w:val="auto"/>
              <w:rPr>
                <w:rFonts w:hint="default"/>
                <w:color w:val="auto"/>
                <w:kern w:val="0"/>
                <w:sz w:val="21"/>
                <w:szCs w:val="21"/>
                <w:lang w:val="en-US"/>
              </w:rPr>
            </w:pPr>
            <w:r>
              <w:rPr>
                <w:rFonts w:hint="eastAsia"/>
                <w:color w:val="auto"/>
                <w:kern w:val="0"/>
                <w:sz w:val="21"/>
                <w:szCs w:val="21"/>
                <w:lang w:val="en-US" w:eastAsia="zh-CN"/>
              </w:rPr>
              <w:t>S2</w:t>
            </w:r>
          </w:p>
        </w:tc>
        <w:tc>
          <w:tcPr>
            <w:tcW w:w="1603" w:type="dxa"/>
            <w:vMerge w:val="restart"/>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一般固废</w:t>
            </w:r>
          </w:p>
        </w:tc>
        <w:tc>
          <w:tcPr>
            <w:tcW w:w="1275" w:type="dxa"/>
            <w:shd w:val="clear" w:color="auto" w:fill="auto"/>
            <w:vAlign w:val="center"/>
          </w:tcPr>
          <w:p>
            <w:pPr>
              <w:keepNext w:val="0"/>
              <w:keepLines w:val="0"/>
              <w:pageBreakBefore w:val="0"/>
              <w:widowControl w:val="0"/>
              <w:kinsoku/>
              <w:wordWrap/>
              <w:overflowPunct/>
              <w:topLinePunct/>
              <w:autoSpaceDE/>
              <w:autoSpaceDN/>
              <w:bidi w:val="0"/>
              <w:adjustRightInd/>
              <w:snapToGrid/>
              <w:spacing w:line="360" w:lineRule="atLeast"/>
              <w:ind w:firstLine="0" w:firstLineChars="0"/>
              <w:jc w:val="center"/>
              <w:rPr>
                <w:color w:val="auto"/>
                <w:sz w:val="21"/>
                <w:szCs w:val="21"/>
              </w:rPr>
            </w:pPr>
            <w:r>
              <w:rPr>
                <w:rFonts w:hint="eastAsia" w:cs="Times New Roman"/>
                <w:color w:val="auto"/>
                <w:sz w:val="21"/>
                <w:szCs w:val="21"/>
                <w:lang w:val="en-US" w:eastAsia="zh-CN"/>
              </w:rPr>
              <w:t>猪</w:t>
            </w:r>
            <w:r>
              <w:rPr>
                <w:rFonts w:hint="default" w:ascii="Times New Roman" w:hAnsi="Times New Roman" w:eastAsia="宋体" w:cs="Times New Roman"/>
                <w:color w:val="auto"/>
                <w:sz w:val="21"/>
                <w:szCs w:val="21"/>
              </w:rPr>
              <w:t>粪</w:t>
            </w:r>
          </w:p>
        </w:tc>
        <w:tc>
          <w:tcPr>
            <w:tcW w:w="3036"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default" w:ascii="Times New Roman" w:hAnsi="Times New Roman" w:eastAsia="宋体" w:cs="Times New Roman"/>
                <w:color w:val="auto"/>
                <w:sz w:val="21"/>
                <w:szCs w:val="21"/>
              </w:rPr>
              <w:t>出售有机肥生产厂家进行资源化利用</w:t>
            </w:r>
          </w:p>
        </w:tc>
        <w:tc>
          <w:tcPr>
            <w:tcW w:w="708"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1134" w:type="dxa"/>
            <w:shd w:val="clear" w:color="auto" w:fill="auto"/>
            <w:vAlign w:val="center"/>
          </w:tcPr>
          <w:p>
            <w:pPr>
              <w:keepNext w:val="0"/>
              <w:keepLines w:val="0"/>
              <w:pageBreakBefore w:val="0"/>
              <w:widowControl w:val="0"/>
              <w:kinsoku/>
              <w:wordWrap/>
              <w:overflowPunct/>
              <w:topLinePunct/>
              <w:autoSpaceDE/>
              <w:autoSpaceDN/>
              <w:bidi w:val="0"/>
              <w:adjustRightInd/>
              <w:snapToGrid/>
              <w:spacing w:line="360" w:lineRule="atLeast"/>
              <w:ind w:firstLine="0" w:firstLineChars="0"/>
              <w:jc w:val="center"/>
              <w:rPr>
                <w:color w:val="auto"/>
                <w:sz w:val="21"/>
                <w:szCs w:val="21"/>
              </w:rPr>
            </w:pPr>
            <w:r>
              <w:rPr>
                <w:rFonts w:hint="eastAsia" w:cs="Times New Roman"/>
                <w:color w:val="auto"/>
                <w:sz w:val="21"/>
                <w:szCs w:val="21"/>
                <w:lang w:val="en-US" w:eastAsia="zh-CN"/>
              </w:rPr>
              <w:t>4496.8</w:t>
            </w:r>
          </w:p>
        </w:tc>
        <w:tc>
          <w:tcPr>
            <w:tcW w:w="2127" w:type="dxa"/>
            <w:gridSpan w:val="3"/>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color w:val="auto"/>
                <w:kern w:val="0"/>
                <w:sz w:val="21"/>
                <w:szCs w:val="21"/>
              </w:rPr>
              <w:t>资源化利用</w:t>
            </w:r>
          </w:p>
        </w:tc>
        <w:tc>
          <w:tcPr>
            <w:tcW w:w="99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240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sz w:val="21"/>
                <w:szCs w:val="21"/>
              </w:rPr>
              <w:t>《畜禽粪便无害化处理技术规范》（</w:t>
            </w:r>
            <w:r>
              <w:rPr>
                <w:color w:val="auto"/>
                <w:sz w:val="21"/>
                <w:szCs w:val="21"/>
              </w:rPr>
              <w:t>GB/T36195-2018</w:t>
            </w:r>
            <w:r>
              <w:rPr>
                <w:rFonts w:hint="eastAsia"/>
                <w:color w:val="auto"/>
                <w:sz w:val="21"/>
                <w:szCs w:val="21"/>
              </w:rPr>
              <w:t>）、</w:t>
            </w:r>
            <w:r>
              <w:rPr>
                <w:rFonts w:hint="eastAsia" w:ascii="微软雅黑" w:hAnsi="微软雅黑"/>
                <w:color w:val="auto"/>
                <w:sz w:val="21"/>
                <w:szCs w:val="21"/>
                <w:shd w:val="clear" w:color="auto" w:fill="FFFFFF"/>
              </w:rPr>
              <w:t>《畜禽粪便还田技术规范》（</w:t>
            </w:r>
            <w:r>
              <w:rPr>
                <w:color w:val="auto"/>
                <w:sz w:val="21"/>
                <w:szCs w:val="21"/>
                <w:shd w:val="clear" w:color="auto" w:fill="FFFFFF"/>
              </w:rPr>
              <w:t>GB/T25246-2010</w:t>
            </w:r>
            <w:r>
              <w:rPr>
                <w:rFonts w:hint="eastAsia" w:ascii="微软雅黑" w:hAnsi="微软雅黑"/>
                <w:color w:val="auto"/>
                <w:sz w:val="21"/>
                <w:szCs w:val="21"/>
                <w:shd w:val="clear" w:color="auto" w:fill="FFFFFF"/>
              </w:rPr>
              <w:t>）</w:t>
            </w:r>
          </w:p>
        </w:tc>
        <w:tc>
          <w:tcPr>
            <w:tcW w:w="851" w:type="dxa"/>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sz w:val="21"/>
                <w:szCs w:val="21"/>
              </w:rPr>
            </w:pPr>
            <w:r>
              <w:rPr>
                <w:rFonts w:hint="eastAsia"/>
                <w:color w:val="auto"/>
                <w:sz w:val="21"/>
                <w:szCs w:val="21"/>
              </w:rPr>
              <w:t>合规</w:t>
            </w:r>
          </w:p>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sz w:val="21"/>
                <w:szCs w:val="21"/>
              </w:rPr>
              <w:t>利用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p>
        </w:tc>
        <w:tc>
          <w:tcPr>
            <w:tcW w:w="564"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atLeast"/>
              <w:ind w:firstLine="0" w:firstLineChars="0"/>
              <w:textAlignment w:val="auto"/>
              <w:rPr>
                <w:rFonts w:hint="default"/>
                <w:color w:val="auto"/>
                <w:kern w:val="0"/>
                <w:sz w:val="21"/>
                <w:szCs w:val="21"/>
                <w:lang w:val="en-US"/>
              </w:rPr>
            </w:pPr>
            <w:r>
              <w:rPr>
                <w:rFonts w:hint="eastAsia"/>
                <w:color w:val="auto"/>
                <w:kern w:val="0"/>
                <w:sz w:val="21"/>
                <w:szCs w:val="21"/>
                <w:lang w:val="en-US" w:eastAsia="zh-CN"/>
              </w:rPr>
              <w:t>S3</w:t>
            </w:r>
          </w:p>
        </w:tc>
        <w:tc>
          <w:tcPr>
            <w:tcW w:w="1603" w:type="dxa"/>
            <w:vMerge w:val="continue"/>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p>
        </w:tc>
        <w:tc>
          <w:tcPr>
            <w:tcW w:w="1275" w:type="dxa"/>
            <w:shd w:val="clear" w:color="auto" w:fill="auto"/>
            <w:vAlign w:val="center"/>
          </w:tcPr>
          <w:p>
            <w:pPr>
              <w:keepNext w:val="0"/>
              <w:keepLines w:val="0"/>
              <w:pageBreakBefore w:val="0"/>
              <w:widowControl w:val="0"/>
              <w:kinsoku/>
              <w:wordWrap/>
              <w:overflowPunct/>
              <w:topLinePunct/>
              <w:autoSpaceDE/>
              <w:autoSpaceDN/>
              <w:bidi w:val="0"/>
              <w:adjustRightInd/>
              <w:snapToGrid/>
              <w:spacing w:line="360" w:lineRule="atLeast"/>
              <w:ind w:firstLine="0" w:firstLineChars="0"/>
              <w:jc w:val="center"/>
              <w:rPr>
                <w:color w:val="auto"/>
                <w:sz w:val="21"/>
                <w:szCs w:val="21"/>
              </w:rPr>
            </w:pPr>
            <w:r>
              <w:rPr>
                <w:rFonts w:hint="default" w:ascii="Times New Roman" w:hAnsi="Times New Roman" w:eastAsia="宋体" w:cs="Times New Roman"/>
                <w:color w:val="auto"/>
                <w:sz w:val="21"/>
                <w:szCs w:val="21"/>
              </w:rPr>
              <w:t>病死</w:t>
            </w:r>
            <w:r>
              <w:rPr>
                <w:rFonts w:hint="eastAsia" w:cs="Times New Roman"/>
                <w:color w:val="auto"/>
                <w:sz w:val="21"/>
                <w:szCs w:val="21"/>
                <w:lang w:val="en-US" w:eastAsia="zh-CN"/>
              </w:rPr>
              <w:t>猪</w:t>
            </w:r>
          </w:p>
        </w:tc>
        <w:tc>
          <w:tcPr>
            <w:tcW w:w="3036"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color w:val="auto"/>
                <w:sz w:val="21"/>
                <w:szCs w:val="21"/>
              </w:rPr>
              <w:t>设置</w:t>
            </w:r>
            <w:r>
              <w:rPr>
                <w:rFonts w:hint="eastAsia"/>
                <w:color w:val="auto"/>
                <w:sz w:val="21"/>
                <w:szCs w:val="21"/>
                <w:lang w:val="en-US" w:eastAsia="zh-CN"/>
              </w:rPr>
              <w:t>2</w:t>
            </w:r>
            <w:r>
              <w:rPr>
                <w:rFonts w:hint="eastAsia"/>
                <w:color w:val="auto"/>
                <w:sz w:val="21"/>
                <w:szCs w:val="21"/>
              </w:rPr>
              <w:t>个</w:t>
            </w:r>
            <w:r>
              <w:rPr>
                <w:rFonts w:hint="eastAsia"/>
                <w:color w:val="auto"/>
                <w:sz w:val="21"/>
                <w:szCs w:val="21"/>
                <w:lang w:eastAsia="zh-CN"/>
              </w:rPr>
              <w:t>填埋井</w:t>
            </w:r>
            <w:r>
              <w:rPr>
                <w:rFonts w:hint="eastAsia"/>
                <w:color w:val="auto"/>
                <w:sz w:val="21"/>
                <w:szCs w:val="21"/>
              </w:rPr>
              <w:t>进行无害化处理</w:t>
            </w:r>
          </w:p>
        </w:tc>
        <w:tc>
          <w:tcPr>
            <w:tcW w:w="708"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1134" w:type="dxa"/>
            <w:shd w:val="clear" w:color="auto" w:fill="auto"/>
            <w:vAlign w:val="center"/>
          </w:tcPr>
          <w:p>
            <w:pPr>
              <w:keepNext w:val="0"/>
              <w:keepLines w:val="0"/>
              <w:pageBreakBefore w:val="0"/>
              <w:widowControl w:val="0"/>
              <w:kinsoku/>
              <w:wordWrap/>
              <w:overflowPunct/>
              <w:topLinePunct/>
              <w:autoSpaceDE/>
              <w:autoSpaceDN/>
              <w:bidi w:val="0"/>
              <w:adjustRightInd/>
              <w:snapToGrid/>
              <w:spacing w:line="360" w:lineRule="atLeast"/>
              <w:ind w:firstLine="0" w:firstLineChars="0"/>
              <w:jc w:val="center"/>
              <w:rPr>
                <w:color w:val="auto"/>
                <w:sz w:val="21"/>
                <w:szCs w:val="21"/>
              </w:rPr>
            </w:pPr>
            <w:r>
              <w:rPr>
                <w:rFonts w:hint="eastAsia"/>
                <w:snapToGrid w:val="0"/>
                <w:color w:val="auto"/>
                <w:position w:val="-2"/>
                <w:sz w:val="21"/>
                <w:szCs w:val="21"/>
                <w:lang w:val="en-US" w:eastAsia="zh-CN"/>
              </w:rPr>
              <w:t>2.</w:t>
            </w:r>
            <w:r>
              <w:rPr>
                <w:rFonts w:hint="eastAsia"/>
                <w:snapToGrid w:val="0"/>
                <w:color w:val="auto"/>
                <w:position w:val="-2"/>
                <w:sz w:val="21"/>
                <w:szCs w:val="21"/>
              </w:rPr>
              <w:t>6</w:t>
            </w:r>
            <w:r>
              <w:rPr>
                <w:rFonts w:hint="eastAsia"/>
                <w:snapToGrid w:val="0"/>
                <w:color w:val="auto"/>
                <w:position w:val="-2"/>
                <w:sz w:val="21"/>
                <w:szCs w:val="21"/>
                <w:lang w:val="en-US" w:eastAsia="zh-CN"/>
              </w:rPr>
              <w:t>4</w:t>
            </w:r>
          </w:p>
        </w:tc>
        <w:tc>
          <w:tcPr>
            <w:tcW w:w="2127" w:type="dxa"/>
            <w:gridSpan w:val="3"/>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rFonts w:hint="eastAsia" w:eastAsia="宋体"/>
                <w:color w:val="auto"/>
                <w:kern w:val="0"/>
                <w:sz w:val="21"/>
                <w:szCs w:val="21"/>
                <w:lang w:eastAsia="zh-CN"/>
              </w:rPr>
            </w:pPr>
            <w:r>
              <w:rPr>
                <w:color w:val="auto"/>
                <w:kern w:val="0"/>
                <w:sz w:val="21"/>
                <w:szCs w:val="21"/>
              </w:rPr>
              <w:t>无害化</w:t>
            </w:r>
            <w:r>
              <w:rPr>
                <w:rFonts w:hint="eastAsia"/>
                <w:color w:val="auto"/>
                <w:kern w:val="0"/>
                <w:sz w:val="21"/>
                <w:szCs w:val="21"/>
                <w:lang w:eastAsia="zh-CN"/>
              </w:rPr>
              <w:t>处置</w:t>
            </w:r>
          </w:p>
        </w:tc>
        <w:tc>
          <w:tcPr>
            <w:tcW w:w="99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240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《病死及病害动物无害化处理技术规范的通知》（农医发〔2017〕25号）等</w:t>
            </w:r>
          </w:p>
        </w:tc>
        <w:tc>
          <w:tcPr>
            <w:tcW w:w="851" w:type="dxa"/>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color w:val="auto"/>
                <w:kern w:val="0"/>
                <w:sz w:val="21"/>
                <w:szCs w:val="21"/>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p>
        </w:tc>
        <w:tc>
          <w:tcPr>
            <w:tcW w:w="564"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rFonts w:hint="default"/>
                <w:color w:val="auto"/>
                <w:kern w:val="0"/>
                <w:sz w:val="21"/>
                <w:szCs w:val="21"/>
                <w:lang w:val="en-US"/>
              </w:rPr>
            </w:pPr>
            <w:r>
              <w:rPr>
                <w:rFonts w:hint="eastAsia"/>
                <w:color w:val="auto"/>
                <w:kern w:val="0"/>
                <w:sz w:val="21"/>
                <w:szCs w:val="21"/>
                <w:lang w:val="en-US" w:eastAsia="zh-CN"/>
              </w:rPr>
              <w:t>S4</w:t>
            </w:r>
          </w:p>
        </w:tc>
        <w:tc>
          <w:tcPr>
            <w:tcW w:w="1603" w:type="dxa"/>
            <w:vMerge w:val="continue"/>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p>
        </w:tc>
        <w:tc>
          <w:tcPr>
            <w:tcW w:w="1275" w:type="dxa"/>
            <w:shd w:val="clear" w:color="auto" w:fill="auto"/>
            <w:vAlign w:val="center"/>
          </w:tcPr>
          <w:p>
            <w:pPr>
              <w:keepNext w:val="0"/>
              <w:keepLines w:val="0"/>
              <w:pageBreakBefore w:val="0"/>
              <w:widowControl w:val="0"/>
              <w:kinsoku/>
              <w:wordWrap/>
              <w:overflowPunct/>
              <w:topLinePunct/>
              <w:autoSpaceDE/>
              <w:autoSpaceDN/>
              <w:bidi w:val="0"/>
              <w:adjustRightInd/>
              <w:snapToGrid/>
              <w:spacing w:line="360" w:lineRule="atLeast"/>
              <w:ind w:firstLine="0" w:firstLineChars="0"/>
              <w:jc w:val="center"/>
              <w:rPr>
                <w:color w:val="auto"/>
                <w:sz w:val="21"/>
                <w:szCs w:val="21"/>
              </w:rPr>
            </w:pPr>
            <w:r>
              <w:rPr>
                <w:rFonts w:hint="eastAsia"/>
                <w:color w:val="auto"/>
                <w:sz w:val="21"/>
                <w:szCs w:val="21"/>
              </w:rPr>
              <w:t>废离子交换树脂</w:t>
            </w:r>
          </w:p>
        </w:tc>
        <w:tc>
          <w:tcPr>
            <w:tcW w:w="3036"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default" w:ascii="Times New Roman" w:hAnsi="Times New Roman" w:eastAsia="宋体" w:cs="Times New Roman"/>
                <w:color w:val="auto"/>
                <w:sz w:val="21"/>
                <w:szCs w:val="21"/>
              </w:rPr>
              <w:t>清运到环卫部门指定的地点集中处理</w:t>
            </w:r>
          </w:p>
        </w:tc>
        <w:tc>
          <w:tcPr>
            <w:tcW w:w="708"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1134" w:type="dxa"/>
            <w:shd w:val="clear" w:color="auto" w:fill="auto"/>
            <w:vAlign w:val="center"/>
          </w:tcPr>
          <w:p>
            <w:pPr>
              <w:keepNext w:val="0"/>
              <w:keepLines w:val="0"/>
              <w:pageBreakBefore w:val="0"/>
              <w:widowControl w:val="0"/>
              <w:kinsoku/>
              <w:wordWrap/>
              <w:overflowPunct/>
              <w:topLinePunct/>
              <w:autoSpaceDE/>
              <w:autoSpaceDN/>
              <w:bidi w:val="0"/>
              <w:adjustRightInd/>
              <w:snapToGrid/>
              <w:spacing w:line="360" w:lineRule="atLeast"/>
              <w:ind w:firstLine="0" w:firstLineChars="0"/>
              <w:jc w:val="center"/>
              <w:rPr>
                <w:rFonts w:hint="eastAsia" w:eastAsia="宋体"/>
                <w:color w:val="auto"/>
                <w:sz w:val="21"/>
                <w:szCs w:val="21"/>
                <w:lang w:eastAsia="zh-CN"/>
              </w:rPr>
            </w:pPr>
            <w:r>
              <w:rPr>
                <w:rFonts w:hint="eastAsia"/>
                <w:color w:val="auto"/>
                <w:sz w:val="21"/>
                <w:szCs w:val="21"/>
              </w:rPr>
              <w:t>0</w:t>
            </w:r>
            <w:r>
              <w:rPr>
                <w:color w:val="auto"/>
                <w:sz w:val="21"/>
                <w:szCs w:val="21"/>
              </w:rPr>
              <w:t>.</w:t>
            </w:r>
            <w:r>
              <w:rPr>
                <w:rFonts w:hint="eastAsia"/>
                <w:color w:val="auto"/>
                <w:sz w:val="21"/>
                <w:szCs w:val="21"/>
                <w:lang w:val="en-US" w:eastAsia="zh-CN"/>
              </w:rPr>
              <w:t>3</w:t>
            </w:r>
          </w:p>
        </w:tc>
        <w:tc>
          <w:tcPr>
            <w:tcW w:w="2127" w:type="dxa"/>
            <w:gridSpan w:val="3"/>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rFonts w:hint="eastAsia" w:eastAsia="宋体"/>
                <w:color w:val="auto"/>
                <w:kern w:val="0"/>
                <w:sz w:val="21"/>
                <w:szCs w:val="21"/>
                <w:lang w:eastAsia="zh-CN"/>
              </w:rPr>
            </w:pPr>
            <w:r>
              <w:rPr>
                <w:rFonts w:hint="eastAsia"/>
                <w:color w:val="auto"/>
                <w:kern w:val="0"/>
                <w:sz w:val="21"/>
                <w:szCs w:val="21"/>
                <w:lang w:eastAsia="zh-CN"/>
              </w:rPr>
              <w:t>厂家回收</w:t>
            </w:r>
          </w:p>
        </w:tc>
        <w:tc>
          <w:tcPr>
            <w:tcW w:w="99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240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default" w:ascii="Times New Roman" w:hAnsi="Times New Roman" w:eastAsia="宋体" w:cs="Times New Roman"/>
                <w:color w:val="auto"/>
              </w:rPr>
              <w:t>《一般工业固体废物贮存、处置场污染控制标准》（GB18599-2001）及其修改单</w:t>
            </w:r>
          </w:p>
        </w:tc>
        <w:tc>
          <w:tcPr>
            <w:tcW w:w="851" w:type="dxa"/>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3" w:type="dxa"/>
            <w:vMerge w:val="continue"/>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p>
        </w:tc>
        <w:tc>
          <w:tcPr>
            <w:tcW w:w="564"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rFonts w:hint="default"/>
                <w:color w:val="auto"/>
                <w:kern w:val="0"/>
                <w:sz w:val="21"/>
                <w:szCs w:val="21"/>
                <w:lang w:val="en-US"/>
              </w:rPr>
            </w:pPr>
            <w:r>
              <w:rPr>
                <w:rFonts w:hint="eastAsia"/>
                <w:color w:val="auto"/>
                <w:kern w:val="0"/>
                <w:sz w:val="21"/>
                <w:szCs w:val="21"/>
                <w:lang w:val="en-US" w:eastAsia="zh-CN"/>
              </w:rPr>
              <w:t>S5</w:t>
            </w:r>
          </w:p>
        </w:tc>
        <w:tc>
          <w:tcPr>
            <w:tcW w:w="2878" w:type="dxa"/>
            <w:gridSpan w:val="2"/>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生活垃圾</w:t>
            </w:r>
          </w:p>
        </w:tc>
        <w:tc>
          <w:tcPr>
            <w:tcW w:w="3036"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color w:val="auto"/>
                <w:kern w:val="0"/>
                <w:sz w:val="21"/>
                <w:szCs w:val="21"/>
              </w:rPr>
              <w:t>场区</w:t>
            </w:r>
            <w:r>
              <w:rPr>
                <w:rFonts w:hint="eastAsia"/>
                <w:color w:val="auto"/>
                <w:kern w:val="0"/>
                <w:sz w:val="21"/>
                <w:szCs w:val="21"/>
              </w:rPr>
              <w:t>垃圾桶分类收集</w:t>
            </w:r>
          </w:p>
        </w:tc>
        <w:tc>
          <w:tcPr>
            <w:tcW w:w="708"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1134"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s="Times New Roman"/>
                <w:color w:val="auto"/>
                <w:sz w:val="21"/>
                <w:szCs w:val="21"/>
                <w:lang w:val="en-US" w:eastAsia="zh-CN"/>
              </w:rPr>
              <w:t>9.125</w:t>
            </w:r>
          </w:p>
        </w:tc>
        <w:tc>
          <w:tcPr>
            <w:tcW w:w="2127" w:type="dxa"/>
            <w:gridSpan w:val="3"/>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设垃圾桶</w:t>
            </w:r>
          </w:p>
        </w:tc>
        <w:tc>
          <w:tcPr>
            <w:tcW w:w="99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2402" w:type="dxa"/>
            <w:shd w:val="clear" w:color="auto" w:fill="auto"/>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r>
              <w:rPr>
                <w:rFonts w:hint="eastAsia"/>
                <w:color w:val="auto"/>
                <w:kern w:val="0"/>
                <w:sz w:val="21"/>
                <w:szCs w:val="21"/>
              </w:rPr>
              <w:t>/</w:t>
            </w:r>
          </w:p>
        </w:tc>
        <w:tc>
          <w:tcPr>
            <w:tcW w:w="851" w:type="dxa"/>
            <w:vAlign w:val="center"/>
          </w:tcPr>
          <w:p>
            <w:pPr>
              <w:pStyle w:val="58"/>
              <w:keepNext w:val="0"/>
              <w:keepLines w:val="0"/>
              <w:pageBreakBefore w:val="0"/>
              <w:widowControl w:val="0"/>
              <w:kinsoku/>
              <w:wordWrap/>
              <w:overflowPunct/>
              <w:topLinePunct/>
              <w:autoSpaceDN/>
              <w:bidi w:val="0"/>
              <w:adjustRightInd/>
              <w:snapToGrid/>
              <w:spacing w:line="360" w:lineRule="atLeast"/>
              <w:rPr>
                <w:color w:val="auto"/>
                <w:kern w:val="0"/>
                <w:sz w:val="21"/>
                <w:szCs w:val="21"/>
              </w:rPr>
            </w:pPr>
          </w:p>
        </w:tc>
      </w:tr>
      <w:bookmarkEnd w:id="232"/>
    </w:tbl>
    <w:p>
      <w:pPr>
        <w:pStyle w:val="41"/>
        <w:rPr>
          <w:rFonts w:hint="default"/>
          <w:color w:val="auto"/>
        </w:rPr>
      </w:pPr>
    </w:p>
    <w:p>
      <w:pPr>
        <w:pStyle w:val="41"/>
        <w:rPr>
          <w:rFonts w:hint="default" w:ascii="Times New Roman" w:hAnsi="Times New Roman" w:eastAsia="宋体" w:cs="Times New Roman"/>
          <w:color w:val="auto"/>
          <w:szCs w:val="20"/>
        </w:rPr>
      </w:pPr>
    </w:p>
    <w:p>
      <w:pPr>
        <w:pStyle w:val="41"/>
        <w:rPr>
          <w:rFonts w:hint="default" w:ascii="Times New Roman" w:hAnsi="Times New Roman" w:eastAsia="宋体" w:cs="Times New Roman"/>
          <w:color w:val="auto"/>
          <w:szCs w:val="20"/>
        </w:rPr>
      </w:pPr>
    </w:p>
    <w:p>
      <w:pPr>
        <w:overflowPunct w:val="0"/>
        <w:autoSpaceDE/>
        <w:ind w:firstLine="480"/>
        <w:rPr>
          <w:rFonts w:hint="default" w:ascii="Times New Roman" w:hAnsi="Times New Roman" w:eastAsia="宋体" w:cs="Times New Roman"/>
          <w:color w:val="auto"/>
          <w:szCs w:val="20"/>
        </w:rPr>
        <w:sectPr>
          <w:pgSz w:w="16838" w:h="11906" w:orient="landscape"/>
          <w:pgMar w:top="1701" w:right="1418" w:bottom="1418" w:left="1247"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4"/>
        <w:rPr>
          <w:rFonts w:hint="default" w:ascii="Times New Roman" w:hAnsi="Times New Roman" w:eastAsia="宋体" w:cs="Times New Roman"/>
          <w:color w:val="auto"/>
        </w:rPr>
      </w:pPr>
      <w:bookmarkStart w:id="233" w:name="_Toc27421"/>
      <w:r>
        <w:rPr>
          <w:rFonts w:hint="default" w:ascii="Times New Roman" w:hAnsi="Times New Roman" w:eastAsia="宋体" w:cs="Times New Roman"/>
          <w:color w:val="auto"/>
        </w:rPr>
        <w:t>4环境现状调查及评价</w:t>
      </w:r>
      <w:bookmarkEnd w:id="233"/>
    </w:p>
    <w:p>
      <w:pPr>
        <w:pStyle w:val="5"/>
        <w:rPr>
          <w:rFonts w:hint="default" w:ascii="Times New Roman" w:hAnsi="Times New Roman" w:eastAsia="宋体" w:cs="Times New Roman"/>
          <w:color w:val="auto"/>
        </w:rPr>
      </w:pPr>
      <w:bookmarkStart w:id="234" w:name="_Toc16189"/>
      <w:r>
        <w:rPr>
          <w:rFonts w:hint="default" w:ascii="Times New Roman" w:hAnsi="Times New Roman" w:eastAsia="宋体" w:cs="Times New Roman"/>
          <w:color w:val="auto"/>
        </w:rPr>
        <w:t>4.1自然环境现状调查与评价</w:t>
      </w:r>
      <w:bookmarkEnd w:id="234"/>
    </w:p>
    <w:p>
      <w:pPr>
        <w:pStyle w:val="6"/>
        <w:rPr>
          <w:rFonts w:hint="default" w:ascii="Times New Roman" w:hAnsi="Times New Roman" w:eastAsia="宋体" w:cs="Times New Roman"/>
          <w:color w:val="auto"/>
        </w:rPr>
      </w:pPr>
      <w:bookmarkStart w:id="235" w:name="_Toc11426"/>
      <w:r>
        <w:rPr>
          <w:rFonts w:hint="default" w:ascii="Times New Roman" w:hAnsi="Times New Roman" w:eastAsia="宋体" w:cs="Times New Roman"/>
          <w:color w:val="auto"/>
        </w:rPr>
        <w:t>4.1.1地理位置</w:t>
      </w:r>
      <w:bookmarkEnd w:id="235"/>
    </w:p>
    <w:p>
      <w:pPr>
        <w:ind w:firstLine="480"/>
        <w:rPr>
          <w:rFonts w:hint="default" w:ascii="Times New Roman" w:hAnsi="Times New Roman" w:eastAsia="宋体" w:cs="Times New Roman"/>
          <w:color w:val="auto"/>
        </w:rPr>
      </w:pPr>
      <w:r>
        <w:rPr>
          <w:color w:val="auto"/>
        </w:rPr>
        <w:t>五原县位于内蒙古自治区巴彦淖尔市河套平原腹地，县域南临黄河（属黄河最北端），与鄂尔多斯市隔河相望，北有阴山横亘，和乌拉特中旗相连，东临包头和乌拉特前旗，西与临河区接壤。地理坐标为东经107°36′10″～108°37′50″，北纬40°46"30′～41°16″45′。县境东西最长82公里，均长62.3公里，南北最宽55.5公里，均宽40公里。总面积2492.9平方公里</w:t>
      </w:r>
      <w:r>
        <w:rPr>
          <w:rFonts w:hint="default" w:ascii="Times New Roman" w:hAnsi="Times New Roman" w:eastAsia="宋体" w:cs="Times New Roman"/>
          <w:color w:val="auto"/>
        </w:rPr>
        <w:t>。</w:t>
      </w:r>
    </w:p>
    <w:p>
      <w:pPr>
        <w:pStyle w:val="6"/>
        <w:rPr>
          <w:rFonts w:hint="default" w:ascii="Times New Roman" w:hAnsi="Times New Roman" w:eastAsia="宋体" w:cs="Times New Roman"/>
          <w:color w:val="auto"/>
        </w:rPr>
      </w:pPr>
      <w:bookmarkStart w:id="236" w:name="_Toc7444"/>
      <w:r>
        <w:rPr>
          <w:rFonts w:hint="default" w:ascii="Times New Roman" w:hAnsi="Times New Roman" w:eastAsia="宋体" w:cs="Times New Roman"/>
          <w:color w:val="auto"/>
        </w:rPr>
        <w:t>4.1.2</w:t>
      </w:r>
      <w:r>
        <w:rPr>
          <w:rFonts w:hint="default" w:ascii="Times New Roman" w:hAnsi="Times New Roman" w:eastAsia="宋体" w:cs="Times New Roman"/>
          <w:color w:val="auto"/>
          <w:szCs w:val="22"/>
        </w:rPr>
        <w:t>地形地貌</w:t>
      </w:r>
      <w:bookmarkEnd w:id="236"/>
    </w:p>
    <w:p>
      <w:pPr>
        <w:ind w:firstLine="480"/>
        <w:rPr>
          <w:rFonts w:hint="default" w:ascii="Times New Roman" w:hAnsi="Times New Roman" w:eastAsia="宋体" w:cs="Times New Roman"/>
          <w:color w:val="auto"/>
          <w:kern w:val="0"/>
        </w:rPr>
      </w:pPr>
      <w:r>
        <w:rPr>
          <w:rFonts w:hint="eastAsia"/>
          <w:color w:val="auto"/>
        </w:rPr>
        <w:t>五原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厚度10～70米。中部为河湖交替层，主要岩性为淤泥质、粉砂与粘土互层。下部为巨厚的新老第四纪湖相沉积层，主要岩性为淤泥质砂粘土。土质膏腴肥美，适于农作物及各种植被的生长。虽然有的土地呈盐碱化，但并不影响耐碱作物，如葵花、枸杞等作物的生长</w:t>
      </w:r>
      <w:r>
        <w:rPr>
          <w:rFonts w:hint="default" w:ascii="Times New Roman" w:hAnsi="Times New Roman" w:eastAsia="宋体" w:cs="Times New Roman"/>
          <w:color w:val="auto"/>
          <w:kern w:val="0"/>
        </w:rPr>
        <w:t>。</w:t>
      </w:r>
    </w:p>
    <w:p>
      <w:pPr>
        <w:pStyle w:val="6"/>
        <w:rPr>
          <w:rFonts w:hint="default" w:ascii="Times New Roman" w:hAnsi="Times New Roman" w:eastAsia="宋体" w:cs="Times New Roman"/>
          <w:color w:val="auto"/>
          <w:szCs w:val="22"/>
        </w:rPr>
      </w:pPr>
      <w:bookmarkStart w:id="237" w:name="_Toc9"/>
      <w:r>
        <w:rPr>
          <w:rFonts w:hint="default" w:ascii="Times New Roman" w:hAnsi="Times New Roman" w:eastAsia="宋体" w:cs="Times New Roman"/>
          <w:color w:val="auto"/>
        </w:rPr>
        <w:t>4.1.3</w:t>
      </w:r>
      <w:r>
        <w:rPr>
          <w:rFonts w:hint="default" w:ascii="Times New Roman" w:hAnsi="Times New Roman" w:eastAsia="宋体" w:cs="Times New Roman"/>
          <w:color w:val="auto"/>
          <w:szCs w:val="22"/>
        </w:rPr>
        <w:t>气候特征</w:t>
      </w:r>
      <w:bookmarkEnd w:id="237"/>
    </w:p>
    <w:p>
      <w:pPr>
        <w:ind w:firstLine="480"/>
        <w:rPr>
          <w:rFonts w:hint="default" w:ascii="Times New Roman" w:hAnsi="Times New Roman" w:eastAsia="宋体" w:cs="Times New Roman"/>
          <w:color w:val="auto"/>
        </w:rPr>
      </w:pPr>
      <w:bookmarkStart w:id="238" w:name="_Toc27598546"/>
      <w:r>
        <w:rPr>
          <w:rFonts w:hint="eastAsia"/>
          <w:color w:val="auto"/>
        </w:rPr>
        <w:t>五原县地处中温带大陆性气候与季风气候的交界处，四季分明，冬季漫长寒冷，春季多风干燥，夏季炎热短促。降水集中，雨热同季，日照充足，年平均气温8.2℃，极端最高气温38.1℃（1999年7月26日），极端最低气温-29℃（2008年1月24日）。年平均日照时数3047.4小时，全年无霜期为127～213天，年平均风速1.9米/秒。降水量偏少，蒸发量大，年平均降水量177mm，年蒸发量2093.2mm，降水量由西向东逐渐增多。降水主要集中在6～9月，占全年降水量的75～80%，日最大降水量92mm。主要气象灾害有冰雹、霜冻、寒潮、大风、洪涝、沙尘暴等</w:t>
      </w:r>
      <w:r>
        <w:rPr>
          <w:rFonts w:hint="default" w:ascii="Times New Roman" w:hAnsi="Times New Roman" w:eastAsia="宋体" w:cs="Times New Roman"/>
          <w:color w:val="auto"/>
        </w:rPr>
        <w:t>。</w:t>
      </w:r>
      <w:bookmarkEnd w:id="238"/>
    </w:p>
    <w:p>
      <w:pPr>
        <w:pStyle w:val="6"/>
        <w:rPr>
          <w:rFonts w:hint="default" w:ascii="Times New Roman" w:hAnsi="Times New Roman" w:eastAsia="宋体" w:cs="Times New Roman"/>
          <w:color w:val="auto"/>
        </w:rPr>
      </w:pPr>
      <w:bookmarkStart w:id="239" w:name="_Toc12566"/>
      <w:bookmarkStart w:id="240" w:name="_Toc22427"/>
      <w:bookmarkStart w:id="241" w:name="_Toc7386"/>
      <w:bookmarkStart w:id="242" w:name="_Toc528328470"/>
      <w:bookmarkStart w:id="243" w:name="_Toc10451"/>
      <w:bookmarkStart w:id="244" w:name="_Toc11014"/>
      <w:bookmarkStart w:id="245" w:name="_Toc24507"/>
      <w:r>
        <w:rPr>
          <w:rFonts w:hint="default" w:ascii="Times New Roman" w:hAnsi="Times New Roman" w:eastAsia="宋体" w:cs="Times New Roman"/>
          <w:color w:val="auto"/>
        </w:rPr>
        <w:t>4.1.</w:t>
      </w:r>
      <w:r>
        <w:rPr>
          <w:rFonts w:hint="eastAsia" w:cs="Times New Roman"/>
          <w:color w:val="auto"/>
          <w:lang w:val="en-US" w:eastAsia="zh-CN"/>
        </w:rPr>
        <w:t>4</w:t>
      </w:r>
      <w:r>
        <w:rPr>
          <w:rFonts w:hint="default" w:ascii="Times New Roman" w:hAnsi="Times New Roman" w:eastAsia="宋体" w:cs="Times New Roman"/>
          <w:color w:val="auto"/>
        </w:rPr>
        <w:t>水文条件</w:t>
      </w:r>
      <w:bookmarkEnd w:id="239"/>
      <w:bookmarkEnd w:id="240"/>
      <w:bookmarkEnd w:id="241"/>
      <w:bookmarkEnd w:id="242"/>
      <w:bookmarkEnd w:id="243"/>
      <w:bookmarkEnd w:id="244"/>
      <w:bookmarkEnd w:id="245"/>
    </w:p>
    <w:p>
      <w:pPr>
        <w:ind w:firstLine="480"/>
        <w:rPr>
          <w:rFonts w:hint="default" w:ascii="Times New Roman" w:hAnsi="Times New Roman" w:eastAsia="宋体" w:cs="Times New Roman"/>
          <w:color w:val="auto"/>
        </w:rPr>
      </w:pPr>
      <w:r>
        <w:rPr>
          <w:rFonts w:hint="eastAsia"/>
          <w:color w:val="auto"/>
        </w:rPr>
        <w:t>五原境内因黄河冲积层在长期风蚀作用下形成许多风蚀洼地和黄河改道时冲刷的天然壕沟。这些洼地与壕沟长年积水，形成大小不同的海子（湖泊，俗称泊尔洞）。全县有面积三亩以上的海子171个，总面积5.45万亩；其中千亩以上的海子5个，总面积1.06万亩；百亩以上的海子37个，总面积1.33万亩。海子水深大于1.5米的116个，面积2.71万亩。1986年已被利用的水面3.8万亩，占70%。这些海子大多分布在县境西部的塔尔湖镇、银定图乡、海子堰乡、什巴乡，以及县境南部的套海镇、东部的胜丰镇。城南、美林、隆镇也有零星分布</w:t>
      </w:r>
      <w:r>
        <w:rPr>
          <w:rFonts w:hint="default" w:ascii="Times New Roman" w:hAnsi="Times New Roman" w:eastAsia="宋体" w:cs="Times New Roman"/>
          <w:color w:val="auto"/>
        </w:rPr>
        <w:t>。</w:t>
      </w:r>
    </w:p>
    <w:p>
      <w:pPr>
        <w:pStyle w:val="6"/>
        <w:rPr>
          <w:rFonts w:hint="default" w:ascii="Times New Roman" w:hAnsi="Times New Roman" w:eastAsia="宋体" w:cs="Times New Roman"/>
          <w:color w:val="auto"/>
        </w:rPr>
      </w:pPr>
      <w:bookmarkStart w:id="246" w:name="_Toc4241"/>
      <w:bookmarkStart w:id="247" w:name="_Toc18365"/>
      <w:bookmarkStart w:id="248" w:name="_Toc276105879"/>
      <w:bookmarkStart w:id="249" w:name="_Toc3373"/>
      <w:bookmarkStart w:id="250" w:name="_Toc276333587"/>
      <w:bookmarkStart w:id="251" w:name="_Toc28193"/>
      <w:bookmarkStart w:id="252" w:name="_Toc4343"/>
      <w:bookmarkStart w:id="253" w:name="_Toc528328471"/>
      <w:bookmarkStart w:id="254" w:name="_Toc30372"/>
      <w:r>
        <w:rPr>
          <w:rFonts w:hint="default" w:ascii="Times New Roman" w:hAnsi="Times New Roman" w:eastAsia="宋体" w:cs="Times New Roman"/>
          <w:color w:val="auto"/>
        </w:rPr>
        <w:t>4.1.</w:t>
      </w:r>
      <w:r>
        <w:rPr>
          <w:rFonts w:hint="eastAsia" w:cs="Times New Roman"/>
          <w:color w:val="auto"/>
          <w:lang w:val="en-US" w:eastAsia="zh-CN"/>
        </w:rPr>
        <w:t>5</w:t>
      </w:r>
      <w:r>
        <w:rPr>
          <w:rFonts w:hint="default" w:ascii="Times New Roman" w:hAnsi="Times New Roman" w:eastAsia="宋体" w:cs="Times New Roman"/>
          <w:color w:val="auto"/>
        </w:rPr>
        <w:t>土壤</w:t>
      </w:r>
      <w:bookmarkEnd w:id="246"/>
      <w:bookmarkEnd w:id="247"/>
      <w:bookmarkEnd w:id="248"/>
      <w:bookmarkEnd w:id="249"/>
      <w:bookmarkEnd w:id="250"/>
      <w:bookmarkEnd w:id="251"/>
      <w:bookmarkEnd w:id="252"/>
      <w:bookmarkEnd w:id="253"/>
      <w:bookmarkEnd w:id="254"/>
    </w:p>
    <w:p>
      <w:pPr>
        <w:ind w:firstLine="480"/>
        <w:rPr>
          <w:rFonts w:hint="default" w:ascii="Times New Roman" w:hAnsi="Times New Roman" w:eastAsia="宋体" w:cs="Times New Roman"/>
          <w:color w:val="auto"/>
        </w:rPr>
      </w:pPr>
      <w:bookmarkStart w:id="255" w:name="_Toc148690295"/>
      <w:r>
        <w:rPr>
          <w:rFonts w:hint="eastAsia"/>
          <w:color w:val="auto"/>
        </w:rPr>
        <w:t>五原县土壤类型可划分为灌淤土、盐土、碱土、风沙土、草甸土5个土类、8个亚类、26个土属、268个土种。灌淤土在全县分布广、面积大，是本县耕地的主要土类；盐土在本县面积较大，是荒地的主要土类，只生长一些红柳、碱蓬、盐蒿、猪尾巴等盐生植物；碱土在本县面积较少，土壤的物理性状差，结构不良，难以改造利用；草甸土全县面积较少，是天然的牧场；风沙土在全县分布较少，是发展林业生产和基地和天然牧草场</w:t>
      </w:r>
      <w:r>
        <w:rPr>
          <w:rFonts w:hint="default" w:ascii="Times New Roman" w:hAnsi="Times New Roman" w:eastAsia="宋体" w:cs="Times New Roman"/>
          <w:color w:val="auto"/>
        </w:rPr>
        <w:t>。</w:t>
      </w:r>
    </w:p>
    <w:p>
      <w:pPr>
        <w:pStyle w:val="6"/>
        <w:rPr>
          <w:rFonts w:hint="default" w:ascii="Times New Roman" w:hAnsi="Times New Roman" w:eastAsia="宋体" w:cs="Times New Roman"/>
          <w:color w:val="auto"/>
          <w:lang w:val="en-US" w:eastAsia="zh-CN"/>
        </w:rPr>
      </w:pPr>
      <w:bookmarkStart w:id="256" w:name="_Toc4954"/>
      <w:bookmarkStart w:id="257" w:name="_Toc8422"/>
      <w:bookmarkStart w:id="258" w:name="_Toc18023"/>
      <w:bookmarkStart w:id="259" w:name="_Toc528328472"/>
      <w:bookmarkStart w:id="260" w:name="_Toc5035"/>
      <w:bookmarkStart w:id="261" w:name="_Toc11981"/>
      <w:bookmarkStart w:id="262" w:name="_Toc24794"/>
      <w:r>
        <w:rPr>
          <w:rFonts w:hint="default" w:ascii="Times New Roman" w:hAnsi="Times New Roman" w:eastAsia="宋体" w:cs="Times New Roman"/>
          <w:color w:val="auto"/>
        </w:rPr>
        <w:t>4.1.7</w:t>
      </w:r>
      <w:bookmarkEnd w:id="256"/>
      <w:bookmarkEnd w:id="257"/>
      <w:bookmarkEnd w:id="258"/>
      <w:bookmarkEnd w:id="259"/>
      <w:bookmarkEnd w:id="260"/>
      <w:bookmarkEnd w:id="261"/>
      <w:r>
        <w:rPr>
          <w:rFonts w:hint="eastAsia" w:cs="Times New Roman"/>
          <w:color w:val="auto"/>
          <w:lang w:val="en-US" w:eastAsia="zh-CN"/>
        </w:rPr>
        <w:t>动植物资源</w:t>
      </w:r>
      <w:bookmarkEnd w:id="262"/>
    </w:p>
    <w:p>
      <w:pPr>
        <w:ind w:firstLine="480"/>
        <w:rPr>
          <w:rFonts w:hint="eastAsia" w:eastAsia="宋体"/>
          <w:color w:val="auto"/>
          <w:lang w:eastAsia="zh-CN"/>
        </w:rPr>
      </w:pPr>
      <w:r>
        <w:rPr>
          <w:rFonts w:hint="eastAsia"/>
          <w:color w:val="auto"/>
        </w:rPr>
        <w:t>全县天然野生植物约200余种，分属于15科99个属，其中药用植物有蒲公英、锁阳、甘草、车前草、蒲黄、艾、苍耳等60余种，纤维植物包括芨芨、芦苇、蒲草等，淀粉植物主要有灰菜、沙蓬、沙蒿、野豌豆等。野生动物资源主要有狐狸、兔、黄鼠狼、田鼠等</w:t>
      </w:r>
      <w:bookmarkEnd w:id="255"/>
      <w:r>
        <w:rPr>
          <w:rFonts w:hint="eastAsia"/>
          <w:color w:val="auto"/>
          <w:lang w:eastAsia="zh-CN"/>
        </w:rPr>
        <w:t>。</w:t>
      </w:r>
    </w:p>
    <w:p>
      <w:pPr>
        <w:pStyle w:val="5"/>
        <w:rPr>
          <w:rFonts w:hint="default" w:ascii="Times New Roman" w:hAnsi="Times New Roman" w:eastAsia="宋体" w:cs="Times New Roman"/>
          <w:color w:val="auto"/>
        </w:rPr>
      </w:pPr>
      <w:bookmarkStart w:id="263" w:name="_Toc25235"/>
      <w:r>
        <w:rPr>
          <w:rFonts w:hint="default" w:ascii="Times New Roman" w:hAnsi="Times New Roman" w:eastAsia="宋体" w:cs="Times New Roman"/>
          <w:color w:val="auto"/>
        </w:rPr>
        <w:t>4.2环境质量现状调查与评价</w:t>
      </w:r>
      <w:bookmarkEnd w:id="263"/>
    </w:p>
    <w:p>
      <w:pPr>
        <w:pStyle w:val="6"/>
        <w:rPr>
          <w:rFonts w:hint="default" w:ascii="Times New Roman" w:hAnsi="Times New Roman" w:eastAsia="宋体" w:cs="Times New Roman"/>
          <w:color w:val="auto"/>
        </w:rPr>
      </w:pPr>
      <w:bookmarkStart w:id="264" w:name="_Toc29895"/>
      <w:r>
        <w:rPr>
          <w:rFonts w:hint="default" w:ascii="Times New Roman" w:hAnsi="Times New Roman" w:eastAsia="宋体" w:cs="Times New Roman"/>
          <w:color w:val="auto"/>
        </w:rPr>
        <w:t>4.2.1环境空气质量现状</w:t>
      </w:r>
      <w:bookmarkEnd w:id="264"/>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4.2.1.1区域空气环境达标区判定</w:t>
      </w:r>
    </w:p>
    <w:p>
      <w:pPr>
        <w:spacing w:line="440" w:lineRule="exact"/>
        <w:ind w:firstLine="480"/>
        <w:rPr>
          <w:color w:val="auto"/>
        </w:rPr>
      </w:pPr>
      <w:bookmarkStart w:id="265" w:name="_Toc326843504"/>
      <w:bookmarkStart w:id="266" w:name="_Toc300647740"/>
      <w:bookmarkStart w:id="267" w:name="_Toc312653499"/>
      <w:bookmarkStart w:id="268" w:name="_Toc304627265"/>
      <w:bookmarkStart w:id="269" w:name="_Toc346715577"/>
      <w:r>
        <w:rPr>
          <w:rFonts w:hint="eastAsia"/>
          <w:color w:val="auto"/>
        </w:rPr>
        <w:t>本项目所在区域达标判定引用</w:t>
      </w:r>
      <w:r>
        <w:rPr>
          <w:color w:val="auto"/>
        </w:rPr>
        <w:t>201</w:t>
      </w:r>
      <w:r>
        <w:rPr>
          <w:rFonts w:hint="eastAsia"/>
          <w:color w:val="auto"/>
        </w:rPr>
        <w:t>9年</w:t>
      </w:r>
      <w:r>
        <w:rPr>
          <w:color w:val="auto"/>
        </w:rPr>
        <w:t>巴彦淖尔市大气公报</w:t>
      </w:r>
      <w:r>
        <w:rPr>
          <w:rFonts w:hint="eastAsia"/>
          <w:color w:val="auto"/>
        </w:rPr>
        <w:t>中五原县隆兴昌镇</w:t>
      </w:r>
      <w:r>
        <w:rPr>
          <w:color w:val="auto"/>
        </w:rPr>
        <w:t>监测数据平均值，经统计，引用点位基本污染物年均质量浓度和相应百分位数日平均或8h平均浓度，</w:t>
      </w:r>
      <w:r>
        <w:rPr>
          <w:rFonts w:hint="eastAsia"/>
          <w:color w:val="auto"/>
        </w:rPr>
        <w:t>见</w:t>
      </w:r>
      <w:r>
        <w:rPr>
          <w:color w:val="auto"/>
        </w:rPr>
        <w:t>表</w:t>
      </w:r>
      <w:r>
        <w:rPr>
          <w:rFonts w:hint="eastAsia"/>
          <w:color w:val="auto"/>
        </w:rPr>
        <w:t>4.2-1</w:t>
      </w:r>
      <w:r>
        <w:rPr>
          <w:color w:val="auto"/>
        </w:rPr>
        <w:t>。</w:t>
      </w:r>
    </w:p>
    <w:p>
      <w:pPr>
        <w:pStyle w:val="8"/>
        <w:rPr>
          <w:color w:val="auto"/>
        </w:rPr>
      </w:pPr>
      <w:r>
        <w:rPr>
          <w:color w:val="auto"/>
        </w:rPr>
        <w:t>表</w:t>
      </w:r>
      <w:r>
        <w:rPr>
          <w:rFonts w:hint="eastAsia"/>
          <w:color w:val="auto"/>
        </w:rPr>
        <w:t xml:space="preserve">4.2-1  </w:t>
      </w:r>
      <w:r>
        <w:rPr>
          <w:color w:val="auto"/>
        </w:rPr>
        <w:t xml:space="preserve">  区域空气质量现状评价表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844"/>
        <w:gridCol w:w="2599"/>
        <w:gridCol w:w="1367"/>
        <w:gridCol w:w="1415"/>
        <w:gridCol w:w="1413"/>
        <w:gridCol w:w="1149"/>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vAlign w:val="center"/>
          </w:tcPr>
          <w:p>
            <w:pPr>
              <w:pStyle w:val="58"/>
              <w:rPr>
                <w:color w:val="auto"/>
                <w:szCs w:val="21"/>
              </w:rPr>
            </w:pPr>
            <w:r>
              <w:rPr>
                <w:color w:val="auto"/>
              </w:rPr>
              <w:t>污染物</w:t>
            </w:r>
          </w:p>
        </w:tc>
        <w:tc>
          <w:tcPr>
            <w:tcW w:w="1479" w:type="pct"/>
            <w:vAlign w:val="center"/>
          </w:tcPr>
          <w:p>
            <w:pPr>
              <w:pStyle w:val="58"/>
              <w:rPr>
                <w:color w:val="auto"/>
                <w:szCs w:val="21"/>
              </w:rPr>
            </w:pPr>
            <w:r>
              <w:rPr>
                <w:color w:val="auto"/>
              </w:rPr>
              <w:t>年评价指标</w:t>
            </w:r>
          </w:p>
        </w:tc>
        <w:tc>
          <w:tcPr>
            <w:tcW w:w="778" w:type="pct"/>
            <w:vAlign w:val="center"/>
          </w:tcPr>
          <w:p>
            <w:pPr>
              <w:pStyle w:val="58"/>
              <w:rPr>
                <w:color w:val="auto"/>
                <w:szCs w:val="21"/>
              </w:rPr>
            </w:pPr>
            <w:r>
              <w:rPr>
                <w:color w:val="auto"/>
              </w:rPr>
              <w:t>现状浓度</w:t>
            </w:r>
          </w:p>
          <w:p>
            <w:pPr>
              <w:pStyle w:val="58"/>
              <w:rPr>
                <w:color w:val="auto"/>
                <w:szCs w:val="21"/>
              </w:rPr>
            </w:pPr>
            <w:r>
              <w:rPr>
                <w:color w:val="auto"/>
              </w:rPr>
              <w:t>（μg/m</w:t>
            </w:r>
            <w:r>
              <w:rPr>
                <w:color w:val="auto"/>
                <w:vertAlign w:val="superscript"/>
              </w:rPr>
              <w:t>3</w:t>
            </w:r>
            <w:r>
              <w:rPr>
                <w:color w:val="auto"/>
              </w:rPr>
              <w:t>）</w:t>
            </w:r>
          </w:p>
        </w:tc>
        <w:tc>
          <w:tcPr>
            <w:tcW w:w="805" w:type="pct"/>
            <w:vAlign w:val="center"/>
          </w:tcPr>
          <w:p>
            <w:pPr>
              <w:pStyle w:val="58"/>
              <w:rPr>
                <w:color w:val="auto"/>
                <w:szCs w:val="21"/>
              </w:rPr>
            </w:pPr>
            <w:r>
              <w:rPr>
                <w:color w:val="auto"/>
              </w:rPr>
              <w:t>标准值</w:t>
            </w:r>
          </w:p>
          <w:p>
            <w:pPr>
              <w:pStyle w:val="58"/>
              <w:rPr>
                <w:color w:val="auto"/>
                <w:szCs w:val="21"/>
              </w:rPr>
            </w:pPr>
            <w:r>
              <w:rPr>
                <w:color w:val="auto"/>
              </w:rPr>
              <w:t>（μg/m</w:t>
            </w:r>
            <w:r>
              <w:rPr>
                <w:color w:val="auto"/>
                <w:vertAlign w:val="superscript"/>
              </w:rPr>
              <w:t>3</w:t>
            </w:r>
            <w:r>
              <w:rPr>
                <w:color w:val="auto"/>
              </w:rPr>
              <w:t>）</w:t>
            </w:r>
          </w:p>
        </w:tc>
        <w:tc>
          <w:tcPr>
            <w:tcW w:w="804" w:type="pct"/>
            <w:vAlign w:val="center"/>
          </w:tcPr>
          <w:p>
            <w:pPr>
              <w:pStyle w:val="58"/>
              <w:rPr>
                <w:color w:val="auto"/>
                <w:szCs w:val="21"/>
              </w:rPr>
            </w:pPr>
            <w:r>
              <w:rPr>
                <w:color w:val="auto"/>
              </w:rPr>
              <w:t>占标率（%</w:t>
            </w:r>
            <w:r>
              <w:rPr>
                <w:rFonts w:ascii="宋体" w:hAnsi="宋体"/>
                <w:color w:val="auto"/>
              </w:rPr>
              <w:t>）</w:t>
            </w:r>
          </w:p>
        </w:tc>
        <w:tc>
          <w:tcPr>
            <w:tcW w:w="654" w:type="pct"/>
            <w:vAlign w:val="center"/>
          </w:tcPr>
          <w:p>
            <w:pPr>
              <w:pStyle w:val="58"/>
              <w:rPr>
                <w:color w:val="auto"/>
                <w:szCs w:val="21"/>
              </w:rPr>
            </w:pPr>
            <w:r>
              <w:rPr>
                <w:color w:val="auto"/>
              </w:rPr>
              <w:t>达标情况</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vAlign w:val="center"/>
          </w:tcPr>
          <w:p>
            <w:pPr>
              <w:pStyle w:val="58"/>
              <w:rPr>
                <w:color w:val="auto"/>
                <w:szCs w:val="21"/>
              </w:rPr>
            </w:pPr>
            <w:r>
              <w:rPr>
                <w:color w:val="auto"/>
              </w:rPr>
              <w:t>SO</w:t>
            </w:r>
            <w:r>
              <w:rPr>
                <w:color w:val="auto"/>
                <w:vertAlign w:val="subscript"/>
              </w:rPr>
              <w:t>2</w:t>
            </w:r>
          </w:p>
        </w:tc>
        <w:tc>
          <w:tcPr>
            <w:tcW w:w="1479" w:type="pct"/>
            <w:vAlign w:val="center"/>
          </w:tcPr>
          <w:p>
            <w:pPr>
              <w:pStyle w:val="58"/>
              <w:rPr>
                <w:color w:val="auto"/>
                <w:szCs w:val="21"/>
              </w:rPr>
            </w:pPr>
            <w:r>
              <w:rPr>
                <w:color w:val="auto"/>
              </w:rPr>
              <w:t>年平均质量浓度</w:t>
            </w:r>
          </w:p>
        </w:tc>
        <w:tc>
          <w:tcPr>
            <w:tcW w:w="778" w:type="pct"/>
            <w:vAlign w:val="center"/>
          </w:tcPr>
          <w:p>
            <w:pPr>
              <w:pStyle w:val="58"/>
              <w:rPr>
                <w:color w:val="auto"/>
                <w:szCs w:val="21"/>
              </w:rPr>
            </w:pPr>
            <w:r>
              <w:rPr>
                <w:rFonts w:hint="eastAsia"/>
                <w:color w:val="auto"/>
                <w:szCs w:val="21"/>
              </w:rPr>
              <w:t>2</w:t>
            </w:r>
            <w:r>
              <w:rPr>
                <w:color w:val="auto"/>
                <w:szCs w:val="21"/>
              </w:rPr>
              <w:t>0</w:t>
            </w:r>
          </w:p>
        </w:tc>
        <w:tc>
          <w:tcPr>
            <w:tcW w:w="805" w:type="pct"/>
            <w:vAlign w:val="center"/>
          </w:tcPr>
          <w:p>
            <w:pPr>
              <w:pStyle w:val="58"/>
              <w:rPr>
                <w:color w:val="auto"/>
                <w:szCs w:val="21"/>
              </w:rPr>
            </w:pPr>
            <w:r>
              <w:rPr>
                <w:color w:val="auto"/>
              </w:rPr>
              <w:t>60</w:t>
            </w:r>
          </w:p>
        </w:tc>
        <w:tc>
          <w:tcPr>
            <w:tcW w:w="804" w:type="pct"/>
            <w:vAlign w:val="center"/>
          </w:tcPr>
          <w:p>
            <w:pPr>
              <w:pStyle w:val="58"/>
              <w:rPr>
                <w:color w:val="auto"/>
                <w:szCs w:val="21"/>
              </w:rPr>
            </w:pPr>
            <w:r>
              <w:rPr>
                <w:rFonts w:hint="eastAsia"/>
                <w:color w:val="auto"/>
                <w:szCs w:val="21"/>
              </w:rPr>
              <w:t>3</w:t>
            </w:r>
            <w:r>
              <w:rPr>
                <w:color w:val="auto"/>
                <w:szCs w:val="21"/>
              </w:rPr>
              <w:t>3.33</w:t>
            </w:r>
          </w:p>
        </w:tc>
        <w:tc>
          <w:tcPr>
            <w:tcW w:w="654" w:type="pct"/>
            <w:vAlign w:val="center"/>
          </w:tcPr>
          <w:p>
            <w:pPr>
              <w:pStyle w:val="58"/>
              <w:rPr>
                <w:color w:val="auto"/>
                <w:szCs w:val="21"/>
              </w:rPr>
            </w:pPr>
            <w:r>
              <w:rPr>
                <w:color w:val="auto"/>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vAlign w:val="center"/>
          </w:tcPr>
          <w:p>
            <w:pPr>
              <w:pStyle w:val="58"/>
              <w:rPr>
                <w:color w:val="auto"/>
                <w:szCs w:val="21"/>
              </w:rPr>
            </w:pPr>
            <w:r>
              <w:rPr>
                <w:color w:val="auto"/>
              </w:rPr>
              <w:t>NO</w:t>
            </w:r>
            <w:r>
              <w:rPr>
                <w:color w:val="auto"/>
                <w:vertAlign w:val="subscript"/>
              </w:rPr>
              <w:t>2</w:t>
            </w:r>
          </w:p>
        </w:tc>
        <w:tc>
          <w:tcPr>
            <w:tcW w:w="1479" w:type="pct"/>
            <w:vAlign w:val="center"/>
          </w:tcPr>
          <w:p>
            <w:pPr>
              <w:pStyle w:val="58"/>
              <w:rPr>
                <w:color w:val="auto"/>
                <w:szCs w:val="21"/>
              </w:rPr>
            </w:pPr>
            <w:r>
              <w:rPr>
                <w:color w:val="auto"/>
              </w:rPr>
              <w:t>年平均质量浓度</w:t>
            </w:r>
          </w:p>
        </w:tc>
        <w:tc>
          <w:tcPr>
            <w:tcW w:w="778" w:type="pct"/>
            <w:vAlign w:val="center"/>
          </w:tcPr>
          <w:p>
            <w:pPr>
              <w:pStyle w:val="58"/>
              <w:rPr>
                <w:color w:val="auto"/>
                <w:szCs w:val="21"/>
              </w:rPr>
            </w:pPr>
            <w:r>
              <w:rPr>
                <w:rFonts w:hint="eastAsia"/>
                <w:color w:val="auto"/>
                <w:szCs w:val="21"/>
              </w:rPr>
              <w:t>2</w:t>
            </w:r>
            <w:r>
              <w:rPr>
                <w:color w:val="auto"/>
                <w:szCs w:val="21"/>
              </w:rPr>
              <w:t>0</w:t>
            </w:r>
          </w:p>
        </w:tc>
        <w:tc>
          <w:tcPr>
            <w:tcW w:w="805" w:type="pct"/>
            <w:vAlign w:val="center"/>
          </w:tcPr>
          <w:p>
            <w:pPr>
              <w:pStyle w:val="58"/>
              <w:rPr>
                <w:color w:val="auto"/>
                <w:szCs w:val="21"/>
              </w:rPr>
            </w:pPr>
            <w:r>
              <w:rPr>
                <w:color w:val="auto"/>
              </w:rPr>
              <w:t>40</w:t>
            </w:r>
          </w:p>
        </w:tc>
        <w:tc>
          <w:tcPr>
            <w:tcW w:w="804" w:type="pct"/>
            <w:vAlign w:val="center"/>
          </w:tcPr>
          <w:p>
            <w:pPr>
              <w:pStyle w:val="58"/>
              <w:rPr>
                <w:color w:val="auto"/>
                <w:szCs w:val="21"/>
              </w:rPr>
            </w:pPr>
            <w:r>
              <w:rPr>
                <w:rFonts w:hint="eastAsia"/>
                <w:color w:val="auto"/>
                <w:szCs w:val="21"/>
              </w:rPr>
              <w:t>5</w:t>
            </w:r>
            <w:r>
              <w:rPr>
                <w:color w:val="auto"/>
                <w:szCs w:val="21"/>
              </w:rPr>
              <w:t>0.0</w:t>
            </w:r>
          </w:p>
        </w:tc>
        <w:tc>
          <w:tcPr>
            <w:tcW w:w="654" w:type="pct"/>
            <w:vAlign w:val="center"/>
          </w:tcPr>
          <w:p>
            <w:pPr>
              <w:pStyle w:val="58"/>
              <w:rPr>
                <w:color w:val="auto"/>
                <w:szCs w:val="21"/>
              </w:rPr>
            </w:pPr>
            <w:r>
              <w:rPr>
                <w:rFonts w:hint="eastAsia"/>
                <w:color w:val="auto"/>
                <w:szCs w:val="21"/>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vAlign w:val="center"/>
          </w:tcPr>
          <w:p>
            <w:pPr>
              <w:pStyle w:val="58"/>
              <w:rPr>
                <w:color w:val="auto"/>
                <w:szCs w:val="21"/>
              </w:rPr>
            </w:pPr>
            <w:r>
              <w:rPr>
                <w:color w:val="auto"/>
              </w:rPr>
              <w:t>PM</w:t>
            </w:r>
            <w:r>
              <w:rPr>
                <w:color w:val="auto"/>
                <w:vertAlign w:val="subscript"/>
              </w:rPr>
              <w:t>10</w:t>
            </w:r>
          </w:p>
        </w:tc>
        <w:tc>
          <w:tcPr>
            <w:tcW w:w="1479" w:type="pct"/>
            <w:vAlign w:val="center"/>
          </w:tcPr>
          <w:p>
            <w:pPr>
              <w:pStyle w:val="58"/>
              <w:rPr>
                <w:color w:val="auto"/>
                <w:szCs w:val="21"/>
              </w:rPr>
            </w:pPr>
            <w:r>
              <w:rPr>
                <w:color w:val="auto"/>
              </w:rPr>
              <w:t>年平均质量浓度</w:t>
            </w:r>
          </w:p>
        </w:tc>
        <w:tc>
          <w:tcPr>
            <w:tcW w:w="778" w:type="pct"/>
            <w:vAlign w:val="center"/>
          </w:tcPr>
          <w:p>
            <w:pPr>
              <w:pStyle w:val="58"/>
              <w:rPr>
                <w:color w:val="auto"/>
                <w:szCs w:val="21"/>
              </w:rPr>
            </w:pPr>
            <w:r>
              <w:rPr>
                <w:rFonts w:hint="eastAsia"/>
                <w:color w:val="auto"/>
                <w:szCs w:val="21"/>
              </w:rPr>
              <w:t>7</w:t>
            </w:r>
            <w:r>
              <w:rPr>
                <w:color w:val="auto"/>
                <w:szCs w:val="21"/>
              </w:rPr>
              <w:t>2</w:t>
            </w:r>
          </w:p>
        </w:tc>
        <w:tc>
          <w:tcPr>
            <w:tcW w:w="805" w:type="pct"/>
            <w:vAlign w:val="center"/>
          </w:tcPr>
          <w:p>
            <w:pPr>
              <w:pStyle w:val="58"/>
              <w:rPr>
                <w:color w:val="auto"/>
                <w:szCs w:val="21"/>
              </w:rPr>
            </w:pPr>
            <w:r>
              <w:rPr>
                <w:color w:val="auto"/>
              </w:rPr>
              <w:t>70</w:t>
            </w:r>
          </w:p>
        </w:tc>
        <w:tc>
          <w:tcPr>
            <w:tcW w:w="804" w:type="pct"/>
            <w:vAlign w:val="center"/>
          </w:tcPr>
          <w:p>
            <w:pPr>
              <w:pStyle w:val="58"/>
              <w:rPr>
                <w:color w:val="auto"/>
                <w:szCs w:val="21"/>
              </w:rPr>
            </w:pPr>
            <w:r>
              <w:rPr>
                <w:rFonts w:hint="eastAsia"/>
                <w:color w:val="auto"/>
                <w:szCs w:val="21"/>
              </w:rPr>
              <w:t>1</w:t>
            </w:r>
            <w:r>
              <w:rPr>
                <w:color w:val="auto"/>
                <w:szCs w:val="21"/>
              </w:rPr>
              <w:t>.03</w:t>
            </w:r>
          </w:p>
        </w:tc>
        <w:tc>
          <w:tcPr>
            <w:tcW w:w="654" w:type="pct"/>
            <w:vAlign w:val="center"/>
          </w:tcPr>
          <w:p>
            <w:pPr>
              <w:pStyle w:val="58"/>
              <w:rPr>
                <w:color w:val="auto"/>
                <w:szCs w:val="21"/>
              </w:rPr>
            </w:pPr>
            <w:r>
              <w:rPr>
                <w:rFonts w:hint="eastAsia"/>
                <w:color w:val="auto"/>
                <w:szCs w:val="21"/>
              </w:rPr>
              <w:t>超标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vAlign w:val="center"/>
          </w:tcPr>
          <w:p>
            <w:pPr>
              <w:pStyle w:val="58"/>
              <w:rPr>
                <w:color w:val="auto"/>
                <w:szCs w:val="21"/>
              </w:rPr>
            </w:pPr>
            <w:r>
              <w:rPr>
                <w:color w:val="auto"/>
              </w:rPr>
              <w:t>PM</w:t>
            </w:r>
            <w:r>
              <w:rPr>
                <w:color w:val="auto"/>
                <w:vertAlign w:val="subscript"/>
              </w:rPr>
              <w:t>2.5</w:t>
            </w:r>
          </w:p>
        </w:tc>
        <w:tc>
          <w:tcPr>
            <w:tcW w:w="1479" w:type="pct"/>
            <w:vAlign w:val="center"/>
          </w:tcPr>
          <w:p>
            <w:pPr>
              <w:pStyle w:val="58"/>
              <w:rPr>
                <w:color w:val="auto"/>
                <w:szCs w:val="21"/>
              </w:rPr>
            </w:pPr>
            <w:r>
              <w:rPr>
                <w:color w:val="auto"/>
              </w:rPr>
              <w:t>年平均质量浓度</w:t>
            </w:r>
          </w:p>
        </w:tc>
        <w:tc>
          <w:tcPr>
            <w:tcW w:w="778" w:type="pct"/>
            <w:vAlign w:val="center"/>
          </w:tcPr>
          <w:p>
            <w:pPr>
              <w:pStyle w:val="58"/>
              <w:rPr>
                <w:color w:val="auto"/>
                <w:szCs w:val="21"/>
              </w:rPr>
            </w:pPr>
            <w:r>
              <w:rPr>
                <w:rFonts w:hint="eastAsia"/>
                <w:color w:val="auto"/>
                <w:szCs w:val="21"/>
              </w:rPr>
              <w:t>3</w:t>
            </w:r>
            <w:r>
              <w:rPr>
                <w:color w:val="auto"/>
                <w:szCs w:val="21"/>
              </w:rPr>
              <w:t>3</w:t>
            </w:r>
          </w:p>
        </w:tc>
        <w:tc>
          <w:tcPr>
            <w:tcW w:w="805" w:type="pct"/>
            <w:vAlign w:val="center"/>
          </w:tcPr>
          <w:p>
            <w:pPr>
              <w:pStyle w:val="58"/>
              <w:rPr>
                <w:color w:val="auto"/>
                <w:szCs w:val="21"/>
              </w:rPr>
            </w:pPr>
            <w:r>
              <w:rPr>
                <w:color w:val="auto"/>
              </w:rPr>
              <w:t>35</w:t>
            </w:r>
          </w:p>
        </w:tc>
        <w:tc>
          <w:tcPr>
            <w:tcW w:w="804" w:type="pct"/>
            <w:vAlign w:val="center"/>
          </w:tcPr>
          <w:p>
            <w:pPr>
              <w:pStyle w:val="58"/>
              <w:rPr>
                <w:color w:val="auto"/>
                <w:szCs w:val="21"/>
              </w:rPr>
            </w:pPr>
            <w:r>
              <w:rPr>
                <w:rFonts w:hint="eastAsia"/>
                <w:color w:val="auto"/>
                <w:szCs w:val="21"/>
              </w:rPr>
              <w:t>9</w:t>
            </w:r>
            <w:r>
              <w:rPr>
                <w:color w:val="auto"/>
                <w:szCs w:val="21"/>
              </w:rPr>
              <w:t>4.29</w:t>
            </w:r>
          </w:p>
        </w:tc>
        <w:tc>
          <w:tcPr>
            <w:tcW w:w="654" w:type="pct"/>
            <w:vAlign w:val="center"/>
          </w:tcPr>
          <w:p>
            <w:pPr>
              <w:pStyle w:val="58"/>
              <w:rPr>
                <w:color w:val="auto"/>
                <w:szCs w:val="21"/>
              </w:rPr>
            </w:pPr>
            <w:r>
              <w:rPr>
                <w:rFonts w:hint="eastAsia"/>
                <w:color w:val="auto"/>
                <w:szCs w:val="21"/>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vAlign w:val="center"/>
          </w:tcPr>
          <w:p>
            <w:pPr>
              <w:pStyle w:val="58"/>
              <w:rPr>
                <w:color w:val="auto"/>
                <w:szCs w:val="21"/>
              </w:rPr>
            </w:pPr>
            <w:r>
              <w:rPr>
                <w:color w:val="auto"/>
              </w:rPr>
              <w:t>O</w:t>
            </w:r>
            <w:r>
              <w:rPr>
                <w:color w:val="auto"/>
                <w:vertAlign w:val="subscript"/>
              </w:rPr>
              <w:t>3</w:t>
            </w:r>
          </w:p>
        </w:tc>
        <w:tc>
          <w:tcPr>
            <w:tcW w:w="1479" w:type="pct"/>
            <w:vAlign w:val="center"/>
          </w:tcPr>
          <w:p>
            <w:pPr>
              <w:pStyle w:val="58"/>
              <w:rPr>
                <w:color w:val="auto"/>
                <w:szCs w:val="21"/>
              </w:rPr>
            </w:pPr>
            <w:r>
              <w:rPr>
                <w:color w:val="auto"/>
              </w:rPr>
              <w:t>第90</w:t>
            </w:r>
            <w:r>
              <w:rPr>
                <w:rFonts w:ascii="宋体" w:hAnsi="宋体"/>
                <w:color w:val="auto"/>
              </w:rPr>
              <w:t>百分位数</w:t>
            </w:r>
            <w:r>
              <w:rPr>
                <w:color w:val="auto"/>
              </w:rPr>
              <w:t>8</w:t>
            </w:r>
            <w:r>
              <w:rPr>
                <w:rFonts w:ascii="宋体" w:hAnsi="宋体"/>
                <w:color w:val="auto"/>
              </w:rPr>
              <w:t>小时平均</w:t>
            </w:r>
          </w:p>
        </w:tc>
        <w:tc>
          <w:tcPr>
            <w:tcW w:w="778" w:type="pct"/>
            <w:vAlign w:val="center"/>
          </w:tcPr>
          <w:p>
            <w:pPr>
              <w:pStyle w:val="58"/>
              <w:rPr>
                <w:color w:val="auto"/>
                <w:szCs w:val="21"/>
              </w:rPr>
            </w:pPr>
            <w:r>
              <w:rPr>
                <w:rFonts w:hint="eastAsia"/>
                <w:color w:val="auto"/>
                <w:szCs w:val="21"/>
              </w:rPr>
              <w:t>1</w:t>
            </w:r>
            <w:r>
              <w:rPr>
                <w:color w:val="auto"/>
                <w:szCs w:val="21"/>
              </w:rPr>
              <w:t>56</w:t>
            </w:r>
          </w:p>
        </w:tc>
        <w:tc>
          <w:tcPr>
            <w:tcW w:w="805" w:type="pct"/>
            <w:vAlign w:val="center"/>
          </w:tcPr>
          <w:p>
            <w:pPr>
              <w:pStyle w:val="58"/>
              <w:rPr>
                <w:color w:val="auto"/>
                <w:szCs w:val="21"/>
              </w:rPr>
            </w:pPr>
            <w:r>
              <w:rPr>
                <w:color w:val="auto"/>
              </w:rPr>
              <w:t>160</w:t>
            </w:r>
          </w:p>
        </w:tc>
        <w:tc>
          <w:tcPr>
            <w:tcW w:w="804" w:type="pct"/>
            <w:vAlign w:val="center"/>
          </w:tcPr>
          <w:p>
            <w:pPr>
              <w:pStyle w:val="58"/>
              <w:rPr>
                <w:color w:val="auto"/>
                <w:szCs w:val="21"/>
              </w:rPr>
            </w:pPr>
            <w:r>
              <w:rPr>
                <w:rFonts w:hint="eastAsia"/>
                <w:color w:val="auto"/>
                <w:szCs w:val="21"/>
              </w:rPr>
              <w:t>9</w:t>
            </w:r>
            <w:r>
              <w:rPr>
                <w:color w:val="auto"/>
                <w:szCs w:val="21"/>
              </w:rPr>
              <w:t>7.5</w:t>
            </w:r>
          </w:p>
        </w:tc>
        <w:tc>
          <w:tcPr>
            <w:tcW w:w="654" w:type="pct"/>
            <w:vAlign w:val="center"/>
          </w:tcPr>
          <w:p>
            <w:pPr>
              <w:pStyle w:val="58"/>
              <w:rPr>
                <w:color w:val="auto"/>
                <w:szCs w:val="21"/>
              </w:rPr>
            </w:pPr>
            <w:r>
              <w:rPr>
                <w:rFonts w:hint="eastAsia"/>
                <w:color w:val="auto"/>
                <w:szCs w:val="21"/>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vAlign w:val="center"/>
          </w:tcPr>
          <w:p>
            <w:pPr>
              <w:pStyle w:val="58"/>
              <w:rPr>
                <w:color w:val="auto"/>
                <w:szCs w:val="21"/>
              </w:rPr>
            </w:pPr>
            <w:r>
              <w:rPr>
                <w:color w:val="auto"/>
              </w:rPr>
              <w:t>CO</w:t>
            </w:r>
          </w:p>
        </w:tc>
        <w:tc>
          <w:tcPr>
            <w:tcW w:w="1479" w:type="pct"/>
            <w:vAlign w:val="center"/>
          </w:tcPr>
          <w:p>
            <w:pPr>
              <w:pStyle w:val="58"/>
              <w:rPr>
                <w:color w:val="auto"/>
                <w:szCs w:val="21"/>
              </w:rPr>
            </w:pPr>
            <w:r>
              <w:rPr>
                <w:color w:val="auto"/>
              </w:rPr>
              <w:t>第95</w:t>
            </w:r>
            <w:r>
              <w:rPr>
                <w:rFonts w:ascii="宋体" w:hAnsi="宋体"/>
                <w:color w:val="auto"/>
              </w:rPr>
              <w:t>百分位数日平均</w:t>
            </w:r>
          </w:p>
        </w:tc>
        <w:tc>
          <w:tcPr>
            <w:tcW w:w="778" w:type="pct"/>
            <w:vAlign w:val="center"/>
          </w:tcPr>
          <w:p>
            <w:pPr>
              <w:pStyle w:val="58"/>
              <w:rPr>
                <w:color w:val="auto"/>
                <w:szCs w:val="21"/>
              </w:rPr>
            </w:pPr>
            <w:r>
              <w:rPr>
                <w:color w:val="auto"/>
              </w:rPr>
              <w:t>1.7mg/m</w:t>
            </w:r>
            <w:r>
              <w:rPr>
                <w:color w:val="auto"/>
                <w:vertAlign w:val="superscript"/>
              </w:rPr>
              <w:t>3</w:t>
            </w:r>
          </w:p>
        </w:tc>
        <w:tc>
          <w:tcPr>
            <w:tcW w:w="805" w:type="pct"/>
            <w:vAlign w:val="center"/>
          </w:tcPr>
          <w:p>
            <w:pPr>
              <w:pStyle w:val="58"/>
              <w:rPr>
                <w:color w:val="auto"/>
                <w:szCs w:val="21"/>
              </w:rPr>
            </w:pPr>
            <w:r>
              <w:rPr>
                <w:color w:val="auto"/>
              </w:rPr>
              <w:t>4mg/m</w:t>
            </w:r>
            <w:r>
              <w:rPr>
                <w:color w:val="auto"/>
                <w:vertAlign w:val="superscript"/>
              </w:rPr>
              <w:t>3</w:t>
            </w:r>
          </w:p>
        </w:tc>
        <w:tc>
          <w:tcPr>
            <w:tcW w:w="804" w:type="pct"/>
            <w:vAlign w:val="center"/>
          </w:tcPr>
          <w:p>
            <w:pPr>
              <w:pStyle w:val="58"/>
              <w:rPr>
                <w:color w:val="auto"/>
                <w:szCs w:val="21"/>
              </w:rPr>
            </w:pPr>
            <w:r>
              <w:rPr>
                <w:rFonts w:hint="eastAsia"/>
                <w:color w:val="auto"/>
                <w:szCs w:val="21"/>
              </w:rPr>
              <w:t>4</w:t>
            </w:r>
            <w:r>
              <w:rPr>
                <w:color w:val="auto"/>
                <w:szCs w:val="21"/>
              </w:rPr>
              <w:t>2.5</w:t>
            </w:r>
          </w:p>
        </w:tc>
        <w:tc>
          <w:tcPr>
            <w:tcW w:w="654" w:type="pct"/>
            <w:vAlign w:val="center"/>
          </w:tcPr>
          <w:p>
            <w:pPr>
              <w:pStyle w:val="58"/>
              <w:rPr>
                <w:color w:val="auto"/>
                <w:szCs w:val="21"/>
              </w:rPr>
            </w:pPr>
            <w:r>
              <w:rPr>
                <w:rFonts w:hint="eastAsia"/>
                <w:color w:val="auto"/>
                <w:szCs w:val="21"/>
              </w:rPr>
              <w:t>达标</w:t>
            </w:r>
          </w:p>
        </w:tc>
      </w:tr>
      <w:bookmarkEnd w:id="265"/>
      <w:bookmarkEnd w:id="266"/>
      <w:bookmarkEnd w:id="267"/>
      <w:bookmarkEnd w:id="268"/>
      <w:bookmarkEnd w:id="269"/>
    </w:tbl>
    <w:p>
      <w:pPr>
        <w:ind w:firstLine="480"/>
        <w:rPr>
          <w:rFonts w:hint="default" w:ascii="Times New Roman" w:hAnsi="Times New Roman" w:eastAsia="宋体" w:cs="Times New Roman"/>
          <w:color w:val="auto"/>
        </w:rPr>
      </w:pPr>
      <w:bookmarkStart w:id="270" w:name="_Hlk55122717"/>
      <w:r>
        <w:rPr>
          <w:rFonts w:hint="eastAsia"/>
          <w:color w:val="auto"/>
        </w:rPr>
        <w:t>除</w:t>
      </w:r>
      <w:r>
        <w:rPr>
          <w:color w:val="auto"/>
        </w:rPr>
        <w:t>PM</w:t>
      </w:r>
      <w:r>
        <w:rPr>
          <w:color w:val="auto"/>
          <w:vertAlign w:val="subscript"/>
        </w:rPr>
        <w:t>10</w:t>
      </w:r>
      <w:r>
        <w:rPr>
          <w:rFonts w:hint="eastAsia"/>
          <w:color w:val="auto"/>
        </w:rPr>
        <w:t>外，</w:t>
      </w:r>
      <w:bookmarkEnd w:id="270"/>
      <w:r>
        <w:rPr>
          <w:rFonts w:hint="eastAsia"/>
          <w:color w:val="auto"/>
        </w:rPr>
        <w:t>其他各污染物浓度均优于《环境空气质量标准》（GB3095-2012）二级限值，</w:t>
      </w:r>
      <w:r>
        <w:rPr>
          <w:color w:val="auto"/>
        </w:rPr>
        <w:t>因此</w:t>
      </w:r>
      <w:r>
        <w:rPr>
          <w:rFonts w:hint="eastAsia"/>
          <w:color w:val="auto"/>
        </w:rPr>
        <w:t>，</w:t>
      </w:r>
      <w:r>
        <w:rPr>
          <w:color w:val="auto"/>
        </w:rPr>
        <w:t>项目所在地为</w:t>
      </w:r>
      <w:r>
        <w:rPr>
          <w:rFonts w:hint="eastAsia"/>
          <w:color w:val="auto"/>
        </w:rPr>
        <w:t>不</w:t>
      </w:r>
      <w:r>
        <w:rPr>
          <w:color w:val="auto"/>
        </w:rPr>
        <w:t>达标区</w:t>
      </w:r>
      <w:r>
        <w:rPr>
          <w:rFonts w:hint="eastAsia"/>
          <w:color w:val="auto"/>
        </w:rPr>
        <w:t>；可吸入颗粒物超标，主要原因为当地气候干燥、风沙大所致</w:t>
      </w:r>
      <w:r>
        <w:rPr>
          <w:rFonts w:hint="default" w:ascii="Times New Roman" w:hAnsi="Times New Roman" w:eastAsia="宋体" w:cs="Times New Roman"/>
          <w:color w:val="auto"/>
        </w:rPr>
        <w:t>。</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4.2.1.2其他污染物补充监测</w:t>
      </w:r>
    </w:p>
    <w:p>
      <w:pPr>
        <w:overflowPunct w:val="0"/>
        <w:autoSpaceDE/>
        <w:ind w:firstLine="480"/>
        <w:rPr>
          <w:color w:val="auto"/>
        </w:rPr>
      </w:pPr>
      <w:r>
        <w:rPr>
          <w:rFonts w:hint="eastAsia"/>
          <w:color w:val="auto"/>
        </w:rPr>
        <w:t>根据《环境影响评价技术导则大气环境》（HJ2.2-2018）6.3条要求，本次评价对其他污染物H</w:t>
      </w:r>
      <w:r>
        <w:rPr>
          <w:color w:val="auto"/>
        </w:rPr>
        <w:t>N</w:t>
      </w:r>
      <w:r>
        <w:rPr>
          <w:color w:val="auto"/>
          <w:vertAlign w:val="subscript"/>
        </w:rPr>
        <w:t>3</w:t>
      </w:r>
      <w:r>
        <w:rPr>
          <w:rFonts w:hint="eastAsia"/>
          <w:color w:val="auto"/>
        </w:rPr>
        <w:t>、H</w:t>
      </w:r>
      <w:r>
        <w:rPr>
          <w:rFonts w:hint="eastAsia"/>
          <w:color w:val="auto"/>
          <w:vertAlign w:val="subscript"/>
        </w:rPr>
        <w:t>2</w:t>
      </w:r>
      <w:r>
        <w:rPr>
          <w:rFonts w:hint="eastAsia"/>
          <w:color w:val="auto"/>
        </w:rPr>
        <w:t>S、臭气浓度进行监测，监测点位选择在厂址。</w:t>
      </w:r>
    </w:p>
    <w:p>
      <w:pPr>
        <w:ind w:firstLine="480"/>
        <w:rPr>
          <w:color w:val="auto"/>
        </w:rPr>
      </w:pPr>
      <w:r>
        <w:rPr>
          <w:rFonts w:hint="eastAsia"/>
          <w:color w:val="auto"/>
        </w:rPr>
        <w:t>1、监测点位</w:t>
      </w:r>
    </w:p>
    <w:p>
      <w:pPr>
        <w:overflowPunct w:val="0"/>
        <w:autoSpaceDE/>
        <w:ind w:firstLine="480"/>
        <w:rPr>
          <w:color w:val="auto"/>
        </w:rPr>
      </w:pPr>
      <w:r>
        <w:rPr>
          <w:color w:val="auto"/>
        </w:rPr>
        <w:t>根据建设项目所在的具体位置、当地气象、地形和环境功能等因素，按《环境影响评价技术导则大气</w:t>
      </w:r>
      <w:r>
        <w:rPr>
          <w:rFonts w:hint="eastAsia"/>
          <w:color w:val="auto"/>
        </w:rPr>
        <w:t>环境</w:t>
      </w:r>
      <w:r>
        <w:rPr>
          <w:color w:val="auto"/>
        </w:rPr>
        <w:t>》（HJ2.2-2018）的要求，主要考虑建设项目厂址对周围敏感区域大气环境质量的影响，本次大气环境质量现状监测设置1个监测点，详见表</w:t>
      </w:r>
      <w:r>
        <w:rPr>
          <w:rFonts w:hint="eastAsia"/>
          <w:color w:val="auto"/>
        </w:rPr>
        <w:t>4.2</w:t>
      </w:r>
      <w:r>
        <w:rPr>
          <w:color w:val="auto"/>
        </w:rPr>
        <w:t>-2，</w:t>
      </w:r>
      <w:r>
        <w:rPr>
          <w:rFonts w:hint="eastAsia"/>
          <w:color w:val="auto"/>
        </w:rPr>
        <w:t>如</w:t>
      </w:r>
      <w:r>
        <w:rPr>
          <w:color w:val="auto"/>
        </w:rPr>
        <w:t>图4.2-</w:t>
      </w:r>
      <w:r>
        <w:rPr>
          <w:rFonts w:hint="eastAsia"/>
          <w:color w:val="auto"/>
        </w:rPr>
        <w:t>1所示</w:t>
      </w:r>
      <w:r>
        <w:rPr>
          <w:color w:val="auto"/>
        </w:rPr>
        <w:t>。</w:t>
      </w:r>
    </w:p>
    <w:p>
      <w:pPr>
        <w:pStyle w:val="8"/>
        <w:rPr>
          <w:color w:val="auto"/>
        </w:rPr>
      </w:pPr>
      <w:r>
        <w:rPr>
          <w:snapToGrid w:val="0"/>
          <w:color w:val="auto"/>
        </w:rPr>
        <w:t xml:space="preserve">表4.2-2    </w:t>
      </w:r>
      <w:r>
        <w:rPr>
          <w:rFonts w:hint="eastAsia"/>
          <w:snapToGrid w:val="0"/>
          <w:color w:val="auto"/>
        </w:rPr>
        <w:t>环境空气质量现状补充</w:t>
      </w:r>
      <w:r>
        <w:rPr>
          <w:snapToGrid w:val="0"/>
          <w:color w:val="auto"/>
        </w:rPr>
        <w:t>监测布点</w:t>
      </w:r>
      <w:r>
        <w:rPr>
          <w:rFonts w:hint="eastAsia"/>
          <w:snapToGrid w:val="0"/>
          <w:color w:val="auto"/>
        </w:rPr>
        <w:t>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51"/>
        <w:gridCol w:w="1945"/>
        <w:gridCol w:w="1878"/>
        <w:gridCol w:w="2287"/>
        <w:gridCol w:w="831"/>
        <w:gridCol w:w="141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385" w:type="pct"/>
            <w:vMerge w:val="restart"/>
            <w:vAlign w:val="center"/>
          </w:tcPr>
          <w:p>
            <w:pPr>
              <w:pStyle w:val="58"/>
              <w:rPr>
                <w:color w:val="auto"/>
              </w:rPr>
            </w:pPr>
            <w:r>
              <w:rPr>
                <w:color w:val="auto"/>
              </w:rPr>
              <w:t>编号</w:t>
            </w:r>
          </w:p>
        </w:tc>
        <w:tc>
          <w:tcPr>
            <w:tcW w:w="1103" w:type="pct"/>
            <w:vMerge w:val="restart"/>
            <w:vAlign w:val="center"/>
          </w:tcPr>
          <w:p>
            <w:pPr>
              <w:pStyle w:val="58"/>
              <w:rPr>
                <w:color w:val="auto"/>
              </w:rPr>
            </w:pPr>
            <w:r>
              <w:rPr>
                <w:color w:val="auto"/>
              </w:rPr>
              <w:t>监测点位</w:t>
            </w:r>
            <w:r>
              <w:rPr>
                <w:rFonts w:hint="eastAsia"/>
                <w:color w:val="auto"/>
              </w:rPr>
              <w:t>名称</w:t>
            </w:r>
          </w:p>
        </w:tc>
        <w:tc>
          <w:tcPr>
            <w:tcW w:w="1066" w:type="pct"/>
            <w:vMerge w:val="restart"/>
            <w:vAlign w:val="center"/>
          </w:tcPr>
          <w:p>
            <w:pPr>
              <w:pStyle w:val="58"/>
              <w:rPr>
                <w:color w:val="auto"/>
              </w:rPr>
            </w:pPr>
            <w:r>
              <w:rPr>
                <w:color w:val="auto"/>
              </w:rPr>
              <w:t>监测因子</w:t>
            </w:r>
          </w:p>
        </w:tc>
        <w:tc>
          <w:tcPr>
            <w:tcW w:w="1155" w:type="pct"/>
            <w:vMerge w:val="restart"/>
            <w:vAlign w:val="center"/>
          </w:tcPr>
          <w:p>
            <w:pPr>
              <w:pStyle w:val="58"/>
              <w:rPr>
                <w:color w:val="auto"/>
              </w:rPr>
            </w:pPr>
            <w:r>
              <w:rPr>
                <w:color w:val="auto"/>
              </w:rPr>
              <w:t>位置坐标</w:t>
            </w:r>
          </w:p>
        </w:tc>
        <w:tc>
          <w:tcPr>
            <w:tcW w:w="1289" w:type="pct"/>
            <w:gridSpan w:val="2"/>
            <w:vAlign w:val="center"/>
          </w:tcPr>
          <w:p>
            <w:pPr>
              <w:pStyle w:val="58"/>
              <w:rPr>
                <w:color w:val="auto"/>
              </w:rPr>
            </w:pPr>
            <w:r>
              <w:rPr>
                <w:color w:val="auto"/>
              </w:rPr>
              <w:t>相对于厂址</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385" w:type="pct"/>
            <w:vMerge w:val="continue"/>
            <w:vAlign w:val="center"/>
          </w:tcPr>
          <w:p>
            <w:pPr>
              <w:pStyle w:val="58"/>
              <w:rPr>
                <w:color w:val="auto"/>
              </w:rPr>
            </w:pPr>
          </w:p>
        </w:tc>
        <w:tc>
          <w:tcPr>
            <w:tcW w:w="1103" w:type="pct"/>
            <w:vMerge w:val="continue"/>
            <w:vAlign w:val="center"/>
          </w:tcPr>
          <w:p>
            <w:pPr>
              <w:pStyle w:val="58"/>
              <w:rPr>
                <w:color w:val="auto"/>
              </w:rPr>
            </w:pPr>
          </w:p>
        </w:tc>
        <w:tc>
          <w:tcPr>
            <w:tcW w:w="1066" w:type="pct"/>
            <w:vMerge w:val="continue"/>
            <w:vAlign w:val="center"/>
          </w:tcPr>
          <w:p>
            <w:pPr>
              <w:pStyle w:val="58"/>
              <w:rPr>
                <w:color w:val="auto"/>
              </w:rPr>
            </w:pPr>
          </w:p>
        </w:tc>
        <w:tc>
          <w:tcPr>
            <w:tcW w:w="1155" w:type="pct"/>
            <w:vMerge w:val="continue"/>
            <w:vAlign w:val="center"/>
          </w:tcPr>
          <w:p>
            <w:pPr>
              <w:pStyle w:val="58"/>
              <w:rPr>
                <w:color w:val="auto"/>
              </w:rPr>
            </w:pPr>
          </w:p>
        </w:tc>
        <w:tc>
          <w:tcPr>
            <w:tcW w:w="484" w:type="pct"/>
            <w:vAlign w:val="center"/>
          </w:tcPr>
          <w:p>
            <w:pPr>
              <w:pStyle w:val="58"/>
              <w:rPr>
                <w:color w:val="auto"/>
              </w:rPr>
            </w:pPr>
            <w:r>
              <w:rPr>
                <w:color w:val="auto"/>
              </w:rPr>
              <w:t>方位</w:t>
            </w:r>
          </w:p>
        </w:tc>
        <w:tc>
          <w:tcPr>
            <w:tcW w:w="806" w:type="pct"/>
            <w:vAlign w:val="center"/>
          </w:tcPr>
          <w:p>
            <w:pPr>
              <w:pStyle w:val="58"/>
              <w:rPr>
                <w:color w:val="auto"/>
              </w:rPr>
            </w:pPr>
            <w:r>
              <w:rPr>
                <w:color w:val="auto"/>
              </w:rPr>
              <w:t>距离（km）</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85" w:type="pct"/>
            <w:vAlign w:val="center"/>
          </w:tcPr>
          <w:p>
            <w:pPr>
              <w:pStyle w:val="58"/>
              <w:rPr>
                <w:color w:val="auto"/>
              </w:rPr>
            </w:pPr>
            <w:r>
              <w:rPr>
                <w:rFonts w:hint="eastAsia"/>
                <w:color w:val="auto"/>
              </w:rPr>
              <w:t>G1</w:t>
            </w:r>
          </w:p>
        </w:tc>
        <w:tc>
          <w:tcPr>
            <w:tcW w:w="1103" w:type="pct"/>
            <w:vAlign w:val="center"/>
          </w:tcPr>
          <w:p>
            <w:pPr>
              <w:pStyle w:val="58"/>
              <w:rPr>
                <w:color w:val="auto"/>
              </w:rPr>
            </w:pPr>
            <w:r>
              <w:rPr>
                <w:rFonts w:hint="eastAsia"/>
                <w:color w:val="auto"/>
              </w:rPr>
              <w:t>项目厂址</w:t>
            </w:r>
          </w:p>
        </w:tc>
        <w:tc>
          <w:tcPr>
            <w:tcW w:w="1066" w:type="pct"/>
            <w:vAlign w:val="center"/>
          </w:tcPr>
          <w:p>
            <w:pPr>
              <w:pStyle w:val="58"/>
              <w:rPr>
                <w:color w:val="auto"/>
              </w:rPr>
            </w:pPr>
            <w:r>
              <w:rPr>
                <w:rFonts w:hint="eastAsia"/>
                <w:color w:val="auto"/>
              </w:rPr>
              <w:t>H</w:t>
            </w:r>
            <w:r>
              <w:rPr>
                <w:color w:val="auto"/>
              </w:rPr>
              <w:t>N</w:t>
            </w:r>
            <w:r>
              <w:rPr>
                <w:color w:val="auto"/>
                <w:vertAlign w:val="subscript"/>
              </w:rPr>
              <w:t>3</w:t>
            </w:r>
            <w:r>
              <w:rPr>
                <w:rFonts w:hint="eastAsia"/>
                <w:color w:val="auto"/>
              </w:rPr>
              <w:t>、H</w:t>
            </w:r>
            <w:r>
              <w:rPr>
                <w:rFonts w:hint="eastAsia"/>
                <w:color w:val="auto"/>
                <w:vertAlign w:val="subscript"/>
              </w:rPr>
              <w:t>2</w:t>
            </w:r>
            <w:r>
              <w:rPr>
                <w:rFonts w:hint="eastAsia"/>
                <w:color w:val="auto"/>
              </w:rPr>
              <w:t>S、臭气浓度</w:t>
            </w:r>
          </w:p>
        </w:tc>
        <w:tc>
          <w:tcPr>
            <w:tcW w:w="1155" w:type="pct"/>
            <w:vAlign w:val="center"/>
          </w:tcPr>
          <w:p>
            <w:pPr>
              <w:pStyle w:val="58"/>
              <w:rPr>
                <w:color w:val="auto"/>
              </w:rPr>
            </w:pPr>
            <w:r>
              <w:rPr>
                <w:rFonts w:hint="eastAsia"/>
                <w:color w:val="auto"/>
              </w:rPr>
              <w:t>E107°39′10.148″</w:t>
            </w:r>
            <w:r>
              <w:rPr>
                <w:rFonts w:hint="eastAsia"/>
                <w:color w:val="auto"/>
                <w:lang w:eastAsia="zh-CN"/>
              </w:rPr>
              <w:t>，</w:t>
            </w:r>
            <w:r>
              <w:rPr>
                <w:rFonts w:hint="eastAsia"/>
                <w:color w:val="auto"/>
              </w:rPr>
              <w:t>N40°53′28.29″</w:t>
            </w:r>
          </w:p>
        </w:tc>
        <w:tc>
          <w:tcPr>
            <w:tcW w:w="484" w:type="pct"/>
            <w:vAlign w:val="center"/>
          </w:tcPr>
          <w:p>
            <w:pPr>
              <w:pStyle w:val="58"/>
              <w:rPr>
                <w:color w:val="auto"/>
              </w:rPr>
            </w:pPr>
            <w:r>
              <w:rPr>
                <w:rFonts w:hint="eastAsia"/>
                <w:color w:val="auto"/>
              </w:rPr>
              <w:t>/</w:t>
            </w:r>
          </w:p>
        </w:tc>
        <w:tc>
          <w:tcPr>
            <w:tcW w:w="806" w:type="pct"/>
            <w:vAlign w:val="center"/>
          </w:tcPr>
          <w:p>
            <w:pPr>
              <w:pStyle w:val="58"/>
              <w:rPr>
                <w:color w:val="auto"/>
              </w:rPr>
            </w:pPr>
            <w:r>
              <w:rPr>
                <w:color w:val="auto"/>
              </w:rPr>
              <w:t>/</w:t>
            </w:r>
          </w:p>
        </w:tc>
      </w:tr>
    </w:tbl>
    <w:p>
      <w:pPr>
        <w:ind w:firstLine="480"/>
        <w:rPr>
          <w:color w:val="auto"/>
        </w:rPr>
      </w:pPr>
      <w:r>
        <w:rPr>
          <w:rFonts w:hint="eastAsia"/>
          <w:color w:val="auto"/>
        </w:rPr>
        <w:t>2、监测项目</w:t>
      </w:r>
    </w:p>
    <w:p>
      <w:pPr>
        <w:ind w:firstLine="480"/>
        <w:rPr>
          <w:color w:val="auto"/>
        </w:rPr>
      </w:pPr>
      <w:r>
        <w:rPr>
          <w:rFonts w:hint="eastAsia"/>
          <w:color w:val="auto"/>
        </w:rPr>
        <w:t>其他污染物：H</w:t>
      </w:r>
      <w:r>
        <w:rPr>
          <w:color w:val="auto"/>
        </w:rPr>
        <w:t>N</w:t>
      </w:r>
      <w:r>
        <w:rPr>
          <w:color w:val="auto"/>
          <w:vertAlign w:val="subscript"/>
        </w:rPr>
        <w:t>3</w:t>
      </w:r>
      <w:r>
        <w:rPr>
          <w:rFonts w:hint="eastAsia"/>
          <w:color w:val="auto"/>
        </w:rPr>
        <w:t>、H</w:t>
      </w:r>
      <w:r>
        <w:rPr>
          <w:rFonts w:hint="eastAsia"/>
          <w:color w:val="auto"/>
          <w:vertAlign w:val="subscript"/>
        </w:rPr>
        <w:t>2</w:t>
      </w:r>
      <w:r>
        <w:rPr>
          <w:rFonts w:hint="eastAsia"/>
          <w:color w:val="auto"/>
        </w:rPr>
        <w:t>S、臭气浓度</w:t>
      </w:r>
    </w:p>
    <w:p>
      <w:pPr>
        <w:ind w:firstLine="480"/>
        <w:rPr>
          <w:color w:val="auto"/>
        </w:rPr>
      </w:pPr>
      <w:r>
        <w:rPr>
          <w:rFonts w:hint="eastAsia"/>
          <w:color w:val="auto"/>
        </w:rPr>
        <w:t>同步观测风速、风向、气温、气压等常规气象参数。</w:t>
      </w:r>
    </w:p>
    <w:p>
      <w:pPr>
        <w:ind w:firstLine="480"/>
        <w:rPr>
          <w:color w:val="auto"/>
        </w:rPr>
      </w:pPr>
      <w:r>
        <w:rPr>
          <w:rFonts w:hint="eastAsia"/>
          <w:color w:val="auto"/>
        </w:rPr>
        <w:t>3、监测时间和监测频率</w:t>
      </w:r>
    </w:p>
    <w:p>
      <w:pPr>
        <w:spacing w:line="440" w:lineRule="exact"/>
        <w:ind w:firstLine="480"/>
        <w:rPr>
          <w:color w:val="auto"/>
          <w:szCs w:val="24"/>
        </w:rPr>
      </w:pPr>
      <w:r>
        <w:rPr>
          <w:color w:val="auto"/>
          <w:szCs w:val="24"/>
        </w:rPr>
        <w:t>H</w:t>
      </w:r>
      <w:r>
        <w:rPr>
          <w:color w:val="auto"/>
          <w:szCs w:val="24"/>
          <w:vertAlign w:val="subscript"/>
        </w:rPr>
        <w:t>2</w:t>
      </w:r>
      <w:r>
        <w:rPr>
          <w:color w:val="auto"/>
          <w:szCs w:val="24"/>
        </w:rPr>
        <w:t>S、NH</w:t>
      </w:r>
      <w:r>
        <w:rPr>
          <w:color w:val="auto"/>
          <w:szCs w:val="24"/>
          <w:vertAlign w:val="subscript"/>
        </w:rPr>
        <w:t>3</w:t>
      </w:r>
      <w:r>
        <w:rPr>
          <w:rFonts w:hint="eastAsia"/>
          <w:color w:val="auto"/>
        </w:rPr>
        <w:t>、臭气浓度</w:t>
      </w:r>
      <w:r>
        <w:rPr>
          <w:color w:val="auto"/>
          <w:szCs w:val="24"/>
        </w:rPr>
        <w:t>测小时均值</w:t>
      </w:r>
      <w:r>
        <w:rPr>
          <w:rFonts w:hint="eastAsia"/>
          <w:color w:val="auto"/>
          <w:szCs w:val="24"/>
        </w:rPr>
        <w:t>，</w:t>
      </w:r>
      <w:r>
        <w:rPr>
          <w:color w:val="auto"/>
          <w:szCs w:val="24"/>
        </w:rPr>
        <w:t>每天监测4次，每小时至少有45min的采样时间。</w:t>
      </w:r>
      <w:r>
        <w:rPr>
          <w:rFonts w:hint="eastAsia"/>
          <w:color w:val="auto"/>
          <w:szCs w:val="24"/>
        </w:rPr>
        <w:t>202</w:t>
      </w:r>
      <w:r>
        <w:rPr>
          <w:rFonts w:hint="eastAsia"/>
          <w:color w:val="auto"/>
          <w:szCs w:val="24"/>
          <w:lang w:val="en-US" w:eastAsia="zh-CN"/>
        </w:rPr>
        <w:t>1</w:t>
      </w:r>
      <w:r>
        <w:rPr>
          <w:rFonts w:hint="eastAsia"/>
          <w:color w:val="auto"/>
          <w:szCs w:val="24"/>
        </w:rPr>
        <w:t>年</w:t>
      </w:r>
      <w:r>
        <w:rPr>
          <w:rFonts w:hint="eastAsia"/>
          <w:color w:val="auto"/>
          <w:szCs w:val="24"/>
          <w:lang w:val="en-US" w:eastAsia="zh-CN"/>
        </w:rPr>
        <w:t>4</w:t>
      </w:r>
      <w:r>
        <w:rPr>
          <w:rFonts w:hint="eastAsia"/>
          <w:color w:val="auto"/>
          <w:szCs w:val="24"/>
        </w:rPr>
        <w:t>月</w:t>
      </w:r>
      <w:r>
        <w:rPr>
          <w:rFonts w:hint="eastAsia"/>
          <w:color w:val="auto"/>
          <w:szCs w:val="24"/>
          <w:lang w:val="en-US" w:eastAsia="zh-CN"/>
        </w:rPr>
        <w:t>16</w:t>
      </w:r>
      <w:r>
        <w:rPr>
          <w:rFonts w:hint="eastAsia"/>
          <w:color w:val="auto"/>
          <w:szCs w:val="24"/>
        </w:rPr>
        <w:t>日至</w:t>
      </w:r>
      <w:r>
        <w:rPr>
          <w:rFonts w:hint="eastAsia"/>
          <w:color w:val="auto"/>
          <w:szCs w:val="24"/>
          <w:lang w:val="en-US" w:eastAsia="zh-CN"/>
        </w:rPr>
        <w:t>22</w:t>
      </w:r>
      <w:r>
        <w:rPr>
          <w:rFonts w:hint="eastAsia"/>
          <w:color w:val="auto"/>
          <w:szCs w:val="24"/>
        </w:rPr>
        <w:t>日</w:t>
      </w:r>
      <w:r>
        <w:rPr>
          <w:color w:val="auto"/>
          <w:szCs w:val="24"/>
        </w:rPr>
        <w:t>连续监测7天，</w:t>
      </w:r>
      <w:r>
        <w:rPr>
          <w:rFonts w:hint="eastAsia"/>
          <w:color w:val="auto"/>
          <w:szCs w:val="24"/>
        </w:rPr>
        <w:t>监测单位为内蒙古华智鼎环保科技有限公司。</w:t>
      </w:r>
    </w:p>
    <w:p>
      <w:pPr>
        <w:ind w:firstLine="480"/>
        <w:rPr>
          <w:color w:val="auto"/>
        </w:rPr>
      </w:pPr>
      <w:r>
        <w:rPr>
          <w:rFonts w:ascii="宋体" w:hAnsi="宋体"/>
          <w:color w:val="auto"/>
        </w:rPr>
        <w:t>4</w:t>
      </w:r>
      <w:r>
        <w:rPr>
          <w:rFonts w:hint="eastAsia" w:ascii="宋体" w:hAnsi="宋体"/>
          <w:color w:val="auto"/>
        </w:rPr>
        <w:t>、</w:t>
      </w:r>
      <w:r>
        <w:rPr>
          <w:rFonts w:hint="eastAsia"/>
          <w:color w:val="auto"/>
        </w:rPr>
        <w:t>分析方法</w:t>
      </w:r>
    </w:p>
    <w:p>
      <w:pPr>
        <w:ind w:firstLine="480"/>
        <w:rPr>
          <w:b/>
          <w:bCs/>
          <w:color w:val="auto"/>
          <w:lang w:val="zh-CN"/>
        </w:rPr>
      </w:pPr>
      <w:bookmarkStart w:id="271" w:name="_Toc346715579"/>
      <w:r>
        <w:rPr>
          <w:color w:val="auto"/>
          <w:lang w:val="zh-CN"/>
        </w:rPr>
        <w:t>采样方法按《环境监测技术规范》（大气部分）进行，监测分析方法按《环境空气质量标准》（GB3095-2012）中表2和《空气和废气监测分析方法》进行。具体监测方法及检出限见</w:t>
      </w:r>
      <w:r>
        <w:rPr>
          <w:color w:val="auto"/>
        </w:rPr>
        <w:t>下</w:t>
      </w:r>
      <w:r>
        <w:rPr>
          <w:color w:val="auto"/>
          <w:lang w:val="zh-CN"/>
        </w:rPr>
        <w:t>表。</w:t>
      </w:r>
    </w:p>
    <w:p>
      <w:pPr>
        <w:pStyle w:val="8"/>
        <w:rPr>
          <w:color w:val="auto"/>
        </w:rPr>
      </w:pPr>
      <w:r>
        <w:rPr>
          <w:color w:val="auto"/>
        </w:rPr>
        <w:t>表4.2-3    环境空气监测分析方法</w:t>
      </w:r>
    </w:p>
    <w:tbl>
      <w:tblPr>
        <w:tblStyle w:val="34"/>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502"/>
        <w:gridCol w:w="654"/>
        <w:gridCol w:w="4331"/>
        <w:gridCol w:w="801"/>
        <w:gridCol w:w="1379"/>
        <w:gridCol w:w="133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0" w:type="auto"/>
            <w:vAlign w:val="center"/>
          </w:tcPr>
          <w:p>
            <w:pPr>
              <w:pStyle w:val="58"/>
              <w:rPr>
                <w:color w:val="auto"/>
              </w:rPr>
            </w:pPr>
            <w:r>
              <w:rPr>
                <w:rFonts w:hint="eastAsia"/>
                <w:color w:val="auto"/>
              </w:rPr>
              <w:t>序号</w:t>
            </w:r>
          </w:p>
        </w:tc>
        <w:tc>
          <w:tcPr>
            <w:tcW w:w="0" w:type="auto"/>
            <w:vAlign w:val="center"/>
          </w:tcPr>
          <w:p>
            <w:pPr>
              <w:pStyle w:val="58"/>
              <w:rPr>
                <w:color w:val="auto"/>
              </w:rPr>
            </w:pPr>
            <w:r>
              <w:rPr>
                <w:color w:val="auto"/>
              </w:rPr>
              <w:t>检测项目</w:t>
            </w:r>
          </w:p>
        </w:tc>
        <w:tc>
          <w:tcPr>
            <w:tcW w:w="0" w:type="auto"/>
            <w:vAlign w:val="center"/>
          </w:tcPr>
          <w:p>
            <w:pPr>
              <w:pStyle w:val="58"/>
              <w:rPr>
                <w:color w:val="auto"/>
                <w:kern w:val="0"/>
                <w:lang w:bidi="ar"/>
              </w:rPr>
            </w:pPr>
            <w:r>
              <w:rPr>
                <w:color w:val="auto"/>
              </w:rPr>
              <w:t>分析方法及来源</w:t>
            </w:r>
          </w:p>
        </w:tc>
        <w:tc>
          <w:tcPr>
            <w:tcW w:w="0" w:type="auto"/>
            <w:vAlign w:val="center"/>
          </w:tcPr>
          <w:p>
            <w:pPr>
              <w:pStyle w:val="58"/>
              <w:rPr>
                <w:color w:val="auto"/>
              </w:rPr>
            </w:pPr>
            <w:r>
              <w:rPr>
                <w:color w:val="auto"/>
              </w:rPr>
              <w:t>检出限</w:t>
            </w:r>
          </w:p>
        </w:tc>
        <w:tc>
          <w:tcPr>
            <w:tcW w:w="0" w:type="auto"/>
            <w:vAlign w:val="center"/>
          </w:tcPr>
          <w:p>
            <w:pPr>
              <w:pStyle w:val="58"/>
              <w:rPr>
                <w:color w:val="auto"/>
              </w:rPr>
            </w:pPr>
            <w:r>
              <w:rPr>
                <w:color w:val="auto"/>
              </w:rPr>
              <w:t>仪器设备名称/型号</w:t>
            </w:r>
          </w:p>
        </w:tc>
        <w:tc>
          <w:tcPr>
            <w:tcW w:w="0" w:type="auto"/>
            <w:vAlign w:val="center"/>
          </w:tcPr>
          <w:p>
            <w:pPr>
              <w:pStyle w:val="58"/>
              <w:rPr>
                <w:color w:val="auto"/>
              </w:rPr>
            </w:pPr>
            <w:r>
              <w:rPr>
                <w:color w:val="auto"/>
              </w:rPr>
              <w:t>仪器管理编号</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1" w:hRule="atLeast"/>
          <w:tblHeader/>
          <w:jc w:val="center"/>
        </w:trPr>
        <w:tc>
          <w:tcPr>
            <w:tcW w:w="0" w:type="auto"/>
            <w:vAlign w:val="center"/>
          </w:tcPr>
          <w:p>
            <w:pPr>
              <w:pStyle w:val="58"/>
              <w:rPr>
                <w:rFonts w:hint="eastAsia" w:eastAsia="宋体"/>
                <w:color w:val="auto"/>
                <w:lang w:eastAsia="zh-CN"/>
              </w:rPr>
            </w:pPr>
            <w:r>
              <w:rPr>
                <w:rFonts w:hint="eastAsia"/>
                <w:color w:val="auto"/>
                <w:lang w:val="en-US" w:eastAsia="zh-CN"/>
              </w:rPr>
              <w:t>1</w:t>
            </w:r>
          </w:p>
        </w:tc>
        <w:tc>
          <w:tcPr>
            <w:tcW w:w="0" w:type="auto"/>
            <w:vAlign w:val="center"/>
          </w:tcPr>
          <w:p>
            <w:pPr>
              <w:pStyle w:val="58"/>
              <w:rPr>
                <w:color w:val="auto"/>
              </w:rPr>
            </w:pPr>
            <w:r>
              <w:rPr>
                <w:color w:val="auto"/>
              </w:rPr>
              <w:t>氨气</w:t>
            </w:r>
          </w:p>
        </w:tc>
        <w:tc>
          <w:tcPr>
            <w:tcW w:w="0" w:type="auto"/>
            <w:vAlign w:val="center"/>
          </w:tcPr>
          <w:p>
            <w:pPr>
              <w:pStyle w:val="58"/>
              <w:rPr>
                <w:color w:val="auto"/>
              </w:rPr>
            </w:pPr>
            <w:r>
              <w:rPr>
                <w:color w:val="auto"/>
              </w:rPr>
              <w:t>《环境空气和废气 氨的测定 纳氏试剂分光光度法》 （HJ 533-2009 ）</w:t>
            </w:r>
          </w:p>
        </w:tc>
        <w:tc>
          <w:tcPr>
            <w:tcW w:w="0" w:type="auto"/>
            <w:vAlign w:val="center"/>
          </w:tcPr>
          <w:p>
            <w:pPr>
              <w:pStyle w:val="58"/>
              <w:rPr>
                <w:color w:val="auto"/>
              </w:rPr>
            </w:pPr>
            <w:r>
              <w:rPr>
                <w:color w:val="auto"/>
              </w:rPr>
              <w:t>0.01</w:t>
            </w:r>
          </w:p>
          <w:p>
            <w:pPr>
              <w:pStyle w:val="58"/>
              <w:rPr>
                <w:color w:val="auto"/>
              </w:rPr>
            </w:pPr>
            <w:r>
              <w:rPr>
                <w:color w:val="auto"/>
              </w:rPr>
              <w:t>mg/m</w:t>
            </w:r>
            <w:r>
              <w:rPr>
                <w:color w:val="auto"/>
                <w:vertAlign w:val="superscript"/>
              </w:rPr>
              <w:t>3</w:t>
            </w:r>
            <w:r>
              <w:rPr>
                <w:color w:val="auto"/>
              </w:rPr>
              <w:t xml:space="preserve"> </w:t>
            </w:r>
          </w:p>
        </w:tc>
        <w:tc>
          <w:tcPr>
            <w:tcW w:w="0" w:type="auto"/>
            <w:vAlign w:val="center"/>
          </w:tcPr>
          <w:p>
            <w:pPr>
              <w:pStyle w:val="58"/>
              <w:rPr>
                <w:color w:val="auto"/>
              </w:rPr>
            </w:pPr>
            <w:r>
              <w:rPr>
                <w:color w:val="auto"/>
              </w:rPr>
              <w:t>可见分光光度计/7230G</w:t>
            </w:r>
          </w:p>
        </w:tc>
        <w:tc>
          <w:tcPr>
            <w:tcW w:w="0" w:type="auto"/>
            <w:vAlign w:val="center"/>
          </w:tcPr>
          <w:p>
            <w:pPr>
              <w:pStyle w:val="58"/>
              <w:rPr>
                <w:color w:val="auto"/>
              </w:rPr>
            </w:pPr>
            <w:r>
              <w:rPr>
                <w:color w:val="auto"/>
              </w:rPr>
              <w:t>HZD-022-A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1" w:hRule="atLeast"/>
          <w:tblHeader/>
          <w:jc w:val="center"/>
        </w:trPr>
        <w:tc>
          <w:tcPr>
            <w:tcW w:w="0" w:type="auto"/>
            <w:vAlign w:val="center"/>
          </w:tcPr>
          <w:p>
            <w:pPr>
              <w:pStyle w:val="58"/>
              <w:rPr>
                <w:rFonts w:hint="eastAsia" w:eastAsia="宋体"/>
                <w:color w:val="auto"/>
                <w:lang w:eastAsia="zh-CN"/>
              </w:rPr>
            </w:pPr>
            <w:r>
              <w:rPr>
                <w:rFonts w:hint="eastAsia"/>
                <w:color w:val="auto"/>
                <w:lang w:val="en-US" w:eastAsia="zh-CN"/>
              </w:rPr>
              <w:t>2</w:t>
            </w:r>
          </w:p>
        </w:tc>
        <w:tc>
          <w:tcPr>
            <w:tcW w:w="0" w:type="auto"/>
            <w:vAlign w:val="center"/>
          </w:tcPr>
          <w:p>
            <w:pPr>
              <w:pStyle w:val="58"/>
              <w:rPr>
                <w:color w:val="auto"/>
              </w:rPr>
            </w:pPr>
            <w:r>
              <w:rPr>
                <w:color w:val="auto"/>
              </w:rPr>
              <w:t>硫化氢</w:t>
            </w:r>
          </w:p>
        </w:tc>
        <w:tc>
          <w:tcPr>
            <w:tcW w:w="0" w:type="auto"/>
            <w:vAlign w:val="center"/>
          </w:tcPr>
          <w:p>
            <w:pPr>
              <w:pStyle w:val="58"/>
              <w:rPr>
                <w:color w:val="auto"/>
              </w:rPr>
            </w:pPr>
            <w:r>
              <w:rPr>
                <w:color w:val="auto"/>
              </w:rPr>
              <w:t>《空气和废气监测分析方法》（第四版）硫化氢  第三篇第一章 十一（二）亚甲基蓝分光光度法（B）</w:t>
            </w:r>
          </w:p>
        </w:tc>
        <w:tc>
          <w:tcPr>
            <w:tcW w:w="0" w:type="auto"/>
            <w:vAlign w:val="center"/>
          </w:tcPr>
          <w:p>
            <w:pPr>
              <w:pStyle w:val="58"/>
              <w:rPr>
                <w:color w:val="auto"/>
              </w:rPr>
            </w:pPr>
            <w:r>
              <w:rPr>
                <w:color w:val="auto"/>
              </w:rPr>
              <w:t xml:space="preserve"> 0.001</w:t>
            </w:r>
          </w:p>
          <w:p>
            <w:pPr>
              <w:pStyle w:val="58"/>
              <w:rPr>
                <w:color w:val="auto"/>
              </w:rPr>
            </w:pPr>
            <w:r>
              <w:rPr>
                <w:color w:val="auto"/>
              </w:rPr>
              <w:t>mg/m</w:t>
            </w:r>
            <w:r>
              <w:rPr>
                <w:color w:val="auto"/>
                <w:vertAlign w:val="superscript"/>
              </w:rPr>
              <w:t>3</w:t>
            </w:r>
          </w:p>
        </w:tc>
        <w:tc>
          <w:tcPr>
            <w:tcW w:w="0" w:type="auto"/>
            <w:vAlign w:val="center"/>
          </w:tcPr>
          <w:p>
            <w:pPr>
              <w:pStyle w:val="58"/>
              <w:rPr>
                <w:color w:val="auto"/>
              </w:rPr>
            </w:pPr>
            <w:r>
              <w:rPr>
                <w:color w:val="auto"/>
              </w:rPr>
              <w:t>可见分光光度计/7230G</w:t>
            </w:r>
          </w:p>
        </w:tc>
        <w:tc>
          <w:tcPr>
            <w:tcW w:w="0" w:type="auto"/>
            <w:vAlign w:val="center"/>
          </w:tcPr>
          <w:p>
            <w:pPr>
              <w:pStyle w:val="58"/>
              <w:rPr>
                <w:color w:val="auto"/>
              </w:rPr>
            </w:pPr>
            <w:r>
              <w:rPr>
                <w:color w:val="auto"/>
              </w:rPr>
              <w:t>HZD-022-A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1" w:hRule="atLeast"/>
          <w:tblHeader/>
          <w:jc w:val="center"/>
        </w:trPr>
        <w:tc>
          <w:tcPr>
            <w:tcW w:w="0" w:type="auto"/>
            <w:vAlign w:val="center"/>
          </w:tcPr>
          <w:p>
            <w:pPr>
              <w:pStyle w:val="58"/>
              <w:rPr>
                <w:rFonts w:hint="eastAsia" w:eastAsia="宋体"/>
                <w:color w:val="auto"/>
                <w:lang w:eastAsia="zh-CN"/>
              </w:rPr>
            </w:pPr>
            <w:r>
              <w:rPr>
                <w:rFonts w:hint="eastAsia"/>
                <w:color w:val="auto"/>
                <w:lang w:val="en-US" w:eastAsia="zh-CN"/>
              </w:rPr>
              <w:t>3</w:t>
            </w:r>
          </w:p>
        </w:tc>
        <w:tc>
          <w:tcPr>
            <w:tcW w:w="0" w:type="auto"/>
            <w:vAlign w:val="center"/>
          </w:tcPr>
          <w:p>
            <w:pPr>
              <w:pStyle w:val="58"/>
              <w:rPr>
                <w:color w:val="auto"/>
              </w:rPr>
            </w:pPr>
            <w:r>
              <w:rPr>
                <w:color w:val="auto"/>
              </w:rPr>
              <w:t>臭气浓度</w:t>
            </w:r>
          </w:p>
        </w:tc>
        <w:tc>
          <w:tcPr>
            <w:tcW w:w="0" w:type="auto"/>
            <w:vAlign w:val="center"/>
          </w:tcPr>
          <w:p>
            <w:pPr>
              <w:pStyle w:val="58"/>
              <w:rPr>
                <w:color w:val="auto"/>
              </w:rPr>
            </w:pPr>
            <w:r>
              <w:rPr>
                <w:color w:val="auto"/>
                <w:kern w:val="0"/>
                <w:lang w:bidi="ar"/>
              </w:rPr>
              <w:t>《空气质量恶臭的测定 三点比较式臭袋法》（GB/T 14675-93）</w:t>
            </w:r>
          </w:p>
        </w:tc>
        <w:tc>
          <w:tcPr>
            <w:tcW w:w="0" w:type="auto"/>
            <w:vAlign w:val="center"/>
          </w:tcPr>
          <w:p>
            <w:pPr>
              <w:pStyle w:val="58"/>
              <w:rPr>
                <w:color w:val="auto"/>
              </w:rPr>
            </w:pPr>
            <w:r>
              <w:rPr>
                <w:color w:val="auto"/>
              </w:rPr>
              <w:t>/</w:t>
            </w:r>
          </w:p>
        </w:tc>
        <w:tc>
          <w:tcPr>
            <w:tcW w:w="0" w:type="auto"/>
            <w:vAlign w:val="center"/>
          </w:tcPr>
          <w:p>
            <w:pPr>
              <w:pStyle w:val="58"/>
              <w:rPr>
                <w:color w:val="auto"/>
              </w:rPr>
            </w:pPr>
            <w:r>
              <w:rPr>
                <w:color w:val="auto"/>
              </w:rPr>
              <w:t>/</w:t>
            </w:r>
          </w:p>
        </w:tc>
        <w:tc>
          <w:tcPr>
            <w:tcW w:w="0" w:type="auto"/>
            <w:vAlign w:val="center"/>
          </w:tcPr>
          <w:p>
            <w:pPr>
              <w:pStyle w:val="58"/>
              <w:rPr>
                <w:color w:val="auto"/>
              </w:rPr>
            </w:pPr>
            <w:r>
              <w:rPr>
                <w:color w:val="auto"/>
              </w:rPr>
              <w:t>/</w:t>
            </w:r>
          </w:p>
        </w:tc>
      </w:tr>
      <w:bookmarkEnd w:id="271"/>
    </w:tbl>
    <w:p>
      <w:pPr>
        <w:pageBreakBefore w:val="0"/>
        <w:widowControl w:val="0"/>
        <w:kinsoku/>
        <w:wordWrap/>
        <w:topLinePunct/>
        <w:autoSpaceDN/>
        <w:bidi w:val="0"/>
        <w:adjustRightInd/>
        <w:snapToGrid/>
        <w:spacing w:line="480" w:lineRule="exact"/>
        <w:ind w:firstLine="480"/>
        <w:textAlignment w:val="auto"/>
        <w:rPr>
          <w:color w:val="auto"/>
          <w:sz w:val="24"/>
          <w:szCs w:val="24"/>
        </w:rPr>
      </w:pPr>
      <w:r>
        <w:rPr>
          <w:rFonts w:hint="eastAsia"/>
          <w:color w:val="auto"/>
          <w:sz w:val="24"/>
          <w:szCs w:val="24"/>
        </w:rPr>
        <w:t>5、</w:t>
      </w:r>
      <w:r>
        <w:rPr>
          <w:color w:val="auto"/>
          <w:sz w:val="24"/>
          <w:szCs w:val="24"/>
        </w:rPr>
        <w:t>环境空气质量现状评价</w:t>
      </w:r>
    </w:p>
    <w:p>
      <w:pPr>
        <w:pageBreakBefore w:val="0"/>
        <w:widowControl w:val="0"/>
        <w:kinsoku/>
        <w:wordWrap/>
        <w:topLinePunct/>
        <w:autoSpaceDN/>
        <w:bidi w:val="0"/>
        <w:adjustRightInd/>
        <w:snapToGrid/>
        <w:spacing w:line="480" w:lineRule="exact"/>
        <w:ind w:firstLine="480"/>
        <w:textAlignment w:val="auto"/>
        <w:rPr>
          <w:color w:val="auto"/>
          <w:sz w:val="24"/>
          <w:szCs w:val="24"/>
        </w:rPr>
      </w:pPr>
      <w:r>
        <w:rPr>
          <w:rFonts w:hint="eastAsia"/>
          <w:color w:val="auto"/>
          <w:sz w:val="24"/>
          <w:szCs w:val="24"/>
        </w:rPr>
        <w:t>（1）评价标准</w:t>
      </w:r>
    </w:p>
    <w:p>
      <w:pPr>
        <w:pageBreakBefore w:val="0"/>
        <w:widowControl w:val="0"/>
        <w:kinsoku/>
        <w:wordWrap/>
        <w:topLinePunct/>
        <w:autoSpaceDN/>
        <w:bidi w:val="0"/>
        <w:adjustRightInd/>
        <w:snapToGrid/>
        <w:spacing w:line="480" w:lineRule="exact"/>
        <w:ind w:firstLine="480"/>
        <w:textAlignment w:val="auto"/>
        <w:rPr>
          <w:color w:val="auto"/>
          <w:sz w:val="24"/>
          <w:szCs w:val="24"/>
        </w:rPr>
      </w:pPr>
      <w:r>
        <w:rPr>
          <w:color w:val="auto"/>
          <w:sz w:val="24"/>
          <w:szCs w:val="24"/>
        </w:rPr>
        <w:t>TSP</w:t>
      </w:r>
      <w:r>
        <w:rPr>
          <w:rFonts w:hint="eastAsia"/>
          <w:color w:val="auto"/>
          <w:sz w:val="24"/>
          <w:szCs w:val="24"/>
        </w:rPr>
        <w:t>执行</w:t>
      </w:r>
      <w:r>
        <w:rPr>
          <w:color w:val="auto"/>
          <w:sz w:val="24"/>
          <w:szCs w:val="24"/>
        </w:rPr>
        <w:t>《环境空气质量标准》（GB3095-</w:t>
      </w:r>
      <w:r>
        <w:rPr>
          <w:rFonts w:hint="eastAsia"/>
          <w:color w:val="auto"/>
          <w:sz w:val="24"/>
          <w:szCs w:val="24"/>
        </w:rPr>
        <w:t>2012</w:t>
      </w:r>
      <w:r>
        <w:rPr>
          <w:color w:val="auto"/>
          <w:sz w:val="24"/>
          <w:szCs w:val="24"/>
        </w:rPr>
        <w:t>）中的二级标准</w:t>
      </w:r>
      <w:r>
        <w:rPr>
          <w:rFonts w:hint="eastAsia"/>
          <w:color w:val="auto"/>
          <w:sz w:val="24"/>
          <w:szCs w:val="24"/>
        </w:rPr>
        <w:t>，HN</w:t>
      </w:r>
      <w:r>
        <w:rPr>
          <w:rFonts w:hint="eastAsia"/>
          <w:color w:val="auto"/>
          <w:sz w:val="24"/>
          <w:szCs w:val="24"/>
          <w:vertAlign w:val="subscript"/>
        </w:rPr>
        <w:t>3</w:t>
      </w:r>
      <w:r>
        <w:rPr>
          <w:rFonts w:hint="eastAsia"/>
          <w:color w:val="auto"/>
          <w:sz w:val="24"/>
          <w:szCs w:val="24"/>
        </w:rPr>
        <w:t>、</w:t>
      </w:r>
      <w:r>
        <w:rPr>
          <w:color w:val="auto"/>
          <w:sz w:val="24"/>
          <w:szCs w:val="24"/>
        </w:rPr>
        <w:t>H</w:t>
      </w:r>
      <w:r>
        <w:rPr>
          <w:color w:val="auto"/>
          <w:sz w:val="24"/>
          <w:szCs w:val="24"/>
          <w:vertAlign w:val="subscript"/>
        </w:rPr>
        <w:t>2</w:t>
      </w:r>
      <w:r>
        <w:rPr>
          <w:color w:val="auto"/>
          <w:sz w:val="24"/>
          <w:szCs w:val="24"/>
        </w:rPr>
        <w:t>S</w:t>
      </w:r>
      <w:r>
        <w:rPr>
          <w:rFonts w:hint="eastAsia"/>
          <w:color w:val="auto"/>
          <w:sz w:val="24"/>
          <w:szCs w:val="24"/>
        </w:rPr>
        <w:t>执行</w:t>
      </w:r>
      <w:r>
        <w:rPr>
          <w:color w:val="auto"/>
          <w:sz w:val="24"/>
          <w:szCs w:val="24"/>
        </w:rPr>
        <w:t>《环境影响评价技术导则－大气环境》（HJ2.2-2018）</w:t>
      </w:r>
      <w:r>
        <w:rPr>
          <w:rFonts w:hint="eastAsia"/>
          <w:color w:val="auto"/>
          <w:sz w:val="24"/>
          <w:szCs w:val="24"/>
        </w:rPr>
        <w:t>附录D。</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rFonts w:hint="eastAsia"/>
          <w:color w:val="auto"/>
          <w:sz w:val="24"/>
          <w:szCs w:val="24"/>
        </w:rPr>
        <w:t>（2）评价方法</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rFonts w:hint="eastAsia"/>
          <w:color w:val="auto"/>
          <w:sz w:val="24"/>
          <w:szCs w:val="24"/>
        </w:rPr>
        <w:t>大气环境现状评价采用单因子指数法。单因子指数法公式如下：</w:t>
      </w:r>
    </w:p>
    <w:p>
      <w:pPr>
        <w:pageBreakBefore w:val="0"/>
        <w:widowControl w:val="0"/>
        <w:kinsoku/>
        <w:wordWrap/>
        <w:topLinePunct/>
        <w:autoSpaceDN/>
        <w:bidi w:val="0"/>
        <w:adjustRightInd/>
        <w:snapToGrid/>
        <w:spacing w:line="480" w:lineRule="exact"/>
        <w:ind w:firstLine="480"/>
        <w:jc w:val="center"/>
        <w:textAlignment w:val="auto"/>
        <w:rPr>
          <w:color w:val="auto"/>
          <w:sz w:val="24"/>
          <w:szCs w:val="24"/>
        </w:rPr>
      </w:pPr>
      <w:r>
        <w:rPr>
          <w:color w:val="auto"/>
          <w:sz w:val="24"/>
          <w:szCs w:val="24"/>
        </w:rPr>
        <w:t>Pi=C</w:t>
      </w:r>
      <w:r>
        <w:rPr>
          <w:color w:val="auto"/>
          <w:sz w:val="24"/>
          <w:szCs w:val="24"/>
          <w:vertAlign w:val="subscript"/>
        </w:rPr>
        <w:t>i</w:t>
      </w:r>
      <w:r>
        <w:rPr>
          <w:color w:val="auto"/>
          <w:sz w:val="24"/>
          <w:szCs w:val="24"/>
        </w:rPr>
        <w:t>/C</w:t>
      </w:r>
      <w:r>
        <w:rPr>
          <w:color w:val="auto"/>
          <w:sz w:val="24"/>
          <w:szCs w:val="24"/>
          <w:vertAlign w:val="subscript"/>
        </w:rPr>
        <w:t>0i</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rFonts w:hint="eastAsia"/>
          <w:color w:val="auto"/>
          <w:sz w:val="24"/>
          <w:szCs w:val="24"/>
        </w:rPr>
        <w:t>式中：</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rFonts w:hint="eastAsia"/>
          <w:color w:val="auto"/>
          <w:sz w:val="24"/>
          <w:szCs w:val="24"/>
        </w:rPr>
        <w:t>P</w:t>
      </w:r>
      <w:r>
        <w:rPr>
          <w:rFonts w:hint="eastAsia"/>
          <w:color w:val="auto"/>
          <w:sz w:val="24"/>
          <w:szCs w:val="24"/>
          <w:vertAlign w:val="subscript"/>
        </w:rPr>
        <w:t>i</w:t>
      </w:r>
      <w:r>
        <w:rPr>
          <w:rFonts w:hint="eastAsia"/>
          <w:color w:val="auto"/>
          <w:sz w:val="24"/>
          <w:szCs w:val="24"/>
        </w:rPr>
        <w:t>—i污染物的单因子指数；</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rFonts w:hint="eastAsia"/>
          <w:color w:val="auto"/>
          <w:sz w:val="24"/>
          <w:szCs w:val="24"/>
        </w:rPr>
        <w:t>C</w:t>
      </w:r>
      <w:r>
        <w:rPr>
          <w:rFonts w:hint="eastAsia"/>
          <w:color w:val="auto"/>
          <w:sz w:val="24"/>
          <w:szCs w:val="24"/>
          <w:vertAlign w:val="subscript"/>
        </w:rPr>
        <w:t>i</w:t>
      </w:r>
      <w:r>
        <w:rPr>
          <w:rFonts w:hint="eastAsia"/>
          <w:color w:val="auto"/>
          <w:sz w:val="24"/>
          <w:szCs w:val="24"/>
        </w:rPr>
        <w:t>—i污染物的浓度，mg/m</w:t>
      </w:r>
      <w:r>
        <w:rPr>
          <w:rFonts w:hint="eastAsia"/>
          <w:color w:val="auto"/>
          <w:sz w:val="24"/>
          <w:szCs w:val="24"/>
          <w:vertAlign w:val="superscript"/>
        </w:rPr>
        <w:t>3</w:t>
      </w:r>
      <w:r>
        <w:rPr>
          <w:rFonts w:hint="eastAsia"/>
          <w:color w:val="auto"/>
          <w:sz w:val="24"/>
          <w:szCs w:val="24"/>
        </w:rPr>
        <w:t>；</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rFonts w:hint="eastAsia"/>
          <w:color w:val="auto"/>
          <w:sz w:val="24"/>
          <w:szCs w:val="24"/>
        </w:rPr>
        <w:t>C</w:t>
      </w:r>
      <w:r>
        <w:rPr>
          <w:color w:val="auto"/>
          <w:sz w:val="24"/>
          <w:szCs w:val="24"/>
          <w:vertAlign w:val="subscript"/>
        </w:rPr>
        <w:t>0</w:t>
      </w:r>
      <w:r>
        <w:rPr>
          <w:rFonts w:hint="eastAsia"/>
          <w:color w:val="auto"/>
          <w:sz w:val="24"/>
          <w:szCs w:val="24"/>
          <w:vertAlign w:val="subscript"/>
        </w:rPr>
        <w:t>i</w:t>
      </w:r>
      <w:r>
        <w:rPr>
          <w:rFonts w:hint="eastAsia"/>
          <w:color w:val="auto"/>
          <w:sz w:val="24"/>
          <w:szCs w:val="24"/>
        </w:rPr>
        <w:t>—i污染物的评价标准，mg/m</w:t>
      </w:r>
      <w:r>
        <w:rPr>
          <w:rFonts w:hint="eastAsia"/>
          <w:color w:val="auto"/>
          <w:sz w:val="24"/>
          <w:szCs w:val="24"/>
          <w:vertAlign w:val="superscript"/>
        </w:rPr>
        <w:t>3</w:t>
      </w:r>
      <w:r>
        <w:rPr>
          <w:rFonts w:hint="eastAsia"/>
          <w:color w:val="auto"/>
          <w:sz w:val="24"/>
          <w:szCs w:val="24"/>
        </w:rPr>
        <w:t>。</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color w:val="auto"/>
          <w:sz w:val="24"/>
          <w:szCs w:val="24"/>
        </w:rPr>
        <w:t>6</w:t>
      </w:r>
      <w:r>
        <w:rPr>
          <w:rFonts w:hint="eastAsia"/>
          <w:color w:val="auto"/>
          <w:sz w:val="24"/>
          <w:szCs w:val="24"/>
        </w:rPr>
        <w:t>、监测结果及评价结果</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rFonts w:hint="eastAsia"/>
          <w:color w:val="auto"/>
          <w:sz w:val="24"/>
          <w:szCs w:val="24"/>
        </w:rPr>
        <w:t>（1）气象条件</w:t>
      </w:r>
    </w:p>
    <w:p>
      <w:pPr>
        <w:pageBreakBefore w:val="0"/>
        <w:widowControl w:val="0"/>
        <w:kinsoku/>
        <w:wordWrap/>
        <w:overflowPunct w:val="0"/>
        <w:topLinePunct/>
        <w:autoSpaceDE/>
        <w:autoSpaceDN/>
        <w:bidi w:val="0"/>
        <w:adjustRightInd/>
        <w:snapToGrid/>
        <w:spacing w:line="480" w:lineRule="exact"/>
        <w:ind w:firstLine="480"/>
        <w:textAlignment w:val="auto"/>
        <w:rPr>
          <w:color w:val="auto"/>
          <w:sz w:val="24"/>
          <w:szCs w:val="24"/>
        </w:rPr>
      </w:pPr>
      <w:r>
        <w:rPr>
          <w:rFonts w:hint="eastAsia"/>
          <w:color w:val="auto"/>
          <w:sz w:val="24"/>
          <w:szCs w:val="24"/>
        </w:rPr>
        <w:t>监测期间气象条件见下表。</w:t>
      </w:r>
    </w:p>
    <w:p>
      <w:pPr>
        <w:pStyle w:val="8"/>
        <w:pageBreakBefore w:val="0"/>
        <w:widowControl w:val="0"/>
        <w:kinsoku/>
        <w:wordWrap/>
        <w:topLinePunct/>
        <w:autoSpaceDN/>
        <w:bidi w:val="0"/>
        <w:adjustRightInd/>
        <w:snapToGrid/>
        <w:spacing w:line="480" w:lineRule="exact"/>
        <w:textAlignment w:val="auto"/>
        <w:rPr>
          <w:color w:val="auto"/>
          <w:sz w:val="24"/>
          <w:szCs w:val="24"/>
        </w:rPr>
      </w:pPr>
      <w:r>
        <w:rPr>
          <w:rFonts w:hint="eastAsia"/>
          <w:snapToGrid w:val="0"/>
          <w:color w:val="auto"/>
          <w:sz w:val="24"/>
          <w:szCs w:val="24"/>
        </w:rPr>
        <w:t>表</w:t>
      </w:r>
      <w:r>
        <w:rPr>
          <w:snapToGrid w:val="0"/>
          <w:color w:val="auto"/>
          <w:sz w:val="24"/>
          <w:szCs w:val="24"/>
        </w:rPr>
        <w:t>4.2</w:t>
      </w:r>
      <w:r>
        <w:rPr>
          <w:rFonts w:hint="eastAsia"/>
          <w:snapToGrid w:val="0"/>
          <w:color w:val="auto"/>
          <w:sz w:val="24"/>
          <w:szCs w:val="24"/>
        </w:rPr>
        <w:t>-</w:t>
      </w:r>
      <w:r>
        <w:rPr>
          <w:snapToGrid w:val="0"/>
          <w:color w:val="auto"/>
          <w:sz w:val="24"/>
          <w:szCs w:val="24"/>
        </w:rPr>
        <w:t>4</w:t>
      </w:r>
      <w:r>
        <w:rPr>
          <w:rFonts w:hint="eastAsia"/>
          <w:snapToGrid w:val="0"/>
          <w:color w:val="auto"/>
          <w:sz w:val="24"/>
          <w:szCs w:val="24"/>
        </w:rPr>
        <w:t xml:space="preserve">  </w:t>
      </w:r>
      <w:r>
        <w:rPr>
          <w:color w:val="auto"/>
          <w:sz w:val="24"/>
          <w:szCs w:val="24"/>
        </w:rPr>
        <w:t xml:space="preserve">  </w:t>
      </w:r>
      <w:r>
        <w:rPr>
          <w:rFonts w:hint="eastAsia"/>
          <w:color w:val="auto"/>
          <w:sz w:val="24"/>
          <w:szCs w:val="24"/>
        </w:rPr>
        <w:t>监测期间</w:t>
      </w:r>
      <w:r>
        <w:rPr>
          <w:color w:val="auto"/>
          <w:sz w:val="24"/>
          <w:szCs w:val="24"/>
        </w:rPr>
        <w:t>气象条件</w:t>
      </w:r>
    </w:p>
    <w:tbl>
      <w:tblPr>
        <w:tblStyle w:val="34"/>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328"/>
        <w:gridCol w:w="1328"/>
        <w:gridCol w:w="1328"/>
        <w:gridCol w:w="1328"/>
        <w:gridCol w:w="1328"/>
        <w:gridCol w:w="1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jc w:val="both"/>
              <w:textAlignment w:val="auto"/>
              <w:rPr>
                <w:color w:val="auto"/>
                <w:sz w:val="21"/>
                <w:szCs w:val="21"/>
              </w:rPr>
            </w:pPr>
            <w:r>
              <w:rPr>
                <w:rFonts w:hint="eastAsia"/>
                <w:color w:val="auto"/>
                <w:sz w:val="21"/>
                <w:szCs w:val="21"/>
              </w:rPr>
              <w:t>采样日期</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eastAsia"/>
                <w:color w:val="auto"/>
                <w:sz w:val="21"/>
                <w:szCs w:val="21"/>
              </w:rPr>
            </w:pPr>
            <w:r>
              <w:rPr>
                <w:rFonts w:hint="eastAsia"/>
                <w:color w:val="auto"/>
                <w:sz w:val="21"/>
                <w:szCs w:val="21"/>
              </w:rPr>
              <w:t>采样时间</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color w:val="auto"/>
                <w:sz w:val="21"/>
                <w:szCs w:val="21"/>
                <w:highlight w:val="none"/>
              </w:rPr>
            </w:pPr>
            <w:r>
              <w:rPr>
                <w:rFonts w:hint="eastAsia"/>
                <w:color w:val="auto"/>
                <w:sz w:val="21"/>
                <w:szCs w:val="21"/>
                <w:highlight w:val="none"/>
              </w:rPr>
              <w:t>平均气温(℃)</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color w:val="auto"/>
                <w:sz w:val="21"/>
                <w:szCs w:val="21"/>
                <w:highlight w:val="none"/>
              </w:rPr>
            </w:pPr>
            <w:r>
              <w:rPr>
                <w:rFonts w:hint="eastAsia"/>
                <w:color w:val="auto"/>
                <w:sz w:val="21"/>
                <w:szCs w:val="21"/>
                <w:highlight w:val="none"/>
              </w:rPr>
              <w:t>大气压（</w:t>
            </w:r>
            <w:r>
              <w:rPr>
                <w:rFonts w:hint="eastAsia"/>
                <w:color w:val="auto"/>
                <w:sz w:val="21"/>
                <w:szCs w:val="21"/>
                <w:highlight w:val="none"/>
                <w:lang w:val="en-US" w:eastAsia="zh-CN"/>
              </w:rPr>
              <w:t>k</w:t>
            </w:r>
            <w:r>
              <w:rPr>
                <w:rFonts w:hint="eastAsia"/>
                <w:color w:val="auto"/>
                <w:sz w:val="21"/>
                <w:szCs w:val="21"/>
                <w:highlight w:val="none"/>
              </w:rPr>
              <w:t>Pa）</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eastAsia" w:eastAsia="宋体"/>
                <w:color w:val="auto"/>
                <w:sz w:val="21"/>
                <w:szCs w:val="21"/>
                <w:highlight w:val="none"/>
                <w:lang w:eastAsia="zh-CN"/>
              </w:rPr>
            </w:pPr>
            <w:r>
              <w:rPr>
                <w:rFonts w:hint="eastAsia"/>
                <w:color w:val="auto"/>
                <w:sz w:val="21"/>
                <w:szCs w:val="21"/>
                <w:highlight w:val="none"/>
              </w:rPr>
              <w:t>风向</w:t>
            </w:r>
            <w:r>
              <w:rPr>
                <w:rFonts w:hint="eastAsia"/>
                <w:color w:val="auto"/>
                <w:sz w:val="21"/>
                <w:szCs w:val="21"/>
                <w:highlight w:val="none"/>
                <w:lang w:eastAsia="zh-CN"/>
              </w:rPr>
              <w:t>（度）</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color w:val="auto"/>
                <w:sz w:val="21"/>
                <w:szCs w:val="21"/>
                <w:highlight w:val="none"/>
              </w:rPr>
            </w:pPr>
            <w:r>
              <w:rPr>
                <w:rFonts w:hint="eastAsia"/>
                <w:color w:val="auto"/>
                <w:sz w:val="21"/>
                <w:szCs w:val="21"/>
                <w:highlight w:val="none"/>
              </w:rPr>
              <w:t>风速(m/s)</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eastAsia"/>
                <w:color w:val="auto"/>
                <w:sz w:val="21"/>
                <w:szCs w:val="21"/>
                <w:highlight w:val="none"/>
              </w:rPr>
            </w:pPr>
            <w:r>
              <w:rPr>
                <w:color w:val="auto"/>
                <w:sz w:val="21"/>
                <w:szCs w:val="21"/>
                <w:highlight w:val="none"/>
              </w:rPr>
              <w:t>天气状况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olor w:val="auto"/>
                <w:kern w:val="2"/>
                <w:sz w:val="21"/>
                <w:szCs w:val="21"/>
                <w:lang w:val="en-US" w:eastAsia="zh-CN" w:bidi="ar-SA"/>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w:t>
            </w:r>
            <w:r>
              <w:rPr>
                <w:rFonts w:hint="eastAsia"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16</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02:00-03:00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2.4</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89.41</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31</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3.6</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08:00-09:00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3.9</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89.20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31</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3.9</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14:00-15:00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9.5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88.88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32</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3.8</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20:00-21:00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7.0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89.56</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32</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3.7</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lang w:val="en-US" w:eastAsia="zh-CN"/>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w:t>
            </w:r>
            <w:r>
              <w:rPr>
                <w:rFonts w:hint="eastAsia"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17</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02:00-03:00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89.52</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yellow"/>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3.2</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08:00-09:00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4.9</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89.03</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yellow"/>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22</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3.4</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14:00-15:00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15.2</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88.86</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3.1</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20:00-21:00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12.0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88.99</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225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3.0</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olor w:val="auto"/>
                <w:kern w:val="2"/>
                <w:sz w:val="21"/>
                <w:szCs w:val="21"/>
                <w:lang w:val="en-US" w:eastAsia="zh-CN" w:bidi="ar-SA"/>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w:t>
            </w:r>
            <w:r>
              <w:rPr>
                <w:rFonts w:hint="eastAsia"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18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02:00-03:00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7.9</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89.23</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3.1</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08:00-09:00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88.67</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220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3.2</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晴转</w:t>
            </w:r>
            <w:r>
              <w:rPr>
                <w:rFonts w:hint="default" w:ascii="Times New Roman" w:hAnsi="Times New Roman" w:eastAsia="宋体" w:cs="Times New Roman"/>
                <w:color w:val="auto"/>
                <w:sz w:val="21"/>
                <w:szCs w:val="21"/>
                <w:lang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14:00-15:00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19.5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88.73</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225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3.3</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晴转</w:t>
            </w:r>
            <w:r>
              <w:rPr>
                <w:rFonts w:hint="default" w:ascii="Times New Roman" w:hAnsi="Times New Roman" w:eastAsia="宋体" w:cs="Times New Roman"/>
                <w:color w:val="auto"/>
                <w:sz w:val="21"/>
                <w:szCs w:val="21"/>
                <w:lang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eastAsia="宋体"/>
                <w:color w:val="auto"/>
                <w:sz w:val="21"/>
                <w:szCs w:val="21"/>
                <w:lang w:val="en-US" w:eastAsia="zh-CN"/>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20:00-21:00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16.8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color w:val="auto"/>
                <w:sz w:val="21"/>
                <w:szCs w:val="21"/>
                <w:highlight w:val="none"/>
                <w:lang w:val="en-US" w:eastAsia="zh-CN"/>
              </w:rPr>
            </w:pPr>
            <w:r>
              <w:rPr>
                <w:rFonts w:hint="eastAsia" w:eastAsia="宋体" w:cs="Times New Roman"/>
                <w:color w:val="auto"/>
                <w:sz w:val="21"/>
                <w:szCs w:val="21"/>
                <w:lang w:val="en-US" w:eastAsia="zh-CN"/>
              </w:rPr>
              <w:t>88.95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yellow"/>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230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3.2</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晴转</w:t>
            </w:r>
            <w:r>
              <w:rPr>
                <w:rFonts w:hint="default" w:ascii="Times New Roman" w:hAnsi="Times New Roman" w:eastAsia="宋体" w:cs="Times New Roman"/>
                <w:color w:val="auto"/>
                <w:sz w:val="21"/>
                <w:szCs w:val="21"/>
                <w:lang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lang w:val="en-US" w:eastAsia="zh-CN"/>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w:t>
            </w:r>
            <w:r>
              <w:rPr>
                <w:rFonts w:hint="eastAsia"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19</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auto"/>
                <w:sz w:val="21"/>
                <w:szCs w:val="21"/>
              </w:rPr>
            </w:pPr>
            <w:r>
              <w:rPr>
                <w:rFonts w:hint="default" w:ascii="Times New Roman" w:hAnsi="Times New Roman" w:eastAsia="宋体" w:cs="Times New Roman"/>
                <w:color w:val="auto"/>
                <w:sz w:val="21"/>
                <w:szCs w:val="21"/>
              </w:rPr>
              <w:t>02:00-03:00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89.33</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yellow"/>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225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3.4</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08:00-09:00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12.8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89.10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23</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3.5</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14:00-15:00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23.9</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88.98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3.4</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20:00-21:00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16.5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89.30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yellow"/>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3.3</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lang w:val="en-US" w:eastAsia="zh-CN"/>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w:t>
            </w:r>
            <w:r>
              <w:rPr>
                <w:rFonts w:hint="eastAsia"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20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color w:val="auto"/>
                <w:sz w:val="21"/>
                <w:szCs w:val="21"/>
              </w:rPr>
            </w:pPr>
            <w:r>
              <w:rPr>
                <w:rFonts w:hint="default" w:ascii="Times New Roman" w:hAnsi="Times New Roman" w:eastAsia="宋体" w:cs="Times New Roman"/>
                <w:color w:val="auto"/>
                <w:sz w:val="21"/>
                <w:szCs w:val="21"/>
              </w:rPr>
              <w:t>02:00-03:00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11.8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89.58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yellow"/>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2.6</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08:00-09:00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14.6</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89.04</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22</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2.7</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14:00-15:00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22.8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88.83</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2.8</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20:00-21:00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17.7</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89.21</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2.4</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lang w:val="en-US" w:eastAsia="zh-CN"/>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w:t>
            </w:r>
            <w:r>
              <w:rPr>
                <w:rFonts w:hint="eastAsia"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21</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02:00-03:00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10.6</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89.55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220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3.0</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08:00-09:00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13.0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89.04</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3.1</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14:00-15:00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19.8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88.79</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21</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3.0</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20:00-21:00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15.4</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89.18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西南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220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2.9</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olor w:val="auto"/>
                <w:kern w:val="2"/>
                <w:sz w:val="21"/>
                <w:szCs w:val="21"/>
                <w:highlight w:val="none"/>
                <w:lang w:val="en-US" w:eastAsia="zh-CN" w:bidi="ar-SA"/>
              </w:rPr>
            </w:pPr>
            <w:r>
              <w:rPr>
                <w:rFonts w:hint="eastAsia" w:eastAsia="宋体" w:cs="Times New Roman"/>
                <w:color w:val="auto"/>
                <w:sz w:val="21"/>
                <w:szCs w:val="21"/>
                <w:lang w:val="en-US" w:eastAsia="zh-CN"/>
              </w:rPr>
              <w:t>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lang w:val="en-US" w:eastAsia="zh-CN"/>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w:t>
            </w:r>
            <w:r>
              <w:rPr>
                <w:rFonts w:hint="eastAsia"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w:t>
            </w:r>
            <w:r>
              <w:rPr>
                <w:rFonts w:hint="eastAsia"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r>
              <w:rPr>
                <w:rFonts w:hint="eastAsia" w:eastAsia="宋体" w:cs="Times New Roman"/>
                <w:color w:val="auto"/>
                <w:sz w:val="21"/>
                <w:szCs w:val="21"/>
                <w:lang w:val="en-US" w:eastAsia="zh-CN"/>
              </w:rPr>
              <w:t>22</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02:00-03:00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12.5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89.40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东南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135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3.2</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晴转</w:t>
            </w:r>
            <w:r>
              <w:rPr>
                <w:rFonts w:hint="default" w:ascii="Times New Roman" w:hAnsi="Times New Roman" w:eastAsia="宋体" w:cs="Times New Roman"/>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08:00-09:00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15.8</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88.91</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东南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130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2.9</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晴转</w:t>
            </w:r>
            <w:r>
              <w:rPr>
                <w:rFonts w:hint="default" w:ascii="Times New Roman" w:hAnsi="Times New Roman" w:eastAsia="宋体" w:cs="Times New Roman"/>
                <w:color w:val="auto"/>
                <w:sz w:val="21"/>
                <w:szCs w:val="21"/>
                <w:lang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14:00-15:00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21.5</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88.77</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东南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145</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3.0</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晴转</w:t>
            </w:r>
            <w:r>
              <w:rPr>
                <w:rFonts w:hint="default" w:ascii="Times New Roman" w:hAnsi="Times New Roman" w:eastAsia="宋体" w:cs="Times New Roman"/>
                <w:color w:val="auto"/>
                <w:sz w:val="21"/>
                <w:szCs w:val="21"/>
                <w:lang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tcBorders>
              <w:lef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color w:val="auto"/>
                <w:sz w:val="21"/>
                <w:szCs w:val="21"/>
              </w:rPr>
            </w:pPr>
            <w:r>
              <w:rPr>
                <w:rFonts w:hint="default" w:ascii="Times New Roman" w:hAnsi="Times New Roman" w:eastAsia="宋体" w:cs="Times New Roman"/>
                <w:color w:val="auto"/>
                <w:sz w:val="21"/>
                <w:szCs w:val="21"/>
              </w:rPr>
              <w:t>20:00-21:00</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17.4</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89.09</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东南</w:t>
            </w:r>
            <w:r>
              <w:rPr>
                <w:rFonts w:hint="default" w:ascii="Times New Roman" w:hAnsi="Times New Roman" w:eastAsia="宋体" w:cs="Times New Roman"/>
                <w:color w:val="auto"/>
                <w:sz w:val="21"/>
                <w:szCs w:val="21"/>
              </w:rPr>
              <w:t>风</w:t>
            </w:r>
            <w:r>
              <w:rPr>
                <w:rFonts w:hint="eastAsia" w:eastAsia="宋体" w:cs="Times New Roman"/>
                <w:color w:val="auto"/>
                <w:sz w:val="21"/>
                <w:szCs w:val="21"/>
                <w:lang w:val="en-US" w:eastAsia="zh-CN"/>
              </w:rPr>
              <w:t>140</w:t>
            </w:r>
            <w:r>
              <w:rPr>
                <w:rFonts w:hint="default" w:ascii="Times New Roman" w:hAnsi="Times New Roman" w:eastAsia="宋体" w:cs="Times New Roman"/>
                <w:color w:val="auto"/>
                <w:sz w:val="21"/>
                <w:szCs w:val="21"/>
              </w:rPr>
              <w:t>°</w:t>
            </w:r>
          </w:p>
        </w:tc>
        <w:tc>
          <w:tcPr>
            <w:tcW w:w="1472" w:type="dxa"/>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eastAsia="宋体"/>
                <w:color w:val="auto"/>
                <w:sz w:val="21"/>
                <w:szCs w:val="21"/>
                <w:highlight w:val="none"/>
                <w:lang w:val="en-US" w:eastAsia="zh-CN"/>
              </w:rPr>
            </w:pPr>
            <w:r>
              <w:rPr>
                <w:rFonts w:hint="eastAsia" w:eastAsia="宋体" w:cs="Times New Roman"/>
                <w:color w:val="auto"/>
                <w:sz w:val="21"/>
                <w:szCs w:val="21"/>
                <w:lang w:val="en-US" w:eastAsia="zh-CN"/>
              </w:rPr>
              <w:t>3.1</w:t>
            </w:r>
          </w:p>
        </w:tc>
        <w:tc>
          <w:tcPr>
            <w:tcW w:w="1476" w:type="dxa"/>
            <w:tcBorders>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color w:val="auto"/>
                <w:kern w:val="2"/>
                <w:sz w:val="21"/>
                <w:szCs w:val="21"/>
                <w:highlight w:val="none"/>
                <w:lang w:val="en-US" w:eastAsia="zh-CN" w:bidi="ar-SA"/>
              </w:rPr>
            </w:pPr>
            <w:r>
              <w:rPr>
                <w:rFonts w:hint="eastAsia" w:eastAsia="宋体" w:cs="Times New Roman"/>
                <w:color w:val="auto"/>
                <w:sz w:val="21"/>
                <w:szCs w:val="21"/>
                <w:lang w:val="en-US" w:eastAsia="zh-CN"/>
              </w:rPr>
              <w:t>晴转</w:t>
            </w:r>
            <w:r>
              <w:rPr>
                <w:rFonts w:hint="default" w:ascii="Times New Roman" w:hAnsi="Times New Roman" w:eastAsia="宋体" w:cs="Times New Roman"/>
                <w:color w:val="auto"/>
                <w:sz w:val="21"/>
                <w:szCs w:val="21"/>
                <w:lang w:eastAsia="zh-CN"/>
              </w:rPr>
              <w:t>多云</w:t>
            </w:r>
          </w:p>
        </w:tc>
      </w:tr>
    </w:tbl>
    <w:p>
      <w:pPr>
        <w:overflowPunct w:val="0"/>
        <w:autoSpaceDE/>
        <w:ind w:firstLine="480"/>
        <w:rPr>
          <w:rFonts w:hAnsi="宋体"/>
          <w:color w:val="auto"/>
          <w:szCs w:val="24"/>
        </w:rPr>
      </w:pPr>
      <w:r>
        <w:rPr>
          <w:rFonts w:hint="eastAsia" w:hAnsi="宋体"/>
          <w:color w:val="auto"/>
          <w:szCs w:val="24"/>
        </w:rPr>
        <w:t>（2）环境空气质量现状</w:t>
      </w:r>
    </w:p>
    <w:p>
      <w:pPr>
        <w:overflowPunct w:val="0"/>
        <w:autoSpaceDE/>
        <w:ind w:firstLine="480"/>
        <w:rPr>
          <w:rFonts w:hAnsi="宋体"/>
          <w:color w:val="auto"/>
          <w:szCs w:val="24"/>
        </w:rPr>
      </w:pPr>
      <w:r>
        <w:rPr>
          <w:rFonts w:hint="eastAsia" w:hAnsi="宋体"/>
          <w:color w:val="auto"/>
          <w:szCs w:val="24"/>
        </w:rPr>
        <w:t>项目其他污染物环境空气质量现状，见下表。</w:t>
      </w:r>
    </w:p>
    <w:p>
      <w:pPr>
        <w:pStyle w:val="8"/>
        <w:rPr>
          <w:b w:val="0"/>
          <w:color w:val="auto"/>
          <w:szCs w:val="24"/>
        </w:rPr>
      </w:pPr>
      <w:r>
        <w:rPr>
          <w:snapToGrid w:val="0"/>
          <w:color w:val="auto"/>
        </w:rPr>
        <w:t>表4.2</w:t>
      </w:r>
      <w:r>
        <w:rPr>
          <w:rFonts w:hint="eastAsia"/>
          <w:snapToGrid w:val="0"/>
          <w:color w:val="auto"/>
        </w:rPr>
        <w:t>-5    项目其他污染物环境质量现状表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59"/>
        <w:gridCol w:w="1059"/>
        <w:gridCol w:w="1599"/>
        <w:gridCol w:w="638"/>
        <w:gridCol w:w="1050"/>
        <w:gridCol w:w="1270"/>
        <w:gridCol w:w="848"/>
        <w:gridCol w:w="148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pPr>
              <w:pStyle w:val="58"/>
              <w:rPr>
                <w:color w:val="auto"/>
              </w:rPr>
            </w:pPr>
            <w:r>
              <w:rPr>
                <w:color w:val="auto"/>
              </w:rPr>
              <w:t>污染物</w:t>
            </w:r>
          </w:p>
        </w:tc>
        <w:tc>
          <w:tcPr>
            <w:tcW w:w="0" w:type="auto"/>
            <w:vAlign w:val="center"/>
          </w:tcPr>
          <w:p>
            <w:pPr>
              <w:pStyle w:val="58"/>
              <w:rPr>
                <w:color w:val="auto"/>
              </w:rPr>
            </w:pPr>
            <w:r>
              <w:rPr>
                <w:color w:val="auto"/>
              </w:rPr>
              <w:t>有效天数</w:t>
            </w:r>
          </w:p>
        </w:tc>
        <w:tc>
          <w:tcPr>
            <w:tcW w:w="0" w:type="auto"/>
            <w:vAlign w:val="center"/>
          </w:tcPr>
          <w:p>
            <w:pPr>
              <w:pStyle w:val="58"/>
              <w:rPr>
                <w:color w:val="auto"/>
              </w:rPr>
            </w:pPr>
            <w:r>
              <w:rPr>
                <w:color w:val="auto"/>
              </w:rPr>
              <w:t>浓度范围</w:t>
            </w:r>
          </w:p>
        </w:tc>
        <w:tc>
          <w:tcPr>
            <w:tcW w:w="0" w:type="auto"/>
            <w:gridSpan w:val="2"/>
            <w:vAlign w:val="center"/>
          </w:tcPr>
          <w:p>
            <w:pPr>
              <w:pStyle w:val="58"/>
              <w:rPr>
                <w:color w:val="auto"/>
              </w:rPr>
            </w:pPr>
            <w:r>
              <w:rPr>
                <w:color w:val="auto"/>
              </w:rPr>
              <w:t>标准</w:t>
            </w:r>
          </w:p>
        </w:tc>
        <w:tc>
          <w:tcPr>
            <w:tcW w:w="0" w:type="auto"/>
          </w:tcPr>
          <w:p>
            <w:pPr>
              <w:pStyle w:val="58"/>
              <w:rPr>
                <w:color w:val="auto"/>
              </w:rPr>
            </w:pPr>
            <w:r>
              <w:rPr>
                <w:color w:val="auto"/>
              </w:rPr>
              <w:t>最大占标率</w:t>
            </w:r>
          </w:p>
        </w:tc>
        <w:tc>
          <w:tcPr>
            <w:tcW w:w="0" w:type="auto"/>
            <w:vAlign w:val="center"/>
          </w:tcPr>
          <w:p>
            <w:pPr>
              <w:pStyle w:val="58"/>
              <w:rPr>
                <w:color w:val="auto"/>
              </w:rPr>
            </w:pPr>
            <w:r>
              <w:rPr>
                <w:color w:val="auto"/>
              </w:rPr>
              <w:t>超标率</w:t>
            </w:r>
          </w:p>
        </w:tc>
        <w:tc>
          <w:tcPr>
            <w:tcW w:w="0" w:type="auto"/>
            <w:vAlign w:val="center"/>
          </w:tcPr>
          <w:p>
            <w:pPr>
              <w:pStyle w:val="58"/>
              <w:rPr>
                <w:color w:val="auto"/>
              </w:rPr>
            </w:pPr>
            <w:r>
              <w:rPr>
                <w:color w:val="auto"/>
              </w:rPr>
              <w:t>最大超标倍数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pPr>
              <w:pStyle w:val="58"/>
              <w:rPr>
                <w:color w:val="auto"/>
              </w:rPr>
            </w:pPr>
            <w:r>
              <w:rPr>
                <w:color w:val="auto"/>
              </w:rPr>
              <w:t>NH</w:t>
            </w:r>
            <w:r>
              <w:rPr>
                <w:color w:val="auto"/>
                <w:vertAlign w:val="subscript"/>
              </w:rPr>
              <w:t>3</w:t>
            </w:r>
          </w:p>
        </w:tc>
        <w:tc>
          <w:tcPr>
            <w:tcW w:w="0" w:type="auto"/>
            <w:vAlign w:val="center"/>
          </w:tcPr>
          <w:p>
            <w:pPr>
              <w:pStyle w:val="58"/>
              <w:rPr>
                <w:color w:val="auto"/>
              </w:rPr>
            </w:pPr>
            <w:r>
              <w:rPr>
                <w:color w:val="auto"/>
              </w:rPr>
              <w:t>7</w:t>
            </w:r>
          </w:p>
        </w:tc>
        <w:tc>
          <w:tcPr>
            <w:tcW w:w="0" w:type="auto"/>
            <w:vAlign w:val="center"/>
          </w:tcPr>
          <w:p>
            <w:pPr>
              <w:pStyle w:val="58"/>
              <w:rPr>
                <w:color w:val="auto"/>
              </w:rPr>
            </w:pPr>
            <w:r>
              <w:rPr>
                <w:rFonts w:hint="eastAsia"/>
                <w:bCs/>
                <w:color w:val="auto"/>
                <w:szCs w:val="21"/>
                <w:lang w:val="en-US" w:eastAsia="zh-CN"/>
              </w:rPr>
              <w:t>10</w:t>
            </w:r>
            <w:r>
              <w:rPr>
                <w:rFonts w:hint="eastAsia"/>
                <w:color w:val="auto"/>
              </w:rPr>
              <w:t>～</w:t>
            </w:r>
            <w:r>
              <w:rPr>
                <w:rFonts w:hint="eastAsia"/>
                <w:color w:val="auto"/>
                <w:lang w:val="en-US" w:eastAsia="zh-CN"/>
              </w:rPr>
              <w:t>40</w:t>
            </w:r>
            <w:r>
              <w:rPr>
                <w:rFonts w:hint="eastAsia"/>
                <w:color w:val="auto"/>
              </w:rPr>
              <w:t>u</w:t>
            </w:r>
            <w:r>
              <w:rPr>
                <w:color w:val="auto"/>
              </w:rPr>
              <w:t>g/m</w:t>
            </w:r>
            <w:r>
              <w:rPr>
                <w:color w:val="auto"/>
                <w:vertAlign w:val="superscript"/>
              </w:rPr>
              <w:t>3</w:t>
            </w:r>
          </w:p>
        </w:tc>
        <w:tc>
          <w:tcPr>
            <w:tcW w:w="0" w:type="auto"/>
            <w:vAlign w:val="center"/>
          </w:tcPr>
          <w:p>
            <w:pPr>
              <w:pStyle w:val="58"/>
              <w:rPr>
                <w:color w:val="auto"/>
              </w:rPr>
            </w:pPr>
            <w:r>
              <w:rPr>
                <w:color w:val="auto"/>
              </w:rPr>
              <w:t>一次</w:t>
            </w:r>
          </w:p>
        </w:tc>
        <w:tc>
          <w:tcPr>
            <w:tcW w:w="0" w:type="auto"/>
            <w:vAlign w:val="center"/>
          </w:tcPr>
          <w:p>
            <w:pPr>
              <w:pStyle w:val="58"/>
              <w:rPr>
                <w:color w:val="auto"/>
              </w:rPr>
            </w:pPr>
            <w:r>
              <w:rPr>
                <w:color w:val="auto"/>
              </w:rPr>
              <w:t>200µg/m</w:t>
            </w:r>
            <w:r>
              <w:rPr>
                <w:color w:val="auto"/>
                <w:vertAlign w:val="superscript"/>
              </w:rPr>
              <w:t>3</w:t>
            </w:r>
          </w:p>
        </w:tc>
        <w:tc>
          <w:tcPr>
            <w:tcW w:w="0" w:type="auto"/>
          </w:tcPr>
          <w:p>
            <w:pPr>
              <w:pStyle w:val="58"/>
              <w:rPr>
                <w:color w:val="auto"/>
              </w:rPr>
            </w:pPr>
            <w:r>
              <w:rPr>
                <w:rFonts w:hint="eastAsia"/>
                <w:color w:val="auto"/>
                <w:lang w:val="en-US" w:eastAsia="zh-CN"/>
              </w:rPr>
              <w:t>20</w:t>
            </w:r>
            <w:r>
              <w:rPr>
                <w:rFonts w:hint="eastAsia"/>
                <w:color w:val="auto"/>
              </w:rPr>
              <w:t>%</w:t>
            </w:r>
          </w:p>
        </w:tc>
        <w:tc>
          <w:tcPr>
            <w:tcW w:w="0" w:type="auto"/>
            <w:vAlign w:val="center"/>
          </w:tcPr>
          <w:p>
            <w:pPr>
              <w:pStyle w:val="58"/>
              <w:rPr>
                <w:color w:val="auto"/>
              </w:rPr>
            </w:pPr>
            <w:r>
              <w:rPr>
                <w:color w:val="auto"/>
              </w:rPr>
              <w:t>0%</w:t>
            </w:r>
          </w:p>
        </w:tc>
        <w:tc>
          <w:tcPr>
            <w:tcW w:w="0" w:type="auto"/>
            <w:vAlign w:val="center"/>
          </w:tcPr>
          <w:p>
            <w:pPr>
              <w:pStyle w:val="58"/>
              <w:rPr>
                <w:color w:val="auto"/>
              </w:rPr>
            </w:pPr>
            <w:r>
              <w:rPr>
                <w:color w:val="auto"/>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pPr>
              <w:pStyle w:val="58"/>
              <w:rPr>
                <w:color w:val="auto"/>
              </w:rPr>
            </w:pPr>
            <w:r>
              <w:rPr>
                <w:color w:val="auto"/>
              </w:rPr>
              <w:t>H</w:t>
            </w:r>
            <w:r>
              <w:rPr>
                <w:color w:val="auto"/>
                <w:vertAlign w:val="subscript"/>
              </w:rPr>
              <w:t>2</w:t>
            </w:r>
            <w:r>
              <w:rPr>
                <w:color w:val="auto"/>
              </w:rPr>
              <w:t>S</w:t>
            </w:r>
          </w:p>
        </w:tc>
        <w:tc>
          <w:tcPr>
            <w:tcW w:w="0" w:type="auto"/>
            <w:vAlign w:val="center"/>
          </w:tcPr>
          <w:p>
            <w:pPr>
              <w:pStyle w:val="58"/>
              <w:rPr>
                <w:color w:val="auto"/>
              </w:rPr>
            </w:pPr>
            <w:r>
              <w:rPr>
                <w:color w:val="auto"/>
              </w:rPr>
              <w:t>7</w:t>
            </w:r>
          </w:p>
        </w:tc>
        <w:tc>
          <w:tcPr>
            <w:tcW w:w="0" w:type="auto"/>
            <w:vAlign w:val="center"/>
          </w:tcPr>
          <w:p>
            <w:pPr>
              <w:pStyle w:val="58"/>
              <w:rPr>
                <w:color w:val="auto"/>
              </w:rPr>
            </w:pPr>
            <w:r>
              <w:rPr>
                <w:rFonts w:hint="eastAsia"/>
                <w:bCs/>
                <w:color w:val="auto"/>
                <w:szCs w:val="21"/>
                <w:lang w:val="en-US" w:eastAsia="zh-CN"/>
              </w:rPr>
              <w:t>ND</w:t>
            </w:r>
            <w:r>
              <w:rPr>
                <w:rFonts w:hint="eastAsia"/>
                <w:color w:val="auto"/>
              </w:rPr>
              <w:t>～</w:t>
            </w:r>
            <w:r>
              <w:rPr>
                <w:rFonts w:hint="eastAsia"/>
                <w:color w:val="auto"/>
                <w:lang w:val="en-US" w:eastAsia="zh-CN"/>
              </w:rPr>
              <w:t>2</w:t>
            </w:r>
            <w:r>
              <w:rPr>
                <w:color w:val="auto"/>
              </w:rPr>
              <w:t>µg/m</w:t>
            </w:r>
            <w:r>
              <w:rPr>
                <w:color w:val="auto"/>
                <w:vertAlign w:val="superscript"/>
              </w:rPr>
              <w:t>3</w:t>
            </w:r>
          </w:p>
        </w:tc>
        <w:tc>
          <w:tcPr>
            <w:tcW w:w="0" w:type="auto"/>
            <w:vAlign w:val="center"/>
          </w:tcPr>
          <w:p>
            <w:pPr>
              <w:pStyle w:val="58"/>
              <w:rPr>
                <w:color w:val="auto"/>
              </w:rPr>
            </w:pPr>
            <w:r>
              <w:rPr>
                <w:color w:val="auto"/>
              </w:rPr>
              <w:t>一次</w:t>
            </w:r>
          </w:p>
        </w:tc>
        <w:tc>
          <w:tcPr>
            <w:tcW w:w="0" w:type="auto"/>
            <w:vAlign w:val="center"/>
          </w:tcPr>
          <w:p>
            <w:pPr>
              <w:pStyle w:val="58"/>
              <w:rPr>
                <w:color w:val="auto"/>
              </w:rPr>
            </w:pPr>
            <w:r>
              <w:rPr>
                <w:color w:val="auto"/>
              </w:rPr>
              <w:t>10µg/m</w:t>
            </w:r>
            <w:r>
              <w:rPr>
                <w:color w:val="auto"/>
                <w:vertAlign w:val="superscript"/>
              </w:rPr>
              <w:t>3</w:t>
            </w:r>
          </w:p>
        </w:tc>
        <w:tc>
          <w:tcPr>
            <w:tcW w:w="0" w:type="auto"/>
          </w:tcPr>
          <w:p>
            <w:pPr>
              <w:pStyle w:val="58"/>
              <w:rPr>
                <w:color w:val="auto"/>
              </w:rPr>
            </w:pPr>
            <w:r>
              <w:rPr>
                <w:rFonts w:hint="eastAsia"/>
                <w:color w:val="auto"/>
                <w:lang w:val="en-US" w:eastAsia="zh-CN"/>
              </w:rPr>
              <w:t>2</w:t>
            </w:r>
            <w:r>
              <w:rPr>
                <w:rFonts w:hint="eastAsia"/>
                <w:color w:val="auto"/>
              </w:rPr>
              <w:t>0%</w:t>
            </w:r>
          </w:p>
        </w:tc>
        <w:tc>
          <w:tcPr>
            <w:tcW w:w="0" w:type="auto"/>
            <w:vAlign w:val="center"/>
          </w:tcPr>
          <w:p>
            <w:pPr>
              <w:pStyle w:val="58"/>
              <w:rPr>
                <w:color w:val="auto"/>
              </w:rPr>
            </w:pPr>
            <w:r>
              <w:rPr>
                <w:color w:val="auto"/>
              </w:rPr>
              <w:t>0%</w:t>
            </w:r>
          </w:p>
        </w:tc>
        <w:tc>
          <w:tcPr>
            <w:tcW w:w="0" w:type="auto"/>
            <w:vAlign w:val="center"/>
          </w:tcPr>
          <w:p>
            <w:pPr>
              <w:pStyle w:val="58"/>
              <w:rPr>
                <w:color w:val="auto"/>
              </w:rPr>
            </w:pPr>
            <w:r>
              <w:rPr>
                <w:color w:val="auto"/>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pPr>
              <w:pStyle w:val="58"/>
              <w:rPr>
                <w:color w:val="auto"/>
              </w:rPr>
            </w:pPr>
            <w:r>
              <w:rPr>
                <w:rFonts w:hint="eastAsia"/>
                <w:color w:val="auto"/>
              </w:rPr>
              <w:t>臭气浓度</w:t>
            </w:r>
          </w:p>
        </w:tc>
        <w:tc>
          <w:tcPr>
            <w:tcW w:w="0" w:type="auto"/>
            <w:vAlign w:val="center"/>
          </w:tcPr>
          <w:p>
            <w:pPr>
              <w:pStyle w:val="58"/>
              <w:rPr>
                <w:color w:val="auto"/>
              </w:rPr>
            </w:pPr>
            <w:r>
              <w:rPr>
                <w:rFonts w:hint="eastAsia"/>
                <w:color w:val="auto"/>
              </w:rPr>
              <w:t>7</w:t>
            </w:r>
          </w:p>
        </w:tc>
        <w:tc>
          <w:tcPr>
            <w:tcW w:w="0" w:type="auto"/>
            <w:vAlign w:val="center"/>
          </w:tcPr>
          <w:p>
            <w:pPr>
              <w:pStyle w:val="58"/>
              <w:rPr>
                <w:color w:val="auto"/>
              </w:rPr>
            </w:pPr>
            <w:r>
              <w:rPr>
                <w:rFonts w:hint="eastAsia"/>
                <w:bCs/>
                <w:color w:val="auto"/>
                <w:szCs w:val="21"/>
              </w:rPr>
              <w:t>&lt;10</w:t>
            </w:r>
            <w:r>
              <w:rPr>
                <w:rFonts w:hint="eastAsia"/>
                <w:color w:val="auto"/>
              </w:rPr>
              <w:t>（无量纲）</w:t>
            </w:r>
          </w:p>
        </w:tc>
        <w:tc>
          <w:tcPr>
            <w:tcW w:w="0" w:type="auto"/>
            <w:vAlign w:val="center"/>
          </w:tcPr>
          <w:p>
            <w:pPr>
              <w:pStyle w:val="58"/>
              <w:rPr>
                <w:color w:val="auto"/>
              </w:rPr>
            </w:pPr>
            <w:r>
              <w:rPr>
                <w:rFonts w:hint="eastAsia"/>
                <w:color w:val="auto"/>
              </w:rPr>
              <w:t>小时</w:t>
            </w:r>
          </w:p>
        </w:tc>
        <w:tc>
          <w:tcPr>
            <w:tcW w:w="0" w:type="auto"/>
            <w:vAlign w:val="center"/>
          </w:tcPr>
          <w:p>
            <w:pPr>
              <w:pStyle w:val="58"/>
              <w:rPr>
                <w:color w:val="auto"/>
              </w:rPr>
            </w:pPr>
            <w:r>
              <w:rPr>
                <w:rFonts w:hint="eastAsia"/>
                <w:color w:val="auto"/>
              </w:rPr>
              <w:t>/</w:t>
            </w:r>
          </w:p>
        </w:tc>
        <w:tc>
          <w:tcPr>
            <w:tcW w:w="0" w:type="auto"/>
          </w:tcPr>
          <w:p>
            <w:pPr>
              <w:pStyle w:val="58"/>
              <w:rPr>
                <w:color w:val="auto"/>
              </w:rPr>
            </w:pPr>
            <w:r>
              <w:rPr>
                <w:rFonts w:hint="eastAsia"/>
                <w:color w:val="auto"/>
              </w:rPr>
              <w:t>/</w:t>
            </w:r>
          </w:p>
        </w:tc>
        <w:tc>
          <w:tcPr>
            <w:tcW w:w="0" w:type="auto"/>
            <w:vAlign w:val="center"/>
          </w:tcPr>
          <w:p>
            <w:pPr>
              <w:pStyle w:val="58"/>
              <w:rPr>
                <w:color w:val="auto"/>
              </w:rPr>
            </w:pPr>
            <w:r>
              <w:rPr>
                <w:rFonts w:hint="eastAsia"/>
                <w:color w:val="auto"/>
              </w:rPr>
              <w:t>/</w:t>
            </w:r>
          </w:p>
        </w:tc>
        <w:tc>
          <w:tcPr>
            <w:tcW w:w="0" w:type="auto"/>
            <w:vAlign w:val="center"/>
          </w:tcPr>
          <w:p>
            <w:pPr>
              <w:pStyle w:val="58"/>
              <w:rPr>
                <w:color w:val="auto"/>
              </w:rPr>
            </w:pPr>
            <w:r>
              <w:rPr>
                <w:rFonts w:hint="eastAsia"/>
                <w:color w:val="auto"/>
              </w:rPr>
              <w:t>/</w:t>
            </w:r>
          </w:p>
        </w:tc>
      </w:tr>
    </w:tbl>
    <w:p>
      <w:pPr>
        <w:spacing w:line="440" w:lineRule="exact"/>
        <w:ind w:firstLine="480"/>
        <w:rPr>
          <w:rFonts w:hint="default" w:ascii="Times New Roman" w:hAnsi="Times New Roman" w:eastAsia="宋体" w:cs="Times New Roman"/>
          <w:color w:val="auto"/>
          <w:szCs w:val="24"/>
        </w:rPr>
      </w:pPr>
      <w:r>
        <w:rPr>
          <w:color w:val="auto"/>
          <w:szCs w:val="24"/>
        </w:rPr>
        <w:t>由结果可知，当地的H</w:t>
      </w:r>
      <w:r>
        <w:rPr>
          <w:color w:val="auto"/>
          <w:szCs w:val="24"/>
          <w:vertAlign w:val="subscript"/>
        </w:rPr>
        <w:t>2</w:t>
      </w:r>
      <w:r>
        <w:rPr>
          <w:color w:val="auto"/>
          <w:szCs w:val="24"/>
        </w:rPr>
        <w:t>S、NH</w:t>
      </w:r>
      <w:r>
        <w:rPr>
          <w:color w:val="auto"/>
          <w:szCs w:val="24"/>
          <w:vertAlign w:val="subscript"/>
        </w:rPr>
        <w:t>3</w:t>
      </w:r>
      <w:r>
        <w:rPr>
          <w:color w:val="auto"/>
          <w:szCs w:val="24"/>
        </w:rPr>
        <w:t>浓度符合《环境影响评价技术导则 大气环境》（HJ2.2－2018）附录D其他污染物空气质量浓度参考限值</w:t>
      </w:r>
      <w:r>
        <w:rPr>
          <w:rFonts w:hint="default" w:ascii="Times New Roman" w:hAnsi="Times New Roman" w:eastAsia="宋体" w:cs="Times New Roman"/>
          <w:color w:val="auto"/>
          <w:szCs w:val="24"/>
        </w:rPr>
        <w:t>。</w:t>
      </w:r>
    </w:p>
    <w:p>
      <w:pPr>
        <w:pStyle w:val="6"/>
        <w:rPr>
          <w:rFonts w:hint="default" w:ascii="Times New Roman" w:hAnsi="Times New Roman" w:eastAsia="宋体" w:cs="Times New Roman"/>
          <w:color w:val="auto"/>
        </w:rPr>
      </w:pPr>
      <w:bookmarkStart w:id="272" w:name="_Toc11969"/>
      <w:r>
        <w:rPr>
          <w:rFonts w:hint="default" w:ascii="Times New Roman" w:hAnsi="Times New Roman" w:eastAsia="宋体" w:cs="Times New Roman"/>
          <w:color w:val="auto"/>
        </w:rPr>
        <w:t>4.2.2</w:t>
      </w:r>
      <w:bookmarkStart w:id="273" w:name="_Toc494206317"/>
      <w:bookmarkStart w:id="274" w:name="_Toc521342155"/>
      <w:r>
        <w:rPr>
          <w:rFonts w:hint="default" w:ascii="Times New Roman" w:hAnsi="Times New Roman" w:eastAsia="宋体" w:cs="Times New Roman"/>
          <w:color w:val="auto"/>
        </w:rPr>
        <w:t>地下水质量现状调查与评价</w:t>
      </w:r>
      <w:bookmarkEnd w:id="272"/>
      <w:bookmarkEnd w:id="273"/>
      <w:bookmarkEnd w:id="274"/>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4.2.2.1水位现状监测</w:t>
      </w:r>
    </w:p>
    <w:p>
      <w:pPr>
        <w:overflowPunct w:val="0"/>
        <w:ind w:firstLine="480"/>
        <w:rPr>
          <w:rFonts w:hint="default" w:ascii="Times New Roman" w:hAnsi="Times New Roman" w:eastAsia="宋体" w:cs="Times New Roman"/>
          <w:color w:val="auto"/>
        </w:rPr>
      </w:pPr>
      <w:bookmarkStart w:id="275" w:name="_Hlk46689585"/>
      <w:r>
        <w:rPr>
          <w:rFonts w:hint="eastAsia"/>
          <w:color w:val="auto"/>
        </w:rPr>
        <w:t>本次评价共布设水位监测点</w:t>
      </w:r>
      <w:r>
        <w:rPr>
          <w:color w:val="auto"/>
        </w:rPr>
        <w:t>6</w:t>
      </w:r>
      <w:r>
        <w:rPr>
          <w:rFonts w:hint="eastAsia"/>
          <w:color w:val="auto"/>
        </w:rPr>
        <w:t>个，布设3个地下水水质监测点，监测时间为202</w:t>
      </w:r>
      <w:r>
        <w:rPr>
          <w:rFonts w:hint="eastAsia"/>
          <w:color w:val="auto"/>
          <w:lang w:val="en-US" w:eastAsia="zh-CN"/>
        </w:rPr>
        <w:t>1</w:t>
      </w:r>
      <w:r>
        <w:rPr>
          <w:rFonts w:hint="eastAsia"/>
          <w:color w:val="auto"/>
        </w:rPr>
        <w:t>年</w:t>
      </w:r>
      <w:r>
        <w:rPr>
          <w:rFonts w:hint="eastAsia"/>
          <w:color w:val="auto"/>
          <w:lang w:val="en-US" w:eastAsia="zh-CN"/>
        </w:rPr>
        <w:t>4</w:t>
      </w:r>
      <w:r>
        <w:rPr>
          <w:rFonts w:hint="eastAsia"/>
          <w:color w:val="auto"/>
        </w:rPr>
        <w:t>月</w:t>
      </w:r>
      <w:r>
        <w:rPr>
          <w:rFonts w:hint="eastAsia"/>
          <w:color w:val="auto"/>
          <w:lang w:val="en-US" w:eastAsia="zh-CN"/>
        </w:rPr>
        <w:t>16</w:t>
      </w:r>
      <w:r>
        <w:rPr>
          <w:rFonts w:hint="eastAsia"/>
          <w:color w:val="auto"/>
        </w:rPr>
        <w:t>日，</w:t>
      </w:r>
      <w:bookmarkStart w:id="276" w:name="_Hlk46338805"/>
      <w:r>
        <w:rPr>
          <w:rFonts w:hint="eastAsia"/>
          <w:color w:val="auto"/>
        </w:rPr>
        <w:t>监测单位为</w:t>
      </w:r>
      <w:r>
        <w:rPr>
          <w:rFonts w:hint="eastAsia"/>
          <w:color w:val="auto"/>
          <w:szCs w:val="24"/>
        </w:rPr>
        <w:t>内蒙古华智鼎环保科技有限公司</w:t>
      </w:r>
      <w:r>
        <w:rPr>
          <w:rFonts w:hint="eastAsia"/>
          <w:color w:val="auto"/>
        </w:rPr>
        <w:t>，</w:t>
      </w:r>
      <w:bookmarkEnd w:id="276"/>
      <w:r>
        <w:rPr>
          <w:rFonts w:hint="eastAsia"/>
          <w:color w:val="auto"/>
        </w:rPr>
        <w:t>水质水位位置布点见下表，如图</w:t>
      </w:r>
      <w:r>
        <w:rPr>
          <w:color w:val="auto"/>
        </w:rPr>
        <w:t>4.2-</w:t>
      </w:r>
      <w:r>
        <w:rPr>
          <w:rFonts w:hint="eastAsia"/>
          <w:color w:val="auto"/>
          <w:lang w:val="en-US" w:eastAsia="zh-CN"/>
        </w:rPr>
        <w:t>1</w:t>
      </w:r>
      <w:r>
        <w:rPr>
          <w:rFonts w:hint="eastAsia"/>
          <w:color w:val="auto"/>
        </w:rPr>
        <w:t>所示</w:t>
      </w:r>
      <w:r>
        <w:rPr>
          <w:rFonts w:hint="default" w:ascii="Times New Roman" w:hAnsi="Times New Roman" w:eastAsia="宋体" w:cs="Times New Roman"/>
          <w:color w:val="auto"/>
        </w:rPr>
        <w:t>。</w:t>
      </w:r>
      <w:bookmarkEnd w:id="275"/>
    </w:p>
    <w:p>
      <w:pPr>
        <w:pStyle w:val="8"/>
        <w:rPr>
          <w:rFonts w:hint="default" w:ascii="Times New Roman" w:hAnsi="Times New Roman" w:eastAsia="宋体" w:cs="Times New Roman"/>
          <w:color w:val="FF0000"/>
        </w:rPr>
      </w:pPr>
      <w:r>
        <w:rPr>
          <w:rFonts w:hint="default" w:ascii="Times New Roman" w:hAnsi="Times New Roman" w:eastAsia="宋体" w:cs="Times New Roman"/>
          <w:color w:val="FF0000"/>
        </w:rPr>
        <w:t>表4.2-6    地下水水位监测布点图</w:t>
      </w:r>
    </w:p>
    <w:tbl>
      <w:tblPr>
        <w:tblStyle w:val="34"/>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36"/>
        <w:gridCol w:w="2826"/>
        <w:gridCol w:w="1382"/>
        <w:gridCol w:w="1382"/>
        <w:gridCol w:w="1385"/>
        <w:gridCol w:w="13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9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rPr>
            </w:pPr>
            <w:r>
              <w:rPr>
                <w:rFonts w:hint="default" w:ascii="Times New Roman" w:hAnsi="Times New Roman" w:eastAsia="宋体" w:cs="Times New Roman"/>
                <w:color w:val="FF0000"/>
              </w:rPr>
              <w:t>序号</w:t>
            </w:r>
          </w:p>
        </w:tc>
        <w:tc>
          <w:tcPr>
            <w:tcW w:w="130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rPr>
            </w:pPr>
            <w:r>
              <w:rPr>
                <w:rFonts w:hint="default" w:ascii="Times New Roman" w:hAnsi="Times New Roman" w:eastAsia="宋体" w:cs="Times New Roman"/>
                <w:color w:val="FF0000"/>
              </w:rPr>
              <w:t>坐标</w:t>
            </w:r>
          </w:p>
        </w:tc>
        <w:tc>
          <w:tcPr>
            <w:tcW w:w="84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eastAsia" w:cs="Times New Roman"/>
                <w:color w:val="FF0000"/>
                <w:lang w:eastAsia="zh-CN"/>
              </w:rPr>
            </w:pPr>
            <w:r>
              <w:rPr>
                <w:rFonts w:hint="eastAsia" w:cs="Times New Roman"/>
                <w:color w:val="FF0000"/>
                <w:lang w:eastAsia="zh-CN"/>
              </w:rPr>
              <w:t>地下水流向</w:t>
            </w:r>
          </w:p>
        </w:tc>
        <w:tc>
          <w:tcPr>
            <w:tcW w:w="84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eastAsia" w:ascii="Times New Roman" w:hAnsi="Times New Roman" w:eastAsia="宋体" w:cs="Times New Roman"/>
                <w:color w:val="FF0000"/>
                <w:lang w:eastAsia="zh-CN"/>
              </w:rPr>
            </w:pPr>
            <w:r>
              <w:rPr>
                <w:rFonts w:hint="eastAsia" w:cs="Times New Roman"/>
                <w:color w:val="FF0000"/>
                <w:lang w:eastAsia="zh-CN"/>
              </w:rPr>
              <w:t>相对位置</w:t>
            </w:r>
          </w:p>
        </w:tc>
        <w:tc>
          <w:tcPr>
            <w:tcW w:w="85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kern w:val="2"/>
                <w:sz w:val="21"/>
                <w:szCs w:val="22"/>
                <w:lang w:val="en-US" w:eastAsia="zh-CN" w:bidi="ar-SA"/>
              </w:rPr>
            </w:pPr>
            <w:r>
              <w:rPr>
                <w:rFonts w:hint="eastAsia" w:ascii="Times New Roman" w:hAnsi="Times New Roman" w:eastAsia="宋体" w:cs="Times New Roman"/>
                <w:color w:val="FF0000"/>
                <w:kern w:val="2"/>
                <w:sz w:val="21"/>
                <w:szCs w:val="22"/>
                <w:lang w:val="en-US" w:eastAsia="zh-CN" w:bidi="ar-SA"/>
              </w:rPr>
              <w:t>距离m</w:t>
            </w:r>
          </w:p>
        </w:tc>
        <w:tc>
          <w:tcPr>
            <w:tcW w:w="85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FF0000"/>
              </w:rPr>
            </w:pPr>
            <w:r>
              <w:rPr>
                <w:rFonts w:hint="default" w:ascii="Times New Roman" w:hAnsi="Times New Roman" w:eastAsia="宋体" w:cs="Times New Roman"/>
                <w:color w:val="FF0000"/>
                <w:sz w:val="21"/>
                <w:szCs w:val="21"/>
                <w:highlight w:val="none"/>
              </w:rPr>
              <w:t>性质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9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rPr>
            </w:pPr>
            <w:r>
              <w:rPr>
                <w:rFonts w:hint="default" w:ascii="Times New Roman" w:hAnsi="Times New Roman" w:eastAsia="宋体" w:cs="Times New Roman"/>
                <w:color w:val="FF0000"/>
                <w:sz w:val="21"/>
                <w:szCs w:val="21"/>
                <w:highlight w:val="none"/>
              </w:rPr>
              <w:t>1#☆</w:t>
            </w:r>
          </w:p>
        </w:tc>
        <w:tc>
          <w:tcPr>
            <w:tcW w:w="130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E107°39'3.32'',N40°53'33.28''</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场区</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场区</w:t>
            </w:r>
          </w:p>
        </w:tc>
        <w:tc>
          <w:tcPr>
            <w:tcW w:w="851"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w:t>
            </w:r>
          </w:p>
        </w:tc>
        <w:tc>
          <w:tcPr>
            <w:tcW w:w="852"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cs="Times New Roman"/>
                <w:color w:val="FF0000"/>
                <w:sz w:val="21"/>
                <w:szCs w:val="21"/>
                <w:highlight w:val="none"/>
                <w:lang w:eastAsia="zh-CN"/>
              </w:rPr>
              <w:t>养殖水井</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9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rPr>
            </w:pPr>
            <w:r>
              <w:rPr>
                <w:rFonts w:hint="default" w:ascii="Times New Roman" w:hAnsi="Times New Roman" w:eastAsia="宋体" w:cs="Times New Roman"/>
                <w:color w:val="FF0000"/>
                <w:sz w:val="21"/>
                <w:szCs w:val="21"/>
                <w:highlight w:val="none"/>
              </w:rPr>
              <w:t>2#☆</w:t>
            </w:r>
          </w:p>
        </w:tc>
        <w:tc>
          <w:tcPr>
            <w:tcW w:w="130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E107°38'54.02'',N40°53'2.4''</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两侧</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场区南侧</w:t>
            </w:r>
          </w:p>
        </w:tc>
        <w:tc>
          <w:tcPr>
            <w:tcW w:w="851"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890</w:t>
            </w:r>
          </w:p>
        </w:tc>
        <w:tc>
          <w:tcPr>
            <w:tcW w:w="852"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灌溉井</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9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rPr>
            </w:pPr>
            <w:r>
              <w:rPr>
                <w:rFonts w:hint="eastAsia" w:ascii="Times New Roman" w:hAnsi="Times New Roman" w:eastAsia="宋体" w:cs="Times New Roman"/>
                <w:color w:val="FF0000"/>
                <w:sz w:val="21"/>
                <w:szCs w:val="21"/>
                <w:highlight w:val="none"/>
                <w:lang w:val="en-US" w:eastAsia="zh-CN"/>
              </w:rPr>
              <w:t>3</w:t>
            </w:r>
            <w:r>
              <w:rPr>
                <w:rFonts w:hint="default" w:ascii="Times New Roman" w:hAnsi="Times New Roman" w:eastAsia="宋体" w:cs="Times New Roman"/>
                <w:color w:val="FF0000"/>
                <w:sz w:val="21"/>
                <w:szCs w:val="21"/>
                <w:highlight w:val="none"/>
              </w:rPr>
              <w:t>#☆</w:t>
            </w:r>
          </w:p>
        </w:tc>
        <w:tc>
          <w:tcPr>
            <w:tcW w:w="130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E107°38'21.39'',N40°53'6.93''</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上游</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场区西南侧</w:t>
            </w:r>
          </w:p>
        </w:tc>
        <w:tc>
          <w:tcPr>
            <w:tcW w:w="851"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920</w:t>
            </w:r>
          </w:p>
        </w:tc>
        <w:tc>
          <w:tcPr>
            <w:tcW w:w="852"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sz w:val="21"/>
                <w:szCs w:val="21"/>
                <w:highlight w:val="none"/>
                <w:lang w:eastAsia="zh-CN"/>
              </w:rPr>
              <w:t>生产用水</w:t>
            </w:r>
            <w:r>
              <w:rPr>
                <w:rFonts w:hint="default" w:ascii="Times New Roman" w:hAnsi="Times New Roman" w:eastAsia="宋体" w:cs="Times New Roman"/>
                <w:color w:val="FF0000"/>
                <w:sz w:val="21"/>
                <w:szCs w:val="21"/>
                <w:highlight w:val="none"/>
              </w:rPr>
              <w:t>井</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9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rPr>
            </w:pPr>
            <w:r>
              <w:rPr>
                <w:rFonts w:hint="eastAsia" w:ascii="Times New Roman" w:hAnsi="Times New Roman" w:eastAsia="宋体" w:cs="Times New Roman"/>
                <w:color w:val="FF0000"/>
                <w:sz w:val="21"/>
                <w:szCs w:val="21"/>
                <w:highlight w:val="none"/>
                <w:lang w:val="en-US" w:eastAsia="zh-CN"/>
              </w:rPr>
              <w:t>4</w:t>
            </w:r>
            <w:r>
              <w:rPr>
                <w:rFonts w:hint="default" w:ascii="Times New Roman" w:hAnsi="Times New Roman" w:eastAsia="宋体" w:cs="Times New Roman"/>
                <w:color w:val="FF0000"/>
                <w:sz w:val="21"/>
                <w:szCs w:val="21"/>
                <w:highlight w:val="none"/>
              </w:rPr>
              <w:t>#☆</w:t>
            </w:r>
          </w:p>
        </w:tc>
        <w:tc>
          <w:tcPr>
            <w:tcW w:w="130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E107°39'2.77'',N40°53'29.83''</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场区</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场区</w:t>
            </w:r>
          </w:p>
        </w:tc>
        <w:tc>
          <w:tcPr>
            <w:tcW w:w="851"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w:t>
            </w:r>
          </w:p>
        </w:tc>
        <w:tc>
          <w:tcPr>
            <w:tcW w:w="852"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cs="Times New Roman"/>
                <w:color w:val="FF0000"/>
                <w:sz w:val="21"/>
                <w:szCs w:val="21"/>
                <w:highlight w:val="none"/>
                <w:lang w:eastAsia="zh-CN"/>
              </w:rPr>
              <w:t>养殖水井</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9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rPr>
            </w:pPr>
            <w:r>
              <w:rPr>
                <w:rFonts w:hint="eastAsia" w:ascii="Times New Roman" w:hAnsi="Times New Roman" w:eastAsia="宋体" w:cs="Times New Roman"/>
                <w:color w:val="FF0000"/>
                <w:sz w:val="21"/>
                <w:szCs w:val="21"/>
                <w:highlight w:val="none"/>
                <w:lang w:val="en-US" w:eastAsia="zh-CN"/>
              </w:rPr>
              <w:t>5</w:t>
            </w:r>
            <w:r>
              <w:rPr>
                <w:rFonts w:hint="default" w:ascii="Times New Roman" w:hAnsi="Times New Roman" w:eastAsia="宋体" w:cs="Times New Roman"/>
                <w:color w:val="FF0000"/>
                <w:sz w:val="21"/>
                <w:szCs w:val="21"/>
                <w:highlight w:val="none"/>
              </w:rPr>
              <w:t>#☆</w:t>
            </w:r>
          </w:p>
        </w:tc>
        <w:tc>
          <w:tcPr>
            <w:tcW w:w="130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E107°37'59.62'',N40°53'17.11''</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上游</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场区西侧</w:t>
            </w:r>
          </w:p>
        </w:tc>
        <w:tc>
          <w:tcPr>
            <w:tcW w:w="851"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1330</w:t>
            </w:r>
          </w:p>
        </w:tc>
        <w:tc>
          <w:tcPr>
            <w:tcW w:w="852"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灌溉井</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9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rPr>
            </w:pPr>
            <w:r>
              <w:rPr>
                <w:rFonts w:hint="eastAsia" w:ascii="Times New Roman" w:hAnsi="Times New Roman" w:eastAsia="宋体" w:cs="Times New Roman"/>
                <w:color w:val="FF0000"/>
                <w:sz w:val="21"/>
                <w:szCs w:val="21"/>
                <w:highlight w:val="none"/>
                <w:lang w:val="en-US" w:eastAsia="zh-CN"/>
              </w:rPr>
              <w:t>6</w:t>
            </w:r>
            <w:r>
              <w:rPr>
                <w:rFonts w:hint="default" w:ascii="Times New Roman" w:hAnsi="Times New Roman" w:eastAsia="宋体" w:cs="Times New Roman"/>
                <w:color w:val="FF0000"/>
                <w:sz w:val="21"/>
                <w:szCs w:val="21"/>
                <w:highlight w:val="none"/>
              </w:rPr>
              <w:t>#☆</w:t>
            </w:r>
          </w:p>
        </w:tc>
        <w:tc>
          <w:tcPr>
            <w:tcW w:w="1303"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E107°39'36.11'',N40°53'51.26''</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下游</w:t>
            </w:r>
          </w:p>
        </w:tc>
        <w:tc>
          <w:tcPr>
            <w:tcW w:w="849"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21"/>
                <w:highlight w:val="none"/>
                <w:lang w:val="en-US" w:eastAsia="zh-CN"/>
              </w:rPr>
            </w:pPr>
            <w:r>
              <w:rPr>
                <w:rFonts w:hint="eastAsia" w:cs="Times New Roman"/>
                <w:color w:val="FF0000"/>
                <w:sz w:val="21"/>
                <w:szCs w:val="21"/>
                <w:highlight w:val="none"/>
                <w:lang w:val="en-US" w:eastAsia="zh-CN"/>
              </w:rPr>
              <w:t>场区东北侧</w:t>
            </w:r>
          </w:p>
        </w:tc>
        <w:tc>
          <w:tcPr>
            <w:tcW w:w="851"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1280</w:t>
            </w:r>
          </w:p>
        </w:tc>
        <w:tc>
          <w:tcPr>
            <w:tcW w:w="852" w:type="pct"/>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cs="Times New Roman"/>
                <w:color w:val="FF0000"/>
                <w:sz w:val="21"/>
                <w:szCs w:val="21"/>
                <w:highlight w:val="none"/>
                <w:lang w:val="en-US" w:eastAsia="zh-CN"/>
              </w:rPr>
              <w:t>饮用水井</w:t>
            </w: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4.2.2.2水质现状监测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1、水质监测因子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kern w:val="0"/>
          <w:szCs w:val="21"/>
        </w:rPr>
        <w:t>监测项目：Ka</w:t>
      </w:r>
      <w:r>
        <w:rPr>
          <w:rFonts w:hint="default" w:ascii="Times New Roman" w:hAnsi="Times New Roman" w:eastAsia="宋体" w:cs="Times New Roman"/>
          <w:color w:val="auto"/>
          <w:kern w:val="0"/>
          <w:szCs w:val="21"/>
          <w:vertAlign w:val="superscript"/>
        </w:rPr>
        <w:t>+</w:t>
      </w:r>
      <w:r>
        <w:rPr>
          <w:rFonts w:hint="default" w:ascii="Times New Roman" w:hAnsi="Times New Roman" w:eastAsia="宋体" w:cs="Times New Roman"/>
          <w:color w:val="auto"/>
          <w:kern w:val="0"/>
          <w:szCs w:val="21"/>
        </w:rPr>
        <w:t>、Na</w:t>
      </w:r>
      <w:r>
        <w:rPr>
          <w:rFonts w:hint="default" w:ascii="Times New Roman" w:hAnsi="Times New Roman" w:eastAsia="宋体" w:cs="Times New Roman"/>
          <w:color w:val="auto"/>
          <w:kern w:val="0"/>
          <w:szCs w:val="21"/>
          <w:vertAlign w:val="superscript"/>
        </w:rPr>
        <w:t>+</w:t>
      </w:r>
      <w:r>
        <w:rPr>
          <w:rFonts w:hint="default" w:ascii="Times New Roman" w:hAnsi="Times New Roman" w:eastAsia="宋体" w:cs="Times New Roman"/>
          <w:color w:val="auto"/>
          <w:kern w:val="0"/>
          <w:szCs w:val="21"/>
        </w:rPr>
        <w:t>、Ca</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、Mg</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、CO</w:t>
      </w:r>
      <w:r>
        <w:rPr>
          <w:rFonts w:hint="default" w:ascii="Times New Roman" w:hAnsi="Times New Roman" w:eastAsia="宋体" w:cs="Times New Roman"/>
          <w:color w:val="auto"/>
          <w:kern w:val="0"/>
          <w:szCs w:val="21"/>
          <w:vertAlign w:val="subscript"/>
        </w:rPr>
        <w:t>3</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、HCO</w:t>
      </w:r>
      <w:r>
        <w:rPr>
          <w:rFonts w:hint="default" w:ascii="Times New Roman" w:hAnsi="Times New Roman" w:eastAsia="宋体" w:cs="Times New Roman"/>
          <w:color w:val="auto"/>
          <w:kern w:val="0"/>
          <w:szCs w:val="21"/>
          <w:vertAlign w:val="subscript"/>
        </w:rPr>
        <w:t>3</w:t>
      </w:r>
      <w:r>
        <w:rPr>
          <w:rFonts w:hint="default" w:ascii="Times New Roman" w:hAnsi="Times New Roman" w:eastAsia="宋体" w:cs="Times New Roman"/>
          <w:color w:val="auto"/>
          <w:kern w:val="0"/>
          <w:szCs w:val="21"/>
          <w:vertAlign w:val="superscript"/>
        </w:rPr>
        <w:t>-</w:t>
      </w:r>
      <w:r>
        <w:rPr>
          <w:rFonts w:hint="default" w:ascii="Times New Roman" w:hAnsi="Times New Roman" w:eastAsia="宋体" w:cs="Times New Roman"/>
          <w:color w:val="auto"/>
          <w:kern w:val="0"/>
          <w:szCs w:val="21"/>
        </w:rPr>
        <w:t>、Cl</w:t>
      </w:r>
      <w:r>
        <w:rPr>
          <w:rFonts w:hint="default" w:ascii="Times New Roman" w:hAnsi="Times New Roman" w:eastAsia="宋体" w:cs="Times New Roman"/>
          <w:color w:val="auto"/>
          <w:kern w:val="0"/>
          <w:szCs w:val="21"/>
          <w:vertAlign w:val="superscript"/>
        </w:rPr>
        <w:t>-</w:t>
      </w:r>
      <w:r>
        <w:rPr>
          <w:rFonts w:hint="default" w:ascii="Times New Roman" w:hAnsi="Times New Roman" w:eastAsia="宋体" w:cs="Times New Roman"/>
          <w:color w:val="auto"/>
          <w:kern w:val="0"/>
          <w:szCs w:val="21"/>
        </w:rPr>
        <w:t>、SO</w:t>
      </w:r>
      <w:r>
        <w:rPr>
          <w:rFonts w:hint="default" w:ascii="Times New Roman" w:hAnsi="Times New Roman" w:eastAsia="宋体" w:cs="Times New Roman"/>
          <w:color w:val="auto"/>
          <w:kern w:val="0"/>
          <w:szCs w:val="21"/>
          <w:vertAlign w:val="subscript"/>
        </w:rPr>
        <w:t>4</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；pH、总硬度、耗氧量、硫酸盐、氯化物、硝酸盐、氨氮、亚硝酸盐、挥发性酚类、氰化物、氟、溶解性总固体、六价铬、砷、汞、铅、镉、铁、锰、</w:t>
      </w:r>
      <w:r>
        <w:rPr>
          <w:rFonts w:hint="default" w:ascii="Times New Roman" w:hAnsi="Times New Roman" w:eastAsia="宋体" w:cs="Times New Roman"/>
          <w:color w:val="auto"/>
          <w:kern w:val="0"/>
          <w:szCs w:val="21"/>
          <w:lang w:eastAsia="zh-CN"/>
        </w:rPr>
        <w:t>菌落总数</w:t>
      </w:r>
      <w:r>
        <w:rPr>
          <w:rFonts w:hint="default" w:ascii="Times New Roman" w:hAnsi="Times New Roman" w:eastAsia="宋体" w:cs="Times New Roman"/>
          <w:color w:val="auto"/>
          <w:kern w:val="0"/>
          <w:szCs w:val="21"/>
        </w:rPr>
        <w:t>、总大肠菌群。</w:t>
      </w:r>
    </w:p>
    <w:p>
      <w:pPr>
        <w:ind w:firstLine="480"/>
        <w:rPr>
          <w:rFonts w:hint="default" w:ascii="Times New Roman" w:hAnsi="Times New Roman" w:eastAsia="宋体" w:cs="Times New Roman"/>
          <w:color w:val="auto"/>
        </w:rPr>
      </w:pPr>
      <w:bookmarkStart w:id="277" w:name="_Toc439163209"/>
      <w:bookmarkStart w:id="278" w:name="_Toc346129902"/>
      <w:bookmarkStart w:id="279" w:name="_Toc386049604"/>
      <w:bookmarkStart w:id="280" w:name="_Toc346129691"/>
      <w:bookmarkStart w:id="281" w:name="_Toc439163832"/>
      <w:bookmarkStart w:id="282" w:name="_Toc436308534"/>
      <w:bookmarkStart w:id="283" w:name="_Toc346615958"/>
      <w:r>
        <w:rPr>
          <w:rFonts w:hint="default" w:ascii="Times New Roman" w:hAnsi="Times New Roman" w:eastAsia="宋体" w:cs="Times New Roman"/>
          <w:color w:val="auto"/>
        </w:rPr>
        <w:t>2、监测时间及频次</w:t>
      </w:r>
    </w:p>
    <w:p>
      <w:pPr>
        <w:ind w:firstLine="480"/>
        <w:rPr>
          <w:rFonts w:hint="default" w:ascii="Times New Roman" w:hAnsi="Times New Roman" w:eastAsia="宋体" w:cs="Times New Roman"/>
          <w:color w:val="auto"/>
        </w:rPr>
      </w:pPr>
      <w:r>
        <w:rPr>
          <w:rFonts w:hint="eastAsia"/>
          <w:color w:val="auto"/>
        </w:rPr>
        <w:t>监测时间为</w:t>
      </w:r>
      <w:r>
        <w:rPr>
          <w:color w:val="auto"/>
        </w:rPr>
        <w:t>202</w:t>
      </w:r>
      <w:r>
        <w:rPr>
          <w:rFonts w:hint="eastAsia"/>
          <w:color w:val="auto"/>
          <w:lang w:val="en-US" w:eastAsia="zh-CN"/>
        </w:rPr>
        <w:t>1</w:t>
      </w:r>
      <w:r>
        <w:rPr>
          <w:rFonts w:hint="eastAsia"/>
          <w:color w:val="auto"/>
        </w:rPr>
        <w:t>年</w:t>
      </w:r>
      <w:r>
        <w:rPr>
          <w:rFonts w:hint="eastAsia"/>
          <w:color w:val="auto"/>
          <w:lang w:val="en-US" w:eastAsia="zh-CN"/>
        </w:rPr>
        <w:t>4</w:t>
      </w:r>
      <w:r>
        <w:rPr>
          <w:rFonts w:hint="eastAsia"/>
          <w:color w:val="auto"/>
        </w:rPr>
        <w:t>月</w:t>
      </w:r>
      <w:r>
        <w:rPr>
          <w:rFonts w:hint="eastAsia"/>
          <w:color w:val="auto"/>
          <w:lang w:val="en-US" w:eastAsia="zh-CN"/>
        </w:rPr>
        <w:t>16</w:t>
      </w:r>
      <w:r>
        <w:rPr>
          <w:rFonts w:hint="eastAsia"/>
          <w:color w:val="auto"/>
        </w:rPr>
        <w:t>日，</w:t>
      </w:r>
      <w:r>
        <w:rPr>
          <w:rFonts w:hint="eastAsia"/>
          <w:color w:val="auto"/>
          <w:lang w:val="en-US" w:eastAsia="zh-CN"/>
        </w:rPr>
        <w:t>共</w:t>
      </w:r>
      <w:r>
        <w:rPr>
          <w:rFonts w:hint="eastAsia"/>
          <w:color w:val="auto"/>
        </w:rPr>
        <w:t>监测</w:t>
      </w:r>
      <w:r>
        <w:rPr>
          <w:rFonts w:hint="eastAsia"/>
          <w:color w:val="auto"/>
          <w:lang w:val="en-US" w:eastAsia="zh-CN"/>
        </w:rPr>
        <w:t>1</w:t>
      </w:r>
      <w:r>
        <w:rPr>
          <w:rFonts w:hint="eastAsia"/>
          <w:color w:val="auto"/>
        </w:rPr>
        <w:t>次</w:t>
      </w:r>
      <w:r>
        <w:rPr>
          <w:rFonts w:hint="default" w:ascii="Times New Roman" w:hAnsi="Times New Roman" w:eastAsia="宋体" w:cs="Times New Roman"/>
          <w:color w:val="auto"/>
        </w:rPr>
        <w:t>。</w:t>
      </w:r>
      <w:bookmarkEnd w:id="277"/>
      <w:bookmarkEnd w:id="278"/>
      <w:bookmarkEnd w:id="279"/>
      <w:bookmarkEnd w:id="280"/>
      <w:bookmarkEnd w:id="281"/>
      <w:bookmarkEnd w:id="282"/>
      <w:bookmarkEnd w:id="28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3、监测分析方法</w:t>
      </w:r>
    </w:p>
    <w:p>
      <w:pPr>
        <w:ind w:firstLine="480"/>
        <w:rPr>
          <w:rFonts w:hint="default" w:ascii="Times New Roman" w:hAnsi="Times New Roman" w:eastAsia="宋体" w:cs="Times New Roman"/>
          <w:color w:val="auto"/>
          <w:lang w:val="zh-CN"/>
        </w:rPr>
      </w:pPr>
      <w:r>
        <w:rPr>
          <w:rFonts w:hint="default" w:ascii="Times New Roman" w:hAnsi="Times New Roman" w:eastAsia="宋体" w:cs="Times New Roman"/>
          <w:color w:val="auto"/>
        </w:rPr>
        <w:t>样品的采集、保存及分析均按照相关的标准及规范进行，各水质监测项目的分析方法见下表</w:t>
      </w:r>
      <w:r>
        <w:rPr>
          <w:rFonts w:hint="default" w:ascii="Times New Roman" w:hAnsi="Times New Roman" w:eastAsia="宋体" w:cs="Times New Roman"/>
          <w:color w:val="auto"/>
          <w:lang w:val="zh-CN"/>
        </w:rPr>
        <w:t>。</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表4.2-7    地下水监测分析方法及依据</w:t>
      </w:r>
    </w:p>
    <w:tbl>
      <w:tblPr>
        <w:tblStyle w:val="3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015"/>
        <w:gridCol w:w="3618"/>
        <w:gridCol w:w="896"/>
        <w:gridCol w:w="1514"/>
        <w:gridCol w:w="1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hint="eastAsia" w:ascii="Times New Roman" w:hAnsi="Times New Roman"/>
                <w:color w:val="auto"/>
              </w:rPr>
              <w:t>序号</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检测项目</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方法名称及来源</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检出限</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仪器设备名称/型号</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仪器管理编号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hint="eastAsia" w:ascii="Times New Roman" w:hAnsi="Times New Roman"/>
                <w:color w:val="auto"/>
              </w:rPr>
              <w:t>1</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szCs w:val="22"/>
              </w:rPr>
              <w:t>pH</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kern w:val="0"/>
                <w:szCs w:val="21"/>
                <w:lang w:bidi="ar"/>
              </w:rPr>
            </w:pPr>
            <w:r>
              <w:rPr>
                <w:rFonts w:ascii="Times New Roman" w:hAnsi="Times New Roman"/>
                <w:color w:val="auto"/>
                <w:kern w:val="0"/>
                <w:szCs w:val="21"/>
                <w:lang w:bidi="ar"/>
              </w:rPr>
              <w:t>《水质 pH值的测定玻璃电极法》</w:t>
            </w:r>
          </w:p>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kern w:val="0"/>
                <w:szCs w:val="21"/>
                <w:lang w:bidi="ar"/>
              </w:rPr>
              <w:t>（GB 6920-86）</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ascii="Times New Roman" w:hAnsi="Times New Roman"/>
                <w:color w:val="auto"/>
              </w:rPr>
              <w:t>无量纲</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hint="eastAsia" w:ascii="Times New Roman" w:hAnsi="Times New Roman"/>
                <w:color w:val="auto"/>
              </w:rPr>
              <w:t>pH计/PHS-3C</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hint="eastAsia" w:ascii="Times New Roman" w:hAnsi="Times New Roman"/>
                <w:color w:val="auto"/>
              </w:rPr>
              <w:t>HZD-009-B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color w:val="auto"/>
                <w:lang w:val="en-US" w:eastAsia="zh-CN"/>
              </w:rPr>
              <w:t>2</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szCs w:val="22"/>
              </w:rPr>
              <w:t>总硬度</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《水质钙和镁总量的测定EDTA滴定法》（GB 7477-1987）</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hint="eastAsia" w:ascii="Times New Roman" w:hAnsi="Times New Roman"/>
                <w:color w:val="auto"/>
              </w:rPr>
              <w:t>5mg/L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滴定管</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hint="eastAsia" w:ascii="Times New Roman" w:hAnsi="Times New Roman"/>
                <w:color w:val="auto"/>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color w:val="auto"/>
                <w:lang w:val="en-US" w:eastAsia="zh-CN"/>
              </w:rPr>
              <w:t>3</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hint="eastAsia" w:ascii="Times New Roman" w:hAnsi="Times New Roman"/>
                <w:color w:val="auto"/>
              </w:rPr>
              <w:t>溶</w:t>
            </w:r>
            <w:r>
              <w:rPr>
                <w:rFonts w:hint="eastAsia" w:ascii="Times New Roman" w:hAnsi="Times New Roman"/>
                <w:color w:val="auto"/>
                <w:szCs w:val="22"/>
              </w:rPr>
              <w:t>解性总固体</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《生活饮用水标准检验方法 感官性状和物理指</w:t>
            </w:r>
            <w:r>
              <w:rPr>
                <w:rFonts w:hint="eastAsia" w:ascii="Times New Roman" w:hAnsi="Times New Roman"/>
                <w:color w:val="auto"/>
              </w:rPr>
              <w:t>》</w:t>
            </w:r>
            <w:r>
              <w:rPr>
                <w:rFonts w:ascii="Times New Roman" w:hAnsi="Times New Roman"/>
                <w:color w:val="auto"/>
              </w:rPr>
              <w:t>(GB/T5750.4-2006) （8.1 溶解性总固体 称重法）</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hint="eastAsia" w:ascii="Times New Roman" w:hAnsi="Times New Roman"/>
                <w:color w:val="auto"/>
              </w:rPr>
              <w:t>/</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电子天平（万分之一）/FA2004B</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ascii="Times New Roman" w:hAnsi="Times New Roman"/>
                <w:color w:val="auto"/>
              </w:rPr>
              <w:t>HZD-011-A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color w:val="auto"/>
                <w:lang w:val="en-US" w:eastAsia="zh-CN"/>
              </w:rPr>
              <w:t>4</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szCs w:val="22"/>
              </w:rPr>
              <w:t>氨氮</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《水质</w:t>
            </w:r>
            <w:r>
              <w:rPr>
                <w:rFonts w:hint="eastAsia" w:ascii="Times New Roman" w:hAnsi="Times New Roman"/>
                <w:color w:val="auto"/>
                <w:lang w:val="en-US" w:eastAsia="zh-CN"/>
              </w:rPr>
              <w:t xml:space="preserve"> </w:t>
            </w:r>
            <w:r>
              <w:rPr>
                <w:rFonts w:ascii="Times New Roman" w:hAnsi="Times New Roman"/>
                <w:color w:val="auto"/>
              </w:rPr>
              <w:t>氨氮的测定纳氏试剂分光光度法》（HJ 535-2009）</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ascii="Times New Roman" w:hAnsi="Times New Roman"/>
                <w:color w:val="auto"/>
              </w:rPr>
              <w:t>0.0</w:t>
            </w:r>
            <w:r>
              <w:rPr>
                <w:rFonts w:hint="eastAsia" w:ascii="Times New Roman" w:hAnsi="Times New Roman"/>
                <w:color w:val="auto"/>
              </w:rPr>
              <w:t>25</w:t>
            </w:r>
          </w:p>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可见分光光度计/7230G</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宋体"/>
                <w:color w:val="auto"/>
                <w:lang w:val="en-US" w:eastAsia="zh-CN"/>
              </w:rPr>
            </w:pPr>
            <w:r>
              <w:rPr>
                <w:rFonts w:ascii="Times New Roman" w:hAnsi="Times New Roman"/>
                <w:color w:val="auto"/>
              </w:rPr>
              <w:t>HZD-022-</w:t>
            </w:r>
            <w:r>
              <w:rPr>
                <w:rFonts w:hint="eastAsia"/>
                <w:color w:val="auto"/>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color w:val="auto"/>
                <w:lang w:val="en-US" w:eastAsia="zh-CN"/>
              </w:rPr>
              <w:t>5</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hint="eastAsia" w:ascii="Times New Roman" w:hAnsi="Times New Roman"/>
                <w:color w:val="auto"/>
              </w:rPr>
              <w:t>六</w:t>
            </w:r>
            <w:r>
              <w:rPr>
                <w:rFonts w:hint="eastAsia" w:ascii="Times New Roman" w:hAnsi="Times New Roman"/>
                <w:color w:val="auto"/>
                <w:szCs w:val="22"/>
              </w:rPr>
              <w:t>价铬</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《水质 六价铬的测定 二苯碳酰二肼分光光度法》（GB 7467-87）</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0.004</w:t>
            </w:r>
          </w:p>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可见分光光度计/7230G</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宋体"/>
                <w:color w:val="auto"/>
                <w:lang w:val="en-US" w:eastAsia="zh-CN"/>
              </w:rPr>
            </w:pPr>
            <w:r>
              <w:rPr>
                <w:rFonts w:ascii="Times New Roman" w:hAnsi="Times New Roman"/>
                <w:color w:val="auto"/>
              </w:rPr>
              <w:t>HZD-022-</w:t>
            </w:r>
            <w:r>
              <w:rPr>
                <w:rFonts w:hint="eastAsia"/>
                <w:color w:val="auto"/>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color w:val="auto"/>
                <w:lang w:val="en-US" w:eastAsia="zh-CN"/>
              </w:rPr>
              <w:t>6</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szCs w:val="22"/>
              </w:rPr>
            </w:pPr>
            <w:r>
              <w:rPr>
                <w:rFonts w:hint="eastAsia" w:ascii="Times New Roman" w:hAnsi="Times New Roman"/>
                <w:color w:val="auto"/>
                <w:szCs w:val="22"/>
              </w:rPr>
              <w:t>亚</w:t>
            </w:r>
            <w:r>
              <w:rPr>
                <w:rFonts w:ascii="Times New Roman" w:hAnsi="Times New Roman"/>
                <w:color w:val="auto"/>
                <w:szCs w:val="22"/>
              </w:rPr>
              <w:t>硝酸盐氮</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《水质</w:t>
            </w:r>
            <w:r>
              <w:rPr>
                <w:rFonts w:hint="eastAsia" w:ascii="Times New Roman" w:hAnsi="Times New Roman"/>
                <w:color w:val="auto"/>
                <w:lang w:val="en-US" w:eastAsia="zh-CN"/>
              </w:rPr>
              <w:t xml:space="preserve"> </w:t>
            </w:r>
            <w:r>
              <w:rPr>
                <w:rFonts w:ascii="Times New Roman" w:hAnsi="Times New Roman"/>
                <w:color w:val="auto"/>
              </w:rPr>
              <w:t>亚硝酸盐氮的测定</w:t>
            </w:r>
            <w:r>
              <w:rPr>
                <w:rFonts w:hint="eastAsia" w:ascii="Times New Roman" w:hAnsi="Times New Roman"/>
                <w:color w:val="auto"/>
              </w:rPr>
              <w:t xml:space="preserve"> </w:t>
            </w:r>
            <w:r>
              <w:rPr>
                <w:rFonts w:ascii="Times New Roman" w:hAnsi="Times New Roman"/>
                <w:color w:val="auto"/>
              </w:rPr>
              <w:t>分光光度法》（GB/T 7493-87）</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0.003</w:t>
            </w:r>
          </w:p>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ascii="Times New Roman" w:hAnsi="Times New Roman"/>
                <w:color w:val="auto"/>
              </w:rPr>
              <w:t xml:space="preserve">mg/L                                               </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可见分光光度计/7230G</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eastAsia="宋体"/>
                <w:color w:val="auto"/>
                <w:lang w:val="en-US" w:eastAsia="zh-CN"/>
              </w:rPr>
            </w:pPr>
            <w:r>
              <w:rPr>
                <w:rFonts w:ascii="Times New Roman" w:hAnsi="Times New Roman"/>
                <w:color w:val="auto"/>
              </w:rPr>
              <w:t>HZD-022-</w:t>
            </w:r>
            <w:r>
              <w:rPr>
                <w:rFonts w:hint="eastAsia"/>
                <w:color w:val="auto"/>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color w:val="auto"/>
                <w:lang w:val="en-US" w:eastAsia="zh-CN"/>
              </w:rPr>
              <w:t>7</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szCs w:val="22"/>
              </w:rPr>
            </w:pPr>
            <w:r>
              <w:rPr>
                <w:rFonts w:ascii="Times New Roman" w:hAnsi="Times New Roman"/>
                <w:color w:val="auto"/>
                <w:szCs w:val="22"/>
              </w:rPr>
              <w:t>硝酸盐氮</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《水质</w:t>
            </w:r>
            <w:r>
              <w:rPr>
                <w:rFonts w:hint="eastAsia" w:ascii="Times New Roman" w:hAnsi="Times New Roman"/>
                <w:color w:val="auto"/>
              </w:rPr>
              <w:t xml:space="preserve"> </w:t>
            </w:r>
            <w:r>
              <w:rPr>
                <w:rFonts w:ascii="Times New Roman" w:hAnsi="Times New Roman"/>
                <w:color w:val="auto"/>
              </w:rPr>
              <w:t>硝酸盐氮的测定</w:t>
            </w:r>
            <w:r>
              <w:rPr>
                <w:rFonts w:hint="eastAsia" w:ascii="Times New Roman" w:hAnsi="Times New Roman"/>
                <w:color w:val="auto"/>
              </w:rPr>
              <w:t xml:space="preserve"> </w:t>
            </w:r>
            <w:r>
              <w:rPr>
                <w:rFonts w:ascii="Times New Roman" w:hAnsi="Times New Roman"/>
                <w:color w:val="auto"/>
              </w:rPr>
              <w:t>紫外分光光度法</w:t>
            </w:r>
            <w:r>
              <w:rPr>
                <w:rFonts w:hint="eastAsia" w:ascii="Times New Roman" w:hAnsi="Times New Roman"/>
                <w:color w:val="auto"/>
              </w:rPr>
              <w:t>（试行）</w:t>
            </w:r>
            <w:r>
              <w:rPr>
                <w:rFonts w:ascii="Times New Roman" w:hAnsi="Times New Roman"/>
                <w:color w:val="auto"/>
              </w:rPr>
              <w:t>》（HJ/T 346-2007）</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0.08</w:t>
            </w:r>
          </w:p>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紫外分光光度/UV-5100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HZD-021-A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color w:val="auto"/>
                <w:lang w:val="en-US" w:eastAsia="zh-CN"/>
              </w:rPr>
              <w:t>8</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szCs w:val="22"/>
              </w:rPr>
              <w:t>氟化物</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《水质氟化物的测定</w:t>
            </w:r>
            <w:r>
              <w:rPr>
                <w:rFonts w:hint="eastAsia" w:ascii="Times New Roman" w:hAnsi="Times New Roman"/>
                <w:color w:val="auto"/>
              </w:rPr>
              <w:t xml:space="preserve">  </w:t>
            </w:r>
            <w:r>
              <w:rPr>
                <w:rFonts w:ascii="Times New Roman" w:hAnsi="Times New Roman"/>
                <w:color w:val="auto"/>
              </w:rPr>
              <w:t>离子选择电极法》（GB 7484-87）</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hint="eastAsia" w:ascii="Times New Roman" w:hAnsi="Times New Roman"/>
                <w:color w:val="auto"/>
              </w:rPr>
              <w:t>0.05</w:t>
            </w:r>
          </w:p>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hint="eastAsia" w:ascii="Times New Roman" w:hAnsi="Times New Roman"/>
                <w:color w:val="auto"/>
              </w:rPr>
              <w:t>pH计/</w:t>
            </w:r>
            <w:r>
              <w:rPr>
                <w:rFonts w:ascii="Times New Roman" w:hAnsi="Times New Roman"/>
                <w:color w:val="auto"/>
              </w:rPr>
              <w:t>PHSJ-4F</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hint="eastAsia" w:ascii="Times New Roman" w:hAnsi="Times New Roman"/>
                <w:color w:val="auto"/>
              </w:rPr>
              <w:t>HZD-009-A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color w:val="auto"/>
                <w:lang w:val="en-US" w:eastAsia="zh-CN"/>
              </w:rPr>
              <w:t>9</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szCs w:val="22"/>
              </w:rPr>
              <w:t>耗氧量</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hint="eastAsia" w:ascii="Times New Roman" w:hAnsi="Times New Roman"/>
                <w:color w:val="auto"/>
              </w:rPr>
              <w:t>《生活饮用水标准检验方法 有机物综合指标》(GB/T 5750.7-2006)</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hint="eastAsia" w:ascii="Times New Roman" w:hAnsi="Times New Roman"/>
                <w:color w:val="auto"/>
              </w:rPr>
              <w:t>（1.1 耗氧量 酸性高锰酸钾滴定法）</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rPr>
            </w:pPr>
            <w:r>
              <w:rPr>
                <w:rFonts w:ascii="Times New Roman" w:hAnsi="Times New Roman"/>
                <w:color w:val="auto"/>
              </w:rPr>
              <w:t>0.</w:t>
            </w:r>
            <w:r>
              <w:rPr>
                <w:rFonts w:hint="eastAsia" w:ascii="Times New Roman" w:hAnsi="Times New Roman"/>
                <w:color w:val="auto"/>
              </w:rPr>
              <w:t>05</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滴定管</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olor w:val="auto"/>
                <w:kern w:val="2"/>
                <w:sz w:val="21"/>
                <w:lang w:val="en-US" w:eastAsia="zh-CN" w:bidi="ar-SA"/>
              </w:rPr>
            </w:pPr>
            <w:r>
              <w:rPr>
                <w:rFonts w:hint="eastAsia"/>
                <w:color w:val="auto"/>
                <w:lang w:val="en-US" w:eastAsia="zh-CN"/>
              </w:rPr>
              <w:t>10</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szCs w:val="22"/>
                <w:lang w:val="en-US" w:eastAsia="zh-CN"/>
              </w:rPr>
            </w:pPr>
            <w:r>
              <w:rPr>
                <w:rFonts w:hint="eastAsia" w:ascii="Times New Roman" w:hAnsi="Times New Roman"/>
                <w:color w:val="auto"/>
                <w:szCs w:val="22"/>
              </w:rPr>
              <w:t>挥发酚</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《水质 挥发酚的测定 4-氨基安替比林分光光度法》（HJ 503—2009）（方法</w:t>
            </w:r>
            <w:r>
              <w:rPr>
                <w:rFonts w:hint="eastAsia"/>
                <w:color w:val="auto"/>
                <w:lang w:val="en-US" w:eastAsia="zh-CN"/>
              </w:rPr>
              <w:t>1</w:t>
            </w:r>
            <w:r>
              <w:rPr>
                <w:rFonts w:ascii="Times New Roman" w:hAnsi="Times New Roman"/>
                <w:color w:val="auto"/>
              </w:rPr>
              <w:t xml:space="preserve"> </w:t>
            </w:r>
            <w:r>
              <w:rPr>
                <w:rFonts w:hint="eastAsia" w:ascii="Times New Roman" w:hAnsi="Times New Roman"/>
                <w:color w:val="auto"/>
              </w:rPr>
              <w:t>萃取</w:t>
            </w:r>
            <w:r>
              <w:rPr>
                <w:rFonts w:ascii="Times New Roman" w:hAnsi="Times New Roman"/>
                <w:color w:val="auto"/>
              </w:rPr>
              <w:t>分光光度法）</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ascii="Times New Roman" w:hAnsi="Times New Roman"/>
                <w:color w:val="auto"/>
              </w:rPr>
              <w:t>0.0</w:t>
            </w:r>
            <w:r>
              <w:rPr>
                <w:rFonts w:hint="eastAsia" w:ascii="Times New Roman" w:hAnsi="Times New Roman"/>
                <w:color w:val="auto"/>
              </w:rPr>
              <w:t>003</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可见分光光度计/7230G</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ascii="Times New Roman" w:hAnsi="Times New Roman"/>
                <w:color w:val="auto"/>
              </w:rPr>
              <w:t>HZD-022-</w:t>
            </w:r>
            <w:r>
              <w:rPr>
                <w:rFonts w:hint="eastAsia"/>
                <w:color w:val="auto"/>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olor w:val="auto"/>
                <w:kern w:val="2"/>
                <w:sz w:val="21"/>
                <w:lang w:val="en-US" w:eastAsia="zh-CN" w:bidi="ar-SA"/>
              </w:rPr>
            </w:pPr>
            <w:r>
              <w:rPr>
                <w:rFonts w:hint="eastAsia"/>
                <w:color w:val="auto"/>
                <w:lang w:val="en-US" w:eastAsia="zh-CN"/>
              </w:rPr>
              <w:t>11</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ascii="Times New Roman" w:hAnsi="Times New Roman"/>
                <w:color w:val="auto"/>
                <w:szCs w:val="22"/>
              </w:rPr>
              <w:t>氰化物</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《水质 氰化物的测定 容量法和分光光度法（异烟酸-吡唑啉酮分光光度法）》（HJ 484-2009）</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0.004</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可见分光光度计/7230G</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ascii="Times New Roman" w:hAnsi="Times New Roman"/>
                <w:color w:val="auto"/>
              </w:rPr>
              <w:t>HZD-022-</w:t>
            </w:r>
            <w:r>
              <w:rPr>
                <w:rFonts w:hint="eastAsia"/>
                <w:color w:val="auto"/>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olor w:val="auto"/>
                <w:kern w:val="2"/>
                <w:sz w:val="21"/>
                <w:lang w:val="en-US" w:eastAsia="zh-CN" w:bidi="ar-SA"/>
              </w:rPr>
            </w:pPr>
            <w:r>
              <w:rPr>
                <w:rFonts w:hint="eastAsia"/>
                <w:color w:val="auto"/>
                <w:lang w:val="en-US" w:eastAsia="zh-CN"/>
              </w:rPr>
              <w:t>12</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可溶性阳离子K</w:t>
            </w:r>
            <w:r>
              <w:rPr>
                <w:rFonts w:ascii="Times New Roman" w:hAnsi="Times New Roman"/>
                <w:color w:val="auto"/>
                <w:vertAlign w:val="superscript"/>
              </w:rPr>
              <w:t>+</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《水质可溶性阳离子（Li</w:t>
            </w:r>
            <w:r>
              <w:rPr>
                <w:rFonts w:ascii="Times New Roman" w:hAnsi="Times New Roman"/>
                <w:color w:val="auto"/>
                <w:szCs w:val="22"/>
                <w:vertAlign w:val="superscript"/>
              </w:rPr>
              <w:t>+</w:t>
            </w:r>
            <w:r>
              <w:rPr>
                <w:rFonts w:ascii="Times New Roman" w:hAnsi="Times New Roman"/>
                <w:color w:val="auto"/>
              </w:rPr>
              <w:t>、Na</w:t>
            </w:r>
            <w:r>
              <w:rPr>
                <w:rFonts w:ascii="Times New Roman" w:hAnsi="Times New Roman"/>
                <w:color w:val="auto"/>
                <w:szCs w:val="22"/>
                <w:vertAlign w:val="superscript"/>
              </w:rPr>
              <w:t>+</w:t>
            </w:r>
            <w:r>
              <w:rPr>
                <w:rFonts w:ascii="Times New Roman" w:hAnsi="Times New Roman"/>
                <w:color w:val="auto"/>
              </w:rPr>
              <w:t>、NH</w:t>
            </w:r>
            <w:r>
              <w:rPr>
                <w:rFonts w:ascii="Times New Roman" w:hAnsi="Times New Roman"/>
                <w:color w:val="auto"/>
                <w:szCs w:val="22"/>
                <w:vertAlign w:val="subscript"/>
              </w:rPr>
              <w:t>4</w:t>
            </w:r>
            <w:r>
              <w:rPr>
                <w:rFonts w:ascii="Times New Roman" w:hAnsi="Times New Roman"/>
                <w:color w:val="auto"/>
                <w:szCs w:val="22"/>
                <w:vertAlign w:val="superscript"/>
              </w:rPr>
              <w:t>+</w:t>
            </w:r>
            <w:r>
              <w:rPr>
                <w:rFonts w:ascii="Times New Roman" w:hAnsi="Times New Roman"/>
                <w:color w:val="auto"/>
              </w:rPr>
              <w:t>、K</w:t>
            </w:r>
            <w:r>
              <w:rPr>
                <w:rFonts w:ascii="Times New Roman" w:hAnsi="Times New Roman"/>
                <w:color w:val="auto"/>
                <w:vertAlign w:val="superscript"/>
              </w:rPr>
              <w:t>+</w:t>
            </w:r>
            <w:r>
              <w:rPr>
                <w:rFonts w:ascii="Times New Roman" w:hAnsi="Times New Roman"/>
                <w:color w:val="auto"/>
              </w:rPr>
              <w:t>、Ca</w:t>
            </w:r>
            <w:r>
              <w:rPr>
                <w:rFonts w:ascii="Times New Roman" w:hAnsi="Times New Roman"/>
                <w:color w:val="auto"/>
                <w:szCs w:val="22"/>
                <w:vertAlign w:val="superscript"/>
              </w:rPr>
              <w:t>2+</w:t>
            </w:r>
            <w:r>
              <w:rPr>
                <w:rFonts w:ascii="Times New Roman" w:hAnsi="Times New Roman"/>
                <w:color w:val="auto"/>
              </w:rPr>
              <w:t>、Mg</w:t>
            </w:r>
            <w:r>
              <w:rPr>
                <w:rFonts w:ascii="Times New Roman" w:hAnsi="Times New Roman"/>
                <w:color w:val="auto"/>
                <w:szCs w:val="22"/>
                <w:vertAlign w:val="superscript"/>
              </w:rPr>
              <w:t>2+</w:t>
            </w:r>
            <w:r>
              <w:rPr>
                <w:rFonts w:ascii="Times New Roman" w:hAnsi="Times New Roman"/>
                <w:color w:val="auto"/>
              </w:rPr>
              <w:t>）的测定离子色谱法》（HJ812-2016）</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rPr>
            </w:pPr>
            <w:r>
              <w:rPr>
                <w:rFonts w:hint="eastAsia" w:ascii="Times New Roman" w:hAnsi="Times New Roman"/>
                <w:color w:val="auto"/>
              </w:rPr>
              <w:t>0.02</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离子色谱仪</w:t>
            </w:r>
            <w:r>
              <w:rPr>
                <w:rFonts w:hint="eastAsia" w:ascii="Times New Roman" w:hAnsi="Times New Roman"/>
                <w:color w:val="auto"/>
              </w:rPr>
              <w:t>/ISC-600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ascii="Times New Roman" w:hAnsi="Times New Roman"/>
                <w:color w:val="auto"/>
              </w:rPr>
              <w:t>1</w:t>
            </w:r>
            <w:r>
              <w:rPr>
                <w:rFonts w:hint="eastAsia"/>
                <w:color w:val="auto"/>
                <w:lang w:val="en-US" w:eastAsia="zh-CN"/>
              </w:rPr>
              <w:t>3</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可</w:t>
            </w:r>
            <w:r>
              <w:rPr>
                <w:rFonts w:ascii="Times New Roman" w:hAnsi="Times New Roman"/>
                <w:color w:val="auto"/>
                <w:szCs w:val="22"/>
              </w:rPr>
              <w:t>溶</w:t>
            </w:r>
            <w:r>
              <w:rPr>
                <w:rFonts w:ascii="Times New Roman" w:hAnsi="Times New Roman"/>
                <w:color w:val="auto"/>
              </w:rPr>
              <w:t>性阳离子Na</w:t>
            </w:r>
            <w:r>
              <w:rPr>
                <w:rFonts w:ascii="Times New Roman" w:hAnsi="Times New Roman"/>
                <w:color w:val="auto"/>
                <w:szCs w:val="22"/>
                <w:vertAlign w:val="superscript"/>
              </w:rPr>
              <w:t>+</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《水质可溶性阳离子（Li</w:t>
            </w:r>
            <w:r>
              <w:rPr>
                <w:rFonts w:ascii="Times New Roman" w:hAnsi="Times New Roman"/>
                <w:color w:val="auto"/>
                <w:szCs w:val="22"/>
                <w:vertAlign w:val="superscript"/>
              </w:rPr>
              <w:t>+</w:t>
            </w:r>
            <w:r>
              <w:rPr>
                <w:rFonts w:ascii="Times New Roman" w:hAnsi="Times New Roman"/>
                <w:color w:val="auto"/>
              </w:rPr>
              <w:t>、Na</w:t>
            </w:r>
            <w:r>
              <w:rPr>
                <w:rFonts w:ascii="Times New Roman" w:hAnsi="Times New Roman"/>
                <w:color w:val="auto"/>
                <w:szCs w:val="22"/>
                <w:vertAlign w:val="superscript"/>
              </w:rPr>
              <w:t>+</w:t>
            </w:r>
            <w:r>
              <w:rPr>
                <w:rFonts w:ascii="Times New Roman" w:hAnsi="Times New Roman"/>
                <w:color w:val="auto"/>
              </w:rPr>
              <w:t>、NH</w:t>
            </w:r>
            <w:r>
              <w:rPr>
                <w:rFonts w:ascii="Times New Roman" w:hAnsi="Times New Roman"/>
                <w:color w:val="auto"/>
                <w:szCs w:val="22"/>
                <w:vertAlign w:val="subscript"/>
              </w:rPr>
              <w:t>4</w:t>
            </w:r>
            <w:r>
              <w:rPr>
                <w:rFonts w:ascii="Times New Roman" w:hAnsi="Times New Roman"/>
                <w:color w:val="auto"/>
                <w:szCs w:val="22"/>
                <w:vertAlign w:val="superscript"/>
              </w:rPr>
              <w:t>+</w:t>
            </w:r>
            <w:r>
              <w:rPr>
                <w:rFonts w:ascii="Times New Roman" w:hAnsi="Times New Roman"/>
                <w:color w:val="auto"/>
              </w:rPr>
              <w:t>、K</w:t>
            </w:r>
            <w:r>
              <w:rPr>
                <w:rFonts w:ascii="Times New Roman" w:hAnsi="Times New Roman"/>
                <w:color w:val="auto"/>
                <w:vertAlign w:val="superscript"/>
              </w:rPr>
              <w:t>+</w:t>
            </w:r>
            <w:r>
              <w:rPr>
                <w:rFonts w:ascii="Times New Roman" w:hAnsi="Times New Roman"/>
                <w:color w:val="auto"/>
              </w:rPr>
              <w:t>、Ca</w:t>
            </w:r>
            <w:r>
              <w:rPr>
                <w:rFonts w:ascii="Times New Roman" w:hAnsi="Times New Roman"/>
                <w:color w:val="auto"/>
                <w:szCs w:val="22"/>
                <w:vertAlign w:val="superscript"/>
              </w:rPr>
              <w:t>2+</w:t>
            </w:r>
            <w:r>
              <w:rPr>
                <w:rFonts w:ascii="Times New Roman" w:hAnsi="Times New Roman"/>
                <w:color w:val="auto"/>
              </w:rPr>
              <w:t>、Mg</w:t>
            </w:r>
            <w:r>
              <w:rPr>
                <w:rFonts w:ascii="Times New Roman" w:hAnsi="Times New Roman"/>
                <w:color w:val="auto"/>
                <w:szCs w:val="22"/>
                <w:vertAlign w:val="superscript"/>
              </w:rPr>
              <w:t>2+</w:t>
            </w:r>
            <w:r>
              <w:rPr>
                <w:rFonts w:ascii="Times New Roman" w:hAnsi="Times New Roman"/>
                <w:color w:val="auto"/>
              </w:rPr>
              <w:t>）的测定离子色谱法》（HJ812-2016）</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rPr>
            </w:pPr>
            <w:r>
              <w:rPr>
                <w:rFonts w:hint="eastAsia" w:ascii="Times New Roman" w:hAnsi="Times New Roman"/>
                <w:color w:val="auto"/>
              </w:rPr>
              <w:t>0.02</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离子色谱仪</w:t>
            </w:r>
            <w:r>
              <w:rPr>
                <w:rFonts w:hint="eastAsia" w:ascii="Times New Roman" w:hAnsi="Times New Roman"/>
                <w:color w:val="auto"/>
              </w:rPr>
              <w:t>/ISC-600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olor w:val="auto"/>
                <w:kern w:val="2"/>
                <w:sz w:val="21"/>
                <w:lang w:val="en-US" w:eastAsia="zh-CN" w:bidi="ar-SA"/>
              </w:rPr>
            </w:pPr>
            <w:r>
              <w:rPr>
                <w:rFonts w:hint="eastAsia"/>
                <w:color w:val="auto"/>
                <w:lang w:val="en-US" w:eastAsia="zh-CN"/>
              </w:rPr>
              <w:t>14</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可</w:t>
            </w:r>
            <w:r>
              <w:rPr>
                <w:rFonts w:ascii="Times New Roman" w:hAnsi="Times New Roman"/>
                <w:color w:val="auto"/>
                <w:szCs w:val="22"/>
              </w:rPr>
              <w:t>溶</w:t>
            </w:r>
            <w:r>
              <w:rPr>
                <w:rFonts w:ascii="Times New Roman" w:hAnsi="Times New Roman"/>
                <w:color w:val="auto"/>
              </w:rPr>
              <w:t>性阳离子Ca</w:t>
            </w:r>
            <w:r>
              <w:rPr>
                <w:rFonts w:ascii="Times New Roman" w:hAnsi="Times New Roman"/>
                <w:color w:val="auto"/>
                <w:szCs w:val="22"/>
                <w:vertAlign w:val="superscript"/>
              </w:rPr>
              <w:t>2+</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《水质可溶性阳离子（Li</w:t>
            </w:r>
            <w:r>
              <w:rPr>
                <w:rFonts w:ascii="Times New Roman" w:hAnsi="Times New Roman"/>
                <w:color w:val="auto"/>
                <w:szCs w:val="22"/>
                <w:vertAlign w:val="superscript"/>
              </w:rPr>
              <w:t>+</w:t>
            </w:r>
            <w:r>
              <w:rPr>
                <w:rFonts w:ascii="Times New Roman" w:hAnsi="Times New Roman"/>
                <w:color w:val="auto"/>
              </w:rPr>
              <w:t>、Na</w:t>
            </w:r>
            <w:r>
              <w:rPr>
                <w:rFonts w:ascii="Times New Roman" w:hAnsi="Times New Roman"/>
                <w:color w:val="auto"/>
                <w:szCs w:val="22"/>
                <w:vertAlign w:val="superscript"/>
              </w:rPr>
              <w:t>+</w:t>
            </w:r>
            <w:r>
              <w:rPr>
                <w:rFonts w:ascii="Times New Roman" w:hAnsi="Times New Roman"/>
                <w:color w:val="auto"/>
              </w:rPr>
              <w:t>、NH</w:t>
            </w:r>
            <w:r>
              <w:rPr>
                <w:rFonts w:ascii="Times New Roman" w:hAnsi="Times New Roman"/>
                <w:color w:val="auto"/>
                <w:szCs w:val="22"/>
                <w:vertAlign w:val="subscript"/>
              </w:rPr>
              <w:t>4</w:t>
            </w:r>
            <w:r>
              <w:rPr>
                <w:rFonts w:ascii="Times New Roman" w:hAnsi="Times New Roman"/>
                <w:color w:val="auto"/>
                <w:szCs w:val="22"/>
                <w:vertAlign w:val="superscript"/>
              </w:rPr>
              <w:t>+</w:t>
            </w:r>
            <w:r>
              <w:rPr>
                <w:rFonts w:ascii="Times New Roman" w:hAnsi="Times New Roman"/>
                <w:color w:val="auto"/>
              </w:rPr>
              <w:t>、K</w:t>
            </w:r>
            <w:r>
              <w:rPr>
                <w:rFonts w:ascii="Times New Roman" w:hAnsi="Times New Roman"/>
                <w:color w:val="auto"/>
                <w:vertAlign w:val="superscript"/>
              </w:rPr>
              <w:t>+</w:t>
            </w:r>
            <w:r>
              <w:rPr>
                <w:rFonts w:ascii="Times New Roman" w:hAnsi="Times New Roman"/>
                <w:color w:val="auto"/>
              </w:rPr>
              <w:t>、Ca</w:t>
            </w:r>
            <w:r>
              <w:rPr>
                <w:rFonts w:ascii="Times New Roman" w:hAnsi="Times New Roman"/>
                <w:color w:val="auto"/>
                <w:szCs w:val="22"/>
                <w:vertAlign w:val="superscript"/>
              </w:rPr>
              <w:t>2+</w:t>
            </w:r>
            <w:r>
              <w:rPr>
                <w:rFonts w:ascii="Times New Roman" w:hAnsi="Times New Roman"/>
                <w:color w:val="auto"/>
              </w:rPr>
              <w:t>、Mg</w:t>
            </w:r>
            <w:r>
              <w:rPr>
                <w:rFonts w:ascii="Times New Roman" w:hAnsi="Times New Roman"/>
                <w:color w:val="auto"/>
                <w:szCs w:val="22"/>
                <w:vertAlign w:val="superscript"/>
              </w:rPr>
              <w:t>2+</w:t>
            </w:r>
            <w:r>
              <w:rPr>
                <w:rFonts w:ascii="Times New Roman" w:hAnsi="Times New Roman"/>
                <w:color w:val="auto"/>
              </w:rPr>
              <w:t>）的测定离子色谱法》（HJ812-2016）</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rPr>
            </w:pPr>
            <w:r>
              <w:rPr>
                <w:rFonts w:hint="eastAsia" w:ascii="Times New Roman" w:hAnsi="Times New Roman"/>
                <w:color w:val="auto"/>
              </w:rPr>
              <w:t>0.03</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离子色谱仪</w:t>
            </w:r>
            <w:r>
              <w:rPr>
                <w:rFonts w:hint="eastAsia" w:ascii="Times New Roman" w:hAnsi="Times New Roman"/>
                <w:color w:val="auto"/>
              </w:rPr>
              <w:t>/ISC-600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olor w:val="auto"/>
                <w:kern w:val="2"/>
                <w:sz w:val="21"/>
                <w:lang w:val="en-US" w:eastAsia="zh-CN" w:bidi="ar-SA"/>
              </w:rPr>
            </w:pPr>
            <w:r>
              <w:rPr>
                <w:rFonts w:hint="eastAsia"/>
                <w:color w:val="auto"/>
                <w:lang w:val="en-US" w:eastAsia="zh-CN"/>
              </w:rPr>
              <w:t>15</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szCs w:val="22"/>
              </w:rPr>
              <w:t>可溶性</w:t>
            </w:r>
            <w:r>
              <w:rPr>
                <w:rFonts w:ascii="Times New Roman" w:hAnsi="Times New Roman"/>
                <w:color w:val="auto"/>
              </w:rPr>
              <w:t>阳离子Mg</w:t>
            </w:r>
            <w:r>
              <w:rPr>
                <w:rFonts w:ascii="Times New Roman" w:hAnsi="Times New Roman"/>
                <w:color w:val="auto"/>
                <w:szCs w:val="22"/>
                <w:vertAlign w:val="superscript"/>
              </w:rPr>
              <w:t>2+</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《水质可溶性阳离子（Li</w:t>
            </w:r>
            <w:r>
              <w:rPr>
                <w:rFonts w:ascii="Times New Roman" w:hAnsi="Times New Roman"/>
                <w:color w:val="auto"/>
                <w:szCs w:val="22"/>
                <w:vertAlign w:val="superscript"/>
              </w:rPr>
              <w:t>+</w:t>
            </w:r>
            <w:r>
              <w:rPr>
                <w:rFonts w:ascii="Times New Roman" w:hAnsi="Times New Roman"/>
                <w:color w:val="auto"/>
              </w:rPr>
              <w:t>、Na</w:t>
            </w:r>
            <w:r>
              <w:rPr>
                <w:rFonts w:ascii="Times New Roman" w:hAnsi="Times New Roman"/>
                <w:color w:val="auto"/>
                <w:szCs w:val="22"/>
                <w:vertAlign w:val="superscript"/>
              </w:rPr>
              <w:t>+</w:t>
            </w:r>
            <w:r>
              <w:rPr>
                <w:rFonts w:ascii="Times New Roman" w:hAnsi="Times New Roman"/>
                <w:color w:val="auto"/>
              </w:rPr>
              <w:t>、NH</w:t>
            </w:r>
            <w:r>
              <w:rPr>
                <w:rFonts w:ascii="Times New Roman" w:hAnsi="Times New Roman"/>
                <w:color w:val="auto"/>
                <w:szCs w:val="22"/>
                <w:vertAlign w:val="subscript"/>
              </w:rPr>
              <w:t>4</w:t>
            </w:r>
            <w:r>
              <w:rPr>
                <w:rFonts w:ascii="Times New Roman" w:hAnsi="Times New Roman"/>
                <w:color w:val="auto"/>
                <w:szCs w:val="22"/>
                <w:vertAlign w:val="superscript"/>
              </w:rPr>
              <w:t>+</w:t>
            </w:r>
            <w:r>
              <w:rPr>
                <w:rFonts w:ascii="Times New Roman" w:hAnsi="Times New Roman"/>
                <w:color w:val="auto"/>
              </w:rPr>
              <w:t>、K</w:t>
            </w:r>
            <w:r>
              <w:rPr>
                <w:rFonts w:ascii="Times New Roman" w:hAnsi="Times New Roman"/>
                <w:color w:val="auto"/>
                <w:vertAlign w:val="superscript"/>
              </w:rPr>
              <w:t>+</w:t>
            </w:r>
            <w:r>
              <w:rPr>
                <w:rFonts w:ascii="Times New Roman" w:hAnsi="Times New Roman"/>
                <w:color w:val="auto"/>
              </w:rPr>
              <w:t>、Ca</w:t>
            </w:r>
            <w:r>
              <w:rPr>
                <w:rFonts w:ascii="Times New Roman" w:hAnsi="Times New Roman"/>
                <w:color w:val="auto"/>
                <w:szCs w:val="22"/>
                <w:vertAlign w:val="superscript"/>
              </w:rPr>
              <w:t>2+</w:t>
            </w:r>
            <w:r>
              <w:rPr>
                <w:rFonts w:ascii="Times New Roman" w:hAnsi="Times New Roman"/>
                <w:color w:val="auto"/>
              </w:rPr>
              <w:t>、Mg</w:t>
            </w:r>
            <w:r>
              <w:rPr>
                <w:rFonts w:ascii="Times New Roman" w:hAnsi="Times New Roman"/>
                <w:color w:val="auto"/>
                <w:szCs w:val="22"/>
                <w:vertAlign w:val="superscript"/>
              </w:rPr>
              <w:t>2+</w:t>
            </w:r>
            <w:r>
              <w:rPr>
                <w:rFonts w:ascii="Times New Roman" w:hAnsi="Times New Roman"/>
                <w:color w:val="auto"/>
              </w:rPr>
              <w:t>）的测定离子色谱法》（HJ812-2016）</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rPr>
            </w:pPr>
            <w:r>
              <w:rPr>
                <w:rFonts w:hint="eastAsia" w:ascii="Times New Roman" w:hAnsi="Times New Roman"/>
                <w:color w:val="auto"/>
              </w:rPr>
              <w:t>0.02</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离子色谱仪</w:t>
            </w:r>
            <w:r>
              <w:rPr>
                <w:rFonts w:hint="eastAsia" w:ascii="Times New Roman" w:hAnsi="Times New Roman"/>
                <w:color w:val="auto"/>
              </w:rPr>
              <w:t>/ISC-600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color w:val="auto"/>
                <w:lang w:val="en-US" w:eastAsia="zh-CN"/>
              </w:rPr>
            </w:pPr>
            <w:r>
              <w:rPr>
                <w:rFonts w:hint="eastAsia"/>
                <w:color w:val="auto"/>
                <w:lang w:val="en-US" w:eastAsia="zh-CN"/>
              </w:rPr>
              <w:t>16</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szCs w:val="22"/>
              </w:rPr>
            </w:pPr>
            <w:r>
              <w:rPr>
                <w:rFonts w:ascii="Times New Roman" w:hAnsi="Times New Roman"/>
                <w:color w:val="auto"/>
              </w:rPr>
              <w:t>无机阴离子Cl</w:t>
            </w:r>
            <w:r>
              <w:rPr>
                <w:rFonts w:hint="eastAsia" w:ascii="Times New Roman" w:hAnsi="Times New Roman"/>
                <w:color w:val="auto"/>
                <w:vertAlign w:val="superscript"/>
              </w:rPr>
              <w:t>-</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《水质无机阴离子（F</w:t>
            </w:r>
            <w:r>
              <w:rPr>
                <w:rFonts w:ascii="Times New Roman" w:hAnsi="Times New Roman"/>
                <w:color w:val="auto"/>
                <w:vertAlign w:val="superscript"/>
              </w:rPr>
              <w:t>-</w:t>
            </w:r>
            <w:r>
              <w:rPr>
                <w:rFonts w:ascii="Times New Roman" w:hAnsi="Times New Roman"/>
                <w:color w:val="auto"/>
              </w:rPr>
              <w:t>、Cl</w:t>
            </w:r>
            <w:r>
              <w:rPr>
                <w:rFonts w:ascii="Times New Roman" w:hAnsi="Times New Roman"/>
                <w:color w:val="auto"/>
                <w:vertAlign w:val="superscript"/>
              </w:rPr>
              <w:t>-</w:t>
            </w:r>
            <w:r>
              <w:rPr>
                <w:rFonts w:ascii="Times New Roman" w:hAnsi="Times New Roman"/>
                <w:color w:val="auto"/>
              </w:rPr>
              <w:t>、NO</w:t>
            </w:r>
            <w:r>
              <w:rPr>
                <w:rFonts w:ascii="Times New Roman" w:hAnsi="Times New Roman"/>
                <w:color w:val="auto"/>
                <w:vertAlign w:val="subscript"/>
              </w:rPr>
              <w:t>2</w:t>
            </w:r>
            <w:r>
              <w:rPr>
                <w:rFonts w:ascii="Times New Roman" w:hAnsi="Times New Roman"/>
                <w:color w:val="auto"/>
                <w:vertAlign w:val="superscript"/>
              </w:rPr>
              <w:t>-</w:t>
            </w:r>
            <w:r>
              <w:rPr>
                <w:rFonts w:ascii="Times New Roman" w:hAnsi="Times New Roman"/>
                <w:color w:val="auto"/>
              </w:rPr>
              <w:t>、Br</w:t>
            </w:r>
            <w:r>
              <w:rPr>
                <w:rFonts w:ascii="Times New Roman" w:hAnsi="Times New Roman"/>
                <w:color w:val="auto"/>
                <w:vertAlign w:val="superscript"/>
              </w:rPr>
              <w:t>-</w:t>
            </w:r>
            <w:r>
              <w:rPr>
                <w:rFonts w:ascii="Times New Roman" w:hAnsi="Times New Roman"/>
                <w:color w:val="auto"/>
              </w:rPr>
              <w:t>、NO</w:t>
            </w:r>
            <w:r>
              <w:rPr>
                <w:rFonts w:ascii="Times New Roman" w:hAnsi="Times New Roman"/>
                <w:color w:val="auto"/>
                <w:vertAlign w:val="subscript"/>
              </w:rPr>
              <w:t>3</w:t>
            </w:r>
            <w:r>
              <w:rPr>
                <w:rFonts w:ascii="Times New Roman" w:hAnsi="Times New Roman"/>
                <w:color w:val="auto"/>
                <w:vertAlign w:val="superscript"/>
              </w:rPr>
              <w:t>-</w:t>
            </w:r>
            <w:r>
              <w:rPr>
                <w:rFonts w:ascii="Times New Roman" w:hAnsi="Times New Roman"/>
                <w:color w:val="auto"/>
              </w:rPr>
              <w:t>、PO</w:t>
            </w:r>
            <w:r>
              <w:rPr>
                <w:rFonts w:ascii="Times New Roman" w:hAnsi="Times New Roman"/>
                <w:color w:val="auto"/>
                <w:vertAlign w:val="subscript"/>
              </w:rPr>
              <w:t>4</w:t>
            </w:r>
            <w:r>
              <w:rPr>
                <w:rFonts w:ascii="Times New Roman" w:hAnsi="Times New Roman"/>
                <w:color w:val="auto"/>
                <w:vertAlign w:val="superscript"/>
              </w:rPr>
              <w:t>3-</w:t>
            </w:r>
            <w:r>
              <w:rPr>
                <w:rFonts w:ascii="Times New Roman" w:hAnsi="Times New Roman"/>
                <w:color w:val="auto"/>
              </w:rPr>
              <w:t>、SO</w:t>
            </w:r>
            <w:r>
              <w:rPr>
                <w:rFonts w:ascii="Times New Roman" w:hAnsi="Times New Roman"/>
                <w:color w:val="auto"/>
                <w:vertAlign w:val="subscript"/>
              </w:rPr>
              <w:t>3</w:t>
            </w:r>
            <w:r>
              <w:rPr>
                <w:rFonts w:ascii="Times New Roman" w:hAnsi="Times New Roman"/>
                <w:color w:val="auto"/>
                <w:vertAlign w:val="superscript"/>
              </w:rPr>
              <w:t>2-</w:t>
            </w:r>
            <w:r>
              <w:rPr>
                <w:rFonts w:ascii="Times New Roman" w:hAnsi="Times New Roman"/>
                <w:color w:val="auto"/>
              </w:rPr>
              <w:t>、SO</w:t>
            </w:r>
            <w:r>
              <w:rPr>
                <w:rFonts w:ascii="Times New Roman" w:hAnsi="Times New Roman"/>
                <w:color w:val="auto"/>
                <w:vertAlign w:val="subscript"/>
              </w:rPr>
              <w:t>4</w:t>
            </w:r>
            <w:r>
              <w:rPr>
                <w:rFonts w:ascii="Times New Roman" w:hAnsi="Times New Roman"/>
                <w:color w:val="auto"/>
                <w:vertAlign w:val="superscript"/>
              </w:rPr>
              <w:t>2-</w:t>
            </w:r>
            <w:r>
              <w:rPr>
                <w:rFonts w:ascii="Times New Roman" w:hAnsi="Times New Roman"/>
                <w:color w:val="auto"/>
              </w:rPr>
              <w:t>）的测定离子色谱法》（HJ 84-2016）</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color w:val="auto"/>
                <w:shd w:val="clear" w:color="auto" w:fill="auto"/>
                <w:lang w:val="en-US" w:eastAsia="zh-CN"/>
              </w:rPr>
            </w:pPr>
            <w:r>
              <w:rPr>
                <w:rFonts w:hint="eastAsia"/>
                <w:color w:val="auto"/>
                <w:shd w:val="clear" w:color="auto" w:fill="auto"/>
                <w:lang w:val="en-US" w:eastAsia="zh-CN"/>
              </w:rPr>
              <w:t>0.007</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shd w:val="clear" w:color="auto" w:fil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离子色谱仪</w:t>
            </w:r>
            <w:r>
              <w:rPr>
                <w:rFonts w:hint="eastAsia" w:ascii="Times New Roman" w:hAnsi="Times New Roman"/>
                <w:color w:val="auto"/>
              </w:rPr>
              <w:t>/ISC-600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HZD-001-A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color w:val="auto"/>
                <w:lang w:val="en-US" w:eastAsia="zh-CN"/>
              </w:rPr>
            </w:pPr>
            <w:r>
              <w:rPr>
                <w:rFonts w:hint="eastAsia"/>
                <w:color w:val="auto"/>
                <w:lang w:val="en-US" w:eastAsia="zh-CN"/>
              </w:rPr>
              <w:t>17</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szCs w:val="22"/>
              </w:rPr>
            </w:pPr>
            <w:r>
              <w:rPr>
                <w:rFonts w:ascii="Times New Roman" w:hAnsi="Times New Roman"/>
                <w:color w:val="auto"/>
              </w:rPr>
              <w:t>无机阴离子SO</w:t>
            </w:r>
            <w:r>
              <w:rPr>
                <w:rFonts w:ascii="Times New Roman" w:hAnsi="Times New Roman"/>
                <w:color w:val="auto"/>
                <w:vertAlign w:val="subscript"/>
              </w:rPr>
              <w:t>4</w:t>
            </w:r>
            <w:r>
              <w:rPr>
                <w:rFonts w:ascii="Times New Roman" w:hAnsi="Times New Roman"/>
                <w:color w:val="auto"/>
                <w:vertAlign w:val="superscript"/>
              </w:rPr>
              <w:t>2-</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《水质无机阴离子（F</w:t>
            </w:r>
            <w:r>
              <w:rPr>
                <w:rFonts w:ascii="Times New Roman" w:hAnsi="Times New Roman"/>
                <w:color w:val="auto"/>
                <w:vertAlign w:val="superscript"/>
              </w:rPr>
              <w:t>-</w:t>
            </w:r>
            <w:r>
              <w:rPr>
                <w:rFonts w:ascii="Times New Roman" w:hAnsi="Times New Roman"/>
                <w:color w:val="auto"/>
              </w:rPr>
              <w:t>、Cl</w:t>
            </w:r>
            <w:r>
              <w:rPr>
                <w:rFonts w:ascii="Times New Roman" w:hAnsi="Times New Roman"/>
                <w:color w:val="auto"/>
                <w:vertAlign w:val="superscript"/>
              </w:rPr>
              <w:t>-</w:t>
            </w:r>
            <w:r>
              <w:rPr>
                <w:rFonts w:ascii="Times New Roman" w:hAnsi="Times New Roman"/>
                <w:color w:val="auto"/>
              </w:rPr>
              <w:t>、NO</w:t>
            </w:r>
            <w:r>
              <w:rPr>
                <w:rFonts w:ascii="Times New Roman" w:hAnsi="Times New Roman"/>
                <w:color w:val="auto"/>
                <w:vertAlign w:val="subscript"/>
              </w:rPr>
              <w:t>2</w:t>
            </w:r>
            <w:r>
              <w:rPr>
                <w:rFonts w:ascii="Times New Roman" w:hAnsi="Times New Roman"/>
                <w:color w:val="auto"/>
                <w:vertAlign w:val="superscript"/>
              </w:rPr>
              <w:t>-</w:t>
            </w:r>
            <w:r>
              <w:rPr>
                <w:rFonts w:ascii="Times New Roman" w:hAnsi="Times New Roman"/>
                <w:color w:val="auto"/>
              </w:rPr>
              <w:t>、Br</w:t>
            </w:r>
            <w:r>
              <w:rPr>
                <w:rFonts w:ascii="Times New Roman" w:hAnsi="Times New Roman"/>
                <w:color w:val="auto"/>
                <w:vertAlign w:val="superscript"/>
              </w:rPr>
              <w:t>-</w:t>
            </w:r>
            <w:r>
              <w:rPr>
                <w:rFonts w:ascii="Times New Roman" w:hAnsi="Times New Roman"/>
                <w:color w:val="auto"/>
              </w:rPr>
              <w:t>、NO</w:t>
            </w:r>
            <w:r>
              <w:rPr>
                <w:rFonts w:ascii="Times New Roman" w:hAnsi="Times New Roman"/>
                <w:color w:val="auto"/>
                <w:vertAlign w:val="subscript"/>
              </w:rPr>
              <w:t>3</w:t>
            </w:r>
            <w:r>
              <w:rPr>
                <w:rFonts w:ascii="Times New Roman" w:hAnsi="Times New Roman"/>
                <w:color w:val="auto"/>
                <w:vertAlign w:val="superscript"/>
              </w:rPr>
              <w:t>-</w:t>
            </w:r>
            <w:r>
              <w:rPr>
                <w:rFonts w:ascii="Times New Roman" w:hAnsi="Times New Roman"/>
                <w:color w:val="auto"/>
              </w:rPr>
              <w:t>、PO</w:t>
            </w:r>
            <w:r>
              <w:rPr>
                <w:rFonts w:ascii="Times New Roman" w:hAnsi="Times New Roman"/>
                <w:color w:val="auto"/>
                <w:vertAlign w:val="subscript"/>
              </w:rPr>
              <w:t>4</w:t>
            </w:r>
            <w:r>
              <w:rPr>
                <w:rFonts w:ascii="Times New Roman" w:hAnsi="Times New Roman"/>
                <w:color w:val="auto"/>
                <w:vertAlign w:val="superscript"/>
              </w:rPr>
              <w:t>3-</w:t>
            </w:r>
            <w:r>
              <w:rPr>
                <w:rFonts w:ascii="Times New Roman" w:hAnsi="Times New Roman"/>
                <w:color w:val="auto"/>
              </w:rPr>
              <w:t>、SO</w:t>
            </w:r>
            <w:r>
              <w:rPr>
                <w:rFonts w:ascii="Times New Roman" w:hAnsi="Times New Roman"/>
                <w:color w:val="auto"/>
                <w:vertAlign w:val="subscript"/>
              </w:rPr>
              <w:t>3</w:t>
            </w:r>
            <w:r>
              <w:rPr>
                <w:rFonts w:ascii="Times New Roman" w:hAnsi="Times New Roman"/>
                <w:color w:val="auto"/>
                <w:vertAlign w:val="superscript"/>
              </w:rPr>
              <w:t>2-</w:t>
            </w:r>
            <w:r>
              <w:rPr>
                <w:rFonts w:ascii="Times New Roman" w:hAnsi="Times New Roman"/>
                <w:color w:val="auto"/>
              </w:rPr>
              <w:t>、SO</w:t>
            </w:r>
            <w:r>
              <w:rPr>
                <w:rFonts w:ascii="Times New Roman" w:hAnsi="Times New Roman"/>
                <w:color w:val="auto"/>
                <w:vertAlign w:val="subscript"/>
              </w:rPr>
              <w:t>4</w:t>
            </w:r>
            <w:r>
              <w:rPr>
                <w:rFonts w:ascii="Times New Roman" w:hAnsi="Times New Roman"/>
                <w:color w:val="auto"/>
                <w:vertAlign w:val="superscript"/>
              </w:rPr>
              <w:t>2-</w:t>
            </w:r>
            <w:r>
              <w:rPr>
                <w:rFonts w:ascii="Times New Roman" w:hAnsi="Times New Roman"/>
                <w:color w:val="auto"/>
              </w:rPr>
              <w:t>）的测定离子色谱法》（HJ 84-2016）</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color w:val="auto"/>
                <w:shd w:val="clear" w:color="auto" w:fill="auto"/>
                <w:lang w:val="en-US" w:eastAsia="zh-CN"/>
              </w:rPr>
            </w:pPr>
            <w:r>
              <w:rPr>
                <w:rFonts w:hint="eastAsia"/>
                <w:color w:val="auto"/>
                <w:shd w:val="clear" w:color="auto" w:fill="auto"/>
                <w:lang w:val="en-US" w:eastAsia="zh-CN"/>
              </w:rPr>
              <w:t>0.018</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shd w:val="clear" w:color="auto" w:fil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离子色谱仪</w:t>
            </w:r>
            <w:r>
              <w:rPr>
                <w:rFonts w:hint="eastAsia" w:ascii="Times New Roman" w:hAnsi="Times New Roman"/>
                <w:color w:val="auto"/>
              </w:rPr>
              <w:t>/ISC-600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HZD-001-A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olor w:val="auto"/>
                <w:kern w:val="2"/>
                <w:sz w:val="21"/>
                <w:lang w:val="en-US" w:eastAsia="zh-CN" w:bidi="ar-SA"/>
              </w:rPr>
            </w:pPr>
            <w:r>
              <w:rPr>
                <w:rFonts w:hint="eastAsia"/>
                <w:color w:val="auto"/>
                <w:lang w:val="en-US" w:eastAsia="zh-CN"/>
              </w:rPr>
              <w:t>18</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铅</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rPr>
              <w:t>《水和废水检测分析方法（第四版）》国家环境保护总局（2002年） 第三篇 第四章 十六、铅 （五）石墨炉原子吸收法（B）</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rPr>
              <w:t>1</w:t>
            </w:r>
            <w:r>
              <w:rPr>
                <w:rFonts w:ascii="Times New Roman" w:hAnsi="Times New Roman"/>
                <w:color w:val="auto"/>
              </w:rPr>
              <w:t>μ</w:t>
            </w:r>
            <w:r>
              <w:rPr>
                <w:rFonts w:hint="eastAsia" w:ascii="Times New Roman" w:hAnsi="Times New Roman"/>
                <w:color w:val="auto"/>
              </w:rPr>
              <w:t>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color w:val="auto"/>
                <w:lang w:eastAsia="zh-CN"/>
              </w:rPr>
              <w:t>原子吸收光谱仪</w:t>
            </w:r>
            <w:r>
              <w:rPr>
                <w:rFonts w:ascii="Times New Roman" w:hAnsi="Times New Roman"/>
                <w:color w:val="auto"/>
              </w:rPr>
              <w:t>/ICE-3500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olor w:val="auto"/>
                <w:kern w:val="2"/>
                <w:sz w:val="21"/>
                <w:lang w:val="en-US" w:eastAsia="zh-CN" w:bidi="ar-SA"/>
              </w:rPr>
            </w:pPr>
            <w:r>
              <w:rPr>
                <w:rFonts w:hint="eastAsia"/>
                <w:color w:val="auto"/>
                <w:kern w:val="2"/>
                <w:sz w:val="21"/>
                <w:lang w:val="en-US" w:eastAsia="zh-CN" w:bidi="ar-SA"/>
              </w:rPr>
              <w:t>19</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镉</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w:t>
            </w:r>
            <w:r>
              <w:rPr>
                <w:rFonts w:hint="eastAsia" w:ascii="Times New Roman" w:hAnsi="Times New Roman"/>
                <w:color w:val="auto"/>
              </w:rPr>
              <w:t>和废水检测分析方法（第四版）</w:t>
            </w:r>
            <w:r>
              <w:rPr>
                <w:rFonts w:ascii="Times New Roman" w:hAnsi="Times New Roman"/>
                <w:color w:val="auto"/>
              </w:rPr>
              <w:t>》</w:t>
            </w:r>
            <w:r>
              <w:rPr>
                <w:rFonts w:hint="eastAsia" w:ascii="Times New Roman" w:hAnsi="Times New Roman"/>
                <w:color w:val="auto"/>
              </w:rPr>
              <w:t>国家环境保护总局（2002年）第三篇 第四章七、镉石墨炉原子吸收法测定镉、铜、铅（B）</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rPr>
              <w:t>0.1</w:t>
            </w:r>
            <w:r>
              <w:rPr>
                <w:rFonts w:ascii="Times New Roman" w:hAnsi="Times New Roman"/>
                <w:color w:val="auto"/>
              </w:rPr>
              <w:t>μg/L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color w:val="auto"/>
                <w:lang w:eastAsia="zh-CN"/>
              </w:rPr>
              <w:t>原子吸收光谱仪</w:t>
            </w:r>
            <w:r>
              <w:rPr>
                <w:rFonts w:ascii="Times New Roman" w:hAnsi="Times New Roman"/>
                <w:color w:val="auto"/>
              </w:rPr>
              <w:t>/ICE-3500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20</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铁</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《水质铁、锰的测定火焰原子吸收分光光度法》（GB 11911-89）</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0.03</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color w:val="auto"/>
                <w:lang w:eastAsia="zh-CN"/>
              </w:rPr>
              <w:t>原子吸收光谱仪</w:t>
            </w:r>
            <w:r>
              <w:rPr>
                <w:rFonts w:ascii="Times New Roman" w:hAnsi="Times New Roman"/>
                <w:color w:val="auto"/>
              </w:rPr>
              <w:t>/ICE-3500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21</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锰</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《水质铁、锰的测定火焰原子吸收分光光度法》（GB 11911-89）</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rPr>
            </w:pPr>
            <w:r>
              <w:rPr>
                <w:rFonts w:hint="eastAsia" w:ascii="Times New Roman" w:hAnsi="Times New Roman"/>
                <w:color w:val="auto"/>
              </w:rPr>
              <w:t>0.01</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color w:val="auto"/>
                <w:lang w:eastAsia="zh-CN"/>
              </w:rPr>
              <w:t>原子吸收光谱仪</w:t>
            </w:r>
            <w:r>
              <w:rPr>
                <w:rFonts w:ascii="Times New Roman" w:hAnsi="Times New Roman"/>
                <w:color w:val="auto"/>
              </w:rPr>
              <w:t>/ICE-3500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22</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砷</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《水质 汞、砷、硒、铋和锑的测定 原子荧光法》（HJ 694-2014）</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0.3</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μg/L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原子荧光</w:t>
            </w:r>
            <w:r>
              <w:rPr>
                <w:rFonts w:hint="eastAsia"/>
                <w:color w:val="auto"/>
                <w:lang w:eastAsia="zh-CN"/>
              </w:rPr>
              <w:t>光度计</w:t>
            </w:r>
            <w:r>
              <w:rPr>
                <w:rFonts w:ascii="Times New Roman" w:hAnsi="Times New Roman"/>
                <w:color w:val="auto"/>
              </w:rPr>
              <w:t>/AFS-8220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HZD-003-A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23</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汞</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《水质 汞、砷、硒、铋和锑的测定 原子荧光法》（HJ 694-2014）</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0.04</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μg/L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原子荧光光度计/AFS-8220</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HZD-003-A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24</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重碳酸盐</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《水和废水</w:t>
            </w:r>
            <w:r>
              <w:rPr>
                <w:rFonts w:hint="eastAsia" w:ascii="Times New Roman" w:hAnsi="Times New Roman"/>
                <w:color w:val="auto"/>
              </w:rPr>
              <w:t>检测</w:t>
            </w:r>
            <w:r>
              <w:rPr>
                <w:rFonts w:ascii="Times New Roman" w:hAnsi="Times New Roman"/>
                <w:color w:val="auto"/>
              </w:rPr>
              <w:t>分析方法（第四版）国家环境保护总局》（2002年） 第三篇 第一章 十二、碱度 （一）酸碱指示剂滴定法（B）</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ascii="Times New Roman" w:hAnsi="Times New Roman"/>
                <w:color w:val="auto"/>
              </w:rPr>
              <w:t>/</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ascii="Times New Roman" w:hAnsi="Times New Roman"/>
                <w:color w:val="auto"/>
              </w:rPr>
              <w:t>滴定管</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ascii="Times New Roman" w:hAnsi="Times New Roman"/>
                <w:color w:val="auto"/>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25</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碳酸盐</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《水和废水</w:t>
            </w:r>
            <w:r>
              <w:rPr>
                <w:rFonts w:hint="eastAsia" w:ascii="Times New Roman" w:hAnsi="Times New Roman"/>
                <w:color w:val="auto"/>
              </w:rPr>
              <w:t>检测</w:t>
            </w:r>
            <w:r>
              <w:rPr>
                <w:rFonts w:ascii="Times New Roman" w:hAnsi="Times New Roman"/>
                <w:color w:val="auto"/>
              </w:rPr>
              <w:t>分析方法（第四版）国家环境保护总局》（2002年） 第三篇 第一章 十二、碱度 （一）酸碱指示剂滴定法（B）</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ascii="Times New Roman" w:hAnsi="Times New Roman"/>
                <w:color w:val="auto"/>
              </w:rPr>
              <w:t>/</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滴定管</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ascii="Times New Roman" w:hAnsi="Times New Roman"/>
                <w:color w:val="auto"/>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26</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szCs w:val="22"/>
                <w:lang w:eastAsia="zh-CN"/>
              </w:rPr>
              <w:t>氯化物</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olor w:val="auto"/>
              </w:rPr>
            </w:pPr>
            <w:r>
              <w:rPr>
                <w:rFonts w:hint="eastAsia" w:ascii="Times New Roman" w:hAnsi="Times New Roman"/>
                <w:color w:val="auto"/>
              </w:rPr>
              <w:t>《水质</w:t>
            </w:r>
            <w:r>
              <w:rPr>
                <w:rFonts w:hint="eastAsia" w:ascii="Times New Roman" w:hAnsi="Times New Roman"/>
                <w:color w:val="auto"/>
                <w:lang w:val="en-US" w:eastAsia="zh-CN"/>
              </w:rPr>
              <w:t xml:space="preserve"> </w:t>
            </w:r>
            <w:r>
              <w:rPr>
                <w:rFonts w:hint="eastAsia" w:ascii="Times New Roman" w:hAnsi="Times New Roman"/>
                <w:color w:val="auto"/>
              </w:rPr>
              <w:t xml:space="preserve">氯化物的测定硝酸银滴定法》 </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rPr>
              <w:t>（GB 11896-89）</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lang w:val="en-US" w:eastAsia="zh-CN"/>
              </w:rPr>
              <w:t>10mg/L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lang w:eastAsia="zh-CN"/>
              </w:rPr>
              <w:t>滴定管</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eastAsia="宋体"/>
                <w:color w:val="auto"/>
                <w:kern w:val="2"/>
                <w:sz w:val="21"/>
                <w:lang w:val="en-US" w:eastAsia="zh-CN" w:bidi="ar-SA"/>
              </w:rPr>
            </w:pPr>
            <w:r>
              <w:rPr>
                <w:rFonts w:hint="eastAsia" w:ascii="Times New Roman" w:hAnsi="Times New Roman"/>
                <w:color w:val="auto"/>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27</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szCs w:val="22"/>
                <w:lang w:eastAsia="zh-CN"/>
              </w:rPr>
              <w:t>硫酸盐</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kern w:val="0"/>
                <w:szCs w:val="21"/>
                <w:lang w:bidi="ar"/>
              </w:rPr>
              <w:t>《水质硫酸盐的测定铬酸钡分光光度法（试行）》（HJ/T 342-2007）</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hint="eastAsia" w:ascii="Times New Roman" w:hAnsi="Times New Roman"/>
                <w:color w:val="auto"/>
                <w:lang w:val="en-US" w:eastAsia="zh-CN"/>
              </w:rPr>
              <w:t>8mg/L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可见分光光度计/7230G</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HZD-022-</w:t>
            </w:r>
            <w:r>
              <w:rPr>
                <w:rFonts w:hint="eastAsia"/>
                <w:color w:val="auto"/>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28</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总大肠菌群</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rPr>
            </w:pPr>
            <w:r>
              <w:rPr>
                <w:rFonts w:ascii="Times New Roman" w:hAnsi="Times New Roman"/>
                <w:color w:val="auto"/>
              </w:rPr>
              <w:t>《水质 总大肠菌群、粪大肠菌群和大肠埃希氏菌的测定 酶底物法》</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（HJ 1001-2018）</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lang w:val="en-US" w:eastAsia="zh-CN"/>
              </w:rPr>
            </w:pPr>
            <w:r>
              <w:rPr>
                <w:rFonts w:hint="eastAsia" w:ascii="Times New Roman" w:hAnsi="Times New Roman"/>
                <w:color w:val="auto"/>
                <w:lang w:val="en-US" w:eastAsia="zh-CN"/>
              </w:rPr>
              <w:t>10</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olor w:val="auto"/>
                <w:kern w:val="2"/>
                <w:sz w:val="21"/>
                <w:lang w:val="en-US" w:eastAsia="zh-CN" w:bidi="ar-SA"/>
              </w:rPr>
            </w:pPr>
            <w:r>
              <w:rPr>
                <w:rFonts w:hint="eastAsia" w:ascii="Times New Roman" w:hAnsi="Times New Roman"/>
                <w:color w:val="auto"/>
                <w:lang w:val="en-US" w:eastAsia="zh-CN"/>
              </w:rPr>
              <w:t>MPN/L</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干燥/培养两用箱</w:t>
            </w:r>
            <w:r>
              <w:rPr>
                <w:rFonts w:hint="eastAsia" w:ascii="Times New Roman" w:hAnsi="Times New Roman"/>
                <w:color w:val="auto"/>
              </w:rPr>
              <w:t>/PH-070A型</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HZD-006-</w:t>
            </w:r>
            <w:r>
              <w:rPr>
                <w:rFonts w:hint="eastAsia"/>
                <w:color w:val="auto"/>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7" w:type="dxa"/>
            <w:tcBorders>
              <w:lef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color w:val="auto"/>
                <w:kern w:val="2"/>
                <w:sz w:val="21"/>
                <w:lang w:val="en-US" w:eastAsia="zh-CN" w:bidi="ar-SA"/>
              </w:rPr>
              <w:t>29</w:t>
            </w:r>
          </w:p>
        </w:tc>
        <w:tc>
          <w:tcPr>
            <w:tcW w:w="110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szCs w:val="22"/>
                <w:lang w:val="en-US" w:eastAsia="zh-CN"/>
              </w:rPr>
            </w:pPr>
            <w:r>
              <w:rPr>
                <w:rFonts w:hint="eastAsia" w:ascii="Times New Roman" w:hAnsi="Times New Roman"/>
                <w:color w:val="auto"/>
                <w:szCs w:val="22"/>
              </w:rPr>
              <w:t>细菌总数</w:t>
            </w:r>
          </w:p>
        </w:tc>
        <w:tc>
          <w:tcPr>
            <w:tcW w:w="3980"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color w:val="auto"/>
              </w:rPr>
            </w:pPr>
            <w:r>
              <w:rPr>
                <w:rFonts w:ascii="Times New Roman" w:hAnsi="Times New Roman"/>
                <w:color w:val="auto"/>
              </w:rPr>
              <w:t>《水质 细菌总数的测定 平皿计数法》</w:t>
            </w:r>
          </w:p>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（HJ 1000-2018）</w:t>
            </w:r>
          </w:p>
        </w:tc>
        <w:tc>
          <w:tcPr>
            <w:tcW w:w="968"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kern w:val="2"/>
                <w:sz w:val="21"/>
                <w:lang w:val="en-US" w:eastAsia="zh-CN" w:bidi="ar-SA"/>
              </w:rPr>
            </w:pPr>
            <w:r>
              <w:rPr>
                <w:rFonts w:hint="eastAsia" w:ascii="Times New Roman" w:hAnsi="Times New Roman"/>
                <w:color w:val="auto"/>
              </w:rPr>
              <w:t>/</w:t>
            </w:r>
          </w:p>
        </w:tc>
        <w:tc>
          <w:tcPr>
            <w:tcW w:w="1652" w:type="dxa"/>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color w:val="auto"/>
                <w:kern w:val="2"/>
                <w:sz w:val="21"/>
                <w:lang w:val="en-US" w:eastAsia="zh-CN" w:bidi="ar-SA"/>
              </w:rPr>
            </w:pPr>
            <w:r>
              <w:rPr>
                <w:rFonts w:ascii="Times New Roman" w:hAnsi="Times New Roman"/>
                <w:color w:val="auto"/>
              </w:rPr>
              <w:t>干燥/培养两用箱</w:t>
            </w:r>
            <w:r>
              <w:rPr>
                <w:rFonts w:hint="eastAsia" w:ascii="Times New Roman" w:hAnsi="Times New Roman"/>
                <w:color w:val="auto"/>
              </w:rPr>
              <w:t>/PH-070A型</w:t>
            </w:r>
          </w:p>
        </w:tc>
        <w:tc>
          <w:tcPr>
            <w:tcW w:w="1510" w:type="dxa"/>
            <w:tcBorders>
              <w:right w:val="nil"/>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Times New Roman" w:hAnsi="Times New Roman"/>
                <w:color w:val="auto"/>
                <w:kern w:val="2"/>
                <w:sz w:val="21"/>
                <w:lang w:val="en-US" w:eastAsia="zh-CN" w:bidi="ar-SA"/>
              </w:rPr>
            </w:pPr>
            <w:r>
              <w:rPr>
                <w:rFonts w:ascii="Times New Roman" w:hAnsi="Times New Roman"/>
                <w:color w:val="auto"/>
              </w:rPr>
              <w:t>HZD-006-A</w:t>
            </w:r>
          </w:p>
        </w:tc>
      </w:tr>
    </w:tbl>
    <w:p>
      <w:pPr>
        <w:ind w:firstLine="480"/>
        <w:rPr>
          <w:rFonts w:hint="default" w:ascii="Times New Roman" w:hAnsi="Times New Roman" w:eastAsia="宋体" w:cs="Times New Roman"/>
          <w:color w:val="auto"/>
          <w:kern w:val="0"/>
          <w:lang w:val="zh-CN"/>
        </w:rPr>
      </w:pPr>
      <w:r>
        <w:rPr>
          <w:rFonts w:hint="default" w:ascii="Times New Roman" w:hAnsi="Times New Roman" w:eastAsia="宋体" w:cs="Times New Roman"/>
          <w:color w:val="auto"/>
          <w:kern w:val="0"/>
          <w:lang w:val="zh-CN"/>
        </w:rPr>
        <w:t>5、监测结果</w:t>
      </w:r>
    </w:p>
    <w:p>
      <w:pPr>
        <w:ind w:firstLine="480"/>
        <w:rPr>
          <w:rFonts w:hint="default" w:ascii="Times New Roman" w:hAnsi="Times New Roman" w:eastAsia="宋体" w:cs="Times New Roman"/>
          <w:color w:val="auto"/>
          <w:kern w:val="0"/>
          <w:lang w:val="zh-CN"/>
        </w:rPr>
      </w:pPr>
      <w:r>
        <w:rPr>
          <w:rFonts w:hint="default" w:ascii="Times New Roman" w:hAnsi="Times New Roman" w:eastAsia="宋体" w:cs="Times New Roman"/>
          <w:color w:val="auto"/>
          <w:kern w:val="0"/>
          <w:lang w:val="zh-CN"/>
        </w:rPr>
        <w:t>地下水水位监测结果见表4.2-8，地下水水质监测结果见表4.2-9。</w:t>
      </w:r>
    </w:p>
    <w:p>
      <w:pPr>
        <w:spacing w:line="440" w:lineRule="exact"/>
        <w:ind w:firstLine="482"/>
        <w:jc w:val="center"/>
        <w:rPr>
          <w:rFonts w:hint="default" w:ascii="Times New Roman" w:hAnsi="Times New Roman" w:eastAsia="宋体" w:cs="Times New Roman"/>
          <w:b/>
          <w:color w:val="auto"/>
        </w:rPr>
      </w:pPr>
      <w:r>
        <w:rPr>
          <w:rFonts w:hint="default" w:ascii="Times New Roman" w:hAnsi="Times New Roman" w:eastAsia="宋体" w:cs="Times New Roman"/>
          <w:b/>
          <w:color w:val="auto"/>
        </w:rPr>
        <w:t>表4.2-8    各地下水环境现状监测点井深水位一览表</w:t>
      </w:r>
    </w:p>
    <w:tbl>
      <w:tblPr>
        <w:tblStyle w:val="34"/>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0" w:type="dxa"/>
          <w:bottom w:w="0" w:type="dxa"/>
          <w:right w:w="0" w:type="dxa"/>
        </w:tblCellMar>
      </w:tblPr>
      <w:tblGrid>
        <w:gridCol w:w="1121"/>
        <w:gridCol w:w="2848"/>
        <w:gridCol w:w="953"/>
        <w:gridCol w:w="953"/>
        <w:gridCol w:w="953"/>
        <w:gridCol w:w="953"/>
        <w:gridCol w:w="100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37" w:type="pct"/>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点位</w:t>
            </w:r>
          </w:p>
        </w:tc>
        <w:tc>
          <w:tcPr>
            <w:tcW w:w="1619"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点位坐标</w:t>
            </w:r>
          </w:p>
        </w:tc>
        <w:tc>
          <w:tcPr>
            <w:tcW w:w="542"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井深（m）</w:t>
            </w:r>
          </w:p>
        </w:tc>
        <w:tc>
          <w:tcPr>
            <w:tcW w:w="542"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水深（m）</w:t>
            </w:r>
          </w:p>
        </w:tc>
        <w:tc>
          <w:tcPr>
            <w:tcW w:w="542"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海拔（m）</w:t>
            </w:r>
          </w:p>
        </w:tc>
        <w:tc>
          <w:tcPr>
            <w:tcW w:w="542"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水位（m）</w:t>
            </w:r>
          </w:p>
        </w:tc>
        <w:tc>
          <w:tcPr>
            <w:tcW w:w="571" w:type="pct"/>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埋深（m）</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37" w:type="pct"/>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1#☆</w:t>
            </w:r>
          </w:p>
        </w:tc>
        <w:tc>
          <w:tcPr>
            <w:tcW w:w="1619"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E107°39'3.32'',N40°53'33.28''</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17</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1026</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1021</w:t>
            </w:r>
          </w:p>
        </w:tc>
        <w:tc>
          <w:tcPr>
            <w:tcW w:w="1128"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37" w:type="pct"/>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2#☆</w:t>
            </w:r>
          </w:p>
        </w:tc>
        <w:tc>
          <w:tcPr>
            <w:tcW w:w="1619"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E107°38'54.02'',N40°53'2.4''</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1032</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1024</w:t>
            </w:r>
          </w:p>
        </w:tc>
        <w:tc>
          <w:tcPr>
            <w:tcW w:w="1128"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8" w:type="dxa"/>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w:t>
            </w:r>
          </w:p>
        </w:tc>
        <w:tc>
          <w:tcPr>
            <w:tcW w:w="1619"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E107°38'21.39'',N40°53'6.93''</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1034</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1028</w:t>
            </w:r>
          </w:p>
        </w:tc>
        <w:tc>
          <w:tcPr>
            <w:tcW w:w="1128"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8" w:type="dxa"/>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w:t>
            </w:r>
          </w:p>
        </w:tc>
        <w:tc>
          <w:tcPr>
            <w:tcW w:w="1619"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E107°39'2.77'',N40°53'29.83''</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1030</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1024</w:t>
            </w:r>
          </w:p>
        </w:tc>
        <w:tc>
          <w:tcPr>
            <w:tcW w:w="1128"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8" w:type="dxa"/>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w:t>
            </w:r>
          </w:p>
        </w:tc>
        <w:tc>
          <w:tcPr>
            <w:tcW w:w="1619"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E107°37'59.62'',N40°53'17.11''</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16</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1028</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1020</w:t>
            </w:r>
          </w:p>
        </w:tc>
        <w:tc>
          <w:tcPr>
            <w:tcW w:w="1128"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258" w:type="dxa"/>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w:t>
            </w:r>
          </w:p>
        </w:tc>
        <w:tc>
          <w:tcPr>
            <w:tcW w:w="1619" w:type="pct"/>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E107°39'36.11'',N40°53'51.26''</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1029</w:t>
            </w:r>
          </w:p>
        </w:tc>
        <w:tc>
          <w:tcPr>
            <w:tcW w:w="107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1024</w:t>
            </w:r>
          </w:p>
        </w:tc>
        <w:tc>
          <w:tcPr>
            <w:tcW w:w="1128"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r>
    </w:tbl>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表4.2-9    评价区水质现状监测统计结果</w:t>
      </w:r>
    </w:p>
    <w:tbl>
      <w:tblPr>
        <w:tblStyle w:val="34"/>
        <w:tblW w:w="907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06"/>
        <w:gridCol w:w="2002"/>
        <w:gridCol w:w="689"/>
        <w:gridCol w:w="1643"/>
        <w:gridCol w:w="1643"/>
        <w:gridCol w:w="1643"/>
        <w:gridCol w:w="8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vMerge w:val="restart"/>
            <w:tcBorders>
              <w:left w:val="nil"/>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w:t>
            </w:r>
          </w:p>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号</w:t>
            </w:r>
          </w:p>
        </w:tc>
        <w:tc>
          <w:tcPr>
            <w:tcW w:w="2182" w:type="dxa"/>
            <w:vMerge w:val="restart"/>
            <w:tcBorders>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检测</w:t>
            </w:r>
          </w:p>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w:t>
            </w:r>
          </w:p>
        </w:tc>
        <w:tc>
          <w:tcPr>
            <w:tcW w:w="750" w:type="dxa"/>
            <w:vMerge w:val="restart"/>
            <w:tcBorders>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单位</w:t>
            </w:r>
          </w:p>
        </w:tc>
        <w:tc>
          <w:tcPr>
            <w:tcW w:w="6290" w:type="dxa"/>
            <w:gridSpan w:val="4"/>
            <w:tcBorders>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检测点位与分析日期</w:t>
            </w:r>
          </w:p>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（202</w:t>
            </w:r>
            <w:r>
              <w:rPr>
                <w:rFonts w:hint="eastAsia"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年</w:t>
            </w:r>
            <w:r>
              <w:rPr>
                <w:rFonts w:hint="eastAsia"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月</w:t>
            </w:r>
            <w:r>
              <w:rPr>
                <w:rFonts w:hint="eastAsia" w:eastAsia="宋体" w:cs="Times New Roman"/>
                <w:color w:val="auto"/>
                <w:sz w:val="21"/>
                <w:szCs w:val="21"/>
                <w:highlight w:val="none"/>
                <w:lang w:val="en-US" w:eastAsia="zh-CN"/>
              </w:rPr>
              <w:t>17</w:t>
            </w:r>
            <w:r>
              <w:rPr>
                <w:rFonts w:hint="default" w:ascii="Times New Roman" w:hAnsi="Times New Roman" w:eastAsia="宋体" w:cs="Times New Roman"/>
                <w:color w:val="auto"/>
                <w:sz w:val="21"/>
                <w:szCs w:val="21"/>
                <w:highlight w:val="none"/>
              </w:rPr>
              <w:t>日~20</w:t>
            </w:r>
            <w:r>
              <w:rPr>
                <w:rFonts w:hint="eastAsia"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年</w:t>
            </w:r>
            <w:r>
              <w:rPr>
                <w:rFonts w:hint="eastAsia"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月</w:t>
            </w:r>
            <w:r>
              <w:rPr>
                <w:rFonts w:hint="eastAsia"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vMerge w:val="continue"/>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2182" w:type="dxa"/>
            <w:vMerge w:val="continue"/>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750" w:type="dxa"/>
            <w:vMerge w:val="continue"/>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6290" w:type="dxa"/>
            <w:gridSpan w:val="4"/>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采样日期：202</w:t>
            </w:r>
            <w:r>
              <w:rPr>
                <w:rFonts w:hint="eastAsia"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年</w:t>
            </w:r>
            <w:r>
              <w:rPr>
                <w:rFonts w:hint="eastAsia" w:eastAsia="宋体"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lang w:val="en-US" w:eastAsia="zh-CN"/>
              </w:rPr>
              <w:t>月</w:t>
            </w:r>
            <w:r>
              <w:rPr>
                <w:rFonts w:hint="eastAsia" w:eastAsia="宋体" w:cs="Times New Roman"/>
                <w:color w:val="auto"/>
                <w:sz w:val="21"/>
                <w:szCs w:val="21"/>
                <w:highlight w:val="none"/>
                <w:lang w:val="en-US" w:eastAsia="zh-CN"/>
              </w:rPr>
              <w:t>16</w:t>
            </w:r>
            <w:r>
              <w:rPr>
                <w:rFonts w:hint="default" w:ascii="Times New Roman" w:hAnsi="Times New Roman" w:eastAsia="宋体" w:cs="Times New Roman"/>
                <w:color w:val="auto"/>
                <w:sz w:val="21"/>
                <w:szCs w:val="21"/>
                <w:highlight w:val="none"/>
                <w:lang w:val="en-US" w:eastAsia="zh-CN"/>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vMerge w:val="continue"/>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2182" w:type="dxa"/>
            <w:vMerge w:val="continue"/>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750" w:type="dxa"/>
            <w:vMerge w:val="continue"/>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2</w:t>
            </w:r>
            <w:r>
              <w:rPr>
                <w:rFonts w:hint="default" w:ascii="Times New Roman" w:hAnsi="Times New Roman" w:eastAsia="宋体" w:cs="Times New Roman"/>
                <w:b w:val="0"/>
                <w:bCs w:val="0"/>
                <w:color w:val="auto"/>
                <w:sz w:val="21"/>
                <w:szCs w:val="21"/>
                <w:vertAlign w:val="baseline"/>
                <w:lang w:val="en-US" w:eastAsia="zh-CN"/>
              </w:rPr>
              <w:t>#☆</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4</w:t>
            </w:r>
            <w:r>
              <w:rPr>
                <w:rFonts w:hint="default" w:ascii="Times New Roman" w:hAnsi="Times New Roman" w:eastAsia="宋体" w:cs="Times New Roman"/>
                <w:b w:val="0"/>
                <w:bCs w:val="0"/>
                <w:color w:val="auto"/>
                <w:sz w:val="21"/>
                <w:szCs w:val="21"/>
                <w:vertAlign w:val="baseline"/>
                <w:lang w:val="en-US" w:eastAsia="zh-CN"/>
              </w:rPr>
              <w:t>#☆</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eastAsia="宋体" w:cs="Times New Roman"/>
                <w:b w:val="0"/>
                <w:bCs w:val="0"/>
                <w:color w:val="auto"/>
                <w:sz w:val="21"/>
                <w:szCs w:val="21"/>
                <w:vertAlign w:val="baseline"/>
                <w:lang w:val="en-US" w:eastAsia="zh-CN"/>
              </w:rPr>
            </w:pPr>
            <w:r>
              <w:rPr>
                <w:rFonts w:hint="eastAsia" w:eastAsia="宋体" w:cs="Times New Roman"/>
                <w:b w:val="0"/>
                <w:bCs w:val="0"/>
                <w:color w:val="auto"/>
                <w:sz w:val="21"/>
                <w:szCs w:val="21"/>
                <w:vertAlign w:val="baseline"/>
                <w:lang w:val="en-US" w:eastAsia="zh-CN"/>
              </w:rPr>
              <w:t>6</w:t>
            </w:r>
            <w:r>
              <w:rPr>
                <w:rFonts w:hint="default" w:ascii="Times New Roman" w:hAnsi="Times New Roman" w:eastAsia="宋体" w:cs="Times New Roman"/>
                <w:b w:val="0"/>
                <w:bCs w:val="0"/>
                <w:color w:val="auto"/>
                <w:sz w:val="21"/>
                <w:szCs w:val="21"/>
                <w:vertAlign w:val="baseline"/>
                <w:lang w:val="en-US" w:eastAsia="zh-CN"/>
              </w:rPr>
              <w:t>#☆</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标准限值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i w:val="0"/>
                <w:color w:val="auto"/>
                <w:kern w:val="0"/>
                <w:sz w:val="21"/>
                <w:szCs w:val="21"/>
                <w:u w:val="none"/>
                <w:lang w:val="en-US" w:eastAsia="zh-CN" w:bidi="ar"/>
              </w:rPr>
              <w:t>1</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color w:val="auto"/>
                <w:kern w:val="2"/>
                <w:sz w:val="21"/>
                <w:szCs w:val="21"/>
                <w:lang w:val="en-US" w:eastAsia="zh-CN" w:bidi="ar-SA"/>
              </w:rPr>
              <w:t>pH</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i w:val="0"/>
                <w:color w:val="auto"/>
                <w:kern w:val="0"/>
                <w:sz w:val="21"/>
                <w:szCs w:val="21"/>
                <w:u w:val="none"/>
                <w:lang w:val="en-US" w:eastAsia="zh-CN" w:bidi="ar"/>
              </w:rPr>
              <w:t>无量纲</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7.38</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7.54</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7.46</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6.5~8.5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i w:val="0"/>
                <w:color w:val="auto"/>
                <w:kern w:val="0"/>
                <w:sz w:val="21"/>
                <w:szCs w:val="21"/>
                <w:u w:val="none"/>
                <w:lang w:val="en-US" w:eastAsia="zh-CN" w:bidi="ar"/>
              </w:rPr>
              <w:t>2</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rPr>
            </w:pPr>
            <w:r>
              <w:rPr>
                <w:rFonts w:hint="default" w:ascii="Times New Roman" w:hAnsi="Times New Roman"/>
                <w:color w:val="auto"/>
                <w:sz w:val="21"/>
                <w:szCs w:val="21"/>
              </w:rPr>
              <w:t>硝酸盐氮</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6.63</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6.84</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6.52</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i w:val="0"/>
                <w:color w:val="auto"/>
                <w:kern w:val="0"/>
                <w:sz w:val="21"/>
                <w:szCs w:val="21"/>
                <w:u w:val="none"/>
                <w:lang w:val="en-US" w:eastAsia="zh-CN" w:bidi="ar"/>
              </w:rPr>
              <w:t>3</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rPr>
            </w:pPr>
            <w:r>
              <w:rPr>
                <w:rFonts w:hint="default" w:ascii="Times New Roman" w:hAnsi="Times New Roman"/>
                <w:color w:val="auto"/>
                <w:sz w:val="21"/>
                <w:szCs w:val="21"/>
              </w:rPr>
              <w:t>亚硝酸盐氮</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0.112</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0.089</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0.102</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i w:val="0"/>
                <w:color w:val="auto"/>
                <w:kern w:val="0"/>
                <w:sz w:val="21"/>
                <w:szCs w:val="21"/>
                <w:u w:val="none"/>
                <w:lang w:val="en-US" w:eastAsia="zh-CN" w:bidi="ar"/>
              </w:rPr>
              <w:t>4</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rPr>
            </w:pPr>
            <w:r>
              <w:rPr>
                <w:rFonts w:hint="default" w:ascii="Times New Roman" w:hAnsi="Times New Roman"/>
                <w:color w:val="auto"/>
                <w:sz w:val="21"/>
                <w:szCs w:val="21"/>
              </w:rPr>
              <w:t>挥发酚</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0.0003L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0.0003L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0.0003L</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i w:val="0"/>
                <w:color w:val="auto"/>
                <w:kern w:val="0"/>
                <w:sz w:val="21"/>
                <w:szCs w:val="21"/>
                <w:u w:val="none"/>
                <w:lang w:val="en-US" w:eastAsia="zh-CN" w:bidi="ar"/>
              </w:rPr>
              <w:t>5</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rPr>
            </w:pPr>
            <w:r>
              <w:rPr>
                <w:rFonts w:hint="default" w:ascii="Times New Roman" w:hAnsi="Times New Roman"/>
                <w:color w:val="auto"/>
                <w:sz w:val="21"/>
                <w:szCs w:val="21"/>
              </w:rPr>
              <w:t>氰化物</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0.004L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0.004L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0.004L</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i w:val="0"/>
                <w:color w:val="auto"/>
                <w:kern w:val="0"/>
                <w:sz w:val="21"/>
                <w:szCs w:val="21"/>
                <w:u w:val="none"/>
                <w:lang w:val="en-US" w:eastAsia="zh-CN" w:bidi="ar"/>
              </w:rPr>
              <w:t>6</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溶解</w:t>
            </w:r>
            <w:r>
              <w:rPr>
                <w:rFonts w:hint="default" w:ascii="Times New Roman" w:hAnsi="Times New Roman"/>
                <w:color w:val="auto"/>
                <w:sz w:val="21"/>
                <w:szCs w:val="21"/>
              </w:rPr>
              <w:t>性总</w:t>
            </w:r>
            <w:r>
              <w:rPr>
                <w:rFonts w:hint="default" w:ascii="Times New Roman" w:hAnsi="Times New Roman" w:eastAsia="宋体" w:cs="Times New Roman"/>
                <w:color w:val="auto"/>
                <w:sz w:val="21"/>
                <w:szCs w:val="21"/>
              </w:rPr>
              <w:t>固体</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676</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color w:val="auto"/>
                <w:sz w:val="21"/>
                <w:szCs w:val="21"/>
                <w:lang w:val="en-US" w:eastAsia="zh-CN"/>
              </w:rPr>
              <w:t>919</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color w:val="auto"/>
                <w:sz w:val="21"/>
                <w:szCs w:val="21"/>
                <w:lang w:val="en-US" w:eastAsia="zh-CN"/>
              </w:rPr>
            </w:pPr>
            <w:r>
              <w:rPr>
                <w:rFonts w:hint="eastAsia" w:eastAsia="宋体" w:cs="Times New Roman"/>
                <w:color w:val="auto"/>
                <w:sz w:val="21"/>
                <w:szCs w:val="21"/>
                <w:lang w:val="en-US" w:eastAsia="zh-CN"/>
              </w:rPr>
              <w:t>1238</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i w:val="0"/>
                <w:color w:val="auto"/>
                <w:kern w:val="0"/>
                <w:sz w:val="21"/>
                <w:szCs w:val="21"/>
                <w:u w:val="none"/>
                <w:lang w:val="en-US" w:eastAsia="zh-CN" w:bidi="ar"/>
              </w:rPr>
              <w:t>7</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color w:val="auto"/>
                <w:sz w:val="21"/>
                <w:szCs w:val="21"/>
              </w:rPr>
              <w:t>耗氧量</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sz w:val="21"/>
                <w:szCs w:val="21"/>
                <w:lang w:val="en-US" w:eastAsia="zh-CN"/>
              </w:rPr>
              <w:t>2.84</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2.32</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2.54</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i w:val="0"/>
                <w:color w:val="auto"/>
                <w:kern w:val="0"/>
                <w:sz w:val="21"/>
                <w:szCs w:val="21"/>
                <w:u w:val="none"/>
                <w:lang w:val="en-US" w:eastAsia="zh-CN" w:bidi="ar"/>
              </w:rPr>
              <w:t>8</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color w:val="auto"/>
                <w:sz w:val="21"/>
                <w:szCs w:val="21"/>
              </w:rPr>
              <w:t>氨氮</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0.251</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0.120</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color w:val="auto"/>
                <w:sz w:val="21"/>
                <w:szCs w:val="21"/>
                <w:lang w:val="en-US" w:eastAsia="zh-CN"/>
              </w:rPr>
            </w:pPr>
            <w:r>
              <w:rPr>
                <w:rFonts w:hint="eastAsia" w:eastAsia="宋体" w:cs="Times New Roman"/>
                <w:color w:val="auto"/>
                <w:sz w:val="21"/>
                <w:szCs w:val="21"/>
                <w:lang w:val="en-US" w:eastAsia="zh-CN"/>
              </w:rPr>
              <w:t>0.145</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i w:val="0"/>
                <w:color w:val="auto"/>
                <w:kern w:val="0"/>
                <w:sz w:val="21"/>
                <w:szCs w:val="21"/>
                <w:u w:val="none"/>
                <w:lang w:val="en-US" w:eastAsia="zh-CN" w:bidi="ar"/>
              </w:rPr>
              <w:t>9</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六</w:t>
            </w:r>
            <w:r>
              <w:rPr>
                <w:rFonts w:hint="default" w:ascii="Times New Roman" w:hAnsi="Times New Roman"/>
                <w:color w:val="auto"/>
                <w:sz w:val="21"/>
                <w:szCs w:val="21"/>
              </w:rPr>
              <w:t>价铬</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color w:val="auto"/>
                <w:kern w:val="0"/>
                <w:sz w:val="21"/>
                <w:szCs w:val="21"/>
                <w:u w:val="none"/>
                <w:lang w:val="en-US" w:eastAsia="zh-CN" w:bidi="ar"/>
              </w:rPr>
              <w:t>0.004L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0.004L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0.004L</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rPr>
            </w:pPr>
            <w:r>
              <w:rPr>
                <w:rFonts w:hint="eastAsia" w:eastAsia="宋体" w:cs="Times New Roman"/>
                <w:i w:val="0"/>
                <w:color w:val="auto"/>
                <w:kern w:val="0"/>
                <w:sz w:val="21"/>
                <w:szCs w:val="21"/>
                <w:u w:val="none"/>
                <w:lang w:val="en-US" w:eastAsia="zh-CN" w:bidi="ar"/>
              </w:rPr>
              <w:t>10</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color w:val="auto"/>
                <w:sz w:val="21"/>
                <w:szCs w:val="21"/>
              </w:rPr>
              <w:t>总硬度</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425</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color w:val="auto"/>
                <w:sz w:val="21"/>
                <w:szCs w:val="21"/>
                <w:lang w:val="en-US" w:eastAsia="zh-CN"/>
              </w:rPr>
              <w:t>573</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color w:val="auto"/>
                <w:sz w:val="21"/>
                <w:szCs w:val="21"/>
                <w:lang w:val="en-US" w:eastAsia="zh-CN"/>
              </w:rPr>
            </w:pPr>
            <w:r>
              <w:rPr>
                <w:rFonts w:hint="eastAsia" w:eastAsia="宋体" w:cs="Times New Roman"/>
                <w:color w:val="auto"/>
                <w:sz w:val="21"/>
                <w:szCs w:val="21"/>
                <w:lang w:val="en-US" w:eastAsia="zh-CN"/>
              </w:rPr>
              <w:t>712</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rPr>
            </w:pPr>
            <w:r>
              <w:rPr>
                <w:rFonts w:hint="eastAsia" w:eastAsia="宋体" w:cs="Times New Roman"/>
                <w:i w:val="0"/>
                <w:color w:val="auto"/>
                <w:kern w:val="0"/>
                <w:sz w:val="21"/>
                <w:szCs w:val="21"/>
                <w:u w:val="none"/>
                <w:lang w:val="en-US" w:eastAsia="zh-CN" w:bidi="ar"/>
              </w:rPr>
              <w:t>11</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rPr>
            </w:pPr>
            <w:r>
              <w:rPr>
                <w:rFonts w:hint="default" w:ascii="Times New Roman" w:hAnsi="Times New Roman"/>
                <w:color w:val="auto"/>
                <w:sz w:val="21"/>
                <w:szCs w:val="21"/>
              </w:rPr>
              <w:t>砷</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color w:val="auto"/>
                <w:kern w:val="0"/>
                <w:sz w:val="21"/>
                <w:szCs w:val="21"/>
                <w:u w:val="none"/>
                <w:lang w:val="en-US" w:eastAsia="zh-CN" w:bidi="ar"/>
              </w:rPr>
              <w:t>0.0003L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0.0003L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0.0003L</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rPr>
            </w:pPr>
            <w:r>
              <w:rPr>
                <w:rFonts w:hint="eastAsia" w:eastAsia="宋体" w:cs="Times New Roman"/>
                <w:i w:val="0"/>
                <w:color w:val="auto"/>
                <w:kern w:val="0"/>
                <w:sz w:val="21"/>
                <w:szCs w:val="21"/>
                <w:u w:val="none"/>
                <w:lang w:val="en-US" w:eastAsia="zh-CN" w:bidi="ar"/>
              </w:rPr>
              <w:t>12</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rPr>
            </w:pPr>
            <w:r>
              <w:rPr>
                <w:rFonts w:hint="default" w:ascii="Times New Roman" w:hAnsi="Times New Roman"/>
                <w:color w:val="auto"/>
                <w:sz w:val="21"/>
                <w:szCs w:val="21"/>
              </w:rPr>
              <w:t>汞</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color w:val="auto"/>
                <w:kern w:val="0"/>
                <w:sz w:val="21"/>
                <w:szCs w:val="21"/>
                <w:u w:val="none"/>
                <w:lang w:val="en-US" w:eastAsia="zh-CN" w:bidi="ar"/>
              </w:rPr>
              <w:t>0.00004L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0.00004L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0.00004L</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rPr>
            </w:pPr>
            <w:r>
              <w:rPr>
                <w:rFonts w:hint="eastAsia" w:eastAsia="宋体" w:cs="Times New Roman"/>
                <w:i w:val="0"/>
                <w:color w:val="auto"/>
                <w:kern w:val="0"/>
                <w:sz w:val="21"/>
                <w:szCs w:val="21"/>
                <w:u w:val="none"/>
                <w:lang w:val="en-US" w:eastAsia="zh-CN" w:bidi="ar"/>
              </w:rPr>
              <w:t>13</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rPr>
            </w:pPr>
            <w:r>
              <w:rPr>
                <w:rFonts w:hint="default" w:ascii="Times New Roman" w:hAnsi="Times New Roman"/>
                <w:color w:val="auto"/>
                <w:sz w:val="21"/>
                <w:szCs w:val="21"/>
              </w:rPr>
              <w:t>铅</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color w:val="auto"/>
                <w:kern w:val="0"/>
                <w:sz w:val="21"/>
                <w:szCs w:val="21"/>
                <w:u w:val="none"/>
                <w:lang w:val="en-US" w:eastAsia="zh-CN" w:bidi="ar"/>
              </w:rPr>
              <w:t>0.001L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0.001L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0.001L</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rPr>
            </w:pPr>
            <w:r>
              <w:rPr>
                <w:rFonts w:hint="eastAsia" w:eastAsia="宋体" w:cs="Times New Roman"/>
                <w:i w:val="0"/>
                <w:color w:val="auto"/>
                <w:kern w:val="0"/>
                <w:sz w:val="21"/>
                <w:szCs w:val="21"/>
                <w:u w:val="none"/>
                <w:lang w:val="en-US" w:eastAsia="zh-CN" w:bidi="ar"/>
              </w:rPr>
              <w:t>14</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rPr>
              <w:t>镉</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0.0001L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0.0001L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0.0001L</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≤0.005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rPr>
            </w:pPr>
            <w:r>
              <w:rPr>
                <w:rFonts w:hint="eastAsia" w:eastAsia="宋体" w:cs="Times New Roman"/>
                <w:i w:val="0"/>
                <w:color w:val="auto"/>
                <w:kern w:val="0"/>
                <w:sz w:val="21"/>
                <w:szCs w:val="21"/>
                <w:u w:val="none"/>
                <w:lang w:val="en-US" w:eastAsia="zh-CN" w:bidi="ar"/>
              </w:rPr>
              <w:t>15</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rPr>
              <w:t>铁</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0.03</w:t>
            </w:r>
            <w:r>
              <w:rPr>
                <w:rFonts w:hint="eastAsia" w:eastAsia="宋体" w:cs="Times New Roman"/>
                <w:i w:val="0"/>
                <w:color w:val="auto"/>
                <w:kern w:val="0"/>
                <w:sz w:val="21"/>
                <w:szCs w:val="21"/>
                <w:u w:val="none"/>
                <w:lang w:val="en-US" w:eastAsia="zh-CN" w:bidi="ar"/>
              </w:rPr>
              <w:t>1</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0.03</w:t>
            </w:r>
            <w:r>
              <w:rPr>
                <w:rFonts w:hint="eastAsia" w:eastAsia="宋体" w:cs="Times New Roman"/>
                <w:i w:val="0"/>
                <w:color w:val="auto"/>
                <w:kern w:val="0"/>
                <w:sz w:val="21"/>
                <w:szCs w:val="21"/>
                <w:u w:val="none"/>
                <w:lang w:val="en-US" w:eastAsia="zh-CN" w:bidi="ar"/>
              </w:rPr>
              <w:t>1</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0.032</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≤0.3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16</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rPr>
              <w:t>锰</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0.01L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0.01L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0.01L</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≤0.10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17</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sz w:val="21"/>
                <w:szCs w:val="21"/>
                <w:highlight w:val="none"/>
                <w:lang w:eastAsia="zh-CN"/>
              </w:rPr>
              <w:t>无机阴离子</w:t>
            </w:r>
            <w:r>
              <w:rPr>
                <w:rFonts w:hint="default" w:ascii="Times New Roman" w:hAnsi="Times New Roman" w:eastAsia="宋体" w:cs="Times New Roman"/>
                <w:color w:val="auto"/>
                <w:sz w:val="21"/>
                <w:szCs w:val="21"/>
                <w:highlight w:val="none"/>
              </w:rPr>
              <w:t>Cl</w:t>
            </w:r>
            <w:r>
              <w:rPr>
                <w:rFonts w:hint="default" w:ascii="Times New Roman" w:hAnsi="Times New Roman" w:eastAsia="宋体" w:cs="Times New Roman"/>
                <w:color w:val="auto"/>
                <w:sz w:val="21"/>
                <w:szCs w:val="21"/>
                <w:highlight w:val="none"/>
                <w:vertAlign w:val="superscript"/>
              </w:rPr>
              <w:t>-</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139</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131</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241</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18</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color w:val="auto"/>
                <w:sz w:val="21"/>
                <w:szCs w:val="21"/>
                <w:highlight w:val="none"/>
                <w:lang w:eastAsia="zh-CN"/>
              </w:rPr>
              <w:t>无机阴离子</w:t>
            </w: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2-</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color w:val="auto"/>
                <w:sz w:val="21"/>
                <w:szCs w:val="21"/>
                <w:highlight w:val="none"/>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115</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283</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345</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19</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kern w:val="2"/>
                <w:sz w:val="21"/>
                <w:szCs w:val="21"/>
                <w:lang w:val="en-US" w:eastAsia="zh-CN" w:bidi="ar-SA"/>
              </w:rPr>
              <w:t>氟化物</w:t>
            </w:r>
          </w:p>
        </w:tc>
        <w:tc>
          <w:tcPr>
            <w:tcW w:w="7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0.78</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0.69</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0.85</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20</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可溶性阳离子</w:t>
            </w:r>
            <w:r>
              <w:rPr>
                <w:rFonts w:hint="default" w:ascii="Times New Roman" w:hAnsi="Times New Roman" w:eastAsia="宋体" w:cs="Times New Roman"/>
                <w:color w:val="auto"/>
                <w:sz w:val="21"/>
                <w:szCs w:val="21"/>
              </w:rPr>
              <w:t>K</w:t>
            </w:r>
            <w:r>
              <w:rPr>
                <w:rFonts w:hint="default" w:ascii="Times New Roman" w:hAnsi="Times New Roman" w:eastAsia="宋体" w:cs="Times New Roman"/>
                <w:color w:val="auto"/>
                <w:sz w:val="21"/>
                <w:szCs w:val="21"/>
                <w:vertAlign w:val="superscript"/>
              </w:rPr>
              <w:t>+</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8.85</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12.7</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9.87</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21</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可溶性阳离子</w:t>
            </w:r>
            <w:r>
              <w:rPr>
                <w:rFonts w:hint="default" w:ascii="Times New Roman" w:hAnsi="Times New Roman" w:eastAsia="宋体" w:cs="Times New Roman"/>
                <w:color w:val="auto"/>
                <w:sz w:val="21"/>
                <w:szCs w:val="21"/>
              </w:rPr>
              <w:t>Na</w:t>
            </w:r>
            <w:r>
              <w:rPr>
                <w:rFonts w:hint="default" w:ascii="Times New Roman" w:hAnsi="Times New Roman" w:eastAsia="宋体" w:cs="Times New Roman"/>
                <w:color w:val="auto"/>
                <w:sz w:val="21"/>
                <w:szCs w:val="21"/>
                <w:vertAlign w:val="superscript"/>
              </w:rPr>
              <w:t>+</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98.4</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121</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175</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22</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可溶性阳离子</w:t>
            </w:r>
            <w:r>
              <w:rPr>
                <w:rFonts w:hint="default" w:ascii="Times New Roman" w:hAnsi="Times New Roman" w:eastAsia="宋体" w:cs="Times New Roman"/>
                <w:color w:val="auto"/>
                <w:sz w:val="21"/>
                <w:szCs w:val="21"/>
              </w:rPr>
              <w:t>Ca</w:t>
            </w:r>
            <w:r>
              <w:rPr>
                <w:rFonts w:hint="default" w:ascii="Times New Roman" w:hAnsi="Times New Roman" w:eastAsia="宋体" w:cs="Times New Roman"/>
                <w:color w:val="auto"/>
                <w:sz w:val="21"/>
                <w:szCs w:val="21"/>
                <w:vertAlign w:val="superscript"/>
              </w:rPr>
              <w:t>2+</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88.6</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color w:val="auto"/>
                <w:sz w:val="21"/>
                <w:szCs w:val="21"/>
                <w:lang w:val="en-US" w:eastAsia="zh-CN"/>
              </w:rPr>
            </w:pPr>
            <w:r>
              <w:rPr>
                <w:rFonts w:hint="eastAsia" w:ascii="Times New Roman" w:hAnsi="Times New Roman" w:eastAsia="宋体" w:cs="Times New Roman"/>
                <w:i w:val="0"/>
                <w:color w:val="auto"/>
                <w:kern w:val="0"/>
                <w:sz w:val="21"/>
                <w:szCs w:val="21"/>
                <w:u w:val="none"/>
                <w:lang w:val="en-US" w:eastAsia="zh-CN" w:bidi="ar"/>
              </w:rPr>
              <w:t>98.2</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145</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23</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可溶性阳离子</w:t>
            </w:r>
            <w:r>
              <w:rPr>
                <w:rFonts w:hint="default" w:ascii="Times New Roman" w:hAnsi="Times New Roman" w:eastAsia="宋体" w:cs="Times New Roman"/>
                <w:color w:val="auto"/>
                <w:sz w:val="21"/>
                <w:szCs w:val="21"/>
              </w:rPr>
              <w:t>Mg</w:t>
            </w:r>
            <w:r>
              <w:rPr>
                <w:rFonts w:hint="default" w:ascii="Times New Roman" w:hAnsi="Times New Roman" w:eastAsia="宋体" w:cs="Times New Roman"/>
                <w:color w:val="auto"/>
                <w:sz w:val="21"/>
                <w:szCs w:val="21"/>
                <w:vertAlign w:val="superscript"/>
              </w:rPr>
              <w:t>2+</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45.8</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75.4</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79.1</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24</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碳酸盐</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0</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0</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0</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25</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重碳酸盐</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297</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314</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329</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26</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lang w:eastAsia="zh-CN"/>
              </w:rPr>
              <w:t>氯化物</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128</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125</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221</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250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i w:val="0"/>
                <w:color w:val="auto"/>
                <w:kern w:val="0"/>
                <w:sz w:val="21"/>
                <w:szCs w:val="21"/>
                <w:u w:val="none"/>
                <w:lang w:val="en-US" w:eastAsia="zh-CN" w:bidi="ar"/>
              </w:rPr>
              <w:t>27</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lang w:eastAsia="zh-CN"/>
              </w:rPr>
              <w:t>硫酸盐</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97.9</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268</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319</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250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28</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rPr>
              <w:t>总大肠菌群数</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eastAsia="宋体" w:cs="Times New Roman"/>
                <w:color w:val="auto"/>
                <w:sz w:val="21"/>
                <w:szCs w:val="21"/>
                <w:lang w:val="en-US" w:eastAsia="zh-CN"/>
              </w:rPr>
              <w:t>MPN</w:t>
            </w:r>
            <w:r>
              <w:rPr>
                <w:rFonts w:hint="default" w:ascii="Times New Roman" w:hAnsi="Times New Roman" w:eastAsia="宋体" w:cs="Times New Roman"/>
                <w:color w:val="auto"/>
                <w:sz w:val="21"/>
                <w:szCs w:val="21"/>
              </w:rPr>
              <w:t>/</w:t>
            </w:r>
          </w:p>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100mL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2</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2</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2</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29</w:t>
            </w:r>
          </w:p>
        </w:tc>
        <w:tc>
          <w:tcPr>
            <w:tcW w:w="2182"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rPr>
              <w:t>细菌总数</w:t>
            </w:r>
          </w:p>
        </w:tc>
        <w:tc>
          <w:tcPr>
            <w:tcW w:w="750" w:type="dxa"/>
            <w:tcBorders>
              <w:top w:val="single" w:color="auto" w:sz="4" w:space="0"/>
              <w:left w:val="single" w:color="auto" w:sz="4" w:space="0"/>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CFU/</w:t>
            </w:r>
          </w:p>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mL</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35</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30</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41</w:t>
            </w:r>
          </w:p>
        </w:tc>
        <w:tc>
          <w:tcPr>
            <w:tcW w:w="920" w:type="dxa"/>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660" w:type="dxa"/>
            <w:tcBorders>
              <w:top w:val="single" w:color="auto" w:sz="4" w:space="0"/>
              <w:left w:val="nil"/>
              <w:bottom w:val="single" w:color="auto" w:sz="4" w:space="0"/>
              <w:right w:val="single" w:color="auto" w:sz="4" w:space="0"/>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c>
          <w:tcPr>
            <w:tcW w:w="9222" w:type="dxa"/>
            <w:gridSpan w:val="6"/>
            <w:tcBorders>
              <w:top w:val="single" w:color="auto" w:sz="4" w:space="0"/>
              <w:left w:val="single" w:color="auto" w:sz="4" w:space="0"/>
              <w:bottom w:val="single" w:color="auto" w:sz="4" w:space="0"/>
              <w:right w:val="nil"/>
            </w:tcBorders>
            <w:noWrap w:val="0"/>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①执行《地下水质量标准》（GB/T14848-2017）Ⅲ类标准；</w:t>
            </w:r>
          </w:p>
          <w:p>
            <w:pPr>
              <w:pStyle w:val="137"/>
              <w:keepNext w:val="0"/>
              <w:keepLines w:val="0"/>
              <w:pageBreakBefore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②“L”表示未检出或低于检出限</w:t>
            </w:r>
            <w:r>
              <w:rPr>
                <w:rFonts w:hint="eastAsia" w:eastAsia="宋体" w:cs="Times New Roman"/>
                <w:color w:val="auto"/>
                <w:sz w:val="21"/>
                <w:szCs w:val="21"/>
                <w:lang w:eastAsia="zh-CN"/>
              </w:rPr>
              <w:t>，检出限详见分析方法一览表</w:t>
            </w:r>
            <w:r>
              <w:rPr>
                <w:rFonts w:hint="default" w:ascii="Times New Roman" w:hAnsi="Times New Roman" w:eastAsia="宋体" w:cs="Times New Roman"/>
                <w:color w:val="auto"/>
                <w:sz w:val="21"/>
                <w:szCs w:val="21"/>
              </w:rPr>
              <w:t>；执行标准由委托方提供；</w:t>
            </w:r>
          </w:p>
        </w:tc>
      </w:tr>
    </w:tbl>
    <w:p>
      <w:pPr>
        <w:keepNext w:val="0"/>
        <w:keepLines w:val="0"/>
        <w:pageBreakBefore w:val="0"/>
        <w:widowControl w:val="0"/>
        <w:kinsoku/>
        <w:wordWrap/>
        <w:overflowPunct/>
        <w:topLinePunct/>
        <w:autoSpaceDE w:val="0"/>
        <w:autoSpaceDN/>
        <w:bidi w:val="0"/>
        <w:adjustRightInd/>
        <w:snapToGrid/>
        <w:ind w:firstLine="480" w:firstLineChars="200"/>
        <w:textAlignment w:val="auto"/>
        <w:rPr>
          <w:rFonts w:hint="default" w:ascii="Times New Roman" w:hAnsi="Times New Roman" w:eastAsia="宋体" w:cs="Times New Roman"/>
          <w:color w:val="auto"/>
        </w:rPr>
      </w:pPr>
      <w:bookmarkStart w:id="284" w:name="_Toc346129694"/>
      <w:bookmarkStart w:id="285" w:name="_Toc491351852"/>
      <w:bookmarkStart w:id="286" w:name="_Toc386049607"/>
      <w:bookmarkStart w:id="287" w:name="_Toc346615961"/>
      <w:bookmarkStart w:id="288" w:name="_Toc491351713"/>
      <w:bookmarkStart w:id="289" w:name="_Toc346129905"/>
      <w:bookmarkStart w:id="290" w:name="_Toc439163213"/>
      <w:bookmarkStart w:id="291" w:name="_Toc436308537"/>
      <w:bookmarkStart w:id="292" w:name="_Toc439163836"/>
      <w:r>
        <w:rPr>
          <w:rFonts w:hint="default" w:ascii="Times New Roman" w:hAnsi="Times New Roman" w:eastAsia="宋体" w:cs="Times New Roman"/>
          <w:color w:val="auto"/>
        </w:rPr>
        <w:t>6、现状评价</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（1）评价标准</w:t>
      </w:r>
      <w:bookmarkEnd w:id="284"/>
      <w:bookmarkEnd w:id="285"/>
      <w:bookmarkEnd w:id="286"/>
      <w:bookmarkEnd w:id="287"/>
      <w:bookmarkEnd w:id="288"/>
      <w:bookmarkEnd w:id="289"/>
      <w:bookmarkEnd w:id="290"/>
      <w:bookmarkEnd w:id="291"/>
      <w:bookmarkEnd w:id="292"/>
    </w:p>
    <w:p>
      <w:pPr>
        <w:ind w:firstLine="480"/>
        <w:rPr>
          <w:rFonts w:hint="default" w:ascii="Times New Roman" w:hAnsi="Times New Roman" w:eastAsia="宋体" w:cs="Times New Roman"/>
          <w:color w:val="auto"/>
        </w:rPr>
      </w:pPr>
      <w:bookmarkStart w:id="293" w:name="_Ref432775268"/>
      <w:r>
        <w:rPr>
          <w:rFonts w:hint="default" w:ascii="Times New Roman" w:hAnsi="Times New Roman" w:eastAsia="宋体" w:cs="Times New Roman"/>
          <w:color w:val="auto"/>
        </w:rPr>
        <w:t>本次地下水水质现状评价，检测项目均执行《地下水环境质量标准》（GB/T14848－2017）的III类标准。</w:t>
      </w:r>
      <w:bookmarkEnd w:id="29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（2）评价方法</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采用单因子标准指数法进行评价。当水质参数的标准指数大于1时，表明该水质参数超过了规定的水质标准，已经不能满足相应的使用要求。标准指数值越大，超标越严重。标准指数计算公式分为以下两种情况：</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1）对于评价标准为定值的水质因子，其标准指数计算公式如下：</w:t>
      </w:r>
    </w:p>
    <w:p>
      <w:pPr>
        <w:ind w:firstLine="480"/>
        <w:rPr>
          <w:rFonts w:hint="default" w:ascii="Times New Roman" w:hAnsi="Times New Roman" w:eastAsia="宋体" w:cs="Times New Roman"/>
          <w:color w:val="auto"/>
        </w:rPr>
      </w:pPr>
    </w:p>
    <w:p>
      <w:pPr>
        <w:spacing w:line="360" w:lineRule="auto"/>
        <w:ind w:firstLine="0" w:firstLineChars="0"/>
        <w:rPr>
          <w:rFonts w:hint="default" w:ascii="Times New Roman" w:hAnsi="Times New Roman" w:eastAsia="宋体" w:cs="Times New Roman"/>
          <w:color w:val="auto"/>
        </w:rPr>
      </w:pPr>
      <m:oMathPara>
        <m:oMathParaPr>
          <m:jc m:val="center"/>
        </m:oMathPara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i</m:t>
              </m:r>
              <m:ctrlPr>
                <w:rPr>
                  <w:rFonts w:hint="default" w:ascii="Cambria Math" w:hAnsi="Cambria Math" w:eastAsia="宋体" w:cs="Times New Roman"/>
                  <w:i/>
                  <w:color w:val="auto"/>
                  <w:szCs w:val="30"/>
                </w:rPr>
              </m:ctrlPr>
            </m:sub>
          </m:sSub>
          <m:r>
            <w:rPr>
              <w:rFonts w:hint="default" w:ascii="Cambria Math" w:hAnsi="Cambria Math" w:eastAsia="宋体" w:cs="Times New Roman"/>
              <w:color w:val="auto"/>
            </w:rPr>
            <m:t>=</m:t>
          </m:r>
          <m:f>
            <m:fPr>
              <m:ctrlPr>
                <w:rPr>
                  <w:rFonts w:hint="default" w:ascii="Cambria Math" w:hAnsi="Cambria Math" w:eastAsia="宋体" w:cs="Times New Roman"/>
                  <w:i/>
                  <w:color w:val="auto"/>
                  <w:szCs w:val="30"/>
                </w:rPr>
              </m:ctrlPr>
            </m:fPr>
            <m:num>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C</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i</m:t>
                  </m:r>
                  <m:ctrlPr>
                    <w:rPr>
                      <w:rFonts w:hint="default" w:ascii="Cambria Math" w:hAnsi="Cambria Math" w:eastAsia="宋体" w:cs="Times New Roman"/>
                      <w:i/>
                      <w:color w:val="auto"/>
                      <w:szCs w:val="30"/>
                    </w:rPr>
                  </m:ctrlPr>
                </m:sub>
              </m:sSub>
              <m:ctrlPr>
                <w:rPr>
                  <w:rFonts w:hint="default" w:ascii="Cambria Math" w:hAnsi="Cambria Math" w:eastAsia="宋体" w:cs="Times New Roman"/>
                  <w:i/>
                  <w:color w:val="auto"/>
                  <w:szCs w:val="30"/>
                </w:rPr>
              </m:ctrlPr>
            </m:num>
            <m:den>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C</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si</m:t>
                  </m:r>
                  <m:ctrlPr>
                    <w:rPr>
                      <w:rFonts w:hint="default" w:ascii="Cambria Math" w:hAnsi="Cambria Math" w:eastAsia="宋体" w:cs="Times New Roman"/>
                      <w:i/>
                      <w:color w:val="auto"/>
                      <w:szCs w:val="30"/>
                    </w:rPr>
                  </m:ctrlPr>
                </m:sub>
              </m:sSub>
              <m:ctrlPr>
                <w:rPr>
                  <w:rFonts w:hint="default" w:ascii="Cambria Math" w:hAnsi="Cambria Math" w:eastAsia="宋体" w:cs="Times New Roman"/>
                  <w:i/>
                  <w:color w:val="auto"/>
                  <w:szCs w:val="30"/>
                </w:rPr>
              </m:ctrlPr>
            </m:den>
          </m:f>
        </m:oMath>
      </m:oMathPara>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i</m:t>
            </m:r>
            <m:ctrlPr>
              <w:rPr>
                <w:rFonts w:hint="default" w:ascii="Cambria Math" w:hAnsi="Cambria Math" w:eastAsia="宋体" w:cs="Times New Roman"/>
                <w:i/>
                <w:color w:val="auto"/>
                <w:szCs w:val="30"/>
              </w:rPr>
            </m:ctrlPr>
          </m:sub>
        </m:sSub>
      </m:oMath>
      <w:r>
        <w:rPr>
          <w:rFonts w:hint="default" w:ascii="Times New Roman" w:hAnsi="Times New Roman" w:eastAsia="宋体" w:cs="Times New Roman"/>
          <w:color w:val="auto"/>
        </w:rPr>
        <w:t>—第i个水质因子的标准指数，量纲为1；</w:t>
      </w:r>
    </w:p>
    <w:p>
      <w:pPr>
        <w:ind w:firstLine="480"/>
        <w:rPr>
          <w:rFonts w:hint="default" w:ascii="Times New Roman" w:hAnsi="Times New Roman" w:eastAsia="宋体" w:cs="Times New Roman"/>
          <w:color w:val="auto"/>
        </w:rPr>
      </w:p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C</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i</m:t>
            </m:r>
            <m:ctrlPr>
              <w:rPr>
                <w:rFonts w:hint="default" w:ascii="Cambria Math" w:hAnsi="Cambria Math" w:eastAsia="宋体" w:cs="Times New Roman"/>
                <w:i/>
                <w:color w:val="auto"/>
                <w:szCs w:val="30"/>
              </w:rPr>
            </m:ctrlPr>
          </m:sub>
        </m:sSub>
      </m:oMath>
      <w:r>
        <w:rPr>
          <w:rFonts w:hint="default" w:ascii="Times New Roman" w:hAnsi="Times New Roman" w:eastAsia="宋体" w:cs="Times New Roman"/>
          <w:color w:val="auto"/>
        </w:rPr>
        <w:t>—第i个水质因子的监测浓度值，mg/L；</w:t>
      </w:r>
    </w:p>
    <w:p>
      <w:pPr>
        <w:ind w:firstLine="480"/>
        <w:rPr>
          <w:rFonts w:hint="default" w:ascii="Times New Roman" w:hAnsi="Times New Roman" w:eastAsia="宋体" w:cs="Times New Roman"/>
          <w:color w:val="auto"/>
        </w:rPr>
      </w:p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C</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si</m:t>
            </m:r>
            <m:ctrlPr>
              <w:rPr>
                <w:rFonts w:hint="default" w:ascii="Cambria Math" w:hAnsi="Cambria Math" w:eastAsia="宋体" w:cs="Times New Roman"/>
                <w:i/>
                <w:color w:val="auto"/>
                <w:szCs w:val="30"/>
              </w:rPr>
            </m:ctrlPr>
          </m:sub>
        </m:sSub>
      </m:oMath>
      <w:r>
        <w:rPr>
          <w:rFonts w:hint="default" w:ascii="Times New Roman" w:hAnsi="Times New Roman" w:eastAsia="宋体" w:cs="Times New Roman"/>
          <w:color w:val="auto"/>
        </w:rPr>
        <w:t>—第i个水质因子的标准浓度值，mg/L。</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2）对于评价标准为区间值的水质因子（如pH值），其标准指数计算公式如下：</w:t>
      </w:r>
    </w:p>
    <w:p>
      <w:pPr>
        <w:ind w:firstLine="480"/>
        <w:rPr>
          <w:rFonts w:hint="default" w:ascii="Times New Roman" w:hAnsi="Times New Roman" w:eastAsia="宋体" w:cs="Times New Roman"/>
          <w:color w:val="auto"/>
        </w:rPr>
      </w:pPr>
    </w:p>
    <w:p>
      <w:pPr>
        <w:spacing w:line="360" w:lineRule="auto"/>
        <w:ind w:firstLine="0" w:firstLineChars="0"/>
        <w:rPr>
          <w:rFonts w:hint="default" w:ascii="Times New Roman" w:hAnsi="Times New Roman" w:eastAsia="宋体" w:cs="Times New Roman"/>
          <w:color w:val="auto"/>
        </w:rPr>
      </w:pPr>
      <m:oMathPara>
        <m:oMathParaPr>
          <m:jc m:val="center"/>
        </m:oMathPara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pH</m:t>
              </m:r>
              <m:ctrlPr>
                <w:rPr>
                  <w:rFonts w:hint="default" w:ascii="Cambria Math" w:hAnsi="Cambria Math" w:eastAsia="宋体" w:cs="Times New Roman"/>
                  <w:i/>
                  <w:color w:val="auto"/>
                  <w:szCs w:val="30"/>
                </w:rPr>
              </m:ctrlPr>
            </m:sub>
          </m:sSub>
          <m:r>
            <w:rPr>
              <w:rFonts w:hint="default" w:ascii="Cambria Math" w:hAnsi="Cambria Math" w:eastAsia="宋体" w:cs="Times New Roman"/>
              <w:color w:val="auto"/>
            </w:rPr>
            <m:t>=</m:t>
          </m:r>
          <m:f>
            <m:fPr>
              <m:ctrlPr>
                <w:rPr>
                  <w:rFonts w:hint="default" w:ascii="Cambria Math" w:hAnsi="Cambria Math" w:eastAsia="宋体" w:cs="Times New Roman"/>
                  <w:i/>
                  <w:color w:val="auto"/>
                  <w:szCs w:val="30"/>
                </w:rPr>
              </m:ctrlPr>
            </m:fPr>
            <m:num>
              <m:r>
                <w:rPr>
                  <w:rFonts w:hint="default" w:ascii="Cambria Math" w:hAnsi="Cambria Math" w:eastAsia="宋体" w:cs="Times New Roman"/>
                  <w:color w:val="auto"/>
                </w:rPr>
                <m:t>7.0−pH</m:t>
              </m:r>
              <m:ctrlPr>
                <w:rPr>
                  <w:rFonts w:hint="default" w:ascii="Cambria Math" w:hAnsi="Cambria Math" w:eastAsia="宋体" w:cs="Times New Roman"/>
                  <w:i/>
                  <w:color w:val="auto"/>
                  <w:szCs w:val="30"/>
                </w:rPr>
              </m:ctrlPr>
            </m:num>
            <m:den>
              <m:r>
                <w:rPr>
                  <w:rFonts w:hint="default" w:ascii="Cambria Math" w:hAnsi="Cambria Math" w:eastAsia="宋体" w:cs="Times New Roman"/>
                  <w:color w:val="auto"/>
                </w:rPr>
                <m:t>7.0−</m:t>
              </m:r>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pH</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sd</m:t>
                  </m:r>
                  <m:ctrlPr>
                    <w:rPr>
                      <w:rFonts w:hint="default" w:ascii="Cambria Math" w:hAnsi="Cambria Math" w:eastAsia="宋体" w:cs="Times New Roman"/>
                      <w:i/>
                      <w:color w:val="auto"/>
                      <w:szCs w:val="30"/>
                    </w:rPr>
                  </m:ctrlPr>
                </m:sub>
              </m:sSub>
              <m:ctrlPr>
                <w:rPr>
                  <w:rFonts w:hint="default" w:ascii="Cambria Math" w:hAnsi="Cambria Math" w:eastAsia="宋体" w:cs="Times New Roman"/>
                  <w:i/>
                  <w:color w:val="auto"/>
                  <w:szCs w:val="30"/>
                </w:rPr>
              </m:ctrlPr>
            </m:den>
          </m:f>
          <m:r>
            <w:rPr>
              <w:rFonts w:hint="default" w:ascii="Cambria Math" w:hAnsi="Cambria Math" w:eastAsia="宋体" w:cs="Times New Roman"/>
              <w:color w:val="auto"/>
            </w:rPr>
            <m:t xml:space="preserve"> pH</m:t>
          </m:r>
          <m:r>
            <m:rPr>
              <m:sty m:val="p"/>
            </m:rPr>
            <w:rPr>
              <w:rFonts w:hint="default" w:ascii="Cambria Math" w:hAnsi="Cambria Math" w:eastAsia="宋体" w:cs="Times New Roman"/>
              <w:color w:val="auto"/>
            </w:rPr>
            <m:t>≤7时</m:t>
          </m:r>
        </m:oMath>
      </m:oMathPara>
    </w:p>
    <w:p>
      <w:pPr>
        <w:spacing w:line="360" w:lineRule="auto"/>
        <w:ind w:firstLine="0" w:firstLineChars="0"/>
        <w:rPr>
          <w:rFonts w:hint="default" w:ascii="Times New Roman" w:hAnsi="Times New Roman" w:eastAsia="宋体" w:cs="Times New Roman"/>
          <w:color w:val="auto"/>
        </w:rPr>
      </w:pPr>
      <m:oMathPara>
        <m:oMathParaPr>
          <m:jc m:val="center"/>
        </m:oMathPara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pH</m:t>
              </m:r>
              <m:ctrlPr>
                <w:rPr>
                  <w:rFonts w:hint="default" w:ascii="Cambria Math" w:hAnsi="Cambria Math" w:eastAsia="宋体" w:cs="Times New Roman"/>
                  <w:i/>
                  <w:color w:val="auto"/>
                  <w:szCs w:val="30"/>
                </w:rPr>
              </m:ctrlPr>
            </m:sub>
          </m:sSub>
          <m:r>
            <w:rPr>
              <w:rFonts w:hint="default" w:ascii="Cambria Math" w:hAnsi="Cambria Math" w:eastAsia="宋体" w:cs="Times New Roman"/>
              <w:color w:val="auto"/>
            </w:rPr>
            <m:t>=</m:t>
          </m:r>
          <m:f>
            <m:fPr>
              <m:ctrlPr>
                <w:rPr>
                  <w:rFonts w:hint="default" w:ascii="Cambria Math" w:hAnsi="Cambria Math" w:eastAsia="宋体" w:cs="Times New Roman"/>
                  <w:i/>
                  <w:color w:val="auto"/>
                  <w:szCs w:val="30"/>
                </w:rPr>
              </m:ctrlPr>
            </m:fPr>
            <m:num>
              <m:r>
                <w:rPr>
                  <w:rFonts w:hint="default" w:ascii="Cambria Math" w:hAnsi="Cambria Math" w:eastAsia="宋体" w:cs="Times New Roman"/>
                  <w:color w:val="auto"/>
                </w:rPr>
                <m:t>pH−</m:t>
              </m:r>
              <m:r>
                <m:rPr>
                  <m:sty m:val="p"/>
                </m:rPr>
                <w:rPr>
                  <w:rFonts w:hint="default" w:ascii="Cambria Math" w:hAnsi="Cambria Math" w:eastAsia="宋体" w:cs="Times New Roman"/>
                  <w:color w:val="auto"/>
                </w:rPr>
                <m:t>7.0</m:t>
              </m:r>
              <m:ctrlPr>
                <w:rPr>
                  <w:rFonts w:hint="default" w:ascii="Cambria Math" w:hAnsi="Cambria Math" w:eastAsia="宋体" w:cs="Times New Roman"/>
                  <w:i/>
                  <w:color w:val="auto"/>
                  <w:szCs w:val="30"/>
                </w:rPr>
              </m:ctrlPr>
            </m:num>
            <m:den>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pH</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su</m:t>
                  </m:r>
                  <m:ctrlPr>
                    <w:rPr>
                      <w:rFonts w:hint="default" w:ascii="Cambria Math" w:hAnsi="Cambria Math" w:eastAsia="宋体" w:cs="Times New Roman"/>
                      <w:i/>
                      <w:color w:val="auto"/>
                      <w:szCs w:val="30"/>
                    </w:rPr>
                  </m:ctrlPr>
                </m:sub>
              </m:sSub>
              <m:r>
                <w:rPr>
                  <w:rFonts w:hint="default" w:ascii="Cambria Math" w:hAnsi="Cambria Math" w:eastAsia="宋体" w:cs="Times New Roman"/>
                  <w:color w:val="auto"/>
                </w:rPr>
                <m:t>−</m:t>
              </m:r>
              <m:r>
                <m:rPr>
                  <m:sty m:val="p"/>
                </m:rPr>
                <w:rPr>
                  <w:rFonts w:hint="default" w:ascii="Cambria Math" w:hAnsi="Cambria Math" w:eastAsia="宋体" w:cs="Times New Roman"/>
                  <w:color w:val="auto"/>
                </w:rPr>
                <m:t>7.0</m:t>
              </m:r>
              <m:ctrlPr>
                <w:rPr>
                  <w:rFonts w:hint="default" w:ascii="Cambria Math" w:hAnsi="Cambria Math" w:eastAsia="宋体" w:cs="Times New Roman"/>
                  <w:i/>
                  <w:color w:val="auto"/>
                  <w:szCs w:val="30"/>
                </w:rPr>
              </m:ctrlPr>
            </m:den>
          </m:f>
          <m:r>
            <w:rPr>
              <w:rFonts w:hint="default" w:ascii="Cambria Math" w:hAnsi="Cambria Math" w:eastAsia="宋体" w:cs="Times New Roman"/>
              <w:color w:val="auto"/>
            </w:rPr>
            <m:t xml:space="preserve"> pH</m:t>
          </m:r>
          <m:r>
            <m:rPr>
              <m:sty m:val="p"/>
            </m:rPr>
            <w:rPr>
              <w:rFonts w:hint="default" w:ascii="Cambria Math" w:hAnsi="Cambria Math" w:eastAsia="宋体" w:cs="Times New Roman"/>
              <w:color w:val="auto"/>
            </w:rPr>
            <m:t>&gt;</m:t>
          </m:r>
          <m:r>
            <w:rPr>
              <w:rFonts w:hint="default" w:ascii="Cambria Math" w:hAnsi="Cambria Math" w:eastAsia="宋体" w:cs="Times New Roman"/>
              <w:color w:val="auto"/>
            </w:rPr>
            <m:t>7</m:t>
          </m:r>
          <m:r>
            <m:rPr>
              <m:sty m:val="p"/>
            </m:rPr>
            <w:rPr>
              <w:rFonts w:hint="default" w:ascii="Cambria Math" w:hAnsi="Cambria Math" w:eastAsia="宋体" w:cs="Times New Roman"/>
              <w:color w:val="auto"/>
            </w:rPr>
            <m:t>时</m:t>
          </m:r>
        </m:oMath>
      </m:oMathPara>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pH</m:t>
            </m:r>
            <m:ctrlPr>
              <w:rPr>
                <w:rFonts w:hint="default" w:ascii="Cambria Math" w:hAnsi="Cambria Math" w:eastAsia="宋体" w:cs="Times New Roman"/>
                <w:i/>
                <w:color w:val="auto"/>
                <w:szCs w:val="30"/>
              </w:rPr>
            </m:ctrlPr>
          </m:sub>
        </m:sSub>
      </m:oMath>
      <w:r>
        <w:rPr>
          <w:rFonts w:hint="default" w:ascii="Times New Roman" w:hAnsi="Times New Roman" w:eastAsia="宋体" w:cs="Times New Roman"/>
          <w:color w:val="auto"/>
        </w:rPr>
        <w:t>—pH的标准指数，无量纲；</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pH—pH监测值；</w:t>
      </w:r>
    </w:p>
    <w:p>
      <w:pPr>
        <w:ind w:firstLine="480"/>
        <w:rPr>
          <w:rFonts w:hint="default" w:ascii="Times New Roman" w:hAnsi="Times New Roman" w:eastAsia="宋体" w:cs="Times New Roman"/>
          <w:color w:val="auto"/>
        </w:rPr>
      </w:p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pH</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su</m:t>
            </m:r>
            <m:ctrlPr>
              <w:rPr>
                <w:rFonts w:hint="default" w:ascii="Cambria Math" w:hAnsi="Cambria Math" w:eastAsia="宋体" w:cs="Times New Roman"/>
                <w:i/>
                <w:color w:val="auto"/>
                <w:szCs w:val="30"/>
              </w:rPr>
            </m:ctrlPr>
          </m:sub>
        </m:sSub>
      </m:oMath>
      <w:r>
        <w:rPr>
          <w:rFonts w:hint="default" w:ascii="Times New Roman" w:hAnsi="Times New Roman" w:eastAsia="宋体" w:cs="Times New Roman"/>
          <w:color w:val="auto"/>
        </w:rPr>
        <w:t>—标准中pH的上限值；</w:t>
      </w:r>
    </w:p>
    <w:p>
      <w:pPr>
        <w:ind w:firstLine="480"/>
        <w:rPr>
          <w:rFonts w:hint="default" w:ascii="Times New Roman" w:hAnsi="Times New Roman" w:eastAsia="宋体" w:cs="Times New Roman"/>
          <w:color w:val="auto"/>
        </w:rPr>
      </w:pPr>
      <m:oMath>
        <m:sSub>
          <m:sSubPr>
            <m:ctrlPr>
              <w:rPr>
                <w:rFonts w:hint="default" w:ascii="Cambria Math" w:hAnsi="Cambria Math" w:eastAsia="宋体" w:cs="Times New Roman"/>
                <w:i/>
                <w:color w:val="auto"/>
                <w:szCs w:val="30"/>
              </w:rPr>
            </m:ctrlPr>
          </m:sSubPr>
          <m:e>
            <m:r>
              <w:rPr>
                <w:rFonts w:hint="default" w:ascii="Cambria Math" w:hAnsi="Cambria Math" w:eastAsia="宋体" w:cs="Times New Roman"/>
                <w:color w:val="auto"/>
              </w:rPr>
              <m:t>pH</m:t>
            </m:r>
            <m:ctrlPr>
              <w:rPr>
                <w:rFonts w:hint="default" w:ascii="Cambria Math" w:hAnsi="Cambria Math" w:eastAsia="宋体" w:cs="Times New Roman"/>
                <w:i/>
                <w:color w:val="auto"/>
                <w:szCs w:val="30"/>
              </w:rPr>
            </m:ctrlPr>
          </m:e>
          <m:sub>
            <m:r>
              <w:rPr>
                <w:rFonts w:hint="default" w:ascii="Cambria Math" w:hAnsi="Cambria Math" w:eastAsia="宋体" w:cs="Times New Roman"/>
                <w:color w:val="auto"/>
              </w:rPr>
              <m:t>sd</m:t>
            </m:r>
            <m:ctrlPr>
              <w:rPr>
                <w:rFonts w:hint="default" w:ascii="Cambria Math" w:hAnsi="Cambria Math" w:eastAsia="宋体" w:cs="Times New Roman"/>
                <w:i/>
                <w:color w:val="auto"/>
                <w:szCs w:val="30"/>
              </w:rPr>
            </m:ctrlPr>
          </m:sub>
        </m:sSub>
      </m:oMath>
      <w:r>
        <w:rPr>
          <w:rFonts w:hint="default" w:ascii="Times New Roman" w:hAnsi="Times New Roman" w:eastAsia="宋体" w:cs="Times New Roman"/>
          <w:color w:val="auto"/>
        </w:rPr>
        <w:t>—标准中pH的下限值。</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地下水现状水质评价见下表。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表4.2-10    地下水水质评价结果</w:t>
      </w:r>
    </w:p>
    <w:tbl>
      <w:tblPr>
        <w:tblStyle w:val="34"/>
        <w:tblW w:w="4816"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2455"/>
        <w:gridCol w:w="947"/>
        <w:gridCol w:w="1064"/>
        <w:gridCol w:w="1065"/>
        <w:gridCol w:w="1748"/>
        <w:gridCol w:w="1393"/>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vMerge w:val="restart"/>
            <w:tcBorders>
              <w:top w:val="single" w:color="auto" w:sz="4" w:space="0"/>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检测项目</w:t>
            </w:r>
          </w:p>
        </w:tc>
        <w:tc>
          <w:tcPr>
            <w:tcW w:w="1708" w:type="pct"/>
            <w:gridSpan w:val="3"/>
            <w:tcBorders>
              <w:top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标准指数</w:t>
            </w:r>
          </w:p>
        </w:tc>
        <w:tc>
          <w:tcPr>
            <w:tcW w:w="1029" w:type="pct"/>
            <w:vMerge w:val="restart"/>
            <w:tcBorders>
              <w:top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达标情况</w:t>
            </w:r>
          </w:p>
        </w:tc>
        <w:tc>
          <w:tcPr>
            <w:tcW w:w="824" w:type="pct"/>
            <w:vMerge w:val="restart"/>
            <w:tcBorders>
              <w:top w:val="single" w:color="auto" w:sz="4" w:space="0"/>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超标率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vMerge w:val="continue"/>
            <w:tcBorders>
              <w:lef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p>
        </w:tc>
        <w:tc>
          <w:tcPr>
            <w:tcW w:w="568" w:type="pct"/>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w:t>
            </w:r>
          </w:p>
        </w:tc>
        <w:tc>
          <w:tcPr>
            <w:tcW w:w="568" w:type="pct"/>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w:t>
            </w:r>
          </w:p>
        </w:tc>
        <w:tc>
          <w:tcPr>
            <w:tcW w:w="571" w:type="pct"/>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w:t>
            </w:r>
          </w:p>
        </w:tc>
        <w:tc>
          <w:tcPr>
            <w:tcW w:w="1029"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p>
        </w:tc>
        <w:tc>
          <w:tcPr>
            <w:tcW w:w="824" w:type="pct"/>
            <w:vMerge w:val="continue"/>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kern w:val="2"/>
                <w:sz w:val="21"/>
                <w:szCs w:val="21"/>
                <w:lang w:val="en-US" w:eastAsia="zh-CN" w:bidi="ar-SA"/>
              </w:rPr>
              <w:t>pH</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硝酸盐氮</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0.33</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0.34</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0.33</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亚硝酸盐氮</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0.11</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0.09</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挥发酚</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0.15</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0.15</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0.15</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氰化物</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0.08</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0.08</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0.08</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溶解</w:t>
            </w:r>
            <w:r>
              <w:rPr>
                <w:rFonts w:hint="default" w:ascii="Times New Roman" w:hAnsi="Times New Roman"/>
                <w:color w:val="auto"/>
                <w:sz w:val="21"/>
                <w:szCs w:val="21"/>
              </w:rPr>
              <w:t>性总</w:t>
            </w:r>
            <w:r>
              <w:rPr>
                <w:rFonts w:hint="default" w:ascii="Times New Roman" w:hAnsi="Times New Roman" w:eastAsia="宋体" w:cs="Times New Roman"/>
                <w:color w:val="auto"/>
                <w:sz w:val="21"/>
                <w:szCs w:val="21"/>
              </w:rPr>
              <w:t>固体</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0.68</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0.92</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1.24</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eastAsia" w:ascii="Times New Roman" w:hAnsi="Times New Roman" w:eastAsia="宋体" w:cs="Times New Roman"/>
                <w:color w:val="auto"/>
                <w:kern w:val="0"/>
                <w:sz w:val="21"/>
                <w:szCs w:val="21"/>
                <w:lang w:eastAsia="zh-CN"/>
              </w:rPr>
            </w:pPr>
            <w:r>
              <w:rPr>
                <w:rFonts w:hint="eastAsia" w:cs="Times New Roman"/>
                <w:b/>
                <w:bCs/>
                <w:color w:val="auto"/>
                <w:kern w:val="0"/>
                <w:sz w:val="21"/>
                <w:szCs w:val="21"/>
                <w:lang w:eastAsia="zh-CN" w:bidi="ar"/>
              </w:rPr>
              <w:t>超标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bidi="ar"/>
              </w:rPr>
              <w:t>0.24</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耗氧量</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0.95</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0.77</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0.85</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氨氮</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0.50</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0.24</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0.29</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六</w:t>
            </w:r>
            <w:r>
              <w:rPr>
                <w:rFonts w:hint="default" w:ascii="Times New Roman" w:hAnsi="Times New Roman"/>
                <w:color w:val="auto"/>
                <w:sz w:val="21"/>
                <w:szCs w:val="21"/>
              </w:rPr>
              <w:t>价铬</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0.08</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0.08</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0.08</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总硬度</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0.94</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1.27</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1.58</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eastAsia" w:cs="Times New Roman"/>
                <w:b/>
                <w:bCs/>
                <w:color w:val="auto"/>
                <w:kern w:val="0"/>
                <w:sz w:val="21"/>
                <w:szCs w:val="21"/>
                <w:lang w:eastAsia="zh-CN" w:bidi="ar"/>
              </w:rPr>
              <w:t>超标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bidi="ar"/>
              </w:rPr>
              <w:t>0.58</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砷</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0.03</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0.03</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0.03</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汞</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0.04</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0.04</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0.04</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铅</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镉</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0.02</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0.02</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0.02</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铁</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0.11</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锰</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0.10</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sz w:val="21"/>
                <w:szCs w:val="21"/>
                <w:highlight w:val="none"/>
                <w:lang w:eastAsia="zh-CN"/>
              </w:rPr>
              <w:t>无机阴离子</w:t>
            </w:r>
            <w:r>
              <w:rPr>
                <w:rFonts w:hint="default" w:ascii="Times New Roman" w:hAnsi="Times New Roman" w:eastAsia="宋体" w:cs="Times New Roman"/>
                <w:color w:val="auto"/>
                <w:sz w:val="21"/>
                <w:szCs w:val="21"/>
                <w:highlight w:val="none"/>
              </w:rPr>
              <w:t>Cl</w:t>
            </w:r>
            <w:r>
              <w:rPr>
                <w:rFonts w:hint="default" w:ascii="Times New Roman" w:hAnsi="Times New Roman" w:eastAsia="宋体" w:cs="Times New Roman"/>
                <w:color w:val="auto"/>
                <w:sz w:val="21"/>
                <w:szCs w:val="21"/>
                <w:highlight w:val="none"/>
                <w:vertAlign w:val="superscript"/>
              </w:rPr>
              <w:t>-</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color w:val="auto"/>
                <w:sz w:val="21"/>
                <w:szCs w:val="21"/>
                <w:highlight w:val="none"/>
                <w:lang w:eastAsia="zh-CN"/>
              </w:rPr>
              <w:t>无机阴离子</w:t>
            </w: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4</w:t>
            </w:r>
            <w:r>
              <w:rPr>
                <w:rFonts w:hint="default" w:ascii="Times New Roman" w:hAnsi="Times New Roman" w:eastAsia="宋体" w:cs="Times New Roman"/>
                <w:color w:val="auto"/>
                <w:sz w:val="21"/>
                <w:szCs w:val="21"/>
                <w:highlight w:val="none"/>
                <w:vertAlign w:val="superscript"/>
              </w:rPr>
              <w:t>2-</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kern w:val="2"/>
                <w:sz w:val="21"/>
                <w:szCs w:val="21"/>
                <w:lang w:val="en-US" w:eastAsia="zh-CN" w:bidi="ar-SA"/>
              </w:rPr>
              <w:t>氟化物</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0.78</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0.69</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0.85</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可溶性阳离子</w:t>
            </w:r>
            <w:r>
              <w:rPr>
                <w:rFonts w:hint="default" w:ascii="Times New Roman" w:hAnsi="Times New Roman" w:eastAsia="宋体" w:cs="Times New Roman"/>
                <w:color w:val="auto"/>
                <w:sz w:val="21"/>
                <w:szCs w:val="21"/>
              </w:rPr>
              <w:t>K</w:t>
            </w:r>
            <w:r>
              <w:rPr>
                <w:rFonts w:hint="default" w:ascii="Times New Roman" w:hAnsi="Times New Roman" w:eastAsia="宋体" w:cs="Times New Roman"/>
                <w:color w:val="auto"/>
                <w:sz w:val="21"/>
                <w:szCs w:val="21"/>
                <w:vertAlign w:val="superscript"/>
              </w:rPr>
              <w:t>+</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可溶性阳离子</w:t>
            </w:r>
            <w:r>
              <w:rPr>
                <w:rFonts w:hint="default" w:ascii="Times New Roman" w:hAnsi="Times New Roman" w:eastAsia="宋体" w:cs="Times New Roman"/>
                <w:color w:val="auto"/>
                <w:sz w:val="21"/>
                <w:szCs w:val="21"/>
              </w:rPr>
              <w:t>Na</w:t>
            </w:r>
            <w:r>
              <w:rPr>
                <w:rFonts w:hint="default" w:ascii="Times New Roman" w:hAnsi="Times New Roman" w:eastAsia="宋体" w:cs="Times New Roman"/>
                <w:color w:val="auto"/>
                <w:sz w:val="21"/>
                <w:szCs w:val="21"/>
                <w:vertAlign w:val="superscript"/>
              </w:rPr>
              <w:t>+</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可溶性阳离子</w:t>
            </w:r>
            <w:r>
              <w:rPr>
                <w:rFonts w:hint="default" w:ascii="Times New Roman" w:hAnsi="Times New Roman" w:eastAsia="宋体" w:cs="Times New Roman"/>
                <w:color w:val="auto"/>
                <w:sz w:val="21"/>
                <w:szCs w:val="21"/>
              </w:rPr>
              <w:t>Ca</w:t>
            </w:r>
            <w:r>
              <w:rPr>
                <w:rFonts w:hint="default" w:ascii="Times New Roman" w:hAnsi="Times New Roman" w:eastAsia="宋体" w:cs="Times New Roman"/>
                <w:color w:val="auto"/>
                <w:sz w:val="21"/>
                <w:szCs w:val="21"/>
                <w:vertAlign w:val="superscript"/>
              </w:rPr>
              <w:t>2+</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可溶性阳离子</w:t>
            </w:r>
            <w:r>
              <w:rPr>
                <w:rFonts w:hint="default" w:ascii="Times New Roman" w:hAnsi="Times New Roman" w:eastAsia="宋体" w:cs="Times New Roman"/>
                <w:color w:val="auto"/>
                <w:sz w:val="21"/>
                <w:szCs w:val="21"/>
              </w:rPr>
              <w:t>Mg</w:t>
            </w:r>
            <w:r>
              <w:rPr>
                <w:rFonts w:hint="default" w:ascii="Times New Roman" w:hAnsi="Times New Roman" w:eastAsia="宋体" w:cs="Times New Roman"/>
                <w:color w:val="auto"/>
                <w:sz w:val="21"/>
                <w:szCs w:val="21"/>
                <w:vertAlign w:val="superscript"/>
              </w:rPr>
              <w:t>2+</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olor w:val="auto"/>
                <w:sz w:val="21"/>
                <w:szCs w:val="21"/>
                <w:lang w:val="en-US" w:eastAsia="zh-CN"/>
              </w:rPr>
              <w:t>碳酸盐</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olor w:val="auto"/>
                <w:sz w:val="21"/>
                <w:szCs w:val="21"/>
                <w:lang w:val="en-US" w:eastAsia="zh-CN"/>
              </w:rPr>
              <w:t>重碳酸盐</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lang w:eastAsia="zh-CN"/>
              </w:rPr>
              <w:t>氯化物</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0.51</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0.50</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0.88</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lang w:eastAsia="zh-CN"/>
              </w:rPr>
              <w:t>硫酸盐</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0.39</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1.07</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1.28</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eastAsia" w:cs="Times New Roman"/>
                <w:b/>
                <w:bCs/>
                <w:color w:val="auto"/>
                <w:kern w:val="0"/>
                <w:sz w:val="21"/>
                <w:szCs w:val="21"/>
                <w:lang w:eastAsia="zh-CN" w:bidi="ar"/>
              </w:rPr>
              <w:t>超标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0.28</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总大肠菌群数</w:t>
            </w:r>
          </w:p>
        </w:tc>
        <w:tc>
          <w:tcPr>
            <w:tcW w:w="98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0.67</w:t>
            </w:r>
          </w:p>
        </w:tc>
        <w:tc>
          <w:tcPr>
            <w:tcW w:w="985"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0.67</w:t>
            </w:r>
          </w:p>
        </w:tc>
        <w:tc>
          <w:tcPr>
            <w:tcW w:w="992" w:type="dxa"/>
            <w:vAlign w:val="center"/>
          </w:tcPr>
          <w:p>
            <w:pPr>
              <w:keepNext w:val="0"/>
              <w:keepLines w:val="0"/>
              <w:pageBreakBefore w:val="0"/>
              <w:widowControl/>
              <w:suppressLineNumbers w:val="0"/>
              <w:kinsoku/>
              <w:wordWrap/>
              <w:overflowPunct/>
              <w:autoSpaceDN/>
              <w:bidi w:val="0"/>
              <w:adjustRightInd/>
              <w:snapToGrid/>
              <w:spacing w:line="360" w:lineRule="exact"/>
              <w:ind w:firstLine="420" w:firstLineChars="20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0.67</w:t>
            </w:r>
          </w:p>
        </w:tc>
        <w:tc>
          <w:tcPr>
            <w:tcW w:w="102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437" w:type="pct"/>
            <w:tcBorders>
              <w:left w:val="single" w:color="auto" w:sz="4" w:space="0"/>
              <w:bottom w:val="single" w:color="auto" w:sz="4" w:space="0"/>
            </w:tcBorders>
            <w:vAlign w:val="center"/>
          </w:tcPr>
          <w:p>
            <w:pPr>
              <w:pStyle w:val="137"/>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olor w:val="auto"/>
                <w:sz w:val="21"/>
                <w:szCs w:val="21"/>
              </w:rPr>
              <w:t>细菌总数</w:t>
            </w:r>
          </w:p>
        </w:tc>
        <w:tc>
          <w:tcPr>
            <w:tcW w:w="986" w:type="dxa"/>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0.35</w:t>
            </w:r>
          </w:p>
        </w:tc>
        <w:tc>
          <w:tcPr>
            <w:tcW w:w="985" w:type="dxa"/>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0.30</w:t>
            </w:r>
          </w:p>
        </w:tc>
        <w:tc>
          <w:tcPr>
            <w:tcW w:w="992" w:type="dxa"/>
            <w:tcBorders>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0.41</w:t>
            </w:r>
          </w:p>
        </w:tc>
        <w:tc>
          <w:tcPr>
            <w:tcW w:w="1029" w:type="pct"/>
            <w:tcBorders>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达标</w:t>
            </w:r>
          </w:p>
        </w:tc>
        <w:tc>
          <w:tcPr>
            <w:tcW w:w="824" w:type="pct"/>
            <w:tcBorders>
              <w:bottom w:val="single" w:color="auto" w:sz="4" w:space="0"/>
              <w:right w:val="single" w:color="auto" w:sz="4" w:space="0"/>
            </w:tcBorders>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r>
    </w:tbl>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由上表可知：评价区各监测点</w:t>
      </w:r>
      <w:r>
        <w:rPr>
          <w:rFonts w:hint="eastAsia" w:cs="Times New Roman"/>
          <w:color w:val="auto"/>
          <w:sz w:val="24"/>
          <w:szCs w:val="24"/>
          <w:lang w:eastAsia="zh-CN"/>
        </w:rPr>
        <w:t>除</w:t>
      </w:r>
      <w:r>
        <w:rPr>
          <w:rFonts w:hint="default" w:ascii="Times New Roman" w:hAnsi="Times New Roman" w:eastAsia="宋体" w:cs="Times New Roman"/>
          <w:color w:val="auto"/>
          <w:sz w:val="24"/>
          <w:szCs w:val="24"/>
        </w:rPr>
        <w:t>溶解</w:t>
      </w:r>
      <w:r>
        <w:rPr>
          <w:rFonts w:hint="default" w:ascii="Times New Roman" w:hAnsi="Times New Roman"/>
          <w:color w:val="auto"/>
          <w:sz w:val="24"/>
          <w:szCs w:val="24"/>
        </w:rPr>
        <w:t>性总</w:t>
      </w:r>
      <w:r>
        <w:rPr>
          <w:rFonts w:hint="default" w:ascii="Times New Roman" w:hAnsi="Times New Roman" w:eastAsia="宋体" w:cs="Times New Roman"/>
          <w:color w:val="auto"/>
          <w:sz w:val="24"/>
          <w:szCs w:val="24"/>
        </w:rPr>
        <w:t>固体</w:t>
      </w:r>
      <w:r>
        <w:rPr>
          <w:rFonts w:hint="eastAsia" w:ascii="Times New Roman" w:hAnsi="Times New Roman" w:cs="Times New Roman"/>
          <w:color w:val="auto"/>
          <w:sz w:val="24"/>
          <w:szCs w:val="24"/>
          <w:lang w:eastAsia="zh-CN"/>
        </w:rPr>
        <w:t>、</w:t>
      </w:r>
      <w:r>
        <w:rPr>
          <w:rFonts w:hint="default" w:ascii="Times New Roman" w:hAnsi="Times New Roman"/>
          <w:color w:val="auto"/>
          <w:sz w:val="24"/>
          <w:szCs w:val="24"/>
        </w:rPr>
        <w:t>总硬度</w:t>
      </w:r>
      <w:r>
        <w:rPr>
          <w:rFonts w:hint="eastAsia" w:ascii="Times New Roman" w:hAnsi="Times New Roman"/>
          <w:color w:val="auto"/>
          <w:sz w:val="24"/>
          <w:szCs w:val="24"/>
          <w:lang w:eastAsia="zh-CN"/>
        </w:rPr>
        <w:t>和</w:t>
      </w:r>
      <w:r>
        <w:rPr>
          <w:rFonts w:hint="default" w:ascii="Times New Roman" w:hAnsi="Times New Roman"/>
          <w:color w:val="auto"/>
          <w:sz w:val="24"/>
          <w:szCs w:val="24"/>
          <w:lang w:eastAsia="zh-CN"/>
        </w:rPr>
        <w:t>硫酸盐</w:t>
      </w:r>
      <w:r>
        <w:rPr>
          <w:rFonts w:hint="eastAsia" w:ascii="Times New Roman" w:hAnsi="Times New Roman"/>
          <w:color w:val="auto"/>
          <w:sz w:val="24"/>
          <w:szCs w:val="24"/>
          <w:lang w:eastAsia="zh-CN"/>
        </w:rPr>
        <w:t>超标，其他</w:t>
      </w:r>
      <w:r>
        <w:rPr>
          <w:rFonts w:hint="default" w:ascii="Times New Roman" w:hAnsi="Times New Roman" w:eastAsia="宋体" w:cs="Times New Roman"/>
          <w:color w:val="auto"/>
          <w:sz w:val="24"/>
          <w:szCs w:val="24"/>
        </w:rPr>
        <w:t>监测因子均满足《地下水质量标准》（GB/T14848-2017）Ⅲ类标准的要求，地下水环境质量现状较好。</w:t>
      </w:r>
    </w:p>
    <w:p>
      <w:pPr>
        <w:pStyle w:val="6"/>
        <w:rPr>
          <w:rFonts w:hint="default" w:ascii="Times New Roman" w:hAnsi="Times New Roman" w:eastAsia="宋体" w:cs="Times New Roman"/>
          <w:color w:val="auto"/>
        </w:rPr>
      </w:pPr>
      <w:bookmarkStart w:id="294" w:name="_Toc494206318"/>
      <w:bookmarkStart w:id="295" w:name="_Toc521342156"/>
      <w:bookmarkStart w:id="296" w:name="_Toc19202"/>
      <w:r>
        <w:rPr>
          <w:rFonts w:hint="default" w:ascii="Times New Roman" w:hAnsi="Times New Roman" w:eastAsia="宋体" w:cs="Times New Roman"/>
          <w:color w:val="auto"/>
        </w:rPr>
        <w:t>4.2.</w:t>
      </w:r>
      <w:r>
        <w:rPr>
          <w:rFonts w:hint="eastAsia" w:cs="Times New Roman"/>
          <w:color w:val="auto"/>
          <w:lang w:val="en-US" w:eastAsia="zh-CN"/>
        </w:rPr>
        <w:t>3</w:t>
      </w:r>
      <w:r>
        <w:rPr>
          <w:rFonts w:hint="default" w:ascii="Times New Roman" w:hAnsi="Times New Roman" w:eastAsia="宋体" w:cs="Times New Roman"/>
          <w:color w:val="auto"/>
        </w:rPr>
        <w:t>声环境质量现状调查与评价</w:t>
      </w:r>
      <w:bookmarkEnd w:id="294"/>
      <w:bookmarkEnd w:id="295"/>
      <w:bookmarkEnd w:id="29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本次评价对声环境质量现状进行实测，监测单位为内蒙古华智鼎环保科技有限公司，监测时间为</w:t>
      </w:r>
      <w:r>
        <w:rPr>
          <w:rFonts w:hint="eastAsia"/>
          <w:color w:val="auto"/>
        </w:rPr>
        <w:t>20</w:t>
      </w:r>
      <w:r>
        <w:rPr>
          <w:color w:val="auto"/>
        </w:rPr>
        <w:t>2</w:t>
      </w:r>
      <w:r>
        <w:rPr>
          <w:rFonts w:hint="eastAsia"/>
          <w:color w:val="auto"/>
          <w:lang w:val="en-US" w:eastAsia="zh-CN"/>
        </w:rPr>
        <w:t>1</w:t>
      </w:r>
      <w:r>
        <w:rPr>
          <w:rFonts w:hint="eastAsia"/>
          <w:color w:val="auto"/>
        </w:rPr>
        <w:t>年</w:t>
      </w:r>
      <w:r>
        <w:rPr>
          <w:rFonts w:hint="eastAsia"/>
          <w:color w:val="auto"/>
          <w:lang w:val="en-US" w:eastAsia="zh-CN"/>
        </w:rPr>
        <w:t>4</w:t>
      </w:r>
      <w:r>
        <w:rPr>
          <w:rFonts w:hint="eastAsia"/>
          <w:color w:val="auto"/>
        </w:rPr>
        <w:t>月</w:t>
      </w:r>
      <w:r>
        <w:rPr>
          <w:rFonts w:hint="eastAsia"/>
          <w:color w:val="auto"/>
          <w:lang w:val="en-US" w:eastAsia="zh-CN"/>
        </w:rPr>
        <w:t>9</w:t>
      </w:r>
      <w:r>
        <w:rPr>
          <w:rFonts w:hint="eastAsia"/>
          <w:color w:val="auto"/>
        </w:rPr>
        <w:t>日</w:t>
      </w:r>
      <w:r>
        <w:rPr>
          <w:rFonts w:hint="default" w:ascii="Times New Roman" w:hAnsi="Times New Roman" w:eastAsia="宋体" w:cs="Times New Roman"/>
          <w:color w:val="auto"/>
        </w:rPr>
        <w:t>。</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w:t>
      </w:r>
      <w:r>
        <w:rPr>
          <w:rFonts w:hint="eastAsia" w:cs="Times New Roman"/>
          <w:color w:val="auto"/>
          <w:lang w:val="en-US" w:eastAsia="zh-CN"/>
        </w:rPr>
        <w:t>3</w:t>
      </w:r>
      <w:r>
        <w:rPr>
          <w:rFonts w:hint="default" w:ascii="Times New Roman" w:hAnsi="Times New Roman" w:eastAsia="宋体" w:cs="Times New Roman"/>
          <w:color w:val="auto"/>
        </w:rPr>
        <w:t>.1监测布点</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在建设项目东、南、西、北厂界外1m各布设1个噪声现状监测点如图4.2-</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rPr>
        <w:t>所示，噪声监测点的编号依次为1﹟-4﹟。</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w:t>
      </w:r>
      <w:r>
        <w:rPr>
          <w:rFonts w:hint="eastAsia" w:cs="Times New Roman"/>
          <w:color w:val="auto"/>
          <w:lang w:val="en-US" w:eastAsia="zh-CN"/>
        </w:rPr>
        <w:t>3</w:t>
      </w:r>
      <w:r>
        <w:rPr>
          <w:rFonts w:hint="default" w:ascii="Times New Roman" w:hAnsi="Times New Roman" w:eastAsia="宋体" w:cs="Times New Roman"/>
          <w:color w:val="auto"/>
        </w:rPr>
        <w:t>.2监测时间及频次</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监测频次：监测时间选择昼间（6：00～22：00）和夜间（22：00～6：00）两个时段分别测1天，每次测量10分钟的连续等效A声级</w:t>
      </w:r>
      <w:r>
        <w:rPr>
          <w:rFonts w:hint="default" w:ascii="Times New Roman" w:hAnsi="Times New Roman" w:eastAsia="宋体" w:cs="Times New Roman"/>
          <w:bCs/>
          <w:color w:val="auto"/>
        </w:rPr>
        <w:t>。</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w:t>
      </w:r>
      <w:r>
        <w:rPr>
          <w:rFonts w:hint="eastAsia" w:cs="Times New Roman"/>
          <w:color w:val="auto"/>
          <w:lang w:val="en-US" w:eastAsia="zh-CN"/>
        </w:rPr>
        <w:t>3</w:t>
      </w:r>
      <w:r>
        <w:rPr>
          <w:rFonts w:hint="default" w:ascii="Times New Roman" w:hAnsi="Times New Roman" w:eastAsia="宋体" w:cs="Times New Roman"/>
          <w:color w:val="auto"/>
        </w:rPr>
        <w:t>.3监测方法</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监测方法采用《声环境质量标准》（GB3096－2008）中要求的监测方法，采用的测试仪器为AWA5688型噪声分析仪。</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w:t>
      </w:r>
      <w:r>
        <w:rPr>
          <w:rFonts w:hint="eastAsia" w:cs="Times New Roman"/>
          <w:color w:val="auto"/>
          <w:lang w:val="en-US" w:eastAsia="zh-CN"/>
        </w:rPr>
        <w:t>3</w:t>
      </w:r>
      <w:r>
        <w:rPr>
          <w:rFonts w:hint="default" w:ascii="Times New Roman" w:hAnsi="Times New Roman" w:eastAsia="宋体" w:cs="Times New Roman"/>
          <w:color w:val="auto"/>
        </w:rPr>
        <w:t>.4监测结果</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噪声监测数据统计结果见下表。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表4.2-1</w:t>
      </w:r>
      <w:r>
        <w:rPr>
          <w:rFonts w:hint="eastAsia" w:cs="Times New Roman"/>
          <w:color w:val="auto"/>
          <w:lang w:val="en-US" w:eastAsia="zh-CN"/>
        </w:rPr>
        <w:t>1</w:t>
      </w:r>
      <w:r>
        <w:rPr>
          <w:rFonts w:hint="default" w:ascii="Times New Roman" w:hAnsi="Times New Roman" w:eastAsia="宋体" w:cs="Times New Roman"/>
          <w:color w:val="auto"/>
        </w:rPr>
        <w:t xml:space="preserve">    噪声监测结果统计表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70"/>
        <w:gridCol w:w="2381"/>
        <w:gridCol w:w="2765"/>
        <w:gridCol w:w="268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650" w:type="pct"/>
            <w:vAlign w:val="center"/>
          </w:tcPr>
          <w:p>
            <w:pPr>
              <w:pStyle w:val="58"/>
              <w:rPr>
                <w:color w:val="auto"/>
              </w:rPr>
            </w:pPr>
            <w:r>
              <w:rPr>
                <w:color w:val="auto"/>
              </w:rPr>
              <w:t>编号</w:t>
            </w:r>
          </w:p>
        </w:tc>
        <w:tc>
          <w:tcPr>
            <w:tcW w:w="1321" w:type="pct"/>
            <w:vAlign w:val="center"/>
          </w:tcPr>
          <w:p>
            <w:pPr>
              <w:pStyle w:val="58"/>
              <w:rPr>
                <w:color w:val="auto"/>
              </w:rPr>
            </w:pPr>
            <w:r>
              <w:rPr>
                <w:color w:val="auto"/>
              </w:rPr>
              <w:t>检测点位置</w:t>
            </w:r>
          </w:p>
        </w:tc>
        <w:tc>
          <w:tcPr>
            <w:tcW w:w="1535" w:type="pct"/>
            <w:vAlign w:val="center"/>
          </w:tcPr>
          <w:p>
            <w:pPr>
              <w:pStyle w:val="58"/>
              <w:rPr>
                <w:color w:val="auto"/>
              </w:rPr>
            </w:pPr>
            <w:r>
              <w:rPr>
                <w:color w:val="auto"/>
              </w:rPr>
              <w:t>昼间Leq dB(A)</w:t>
            </w:r>
          </w:p>
        </w:tc>
        <w:tc>
          <w:tcPr>
            <w:tcW w:w="1492" w:type="pct"/>
            <w:vAlign w:val="center"/>
          </w:tcPr>
          <w:p>
            <w:pPr>
              <w:pStyle w:val="58"/>
              <w:rPr>
                <w:color w:val="auto"/>
              </w:rPr>
            </w:pPr>
            <w:r>
              <w:rPr>
                <w:color w:val="auto"/>
              </w:rPr>
              <w:t>夜间Leq dB(A)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650" w:type="pct"/>
            <w:vAlign w:val="center"/>
          </w:tcPr>
          <w:p>
            <w:pPr>
              <w:pStyle w:val="58"/>
              <w:rPr>
                <w:color w:val="auto"/>
              </w:rPr>
            </w:pPr>
            <w:r>
              <w:rPr>
                <w:color w:val="auto"/>
              </w:rPr>
              <w:t>1#</w:t>
            </w:r>
          </w:p>
        </w:tc>
        <w:tc>
          <w:tcPr>
            <w:tcW w:w="1321" w:type="pct"/>
            <w:vAlign w:val="center"/>
          </w:tcPr>
          <w:p>
            <w:pPr>
              <w:pStyle w:val="58"/>
              <w:rPr>
                <w:color w:val="auto"/>
              </w:rPr>
            </w:pPr>
            <w:r>
              <w:rPr>
                <w:color w:val="auto"/>
                <w:kern w:val="0"/>
              </w:rPr>
              <w:t>厂址</w:t>
            </w:r>
            <w:r>
              <w:rPr>
                <w:rFonts w:hint="eastAsia"/>
                <w:color w:val="auto"/>
                <w:kern w:val="0"/>
              </w:rPr>
              <w:t>东</w:t>
            </w:r>
            <w:r>
              <w:rPr>
                <w:color w:val="auto"/>
                <w:kern w:val="0"/>
              </w:rPr>
              <w:t>侧</w:t>
            </w:r>
          </w:p>
        </w:tc>
        <w:tc>
          <w:tcPr>
            <w:tcW w:w="1535" w:type="pct"/>
            <w:vAlign w:val="center"/>
          </w:tcPr>
          <w:p>
            <w:pPr>
              <w:pStyle w:val="137"/>
              <w:ind w:firstLine="0" w:firstLineChars="0"/>
              <w:rPr>
                <w:rFonts w:hint="default" w:ascii="Times New Roman" w:hAnsi="Times New Roman" w:eastAsia="宋体" w:cs="Times New Roman"/>
                <w:color w:val="auto"/>
                <w:kern w:val="2"/>
                <w:sz w:val="21"/>
                <w:szCs w:val="22"/>
                <w:lang w:val="en-US" w:eastAsia="zh-CN" w:bidi="ar-SA"/>
              </w:rPr>
            </w:pPr>
            <w:r>
              <w:rPr>
                <w:rFonts w:hint="eastAsia" w:eastAsia="宋体"/>
                <w:color w:val="auto"/>
                <w:lang w:val="en-US" w:eastAsia="zh-CN"/>
              </w:rPr>
              <w:t>51</w:t>
            </w:r>
          </w:p>
        </w:tc>
        <w:tc>
          <w:tcPr>
            <w:tcW w:w="2687" w:type="dxa"/>
            <w:vAlign w:val="center"/>
          </w:tcPr>
          <w:p>
            <w:pPr>
              <w:pStyle w:val="137"/>
              <w:ind w:firstLine="0" w:firstLineChars="0"/>
              <w:rPr>
                <w:color w:val="auto"/>
              </w:rPr>
            </w:pPr>
            <w:r>
              <w:rPr>
                <w:rFonts w:hint="eastAsia" w:eastAsia="宋体"/>
                <w:color w:val="auto"/>
                <w:lang w:val="en-US" w:eastAsia="zh-CN"/>
              </w:rPr>
              <w:t>42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650" w:type="pct"/>
            <w:vAlign w:val="center"/>
          </w:tcPr>
          <w:p>
            <w:pPr>
              <w:pStyle w:val="58"/>
              <w:rPr>
                <w:color w:val="auto"/>
              </w:rPr>
            </w:pPr>
            <w:r>
              <w:rPr>
                <w:rFonts w:hint="eastAsia"/>
                <w:color w:val="auto"/>
              </w:rPr>
              <w:t>2</w:t>
            </w:r>
            <w:r>
              <w:rPr>
                <w:color w:val="auto"/>
              </w:rPr>
              <w:t>#</w:t>
            </w:r>
          </w:p>
        </w:tc>
        <w:tc>
          <w:tcPr>
            <w:tcW w:w="1321" w:type="pct"/>
            <w:vAlign w:val="center"/>
          </w:tcPr>
          <w:p>
            <w:pPr>
              <w:pStyle w:val="58"/>
              <w:rPr>
                <w:color w:val="auto"/>
              </w:rPr>
            </w:pPr>
            <w:r>
              <w:rPr>
                <w:color w:val="auto"/>
              </w:rPr>
              <w:t>厂址</w:t>
            </w:r>
            <w:r>
              <w:rPr>
                <w:rFonts w:hint="eastAsia"/>
                <w:color w:val="auto"/>
              </w:rPr>
              <w:t>南</w:t>
            </w:r>
            <w:r>
              <w:rPr>
                <w:color w:val="auto"/>
              </w:rPr>
              <w:t>侧</w:t>
            </w:r>
          </w:p>
        </w:tc>
        <w:tc>
          <w:tcPr>
            <w:tcW w:w="1535" w:type="pct"/>
            <w:vAlign w:val="center"/>
          </w:tcPr>
          <w:p>
            <w:pPr>
              <w:pStyle w:val="137"/>
              <w:ind w:firstLine="0" w:firstLineChars="0"/>
              <w:rPr>
                <w:rFonts w:hint="default" w:ascii="Times New Roman" w:hAnsi="Times New Roman" w:eastAsia="宋体" w:cs="Times New Roman"/>
                <w:color w:val="auto"/>
                <w:kern w:val="2"/>
                <w:sz w:val="21"/>
                <w:szCs w:val="22"/>
                <w:lang w:val="en-US" w:eastAsia="zh-CN" w:bidi="ar-SA"/>
              </w:rPr>
            </w:pPr>
            <w:r>
              <w:rPr>
                <w:rFonts w:hint="eastAsia" w:eastAsia="宋体"/>
                <w:color w:val="auto"/>
                <w:lang w:val="en-US" w:eastAsia="zh-CN"/>
              </w:rPr>
              <w:t>53</w:t>
            </w:r>
          </w:p>
        </w:tc>
        <w:tc>
          <w:tcPr>
            <w:tcW w:w="2687" w:type="dxa"/>
            <w:vAlign w:val="center"/>
          </w:tcPr>
          <w:p>
            <w:pPr>
              <w:pStyle w:val="137"/>
              <w:ind w:firstLine="0" w:firstLineChars="0"/>
              <w:rPr>
                <w:color w:val="auto"/>
                <w:szCs w:val="21"/>
              </w:rPr>
            </w:pPr>
            <w:r>
              <w:rPr>
                <w:rFonts w:hint="eastAsia" w:eastAsia="宋体"/>
                <w:color w:val="auto"/>
                <w:lang w:val="en-US" w:eastAsia="zh-CN"/>
              </w:rPr>
              <w:t>45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650" w:type="pct"/>
            <w:vAlign w:val="center"/>
          </w:tcPr>
          <w:p>
            <w:pPr>
              <w:pStyle w:val="58"/>
              <w:rPr>
                <w:color w:val="auto"/>
              </w:rPr>
            </w:pPr>
            <w:r>
              <w:rPr>
                <w:rFonts w:hint="eastAsia"/>
                <w:color w:val="auto"/>
              </w:rPr>
              <w:t>3</w:t>
            </w:r>
            <w:r>
              <w:rPr>
                <w:color w:val="auto"/>
              </w:rPr>
              <w:t>#</w:t>
            </w:r>
          </w:p>
        </w:tc>
        <w:tc>
          <w:tcPr>
            <w:tcW w:w="1321" w:type="pct"/>
            <w:vAlign w:val="center"/>
          </w:tcPr>
          <w:p>
            <w:pPr>
              <w:pStyle w:val="58"/>
              <w:rPr>
                <w:color w:val="auto"/>
              </w:rPr>
            </w:pPr>
            <w:r>
              <w:rPr>
                <w:color w:val="auto"/>
              </w:rPr>
              <w:t>厂址</w:t>
            </w:r>
            <w:r>
              <w:rPr>
                <w:rFonts w:hint="eastAsia"/>
                <w:color w:val="auto"/>
              </w:rPr>
              <w:t>西</w:t>
            </w:r>
            <w:r>
              <w:rPr>
                <w:color w:val="auto"/>
              </w:rPr>
              <w:t>侧</w:t>
            </w:r>
          </w:p>
        </w:tc>
        <w:tc>
          <w:tcPr>
            <w:tcW w:w="1535" w:type="pct"/>
            <w:vAlign w:val="center"/>
          </w:tcPr>
          <w:p>
            <w:pPr>
              <w:pStyle w:val="137"/>
              <w:ind w:firstLine="0" w:firstLineChars="0"/>
              <w:rPr>
                <w:rFonts w:hint="default" w:ascii="Times New Roman" w:hAnsi="Times New Roman" w:eastAsia="宋体" w:cs="Times New Roman"/>
                <w:color w:val="auto"/>
                <w:kern w:val="2"/>
                <w:sz w:val="21"/>
                <w:szCs w:val="22"/>
                <w:lang w:val="en-US" w:eastAsia="zh-CN" w:bidi="ar-SA"/>
              </w:rPr>
            </w:pPr>
            <w:r>
              <w:rPr>
                <w:rFonts w:hint="eastAsia" w:eastAsia="宋体"/>
                <w:color w:val="auto"/>
                <w:lang w:val="en-US" w:eastAsia="zh-CN"/>
              </w:rPr>
              <w:t>50</w:t>
            </w:r>
          </w:p>
        </w:tc>
        <w:tc>
          <w:tcPr>
            <w:tcW w:w="2687" w:type="dxa"/>
            <w:vAlign w:val="center"/>
          </w:tcPr>
          <w:p>
            <w:pPr>
              <w:pStyle w:val="137"/>
              <w:ind w:firstLine="0" w:firstLineChars="0"/>
              <w:rPr>
                <w:color w:val="auto"/>
                <w:szCs w:val="21"/>
              </w:rPr>
            </w:pPr>
            <w:r>
              <w:rPr>
                <w:rFonts w:hint="eastAsia" w:eastAsia="宋体"/>
                <w:color w:val="auto"/>
                <w:lang w:val="en-US" w:eastAsia="zh-CN"/>
              </w:rPr>
              <w:t>41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650" w:type="pct"/>
            <w:vAlign w:val="center"/>
          </w:tcPr>
          <w:p>
            <w:pPr>
              <w:pStyle w:val="58"/>
              <w:rPr>
                <w:color w:val="auto"/>
              </w:rPr>
            </w:pPr>
            <w:r>
              <w:rPr>
                <w:color w:val="auto"/>
              </w:rPr>
              <w:t>4#</w:t>
            </w:r>
          </w:p>
        </w:tc>
        <w:tc>
          <w:tcPr>
            <w:tcW w:w="1321" w:type="pct"/>
            <w:vAlign w:val="center"/>
          </w:tcPr>
          <w:p>
            <w:pPr>
              <w:pStyle w:val="58"/>
              <w:rPr>
                <w:color w:val="auto"/>
              </w:rPr>
            </w:pPr>
            <w:r>
              <w:rPr>
                <w:color w:val="auto"/>
              </w:rPr>
              <w:t>厂址</w:t>
            </w:r>
            <w:r>
              <w:rPr>
                <w:rFonts w:hint="eastAsia"/>
                <w:color w:val="auto"/>
              </w:rPr>
              <w:t>北</w:t>
            </w:r>
            <w:r>
              <w:rPr>
                <w:color w:val="auto"/>
              </w:rPr>
              <w:t>侧</w:t>
            </w:r>
          </w:p>
        </w:tc>
        <w:tc>
          <w:tcPr>
            <w:tcW w:w="1535" w:type="pct"/>
            <w:vAlign w:val="center"/>
          </w:tcPr>
          <w:p>
            <w:pPr>
              <w:pStyle w:val="137"/>
              <w:ind w:firstLine="0" w:firstLineChars="0"/>
              <w:rPr>
                <w:rFonts w:hint="default" w:ascii="Times New Roman" w:hAnsi="Times New Roman" w:eastAsia="宋体" w:cs="Times New Roman"/>
                <w:color w:val="auto"/>
                <w:kern w:val="2"/>
                <w:sz w:val="21"/>
                <w:szCs w:val="22"/>
                <w:lang w:val="en-US" w:eastAsia="zh-CN" w:bidi="ar-SA"/>
              </w:rPr>
            </w:pPr>
            <w:r>
              <w:rPr>
                <w:rFonts w:hint="eastAsia" w:eastAsia="宋体"/>
                <w:color w:val="auto"/>
                <w:lang w:val="en-US" w:eastAsia="zh-CN"/>
              </w:rPr>
              <w:t>51</w:t>
            </w:r>
          </w:p>
        </w:tc>
        <w:tc>
          <w:tcPr>
            <w:tcW w:w="2687" w:type="dxa"/>
            <w:vAlign w:val="center"/>
          </w:tcPr>
          <w:p>
            <w:pPr>
              <w:pStyle w:val="137"/>
              <w:ind w:firstLine="0" w:firstLineChars="0"/>
              <w:rPr>
                <w:color w:val="auto"/>
                <w:szCs w:val="21"/>
              </w:rPr>
            </w:pPr>
            <w:r>
              <w:rPr>
                <w:rFonts w:hint="eastAsia" w:eastAsia="宋体"/>
                <w:color w:val="auto"/>
                <w:lang w:val="en-US" w:eastAsia="zh-CN"/>
              </w:rPr>
              <w:t>41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1972" w:type="pct"/>
            <w:gridSpan w:val="2"/>
            <w:vAlign w:val="center"/>
          </w:tcPr>
          <w:p>
            <w:pPr>
              <w:pStyle w:val="58"/>
              <w:rPr>
                <w:color w:val="auto"/>
              </w:rPr>
            </w:pPr>
            <w:r>
              <w:rPr>
                <w:color w:val="auto"/>
              </w:rPr>
              <w:t>限值</w:t>
            </w:r>
          </w:p>
        </w:tc>
        <w:tc>
          <w:tcPr>
            <w:tcW w:w="1535" w:type="pct"/>
            <w:vAlign w:val="center"/>
          </w:tcPr>
          <w:p>
            <w:pPr>
              <w:pStyle w:val="58"/>
              <w:rPr>
                <w:color w:val="auto"/>
              </w:rPr>
            </w:pPr>
            <w:r>
              <w:rPr>
                <w:rFonts w:hint="eastAsia"/>
                <w:color w:val="auto"/>
              </w:rPr>
              <w:t>6</w:t>
            </w:r>
            <w:r>
              <w:rPr>
                <w:color w:val="auto"/>
              </w:rPr>
              <w:t>0</w:t>
            </w:r>
          </w:p>
        </w:tc>
        <w:tc>
          <w:tcPr>
            <w:tcW w:w="1492" w:type="pct"/>
            <w:vAlign w:val="center"/>
          </w:tcPr>
          <w:p>
            <w:pPr>
              <w:pStyle w:val="58"/>
              <w:rPr>
                <w:rFonts w:hint="eastAsia"/>
                <w:color w:val="auto"/>
              </w:rPr>
            </w:pPr>
            <w:r>
              <w:rPr>
                <w:rFonts w:hint="eastAsia"/>
                <w:color w:val="auto"/>
              </w:rPr>
              <w:t>5</w:t>
            </w:r>
            <w:r>
              <w:rPr>
                <w:color w:val="auto"/>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1972" w:type="pct"/>
            <w:gridSpan w:val="2"/>
            <w:vAlign w:val="center"/>
          </w:tcPr>
          <w:p>
            <w:pPr>
              <w:pStyle w:val="58"/>
              <w:rPr>
                <w:color w:val="auto"/>
              </w:rPr>
            </w:pPr>
            <w:r>
              <w:rPr>
                <w:color w:val="auto"/>
              </w:rPr>
              <w:t>执行标准</w:t>
            </w:r>
          </w:p>
        </w:tc>
        <w:tc>
          <w:tcPr>
            <w:tcW w:w="3027" w:type="pct"/>
            <w:gridSpan w:val="2"/>
            <w:vAlign w:val="center"/>
          </w:tcPr>
          <w:p>
            <w:pPr>
              <w:pStyle w:val="58"/>
              <w:rPr>
                <w:rFonts w:hint="eastAsia"/>
                <w:color w:val="auto"/>
              </w:rPr>
            </w:pPr>
            <w:r>
              <w:rPr>
                <w:rFonts w:hint="eastAsia"/>
                <w:color w:val="auto"/>
              </w:rPr>
              <w:t>《声环境质量标准》（GB3096-2008）中2类标准</w:t>
            </w: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w:t>
      </w:r>
      <w:r>
        <w:rPr>
          <w:rFonts w:hint="eastAsia" w:cs="Times New Roman"/>
          <w:color w:val="auto"/>
          <w:lang w:val="en-US" w:eastAsia="zh-CN"/>
        </w:rPr>
        <w:t>3</w:t>
      </w:r>
      <w:r>
        <w:rPr>
          <w:rFonts w:hint="default" w:ascii="Times New Roman" w:hAnsi="Times New Roman" w:eastAsia="宋体" w:cs="Times New Roman"/>
          <w:color w:val="auto"/>
        </w:rPr>
        <w:t>.5声环境质量现状评价</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1）评价标准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根据项目区域的环境特征，声环境现状评价依据《声环境质量标准》（GB3096－2008）中的2类区标准：昼间60dB（A），夜间50dB（A）</w:t>
      </w:r>
    </w:p>
    <w:p>
      <w:pPr>
        <w:ind w:right="-28" w:firstLine="496"/>
        <w:rPr>
          <w:rFonts w:hint="default" w:ascii="Times New Roman" w:hAnsi="Times New Roman" w:eastAsia="宋体" w:cs="Times New Roman"/>
          <w:color w:val="auto"/>
          <w:spacing w:val="4"/>
          <w:szCs w:val="24"/>
        </w:rPr>
      </w:pPr>
      <w:r>
        <w:rPr>
          <w:rFonts w:hint="default" w:ascii="Times New Roman" w:hAnsi="Times New Roman" w:eastAsia="宋体" w:cs="Times New Roman"/>
          <w:color w:val="auto"/>
          <w:spacing w:val="4"/>
          <w:szCs w:val="24"/>
        </w:rPr>
        <w:t>2）评价结果</w:t>
      </w:r>
    </w:p>
    <w:p>
      <w:pPr>
        <w:ind w:firstLine="480"/>
        <w:rPr>
          <w:rFonts w:hint="default" w:ascii="Times New Roman" w:hAnsi="Times New Roman" w:eastAsia="宋体" w:cs="Times New Roman"/>
          <w:color w:val="auto"/>
        </w:rPr>
      </w:pPr>
      <w:r>
        <w:rPr>
          <w:color w:val="auto"/>
        </w:rPr>
        <w:t>根据监测结果厂界昼间等效声级值在</w:t>
      </w:r>
      <w:r>
        <w:rPr>
          <w:rFonts w:hint="eastAsia"/>
          <w:color w:val="auto"/>
          <w:lang w:val="en-US" w:eastAsia="zh-CN"/>
        </w:rPr>
        <w:t>50</w:t>
      </w:r>
      <w:r>
        <w:rPr>
          <w:color w:val="auto"/>
        </w:rPr>
        <w:t>~</w:t>
      </w:r>
      <w:r>
        <w:rPr>
          <w:rFonts w:hint="eastAsia"/>
          <w:color w:val="auto"/>
        </w:rPr>
        <w:t>5</w:t>
      </w:r>
      <w:r>
        <w:rPr>
          <w:rFonts w:hint="eastAsia"/>
          <w:color w:val="auto"/>
          <w:lang w:val="en-US" w:eastAsia="zh-CN"/>
        </w:rPr>
        <w:t>3</w:t>
      </w:r>
      <w:r>
        <w:rPr>
          <w:color w:val="auto"/>
        </w:rPr>
        <w:t>dB(A)、夜间在</w:t>
      </w:r>
      <w:r>
        <w:rPr>
          <w:rFonts w:hint="eastAsia"/>
          <w:color w:val="auto"/>
          <w:lang w:val="en-US" w:eastAsia="zh-CN"/>
        </w:rPr>
        <w:t>41</w:t>
      </w:r>
      <w:r>
        <w:rPr>
          <w:color w:val="auto"/>
        </w:rPr>
        <w:t>~</w:t>
      </w:r>
      <w:r>
        <w:rPr>
          <w:rFonts w:hint="eastAsia"/>
          <w:color w:val="auto"/>
        </w:rPr>
        <w:t>4</w:t>
      </w:r>
      <w:r>
        <w:rPr>
          <w:rFonts w:hint="eastAsia"/>
          <w:color w:val="auto"/>
          <w:lang w:val="en-US" w:eastAsia="zh-CN"/>
        </w:rPr>
        <w:t>5</w:t>
      </w:r>
      <w:r>
        <w:rPr>
          <w:color w:val="auto"/>
        </w:rPr>
        <w:t>dB(A)，四周厂界监测值均满足《声环境质量标准》(GB3096-2008)中</w:t>
      </w:r>
      <w:r>
        <w:rPr>
          <w:rFonts w:hint="eastAsia"/>
          <w:color w:val="auto"/>
        </w:rPr>
        <w:t>2类</w:t>
      </w:r>
      <w:r>
        <w:rPr>
          <w:color w:val="auto"/>
        </w:rPr>
        <w:t>标准限值要求</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spacing w:line="240" w:lineRule="auto"/>
        <w:ind w:firstLine="0" w:firstLineChars="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sz w:val="21"/>
        </w:rPr>
        <mc:AlternateContent>
          <mc:Choice Requires="wps">
            <w:drawing>
              <wp:anchor distT="0" distB="0" distL="114300" distR="114300" simplePos="0" relativeHeight="251668480" behindDoc="0" locked="0" layoutInCell="1" allowOverlap="1">
                <wp:simplePos x="0" y="0"/>
                <wp:positionH relativeFrom="column">
                  <wp:posOffset>7145020</wp:posOffset>
                </wp:positionH>
                <wp:positionV relativeFrom="paragraph">
                  <wp:posOffset>5011420</wp:posOffset>
                </wp:positionV>
                <wp:extent cx="1810385" cy="737870"/>
                <wp:effectExtent l="4445" t="4445" r="13970" b="19685"/>
                <wp:wrapNone/>
                <wp:docPr id="71" name="矩形 396"/>
                <wp:cNvGraphicFramePr/>
                <a:graphic xmlns:a="http://schemas.openxmlformats.org/drawingml/2006/main">
                  <a:graphicData uri="http://schemas.microsoft.com/office/word/2010/wordprocessingShape">
                    <wps:wsp>
                      <wps:cNvSpPr/>
                      <wps:spPr>
                        <a:xfrm>
                          <a:off x="0" y="0"/>
                          <a:ext cx="1810385" cy="737870"/>
                        </a:xfrm>
                        <a:prstGeom prst="rect">
                          <a:avLst/>
                        </a:prstGeom>
                        <a:solidFill>
                          <a:srgbClr val="77933C"/>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autoSpaceDN/>
                              <w:bidi w:val="0"/>
                              <w:adjustRightInd/>
                              <w:snapToGrid/>
                              <w:spacing w:line="360" w:lineRule="auto"/>
                              <w:ind w:firstLine="0" w:firstLineChars="0"/>
                              <w:jc w:val="center"/>
                              <w:textAlignment w:val="auto"/>
                              <w:rPr>
                                <w:rFonts w:hint="default"/>
                                <w:b/>
                                <w:bCs/>
                                <w:lang w:val="en-US" w:eastAsia="zh-CN"/>
                              </w:rPr>
                            </w:pPr>
                            <w:r>
                              <w:rPr>
                                <w:rFonts w:hint="eastAsia"/>
                                <w:b/>
                                <w:bCs/>
                                <w:lang w:eastAsia="zh-CN"/>
                              </w:rPr>
                              <w:t>图例</w:t>
                            </w:r>
                            <w:r>
                              <w:rPr>
                                <w:rFonts w:hint="eastAsia"/>
                                <w:b/>
                                <w:bCs/>
                                <w:lang w:val="en-US" w:eastAsia="zh-CN"/>
                              </w:rPr>
                              <w:t xml:space="preserve"> </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地下水监测点位</w:t>
                            </w:r>
                            <w:r>
                              <w:rPr>
                                <w:rFonts w:hint="eastAsia"/>
                                <w:b/>
                                <w:bCs/>
                                <w:lang w:val="en-US" w:eastAsia="zh-CN"/>
                              </w:rPr>
                              <w:t xml:space="preserve">  </w:t>
                            </w:r>
                            <w:r>
                              <w:rPr>
                                <w:rFonts w:hint="eastAsia" w:ascii="宋体" w:hAnsi="宋体" w:cs="宋体"/>
                                <w:b/>
                                <w:bCs/>
                                <w:color w:val="FFFF00"/>
                              </w:rPr>
                              <w:t>☆</w:t>
                            </w:r>
                          </w:p>
                        </w:txbxContent>
                      </wps:txbx>
                      <wps:bodyPr upright="1"/>
                    </wps:wsp>
                  </a:graphicData>
                </a:graphic>
              </wp:anchor>
            </w:drawing>
          </mc:Choice>
          <mc:Fallback>
            <w:pict>
              <v:rect id="矩形 396" o:spid="_x0000_s1026" o:spt="1" style="position:absolute;left:0pt;margin-left:562.6pt;margin-top:394.6pt;height:58.1pt;width:142.55pt;z-index:251668480;mso-width-relative:page;mso-height-relative:page;" fillcolor="#77933C" filled="t" stroked="t" coordsize="21600,21600" o:gfxdata="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7ZbvvZAAAADQEAAA8AAAAAAAAAAQAgAAAA&#10;IgAAAGRycy9kb3ducmV2LnhtbFBLAQIUABQAAAAIAIdO4kAXTIg8CgIAACwEAAAOAAAAAAAAAAEA&#10;IAAAACgBAABkcnMvZTJvRG9jLnhtbFBLBQYAAAAABgAGAFkBAACkBQAAAAA=&#10;">
                <v:fill on="t" focussize="0,0"/>
                <v:stroke color="#000000" joinstyle="miter"/>
                <v:imagedata o:title=""/>
                <o:lock v:ext="edit" aspectratio="f"/>
                <v:textbox>
                  <w:txbxContent>
                    <w:p>
                      <w:pPr>
                        <w:keepNext w:val="0"/>
                        <w:keepLines w:val="0"/>
                        <w:pageBreakBefore w:val="0"/>
                        <w:widowControl w:val="0"/>
                        <w:kinsoku/>
                        <w:wordWrap/>
                        <w:overflowPunct/>
                        <w:autoSpaceDN/>
                        <w:bidi w:val="0"/>
                        <w:adjustRightInd/>
                        <w:snapToGrid/>
                        <w:spacing w:line="360" w:lineRule="auto"/>
                        <w:ind w:firstLine="0" w:firstLineChars="0"/>
                        <w:jc w:val="center"/>
                        <w:textAlignment w:val="auto"/>
                        <w:rPr>
                          <w:rFonts w:hint="default"/>
                          <w:b/>
                          <w:bCs/>
                          <w:lang w:val="en-US" w:eastAsia="zh-CN"/>
                        </w:rPr>
                      </w:pPr>
                      <w:r>
                        <w:rPr>
                          <w:rFonts w:hint="eastAsia"/>
                          <w:b/>
                          <w:bCs/>
                          <w:lang w:eastAsia="zh-CN"/>
                        </w:rPr>
                        <w:t>图例</w:t>
                      </w:r>
                      <w:r>
                        <w:rPr>
                          <w:rFonts w:hint="eastAsia"/>
                          <w:b/>
                          <w:bCs/>
                          <w:lang w:val="en-US" w:eastAsia="zh-CN"/>
                        </w:rPr>
                        <w:t xml:space="preserve"> </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地下水监测点位</w:t>
                      </w:r>
                      <w:r>
                        <w:rPr>
                          <w:rFonts w:hint="eastAsia"/>
                          <w:b/>
                          <w:bCs/>
                          <w:lang w:val="en-US" w:eastAsia="zh-CN"/>
                        </w:rPr>
                        <w:t xml:space="preserve">  </w:t>
                      </w:r>
                      <w:r>
                        <w:rPr>
                          <w:rFonts w:hint="eastAsia" w:ascii="宋体" w:hAnsi="宋体" w:cs="宋体"/>
                          <w:b/>
                          <w:bCs/>
                          <w:color w:val="FFFF00"/>
                        </w:rPr>
                        <w:t>☆</w:t>
                      </w:r>
                    </w:p>
                  </w:txbxContent>
                </v:textbox>
              </v:rect>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74624" behindDoc="0" locked="0" layoutInCell="1" allowOverlap="1">
                <wp:simplePos x="0" y="0"/>
                <wp:positionH relativeFrom="column">
                  <wp:posOffset>2745105</wp:posOffset>
                </wp:positionH>
                <wp:positionV relativeFrom="paragraph">
                  <wp:posOffset>3133090</wp:posOffset>
                </wp:positionV>
                <wp:extent cx="640715" cy="289560"/>
                <wp:effectExtent l="0" t="0" r="0" b="0"/>
                <wp:wrapNone/>
                <wp:docPr id="83" name="文本框 3"/>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pPr>
                            <w:r>
                              <w:rPr>
                                <w:rFonts w:hint="eastAsia" w:ascii="宋体" w:hAnsi="宋体" w:cs="宋体"/>
                                <w:b/>
                                <w:bCs/>
                                <w:color w:val="FFFF00"/>
                              </w:rPr>
                              <w:t>☆</w:t>
                            </w:r>
                            <w:r>
                              <w:rPr>
                                <w:rFonts w:hint="eastAsia"/>
                                <w:b/>
                                <w:bCs/>
                                <w:color w:val="FFFF00"/>
                              </w:rPr>
                              <w:t>#</w:t>
                            </w:r>
                            <w:r>
                              <w:rPr>
                                <w:rFonts w:hint="eastAsia"/>
                                <w:b/>
                                <w:bCs/>
                                <w:color w:val="FFFF00"/>
                                <w:lang w:val="en-US" w:eastAsia="zh-CN"/>
                              </w:rPr>
                              <w:t>5</w:t>
                            </w:r>
                          </w:p>
                        </w:txbxContent>
                      </wps:txbx>
                      <wps:bodyPr upright="1"/>
                    </wps:wsp>
                  </a:graphicData>
                </a:graphic>
              </wp:anchor>
            </w:drawing>
          </mc:Choice>
          <mc:Fallback>
            <w:pict>
              <v:shape id="文本框 3" o:spid="_x0000_s1026" o:spt="202" type="#_x0000_t202" style="position:absolute;left:0pt;margin-left:216.15pt;margin-top:246.7pt;height:22.8pt;width:50.45pt;z-index:251674624;mso-width-relative:page;mso-height-relative:page;" filled="f" stroked="f" coordsize="21600,21600" o:gfxdata="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L&#10;y9fI1wAAAAsBAAAPAAAAAAAAAAEAIAAAACIAAABkcnMvZG93bnJldi54bWxQSwECFAAUAAAACACH&#10;TuJABUrUdrMBAABcAwAADgAAAAAAAAABACAAAAAmAQAAZHJzL2Uyb0RvYy54bWxQSwUGAAAAAAYA&#10;BgBZAQAASwUAAAAA&#10;">
                <v:fill on="f" focussize="0,0"/>
                <v:stroke on="f"/>
                <v:imagedata o:title=""/>
                <o:lock v:ext="edit" aspectratio="f"/>
                <v:textbox>
                  <w:txbxContent>
                    <w:p>
                      <w:pPr>
                        <w:spacing w:line="240" w:lineRule="auto"/>
                        <w:ind w:left="0" w:leftChars="0" w:firstLine="0" w:firstLineChars="0"/>
                      </w:pPr>
                      <w:r>
                        <w:rPr>
                          <w:rFonts w:hint="eastAsia" w:ascii="宋体" w:hAnsi="宋体" w:cs="宋体"/>
                          <w:b/>
                          <w:bCs/>
                          <w:color w:val="FFFF00"/>
                        </w:rPr>
                        <w:t>☆</w:t>
                      </w:r>
                      <w:r>
                        <w:rPr>
                          <w:rFonts w:hint="eastAsia"/>
                          <w:b/>
                          <w:bCs/>
                          <w:color w:val="FFFF00"/>
                        </w:rPr>
                        <w:t>#</w:t>
                      </w:r>
                      <w:r>
                        <w:rPr>
                          <w:rFonts w:hint="eastAsia"/>
                          <w:b/>
                          <w:bCs/>
                          <w:color w:val="FFFF00"/>
                          <w:lang w:val="en-US" w:eastAsia="zh-CN"/>
                        </w:rPr>
                        <w:t>5</w:t>
                      </w:r>
                    </w:p>
                  </w:txbxContent>
                </v:textbox>
              </v:shape>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71552" behindDoc="0" locked="0" layoutInCell="1" allowOverlap="1">
                <wp:simplePos x="0" y="0"/>
                <wp:positionH relativeFrom="column">
                  <wp:posOffset>3666490</wp:posOffset>
                </wp:positionH>
                <wp:positionV relativeFrom="paragraph">
                  <wp:posOffset>3428365</wp:posOffset>
                </wp:positionV>
                <wp:extent cx="640715" cy="289560"/>
                <wp:effectExtent l="0" t="0" r="0" b="0"/>
                <wp:wrapNone/>
                <wp:docPr id="80" name="文本框 14"/>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pPr>
                            <w:r>
                              <w:rPr>
                                <w:rFonts w:hint="eastAsia"/>
                                <w:b/>
                                <w:bCs/>
                                <w:color w:val="FFFF00"/>
                                <w:lang w:val="en-US" w:eastAsia="zh-CN"/>
                              </w:rPr>
                              <w:t>3</w:t>
                            </w:r>
                            <w:r>
                              <w:rPr>
                                <w:rFonts w:hint="eastAsia"/>
                                <w:b/>
                                <w:bCs/>
                                <w:color w:val="FFFF00"/>
                              </w:rPr>
                              <w:t>#</w:t>
                            </w:r>
                            <w:r>
                              <w:rPr>
                                <w:rFonts w:hint="eastAsia" w:ascii="宋体" w:hAnsi="宋体" w:cs="宋体"/>
                                <w:b/>
                                <w:bCs/>
                                <w:color w:val="FFFF00"/>
                              </w:rPr>
                              <w:t>☆</w:t>
                            </w:r>
                          </w:p>
                        </w:txbxContent>
                      </wps:txbx>
                      <wps:bodyPr upright="1"/>
                    </wps:wsp>
                  </a:graphicData>
                </a:graphic>
              </wp:anchor>
            </w:drawing>
          </mc:Choice>
          <mc:Fallback>
            <w:pict>
              <v:shape id="文本框 14" o:spid="_x0000_s1026" o:spt="202" type="#_x0000_t202" style="position:absolute;left:0pt;margin-left:288.7pt;margin-top:269.95pt;height:22.8pt;width:50.45pt;z-index:251671552;mso-width-relative:page;mso-height-relative:page;" filled="f" stroked="f" coordsize="21600,21600" o:gfxdata="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t1e6N9gAAAALAQAADwAAAAAAAAABACAAAAAiAAAAZHJzL2Rvd25yZXYueG1sUEsBAhQAFAAAAAgA&#10;h07iQJ8Srj6zAQAAXQMAAA4AAAAAAAAAAQAgAAAAJwEAAGRycy9lMm9Eb2MueG1sUEsFBgAAAAAG&#10;AAYAWQEAAEwFAAAAAA==&#10;">
                <v:fill on="f" focussize="0,0"/>
                <v:stroke on="f"/>
                <v:imagedata o:title=""/>
                <o:lock v:ext="edit" aspectratio="f"/>
                <v:textbox>
                  <w:txbxContent>
                    <w:p>
                      <w:pPr>
                        <w:spacing w:line="240" w:lineRule="auto"/>
                        <w:ind w:left="0" w:leftChars="0" w:firstLine="0" w:firstLineChars="0"/>
                      </w:pPr>
                      <w:r>
                        <w:rPr>
                          <w:rFonts w:hint="eastAsia"/>
                          <w:b/>
                          <w:bCs/>
                          <w:color w:val="FFFF00"/>
                          <w:lang w:val="en-US" w:eastAsia="zh-CN"/>
                        </w:rPr>
                        <w:t>3</w:t>
                      </w:r>
                      <w:r>
                        <w:rPr>
                          <w:rFonts w:hint="eastAsia"/>
                          <w:b/>
                          <w:bCs/>
                          <w:color w:val="FFFF00"/>
                        </w:rPr>
                        <w:t>#</w:t>
                      </w:r>
                      <w:r>
                        <w:rPr>
                          <w:rFonts w:hint="eastAsia" w:ascii="宋体" w:hAnsi="宋体" w:cs="宋体"/>
                          <w:b/>
                          <w:bCs/>
                          <w:color w:val="FFFF00"/>
                        </w:rPr>
                        <w:t>☆</w:t>
                      </w:r>
                    </w:p>
                  </w:txbxContent>
                </v:textbox>
              </v:shape>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72576" behindDoc="0" locked="0" layoutInCell="1" allowOverlap="1">
                <wp:simplePos x="0" y="0"/>
                <wp:positionH relativeFrom="column">
                  <wp:posOffset>5297805</wp:posOffset>
                </wp:positionH>
                <wp:positionV relativeFrom="paragraph">
                  <wp:posOffset>2291715</wp:posOffset>
                </wp:positionV>
                <wp:extent cx="640715" cy="289560"/>
                <wp:effectExtent l="0" t="0" r="0" b="0"/>
                <wp:wrapNone/>
                <wp:docPr id="81" name="文本框 2"/>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pPr>
                            <w:r>
                              <w:rPr>
                                <w:rFonts w:hint="eastAsia"/>
                                <w:b/>
                                <w:bCs/>
                                <w:color w:val="FFFF00"/>
                                <w:lang w:val="en-US" w:eastAsia="zh-CN"/>
                              </w:rPr>
                              <w:t>6</w:t>
                            </w:r>
                            <w:r>
                              <w:rPr>
                                <w:rFonts w:hint="eastAsia"/>
                                <w:b/>
                                <w:bCs/>
                                <w:color w:val="FFFF00"/>
                              </w:rPr>
                              <w:t>#</w:t>
                            </w:r>
                            <w:r>
                              <w:rPr>
                                <w:rFonts w:hint="eastAsia" w:ascii="宋体" w:hAnsi="宋体" w:cs="宋体"/>
                                <w:b/>
                                <w:bCs/>
                                <w:color w:val="FFFF00"/>
                              </w:rPr>
                              <w:t>☆</w:t>
                            </w:r>
                          </w:p>
                        </w:txbxContent>
                      </wps:txbx>
                      <wps:bodyPr upright="1"/>
                    </wps:wsp>
                  </a:graphicData>
                </a:graphic>
              </wp:anchor>
            </w:drawing>
          </mc:Choice>
          <mc:Fallback>
            <w:pict>
              <v:shape id="文本框 2" o:spid="_x0000_s1026" o:spt="202" type="#_x0000_t202" style="position:absolute;left:0pt;margin-left:417.15pt;margin-top:180.45pt;height:22.8pt;width:50.45pt;z-index:251672576;mso-width-relative:page;mso-height-relative:page;" filled="f" stroked="f" coordsize="21600,21600" o:gfxdata="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03+DyNgAAAALAQAADwAAAAAAAAABACAAAAAiAAAAZHJzL2Rvd25yZXYueG1sUEsBAhQAFAAAAAgA&#10;h07iQGzyV+azAQAAXAMAAA4AAAAAAAAAAQAgAAAAJwEAAGRycy9lMm9Eb2MueG1sUEsFBgAAAAAG&#10;AAYAWQEAAEwFAAAAAA==&#10;">
                <v:fill on="f" focussize="0,0"/>
                <v:stroke on="f"/>
                <v:imagedata o:title=""/>
                <o:lock v:ext="edit" aspectratio="f"/>
                <v:textbox>
                  <w:txbxContent>
                    <w:p>
                      <w:pPr>
                        <w:spacing w:line="240" w:lineRule="auto"/>
                        <w:ind w:left="0" w:leftChars="0" w:firstLine="0" w:firstLineChars="0"/>
                      </w:pPr>
                      <w:r>
                        <w:rPr>
                          <w:rFonts w:hint="eastAsia"/>
                          <w:b/>
                          <w:bCs/>
                          <w:color w:val="FFFF00"/>
                          <w:lang w:val="en-US" w:eastAsia="zh-CN"/>
                        </w:rPr>
                        <w:t>6</w:t>
                      </w:r>
                      <w:r>
                        <w:rPr>
                          <w:rFonts w:hint="eastAsia"/>
                          <w:b/>
                          <w:bCs/>
                          <w:color w:val="FFFF00"/>
                        </w:rPr>
                        <w:t>#</w:t>
                      </w:r>
                      <w:r>
                        <w:rPr>
                          <w:rFonts w:hint="eastAsia" w:ascii="宋体" w:hAnsi="宋体" w:cs="宋体"/>
                          <w:b/>
                          <w:bCs/>
                          <w:color w:val="FFFF00"/>
                        </w:rPr>
                        <w:t>☆</w:t>
                      </w:r>
                    </w:p>
                  </w:txbxContent>
                </v:textbox>
              </v:shape>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73600" behindDoc="0" locked="0" layoutInCell="1" allowOverlap="1">
                <wp:simplePos x="0" y="0"/>
                <wp:positionH relativeFrom="column">
                  <wp:posOffset>4347210</wp:posOffset>
                </wp:positionH>
                <wp:positionV relativeFrom="paragraph">
                  <wp:posOffset>3949065</wp:posOffset>
                </wp:positionV>
                <wp:extent cx="640715" cy="289560"/>
                <wp:effectExtent l="0" t="0" r="0" b="0"/>
                <wp:wrapNone/>
                <wp:docPr id="82" name="文本框 15"/>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pPr>
                            <w:r>
                              <w:rPr>
                                <w:rFonts w:hint="eastAsia" w:ascii="宋体" w:hAnsi="宋体" w:cs="宋体"/>
                                <w:b/>
                                <w:bCs/>
                                <w:color w:val="FFFF00"/>
                              </w:rPr>
                              <w:t>☆</w:t>
                            </w:r>
                            <w:r>
                              <w:rPr>
                                <w:rFonts w:hint="eastAsia"/>
                                <w:b/>
                                <w:bCs/>
                                <w:color w:val="FFFF00"/>
                              </w:rPr>
                              <w:t>#</w:t>
                            </w:r>
                            <w:r>
                              <w:rPr>
                                <w:rFonts w:hint="eastAsia"/>
                                <w:b/>
                                <w:bCs/>
                                <w:color w:val="FFFF00"/>
                                <w:lang w:val="en-US" w:eastAsia="zh-CN"/>
                              </w:rPr>
                              <w:t>2</w:t>
                            </w:r>
                          </w:p>
                        </w:txbxContent>
                      </wps:txbx>
                      <wps:bodyPr upright="1"/>
                    </wps:wsp>
                  </a:graphicData>
                </a:graphic>
              </wp:anchor>
            </w:drawing>
          </mc:Choice>
          <mc:Fallback>
            <w:pict>
              <v:shape id="文本框 15" o:spid="_x0000_s1026" o:spt="202" type="#_x0000_t202" style="position:absolute;left:0pt;margin-left:342.3pt;margin-top:310.95pt;height:22.8pt;width:50.45pt;z-index:251673600;mso-width-relative:page;mso-height-relative:page;" filled="f" stroked="f" coordsize="21600,21600" o:gfxdata="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xVVHUNgAAAALAQAADwAAAAAAAAABACAAAAAiAAAAZHJzL2Rvd25yZXYueG1sUEsBAhQAFAAAAAgA&#10;h07iQMvk/1CzAQAAXQMAAA4AAAAAAAAAAQAgAAAAJwEAAGRycy9lMm9Eb2MueG1sUEsFBgAAAAAG&#10;AAYAWQEAAEwFAAAAAA==&#10;">
                <v:fill on="f" focussize="0,0"/>
                <v:stroke on="f"/>
                <v:imagedata o:title=""/>
                <o:lock v:ext="edit" aspectratio="f"/>
                <v:textbox>
                  <w:txbxContent>
                    <w:p>
                      <w:pPr>
                        <w:spacing w:line="240" w:lineRule="auto"/>
                        <w:ind w:left="0" w:leftChars="0" w:firstLine="0" w:firstLineChars="0"/>
                      </w:pPr>
                      <w:r>
                        <w:rPr>
                          <w:rFonts w:hint="eastAsia" w:ascii="宋体" w:hAnsi="宋体" w:cs="宋体"/>
                          <w:b/>
                          <w:bCs/>
                          <w:color w:val="FFFF00"/>
                        </w:rPr>
                        <w:t>☆</w:t>
                      </w:r>
                      <w:r>
                        <w:rPr>
                          <w:rFonts w:hint="eastAsia"/>
                          <w:b/>
                          <w:bCs/>
                          <w:color w:val="FFFF00"/>
                        </w:rPr>
                        <w:t>#</w:t>
                      </w:r>
                      <w:r>
                        <w:rPr>
                          <w:rFonts w:hint="eastAsia"/>
                          <w:b/>
                          <w:bCs/>
                          <w:color w:val="FFFF00"/>
                          <w:lang w:val="en-US" w:eastAsia="zh-CN"/>
                        </w:rPr>
                        <w:t>2</w:t>
                      </w:r>
                    </w:p>
                  </w:txbxContent>
                </v:textbox>
              </v:shape>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75648" behindDoc="0" locked="0" layoutInCell="1" allowOverlap="1">
                <wp:simplePos x="0" y="0"/>
                <wp:positionH relativeFrom="column">
                  <wp:posOffset>4258310</wp:posOffset>
                </wp:positionH>
                <wp:positionV relativeFrom="paragraph">
                  <wp:posOffset>2703830</wp:posOffset>
                </wp:positionV>
                <wp:extent cx="640715" cy="289560"/>
                <wp:effectExtent l="0" t="0" r="0" b="0"/>
                <wp:wrapNone/>
                <wp:docPr id="84" name="文本框 16"/>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pPr>
                            <w:r>
                              <w:rPr>
                                <w:rFonts w:hint="eastAsia" w:ascii="宋体" w:hAnsi="宋体" w:cs="宋体"/>
                                <w:b/>
                                <w:bCs/>
                                <w:color w:val="FFFF00"/>
                              </w:rPr>
                              <w:t>☆</w:t>
                            </w:r>
                            <w:r>
                              <w:rPr>
                                <w:rFonts w:hint="eastAsia"/>
                                <w:b/>
                                <w:bCs/>
                                <w:color w:val="FFFF00"/>
                              </w:rPr>
                              <w:t>#</w:t>
                            </w:r>
                            <w:r>
                              <w:rPr>
                                <w:rFonts w:hint="eastAsia"/>
                                <w:b/>
                                <w:bCs/>
                                <w:color w:val="FFFF00"/>
                                <w:lang w:val="en-US" w:eastAsia="zh-CN"/>
                              </w:rPr>
                              <w:t>1</w:t>
                            </w:r>
                          </w:p>
                        </w:txbxContent>
                      </wps:txbx>
                      <wps:bodyPr upright="1"/>
                    </wps:wsp>
                  </a:graphicData>
                </a:graphic>
              </wp:anchor>
            </w:drawing>
          </mc:Choice>
          <mc:Fallback>
            <w:pict>
              <v:shape id="文本框 16" o:spid="_x0000_s1026" o:spt="202" type="#_x0000_t202" style="position:absolute;left:0pt;margin-left:335.3pt;margin-top:212.9pt;height:22.8pt;width:50.45pt;z-index:251675648;mso-width-relative:page;mso-height-relative:page;" filled="f" stroked="f" coordsize="21600,21600" o:gfxdata="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XS8M7YAAAACwEAAA8AAAAAAAAAAQAgAAAAIgAAAGRycy9kb3ducmV2LnhtbFBLAQIUABQAAAAI&#10;AIdO4kA3/g3itAEAAF0DAAAOAAAAAAAAAAEAIAAAACcBAABkcnMvZTJvRG9jLnhtbFBLBQYAAAAA&#10;BgAGAFkBAABNBQAAAAA=&#10;">
                <v:fill on="f" focussize="0,0"/>
                <v:stroke on="f"/>
                <v:imagedata o:title=""/>
                <o:lock v:ext="edit" aspectratio="f"/>
                <v:textbox>
                  <w:txbxContent>
                    <w:p>
                      <w:pPr>
                        <w:spacing w:line="240" w:lineRule="auto"/>
                        <w:ind w:left="0" w:leftChars="0" w:firstLine="0" w:firstLineChars="0"/>
                      </w:pPr>
                      <w:r>
                        <w:rPr>
                          <w:rFonts w:hint="eastAsia" w:ascii="宋体" w:hAnsi="宋体" w:cs="宋体"/>
                          <w:b/>
                          <w:bCs/>
                          <w:color w:val="FFFF00"/>
                        </w:rPr>
                        <w:t>☆</w:t>
                      </w:r>
                      <w:r>
                        <w:rPr>
                          <w:rFonts w:hint="eastAsia"/>
                          <w:b/>
                          <w:bCs/>
                          <w:color w:val="FFFF00"/>
                        </w:rPr>
                        <w:t>#</w:t>
                      </w:r>
                      <w:r>
                        <w:rPr>
                          <w:rFonts w:hint="eastAsia"/>
                          <w:b/>
                          <w:bCs/>
                          <w:color w:val="FFFF00"/>
                          <w:lang w:val="en-US" w:eastAsia="zh-CN"/>
                        </w:rPr>
                        <w:t>1</w:t>
                      </w:r>
                    </w:p>
                  </w:txbxContent>
                </v:textbox>
              </v:shape>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70528" behindDoc="0" locked="0" layoutInCell="1" allowOverlap="1">
                <wp:simplePos x="0" y="0"/>
                <wp:positionH relativeFrom="column">
                  <wp:posOffset>4229100</wp:posOffset>
                </wp:positionH>
                <wp:positionV relativeFrom="paragraph">
                  <wp:posOffset>2873375</wp:posOffset>
                </wp:positionV>
                <wp:extent cx="640715" cy="289560"/>
                <wp:effectExtent l="0" t="0" r="0" b="0"/>
                <wp:wrapNone/>
                <wp:docPr id="79" name="文本框 4"/>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pPr>
                            <w:r>
                              <w:rPr>
                                <w:rFonts w:hint="eastAsia"/>
                                <w:b/>
                                <w:bCs/>
                                <w:color w:val="FFFF00"/>
                                <w:lang w:val="en-US" w:eastAsia="zh-CN"/>
                              </w:rPr>
                              <w:t>4</w:t>
                            </w:r>
                            <w:r>
                              <w:rPr>
                                <w:rFonts w:hint="eastAsia"/>
                                <w:b/>
                                <w:bCs/>
                                <w:color w:val="FFFF00"/>
                              </w:rPr>
                              <w:t>#</w:t>
                            </w:r>
                            <w:r>
                              <w:rPr>
                                <w:rFonts w:hint="eastAsia" w:ascii="宋体" w:hAnsi="宋体" w:cs="宋体"/>
                                <w:b/>
                                <w:bCs/>
                                <w:color w:val="FFFF00"/>
                              </w:rPr>
                              <w:t>☆</w:t>
                            </w:r>
                          </w:p>
                        </w:txbxContent>
                      </wps:txbx>
                      <wps:bodyPr upright="1"/>
                    </wps:wsp>
                  </a:graphicData>
                </a:graphic>
              </wp:anchor>
            </w:drawing>
          </mc:Choice>
          <mc:Fallback>
            <w:pict>
              <v:shape id="文本框 4" o:spid="_x0000_s1026" o:spt="202" type="#_x0000_t202" style="position:absolute;left:0pt;margin-left:333pt;margin-top:226.25pt;height:22.8pt;width:50.45pt;z-index:251670528;mso-width-relative:page;mso-height-relative:page;" filled="f" stroked="f" coordsize="21600,21600" o:gfxdata="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bj9kLYAAAACwEAAA8AAAAAAAAAAQAgAAAAIgAAAGRycy9kb3ducmV2LnhtbFBLAQIUABQAAAAI&#10;AIdO4kCHbTgJtAEAAFwDAAAOAAAAAAAAAAEAIAAAACcBAABkcnMvZTJvRG9jLnhtbFBLBQYAAAAA&#10;BgAGAFkBAABNBQAAAAA=&#10;">
                <v:fill on="f" focussize="0,0"/>
                <v:stroke on="f"/>
                <v:imagedata o:title=""/>
                <o:lock v:ext="edit" aspectratio="f"/>
                <v:textbox>
                  <w:txbxContent>
                    <w:p>
                      <w:pPr>
                        <w:spacing w:line="240" w:lineRule="auto"/>
                        <w:ind w:left="0" w:leftChars="0" w:firstLine="0" w:firstLineChars="0"/>
                      </w:pPr>
                      <w:r>
                        <w:rPr>
                          <w:rFonts w:hint="eastAsia"/>
                          <w:b/>
                          <w:bCs/>
                          <w:color w:val="FFFF00"/>
                          <w:lang w:val="en-US" w:eastAsia="zh-CN"/>
                        </w:rPr>
                        <w:t>4</w:t>
                      </w:r>
                      <w:r>
                        <w:rPr>
                          <w:rFonts w:hint="eastAsia"/>
                          <w:b/>
                          <w:bCs/>
                          <w:color w:val="FFFF00"/>
                        </w:rPr>
                        <w:t>#</w:t>
                      </w:r>
                      <w:r>
                        <w:rPr>
                          <w:rFonts w:hint="eastAsia" w:ascii="宋体" w:hAnsi="宋体" w:cs="宋体"/>
                          <w:b/>
                          <w:bCs/>
                          <w:color w:val="FFFF00"/>
                        </w:rPr>
                        <w:t>☆</w:t>
                      </w:r>
                    </w:p>
                  </w:txbxContent>
                </v:textbox>
              </v:shape>
            </w:pict>
          </mc:Fallback>
        </mc:AlternateContent>
      </w:r>
      <w:r>
        <w:rPr>
          <w:rFonts w:hint="default" w:ascii="Times New Roman" w:hAnsi="Times New Roman" w:eastAsia="宋体" w:cs="Times New Roman"/>
          <w:color w:val="auto"/>
          <w:highlight w:val="none"/>
        </w:rPr>
        <w:drawing>
          <wp:anchor distT="0" distB="0" distL="114300" distR="114300" simplePos="0" relativeHeight="252135424" behindDoc="0" locked="0" layoutInCell="1" allowOverlap="1">
            <wp:simplePos x="0" y="0"/>
            <wp:positionH relativeFrom="column">
              <wp:posOffset>7967980</wp:posOffset>
            </wp:positionH>
            <wp:positionV relativeFrom="paragraph">
              <wp:posOffset>-3175</wp:posOffset>
            </wp:positionV>
            <wp:extent cx="1156335" cy="1193165"/>
            <wp:effectExtent l="0" t="0" r="5715" b="6985"/>
            <wp:wrapNone/>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17"/>
                    <a:stretch>
                      <a:fillRect/>
                    </a:stretch>
                  </pic:blipFill>
                  <pic:spPr>
                    <a:xfrm>
                      <a:off x="0" y="0"/>
                      <a:ext cx="1156335" cy="1193165"/>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2164096" behindDoc="0" locked="0" layoutInCell="1" allowOverlap="1">
                <wp:simplePos x="0" y="0"/>
                <wp:positionH relativeFrom="column">
                  <wp:posOffset>1838325</wp:posOffset>
                </wp:positionH>
                <wp:positionV relativeFrom="paragraph">
                  <wp:posOffset>795020</wp:posOffset>
                </wp:positionV>
                <wp:extent cx="5447030" cy="4212590"/>
                <wp:effectExtent l="13970" t="0" r="25400" b="21590"/>
                <wp:wrapNone/>
                <wp:docPr id="30" name="矩形 30"/>
                <wp:cNvGraphicFramePr/>
                <a:graphic xmlns:a="http://schemas.openxmlformats.org/drawingml/2006/main">
                  <a:graphicData uri="http://schemas.microsoft.com/office/word/2010/wordprocessingShape">
                    <wps:wsp>
                      <wps:cNvSpPr/>
                      <wps:spPr>
                        <a:xfrm>
                          <a:off x="0" y="0"/>
                          <a:ext cx="5447030" cy="4212590"/>
                        </a:xfrm>
                        <a:prstGeom prst="rect">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4.75pt;margin-top:62.6pt;height:331.7pt;width:428.9pt;z-index:252164096;v-text-anchor:middle;mso-width-relative:page;mso-height-relative:page;" filled="f" stroked="t" coordsize="21600,21600" o:gfxdata="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Pr6FFDYAAAADAEAAA8AAAAAAAAAAQAgAAAAIgAAAGRycy9kb3ducmV2LnhtbFBLAQIUABQAAAAI&#10;AIdO4kDwoUwzXwIAALcEAAAOAAAAAAAAAAEAIAAAACcBAABkcnMvZTJvRG9jLnhtbFBLBQYAAAAA&#10;BgAGAFkBAAD4BQAAAAA=&#10;">
                <v:fill on="f" focussize="0,0"/>
                <v:stroke weight="2.25pt" color="#FFFF00 [3204]" joinstyle="round"/>
                <v:imagedata o:title=""/>
                <o:lock v:ext="edit" aspectratio="f"/>
              </v:rect>
            </w:pict>
          </mc:Fallback>
        </mc:AlternateContent>
      </w:r>
      <w:r>
        <w:rPr>
          <w:color w:val="auto"/>
          <w:sz w:val="24"/>
        </w:rPr>
        <mc:AlternateContent>
          <mc:Choice Requires="wps">
            <w:drawing>
              <wp:anchor distT="0" distB="0" distL="114300" distR="114300" simplePos="0" relativeHeight="252193792" behindDoc="0" locked="0" layoutInCell="1" allowOverlap="1">
                <wp:simplePos x="0" y="0"/>
                <wp:positionH relativeFrom="column">
                  <wp:posOffset>3213735</wp:posOffset>
                </wp:positionH>
                <wp:positionV relativeFrom="paragraph">
                  <wp:posOffset>1524635</wp:posOffset>
                </wp:positionV>
                <wp:extent cx="2339975" cy="2788285"/>
                <wp:effectExtent l="443865" t="651510" r="444500" b="666115"/>
                <wp:wrapNone/>
                <wp:docPr id="31" name="矩形 31"/>
                <wp:cNvGraphicFramePr/>
                <a:graphic xmlns:a="http://schemas.openxmlformats.org/drawingml/2006/main">
                  <a:graphicData uri="http://schemas.microsoft.com/office/word/2010/wordprocessingShape">
                    <wps:wsp>
                      <wps:cNvSpPr/>
                      <wps:spPr>
                        <a:xfrm rot="2880000">
                          <a:off x="0" y="0"/>
                          <a:ext cx="2339975" cy="2788285"/>
                        </a:xfrm>
                        <a:prstGeom prst="rect">
                          <a:avLst/>
                        </a:prstGeom>
                        <a:noFill/>
                        <a:ln w="3810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3.05pt;margin-top:120.05pt;height:219.55pt;width:184.25pt;rotation:3145728f;z-index:252193792;v-text-anchor:middle;mso-width-relative:page;mso-height-relative:page;" filled="f" stroked="t" coordsize="21600,21600" o:gfxdata="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Dor6uLbAAAACwEAAA8AAAAAAAAAAQAgAAAAIgAAAGRycy9kb3ducmV2&#10;LnhtbFBLAQIUABQAAAAIAIdO4kA6bTHOawIAAMUEAAAOAAAAAAAAAAEAIAAAACoBAABkcnMvZTJv&#10;RG9jLnhtbFBLBQYAAAAABgAGAFkBAAAHBgAAAAA=&#10;">
                <v:fill on="f" focussize="0,0"/>
                <v:stroke weight="3pt" color="#7030A0 [3204]" joinstyle="round"/>
                <v:imagedata o:title=""/>
                <o:lock v:ext="edit" aspectratio="f"/>
              </v:rect>
            </w:pict>
          </mc:Fallback>
        </mc:AlternateContent>
      </w:r>
      <w:r>
        <w:rPr>
          <w:rFonts w:hint="default" w:ascii="Times New Roman" w:hAnsi="Times New Roman" w:eastAsia="宋体" w:cs="Times New Roman"/>
          <w:color w:val="auto"/>
          <w:lang w:eastAsia="zh-CN"/>
        </w:rPr>
        <w:drawing>
          <wp:inline distT="0" distB="0" distL="114300" distR="114300">
            <wp:extent cx="8703310" cy="5760085"/>
            <wp:effectExtent l="0" t="0" r="2540" b="12065"/>
            <wp:docPr id="27" name="图片 27" descr="C:/Users/addd/AppData/Local/Temp/picturecompress_20210503174618/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addd/AppData/Local/Temp/picturecompress_20210503174618/output_1.pngoutput_1"/>
                    <pic:cNvPicPr>
                      <a:picLocks noChangeAspect="1"/>
                    </pic:cNvPicPr>
                  </pic:nvPicPr>
                  <pic:blipFill>
                    <a:blip r:embed="rId19"/>
                    <a:stretch>
                      <a:fillRect/>
                    </a:stretch>
                  </pic:blipFill>
                  <pic:spPr>
                    <a:xfrm>
                      <a:off x="0" y="0"/>
                      <a:ext cx="8703310" cy="5760085"/>
                    </a:xfrm>
                    <a:prstGeom prst="rect">
                      <a:avLst/>
                    </a:prstGeom>
                  </pic:spPr>
                </pic:pic>
              </a:graphicData>
            </a:graphic>
          </wp:inline>
        </w:drawing>
      </w:r>
    </w:p>
    <w:p>
      <w:pPr>
        <w:pStyle w:val="2"/>
        <w:jc w:val="center"/>
        <w:rPr>
          <w:rFonts w:hint="default"/>
          <w:lang w:eastAsia="zh-CN"/>
        </w:rPr>
      </w:pPr>
      <w:r>
        <w:rPr>
          <w:rFonts w:hint="default" w:ascii="Times New Roman" w:hAnsi="Times New Roman" w:eastAsia="宋体" w:cs="Times New Roman"/>
          <w:b/>
          <w:bCs/>
          <w:color w:val="auto"/>
        </w:rPr>
        <w:t xml:space="preserve">图4.2-1    </w:t>
      </w:r>
      <w:r>
        <w:rPr>
          <w:rFonts w:hint="eastAsia" w:ascii="Times New Roman" w:hAnsi="Times New Roman" w:cs="Times New Roman"/>
          <w:b/>
          <w:bCs/>
          <w:color w:val="auto"/>
          <w:lang w:val="en-US" w:eastAsia="zh-CN"/>
        </w:rPr>
        <w:t>地下水</w:t>
      </w:r>
      <w:r>
        <w:rPr>
          <w:rFonts w:hint="default" w:ascii="Times New Roman" w:hAnsi="Times New Roman" w:eastAsia="宋体" w:cs="Times New Roman"/>
          <w:b/>
          <w:bCs/>
          <w:color w:val="auto"/>
        </w:rPr>
        <w:t>环境现状监测布点图</w:t>
      </w:r>
    </w:p>
    <w:p>
      <w:pPr>
        <w:pStyle w:val="8"/>
        <w:rPr>
          <w:rFonts w:hint="default" w:ascii="Times New Roman" w:hAnsi="Times New Roman" w:eastAsia="宋体" w:cs="Times New Roman"/>
          <w:color w:val="auto"/>
        </w:rPr>
      </w:pPr>
      <w:r>
        <w:rPr>
          <w:color w:val="auto"/>
          <w:sz w:val="24"/>
        </w:rPr>
        <mc:AlternateContent>
          <mc:Choice Requires="wps">
            <w:drawing>
              <wp:anchor distT="0" distB="0" distL="114300" distR="114300" simplePos="0" relativeHeight="252288000" behindDoc="0" locked="0" layoutInCell="1" allowOverlap="1">
                <wp:simplePos x="0" y="0"/>
                <wp:positionH relativeFrom="column">
                  <wp:posOffset>2117090</wp:posOffset>
                </wp:positionH>
                <wp:positionV relativeFrom="paragraph">
                  <wp:posOffset>191770</wp:posOffset>
                </wp:positionV>
                <wp:extent cx="4572000" cy="5219700"/>
                <wp:effectExtent l="12700" t="12700" r="25400" b="25400"/>
                <wp:wrapNone/>
                <wp:docPr id="34" name="任意多边形 34"/>
                <wp:cNvGraphicFramePr/>
                <a:graphic xmlns:a="http://schemas.openxmlformats.org/drawingml/2006/main">
                  <a:graphicData uri="http://schemas.microsoft.com/office/word/2010/wordprocessingShape">
                    <wps:wsp>
                      <wps:cNvSpPr/>
                      <wps:spPr>
                        <a:xfrm>
                          <a:off x="0" y="0"/>
                          <a:ext cx="4572000" cy="5219700"/>
                        </a:xfrm>
                        <a:custGeom>
                          <a:avLst/>
                          <a:gdLst>
                            <a:gd name="connisteX0" fmla="*/ 1186815 w 4601210"/>
                            <a:gd name="connsiteY0" fmla="*/ 0 h 5290185"/>
                            <a:gd name="connisteX1" fmla="*/ 0 w 4601210"/>
                            <a:gd name="connsiteY1" fmla="*/ 930910 h 5290185"/>
                            <a:gd name="connisteX2" fmla="*/ 14605 w 4601210"/>
                            <a:gd name="connsiteY2" fmla="*/ 3722370 h 5290185"/>
                            <a:gd name="connisteX3" fmla="*/ 1260475 w 4601210"/>
                            <a:gd name="connsiteY3" fmla="*/ 3641725 h 5290185"/>
                            <a:gd name="connisteX4" fmla="*/ 1296670 w 4601210"/>
                            <a:gd name="connsiteY4" fmla="*/ 4615180 h 5290185"/>
                            <a:gd name="connisteX5" fmla="*/ 2337435 w 4601210"/>
                            <a:gd name="connsiteY5" fmla="*/ 5290185 h 5290185"/>
                            <a:gd name="connisteX6" fmla="*/ 3443605 w 4601210"/>
                            <a:gd name="connsiteY6" fmla="*/ 3757930 h 5290185"/>
                            <a:gd name="connisteX7" fmla="*/ 3282315 w 4601210"/>
                            <a:gd name="connsiteY7" fmla="*/ 3575685 h 5290185"/>
                            <a:gd name="connisteX8" fmla="*/ 4271645 w 4601210"/>
                            <a:gd name="connsiteY8" fmla="*/ 2703195 h 5290185"/>
                            <a:gd name="connisteX9" fmla="*/ 3993515 w 4601210"/>
                            <a:gd name="connsiteY9" fmla="*/ 2424430 h 5290185"/>
                            <a:gd name="connisteX10" fmla="*/ 4601210 w 4601210"/>
                            <a:gd name="connsiteY10" fmla="*/ 1802130 h 5290185"/>
                            <a:gd name="connisteX11" fmla="*/ 3832225 w 4601210"/>
                            <a:gd name="connsiteY11" fmla="*/ 1026160 h 5290185"/>
                            <a:gd name="connisteX12" fmla="*/ 2791460 w 4601210"/>
                            <a:gd name="connsiteY12" fmla="*/ 1003935 h 5290185"/>
                            <a:gd name="connisteX13" fmla="*/ 2762250 w 4601210"/>
                            <a:gd name="connsiteY13" fmla="*/ 769620 h 5290185"/>
                            <a:gd name="connisteX14" fmla="*/ 2469515 w 4601210"/>
                            <a:gd name="connsiteY14" fmla="*/ 798195 h 5290185"/>
                            <a:gd name="connisteX15" fmla="*/ 2418080 w 4601210"/>
                            <a:gd name="connsiteY15" fmla="*/ 439420 h 5290185"/>
                            <a:gd name="connisteX16" fmla="*/ 1809750 w 4601210"/>
                            <a:gd name="connsiteY16" fmla="*/ 476250 h 5290185"/>
                            <a:gd name="connisteX17" fmla="*/ 1186815 w 4601210"/>
                            <a:gd name="connsiteY17" fmla="*/ 0 h 529018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Lst>
                          <a:rect l="l" t="t" r="r" b="b"/>
                          <a:pathLst>
                            <a:path w="4601210" h="5290185">
                              <a:moveTo>
                                <a:pt x="1186815" y="0"/>
                              </a:moveTo>
                              <a:lnTo>
                                <a:pt x="0" y="930910"/>
                              </a:lnTo>
                              <a:lnTo>
                                <a:pt x="14605" y="3722370"/>
                              </a:lnTo>
                              <a:lnTo>
                                <a:pt x="1260475" y="3641725"/>
                              </a:lnTo>
                              <a:lnTo>
                                <a:pt x="1296670" y="4615180"/>
                              </a:lnTo>
                              <a:lnTo>
                                <a:pt x="2337435" y="5290185"/>
                              </a:lnTo>
                              <a:lnTo>
                                <a:pt x="3443605" y="3757930"/>
                              </a:lnTo>
                              <a:lnTo>
                                <a:pt x="3282315" y="3575685"/>
                              </a:lnTo>
                              <a:lnTo>
                                <a:pt x="4271645" y="2703195"/>
                              </a:lnTo>
                              <a:lnTo>
                                <a:pt x="3993515" y="2424430"/>
                              </a:lnTo>
                              <a:lnTo>
                                <a:pt x="4601210" y="1802130"/>
                              </a:lnTo>
                              <a:lnTo>
                                <a:pt x="3832225" y="1026160"/>
                              </a:lnTo>
                              <a:lnTo>
                                <a:pt x="2791460" y="1003935"/>
                              </a:lnTo>
                              <a:lnTo>
                                <a:pt x="2762250" y="769620"/>
                              </a:lnTo>
                              <a:lnTo>
                                <a:pt x="2469515" y="798195"/>
                              </a:lnTo>
                              <a:lnTo>
                                <a:pt x="2418080" y="439420"/>
                              </a:lnTo>
                              <a:lnTo>
                                <a:pt x="1809750" y="476250"/>
                              </a:lnTo>
                              <a:lnTo>
                                <a:pt x="1186815" y="0"/>
                              </a:lnTo>
                              <a:close/>
                            </a:path>
                          </a:pathLst>
                        </a:cu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166.7pt;margin-top:15.1pt;height:411pt;width:360pt;z-index:252288000;mso-width-relative:page;mso-height-relative:page;" filled="f" stroked="t" coordsize="4601210,5290185" o:gfxdata="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" path="m1186815,0l0,930910,14605,3722370,1260475,3641725,1296670,4615180,2337435,5290185,3443605,3757930,3282315,3575685,4271645,2703195,3993515,2424430,4601210,1802130,3832225,1026160,2791460,1003935,2762250,769620,2469515,798195,2418080,439420,1809750,476250,1186815,0xe">
                <v:path o:connectlocs="1179280,0;0,918506;14512,3672774;1252473,3593203;1288438,4553688;2322596,5219700;3421743,3707860;3261477,3528043;4244527,2667178;3968162,2392127;4572000,1778118;3807896,1012487;2773738,990558;2744714,759365;2453837,787560;2402729,433565;1798261,469904;1179280,0" o:connectangles="0,0,0,0,0,0,0,0,0,0,0,0,0,0,0,0,0,0"/>
                <v:fill on="f" focussize="0,0"/>
                <v:stroke weight="2pt" color="#00B0F0 [3204]" joinstyle="round"/>
                <v:imagedata o:title=""/>
                <o:lock v:ext="edit" aspectratio="f"/>
              </v:shape>
            </w:pict>
          </mc:Fallback>
        </mc:AlternateContent>
      </w:r>
      <w:r>
        <w:rPr>
          <w:rFonts w:hint="eastAsia" w:ascii="Times New Roman" w:hAnsi="Times New Roman" w:eastAsia="宋体" w:cs="Times New Roman"/>
          <w:b/>
          <w:bCs/>
          <w:color w:val="auto"/>
          <w:lang w:eastAsia="zh-CN"/>
        </w:rPr>
        <w:drawing>
          <wp:anchor distT="0" distB="0" distL="114300" distR="114300" simplePos="0" relativeHeight="252238848" behindDoc="0" locked="0" layoutInCell="1" allowOverlap="1">
            <wp:simplePos x="0" y="0"/>
            <wp:positionH relativeFrom="column">
              <wp:posOffset>709930</wp:posOffset>
            </wp:positionH>
            <wp:positionV relativeFrom="paragraph">
              <wp:posOffset>-47625</wp:posOffset>
            </wp:positionV>
            <wp:extent cx="7524750" cy="5760085"/>
            <wp:effectExtent l="0" t="0" r="0" b="12065"/>
            <wp:wrapNone/>
            <wp:docPr id="33" name="图片 33" descr="屏幕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屏幕截图"/>
                    <pic:cNvPicPr>
                      <a:picLocks noChangeAspect="1"/>
                    </pic:cNvPicPr>
                  </pic:nvPicPr>
                  <pic:blipFill>
                    <a:blip r:embed="rId20"/>
                    <a:stretch>
                      <a:fillRect/>
                    </a:stretch>
                  </pic:blipFill>
                  <pic:spPr>
                    <a:xfrm>
                      <a:off x="0" y="0"/>
                      <a:ext cx="7524750" cy="5760085"/>
                    </a:xfrm>
                    <a:prstGeom prst="rect">
                      <a:avLst/>
                    </a:prstGeom>
                  </pic:spPr>
                </pic:pic>
              </a:graphicData>
            </a:graphic>
          </wp:anchor>
        </w:drawing>
      </w: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sz w:val="21"/>
        </w:rPr>
        <mc:AlternateContent>
          <mc:Choice Requires="wps">
            <w:drawing>
              <wp:anchor distT="0" distB="0" distL="114300" distR="114300" simplePos="0" relativeHeight="252382208" behindDoc="0" locked="0" layoutInCell="1" allowOverlap="1">
                <wp:simplePos x="0" y="0"/>
                <wp:positionH relativeFrom="column">
                  <wp:posOffset>4001135</wp:posOffset>
                </wp:positionH>
                <wp:positionV relativeFrom="paragraph">
                  <wp:posOffset>136525</wp:posOffset>
                </wp:positionV>
                <wp:extent cx="640715" cy="289560"/>
                <wp:effectExtent l="0" t="0" r="0" b="0"/>
                <wp:wrapNone/>
                <wp:docPr id="88" name="文本框 53"/>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rPr>
                                <w:b/>
                                <w:bCs/>
                              </w:rPr>
                            </w:pPr>
                            <w:r>
                              <w:rPr>
                                <w:rFonts w:hint="eastAsia"/>
                                <w:b/>
                                <w:bCs/>
                                <w:color w:val="FFFF00"/>
                                <w:lang w:val="en-US" w:eastAsia="zh-CN"/>
                              </w:rPr>
                              <w:t>△</w:t>
                            </w:r>
                            <w:r>
                              <w:rPr>
                                <w:rFonts w:hint="eastAsia"/>
                                <w:b/>
                                <w:bCs/>
                                <w:color w:val="FFFF00"/>
                              </w:rPr>
                              <w:t>#</w:t>
                            </w:r>
                            <w:r>
                              <w:rPr>
                                <w:rFonts w:hint="eastAsia"/>
                                <w:b/>
                                <w:bCs/>
                                <w:color w:val="FFFF00"/>
                                <w:lang w:val="en-US" w:eastAsia="zh-CN"/>
                              </w:rPr>
                              <w:t>4</w:t>
                            </w:r>
                          </w:p>
                        </w:txbxContent>
                      </wps:txbx>
                      <wps:bodyPr upright="1"/>
                    </wps:wsp>
                  </a:graphicData>
                </a:graphic>
              </wp:anchor>
            </w:drawing>
          </mc:Choice>
          <mc:Fallback>
            <w:pict>
              <v:shape id="文本框 53" o:spid="_x0000_s1026" o:spt="202" type="#_x0000_t202" style="position:absolute;left:0pt;margin-left:315.05pt;margin-top:10.75pt;height:22.8pt;width:50.45pt;z-index:252382208;mso-width-relative:page;mso-height-relative:page;" filled="f" stroked="f" coordsize="21600,21600" o:gfxdata="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xO&#10;vprWAAAACQEAAA8AAAAAAAAAAQAgAAAAIgAAAGRycy9kb3ducmV2LnhtbFBLAQIUABQAAAAIAIdO&#10;4kAKYHkuswEAAF0DAAAOAAAAAAAAAAEAIAAAACUBAABkcnMvZTJvRG9jLnhtbFBLBQYAAAAABgAG&#10;AFkBAABKBQAAAAA=&#10;">
                <v:fill on="f" focussize="0,0"/>
                <v:stroke on="f"/>
                <v:imagedata o:title=""/>
                <o:lock v:ext="edit" aspectratio="f"/>
                <v:textbox>
                  <w:txbxContent>
                    <w:p>
                      <w:pPr>
                        <w:spacing w:line="240" w:lineRule="auto"/>
                        <w:ind w:left="0" w:leftChars="0" w:firstLine="0" w:firstLineChars="0"/>
                        <w:rPr>
                          <w:b/>
                          <w:bCs/>
                        </w:rPr>
                      </w:pPr>
                      <w:r>
                        <w:rPr>
                          <w:rFonts w:hint="eastAsia"/>
                          <w:b/>
                          <w:bCs/>
                          <w:color w:val="FFFF00"/>
                          <w:lang w:val="en-US" w:eastAsia="zh-CN"/>
                        </w:rPr>
                        <w:t>△</w:t>
                      </w:r>
                      <w:r>
                        <w:rPr>
                          <w:rFonts w:hint="eastAsia"/>
                          <w:b/>
                          <w:bCs/>
                          <w:color w:val="FFFF00"/>
                        </w:rPr>
                        <w:t>#</w:t>
                      </w:r>
                      <w:r>
                        <w:rPr>
                          <w:rFonts w:hint="eastAsia"/>
                          <w:b/>
                          <w:bCs/>
                          <w:color w:val="FFFF00"/>
                          <w:lang w:val="en-US" w:eastAsia="zh-CN"/>
                        </w:rPr>
                        <w:t>4</w:t>
                      </w:r>
                    </w:p>
                  </w:txbxContent>
                </v:textbox>
              </v:shape>
            </w:pict>
          </mc:Fallback>
        </mc:AlternateContent>
      </w:r>
    </w:p>
    <w:p>
      <w:pPr>
        <w:pStyle w:val="8"/>
        <w:rPr>
          <w:rFonts w:hint="default" w:ascii="Times New Roman" w:hAnsi="Times New Roman" w:eastAsia="宋体" w:cs="Times New Roman"/>
          <w:color w:val="auto"/>
        </w:r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sz w:val="21"/>
        </w:rPr>
        <mc:AlternateContent>
          <mc:Choice Requires="wps">
            <w:drawing>
              <wp:anchor distT="0" distB="0" distL="114300" distR="114300" simplePos="0" relativeHeight="252359680" behindDoc="0" locked="0" layoutInCell="1" allowOverlap="1">
                <wp:simplePos x="0" y="0"/>
                <wp:positionH relativeFrom="column">
                  <wp:posOffset>5161280</wp:posOffset>
                </wp:positionH>
                <wp:positionV relativeFrom="paragraph">
                  <wp:posOffset>207010</wp:posOffset>
                </wp:positionV>
                <wp:extent cx="640715" cy="289560"/>
                <wp:effectExtent l="0" t="0" r="0" b="0"/>
                <wp:wrapNone/>
                <wp:docPr id="91" name="文本框 53"/>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rPr>
                                <w:b/>
                                <w:bCs/>
                              </w:rPr>
                            </w:pPr>
                            <w:r>
                              <w:rPr>
                                <w:rFonts w:hint="eastAsia"/>
                                <w:b/>
                                <w:bCs/>
                                <w:color w:val="FFFF00"/>
                                <w:lang w:val="en-US" w:eastAsia="zh-CN"/>
                              </w:rPr>
                              <w:t>△</w:t>
                            </w:r>
                            <w:r>
                              <w:rPr>
                                <w:rFonts w:hint="eastAsia"/>
                                <w:b/>
                                <w:bCs/>
                                <w:color w:val="FFFF00"/>
                              </w:rPr>
                              <w:t>#</w:t>
                            </w:r>
                            <w:r>
                              <w:rPr>
                                <w:rFonts w:hint="eastAsia"/>
                                <w:b/>
                                <w:bCs/>
                                <w:color w:val="FFFF00"/>
                                <w:lang w:val="en-US" w:eastAsia="zh-CN"/>
                              </w:rPr>
                              <w:t>1</w:t>
                            </w:r>
                          </w:p>
                        </w:txbxContent>
                      </wps:txbx>
                      <wps:bodyPr upright="1"/>
                    </wps:wsp>
                  </a:graphicData>
                </a:graphic>
              </wp:anchor>
            </w:drawing>
          </mc:Choice>
          <mc:Fallback>
            <w:pict>
              <v:shape id="文本框 53" o:spid="_x0000_s1026" o:spt="202" type="#_x0000_t202" style="position:absolute;left:0pt;margin-left:406.4pt;margin-top:16.3pt;height:22.8pt;width:50.45pt;z-index:252359680;mso-width-relative:page;mso-height-relative:page;" filled="f" stroked="f" coordsize="21600,21600" o:gfxdata="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i66XdcAAAAJAQAADwAAAAAAAAABACAAAAAiAAAAZHJzL2Rvd25yZXYueG1sUEsBAhQAFAAAAAgA&#10;h07iQOUJsva0AQAAXQMAAA4AAAAAAAAAAQAgAAAAJgEAAGRycy9lMm9Eb2MueG1sUEsFBgAAAAAG&#10;AAYAWQEAAEwFAAAAAA==&#10;">
                <v:fill on="f" focussize="0,0"/>
                <v:stroke on="f"/>
                <v:imagedata o:title=""/>
                <o:lock v:ext="edit" aspectratio="f"/>
                <v:textbox>
                  <w:txbxContent>
                    <w:p>
                      <w:pPr>
                        <w:spacing w:line="240" w:lineRule="auto"/>
                        <w:ind w:left="0" w:leftChars="0" w:firstLine="0" w:firstLineChars="0"/>
                        <w:rPr>
                          <w:b/>
                          <w:bCs/>
                        </w:rPr>
                      </w:pPr>
                      <w:r>
                        <w:rPr>
                          <w:rFonts w:hint="eastAsia"/>
                          <w:b/>
                          <w:bCs/>
                          <w:color w:val="FFFF00"/>
                          <w:lang w:val="en-US" w:eastAsia="zh-CN"/>
                        </w:rPr>
                        <w:t>△</w:t>
                      </w:r>
                      <w:r>
                        <w:rPr>
                          <w:rFonts w:hint="eastAsia"/>
                          <w:b/>
                          <w:bCs/>
                          <w:color w:val="FFFF00"/>
                        </w:rPr>
                        <w:t>#</w:t>
                      </w:r>
                      <w:r>
                        <w:rPr>
                          <w:rFonts w:hint="eastAsia"/>
                          <w:b/>
                          <w:bCs/>
                          <w:color w:val="FFFF00"/>
                          <w:lang w:val="en-US" w:eastAsia="zh-CN"/>
                        </w:rPr>
                        <w:t>1</w:t>
                      </w:r>
                    </w:p>
                  </w:txbxContent>
                </v:textbox>
              </v:shape>
            </w:pict>
          </mc:Fallback>
        </mc:AlternateContent>
      </w:r>
    </w:p>
    <w:p>
      <w:pPr>
        <w:rPr>
          <w:rFonts w:hint="default" w:ascii="Times New Roman" w:hAnsi="Times New Roman" w:eastAsia="宋体" w:cs="Times New Roman"/>
          <w:color w:val="auto"/>
        </w:rPr>
      </w:pPr>
      <w:r>
        <w:rPr>
          <w:rFonts w:hint="default" w:ascii="Times New Roman" w:hAnsi="Times New Roman" w:eastAsia="宋体" w:cs="Times New Roman"/>
          <w:color w:val="auto"/>
          <w:sz w:val="24"/>
        </w:rPr>
        <mc:AlternateContent>
          <mc:Choice Requires="wps">
            <w:drawing>
              <wp:anchor distT="0" distB="0" distL="114300" distR="114300" simplePos="0" relativeHeight="252419072" behindDoc="0" locked="0" layoutInCell="1" allowOverlap="1">
                <wp:simplePos x="0" y="0"/>
                <wp:positionH relativeFrom="column">
                  <wp:posOffset>4099560</wp:posOffset>
                </wp:positionH>
                <wp:positionV relativeFrom="paragraph">
                  <wp:posOffset>163195</wp:posOffset>
                </wp:positionV>
                <wp:extent cx="144145" cy="144145"/>
                <wp:effectExtent l="4445" t="4445" r="22860" b="22860"/>
                <wp:wrapNone/>
                <wp:docPr id="77" name="椭圆 374"/>
                <wp:cNvGraphicFramePr/>
                <a:graphic xmlns:a="http://schemas.openxmlformats.org/drawingml/2006/main">
                  <a:graphicData uri="http://schemas.microsoft.com/office/word/2010/wordprocessingShape">
                    <wps:wsp>
                      <wps:cNvSpPr/>
                      <wps:spPr>
                        <a:xfrm>
                          <a:off x="0" y="0"/>
                          <a:ext cx="144145" cy="144145"/>
                        </a:xfrm>
                        <a:prstGeom prst="ellipse">
                          <a:avLst/>
                        </a:prstGeom>
                        <a:solidFill>
                          <a:srgbClr val="FF0000"/>
                        </a:solidFill>
                        <a:ln w="9525" cap="flat" cmpd="sng">
                          <a:solidFill>
                            <a:srgbClr val="FF0000"/>
                          </a:solidFill>
                          <a:prstDash val="solid"/>
                          <a:headEnd type="none" w="med" len="med"/>
                          <a:tailEnd type="none" w="med" len="med"/>
                        </a:ln>
                      </wps:spPr>
                      <wps:txbx>
                        <w:txbxContent>
                          <w:p>
                            <w:pPr>
                              <w:jc w:val="center"/>
                            </w:pPr>
                          </w:p>
                        </w:txbxContent>
                      </wps:txbx>
                      <wps:bodyPr upright="1"/>
                    </wps:wsp>
                  </a:graphicData>
                </a:graphic>
              </wp:anchor>
            </w:drawing>
          </mc:Choice>
          <mc:Fallback>
            <w:pict>
              <v:shape id="椭圆 374" o:spid="_x0000_s1026" o:spt="3" type="#_x0000_t3" style="position:absolute;left:0pt;margin-left:322.8pt;margin-top:12.85pt;height:11.35pt;width:11.35pt;z-index:252419072;mso-width-relative:page;mso-height-relative:page;" fillcolor="#FF0000" filled="t" stroked="t" coordsize="21600,21600" o:gfxdata="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y+Z432AAAAAkBAAAPAAAAAAAAAAEAIAAAACIAAABkcnMvZG93bnJldi54&#10;bWxQSwECFAAUAAAACACHTuJAHDuUMPoBAAAkBAAADgAAAAAAAAABACAAAAAnAQAAZHJzL2Uyb0Rv&#10;Yy54bWxQSwUGAAAAAAYABgBZAQAAkwUAAAAA&#10;">
                <v:fill on="t" focussize="0,0"/>
                <v:stroke color="#FF0000" joinstyle="round"/>
                <v:imagedata o:title=""/>
                <o:lock v:ext="edit" aspectratio="f"/>
                <v:textbox>
                  <w:txbxContent>
                    <w:p>
                      <w:pPr>
                        <w:jc w:val="center"/>
                      </w:pPr>
                    </w:p>
                  </w:txbxContent>
                </v:textbox>
              </v:shape>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2334080" behindDoc="0" locked="0" layoutInCell="1" allowOverlap="1">
                <wp:simplePos x="0" y="0"/>
                <wp:positionH relativeFrom="column">
                  <wp:posOffset>2580005</wp:posOffset>
                </wp:positionH>
                <wp:positionV relativeFrom="paragraph">
                  <wp:posOffset>52705</wp:posOffset>
                </wp:positionV>
                <wp:extent cx="640715" cy="289560"/>
                <wp:effectExtent l="0" t="0" r="0" b="0"/>
                <wp:wrapNone/>
                <wp:docPr id="89" name="文本框 53"/>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rPr>
                                <w:b/>
                                <w:bCs/>
                              </w:rPr>
                            </w:pPr>
                            <w:r>
                              <w:rPr>
                                <w:rFonts w:hint="eastAsia"/>
                                <w:b/>
                                <w:bCs/>
                                <w:color w:val="FFFF00"/>
                                <w:lang w:val="en-US" w:eastAsia="zh-CN"/>
                              </w:rPr>
                              <w:t>△</w:t>
                            </w:r>
                            <w:r>
                              <w:rPr>
                                <w:rFonts w:hint="eastAsia"/>
                                <w:b/>
                                <w:bCs/>
                                <w:color w:val="FFFF00"/>
                              </w:rPr>
                              <w:t>#</w:t>
                            </w:r>
                            <w:r>
                              <w:rPr>
                                <w:rFonts w:hint="eastAsia"/>
                                <w:b/>
                                <w:bCs/>
                                <w:color w:val="FFFF00"/>
                                <w:lang w:val="en-US" w:eastAsia="zh-CN"/>
                              </w:rPr>
                              <w:t>3</w:t>
                            </w:r>
                          </w:p>
                        </w:txbxContent>
                      </wps:txbx>
                      <wps:bodyPr upright="1"/>
                    </wps:wsp>
                  </a:graphicData>
                </a:graphic>
              </wp:anchor>
            </w:drawing>
          </mc:Choice>
          <mc:Fallback>
            <w:pict>
              <v:shape id="文本框 53" o:spid="_x0000_s1026" o:spt="202" type="#_x0000_t202" style="position:absolute;left:0pt;margin-left:203.15pt;margin-top:4.15pt;height:22.8pt;width:50.45pt;z-index:252334080;mso-width-relative:page;mso-height-relative:page;" filled="f" stroked="f" coordsize="21600,21600" o:gfxdata="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U&#10;4CR01QAAAAgBAAAPAAAAAAAAAAEAIAAAACIAAABkcnMvZG93bnJldi54bWxQSwECFAAUAAAACACH&#10;TuJAtnReLbUBAABdAwAADgAAAAAAAAABACAAAAAkAQAAZHJzL2Uyb0RvYy54bWxQSwUGAAAAAAYA&#10;BgBZAQAASwUAAAAA&#10;">
                <v:fill on="f" focussize="0,0"/>
                <v:stroke on="f"/>
                <v:imagedata o:title=""/>
                <o:lock v:ext="edit" aspectratio="f"/>
                <v:textbox>
                  <w:txbxContent>
                    <w:p>
                      <w:pPr>
                        <w:spacing w:line="240" w:lineRule="auto"/>
                        <w:ind w:left="0" w:leftChars="0" w:firstLine="0" w:firstLineChars="0"/>
                        <w:rPr>
                          <w:b/>
                          <w:bCs/>
                        </w:rPr>
                      </w:pPr>
                      <w:r>
                        <w:rPr>
                          <w:rFonts w:hint="eastAsia"/>
                          <w:b/>
                          <w:bCs/>
                          <w:color w:val="FFFF00"/>
                          <w:lang w:val="en-US" w:eastAsia="zh-CN"/>
                        </w:rPr>
                        <w:t>△</w:t>
                      </w:r>
                      <w:r>
                        <w:rPr>
                          <w:rFonts w:hint="eastAsia"/>
                          <w:b/>
                          <w:bCs/>
                          <w:color w:val="FFFF00"/>
                        </w:rPr>
                        <w:t>#</w:t>
                      </w:r>
                      <w:r>
                        <w:rPr>
                          <w:rFonts w:hint="eastAsia"/>
                          <w:b/>
                          <w:bCs/>
                          <w:color w:val="FFFF00"/>
                          <w:lang w:val="en-US" w:eastAsia="zh-CN"/>
                        </w:rPr>
                        <w:t>3</w:t>
                      </w:r>
                    </w:p>
                  </w:txbxContent>
                </v:textbox>
              </v:shape>
            </w:pict>
          </mc:Fallback>
        </mc:AlternateContent>
      </w:r>
    </w:p>
    <w:p>
      <w:pPr>
        <w:pStyle w:val="2"/>
        <w:rPr>
          <w:rFonts w:hint="default" w:ascii="Times New Roman" w:hAnsi="Times New Roman" w:eastAsia="宋体" w:cs="Times New Roman"/>
          <w:color w:val="auto"/>
        </w:rPr>
      </w:pPr>
    </w:p>
    <w:p>
      <w:pPr>
        <w:rPr>
          <w:rFonts w:hint="default" w:ascii="Times New Roman" w:hAnsi="Times New Roman" w:eastAsia="宋体" w:cs="Times New Roman"/>
          <w:color w:val="auto"/>
        </w:rPr>
      </w:pPr>
    </w:p>
    <w:p>
      <w:pPr>
        <w:pStyle w:val="2"/>
        <w:rPr>
          <w:rFonts w:hint="default" w:ascii="Times New Roman" w:hAnsi="Times New Roman" w:eastAsia="宋体" w:cs="Times New Roman"/>
          <w:color w:val="auto"/>
        </w:rPr>
      </w:pPr>
      <w:r>
        <w:rPr>
          <w:rFonts w:hint="default" w:ascii="Times New Roman" w:hAnsi="Times New Roman" w:eastAsia="宋体" w:cs="Times New Roman"/>
          <w:color w:val="auto"/>
          <w:sz w:val="21"/>
        </w:rPr>
        <mc:AlternateContent>
          <mc:Choice Requires="wps">
            <w:drawing>
              <wp:anchor distT="0" distB="0" distL="114300" distR="114300" simplePos="0" relativeHeight="252406784" behindDoc="0" locked="0" layoutInCell="1" allowOverlap="1">
                <wp:simplePos x="0" y="0"/>
                <wp:positionH relativeFrom="column">
                  <wp:posOffset>3475990</wp:posOffset>
                </wp:positionH>
                <wp:positionV relativeFrom="paragraph">
                  <wp:posOffset>117475</wp:posOffset>
                </wp:positionV>
                <wp:extent cx="640715" cy="289560"/>
                <wp:effectExtent l="0" t="0" r="0" b="0"/>
                <wp:wrapNone/>
                <wp:docPr id="90" name="文本框 53"/>
                <wp:cNvGraphicFramePr/>
                <a:graphic xmlns:a="http://schemas.openxmlformats.org/drawingml/2006/main">
                  <a:graphicData uri="http://schemas.microsoft.com/office/word/2010/wordprocessingShape">
                    <wps:wsp>
                      <wps:cNvSpPr txBox="1"/>
                      <wps:spPr>
                        <a:xfrm>
                          <a:off x="0" y="0"/>
                          <a:ext cx="640715" cy="289560"/>
                        </a:xfrm>
                        <a:prstGeom prst="rect">
                          <a:avLst/>
                        </a:prstGeom>
                        <a:noFill/>
                        <a:ln>
                          <a:noFill/>
                        </a:ln>
                        <a:effectLst/>
                      </wps:spPr>
                      <wps:txbx>
                        <w:txbxContent>
                          <w:p>
                            <w:pPr>
                              <w:spacing w:line="240" w:lineRule="auto"/>
                              <w:ind w:left="0" w:leftChars="0" w:firstLine="0" w:firstLineChars="0"/>
                              <w:rPr>
                                <w:b/>
                                <w:bCs/>
                              </w:rPr>
                            </w:pPr>
                            <w:r>
                              <w:rPr>
                                <w:rFonts w:hint="eastAsia"/>
                                <w:b/>
                                <w:bCs/>
                                <w:color w:val="FFFF00"/>
                                <w:lang w:val="en-US" w:eastAsia="zh-CN"/>
                              </w:rPr>
                              <w:t>△</w:t>
                            </w:r>
                            <w:r>
                              <w:rPr>
                                <w:rFonts w:hint="eastAsia"/>
                                <w:b/>
                                <w:bCs/>
                                <w:color w:val="FFFF00"/>
                              </w:rPr>
                              <w:t>#</w:t>
                            </w:r>
                            <w:r>
                              <w:rPr>
                                <w:rFonts w:hint="eastAsia"/>
                                <w:b/>
                                <w:bCs/>
                                <w:color w:val="FFFF00"/>
                                <w:lang w:val="en-US" w:eastAsia="zh-CN"/>
                              </w:rPr>
                              <w:t>2</w:t>
                            </w:r>
                          </w:p>
                        </w:txbxContent>
                      </wps:txbx>
                      <wps:bodyPr upright="1"/>
                    </wps:wsp>
                  </a:graphicData>
                </a:graphic>
              </wp:anchor>
            </w:drawing>
          </mc:Choice>
          <mc:Fallback>
            <w:pict>
              <v:shape id="文本框 53" o:spid="_x0000_s1026" o:spt="202" type="#_x0000_t202" style="position:absolute;left:0pt;margin-left:273.7pt;margin-top:9.25pt;height:22.8pt;width:50.45pt;z-index:252406784;mso-width-relative:page;mso-height-relative:page;" filled="f" stroked="f" coordsize="21600,21600" o:gfxdata="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i+&#10;LxTWAAAACQEAAA8AAAAAAAAAAQAgAAAAIgAAAGRycy9kb3ducmV2LnhtbFBLAQIUABQAAAAIAIdO&#10;4kBZHZX1swEAAF0DAAAOAAAAAAAAAAEAIAAAACUBAABkcnMvZTJvRG9jLnhtbFBLBQYAAAAABgAG&#10;AFkBAABKBQAAAAA=&#10;">
                <v:fill on="f" focussize="0,0"/>
                <v:stroke on="f"/>
                <v:imagedata o:title=""/>
                <o:lock v:ext="edit" aspectratio="f"/>
                <v:textbox>
                  <w:txbxContent>
                    <w:p>
                      <w:pPr>
                        <w:spacing w:line="240" w:lineRule="auto"/>
                        <w:ind w:left="0" w:leftChars="0" w:firstLine="0" w:firstLineChars="0"/>
                        <w:rPr>
                          <w:b/>
                          <w:bCs/>
                        </w:rPr>
                      </w:pPr>
                      <w:r>
                        <w:rPr>
                          <w:rFonts w:hint="eastAsia"/>
                          <w:b/>
                          <w:bCs/>
                          <w:color w:val="FFFF00"/>
                          <w:lang w:val="en-US" w:eastAsia="zh-CN"/>
                        </w:rPr>
                        <w:t>△</w:t>
                      </w:r>
                      <w:r>
                        <w:rPr>
                          <w:rFonts w:hint="eastAsia"/>
                          <w:b/>
                          <w:bCs/>
                          <w:color w:val="FFFF00"/>
                        </w:rPr>
                        <w:t>#</w:t>
                      </w:r>
                      <w:r>
                        <w:rPr>
                          <w:rFonts w:hint="eastAsia"/>
                          <w:b/>
                          <w:bCs/>
                          <w:color w:val="FFFF00"/>
                          <w:lang w:val="en-US" w:eastAsia="zh-CN"/>
                        </w:rPr>
                        <w:t>2</w:t>
                      </w:r>
                    </w:p>
                  </w:txbxContent>
                </v:textbox>
              </v:shape>
            </w:pict>
          </mc:Fallback>
        </mc:AlternateContent>
      </w:r>
    </w:p>
    <w:p>
      <w:pPr>
        <w:rPr>
          <w:rFonts w:hint="default" w:ascii="Times New Roman" w:hAnsi="Times New Roman" w:eastAsia="宋体" w:cs="Times New Roman"/>
          <w:color w:val="auto"/>
        </w:rPr>
      </w:pPr>
    </w:p>
    <w:p>
      <w:pPr>
        <w:pStyle w:val="2"/>
        <w:rPr>
          <w:rFonts w:hint="default" w:ascii="Times New Roman" w:hAnsi="Times New Roman" w:eastAsia="宋体" w:cs="Times New Roman"/>
          <w:color w:val="auto"/>
        </w:rPr>
      </w:pPr>
    </w:p>
    <w:p>
      <w:pPr>
        <w:rPr>
          <w:rFonts w:hint="default" w:ascii="Times New Roman" w:hAnsi="Times New Roman" w:eastAsia="宋体" w:cs="Times New Roman"/>
          <w:color w:val="auto"/>
        </w:rPr>
      </w:pPr>
    </w:p>
    <w:p>
      <w:pPr>
        <w:pStyle w:val="2"/>
        <w:rPr>
          <w:rFonts w:hint="default" w:ascii="Times New Roman" w:hAnsi="Times New Roman" w:eastAsia="宋体" w:cs="Times New Roman"/>
          <w:color w:val="auto"/>
        </w:rPr>
      </w:pPr>
      <w:r>
        <w:rPr>
          <w:rFonts w:hint="default" w:ascii="Times New Roman" w:hAnsi="Times New Roman" w:eastAsia="宋体" w:cs="Times New Roman"/>
          <w:color w:val="auto"/>
          <w:sz w:val="21"/>
        </w:rPr>
        <mc:AlternateContent>
          <mc:Choice Requires="wps">
            <w:drawing>
              <wp:anchor distT="0" distB="0" distL="114300" distR="114300" simplePos="0" relativeHeight="252310528" behindDoc="0" locked="0" layoutInCell="1" allowOverlap="1">
                <wp:simplePos x="0" y="0"/>
                <wp:positionH relativeFrom="column">
                  <wp:posOffset>6421120</wp:posOffset>
                </wp:positionH>
                <wp:positionV relativeFrom="paragraph">
                  <wp:posOffset>154940</wp:posOffset>
                </wp:positionV>
                <wp:extent cx="1810385" cy="1042035"/>
                <wp:effectExtent l="4445" t="4445" r="13970" b="20320"/>
                <wp:wrapNone/>
                <wp:docPr id="36" name="矩形 396"/>
                <wp:cNvGraphicFramePr/>
                <a:graphic xmlns:a="http://schemas.openxmlformats.org/drawingml/2006/main">
                  <a:graphicData uri="http://schemas.microsoft.com/office/word/2010/wordprocessingShape">
                    <wps:wsp>
                      <wps:cNvSpPr/>
                      <wps:spPr>
                        <a:xfrm>
                          <a:off x="0" y="0"/>
                          <a:ext cx="1810385" cy="1042035"/>
                        </a:xfrm>
                        <a:prstGeom prst="rect">
                          <a:avLst/>
                        </a:prstGeom>
                        <a:solidFill>
                          <a:srgbClr val="77933C"/>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autoSpaceDN/>
                              <w:bidi w:val="0"/>
                              <w:adjustRightInd/>
                              <w:snapToGrid/>
                              <w:spacing w:line="360" w:lineRule="auto"/>
                              <w:ind w:firstLine="0" w:firstLineChars="0"/>
                              <w:jc w:val="center"/>
                              <w:textAlignment w:val="auto"/>
                              <w:rPr>
                                <w:rFonts w:hint="eastAsia"/>
                                <w:b/>
                                <w:bCs/>
                                <w:lang w:eastAsia="zh-CN"/>
                              </w:rPr>
                            </w:pPr>
                            <w:r>
                              <w:rPr>
                                <w:rFonts w:hint="eastAsia"/>
                                <w:b/>
                                <w:bCs/>
                                <w:lang w:eastAsia="zh-CN"/>
                              </w:rPr>
                              <w:t>图例</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大气监测点位</w:t>
                            </w:r>
                            <w:r>
                              <w:rPr>
                                <w:rFonts w:hint="eastAsia"/>
                                <w:b/>
                                <w:bCs/>
                                <w:lang w:val="en-US" w:eastAsia="zh-CN"/>
                              </w:rPr>
                              <w:t xml:space="preserve">  </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噪声监测点位</w:t>
                            </w:r>
                            <w:r>
                              <w:rPr>
                                <w:rFonts w:hint="eastAsia"/>
                                <w:b/>
                                <w:bCs/>
                                <w:lang w:val="en-US" w:eastAsia="zh-CN"/>
                              </w:rPr>
                              <w:t xml:space="preserve">  </w:t>
                            </w:r>
                            <w:r>
                              <w:rPr>
                                <w:rFonts w:hint="eastAsia"/>
                                <w:b/>
                                <w:bCs/>
                                <w:color w:val="FFFF00"/>
                                <w:lang w:val="en-US" w:eastAsia="zh-CN"/>
                              </w:rPr>
                              <w:t>△</w:t>
                            </w:r>
                          </w:p>
                        </w:txbxContent>
                      </wps:txbx>
                      <wps:bodyPr upright="1"/>
                    </wps:wsp>
                  </a:graphicData>
                </a:graphic>
              </wp:anchor>
            </w:drawing>
          </mc:Choice>
          <mc:Fallback>
            <w:pict>
              <v:rect id="矩形 396" o:spid="_x0000_s1026" o:spt="1" style="position:absolute;left:0pt;margin-left:505.6pt;margin-top:12.2pt;height:82.05pt;width:142.55pt;z-index:252310528;mso-width-relative:page;mso-height-relative:page;" fillcolor="#77933C" filled="t" stroked="t" coordsize="21600,21600" o:gfxdata="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EwlRNgAAAAMAQAADwAAAAAAAAABACAAAAAiAAAA&#10;ZHJzL2Rvd25yZXYueG1sUEsBAhQAFAAAAAgAh07iQPwLU3AHAgAALQQAAA4AAAAAAAAAAQAgAAAA&#10;JwEAAGRycy9lMm9Eb2MueG1sUEsFBgAAAAAGAAYAWQEAAKAFAAAAAA==&#10;">
                <v:fill on="t" focussize="0,0"/>
                <v:stroke color="#000000" joinstyle="miter"/>
                <v:imagedata o:title=""/>
                <o:lock v:ext="edit" aspectratio="f"/>
                <v:textbox>
                  <w:txbxContent>
                    <w:p>
                      <w:pPr>
                        <w:keepNext w:val="0"/>
                        <w:keepLines w:val="0"/>
                        <w:pageBreakBefore w:val="0"/>
                        <w:widowControl w:val="0"/>
                        <w:kinsoku/>
                        <w:wordWrap/>
                        <w:overflowPunct/>
                        <w:autoSpaceDN/>
                        <w:bidi w:val="0"/>
                        <w:adjustRightInd/>
                        <w:snapToGrid/>
                        <w:spacing w:line="360" w:lineRule="auto"/>
                        <w:ind w:firstLine="0" w:firstLineChars="0"/>
                        <w:jc w:val="center"/>
                        <w:textAlignment w:val="auto"/>
                        <w:rPr>
                          <w:rFonts w:hint="eastAsia"/>
                          <w:b/>
                          <w:bCs/>
                          <w:lang w:eastAsia="zh-CN"/>
                        </w:rPr>
                      </w:pPr>
                      <w:r>
                        <w:rPr>
                          <w:rFonts w:hint="eastAsia"/>
                          <w:b/>
                          <w:bCs/>
                          <w:lang w:eastAsia="zh-CN"/>
                        </w:rPr>
                        <w:t>图例</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大气监测点位</w:t>
                      </w:r>
                      <w:r>
                        <w:rPr>
                          <w:rFonts w:hint="eastAsia"/>
                          <w:b/>
                          <w:bCs/>
                          <w:lang w:val="en-US" w:eastAsia="zh-CN"/>
                        </w:rPr>
                        <w:t xml:space="preserve">  </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噪声监测点位</w:t>
                      </w:r>
                      <w:r>
                        <w:rPr>
                          <w:rFonts w:hint="eastAsia"/>
                          <w:b/>
                          <w:bCs/>
                          <w:lang w:val="en-US" w:eastAsia="zh-CN"/>
                        </w:rPr>
                        <w:t xml:space="preserve">  </w:t>
                      </w:r>
                      <w:r>
                        <w:rPr>
                          <w:rFonts w:hint="eastAsia"/>
                          <w:b/>
                          <w:bCs/>
                          <w:color w:val="FFFF00"/>
                          <w:lang w:val="en-US" w:eastAsia="zh-CN"/>
                        </w:rPr>
                        <w:t>△</w:t>
                      </w:r>
                    </w:p>
                  </w:txbxContent>
                </v:textbox>
              </v:rect>
            </w:pict>
          </mc:Fallback>
        </mc:AlternateContent>
      </w:r>
    </w:p>
    <w:p>
      <w:pPr>
        <w:rPr>
          <w:rFonts w:hint="default" w:ascii="Times New Roman" w:hAnsi="Times New Roman" w:eastAsia="宋体" w:cs="Times New Roman"/>
          <w:color w:val="auto"/>
        </w:rPr>
      </w:pPr>
      <w:r>
        <w:rPr>
          <w:rFonts w:hint="default" w:ascii="Times New Roman" w:hAnsi="Times New Roman" w:eastAsia="宋体" w:cs="Times New Roman"/>
          <w:color w:val="auto"/>
          <w:sz w:val="24"/>
        </w:rPr>
        <mc:AlternateContent>
          <mc:Choice Requires="wps">
            <w:drawing>
              <wp:anchor distT="0" distB="0" distL="114300" distR="114300" simplePos="0" relativeHeight="253180928" behindDoc="0" locked="0" layoutInCell="1" allowOverlap="1">
                <wp:simplePos x="0" y="0"/>
                <wp:positionH relativeFrom="column">
                  <wp:posOffset>7514590</wp:posOffset>
                </wp:positionH>
                <wp:positionV relativeFrom="paragraph">
                  <wp:posOffset>144145</wp:posOffset>
                </wp:positionV>
                <wp:extent cx="144145" cy="144145"/>
                <wp:effectExtent l="4445" t="4445" r="22860" b="22860"/>
                <wp:wrapNone/>
                <wp:docPr id="32" name="椭圆 374"/>
                <wp:cNvGraphicFramePr/>
                <a:graphic xmlns:a="http://schemas.openxmlformats.org/drawingml/2006/main">
                  <a:graphicData uri="http://schemas.microsoft.com/office/word/2010/wordprocessingShape">
                    <wps:wsp>
                      <wps:cNvSpPr/>
                      <wps:spPr>
                        <a:xfrm>
                          <a:off x="0" y="0"/>
                          <a:ext cx="144145" cy="144145"/>
                        </a:xfrm>
                        <a:prstGeom prst="ellipse">
                          <a:avLst/>
                        </a:prstGeom>
                        <a:solidFill>
                          <a:srgbClr val="FF0000"/>
                        </a:solidFill>
                        <a:ln w="9525" cap="flat" cmpd="sng">
                          <a:solidFill>
                            <a:srgbClr val="FF0000"/>
                          </a:solidFill>
                          <a:prstDash val="solid"/>
                          <a:headEnd type="none" w="med" len="med"/>
                          <a:tailEnd type="none" w="med" len="med"/>
                        </a:ln>
                      </wps:spPr>
                      <wps:txbx>
                        <w:txbxContent>
                          <w:p>
                            <w:pPr>
                              <w:jc w:val="center"/>
                            </w:pPr>
                          </w:p>
                        </w:txbxContent>
                      </wps:txbx>
                      <wps:bodyPr upright="1"/>
                    </wps:wsp>
                  </a:graphicData>
                </a:graphic>
              </wp:anchor>
            </w:drawing>
          </mc:Choice>
          <mc:Fallback>
            <w:pict>
              <v:shape id="椭圆 374" o:spid="_x0000_s1026" o:spt="3" type="#_x0000_t3" style="position:absolute;left:0pt;margin-left:591.7pt;margin-top:11.35pt;height:11.35pt;width:11.35pt;z-index:253180928;mso-width-relative:page;mso-height-relative:page;" fillcolor="#FF0000" filled="t" stroked="t" coordsize="21600,21600" o:gfxdata="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ZMWM2AAAAAsBAAAPAAAAAAAAAAEAIAAAACIAAABkcnMvZG93bnJldi54&#10;bWxQSwECFAAUAAAACACHTuJAYvFbQPoBAAAkBAAADgAAAAAAAAABACAAAAAnAQAAZHJzL2Uyb0Rv&#10;Yy54bWxQSwUGAAAAAAYABgBZAQAAkwUAAAAA&#10;">
                <v:fill on="t" focussize="0,0"/>
                <v:stroke color="#FF0000" joinstyle="round"/>
                <v:imagedata o:title=""/>
                <o:lock v:ext="edit" aspectratio="f"/>
                <v:textbox>
                  <w:txbxContent>
                    <w:p>
                      <w:pPr>
                        <w:jc w:val="center"/>
                      </w:pPr>
                    </w:p>
                  </w:txbxContent>
                </v:textbox>
              </v:shape>
            </w:pict>
          </mc:Fallback>
        </mc:AlternateContent>
      </w:r>
    </w:p>
    <w:p>
      <w:pPr>
        <w:pStyle w:val="2"/>
        <w:rPr>
          <w:rFonts w:hint="default" w:ascii="Times New Roman" w:hAnsi="Times New Roman" w:eastAsia="宋体" w:cs="Times New Roman"/>
          <w:color w:val="auto"/>
        </w:rPr>
      </w:pPr>
    </w:p>
    <w:p>
      <w:pPr>
        <w:spacing w:line="240" w:lineRule="auto"/>
        <w:jc w:val="center"/>
        <w:rPr>
          <w:rFonts w:hint="default" w:ascii="Times New Roman" w:hAnsi="Times New Roman" w:eastAsia="宋体" w:cs="Times New Roman"/>
          <w:b/>
          <w:bCs/>
          <w:color w:val="auto"/>
          <w:sz w:val="24"/>
          <w:szCs w:val="24"/>
        </w:rPr>
      </w:pPr>
    </w:p>
    <w:p>
      <w:pPr>
        <w:spacing w:line="240" w:lineRule="auto"/>
        <w:jc w:val="center"/>
        <w:rPr>
          <w:rFonts w:hint="default" w:ascii="Times New Roman" w:hAnsi="Times New Roman" w:eastAsia="宋体" w:cs="Times New Roman"/>
          <w:color w:val="auto"/>
          <w:sz w:val="24"/>
          <w:szCs w:val="24"/>
        </w:rPr>
        <w:sectPr>
          <w:pgSz w:w="16838" w:h="11906" w:orient="landscape"/>
          <w:pgMar w:top="1134" w:right="1134" w:bottom="1134" w:left="1134" w:header="737"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Times New Roman" w:hAnsi="Times New Roman" w:eastAsia="宋体" w:cs="Times New Roman"/>
          <w:b/>
          <w:bCs/>
          <w:color w:val="auto"/>
          <w:sz w:val="24"/>
          <w:szCs w:val="24"/>
        </w:rPr>
        <w:t>图4.2-</w:t>
      </w:r>
      <w:r>
        <w:rPr>
          <w:rFonts w:hint="eastAsia"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rPr>
        <w:t xml:space="preserve">    环境</w:t>
      </w:r>
      <w:r>
        <w:rPr>
          <w:rFonts w:hint="eastAsia" w:cs="Times New Roman"/>
          <w:b/>
          <w:bCs/>
          <w:color w:val="auto"/>
          <w:sz w:val="24"/>
          <w:szCs w:val="24"/>
          <w:lang w:eastAsia="zh-CN"/>
        </w:rPr>
        <w:t>空气和声环境</w:t>
      </w:r>
      <w:r>
        <w:rPr>
          <w:rFonts w:hint="default" w:ascii="Times New Roman" w:hAnsi="Times New Roman" w:eastAsia="宋体" w:cs="Times New Roman"/>
          <w:b/>
          <w:bCs/>
          <w:color w:val="auto"/>
          <w:sz w:val="24"/>
          <w:szCs w:val="24"/>
        </w:rPr>
        <w:t>现状监测布点图</w:t>
      </w:r>
      <w:r>
        <w:rPr>
          <w:rFonts w:hint="default" w:ascii="Times New Roman" w:hAnsi="Times New Roman" w:eastAsia="宋体" w:cs="Times New Roman"/>
          <w:color w:val="auto"/>
          <w:sz w:val="24"/>
          <w:szCs w:val="24"/>
        </w:rPr>
        <mc:AlternateContent>
          <mc:Choice Requires="wps">
            <w:drawing>
              <wp:anchor distT="0" distB="0" distL="114300" distR="114300" simplePos="0" relativeHeight="252299264" behindDoc="0" locked="0" layoutInCell="1" allowOverlap="1">
                <wp:simplePos x="0" y="0"/>
                <wp:positionH relativeFrom="column">
                  <wp:posOffset>6395720</wp:posOffset>
                </wp:positionH>
                <wp:positionV relativeFrom="paragraph">
                  <wp:posOffset>1380490</wp:posOffset>
                </wp:positionV>
                <wp:extent cx="1810385" cy="1588135"/>
                <wp:effectExtent l="4445" t="4445" r="13970" b="7620"/>
                <wp:wrapNone/>
                <wp:docPr id="35" name="矩形 396"/>
                <wp:cNvGraphicFramePr/>
                <a:graphic xmlns:a="http://schemas.openxmlformats.org/drawingml/2006/main">
                  <a:graphicData uri="http://schemas.microsoft.com/office/word/2010/wordprocessingShape">
                    <wps:wsp>
                      <wps:cNvSpPr/>
                      <wps:spPr>
                        <a:xfrm>
                          <a:off x="0" y="0"/>
                          <a:ext cx="1810385" cy="1588135"/>
                        </a:xfrm>
                        <a:prstGeom prst="rect">
                          <a:avLst/>
                        </a:prstGeom>
                        <a:solidFill>
                          <a:srgbClr val="77933C"/>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autoSpaceDN/>
                              <w:bidi w:val="0"/>
                              <w:adjustRightInd/>
                              <w:snapToGrid/>
                              <w:spacing w:line="360" w:lineRule="auto"/>
                              <w:ind w:firstLine="0" w:firstLineChars="0"/>
                              <w:jc w:val="center"/>
                              <w:textAlignment w:val="auto"/>
                              <w:rPr>
                                <w:rFonts w:hint="eastAsia"/>
                                <w:b/>
                                <w:bCs/>
                                <w:lang w:eastAsia="zh-CN"/>
                              </w:rPr>
                            </w:pPr>
                            <w:r>
                              <w:rPr>
                                <w:rFonts w:hint="eastAsia"/>
                                <w:b/>
                                <w:bCs/>
                                <w:lang w:eastAsia="zh-CN"/>
                              </w:rPr>
                              <w:t>图例</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大气监测点位</w:t>
                            </w:r>
                            <w:r>
                              <w:rPr>
                                <w:rFonts w:hint="eastAsia"/>
                                <w:b/>
                                <w:bCs/>
                                <w:lang w:val="en-US" w:eastAsia="zh-CN"/>
                              </w:rPr>
                              <w:t xml:space="preserve">  </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eastAsia"/>
                                <w:b/>
                                <w:bCs/>
                                <w:lang w:eastAsia="zh-CN"/>
                              </w:rPr>
                            </w:pPr>
                            <w:r>
                              <w:rPr>
                                <w:rFonts w:hint="eastAsia"/>
                                <w:b/>
                                <w:bCs/>
                                <w:lang w:eastAsia="zh-CN"/>
                              </w:rPr>
                              <w:t>地下水监测点位</w:t>
                            </w:r>
                            <w:r>
                              <w:rPr>
                                <w:rFonts w:hint="eastAsia"/>
                                <w:b/>
                                <w:bCs/>
                                <w:lang w:val="en-US" w:eastAsia="zh-CN"/>
                              </w:rPr>
                              <w:t xml:space="preserve">  </w:t>
                            </w:r>
                            <w:r>
                              <w:rPr>
                                <w:rFonts w:hint="eastAsia" w:ascii="宋体" w:hAnsi="宋体" w:cs="宋体"/>
                                <w:b/>
                                <w:bCs/>
                                <w:color w:val="FFFF00"/>
                              </w:rPr>
                              <w:t>☆</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eastAsia"/>
                                <w:b/>
                                <w:bCs/>
                                <w:lang w:eastAsia="zh-CN"/>
                              </w:rPr>
                            </w:pPr>
                            <w:r>
                              <w:rPr>
                                <w:rFonts w:hint="eastAsia"/>
                                <w:b/>
                                <w:bCs/>
                                <w:lang w:eastAsia="zh-CN"/>
                              </w:rPr>
                              <w:t>噪声监测点位</w:t>
                            </w:r>
                            <w:r>
                              <w:rPr>
                                <w:rFonts w:hint="eastAsia"/>
                                <w:b/>
                                <w:bCs/>
                                <w:lang w:val="en-US" w:eastAsia="zh-CN"/>
                              </w:rPr>
                              <w:t xml:space="preserve">  </w:t>
                            </w:r>
                            <w:r>
                              <w:rPr>
                                <w:rFonts w:hint="eastAsia"/>
                                <w:b/>
                                <w:bCs/>
                                <w:color w:val="FFFF00"/>
                                <w:lang w:val="en-US" w:eastAsia="zh-CN"/>
                              </w:rPr>
                              <w:t>△</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土壤监测点位</w:t>
                            </w:r>
                            <w:r>
                              <w:rPr>
                                <w:rFonts w:hint="eastAsia"/>
                                <w:b/>
                                <w:bCs/>
                                <w:lang w:val="en-US" w:eastAsia="zh-CN"/>
                              </w:rPr>
                              <w:t xml:space="preserve">  </w:t>
                            </w:r>
                            <w:r>
                              <w:rPr>
                                <w:rFonts w:hint="eastAsia" w:ascii="宋体" w:hAnsi="宋体" w:cs="宋体"/>
                                <w:b/>
                                <w:bCs/>
                                <w:color w:val="FFFF00"/>
                                <w:lang w:eastAsia="zh-CN"/>
                              </w:rPr>
                              <w:sym w:font="Wingdings 2" w:char="00A3"/>
                            </w:r>
                          </w:p>
                        </w:txbxContent>
                      </wps:txbx>
                      <wps:bodyPr upright="1"/>
                    </wps:wsp>
                  </a:graphicData>
                </a:graphic>
              </wp:anchor>
            </w:drawing>
          </mc:Choice>
          <mc:Fallback>
            <w:pict>
              <v:rect id="矩形 396" o:spid="_x0000_s1026" o:spt="1" style="position:absolute;left:0pt;margin-left:503.6pt;margin-top:108.7pt;height:125.05pt;width:142.55pt;z-index:252299264;mso-width-relative:page;mso-height-relative:page;" fillcolor="#77933C" filled="t" stroked="t" coordsize="21600,21600" o:gfxdata="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cBjf1dgAAAANAQAADwAAAAAAAAABACAAAAAiAAAA&#10;ZHJzL2Rvd25yZXYueG1sUEsBAhQAFAAAAAgAh07iQDhybHYHAgAALQQAAA4AAAAAAAAAAQAgAAAA&#10;JwEAAGRycy9lMm9Eb2MueG1sUEsFBgAAAAAGAAYAWQEAAKAFAAAAAA==&#10;">
                <v:fill on="t" focussize="0,0"/>
                <v:stroke color="#000000" joinstyle="miter"/>
                <v:imagedata o:title=""/>
                <o:lock v:ext="edit" aspectratio="f"/>
                <v:textbox>
                  <w:txbxContent>
                    <w:p>
                      <w:pPr>
                        <w:keepNext w:val="0"/>
                        <w:keepLines w:val="0"/>
                        <w:pageBreakBefore w:val="0"/>
                        <w:widowControl w:val="0"/>
                        <w:kinsoku/>
                        <w:wordWrap/>
                        <w:overflowPunct/>
                        <w:autoSpaceDN/>
                        <w:bidi w:val="0"/>
                        <w:adjustRightInd/>
                        <w:snapToGrid/>
                        <w:spacing w:line="360" w:lineRule="auto"/>
                        <w:ind w:firstLine="0" w:firstLineChars="0"/>
                        <w:jc w:val="center"/>
                        <w:textAlignment w:val="auto"/>
                        <w:rPr>
                          <w:rFonts w:hint="eastAsia"/>
                          <w:b/>
                          <w:bCs/>
                          <w:lang w:eastAsia="zh-CN"/>
                        </w:rPr>
                      </w:pPr>
                      <w:r>
                        <w:rPr>
                          <w:rFonts w:hint="eastAsia"/>
                          <w:b/>
                          <w:bCs/>
                          <w:lang w:eastAsia="zh-CN"/>
                        </w:rPr>
                        <w:t>图例</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大气监测点位</w:t>
                      </w:r>
                      <w:r>
                        <w:rPr>
                          <w:rFonts w:hint="eastAsia"/>
                          <w:b/>
                          <w:bCs/>
                          <w:lang w:val="en-US" w:eastAsia="zh-CN"/>
                        </w:rPr>
                        <w:t xml:space="preserve">  </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eastAsia"/>
                          <w:b/>
                          <w:bCs/>
                          <w:lang w:eastAsia="zh-CN"/>
                        </w:rPr>
                      </w:pPr>
                      <w:r>
                        <w:rPr>
                          <w:rFonts w:hint="eastAsia"/>
                          <w:b/>
                          <w:bCs/>
                          <w:lang w:eastAsia="zh-CN"/>
                        </w:rPr>
                        <w:t>地下水监测点位</w:t>
                      </w:r>
                      <w:r>
                        <w:rPr>
                          <w:rFonts w:hint="eastAsia"/>
                          <w:b/>
                          <w:bCs/>
                          <w:lang w:val="en-US" w:eastAsia="zh-CN"/>
                        </w:rPr>
                        <w:t xml:space="preserve">  </w:t>
                      </w:r>
                      <w:r>
                        <w:rPr>
                          <w:rFonts w:hint="eastAsia" w:ascii="宋体" w:hAnsi="宋体" w:cs="宋体"/>
                          <w:b/>
                          <w:bCs/>
                          <w:color w:val="FFFF00"/>
                        </w:rPr>
                        <w:t>☆</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eastAsia"/>
                          <w:b/>
                          <w:bCs/>
                          <w:lang w:eastAsia="zh-CN"/>
                        </w:rPr>
                      </w:pPr>
                      <w:r>
                        <w:rPr>
                          <w:rFonts w:hint="eastAsia"/>
                          <w:b/>
                          <w:bCs/>
                          <w:lang w:eastAsia="zh-CN"/>
                        </w:rPr>
                        <w:t>噪声监测点位</w:t>
                      </w:r>
                      <w:r>
                        <w:rPr>
                          <w:rFonts w:hint="eastAsia"/>
                          <w:b/>
                          <w:bCs/>
                          <w:lang w:val="en-US" w:eastAsia="zh-CN"/>
                        </w:rPr>
                        <w:t xml:space="preserve">  </w:t>
                      </w:r>
                      <w:r>
                        <w:rPr>
                          <w:rFonts w:hint="eastAsia"/>
                          <w:b/>
                          <w:bCs/>
                          <w:color w:val="FFFF00"/>
                          <w:lang w:val="en-US" w:eastAsia="zh-CN"/>
                        </w:rPr>
                        <w:t>△</w:t>
                      </w:r>
                    </w:p>
                    <w:p>
                      <w:pPr>
                        <w:pStyle w:val="42"/>
                        <w:keepNext w:val="0"/>
                        <w:keepLines w:val="0"/>
                        <w:pageBreakBefore w:val="0"/>
                        <w:widowControl w:val="0"/>
                        <w:kinsoku/>
                        <w:wordWrap/>
                        <w:overflowPunct/>
                        <w:autoSpaceDN/>
                        <w:bidi w:val="0"/>
                        <w:adjustRightInd/>
                        <w:snapToGrid/>
                        <w:spacing w:line="360" w:lineRule="auto"/>
                        <w:ind w:firstLine="0" w:firstLineChars="0"/>
                        <w:textAlignment w:val="auto"/>
                        <w:rPr>
                          <w:rFonts w:hint="default"/>
                          <w:b/>
                          <w:bCs/>
                          <w:lang w:val="en-US" w:eastAsia="zh-CN"/>
                        </w:rPr>
                      </w:pPr>
                      <w:r>
                        <w:rPr>
                          <w:rFonts w:hint="eastAsia"/>
                          <w:b/>
                          <w:bCs/>
                          <w:lang w:eastAsia="zh-CN"/>
                        </w:rPr>
                        <w:t>土壤监测点位</w:t>
                      </w:r>
                      <w:r>
                        <w:rPr>
                          <w:rFonts w:hint="eastAsia"/>
                          <w:b/>
                          <w:bCs/>
                          <w:lang w:val="en-US" w:eastAsia="zh-CN"/>
                        </w:rPr>
                        <w:t xml:space="preserve">  </w:t>
                      </w:r>
                      <w:r>
                        <w:rPr>
                          <w:rFonts w:hint="eastAsia" w:ascii="宋体" w:hAnsi="宋体" w:cs="宋体"/>
                          <w:b/>
                          <w:bCs/>
                          <w:color w:val="FFFF00"/>
                          <w:lang w:eastAsia="zh-CN"/>
                        </w:rPr>
                        <w:sym w:font="Wingdings 2" w:char="00A3"/>
                      </w:r>
                    </w:p>
                  </w:txbxContent>
                </v:textbox>
              </v:rect>
            </w:pict>
          </mc:Fallback>
        </mc:AlternateContent>
      </w:r>
    </w:p>
    <w:p>
      <w:pPr>
        <w:pStyle w:val="6"/>
        <w:rPr>
          <w:rFonts w:hint="default" w:ascii="Times New Roman" w:hAnsi="Times New Roman" w:eastAsia="宋体" w:cs="Times New Roman"/>
          <w:color w:val="auto"/>
        </w:rPr>
      </w:pPr>
      <w:bookmarkStart w:id="297" w:name="_Toc46421122"/>
      <w:bookmarkStart w:id="298" w:name="_Toc997"/>
      <w:r>
        <w:rPr>
          <w:rFonts w:hint="default" w:ascii="Times New Roman" w:hAnsi="Times New Roman" w:eastAsia="宋体" w:cs="Times New Roman"/>
          <w:color w:val="auto"/>
        </w:rPr>
        <w:t>4.2.</w:t>
      </w:r>
      <w:r>
        <w:rPr>
          <w:rFonts w:hint="eastAsia" w:cs="Times New Roman"/>
          <w:color w:val="auto"/>
          <w:lang w:val="en-US" w:eastAsia="zh-CN"/>
        </w:rPr>
        <w:t>4</w:t>
      </w:r>
      <w:r>
        <w:rPr>
          <w:rFonts w:hint="default" w:ascii="Times New Roman" w:hAnsi="Times New Roman" w:eastAsia="宋体" w:cs="Times New Roman"/>
          <w:color w:val="auto"/>
        </w:rPr>
        <w:t>生态环境现状调查与评价</w:t>
      </w:r>
      <w:bookmarkEnd w:id="297"/>
      <w:bookmarkEnd w:id="298"/>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w:t>
      </w:r>
      <w:r>
        <w:rPr>
          <w:rStyle w:val="46"/>
          <w:rFonts w:hint="eastAsia" w:cs="Times New Roman"/>
          <w:b/>
          <w:bCs/>
          <w:color w:val="auto"/>
          <w:lang w:val="en-US" w:eastAsia="zh-CN"/>
        </w:rPr>
        <w:t>4</w:t>
      </w:r>
      <w:r>
        <w:rPr>
          <w:rFonts w:hint="default" w:ascii="Times New Roman" w:hAnsi="Times New Roman" w:eastAsia="宋体" w:cs="Times New Roman"/>
          <w:color w:val="auto"/>
        </w:rPr>
        <w:t>.1土地利用现状</w:t>
      </w:r>
    </w:p>
    <w:p>
      <w:pPr>
        <w:ind w:firstLine="480"/>
        <w:rPr>
          <w:rFonts w:hint="eastAsia" w:ascii="Times New Roman" w:hAnsi="Times New Roman" w:cs="Times New Roman"/>
          <w:color w:val="FF0000"/>
          <w:sz w:val="24"/>
          <w:lang w:eastAsia="zh-CN"/>
        </w:rPr>
      </w:pPr>
      <w:r>
        <w:rPr>
          <w:rFonts w:hint="default" w:ascii="Times New Roman" w:hAnsi="Times New Roman" w:eastAsia="宋体" w:cs="Times New Roman"/>
          <w:color w:val="FF0000"/>
          <w:sz w:val="24"/>
        </w:rPr>
        <w:t>本次遥感信息解译使用的信息源为Landsat 8 OLI卫星遥感影像，空间分辨率为</w:t>
      </w:r>
      <w:r>
        <w:rPr>
          <w:rFonts w:hint="eastAsia" w:ascii="Times New Roman" w:hAnsi="Times New Roman" w:eastAsia="宋体" w:cs="Times New Roman"/>
          <w:color w:val="FF0000"/>
          <w:sz w:val="24"/>
          <w:lang w:val="en-US" w:eastAsia="zh-CN"/>
        </w:rPr>
        <w:t>30</w:t>
      </w:r>
      <w:r>
        <w:rPr>
          <w:rFonts w:hint="default" w:ascii="Times New Roman" w:hAnsi="Times New Roman" w:eastAsia="宋体" w:cs="Times New Roman"/>
          <w:color w:val="FF0000"/>
          <w:sz w:val="24"/>
        </w:rPr>
        <w:t>m，成像时间为20</w:t>
      </w:r>
      <w:r>
        <w:rPr>
          <w:rFonts w:hint="eastAsia" w:ascii="Times New Roman" w:hAnsi="Times New Roman" w:cs="Times New Roman"/>
          <w:color w:val="FF0000"/>
          <w:sz w:val="24"/>
          <w:lang w:val="en-US" w:eastAsia="zh-CN"/>
        </w:rPr>
        <w:t>20</w:t>
      </w:r>
      <w:r>
        <w:rPr>
          <w:rFonts w:hint="default" w:ascii="Times New Roman" w:hAnsi="Times New Roman" w:eastAsia="宋体" w:cs="Times New Roman"/>
          <w:color w:val="FF0000"/>
          <w:sz w:val="24"/>
        </w:rPr>
        <w:t>年</w:t>
      </w:r>
      <w:r>
        <w:rPr>
          <w:rFonts w:hint="eastAsia" w:ascii="Times New Roman" w:hAnsi="Times New Roman" w:eastAsia="宋体" w:cs="Times New Roman"/>
          <w:color w:val="FF0000"/>
          <w:sz w:val="24"/>
          <w:lang w:val="en-US" w:eastAsia="zh-CN"/>
        </w:rPr>
        <w:t>7</w:t>
      </w:r>
      <w:r>
        <w:rPr>
          <w:rFonts w:hint="default" w:ascii="Times New Roman" w:hAnsi="Times New Roman" w:eastAsia="宋体" w:cs="Times New Roman"/>
          <w:color w:val="FF0000"/>
          <w:sz w:val="24"/>
        </w:rPr>
        <w:t>月</w:t>
      </w:r>
      <w:r>
        <w:rPr>
          <w:rFonts w:hint="eastAsia" w:ascii="Times New Roman" w:hAnsi="Times New Roman" w:eastAsia="宋体" w:cs="Times New Roman"/>
          <w:color w:val="FF0000"/>
          <w:sz w:val="24"/>
          <w:lang w:val="en-US" w:eastAsia="zh-CN"/>
        </w:rPr>
        <w:t>26</w:t>
      </w:r>
      <w:r>
        <w:rPr>
          <w:rFonts w:hint="default" w:ascii="Times New Roman" w:hAnsi="Times New Roman" w:eastAsia="宋体" w:cs="Times New Roman"/>
          <w:color w:val="FF0000"/>
          <w:sz w:val="24"/>
        </w:rPr>
        <w:t>日</w:t>
      </w:r>
      <w:r>
        <w:rPr>
          <w:rFonts w:hint="eastAsia" w:ascii="Times New Roman" w:hAnsi="Times New Roman" w:cs="Times New Roman"/>
          <w:color w:val="FF0000"/>
          <w:sz w:val="24"/>
          <w:lang w:eastAsia="zh-CN"/>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本项目占地</w:t>
      </w:r>
      <w:r>
        <w:rPr>
          <w:rFonts w:hint="eastAsia" w:cs="Times New Roman"/>
          <w:color w:val="auto"/>
          <w:lang w:val="en-US" w:eastAsia="zh-CN"/>
        </w:rPr>
        <w:t>5.75</w:t>
      </w:r>
      <w:r>
        <w:rPr>
          <w:rFonts w:hint="default" w:ascii="Times New Roman" w:hAnsi="Times New Roman" w:eastAsia="宋体" w:cs="Times New Roman"/>
          <w:color w:val="auto"/>
          <w:lang w:val="en-GB"/>
        </w:rPr>
        <w:t>hm</w:t>
      </w:r>
      <w:r>
        <w:rPr>
          <w:rFonts w:hint="default" w:ascii="Times New Roman" w:hAnsi="Times New Roman" w:eastAsia="宋体" w:cs="Times New Roman"/>
          <w:color w:val="auto"/>
          <w:vertAlign w:val="superscript"/>
          <w:lang w:val="en-GB"/>
        </w:rPr>
        <w:t>2</w:t>
      </w:r>
      <w:r>
        <w:rPr>
          <w:rFonts w:hint="default" w:ascii="Times New Roman" w:hAnsi="Times New Roman" w:eastAsia="宋体" w:cs="Times New Roman"/>
          <w:color w:val="auto"/>
          <w:lang w:val="en-GB"/>
        </w:rPr>
        <w:t>（86.28</w:t>
      </w:r>
      <w:r>
        <w:rPr>
          <w:rFonts w:hint="default" w:ascii="Times New Roman" w:hAnsi="Times New Roman" w:eastAsia="宋体" w:cs="Times New Roman"/>
          <w:color w:val="auto"/>
          <w:lang w:val="en-GB" w:eastAsia="zh-CN"/>
        </w:rPr>
        <w:t>亩</w:t>
      </w:r>
      <w:r>
        <w:rPr>
          <w:rFonts w:hint="default" w:ascii="Times New Roman" w:hAnsi="Times New Roman" w:eastAsia="宋体" w:cs="Times New Roman"/>
          <w:color w:val="auto"/>
          <w:lang w:val="en-GB"/>
        </w:rPr>
        <w:t>）</w:t>
      </w:r>
      <w:r>
        <w:rPr>
          <w:rFonts w:hint="default" w:ascii="Times New Roman" w:hAnsi="Times New Roman" w:eastAsia="宋体" w:cs="Times New Roman"/>
          <w:color w:val="auto"/>
        </w:rPr>
        <w:t>，项目区</w:t>
      </w:r>
      <w:r>
        <w:rPr>
          <w:rFonts w:hint="eastAsia" w:cs="Times New Roman"/>
          <w:color w:val="auto"/>
          <w:lang w:eastAsia="zh-CN"/>
        </w:rPr>
        <w:t>域</w:t>
      </w:r>
      <w:r>
        <w:rPr>
          <w:rFonts w:hint="default" w:ascii="Times New Roman" w:hAnsi="Times New Roman" w:eastAsia="宋体" w:cs="Times New Roman"/>
          <w:color w:val="auto"/>
        </w:rPr>
        <w:t>土地利用类型主要为沙地</w:t>
      </w:r>
      <w:r>
        <w:rPr>
          <w:rFonts w:hint="eastAsia" w:cs="Times New Roman"/>
          <w:color w:val="auto"/>
          <w:lang w:val="en-US" w:eastAsia="zh-CN"/>
        </w:rPr>
        <w:t>及内陆滩涂</w:t>
      </w:r>
      <w:r>
        <w:rPr>
          <w:rFonts w:hint="default" w:ascii="Times New Roman" w:hAnsi="Times New Roman" w:eastAsia="宋体" w:cs="Times New Roman"/>
          <w:color w:val="auto"/>
        </w:rPr>
        <w:t>，项目土地利用现状图如图4.2-</w:t>
      </w:r>
      <w:r>
        <w:rPr>
          <w:rFonts w:hint="eastAsia" w:cs="Times New Roman"/>
          <w:color w:val="auto"/>
          <w:lang w:val="en-US" w:eastAsia="zh-CN"/>
        </w:rPr>
        <w:t>3</w:t>
      </w:r>
      <w:r>
        <w:rPr>
          <w:rFonts w:hint="default" w:ascii="Times New Roman" w:hAnsi="Times New Roman" w:eastAsia="宋体" w:cs="Times New Roman"/>
          <w:color w:val="auto"/>
        </w:rPr>
        <w:t>所示。</w:t>
      </w:r>
    </w:p>
    <w:p>
      <w:pPr>
        <w:pStyle w:val="8"/>
        <w:rPr>
          <w:rFonts w:hint="default" w:ascii="Times New Roman" w:hAnsi="Times New Roman" w:eastAsia="宋体" w:cs="Times New Roman"/>
          <w:color w:val="FF0000"/>
        </w:rPr>
      </w:pPr>
      <w:r>
        <w:rPr>
          <w:rFonts w:hint="default" w:ascii="Times New Roman" w:hAnsi="Times New Roman" w:eastAsia="宋体" w:cs="Times New Roman"/>
          <w:color w:val="FF0000"/>
        </w:rPr>
        <w:t>表4.2-1</w:t>
      </w:r>
      <w:r>
        <w:rPr>
          <w:rFonts w:hint="eastAsia" w:cs="Times New Roman"/>
          <w:color w:val="FF0000"/>
          <w:lang w:val="en-US" w:eastAsia="zh-CN"/>
        </w:rPr>
        <w:t>2</w:t>
      </w:r>
      <w:r>
        <w:rPr>
          <w:rFonts w:hint="default" w:ascii="Times New Roman" w:hAnsi="Times New Roman" w:eastAsia="宋体" w:cs="Times New Roman"/>
          <w:color w:val="FF0000"/>
        </w:rPr>
        <w:t xml:space="preserve">   </w:t>
      </w:r>
      <w:r>
        <w:rPr>
          <w:rFonts w:hint="eastAsia" w:ascii="Times New Roman" w:hAnsi="Times New Roman" w:cs="Times New Roman"/>
          <w:color w:val="FF0000"/>
          <w:lang w:eastAsia="zh-CN"/>
        </w:rPr>
        <w:t>评价区</w:t>
      </w:r>
      <w:r>
        <w:rPr>
          <w:rFonts w:hint="default" w:ascii="Times New Roman" w:hAnsi="Times New Roman" w:eastAsia="宋体" w:cs="Times New Roman"/>
          <w:color w:val="FF0000"/>
        </w:rPr>
        <w:t>土地利用类型统计表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060"/>
        <w:gridCol w:w="2061"/>
        <w:gridCol w:w="1994"/>
        <w:gridCol w:w="28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eastAsia="zh-CN"/>
              </w:rPr>
              <w:t>土地利用类型</w:t>
            </w:r>
          </w:p>
        </w:tc>
        <w:tc>
          <w:tcPr>
            <w:tcW w:w="1144"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eastAsia="zh-CN"/>
              </w:rPr>
              <w:t>斑块数（个）</w:t>
            </w:r>
          </w:p>
        </w:tc>
        <w:tc>
          <w:tcPr>
            <w:tcW w:w="1107"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eastAsia="zh-CN"/>
              </w:rPr>
              <w:t>面积（hm</w:t>
            </w:r>
            <w:r>
              <w:rPr>
                <w:rFonts w:hint="default" w:ascii="Times New Roman" w:hAnsi="Times New Roman" w:eastAsia="宋体" w:cs="Times New Roman"/>
                <w:color w:val="FF0000"/>
                <w:vertAlign w:val="superscript"/>
                <w:lang w:eastAsia="zh-CN"/>
              </w:rPr>
              <w:t>2</w:t>
            </w:r>
            <w:r>
              <w:rPr>
                <w:rFonts w:hint="default" w:ascii="Times New Roman" w:hAnsi="Times New Roman" w:eastAsia="宋体" w:cs="Times New Roman"/>
                <w:color w:val="FF0000"/>
                <w:lang w:eastAsia="zh-CN"/>
              </w:rPr>
              <w:t>）</w:t>
            </w:r>
          </w:p>
        </w:tc>
        <w:tc>
          <w:tcPr>
            <w:tcW w:w="1603"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eastAsia="zh-CN"/>
              </w:rPr>
              <w:t>占总面积比例（%）</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水浇地</w:t>
            </w:r>
          </w:p>
        </w:tc>
        <w:tc>
          <w:tcPr>
            <w:tcW w:w="2061"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14</w:t>
            </w:r>
          </w:p>
        </w:tc>
        <w:tc>
          <w:tcPr>
            <w:tcW w:w="1994"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170.71 </w:t>
            </w:r>
          </w:p>
        </w:tc>
        <w:tc>
          <w:tcPr>
            <w:tcW w:w="2888"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39.78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乔木林地</w:t>
            </w:r>
          </w:p>
        </w:tc>
        <w:tc>
          <w:tcPr>
            <w:tcW w:w="2061"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3</w:t>
            </w:r>
          </w:p>
        </w:tc>
        <w:tc>
          <w:tcPr>
            <w:tcW w:w="1994"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2.74 </w:t>
            </w:r>
          </w:p>
        </w:tc>
        <w:tc>
          <w:tcPr>
            <w:tcW w:w="2888"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0.64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其他林地</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10</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52.13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12.15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城镇住宅用地</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2</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7.35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1.71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农村宅基地</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13</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12.08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2.82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风景名胜设施用地</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2</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1.16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0.27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公路用地</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2</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9.66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2.25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农村道路</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5</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4.31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1.00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坑塘水面</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3</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3.30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0.77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内陆滩涂</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1</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2.55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0.59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盐碱地</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9</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23.62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5.50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沙地</w:t>
            </w:r>
          </w:p>
        </w:tc>
        <w:tc>
          <w:tcPr>
            <w:tcW w:w="2061"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8</w:t>
            </w:r>
          </w:p>
        </w:tc>
        <w:tc>
          <w:tcPr>
            <w:tcW w:w="1994"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139.56 </w:t>
            </w:r>
          </w:p>
        </w:tc>
        <w:tc>
          <w:tcPr>
            <w:tcW w:w="2888" w:type="dxa"/>
            <w:shd w:val="clear" w:color="auto" w:fill="auto"/>
            <w:noWrap/>
            <w:vAlign w:val="center"/>
          </w:tcPr>
          <w:p>
            <w:pPr>
              <w:pStyle w:val="58"/>
              <w:rPr>
                <w:rFonts w:hint="eastAsia"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32.52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总计</w:t>
            </w:r>
          </w:p>
        </w:tc>
        <w:tc>
          <w:tcPr>
            <w:tcW w:w="2061"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72</w:t>
            </w:r>
          </w:p>
        </w:tc>
        <w:tc>
          <w:tcPr>
            <w:tcW w:w="1994"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429.16 </w:t>
            </w:r>
          </w:p>
        </w:tc>
        <w:tc>
          <w:tcPr>
            <w:tcW w:w="2888" w:type="dxa"/>
            <w:shd w:val="clear" w:color="auto" w:fill="auto"/>
            <w:noWrap/>
            <w:vAlign w:val="center"/>
          </w:tcPr>
          <w:p>
            <w:pPr>
              <w:pStyle w:val="58"/>
              <w:rPr>
                <w:rFonts w:hint="default" w:ascii="Times New Roman" w:hAnsi="Times New Roman" w:eastAsia="宋体" w:cs="Times New Roman"/>
                <w:color w:val="FF0000"/>
                <w:lang w:val="en-US" w:eastAsia="zh-CN"/>
              </w:rPr>
            </w:pPr>
            <w:r>
              <w:rPr>
                <w:rFonts w:hint="default" w:ascii="Times New Roman" w:hAnsi="Times New Roman" w:eastAsia="宋体" w:cs="Times New Roman"/>
                <w:color w:val="FF0000"/>
                <w:lang w:val="en-US" w:eastAsia="zh-CN"/>
              </w:rPr>
              <w:t xml:space="preserve">100.00 </w:t>
            </w:r>
          </w:p>
        </w:tc>
      </w:tr>
    </w:tbl>
    <w:p>
      <w:pPr>
        <w:pStyle w:val="8"/>
        <w:rPr>
          <w:rFonts w:hint="default" w:ascii="Times New Roman" w:hAnsi="Times New Roman" w:eastAsia="宋体" w:cs="Times New Roman"/>
          <w:color w:val="FF0000"/>
        </w:rPr>
      </w:pPr>
      <w:r>
        <w:rPr>
          <w:rFonts w:hint="default" w:ascii="Times New Roman" w:hAnsi="Times New Roman" w:eastAsia="宋体" w:cs="Times New Roman"/>
          <w:color w:val="FF0000"/>
        </w:rPr>
        <w:t>表4.2-1</w:t>
      </w:r>
      <w:r>
        <w:rPr>
          <w:rFonts w:hint="eastAsia" w:cs="Times New Roman"/>
          <w:color w:val="FF0000"/>
          <w:lang w:val="en-US" w:eastAsia="zh-CN"/>
        </w:rPr>
        <w:t>3</w:t>
      </w:r>
      <w:r>
        <w:rPr>
          <w:rFonts w:hint="default" w:ascii="Times New Roman" w:hAnsi="Times New Roman" w:eastAsia="宋体" w:cs="Times New Roman"/>
          <w:color w:val="FF0000"/>
        </w:rPr>
        <w:t xml:space="preserve">   项目</w:t>
      </w:r>
      <w:r>
        <w:rPr>
          <w:rFonts w:hint="eastAsia" w:cs="Times New Roman"/>
          <w:color w:val="FF0000"/>
          <w:lang w:eastAsia="zh-CN"/>
        </w:rPr>
        <w:t>场区</w:t>
      </w:r>
      <w:r>
        <w:rPr>
          <w:rFonts w:hint="default" w:ascii="Times New Roman" w:hAnsi="Times New Roman" w:eastAsia="宋体" w:cs="Times New Roman"/>
          <w:color w:val="FF0000"/>
        </w:rPr>
        <w:t>土地利用类型统计表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060"/>
        <w:gridCol w:w="2061"/>
        <w:gridCol w:w="1994"/>
        <w:gridCol w:w="28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default" w:ascii="Times New Roman" w:hAnsi="Times New Roman" w:eastAsia="宋体" w:cs="Times New Roman"/>
                <w:color w:val="FF0000"/>
                <w:lang w:eastAsia="zh-CN"/>
              </w:rPr>
            </w:pPr>
            <w:bookmarkStart w:id="299" w:name="RANGE!A1:C5"/>
            <w:r>
              <w:rPr>
                <w:rFonts w:hint="default" w:ascii="Times New Roman" w:hAnsi="Times New Roman" w:eastAsia="宋体" w:cs="Times New Roman"/>
                <w:color w:val="FF0000"/>
                <w:lang w:eastAsia="zh-CN"/>
              </w:rPr>
              <w:t>土地利用类型</w:t>
            </w:r>
            <w:bookmarkEnd w:id="299"/>
          </w:p>
        </w:tc>
        <w:tc>
          <w:tcPr>
            <w:tcW w:w="1144"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eastAsia="zh-CN"/>
              </w:rPr>
              <w:t>斑块数（个）</w:t>
            </w:r>
          </w:p>
        </w:tc>
        <w:tc>
          <w:tcPr>
            <w:tcW w:w="1107"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eastAsia="zh-CN"/>
              </w:rPr>
              <w:t>面积（hm</w:t>
            </w:r>
            <w:r>
              <w:rPr>
                <w:rFonts w:hint="default" w:ascii="Times New Roman" w:hAnsi="Times New Roman" w:eastAsia="宋体" w:cs="Times New Roman"/>
                <w:color w:val="FF0000"/>
                <w:vertAlign w:val="superscript"/>
                <w:lang w:eastAsia="zh-CN"/>
              </w:rPr>
              <w:t>2</w:t>
            </w:r>
            <w:r>
              <w:rPr>
                <w:rFonts w:hint="default" w:ascii="Times New Roman" w:hAnsi="Times New Roman" w:eastAsia="宋体" w:cs="Times New Roman"/>
                <w:color w:val="FF0000"/>
                <w:lang w:eastAsia="zh-CN"/>
              </w:rPr>
              <w:t>）</w:t>
            </w:r>
          </w:p>
        </w:tc>
        <w:tc>
          <w:tcPr>
            <w:tcW w:w="1603"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eastAsia="zh-CN"/>
              </w:rPr>
              <w:t>占总面积比例（%）</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ind w:firstLine="0" w:firstLineChars="0"/>
              <w:rPr>
                <w:rFonts w:hint="default" w:ascii="Times New Roman" w:hAnsi="Times New Roman" w:eastAsia="宋体" w:cs="Times New Roman"/>
                <w:color w:val="FF0000"/>
                <w:kern w:val="2"/>
                <w:sz w:val="21"/>
                <w:szCs w:val="22"/>
                <w:lang w:val="en-US" w:eastAsia="zh-CN" w:bidi="ar-SA"/>
              </w:rPr>
            </w:pPr>
            <w:r>
              <w:rPr>
                <w:rFonts w:hint="default" w:ascii="Times New Roman" w:hAnsi="Times New Roman" w:eastAsia="宋体" w:cs="Times New Roman"/>
                <w:color w:val="FF0000"/>
                <w:lang w:eastAsia="zh-CN"/>
              </w:rPr>
              <w:t>沙地</w:t>
            </w:r>
          </w:p>
        </w:tc>
        <w:tc>
          <w:tcPr>
            <w:tcW w:w="1144" w:type="pct"/>
            <w:shd w:val="clear" w:color="auto" w:fill="auto"/>
            <w:noWrap/>
            <w:vAlign w:val="center"/>
          </w:tcPr>
          <w:p>
            <w:pPr>
              <w:pStyle w:val="58"/>
              <w:ind w:firstLine="0" w:firstLineChars="0"/>
              <w:rPr>
                <w:rFonts w:hint="default" w:ascii="Times New Roman" w:hAnsi="Times New Roman" w:eastAsia="宋体" w:cs="Times New Roman"/>
                <w:color w:val="FF0000"/>
                <w:kern w:val="2"/>
                <w:sz w:val="21"/>
                <w:szCs w:val="22"/>
                <w:lang w:val="en-US" w:eastAsia="zh-CN" w:bidi="ar-SA"/>
              </w:rPr>
            </w:pPr>
            <w:r>
              <w:rPr>
                <w:rFonts w:hint="eastAsia" w:cs="Times New Roman"/>
                <w:color w:val="FF0000"/>
                <w:lang w:val="en-US" w:eastAsia="zh-CN"/>
              </w:rPr>
              <w:t>1</w:t>
            </w:r>
          </w:p>
        </w:tc>
        <w:tc>
          <w:tcPr>
            <w:tcW w:w="1107" w:type="pct"/>
            <w:shd w:val="clear" w:color="auto" w:fill="auto"/>
            <w:noWrap/>
            <w:vAlign w:val="center"/>
          </w:tcPr>
          <w:p>
            <w:pPr>
              <w:pStyle w:val="58"/>
              <w:ind w:firstLine="0" w:firstLineChars="0"/>
              <w:rPr>
                <w:rFonts w:hint="default" w:ascii="Times New Roman" w:hAnsi="Times New Roman" w:eastAsia="宋体" w:cs="Times New Roman"/>
                <w:color w:val="FF0000"/>
                <w:kern w:val="2"/>
                <w:sz w:val="21"/>
                <w:szCs w:val="22"/>
                <w:lang w:val="en-US" w:eastAsia="zh-CN" w:bidi="ar-SA"/>
              </w:rPr>
            </w:pPr>
            <w:r>
              <w:rPr>
                <w:rFonts w:hint="eastAsia" w:cs="Times New Roman"/>
                <w:color w:val="FF0000"/>
                <w:lang w:val="en-US" w:eastAsia="zh-CN"/>
              </w:rPr>
              <w:t>5.66</w:t>
            </w:r>
          </w:p>
        </w:tc>
        <w:tc>
          <w:tcPr>
            <w:tcW w:w="1603" w:type="pct"/>
            <w:shd w:val="clear" w:color="auto" w:fill="auto"/>
            <w:noWrap/>
            <w:vAlign w:val="center"/>
          </w:tcPr>
          <w:p>
            <w:pPr>
              <w:pStyle w:val="58"/>
              <w:ind w:firstLine="0" w:firstLineChars="0"/>
              <w:rPr>
                <w:rFonts w:hint="default" w:ascii="Times New Roman" w:hAnsi="Times New Roman" w:eastAsia="宋体" w:cs="Times New Roman"/>
                <w:color w:val="FF0000"/>
                <w:kern w:val="2"/>
                <w:sz w:val="21"/>
                <w:szCs w:val="22"/>
                <w:lang w:val="en-US" w:eastAsia="zh-CN" w:bidi="ar-SA"/>
              </w:rPr>
            </w:pPr>
            <w:r>
              <w:rPr>
                <w:rFonts w:hint="eastAsia" w:cs="Times New Roman"/>
                <w:color w:val="FF0000"/>
                <w:lang w:val="en-US" w:eastAsia="zh-CN"/>
              </w:rPr>
              <w:t>98.44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default" w:ascii="Times New Roman" w:hAnsi="Times New Roman" w:eastAsia="宋体" w:cs="Times New Roman"/>
                <w:color w:val="FF0000"/>
                <w:lang w:eastAsia="zh-CN"/>
              </w:rPr>
            </w:pPr>
            <w:r>
              <w:rPr>
                <w:rFonts w:hint="eastAsia" w:cs="Times New Roman"/>
                <w:color w:val="FF0000"/>
                <w:lang w:val="en-US" w:eastAsia="zh-CN"/>
              </w:rPr>
              <w:t>内陆滩涂</w:t>
            </w:r>
          </w:p>
        </w:tc>
        <w:tc>
          <w:tcPr>
            <w:tcW w:w="1144" w:type="pct"/>
            <w:shd w:val="clear" w:color="auto" w:fill="auto"/>
            <w:noWrap/>
            <w:vAlign w:val="center"/>
          </w:tcPr>
          <w:p>
            <w:pPr>
              <w:pStyle w:val="58"/>
              <w:rPr>
                <w:rFonts w:hint="default" w:ascii="Times New Roman" w:hAnsi="Times New Roman" w:eastAsia="宋体" w:cs="Times New Roman"/>
                <w:color w:val="FF0000"/>
                <w:lang w:val="en-US" w:eastAsia="zh-CN"/>
              </w:rPr>
            </w:pPr>
            <w:r>
              <w:rPr>
                <w:rFonts w:hint="eastAsia" w:cs="Times New Roman"/>
                <w:color w:val="FF0000"/>
                <w:lang w:val="en-US" w:eastAsia="zh-CN"/>
              </w:rPr>
              <w:t>1</w:t>
            </w:r>
          </w:p>
        </w:tc>
        <w:tc>
          <w:tcPr>
            <w:tcW w:w="1107" w:type="pct"/>
            <w:shd w:val="clear" w:color="auto" w:fill="auto"/>
            <w:noWrap/>
            <w:vAlign w:val="center"/>
          </w:tcPr>
          <w:p>
            <w:pPr>
              <w:pStyle w:val="58"/>
              <w:rPr>
                <w:rFonts w:hint="default" w:ascii="Times New Roman" w:hAnsi="Times New Roman" w:eastAsia="宋体" w:cs="Times New Roman"/>
                <w:color w:val="FF0000"/>
                <w:lang w:val="en-US" w:eastAsia="zh-CN"/>
              </w:rPr>
            </w:pPr>
            <w:r>
              <w:rPr>
                <w:rFonts w:hint="eastAsia" w:cs="Times New Roman"/>
                <w:color w:val="FF0000"/>
                <w:lang w:val="en-US" w:eastAsia="zh-CN"/>
              </w:rPr>
              <w:t>0.09</w:t>
            </w:r>
          </w:p>
        </w:tc>
        <w:tc>
          <w:tcPr>
            <w:tcW w:w="1603" w:type="pct"/>
            <w:shd w:val="clear" w:color="auto" w:fill="auto"/>
            <w:noWrap/>
            <w:vAlign w:val="center"/>
          </w:tcPr>
          <w:p>
            <w:pPr>
              <w:pStyle w:val="58"/>
              <w:rPr>
                <w:rFonts w:hint="default" w:ascii="Times New Roman" w:hAnsi="Times New Roman" w:eastAsia="宋体" w:cs="Times New Roman"/>
                <w:color w:val="FF0000"/>
                <w:lang w:val="en-US" w:eastAsia="zh-CN"/>
              </w:rPr>
            </w:pPr>
            <w:r>
              <w:rPr>
                <w:rFonts w:hint="eastAsia" w:cs="Times New Roman"/>
                <w:color w:val="FF0000"/>
                <w:lang w:val="en-US" w:eastAsia="zh-CN"/>
              </w:rPr>
              <w:t>1.56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144"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eastAsia="zh-CN"/>
              </w:rPr>
              <w:t>总计</w:t>
            </w:r>
          </w:p>
        </w:tc>
        <w:tc>
          <w:tcPr>
            <w:tcW w:w="1144"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val="en-US" w:eastAsia="zh-CN"/>
              </w:rPr>
              <w:t>3</w:t>
            </w:r>
          </w:p>
        </w:tc>
        <w:tc>
          <w:tcPr>
            <w:tcW w:w="1107" w:type="pct"/>
            <w:shd w:val="clear" w:color="auto" w:fill="auto"/>
            <w:noWrap/>
            <w:vAlign w:val="center"/>
          </w:tcPr>
          <w:p>
            <w:pPr>
              <w:pStyle w:val="58"/>
              <w:rPr>
                <w:rFonts w:hint="default" w:ascii="Times New Roman" w:hAnsi="Times New Roman" w:eastAsia="宋体" w:cs="Times New Roman"/>
                <w:color w:val="FF0000"/>
                <w:lang w:val="en-US" w:eastAsia="zh-CN"/>
              </w:rPr>
            </w:pPr>
            <w:r>
              <w:rPr>
                <w:rFonts w:hint="eastAsia" w:cs="Times New Roman"/>
                <w:color w:val="FF0000"/>
                <w:lang w:val="en-US" w:eastAsia="zh-CN"/>
              </w:rPr>
              <w:t>5.75</w:t>
            </w:r>
          </w:p>
        </w:tc>
        <w:tc>
          <w:tcPr>
            <w:tcW w:w="1603" w:type="pct"/>
            <w:shd w:val="clear" w:color="auto" w:fill="auto"/>
            <w:noWrap/>
            <w:vAlign w:val="center"/>
          </w:tcPr>
          <w:p>
            <w:pPr>
              <w:pStyle w:val="58"/>
              <w:rPr>
                <w:rFonts w:hint="default" w:ascii="Times New Roman" w:hAnsi="Times New Roman" w:eastAsia="宋体" w:cs="Times New Roman"/>
                <w:color w:val="FF0000"/>
                <w:lang w:eastAsia="zh-CN"/>
              </w:rPr>
            </w:pPr>
            <w:r>
              <w:rPr>
                <w:rFonts w:hint="default" w:ascii="Times New Roman" w:hAnsi="Times New Roman" w:eastAsia="宋体" w:cs="Times New Roman"/>
                <w:color w:val="FF0000"/>
                <w:lang w:val="en-US" w:eastAsia="zh-CN"/>
              </w:rPr>
              <w:t xml:space="preserve">100.00 </w:t>
            </w: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w:t>
      </w:r>
      <w:r>
        <w:rPr>
          <w:rFonts w:hint="eastAsia" w:cs="Times New Roman"/>
          <w:color w:val="auto"/>
          <w:lang w:val="en-US" w:eastAsia="zh-CN"/>
        </w:rPr>
        <w:t>4</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rPr>
        <w:t>生态系统功能区划</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内蒙古主体功能区规划》，项目所在区域属于自治区级重点开发区。根据《内蒙古生态功能区划》，该功能区的主要生态问题是土地荒漠化、水土流失等。主要生态功能是以适度造林以及防风固沙治理为主。经过现场踏勘，评价范围内无国家级和地方重点保护野生动植物集中分布区或栖息地、国家级和自治区级自然保护区、生态功能保护区以及其它类型的保护区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项目在巴彦淖尔市的生态功能区划位置如图4.2-</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rPr>
        <w:t>所示。</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4.2.</w:t>
      </w:r>
      <w:r>
        <w:rPr>
          <w:rFonts w:hint="eastAsia" w:cs="Times New Roman"/>
          <w:color w:val="auto"/>
          <w:lang w:val="en-US" w:eastAsia="zh-CN"/>
        </w:rPr>
        <w:t>4</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rPr>
        <w:t>植被类型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植被类型以沙生、旱生、盐生类灌木和小灌木为主，并伴生有少量的沼泽植被和人工林地。林地植被以松树为主。乔木物种单一，分布范围较为集中，多为落叶乔木种类，种类少。草本层种类少，受当地气候的影响，草本植物更趋旱生和中旱生。草种主要有蒿类、禾草杂类、隐子草等。</w:t>
      </w:r>
    </w:p>
    <w:p>
      <w:pPr>
        <w:pStyle w:val="7"/>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4.2.5.</w:t>
      </w:r>
      <w:r>
        <w:rPr>
          <w:rFonts w:hint="default" w:ascii="Times New Roman" w:hAnsi="Times New Roman" w:eastAsia="宋体" w:cs="Times New Roman"/>
          <w:color w:val="auto"/>
          <w:lang w:val="en-US" w:eastAsia="zh-CN"/>
        </w:rPr>
        <w:t>4</w:t>
      </w:r>
      <w:r>
        <w:rPr>
          <w:rFonts w:hint="eastAsia" w:cs="Times New Roman"/>
          <w:color w:val="auto"/>
          <w:lang w:val="en-US" w:eastAsia="zh-CN"/>
        </w:rPr>
        <w:t>动物类型</w:t>
      </w:r>
    </w:p>
    <w:p>
      <w:pPr>
        <w:ind w:firstLine="480"/>
        <w:rPr>
          <w:rFonts w:hint="default" w:ascii="Times New Roman" w:hAnsi="Times New Roman" w:eastAsia="宋体" w:cs="Times New Roman"/>
          <w:color w:val="auto"/>
          <w:lang w:eastAsia="zh-CN"/>
        </w:rPr>
        <w:sectPr>
          <w:pgSz w:w="11906" w:h="16838"/>
          <w:pgMar w:top="1134" w:right="1418" w:bottom="1134" w:left="1701" w:header="737" w:footer="680" w:gutter="0"/>
          <w:pgBorders>
            <w:top w:val="none" w:sz="0" w:space="0"/>
            <w:left w:val="none" w:sz="0" w:space="0"/>
            <w:bottom w:val="none" w:sz="0" w:space="0"/>
            <w:right w:val="none" w:sz="0" w:space="0"/>
          </w:pgBorders>
          <w:pgNumType w:fmt="numberInDash"/>
          <w:cols w:space="425" w:num="1"/>
          <w:docGrid w:linePitch="326" w:charSpace="0"/>
        </w:sectPr>
      </w:pPr>
      <w:r>
        <w:rPr>
          <w:rFonts w:hint="eastAsia"/>
          <w:color w:val="auto"/>
        </w:rPr>
        <w:t>项目所在地栖息的动物资源较为稀少。根据现场调查及资料记载，但近年来由于人为活动的干扰和草原生态系统的破坏，所在区域野生动物的种类和数量较少，常见的哺乳类动物有蒙古兔、狐狸、獾、刺猬、荒漠猫、兔狲等；爬行动物有蜥蜴类、蛇类等；鸟类有苍鹰、雉鸡、石鸡、沙鸡；啮齿类动物有黄鼠、松鼠等。优势动物为中小型哺乳类动物和啮齿类动物，如蒙古兔、狐狸、獾、刺猬、黄鼠等</w:t>
      </w:r>
      <w:r>
        <w:rPr>
          <w:rFonts w:hint="default" w:ascii="Times New Roman" w:hAnsi="Times New Roman" w:eastAsia="宋体" w:cs="Times New Roman"/>
          <w:color w:val="auto"/>
          <w:lang w:eastAsia="zh-CN"/>
        </w:rPr>
        <w:t>。</w:t>
      </w:r>
    </w:p>
    <w:p>
      <w:pPr>
        <w:ind w:left="0" w:leftChars="0"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drawing>
          <wp:anchor distT="0" distB="0" distL="114300" distR="114300" simplePos="0" relativeHeight="251721728" behindDoc="0" locked="0" layoutInCell="1" allowOverlap="1">
            <wp:simplePos x="0" y="0"/>
            <wp:positionH relativeFrom="column">
              <wp:posOffset>1191260</wp:posOffset>
            </wp:positionH>
            <wp:positionV relativeFrom="paragraph">
              <wp:posOffset>34925</wp:posOffset>
            </wp:positionV>
            <wp:extent cx="7211695" cy="5144135"/>
            <wp:effectExtent l="0" t="0" r="8255" b="18415"/>
            <wp:wrapNone/>
            <wp:docPr id="7" name="图片 7" descr="C:/Users/addd/AppData/Local/Temp/picturecompress_20210505141733/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dd/AppData/Local/Temp/picturecompress_20210505141733/output_1.jpgoutput_1"/>
                    <pic:cNvPicPr>
                      <a:picLocks noChangeAspect="1"/>
                    </pic:cNvPicPr>
                  </pic:nvPicPr>
                  <pic:blipFill>
                    <a:blip r:embed="rId32"/>
                    <a:srcRect t="3988" b="3703"/>
                    <a:stretch>
                      <a:fillRect/>
                    </a:stretch>
                  </pic:blipFill>
                  <pic:spPr>
                    <a:xfrm>
                      <a:off x="0" y="0"/>
                      <a:ext cx="7211695" cy="5144135"/>
                    </a:xfrm>
                    <a:prstGeom prst="rect">
                      <a:avLst/>
                    </a:prstGeom>
                  </pic:spPr>
                </pic:pic>
              </a:graphicData>
            </a:graphic>
          </wp:anchor>
        </w:drawing>
      </w: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left="0" w:leftChars="0" w:firstLine="0" w:firstLineChars="0"/>
        <w:rPr>
          <w:rFonts w:hint="default" w:ascii="Times New Roman" w:hAnsi="Times New Roman" w:eastAsia="宋体" w:cs="Times New Roman"/>
          <w:color w:val="auto"/>
        </w:rPr>
      </w:pPr>
    </w:p>
    <w:p>
      <w:pPr>
        <w:ind w:firstLine="480"/>
        <w:jc w:val="center"/>
        <w:rPr>
          <w:rFonts w:hint="default" w:ascii="Times New Roman" w:hAnsi="Times New Roman" w:eastAsia="宋体" w:cs="Times New Roman"/>
          <w:b/>
          <w:bCs/>
          <w:color w:val="auto"/>
        </w:rPr>
        <w:sectPr>
          <w:pgSz w:w="16838" w:h="11906" w:orient="landscape"/>
          <w:pgMar w:top="1701" w:right="1134" w:bottom="1418" w:left="1134" w:header="737"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Times New Roman" w:hAnsi="Times New Roman" w:eastAsia="宋体" w:cs="Times New Roman"/>
          <w:b/>
          <w:bCs/>
          <w:color w:val="auto"/>
        </w:rPr>
        <w:t>图4.2-</w:t>
      </w:r>
      <w:r>
        <w:rPr>
          <w:rFonts w:hint="eastAsia" w:cs="Times New Roman"/>
          <w:b/>
          <w:bCs/>
          <w:color w:val="auto"/>
          <w:lang w:val="en-US" w:eastAsia="zh-CN"/>
        </w:rPr>
        <w:t>3</w:t>
      </w:r>
      <w:r>
        <w:rPr>
          <w:rFonts w:hint="default" w:ascii="Times New Roman" w:hAnsi="Times New Roman" w:eastAsia="宋体" w:cs="Times New Roman"/>
          <w:b/>
          <w:bCs/>
          <w:color w:val="auto"/>
        </w:rPr>
        <w:t xml:space="preserve">    项目土地利用现状图</w:t>
      </w:r>
    </w:p>
    <w:p>
      <w:pPr>
        <w:pStyle w:val="8"/>
        <w:rPr>
          <w:rFonts w:hint="default" w:ascii="Times New Roman" w:hAnsi="Times New Roman" w:eastAsia="宋体" w:cs="Times New Roman"/>
          <w:color w:val="auto"/>
        </w:rPr>
        <w:sectPr>
          <w:pgSz w:w="16838" w:h="11906" w:orient="landscape"/>
          <w:pgMar w:top="1134" w:right="1134" w:bottom="1134" w:left="1134" w:header="737"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Times New Roman" w:hAnsi="Times New Roman" w:eastAsia="宋体" w:cs="Times New Roman"/>
          <w:color w:val="auto"/>
        </w:rPr>
        <mc:AlternateContent>
          <mc:Choice Requires="wps">
            <w:drawing>
              <wp:anchor distT="0" distB="0" distL="114300" distR="114300" simplePos="0" relativeHeight="251662336" behindDoc="0" locked="0" layoutInCell="1" allowOverlap="1">
                <wp:simplePos x="0" y="0"/>
                <wp:positionH relativeFrom="column">
                  <wp:posOffset>5885815</wp:posOffset>
                </wp:positionH>
                <wp:positionV relativeFrom="paragraph">
                  <wp:posOffset>3821430</wp:posOffset>
                </wp:positionV>
                <wp:extent cx="1176020" cy="434975"/>
                <wp:effectExtent l="4445" t="718820" r="19685" b="8255"/>
                <wp:wrapNone/>
                <wp:docPr id="62" name="自选图形 335"/>
                <wp:cNvGraphicFramePr/>
                <a:graphic xmlns:a="http://schemas.openxmlformats.org/drawingml/2006/main">
                  <a:graphicData uri="http://schemas.microsoft.com/office/word/2010/wordprocessingShape">
                    <wps:wsp>
                      <wps:cNvSpPr/>
                      <wps:spPr>
                        <a:xfrm>
                          <a:off x="0" y="0"/>
                          <a:ext cx="1176020" cy="434975"/>
                        </a:xfrm>
                        <a:prstGeom prst="wedgeRectCallout">
                          <a:avLst>
                            <a:gd name="adj1" fmla="val -27105"/>
                            <a:gd name="adj2" fmla="val -209885"/>
                          </a:avLst>
                        </a:prstGeom>
                        <a:solidFill>
                          <a:srgbClr val="FFFFFF"/>
                        </a:solidFill>
                        <a:ln w="9525" cap="flat" cmpd="sng">
                          <a:solidFill>
                            <a:srgbClr val="000000"/>
                          </a:solidFill>
                          <a:prstDash val="solid"/>
                          <a:miter/>
                          <a:headEnd type="none" w="med" len="med"/>
                          <a:tailEnd type="none" w="med" len="med"/>
                        </a:ln>
                      </wps:spPr>
                      <wps:txbx>
                        <w:txbxContent>
                          <w:p>
                            <w:pPr>
                              <w:ind w:firstLine="0" w:firstLineChars="0"/>
                              <w:jc w:val="center"/>
                              <w:rPr>
                                <w:b/>
                                <w:bCs/>
                              </w:rPr>
                            </w:pPr>
                            <w:r>
                              <w:rPr>
                                <w:rFonts w:hint="eastAsia"/>
                                <w:b/>
                                <w:bCs/>
                              </w:rPr>
                              <w:t>项目所在地</w:t>
                            </w:r>
                          </w:p>
                        </w:txbxContent>
                      </wps:txbx>
                      <wps:bodyPr upright="1"/>
                    </wps:wsp>
                  </a:graphicData>
                </a:graphic>
              </wp:anchor>
            </w:drawing>
          </mc:Choice>
          <mc:Fallback>
            <w:pict>
              <v:shape id="自选图形 335" o:spid="_x0000_s1026" o:spt="61" type="#_x0000_t61" style="position:absolute;left:0pt;margin-left:463.45pt;margin-top:300.9pt;height:34.25pt;width:92.6pt;z-index:251662336;mso-width-relative:page;mso-height-relative:page;" fillcolor="#FFFFFF" filled="t" stroked="t" coordsize="21600,21600" o:gfxdata="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FPSaljbAAAADAEAAA8AAAAAAAAAAQAgAAAA&#10;IgAAAGRycy9kb3ducmV2LnhtbFBLAQIUABQAAAAIAIdO4kBa3clAQQIAAJIEAAAOAAAAAAAAAAEA&#10;IAAAACoBAABkcnMvZTJvRG9jLnhtbFBLBQYAAAAABgAGAFkBAADdBQAAAAA=&#10;" adj="4945,-34535">
                <v:fill on="t" focussize="0,0"/>
                <v:stroke color="#000000" joinstyle="miter"/>
                <v:imagedata o:title=""/>
                <o:lock v:ext="edit" aspectratio="f"/>
                <v:textbox>
                  <w:txbxContent>
                    <w:p>
                      <w:pPr>
                        <w:ind w:firstLine="0" w:firstLineChars="0"/>
                        <w:jc w:val="center"/>
                        <w:rPr>
                          <w:b/>
                          <w:bCs/>
                        </w:rPr>
                      </w:pPr>
                      <w:r>
                        <w:rPr>
                          <w:rFonts w:hint="eastAsia"/>
                          <w:b/>
                          <w:bCs/>
                        </w:rPr>
                        <w:t>项目所在地</w:t>
                      </w:r>
                    </w:p>
                  </w:txbxContent>
                </v:textbox>
              </v:shape>
            </w:pict>
          </mc:Fallback>
        </mc:AlternateContent>
      </w:r>
      <w:r>
        <w:rPr>
          <w:rFonts w:hint="default" w:ascii="Times New Roman" w:hAnsi="Times New Roman" w:eastAsia="宋体" w:cs="Times New Roman"/>
          <w:color w:val="auto"/>
        </w:rPr>
        <w:drawing>
          <wp:anchor distT="0" distB="0" distL="114300" distR="114300" simplePos="0" relativeHeight="251661312" behindDoc="0" locked="0" layoutInCell="1" allowOverlap="1">
            <wp:simplePos x="0" y="0"/>
            <wp:positionH relativeFrom="margin">
              <wp:posOffset>0</wp:posOffset>
            </wp:positionH>
            <wp:positionV relativeFrom="paragraph">
              <wp:posOffset>0</wp:posOffset>
            </wp:positionV>
            <wp:extent cx="9251950" cy="5568315"/>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9252000" cy="5568197"/>
                    </a:xfrm>
                    <a:prstGeom prst="rect">
                      <a:avLst/>
                    </a:prstGeom>
                    <a:noFill/>
                    <a:ln>
                      <a:noFill/>
                    </a:ln>
                  </pic:spPr>
                </pic:pic>
              </a:graphicData>
            </a:graphic>
          </wp:anchor>
        </w:drawing>
      </w:r>
      <w:r>
        <w:rPr>
          <w:rFonts w:hint="default" w:ascii="Times New Roman" w:hAnsi="Times New Roman" w:eastAsia="宋体" w:cs="Times New Roman"/>
          <w:color w:val="auto"/>
        </w:rPr>
        <w:t>图4.2-</w:t>
      </w:r>
      <w:r>
        <w:rPr>
          <w:rFonts w:hint="eastAsia" w:cs="Times New Roman"/>
          <w:color w:val="auto"/>
          <w:lang w:val="en-US" w:eastAsia="zh-CN"/>
        </w:rPr>
        <w:t>4</w:t>
      </w:r>
      <w:r>
        <w:rPr>
          <w:rFonts w:hint="default" w:ascii="Times New Roman" w:hAnsi="Times New Roman" w:eastAsia="宋体" w:cs="Times New Roman"/>
          <w:color w:val="auto"/>
        </w:rPr>
        <w:t xml:space="preserve">    巴彦淖尔生态功能图</w:t>
      </w:r>
    </w:p>
    <w:p>
      <w:pPr>
        <w:pStyle w:val="4"/>
        <w:rPr>
          <w:rFonts w:hint="default" w:ascii="Times New Roman" w:hAnsi="Times New Roman" w:eastAsia="宋体" w:cs="Times New Roman"/>
          <w:color w:val="auto"/>
        </w:rPr>
      </w:pPr>
      <w:bookmarkStart w:id="300" w:name="_Toc11188"/>
      <w:r>
        <w:rPr>
          <w:rFonts w:hint="default" w:ascii="Times New Roman" w:hAnsi="Times New Roman" w:eastAsia="宋体" w:cs="Times New Roman"/>
          <w:color w:val="auto"/>
        </w:rPr>
        <w:t>5环境影响预测与评价</w:t>
      </w:r>
      <w:bookmarkEnd w:id="300"/>
    </w:p>
    <w:p>
      <w:pPr>
        <w:pStyle w:val="5"/>
        <w:rPr>
          <w:rFonts w:hint="default" w:ascii="Times New Roman" w:hAnsi="Times New Roman" w:eastAsia="宋体" w:cs="Times New Roman"/>
          <w:color w:val="auto"/>
        </w:rPr>
      </w:pPr>
      <w:bookmarkStart w:id="301" w:name="_Toc2705"/>
      <w:r>
        <w:rPr>
          <w:rFonts w:hint="default" w:ascii="Times New Roman" w:hAnsi="Times New Roman" w:eastAsia="宋体" w:cs="Times New Roman"/>
          <w:color w:val="auto"/>
        </w:rPr>
        <w:t>5.1施工期环境影响分析</w:t>
      </w:r>
      <w:bookmarkEnd w:id="301"/>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于建筑施工的每个施工阶段所进行的项目内容和采用的机械设备不同，对周围环境要素在不同程度上将产生一定影响。建筑施工对周围环境的影响主要表现在生态破坏、水土流失、扬尘、噪声、固体废物及废水等方面，其中以扬尘和噪声对环境的影响较为显著。施工期的环境影响属短期的、可恢复和局部的。</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施工期间应加强管理，严格执行国家的有关规定，减少对周围环境的影响。下面将结合本工程的特征和当地的环境状况，就项目施工过程中对环境的影响进行分析，并在此基础上提出减少影响的措施和建议。</w:t>
      </w:r>
    </w:p>
    <w:p>
      <w:pPr>
        <w:pStyle w:val="6"/>
        <w:rPr>
          <w:rFonts w:hint="default" w:ascii="Times New Roman" w:hAnsi="Times New Roman" w:eastAsia="宋体" w:cs="Times New Roman"/>
          <w:color w:val="auto"/>
        </w:rPr>
      </w:pPr>
      <w:bookmarkStart w:id="302" w:name="_Toc16911"/>
      <w:r>
        <w:rPr>
          <w:rFonts w:hint="default" w:ascii="Times New Roman" w:hAnsi="Times New Roman" w:eastAsia="宋体" w:cs="Times New Roman"/>
          <w:color w:val="auto"/>
        </w:rPr>
        <w:t>5.1.1大气环境影响分析</w:t>
      </w:r>
      <w:bookmarkEnd w:id="302"/>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5.1.1.1施工扬尘的影响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场区扬尘的主要来源是施工场地清理及平整、施工建筑材料（水泥、石灰、砂石料）的装卸、运输、堆砌过程及开挖弃土的堆砌、运输过程中造成扬起和洒落引起的扬尘，施工现场道路扬尘。另外运输汽车、施工机械等燃油会排放少量尾气，对空气环境也有一定的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（1）施工场区扬尘</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场区扬尘的主要来源是工程建设产生的扬尘，主要集中在土建施工阶段，土地平整、表土剥离、开挖、回填、建材运输、露天堆放、装卸和搅拌等过程。扬尘的排放与施工场地的面积和施工活动频率成比例，还与风速与粒径和含水率有关，因此减小露天堆场和保证一定的含水率及减少裸露地面是减少风力起尘的有效手段。粉尘在空气中的扩散稀散与风速等气象条件有关，也与粉尘的沉降速度有关。不同粒径的沉降速度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表5.1-1    不同粒径尘粒的沉降速度一览表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772"/>
        <w:gridCol w:w="861"/>
        <w:gridCol w:w="861"/>
        <w:gridCol w:w="861"/>
        <w:gridCol w:w="861"/>
        <w:gridCol w:w="861"/>
        <w:gridCol w:w="861"/>
        <w:gridCol w:w="84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jc w:val="center"/>
        </w:trPr>
        <w:tc>
          <w:tcPr>
            <w:tcW w:w="2772"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粉尘粒径（μm）</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60</w:t>
            </w:r>
          </w:p>
        </w:tc>
        <w:tc>
          <w:tcPr>
            <w:tcW w:w="849"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70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jc w:val="center"/>
        </w:trPr>
        <w:tc>
          <w:tcPr>
            <w:tcW w:w="2772"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沉降速度（m/s）</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0.003</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0.012</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0.027</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0.048</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0.075</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0108</w:t>
            </w:r>
          </w:p>
        </w:tc>
        <w:tc>
          <w:tcPr>
            <w:tcW w:w="849"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0.147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jc w:val="center"/>
        </w:trPr>
        <w:tc>
          <w:tcPr>
            <w:tcW w:w="2772"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粉尘粒径（μm）</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80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90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150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200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250</w:t>
            </w:r>
          </w:p>
        </w:tc>
        <w:tc>
          <w:tcPr>
            <w:tcW w:w="849"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jc w:val="center"/>
        </w:trPr>
        <w:tc>
          <w:tcPr>
            <w:tcW w:w="2772"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沉降速度（m/s）</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0.158</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0.170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0.182</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0.239</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0.804</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1.005</w:t>
            </w:r>
          </w:p>
        </w:tc>
        <w:tc>
          <w:tcPr>
            <w:tcW w:w="849"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1.829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jc w:val="center"/>
        </w:trPr>
        <w:tc>
          <w:tcPr>
            <w:tcW w:w="2772"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粉尘粒径（μm）</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450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550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650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750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850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950</w:t>
            </w:r>
          </w:p>
        </w:tc>
        <w:tc>
          <w:tcPr>
            <w:tcW w:w="849"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jc w:val="center"/>
        </w:trPr>
        <w:tc>
          <w:tcPr>
            <w:tcW w:w="2772"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沉降速度（m/s）</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2.211</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2.614</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3.016</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3.418</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3.820</w:t>
            </w:r>
          </w:p>
        </w:tc>
        <w:tc>
          <w:tcPr>
            <w:tcW w:w="861"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4.222</w:t>
            </w:r>
          </w:p>
        </w:tc>
        <w:tc>
          <w:tcPr>
            <w:tcW w:w="849" w:type="dxa"/>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4.624</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从上表中可知，粉尘的沉降速度随着粒径的增大而迅速增大，当粒径大于250μm时，主要影响范围在扬尘产生点下风向近距离范围内，而对外环境影响较大的是一些粒径微小的粉尘。</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根据有关资料，施工扬尘的影响范围一般在下风向50m范围内为重污染带、50m～100m为中污染带、100m～150m为轻污染带、150m以外基本不受影响。施工扬尘对周边人群聚集点的影响很小。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通常施工扬尘中粒径大于10μm的颗粒物（降尘）会降落在植物叶片上，使植物叶片表面积尘成层而抑制植物的光合作用、呼吸作用和蒸腾作用，不利于植物的生长。根据类比，施工扬尘对周围植物的影响范围为扬尘点下风向100m范围内，但在施工场地采取勤洒水等防尘抑尘措施后，施工扬尘对周围植物的影响范围可以被控制在20～50m范围内，且施工对植物造成的这种影响是局部和暂时的，施工结束，这些影响也随即消失。</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如果施工阶段对汽车行驶路面勤洒水（4～5次/天），可以使空气中扬尘产生量减少70%左右，收到很好的降尘效果，施工扬尘造成的TSP污染距离可缩小到20~50m范围内。施工阶段洒水的试验资料见下表。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表5.1-2    施工阶段使用洒水降尘试验结果一览表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301"/>
        <w:gridCol w:w="1702"/>
        <w:gridCol w:w="1144"/>
        <w:gridCol w:w="910"/>
        <w:gridCol w:w="910"/>
        <w:gridCol w:w="910"/>
        <w:gridCol w:w="91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2277" w:type="pct"/>
            <w:gridSpan w:val="2"/>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距路边距离（m）</w:t>
            </w:r>
          </w:p>
        </w:tc>
        <w:tc>
          <w:tcPr>
            <w:tcW w:w="651"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20</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50</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100</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1309" w:type="pct"/>
            <w:vMerge w:val="restar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TSP浓度</w:t>
            </w:r>
          </w:p>
        </w:tc>
        <w:tc>
          <w:tcPr>
            <w:tcW w:w="96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不洒水</w:t>
            </w:r>
          </w:p>
        </w:tc>
        <w:tc>
          <w:tcPr>
            <w:tcW w:w="651"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11.03</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2.89</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1.15</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0.86</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0.56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1309" w:type="pct"/>
            <w:vMerge w:val="continue"/>
            <w:tcMar>
              <w:top w:w="0" w:type="dxa"/>
              <w:bottom w:w="0" w:type="dxa"/>
            </w:tcMar>
            <w:vAlign w:val="center"/>
          </w:tcPr>
          <w:p>
            <w:pPr>
              <w:pStyle w:val="58"/>
              <w:rPr>
                <w:rFonts w:hint="default" w:ascii="Times New Roman" w:hAnsi="Times New Roman" w:eastAsia="宋体" w:cs="Times New Roman"/>
                <w:color w:val="auto"/>
              </w:rPr>
            </w:pPr>
          </w:p>
        </w:tc>
        <w:tc>
          <w:tcPr>
            <w:tcW w:w="96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洒水</w:t>
            </w:r>
          </w:p>
        </w:tc>
        <w:tc>
          <w:tcPr>
            <w:tcW w:w="651"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2.11</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1.40</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0.68</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0.60</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0.29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2277" w:type="pct"/>
            <w:gridSpan w:val="2"/>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降尘效果（%）</w:t>
            </w:r>
          </w:p>
        </w:tc>
        <w:tc>
          <w:tcPr>
            <w:tcW w:w="651"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80.2</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51.6</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41.7</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30.2</w:t>
            </w:r>
          </w:p>
        </w:tc>
        <w:tc>
          <w:tcPr>
            <w:tcW w:w="518" w:type="pct"/>
            <w:tcMar>
              <w:top w:w="0" w:type="dxa"/>
              <w:bottom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48.2</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从上表可知，洒水抑尘可以使扬尘在20~50m的距离内达到《大气污染物综合排放标准》（GB16297-1996）中无组织排放监控浓度限值要求的1.0mg/m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（周界外浓度最高点）。</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（2）车辆行驶扬尘</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根据有关文献资料介绍，施工过程中，车辆行驶产生的扬尘占总扬尘的60%以上。</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车辆行驶产生的扬尘，在完全干燥的情况下，可按以下经验公式计算：</w:t>
      </w:r>
    </w:p>
    <w:p>
      <w:pPr>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position w:val="-28"/>
        </w:rPr>
        <w:object>
          <v:shape id="_x0000_i1028" o:spt="75" type="#_x0000_t75" style="height:35.3pt;width:153.5pt;" o:ole="t" filled="f" o:preferrelative="t" stroked="f" coordsize="21600,21600">
            <v:path/>
            <v:fill on="f" focussize="0,0"/>
            <v:stroke on="f" joinstyle="miter"/>
            <v:imagedata r:id="rId35" o:title=""/>
            <o:lock v:ext="edit" aspectratio="t"/>
            <w10:wrap type="none"/>
            <w10:anchorlock/>
          </v:shape>
          <o:OLEObject Type="Embed" ProgID="Equation.3" ShapeID="_x0000_i1028" DrawAspect="Content" ObjectID="_1468075728" r:id="rId34">
            <o:LockedField>false</o:LockedField>
          </o:OLEObject>
        </w:objec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Q—汽车行驶的扬尘量，kg/km·辆；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V—汽车速度，km/h；</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W—汽车载重量，T；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P—道路表面粉尘量，kg/m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下表为一辆10t卡车，通过一段长为1km的路面时，不同路面清洁程度，不同行驶速度情况下的扬尘量。</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表5.1-3    在不同车速和地面清洁程度的汽车扬尘量    单位：kg/km·辆</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125"/>
        <w:gridCol w:w="1111"/>
        <w:gridCol w:w="1111"/>
        <w:gridCol w:w="1111"/>
        <w:gridCol w:w="1111"/>
        <w:gridCol w:w="1111"/>
        <w:gridCol w:w="110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jc w:val="center"/>
        </w:trPr>
        <w:tc>
          <w:tcPr>
            <w:tcW w:w="1210" w:type="pct"/>
            <w:tcBorders>
              <w:tl2br w:val="single" w:color="auto" w:sz="4" w:space="0"/>
            </w:tcBorders>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rPr>
              <w:t xml:space="preserve">          </w:t>
            </w:r>
            <w:r>
              <w:rPr>
                <w:rFonts w:hint="default" w:ascii="Times New Roman" w:hAnsi="Times New Roman" w:eastAsia="宋体" w:cs="Times New Roman"/>
                <w:color w:val="auto"/>
                <w:lang w:val="en-GB"/>
              </w:rPr>
              <w:t>P（</w:t>
            </w:r>
            <w:r>
              <w:rPr>
                <w:rFonts w:hint="default" w:ascii="Times New Roman" w:hAnsi="Times New Roman" w:eastAsia="宋体" w:cs="Times New Roman"/>
                <w:color w:val="auto"/>
              </w:rPr>
              <w:t>kg/m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lang w:val="en-GB"/>
              </w:rPr>
              <w:t>）</w:t>
            </w:r>
          </w:p>
          <w:p>
            <w:pPr>
              <w:pStyle w:val="58"/>
              <w:jc w:val="both"/>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车速（km/h）</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0.1</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0.2</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0.3</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0.4</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0.5</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jc w:val="center"/>
        </w:trPr>
        <w:tc>
          <w:tcPr>
            <w:tcW w:w="1210"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0.051</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0.086</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0.116</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0.144</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0.171</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0.287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jc w:val="center"/>
        </w:trPr>
        <w:tc>
          <w:tcPr>
            <w:tcW w:w="1210"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0.102</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0.171</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0.232</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0.289</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0.341</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0.574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jc w:val="center"/>
        </w:trPr>
        <w:tc>
          <w:tcPr>
            <w:tcW w:w="1210"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15</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0.153</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0.257</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0.349</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0.433</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0.512</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0.861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jc w:val="center"/>
        </w:trPr>
        <w:tc>
          <w:tcPr>
            <w:tcW w:w="1210"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20</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0.255</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0.429</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0.582</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0.722</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0.853</w:t>
            </w:r>
          </w:p>
        </w:tc>
        <w:tc>
          <w:tcPr>
            <w:tcW w:w="632" w:type="pct"/>
            <w:tcMar>
              <w:top w:w="0" w:type="dxa"/>
              <w:left w:w="0" w:type="dxa"/>
              <w:bottom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1.435</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从上表可见，在同样的路面条件下，车速越快，扬尘量越大，在同样的车速情况下，路面粉尘越大，扬尘量越大。因此，限制施工车辆速度和保持路面清洁是减小扬尘的有效手段。</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项目在施工过程中对车辆加盖苫布及减速慢行之后，对运输道路两侧环境空气影响较小。</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5.1.1.2施工期焊接烟尘的影响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施工在进行设备固定、辅助设施建设过程会采取焊接工艺，焊接过程中会有少量焊接烟尘和烟气产生。焊接烟尘是由金属及非金属物质在过热条件下产生的蒸气经氧化和冷凝而形成的，其成分主要取决于焊接材料（焊丝、焊条、焊剂）成分及其蒸发的难易，焊接烟尘的产生量主要取决于焊料的材质和焊接方式。项目焊接工艺主要为二氧化碳焊，对焊接场所加强通风，产生的焊接烟尘对大气环境影响较小。</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5.1.1.3施工机械废气</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机械设备（如柴油机等）和运输及施工车辆的尾气排放属无组织排放，污染物排放量的大小与交通量成比例，与车辆的类型以及运行的工况有关。项目在建设过程中，随着各类机动车辆和施工机械进入施工地区，必然造成车辆尾气排放量的相应增加，释放出一定量的NO</w:t>
      </w:r>
      <w:r>
        <w:rPr>
          <w:rFonts w:hint="default" w:ascii="Times New Roman" w:hAnsi="Times New Roman" w:eastAsia="宋体" w:cs="Times New Roman"/>
          <w:color w:val="auto"/>
          <w:vertAlign w:val="subscript"/>
        </w:rPr>
        <w:t>x</w:t>
      </w:r>
      <w:r>
        <w:rPr>
          <w:rFonts w:hint="default" w:ascii="Times New Roman" w:hAnsi="Times New Roman" w:eastAsia="宋体" w:cs="Times New Roman"/>
          <w:color w:val="auto"/>
        </w:rPr>
        <w:t>、CO、C</w:t>
      </w:r>
      <w:r>
        <w:rPr>
          <w:rFonts w:hint="default" w:ascii="Times New Roman" w:hAnsi="Times New Roman" w:eastAsia="宋体" w:cs="Times New Roman"/>
          <w:color w:val="auto"/>
          <w:vertAlign w:val="subscript"/>
        </w:rPr>
        <w:t>m</w:t>
      </w:r>
      <w:r>
        <w:rPr>
          <w:rFonts w:hint="default" w:ascii="Times New Roman" w:hAnsi="Times New Roman" w:eastAsia="宋体" w:cs="Times New Roman"/>
          <w:color w:val="auto"/>
        </w:rPr>
        <w:t>H</w:t>
      </w:r>
      <w:r>
        <w:rPr>
          <w:rFonts w:hint="default" w:ascii="Times New Roman" w:hAnsi="Times New Roman" w:eastAsia="宋体" w:cs="Times New Roman"/>
          <w:color w:val="auto"/>
          <w:vertAlign w:val="subscript"/>
        </w:rPr>
        <w:t>n</w:t>
      </w:r>
      <w:r>
        <w:rPr>
          <w:rFonts w:hint="default" w:ascii="Times New Roman" w:hAnsi="Times New Roman" w:eastAsia="宋体" w:cs="Times New Roman"/>
          <w:color w:val="auto"/>
        </w:rPr>
        <w:t>等大气污染物，且随着车辆行驶形成流动污染源，对区域环境空气造成污染。施工过程中应加强施工机械和车辆的维护保养，由于施工机械和运输车辆等排放的废气产生量较小，项目拟建地较开阔，空气流动性好，废气扩散快，对当地的空气环境影响较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根据同类工程的施工资料，燃油废气对大气影响很小，施工对环境空气质量的影响是临时的，只限于施工期内，施工结束后，影响随之消失。</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机械尾气防治措施：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（1）禁止使用尾气污染物超标排放机动车；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（2）加强机动车的检测与维修，使在用车经常保持在良好的状态，以减少尾气污染物的排放；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（3）施工车辆采用清洁柴油或汽油。</w:t>
      </w:r>
    </w:p>
    <w:p>
      <w:pPr>
        <w:pStyle w:val="6"/>
        <w:rPr>
          <w:rFonts w:hint="default" w:ascii="Times New Roman" w:hAnsi="Times New Roman" w:eastAsia="宋体" w:cs="Times New Roman"/>
          <w:color w:val="auto"/>
        </w:rPr>
      </w:pPr>
      <w:bookmarkStart w:id="303" w:name="_Toc23174"/>
      <w:r>
        <w:rPr>
          <w:rFonts w:hint="default" w:ascii="Times New Roman" w:hAnsi="Times New Roman" w:eastAsia="宋体" w:cs="Times New Roman"/>
          <w:color w:val="auto"/>
        </w:rPr>
        <w:t>5.1.2水环境影响分析</w:t>
      </w:r>
      <w:bookmarkEnd w:id="30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项目施工期排水主要为生活污水和生产废水。</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5.1.2.1生活污水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项目在施工期的水环境影响包括施工人员的生活污水。经估算施工期施工人员最多可达30人。按每人每天排放污水0.01m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计算，施工人员每天共排放生活污水3.0m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类比同类型生活污水排放浓度，生活污水中污染物浓度为：COD350mg/L，BOD</w:t>
      </w:r>
      <w:r>
        <w:rPr>
          <w:rFonts w:hint="default" w:ascii="Times New Roman" w:hAnsi="Times New Roman" w:eastAsia="宋体" w:cs="Times New Roman"/>
          <w:color w:val="auto"/>
          <w:vertAlign w:val="subscript"/>
        </w:rPr>
        <w:t>5</w:t>
      </w:r>
      <w:r>
        <w:rPr>
          <w:rFonts w:hint="default" w:ascii="Times New Roman" w:hAnsi="Times New Roman" w:eastAsia="宋体" w:cs="Times New Roman"/>
          <w:color w:val="auto"/>
        </w:rPr>
        <w:t>250mg/L，SS300mg/L，NH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-N30mg/L。本项目施工期排放生活污水中主要污染物的排放量见表5.1-4。</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表5.1-4    施工期生活污水排放的污染物高峰负荷</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54"/>
        <w:gridCol w:w="3088"/>
        <w:gridCol w:w="1201"/>
        <w:gridCol w:w="1201"/>
        <w:gridCol w:w="819"/>
        <w:gridCol w:w="154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154"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w:t>
            </w:r>
          </w:p>
        </w:tc>
        <w:tc>
          <w:tcPr>
            <w:tcW w:w="3088"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污水量（m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/d）</w:t>
            </w:r>
          </w:p>
        </w:tc>
        <w:tc>
          <w:tcPr>
            <w:tcW w:w="4761" w:type="dxa"/>
            <w:gridSpan w:val="4"/>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污染物污染负荷（kg/d）</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154" w:type="dxa"/>
            <w:vMerge w:val="continue"/>
            <w:vAlign w:val="center"/>
          </w:tcPr>
          <w:p>
            <w:pPr>
              <w:pStyle w:val="58"/>
              <w:rPr>
                <w:rFonts w:hint="default" w:ascii="Times New Roman" w:hAnsi="Times New Roman" w:eastAsia="宋体" w:cs="Times New Roman"/>
                <w:color w:val="auto"/>
              </w:rPr>
            </w:pPr>
          </w:p>
        </w:tc>
        <w:tc>
          <w:tcPr>
            <w:tcW w:w="3088" w:type="dxa"/>
            <w:vMerge w:val="continue"/>
            <w:vAlign w:val="center"/>
          </w:tcPr>
          <w:p>
            <w:pPr>
              <w:pStyle w:val="58"/>
              <w:rPr>
                <w:rFonts w:hint="default" w:ascii="Times New Roman" w:hAnsi="Times New Roman" w:eastAsia="宋体" w:cs="Times New Roman"/>
                <w:color w:val="auto"/>
              </w:rPr>
            </w:pPr>
          </w:p>
        </w:tc>
        <w:tc>
          <w:tcPr>
            <w:tcW w:w="120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COD</w:t>
            </w:r>
          </w:p>
        </w:tc>
        <w:tc>
          <w:tcPr>
            <w:tcW w:w="120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BOD</w:t>
            </w:r>
            <w:r>
              <w:rPr>
                <w:rFonts w:hint="default" w:ascii="Times New Roman" w:hAnsi="Times New Roman" w:eastAsia="宋体" w:cs="Times New Roman"/>
                <w:color w:val="auto"/>
                <w:vertAlign w:val="subscript"/>
              </w:rPr>
              <w:t>5</w:t>
            </w:r>
          </w:p>
        </w:tc>
        <w:tc>
          <w:tcPr>
            <w:tcW w:w="819"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SS</w:t>
            </w:r>
          </w:p>
        </w:tc>
        <w:tc>
          <w:tcPr>
            <w:tcW w:w="154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NH3-N</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15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场区</w:t>
            </w:r>
          </w:p>
        </w:tc>
        <w:tc>
          <w:tcPr>
            <w:tcW w:w="308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w:t>
            </w:r>
          </w:p>
        </w:tc>
        <w:tc>
          <w:tcPr>
            <w:tcW w:w="120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0.35</w:t>
            </w:r>
          </w:p>
        </w:tc>
        <w:tc>
          <w:tcPr>
            <w:tcW w:w="120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0.25</w:t>
            </w:r>
          </w:p>
        </w:tc>
        <w:tc>
          <w:tcPr>
            <w:tcW w:w="819"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0.3</w:t>
            </w:r>
          </w:p>
        </w:tc>
        <w:tc>
          <w:tcPr>
            <w:tcW w:w="154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0.03</w:t>
            </w:r>
          </w:p>
        </w:tc>
      </w:tr>
    </w:tbl>
    <w:p>
      <w:pPr>
        <w:ind w:firstLine="480"/>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rPr>
        <w:t>施工人员的生活污水中各污染物负荷量较小，依托</w:t>
      </w:r>
      <w:r>
        <w:rPr>
          <w:rFonts w:hint="eastAsia" w:cs="Times New Roman"/>
          <w:color w:val="auto"/>
          <w:lang w:eastAsia="zh-CN"/>
        </w:rPr>
        <w:t>二合永村一组</w:t>
      </w:r>
      <w:r>
        <w:rPr>
          <w:rFonts w:hint="default" w:ascii="Times New Roman" w:hAnsi="Times New Roman" w:eastAsia="宋体" w:cs="Times New Roman"/>
          <w:color w:val="auto"/>
        </w:rPr>
        <w:t>当地旱厕进行收集排放，施工</w:t>
      </w:r>
      <w:r>
        <w:rPr>
          <w:rFonts w:hint="default" w:ascii="Times New Roman" w:hAnsi="Times New Roman" w:eastAsia="宋体" w:cs="Times New Roman"/>
          <w:color w:val="auto"/>
          <w:kern w:val="0"/>
          <w:szCs w:val="24"/>
        </w:rPr>
        <w:t>结束后其影响也就随之消除，对水环境影响很小。</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5.1.2.2施工废水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施工期生产废水包括砂石料加工冲洗水、机械维修养护废水。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砂石料加工废水污染物以SS为主，浓度预计约10000mg/L，经集中收集并沉淀处理后可重新回用作为砂石料加工冲洗水。项目施工场地不设置机械、车辆维修点，不产生机械维修养护废水，车辆和设备冲洗在专有场地进行冲洗，并建临时处理系统，产生的废水经隔油、沉淀处理后回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因此，施工期生产废水均在施工场地循环利用，不外排，对水环境影响较小。</w:t>
      </w:r>
    </w:p>
    <w:p>
      <w:pPr>
        <w:pStyle w:val="6"/>
        <w:rPr>
          <w:rFonts w:hint="default" w:ascii="Times New Roman" w:hAnsi="Times New Roman" w:eastAsia="宋体" w:cs="Times New Roman"/>
          <w:color w:val="auto"/>
        </w:rPr>
      </w:pPr>
      <w:bookmarkStart w:id="304" w:name="_Toc494206324"/>
      <w:bookmarkStart w:id="305" w:name="_Toc93407874"/>
      <w:bookmarkStart w:id="306" w:name="_Toc184993738"/>
      <w:bookmarkStart w:id="307" w:name="_Toc512871591"/>
      <w:bookmarkStart w:id="308" w:name="_Toc260834729"/>
      <w:bookmarkStart w:id="309" w:name="_Toc90083402"/>
      <w:bookmarkStart w:id="310" w:name="_Toc185001177"/>
      <w:bookmarkStart w:id="311" w:name="_Toc93408001"/>
      <w:bookmarkStart w:id="312" w:name="_Toc282346951"/>
      <w:bookmarkStart w:id="313" w:name="_Toc93407651"/>
      <w:bookmarkStart w:id="314" w:name="_Toc184999116"/>
      <w:bookmarkStart w:id="315" w:name="_Toc295196608"/>
      <w:bookmarkStart w:id="316" w:name="_Toc93407419"/>
      <w:bookmarkStart w:id="317" w:name="_Toc184993590"/>
      <w:bookmarkStart w:id="318" w:name="_Toc93407291"/>
      <w:bookmarkStart w:id="319" w:name="_Toc93410272"/>
      <w:bookmarkStart w:id="320" w:name="_Toc185683624"/>
      <w:bookmarkStart w:id="321" w:name="_Toc25278"/>
      <w:r>
        <w:rPr>
          <w:rFonts w:hint="default" w:ascii="Times New Roman" w:hAnsi="Times New Roman" w:eastAsia="宋体" w:cs="Times New Roman"/>
          <w:color w:val="auto"/>
        </w:rPr>
        <w:t>5.1.3施工期声环境影响分析</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施工期噪声主要指建筑施工噪声和交通运输噪声两类。</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施工过程中，各种施工机械设备的运转以及各类车辆的运行将不可避免地产生噪声污染，各种施工机械、运输车辆等均属噪声源。常使用的施工机械有挖掘机、装载机、混凝土搅拌机、振捣棒、吊车、电锯、运输车辆等设备，在正常情况下这些设备产生的声压级在80～95dB(A)的之间，且施工期间噪声源都处于露天状态，按声源距离衰减公式计算，以不利状态95dB(A)施工噪声计算，施工期间噪声影响范围见表5.1-5。</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表5.1-5    施工噪声影响范围单位：dB(A)</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59"/>
        <w:gridCol w:w="808"/>
        <w:gridCol w:w="808"/>
        <w:gridCol w:w="808"/>
        <w:gridCol w:w="808"/>
        <w:gridCol w:w="808"/>
        <w:gridCol w:w="951"/>
        <w:gridCol w:w="951"/>
        <w:gridCol w:w="951"/>
        <w:gridCol w:w="95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159"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预测点</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30m</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50m</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60m</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70m</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80m</w:t>
            </w:r>
          </w:p>
        </w:tc>
        <w:tc>
          <w:tcPr>
            <w:tcW w:w="951"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100m</w:t>
            </w:r>
          </w:p>
        </w:tc>
        <w:tc>
          <w:tcPr>
            <w:tcW w:w="951"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120m</w:t>
            </w:r>
          </w:p>
        </w:tc>
        <w:tc>
          <w:tcPr>
            <w:tcW w:w="951"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140m</w:t>
            </w:r>
          </w:p>
        </w:tc>
        <w:tc>
          <w:tcPr>
            <w:tcW w:w="951"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180m</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159"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预测值</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65.5</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61.0</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59.4</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58.1</w:t>
            </w:r>
          </w:p>
        </w:tc>
        <w:tc>
          <w:tcPr>
            <w:tcW w:w="808"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56.9</w:t>
            </w:r>
          </w:p>
        </w:tc>
        <w:tc>
          <w:tcPr>
            <w:tcW w:w="951"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55</w:t>
            </w:r>
          </w:p>
        </w:tc>
        <w:tc>
          <w:tcPr>
            <w:tcW w:w="951"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53.4</w:t>
            </w:r>
          </w:p>
        </w:tc>
        <w:tc>
          <w:tcPr>
            <w:tcW w:w="951"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52.1</w:t>
            </w:r>
          </w:p>
        </w:tc>
        <w:tc>
          <w:tcPr>
            <w:tcW w:w="951" w:type="dxa"/>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49.9</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由表可见，在距源50m以外即低于昼间65dB(A)的标准限值，距源120m即可低于夜间55dB(A)的标准限值。本工程建设施工过程中噪声的影响主要在厂界内，对外环境造成影响比较小，属于可以接受水平。</w:t>
      </w:r>
    </w:p>
    <w:p>
      <w:pPr>
        <w:pStyle w:val="6"/>
        <w:rPr>
          <w:rFonts w:hint="default" w:ascii="Times New Roman" w:hAnsi="Times New Roman" w:eastAsia="宋体" w:cs="Times New Roman"/>
          <w:color w:val="auto"/>
        </w:rPr>
      </w:pPr>
      <w:bookmarkStart w:id="322" w:name="_Toc27117"/>
      <w:r>
        <w:rPr>
          <w:rFonts w:hint="default" w:ascii="Times New Roman" w:hAnsi="Times New Roman" w:eastAsia="宋体" w:cs="Times New Roman"/>
          <w:color w:val="auto"/>
        </w:rPr>
        <w:t>5.1.4固废环境影响分析</w:t>
      </w:r>
      <w:bookmarkEnd w:id="322"/>
    </w:p>
    <w:p>
      <w:pPr>
        <w:ind w:firstLine="480"/>
        <w:rPr>
          <w:rFonts w:hint="default" w:ascii="Times New Roman" w:hAnsi="Times New Roman" w:eastAsia="宋体" w:cs="Times New Roman"/>
          <w:color w:val="auto"/>
          <w:spacing w:val="-2"/>
        </w:rPr>
      </w:pPr>
      <w:r>
        <w:rPr>
          <w:rFonts w:hint="default" w:ascii="Times New Roman" w:hAnsi="Times New Roman" w:eastAsia="宋体" w:cs="Times New Roman"/>
          <w:color w:val="auto"/>
        </w:rPr>
        <w:t>施工期的固体废物包括开挖弃土、建筑废料以及施工人员生活垃圾。项目开挖弃土部分用于回填，不产生弃土。建筑弃渣尽量回收利用，不可利用的少量建筑垃圾往政府指定的渣场处理；</w:t>
      </w:r>
      <w:r>
        <w:rPr>
          <w:rFonts w:hint="default" w:ascii="Times New Roman" w:hAnsi="Times New Roman" w:eastAsia="宋体" w:cs="Times New Roman"/>
          <w:color w:val="auto"/>
          <w:spacing w:val="-2"/>
        </w:rPr>
        <w:t>生活垃圾经垃圾桶收集后定期自行运送至垃圾填埋场填埋处置。</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针对施工期固废，本次评价要求采取如下污染防治措施：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①根据施工产生的工程垃圾和渣土的量，分类管理，可利用的渣土尽量在场内周转，就地利用，不可利用的及时清运，以防污染周围水体水质和影响周围环境卫生；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②车辆运输散体物料和废物时，必须密闭、包扎、覆盖，不得沿途漏撒；运载土方的车辆必须在规定时间内，按指定路段行驶；</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③生活垃圾与建筑垃圾分开，将生活垃圾收集后，应及时送至垃圾填埋场填埋处理；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④在工程竣工以后，施工单位应立即拆除各种临时施工设施，并负责将工地的剩余建筑垃圾、工程渣土处理干净。</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⑤生活垃圾按照30人估算，生活垃圾按每人每天1kg计，施工期每天生活垃圾发生量约为0.03t，施工期按120天计，整个施工期生活垃圾发生量约为3.6t。施工现场应设垃圾回收箱，将产生的生活垃圾和施工垃圾分别收集，并委托环卫部门定期清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采取以上措施后，施工期固废均能得到合理处置，对周围环境的影响较小。</w:t>
      </w:r>
    </w:p>
    <w:p>
      <w:pPr>
        <w:pStyle w:val="6"/>
        <w:rPr>
          <w:rFonts w:hint="default" w:ascii="Times New Roman" w:hAnsi="Times New Roman" w:eastAsia="宋体" w:cs="Times New Roman"/>
          <w:color w:val="auto"/>
        </w:rPr>
      </w:pPr>
      <w:bookmarkStart w:id="323" w:name="_Toc30409"/>
      <w:r>
        <w:rPr>
          <w:rFonts w:hint="default" w:ascii="Times New Roman" w:hAnsi="Times New Roman" w:eastAsia="宋体" w:cs="Times New Roman"/>
          <w:color w:val="auto"/>
        </w:rPr>
        <w:t>5.1.5施工期生态影响分析</w:t>
      </w:r>
      <w:bookmarkEnd w:id="32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施工期生态影响主要是占地影响，植被破坏影响，现场水土流失影响，景观影响。</w:t>
      </w:r>
    </w:p>
    <w:p>
      <w:pPr>
        <w:spacing w:line="4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该区域植被稀疏，群落结构简单，生态环境景观以自然生态为主。项目所在植被以天然草地为主，主要植物有沙蒿、沙柳等，均为乡间土种，无国家保护的珍稀濒危植物，动物有少量哺乳动物主要有黄鼠、野兔等；爬行动物主要为麻蜥、壁虎等；鸟类主要有喜鹊、啄木鸟、麻雀等，还有种类和数量众多的昆虫。</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5.1.5.1占地影响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项目建设用地面积86.28</w:t>
      </w:r>
      <w:r>
        <w:rPr>
          <w:rFonts w:hint="default" w:ascii="Times New Roman" w:hAnsi="Times New Roman" w:eastAsia="宋体" w:cs="Times New Roman"/>
          <w:color w:val="auto"/>
          <w:lang w:eastAsia="zh-CN"/>
        </w:rPr>
        <w:t>亩</w:t>
      </w:r>
      <w:r>
        <w:rPr>
          <w:rFonts w:hint="default" w:ascii="Times New Roman" w:hAnsi="Times New Roman" w:eastAsia="宋体" w:cs="Times New Roman"/>
          <w:color w:val="auto"/>
        </w:rPr>
        <w:t>，占用土地类型为天然草地、林地、沙地等，项目建设将会改变土地的利用性质。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施工过程中各种机具车辆碾压和施工人员的践踏及土石的堆放，也会对该区域植被造成较为严重的破坏和影响。管沟、道路两侧5m范围外由于车辆和人员活动较少，对植被的破坏程度较轻。</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保护生态环境降低项目建设对场地产生产干扰影响，本次评价要求建设单位做到如下几点：</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①避免高填深挖，做到少取土，少弃土，少占地，搞好挖填土方平衡，最大限度的减少临时用地。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②在项目建设充分利用地块内原有的地形地貌，依山就势进行规划设计，在尽量少破坏原有生态的基础上营造优美的园区环境。</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5.1.5.2植被破坏影响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工程所在地的植被结构以野生草丛为主，无国家重点保护的野生植物物种及古树名木；施工期对植被的影响主要有占地范围内原有植物的剥离、清理及占压。在施工过程中，土壤开挖区范围内植物的地上部分与根系均被清除，道路施工带两侧的植被由于挖掘土石的堆放、人员的践踏、施工车辆和机具的碾压而受到不同程度的破坏，会造成地上部分破坏甚至死亡。</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工程填挖方均占压和清除一定数量的地表植物，使填挖区被生土覆盖或出露生土，植物恢复须经过较长时间。此外，石材、水泥的堆放也需占压一定的植物，尤其是水泥的抛撒，可造成附近土壤板结，影响植物生长。</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由于项目区</w:t>
      </w:r>
      <w:r>
        <w:rPr>
          <w:rFonts w:hint="eastAsia" w:cs="Times New Roman"/>
          <w:color w:val="auto"/>
          <w:lang w:eastAsia="zh-CN"/>
        </w:rPr>
        <w:t>域</w:t>
      </w:r>
      <w:r>
        <w:rPr>
          <w:rFonts w:hint="default" w:ascii="Times New Roman" w:hAnsi="Times New Roman" w:eastAsia="宋体" w:cs="Times New Roman"/>
          <w:color w:val="auto"/>
        </w:rPr>
        <w:t>沿线群落植物种类均为区域常见和广布种，因此工程施工对沿线生物多样性的影响相对较小。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所在地无自然保护区、风景名胜区等。项目在此建设，会使场地植被覆盖率降低，动物栖息地受到破坏，在被占土地上生长的陆生生物也将受到不可逆影响。由于该区域内受影响的植被中无珍稀濒危种类，受影响的植被为评价区域内常见的植被，因此，本项目工程占地对植被的影响较小。</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5.1.5.3水土流失影响分析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建设土石方工程量较小，施工过程中通过设临时排洪沟等必要的防护措施，可以有效减少水土流失量，并且随着施工后期各类建筑物的竣工，地面硬化，植被的恢复，各类建筑物的竣工，裸露地面将大大减少，水土流失量较建设前将大为减轻。因此，只要在施工过程中切实落实绿化等环保措施，该项目水土流失的影响很轻。</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5.1.5.4对陆生动物的影响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期间，对两栖动物和爬行动物的活动有一定的影响，但它们会迁移到非施工区，但对其生存不会造成威胁。施工期间，临时征地区域的鸟类和兽类将被迫离开原来的领域，邻近领域的鸟类和兽类，由于受到施工噪声的惊吓，也将远离原来的栖息地，当临时占地的植被恢复后，它们仍可回到原来的领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施工范围大多选择在永久占地范围内，在周围区域是同一个植被类型，因此，在永久占地范围外上有许多动物的替代生境，动物比较容易找到新的栖息场所。由于项目施工范围小，工程建设对野生动物影响的范围不大且影响时间较短，因此对动物不会造成大的影响。同时可随植被的恢复而缓解、消失。拟建管线经过的区域，当植被恢复后，它们仍可回到原来的领域。</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5.1.5.5景观影响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过程中将有会存在裸露地表，造成原有自然地形破坏、杂乱，造成裸露山坡和凌乱的土堆；施工中尚未竣工部分和工地内运转的建筑机械、无序堆放的建筑材料和建筑垃圾，也将造成杂乱现象，有些还会持续到运营初期；项目在施工期内将增加周围地区的扬尘量，给人空气污浊的感觉，也会严重影响美感。环评要求建设单位尽量规范建筑施工材料的堆放，避开植被密集区，保护好现有环境。</w:t>
      </w:r>
    </w:p>
    <w:p>
      <w:pPr>
        <w:spacing w:line="4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结束后，永久占用土地的植被破坏是不可逆的，使其原自然生态系统的所有功能完全损失，但本项目所在地为低覆盖度的草本植物，因此在施工期导致的生物量损失较少，同时在本项目建成后场区内还要进行绿化，可使生物量有所补偿。而周边受施工影响的区域的植被在自然状态下，2～3年可以恢复，因此本项目在施工期对生态环境的影响是不大的。另外，从植物种类来看，施工破坏和影响的植物中没有国家重点保护珍稀植物，都是广布种和常见种，且分布也均匀，因此，工程施工不会引起某一植物种的消失。</w:t>
      </w:r>
    </w:p>
    <w:p>
      <w:pPr>
        <w:pageBreakBefore w:val="0"/>
        <w:widowControl w:val="0"/>
        <w:kinsoku/>
        <w:wordWrap/>
        <w:overflowPunct/>
        <w:autoSpaceDN/>
        <w:bidi w:val="0"/>
        <w:adjustRightInd/>
        <w:snapToGrid/>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总体而言，项目建设对其所在的区域生物多样性的影响甚微，本项目对生态环境影响是可以接受的。</w:t>
      </w:r>
    </w:p>
    <w:p>
      <w:pPr>
        <w:pStyle w:val="5"/>
        <w:rPr>
          <w:rFonts w:hint="default" w:ascii="Times New Roman" w:hAnsi="Times New Roman" w:eastAsia="宋体" w:cs="Times New Roman"/>
          <w:color w:val="auto"/>
        </w:rPr>
      </w:pPr>
      <w:bookmarkStart w:id="324" w:name="_Toc9003"/>
      <w:r>
        <w:rPr>
          <w:rFonts w:hint="default" w:ascii="Times New Roman" w:hAnsi="Times New Roman" w:eastAsia="宋体" w:cs="Times New Roman"/>
          <w:color w:val="auto"/>
        </w:rPr>
        <w:t>5.2运营期大气环境影响分析</w:t>
      </w:r>
      <w:bookmarkEnd w:id="324"/>
    </w:p>
    <w:p>
      <w:pPr>
        <w:pStyle w:val="6"/>
        <w:rPr>
          <w:rFonts w:hint="default" w:ascii="Times New Roman" w:hAnsi="Times New Roman" w:eastAsia="宋体" w:cs="Times New Roman"/>
          <w:color w:val="FF0000"/>
        </w:rPr>
      </w:pPr>
      <w:bookmarkStart w:id="325" w:name="_Toc46421131"/>
      <w:bookmarkStart w:id="326" w:name="_Toc13971"/>
      <w:r>
        <w:rPr>
          <w:rFonts w:hint="default" w:ascii="Times New Roman" w:hAnsi="Times New Roman" w:eastAsia="宋体" w:cs="Times New Roman"/>
          <w:color w:val="FF0000"/>
        </w:rPr>
        <w:t>5.2.1区域气象资料</w:t>
      </w:r>
      <w:bookmarkEnd w:id="325"/>
      <w:bookmarkEnd w:id="326"/>
    </w:p>
    <w:p>
      <w:pPr>
        <w:spacing w:line="360" w:lineRule="auto"/>
        <w:ind w:firstLine="482" w:firstLineChars="200"/>
        <w:rPr>
          <w:rFonts w:hint="default" w:ascii="Times New Roman" w:hAnsi="Times New Roman" w:eastAsia="宋体" w:cs="Times New Roman"/>
          <w:b/>
          <w:bCs/>
          <w:color w:val="FF0000"/>
          <w:sz w:val="24"/>
          <w:szCs w:val="24"/>
          <w:highlight w:val="none"/>
        </w:rPr>
      </w:pPr>
      <w:r>
        <w:rPr>
          <w:rFonts w:hint="default" w:ascii="Times New Roman" w:hAnsi="Times New Roman" w:eastAsia="宋体" w:cs="Times New Roman"/>
          <w:b/>
          <w:bCs/>
          <w:color w:val="FF0000"/>
          <w:sz w:val="24"/>
          <w:szCs w:val="24"/>
          <w:highlight w:val="none"/>
        </w:rPr>
        <w:t>5.2.1.1气象特征</w:t>
      </w:r>
    </w:p>
    <w:p>
      <w:pPr>
        <w:spacing w:line="360" w:lineRule="auto"/>
        <w:ind w:firstLine="480" w:firstLineChars="200"/>
        <w:rPr>
          <w:rFonts w:hint="default" w:ascii="Times New Roman" w:hAnsi="Times New Roman" w:eastAsia="宋体" w:cs="Times New Roman"/>
          <w:color w:val="FF0000"/>
          <w:sz w:val="24"/>
          <w:szCs w:val="24"/>
          <w:highlight w:val="none"/>
        </w:rPr>
      </w:pPr>
      <w:bookmarkStart w:id="327" w:name="_Toc169061048"/>
      <w:r>
        <w:rPr>
          <w:rFonts w:hint="default" w:ascii="Times New Roman" w:hAnsi="Times New Roman" w:eastAsia="宋体" w:cs="Times New Roman"/>
          <w:color w:val="FF0000"/>
          <w:kern w:val="0"/>
          <w:sz w:val="24"/>
          <w:szCs w:val="24"/>
          <w:highlight w:val="none"/>
          <w:lang w:bidi="ar"/>
        </w:rPr>
        <w:t xml:space="preserve">（1）地面气象观察资料 </w:t>
      </w:r>
    </w:p>
    <w:p>
      <w:pPr>
        <w:spacing w:line="360" w:lineRule="auto"/>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bidi="ar"/>
        </w:rPr>
        <w:t xml:space="preserve">地面气象历史资料来源于临河气象站近三十年的地面常规气象资料。 </w:t>
      </w:r>
    </w:p>
    <w:p>
      <w:pPr>
        <w:spacing w:line="360" w:lineRule="auto"/>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bidi="ar"/>
        </w:rPr>
        <w:t xml:space="preserve">该地属中温带大陆性季风气候区。由于其地理位置及特殊的地理环境使得该地的气候特征主要表现为：冬季寒冷、雨雪较少，春季干旱风大，夏季炎热、降水偏少且相对集中，秋季气温剧降。近三十年(1988～2018)的气象资料显示：年平均气温为8.7℃，极端最高气温为39.4℃，极端最低气温为-27.2℃；年平均气压为898.4hPa；年平均相对湿度为46%；年降水量为151.5mm，年极端最高降水量为267.7mm；年蒸发量为2265.6mm；年日照时数3076.0h；年平均风速为1.9m/s，年主导风向为 WSW风和ENE风，出现频率均为8.4%，NE风的出现频率也较高，为7.3%，静风的年出现频率为21.4%。全年以WNW方向的风平均风速最大，为3.0m/s。 </w:t>
      </w:r>
    </w:p>
    <w:p>
      <w:pPr>
        <w:spacing w:line="360" w:lineRule="auto"/>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bidi="ar"/>
        </w:rPr>
        <w:t xml:space="preserve">（2）地面气象要素 </w:t>
      </w:r>
    </w:p>
    <w:p>
      <w:pPr>
        <w:spacing w:line="360" w:lineRule="auto"/>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kern w:val="0"/>
          <w:sz w:val="24"/>
          <w:szCs w:val="24"/>
          <w:highlight w:val="none"/>
          <w:lang w:bidi="ar"/>
        </w:rPr>
        <w:t xml:space="preserve">临河气象站近三十年各气象要素的统计见表5.2-1。临河年平均气温为8.7℃；年平均气压为 898.4hPa；年平均相对湿度为 46%；年降水量为 151.5mm；年蒸发量为2265.6mm；年日照时数3076.0h；年平均风速为 1.9m/s，年最大风速为15.0m/s,最大风速对应风向为 NE；年最大冻土深度为144cm，年最大积雪深度为10cm，年沙尘暴日数为3.2 天，年扬沙日数为16.2天，年雷暴日数15.6天，年冰雹日数0.6天。 </w:t>
      </w:r>
    </w:p>
    <w:p>
      <w:pPr>
        <w:spacing w:line="360" w:lineRule="auto"/>
        <w:jc w:val="center"/>
        <w:rPr>
          <w:rFonts w:hint="default" w:ascii="Times New Roman" w:hAnsi="Times New Roman" w:eastAsia="宋体" w:cs="Times New Roman"/>
          <w:b/>
          <w:bCs/>
          <w:color w:val="FF0000"/>
          <w:kern w:val="0"/>
          <w:sz w:val="24"/>
          <w:szCs w:val="24"/>
          <w:highlight w:val="none"/>
          <w:lang w:bidi="ar"/>
        </w:rPr>
      </w:pPr>
    </w:p>
    <w:p>
      <w:pPr>
        <w:spacing w:line="360" w:lineRule="auto"/>
        <w:jc w:val="center"/>
        <w:rPr>
          <w:rFonts w:hint="default" w:ascii="Times New Roman" w:hAnsi="Times New Roman" w:eastAsia="宋体" w:cs="Times New Roman"/>
          <w:b/>
          <w:bCs/>
          <w:color w:val="FF0000"/>
          <w:kern w:val="0"/>
          <w:sz w:val="24"/>
          <w:szCs w:val="24"/>
          <w:highlight w:val="none"/>
          <w:lang w:bidi="ar"/>
        </w:rPr>
      </w:pPr>
      <w:r>
        <w:rPr>
          <w:rFonts w:hint="default" w:ascii="Times New Roman" w:hAnsi="Times New Roman" w:eastAsia="宋体" w:cs="Times New Roman"/>
          <w:b/>
          <w:bCs/>
          <w:color w:val="FF0000"/>
          <w:kern w:val="0"/>
          <w:sz w:val="24"/>
          <w:szCs w:val="24"/>
          <w:highlight w:val="none"/>
          <w:lang w:bidi="ar"/>
        </w:rPr>
        <w:t xml:space="preserve">表5.2-1 </w:t>
      </w:r>
      <w:r>
        <w:rPr>
          <w:rFonts w:hint="default" w:ascii="Times New Roman" w:hAnsi="Times New Roman" w:eastAsia="宋体" w:cs="Times New Roman"/>
          <w:b/>
          <w:bCs/>
          <w:color w:val="FF0000"/>
          <w:kern w:val="0"/>
          <w:sz w:val="24"/>
          <w:szCs w:val="24"/>
          <w:highlight w:val="none"/>
          <w:lang w:val="en-US" w:eastAsia="zh-CN" w:bidi="ar"/>
        </w:rPr>
        <w:t xml:space="preserve">   </w:t>
      </w:r>
      <w:r>
        <w:rPr>
          <w:rFonts w:hint="default" w:ascii="Times New Roman" w:hAnsi="Times New Roman" w:eastAsia="宋体" w:cs="Times New Roman"/>
          <w:b/>
          <w:bCs/>
          <w:color w:val="FF0000"/>
          <w:kern w:val="0"/>
          <w:sz w:val="24"/>
          <w:szCs w:val="24"/>
          <w:highlight w:val="none"/>
          <w:lang w:bidi="ar"/>
        </w:rPr>
        <w:t>临河气象站近 30 年气象要素特征表</w:t>
      </w:r>
    </w:p>
    <w:tbl>
      <w:tblPr>
        <w:tblStyle w:val="3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2147"/>
        <w:gridCol w:w="2109"/>
        <w:gridCol w:w="2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项 目</w:t>
            </w:r>
          </w:p>
        </w:tc>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数 值</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项 目</w:t>
            </w:r>
          </w:p>
        </w:tc>
        <w:tc>
          <w:tcPr>
            <w:tcW w:w="223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数 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年平均气温</w:t>
            </w:r>
          </w:p>
        </w:tc>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8.7℃</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年平均降水量</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151.5mm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年极端最高气温</w:t>
            </w:r>
          </w:p>
        </w:tc>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39.4℃</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年极端最高降水量</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267.7mm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年极端最低气温</w:t>
            </w:r>
          </w:p>
        </w:tc>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-27.2℃</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年最大风速，风向</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15.0m/s,NE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年平均气压</w:t>
            </w:r>
          </w:p>
        </w:tc>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898.4hPa</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年最大冻土深度</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144cm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年平均相对湿度</w:t>
            </w:r>
          </w:p>
        </w:tc>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46%</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年最大积雪深度</w:t>
            </w:r>
          </w:p>
        </w:tc>
        <w:tc>
          <w:tcPr>
            <w:tcW w:w="223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10cm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年平均水汽压</w:t>
            </w:r>
          </w:p>
        </w:tc>
        <w:tc>
          <w:tcPr>
            <w:tcW w:w="223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6.4hPa</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年沙尘暴日数</w:t>
            </w:r>
          </w:p>
        </w:tc>
        <w:tc>
          <w:tcPr>
            <w:tcW w:w="223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3.2 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年平均蒸发量</w:t>
            </w:r>
          </w:p>
        </w:tc>
        <w:tc>
          <w:tcPr>
            <w:tcW w:w="223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2265.6mm</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年扬沙日数</w:t>
            </w:r>
          </w:p>
        </w:tc>
        <w:tc>
          <w:tcPr>
            <w:tcW w:w="2237" w:type="dxa"/>
            <w:noWrap w:val="0"/>
            <w:vAlign w:val="center"/>
          </w:tcPr>
          <w:p>
            <w:pPr>
              <w:pStyle w:val="2"/>
              <w:keepNext w:val="0"/>
              <w:keepLines w:val="0"/>
              <w:pageBreakBefore w:val="0"/>
              <w:widowControl w:val="0"/>
              <w:kinsoku/>
              <w:wordWrap/>
              <w:overflowPunct/>
              <w:topLinePunct/>
              <w:autoSpaceDE w:val="0"/>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kern w:val="0"/>
                <w:sz w:val="21"/>
                <w:szCs w:val="21"/>
                <w:highlight w:val="none"/>
                <w:lang w:val="en-US" w:eastAsia="zh-CN" w:bidi="ar"/>
              </w:rPr>
              <w:t>16.2 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年平均风速</w:t>
            </w:r>
          </w:p>
        </w:tc>
        <w:tc>
          <w:tcPr>
            <w:tcW w:w="223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1.9m/s</w:t>
            </w:r>
          </w:p>
        </w:tc>
        <w:tc>
          <w:tcPr>
            <w:tcW w:w="223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年雷暴日数</w:t>
            </w:r>
          </w:p>
        </w:tc>
        <w:tc>
          <w:tcPr>
            <w:tcW w:w="223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15.6 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年日照时数</w:t>
            </w:r>
          </w:p>
        </w:tc>
        <w:tc>
          <w:tcPr>
            <w:tcW w:w="223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3076.0h</w:t>
            </w:r>
          </w:p>
        </w:tc>
        <w:tc>
          <w:tcPr>
            <w:tcW w:w="223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年冰雹日数</w:t>
            </w:r>
          </w:p>
        </w:tc>
        <w:tc>
          <w:tcPr>
            <w:tcW w:w="223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kern w:val="0"/>
                <w:sz w:val="21"/>
                <w:szCs w:val="21"/>
                <w:highlight w:val="none"/>
                <w:lang w:bidi="ar"/>
              </w:rPr>
              <w:t>0.6 天</w:t>
            </w:r>
          </w:p>
        </w:tc>
      </w:tr>
    </w:tbl>
    <w:p>
      <w:pPr>
        <w:pStyle w:val="2"/>
        <w:spacing w:after="0"/>
        <w:ind w:left="0" w:leftChars="0"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（3）地面气温的变化特征</w:t>
      </w:r>
    </w:p>
    <w:p>
      <w:pPr>
        <w:pStyle w:val="2"/>
        <w:spacing w:after="0"/>
        <w:ind w:left="0" w:leftChars="0"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临河气象站近30年各月平均气温的统计值见表5.2-2，临河近30年逐月平均气温变化曲线见图5.2-1，由图、表可知，临河近 30 年的年平均气温为 8.7℃，全年最冷月为一月份，平均气温为-9.3℃，最热月出现在七月份，平均气温为 24.6℃。</w:t>
      </w:r>
    </w:p>
    <w:p>
      <w:pPr>
        <w:pStyle w:val="2"/>
        <w:spacing w:after="0"/>
        <w:ind w:left="0" w:leftChars="0" w:firstLine="482"/>
        <w:jc w:val="center"/>
        <w:rPr>
          <w:rFonts w:hint="default" w:ascii="Times New Roman" w:hAnsi="Times New Roman" w:eastAsia="宋体" w:cs="Times New Roman"/>
          <w:color w:val="FF0000"/>
          <w:highlight w:val="none"/>
        </w:rPr>
      </w:pPr>
      <w:r>
        <w:rPr>
          <w:rFonts w:hint="default" w:ascii="Times New Roman" w:hAnsi="Times New Roman" w:eastAsia="宋体" w:cs="Times New Roman"/>
          <w:b/>
          <w:bCs/>
          <w:color w:val="FF0000"/>
          <w:highlight w:val="none"/>
        </w:rPr>
        <w:t>表5.2-2    临河气象站近 30 年各月、年平均气温数值 ℃</w:t>
      </w:r>
    </w:p>
    <w:tbl>
      <w:tblPr>
        <w:tblStyle w:val="34"/>
        <w:tblW w:w="8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99"/>
        <w:gridCol w:w="599"/>
        <w:gridCol w:w="568"/>
        <w:gridCol w:w="615"/>
        <w:gridCol w:w="615"/>
        <w:gridCol w:w="615"/>
        <w:gridCol w:w="615"/>
        <w:gridCol w:w="615"/>
        <w:gridCol w:w="615"/>
        <w:gridCol w:w="568"/>
        <w:gridCol w:w="599"/>
        <w:gridCol w:w="599"/>
        <w:gridCol w:w="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年</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2</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3</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4</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5</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6</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7</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8</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9</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10</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11</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12</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平均气温</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-9.3</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-5.0</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2.1</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10.7</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17.9</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22.6</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24.6</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22.3</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16.6</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8.9</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-0.1</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-7.0</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8.7</w:t>
            </w:r>
          </w:p>
        </w:tc>
      </w:tr>
    </w:tbl>
    <w:p>
      <w:pPr>
        <w:jc w:val="center"/>
        <w:rPr>
          <w:rFonts w:hint="default" w:ascii="Times New Roman" w:hAnsi="Times New Roman" w:eastAsia="宋体" w:cs="Times New Roman"/>
          <w:color w:val="FF0000"/>
          <w:highlight w:val="none"/>
        </w:rPr>
      </w:pPr>
    </w:p>
    <w:p>
      <w:pPr>
        <w:spacing w:line="360" w:lineRule="auto"/>
        <w:jc w:val="center"/>
        <w:rPr>
          <w:rFonts w:hint="default" w:ascii="Times New Roman" w:hAnsi="Times New Roman" w:eastAsia="宋体" w:cs="Times New Roman"/>
          <w:b/>
          <w:bCs/>
          <w:color w:val="FF0000"/>
          <w:kern w:val="0"/>
          <w:sz w:val="24"/>
          <w:szCs w:val="24"/>
          <w:highlight w:val="none"/>
          <w:lang w:bidi="ar"/>
        </w:rPr>
      </w:pPr>
      <w:r>
        <w:rPr>
          <w:rFonts w:hint="default" w:ascii="Times New Roman" w:hAnsi="Times New Roman" w:eastAsia="宋体" w:cs="Times New Roman"/>
          <w:color w:val="FF0000"/>
          <w:highlight w:val="none"/>
        </w:rPr>
        <w:drawing>
          <wp:inline distT="0" distB="0" distL="114300" distR="114300">
            <wp:extent cx="5400040" cy="2237105"/>
            <wp:effectExtent l="0" t="0" r="10160" b="10795"/>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pic:cNvPicPr>
                  </pic:nvPicPr>
                  <pic:blipFill>
                    <a:blip r:embed="rId36"/>
                    <a:stretch>
                      <a:fillRect/>
                    </a:stretch>
                  </pic:blipFill>
                  <pic:spPr>
                    <a:xfrm>
                      <a:off x="0" y="0"/>
                      <a:ext cx="5400040" cy="2237105"/>
                    </a:xfrm>
                    <a:prstGeom prst="rect">
                      <a:avLst/>
                    </a:prstGeom>
                    <a:noFill/>
                    <a:ln>
                      <a:noFill/>
                    </a:ln>
                  </pic:spPr>
                </pic:pic>
              </a:graphicData>
            </a:graphic>
          </wp:inline>
        </w:drawing>
      </w:r>
    </w:p>
    <w:p>
      <w:pPr>
        <w:spacing w:line="360" w:lineRule="auto"/>
        <w:jc w:val="center"/>
        <w:rPr>
          <w:rFonts w:hint="default" w:ascii="Times New Roman" w:hAnsi="Times New Roman" w:eastAsia="宋体" w:cs="Times New Roman"/>
          <w:b/>
          <w:bCs/>
          <w:color w:val="FF0000"/>
          <w:kern w:val="0"/>
          <w:sz w:val="24"/>
          <w:szCs w:val="24"/>
          <w:highlight w:val="none"/>
          <w:lang w:bidi="ar"/>
        </w:rPr>
      </w:pPr>
      <w:r>
        <w:rPr>
          <w:rFonts w:hint="default" w:ascii="Times New Roman" w:hAnsi="Times New Roman" w:eastAsia="宋体" w:cs="Times New Roman"/>
          <w:b/>
          <w:bCs/>
          <w:color w:val="FF0000"/>
          <w:kern w:val="0"/>
          <w:sz w:val="24"/>
          <w:szCs w:val="24"/>
          <w:highlight w:val="none"/>
          <w:lang w:bidi="ar"/>
        </w:rPr>
        <w:t>图5.2-1   临河近30年逐月平均气温变化曲线</w:t>
      </w:r>
    </w:p>
    <w:p>
      <w:pPr>
        <w:spacing w:line="360" w:lineRule="auto"/>
        <w:ind w:firstLine="480" w:firstLineChars="200"/>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kern w:val="0"/>
          <w:sz w:val="24"/>
          <w:szCs w:val="24"/>
          <w:highlight w:val="none"/>
          <w:lang w:bidi="ar"/>
        </w:rPr>
        <w:t>（4）地面风向、风速的统计特征</w:t>
      </w:r>
    </w:p>
    <w:p>
      <w:pPr>
        <w:spacing w:line="360" w:lineRule="auto"/>
        <w:ind w:firstLine="480" w:firstLineChars="200"/>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kern w:val="0"/>
          <w:sz w:val="24"/>
          <w:szCs w:val="24"/>
          <w:highlight w:val="none"/>
          <w:lang w:bidi="ar"/>
        </w:rPr>
        <w:t>地面风向、风速的统计分析是污染气象中最基本的方面，其风况不但受季节变化的制约，而且还明显地受地形及地表状况的影响。虽然其风况具有较大的年际变化，但仍然具有较好的统计特征。</w:t>
      </w:r>
    </w:p>
    <w:p>
      <w:pPr>
        <w:spacing w:line="360" w:lineRule="auto"/>
        <w:ind w:firstLine="480" w:firstLineChars="200"/>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kern w:val="0"/>
          <w:sz w:val="24"/>
          <w:szCs w:val="24"/>
          <w:highlight w:val="none"/>
          <w:lang w:bidi="ar"/>
        </w:rPr>
        <w:t>临河气象站地处内蒙古中西部，该地地面风的变化规律：春季由于冷暖气团交绥，气旋活动频繁，地表覆盖度较差，故多风沙天气；夏季由于降水相对集中，当锋面过境可伴有雷雨和大风天气，瞬时风速较大；秋季虽为冷暖气团的交替时期，但此时气团活动远不如春季活动频繁，因此风沙天气较少；冬季常处于稳定的大气层结，风速较小。</w:t>
      </w:r>
    </w:p>
    <w:p>
      <w:pPr>
        <w:spacing w:line="360" w:lineRule="auto"/>
        <w:ind w:firstLine="480" w:firstLineChars="200"/>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kern w:val="0"/>
          <w:sz w:val="24"/>
          <w:szCs w:val="24"/>
          <w:highlight w:val="none"/>
          <w:lang w:bidi="ar"/>
        </w:rPr>
        <w:t>1）地面风向的基本特征</w:t>
      </w:r>
    </w:p>
    <w:p>
      <w:pPr>
        <w:spacing w:line="360" w:lineRule="auto"/>
        <w:ind w:firstLine="480" w:firstLineChars="200"/>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kern w:val="0"/>
          <w:sz w:val="24"/>
          <w:szCs w:val="24"/>
          <w:highlight w:val="none"/>
          <w:lang w:bidi="ar"/>
        </w:rPr>
        <w:t>由临河气象站近三十年的地面平均风向频率及各风向下平均风速统计(见表5.2-3)可知，该地区年主导风向为WSW风和ENE风，出现频率均为8.4%，NE风的出现频率也较高，为7.3%，静风的年出现频率为21.4%。全年以WNW方向的风平均风速最大，为3.0m/s，W方向的风平均风速也较大，为2.8 m/s。临河全年风向频率玫瑰图见图5.2-2，临河全年风速玫瑰图见图5.2-3。</w:t>
      </w:r>
    </w:p>
    <w:p>
      <w:pPr>
        <w:spacing w:line="360" w:lineRule="auto"/>
        <w:jc w:val="center"/>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b/>
          <w:bCs/>
          <w:color w:val="FF0000"/>
          <w:kern w:val="0"/>
          <w:sz w:val="24"/>
          <w:szCs w:val="24"/>
          <w:highlight w:val="none"/>
          <w:lang w:bidi="ar"/>
        </w:rPr>
        <w:t>表5.2-3    临河近30年地面风向频率及各风向下平均风速统计表</w:t>
      </w:r>
    </w:p>
    <w:tbl>
      <w:tblPr>
        <w:tblStyle w:val="34"/>
        <w:tblW w:w="8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3"/>
        <w:gridCol w:w="798"/>
        <w:gridCol w:w="798"/>
        <w:gridCol w:w="899"/>
        <w:gridCol w:w="770"/>
        <w:gridCol w:w="942"/>
        <w:gridCol w:w="727"/>
        <w:gridCol w:w="885"/>
        <w:gridCol w:w="719"/>
        <w:gridCol w:w="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风向</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N</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NNE</w:t>
            </w:r>
          </w:p>
        </w:tc>
        <w:tc>
          <w:tcPr>
            <w:tcW w:w="90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NE</w:t>
            </w:r>
          </w:p>
        </w:tc>
        <w:tc>
          <w:tcPr>
            <w:tcW w:w="77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ENE</w:t>
            </w:r>
          </w:p>
        </w:tc>
        <w:tc>
          <w:tcPr>
            <w:tcW w:w="95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E</w:t>
            </w:r>
          </w:p>
        </w:tc>
        <w:tc>
          <w:tcPr>
            <w:tcW w:w="73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ESE</w:t>
            </w:r>
          </w:p>
        </w:tc>
        <w:tc>
          <w:tcPr>
            <w:tcW w:w="8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SE</w:t>
            </w:r>
          </w:p>
        </w:tc>
        <w:tc>
          <w:tcPr>
            <w:tcW w:w="72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SSE</w:t>
            </w:r>
          </w:p>
        </w:tc>
        <w:tc>
          <w:tcPr>
            <w:tcW w:w="59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风向频率（%）</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3.8</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6.1</w:t>
            </w:r>
          </w:p>
        </w:tc>
        <w:tc>
          <w:tcPr>
            <w:tcW w:w="90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7.3</w:t>
            </w:r>
          </w:p>
        </w:tc>
        <w:tc>
          <w:tcPr>
            <w:tcW w:w="77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8.4</w:t>
            </w:r>
          </w:p>
        </w:tc>
        <w:tc>
          <w:tcPr>
            <w:tcW w:w="95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4.8</w:t>
            </w:r>
          </w:p>
        </w:tc>
        <w:tc>
          <w:tcPr>
            <w:tcW w:w="73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4.3</w:t>
            </w:r>
          </w:p>
        </w:tc>
        <w:tc>
          <w:tcPr>
            <w:tcW w:w="8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3.4</w:t>
            </w:r>
          </w:p>
        </w:tc>
        <w:tc>
          <w:tcPr>
            <w:tcW w:w="72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3.7</w:t>
            </w:r>
          </w:p>
        </w:tc>
        <w:tc>
          <w:tcPr>
            <w:tcW w:w="59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评价风速（m/s）</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2.3</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2.3</w:t>
            </w:r>
          </w:p>
        </w:tc>
        <w:tc>
          <w:tcPr>
            <w:tcW w:w="90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2.2</w:t>
            </w:r>
          </w:p>
        </w:tc>
        <w:tc>
          <w:tcPr>
            <w:tcW w:w="77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2.2</w:t>
            </w:r>
          </w:p>
        </w:tc>
        <w:tc>
          <w:tcPr>
            <w:tcW w:w="95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2.0</w:t>
            </w:r>
          </w:p>
        </w:tc>
        <w:tc>
          <w:tcPr>
            <w:tcW w:w="73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2.1</w:t>
            </w:r>
          </w:p>
        </w:tc>
        <w:tc>
          <w:tcPr>
            <w:tcW w:w="8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2.0</w:t>
            </w:r>
          </w:p>
        </w:tc>
        <w:tc>
          <w:tcPr>
            <w:tcW w:w="72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2.0</w:t>
            </w:r>
          </w:p>
        </w:tc>
        <w:tc>
          <w:tcPr>
            <w:tcW w:w="59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风向</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SSW</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SW</w:t>
            </w:r>
          </w:p>
        </w:tc>
        <w:tc>
          <w:tcPr>
            <w:tcW w:w="90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WSW</w:t>
            </w:r>
          </w:p>
        </w:tc>
        <w:tc>
          <w:tcPr>
            <w:tcW w:w="77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W</w:t>
            </w:r>
          </w:p>
        </w:tc>
        <w:tc>
          <w:tcPr>
            <w:tcW w:w="95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WNW</w:t>
            </w:r>
          </w:p>
        </w:tc>
        <w:tc>
          <w:tcPr>
            <w:tcW w:w="73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NW</w:t>
            </w:r>
          </w:p>
        </w:tc>
        <w:tc>
          <w:tcPr>
            <w:tcW w:w="8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NNW</w:t>
            </w:r>
          </w:p>
        </w:tc>
        <w:tc>
          <w:tcPr>
            <w:tcW w:w="72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C</w:t>
            </w:r>
          </w:p>
        </w:tc>
        <w:tc>
          <w:tcPr>
            <w:tcW w:w="59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风向频率（%）</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3.7</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5.9</w:t>
            </w:r>
          </w:p>
        </w:tc>
        <w:tc>
          <w:tcPr>
            <w:tcW w:w="90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8.4</w:t>
            </w:r>
          </w:p>
        </w:tc>
        <w:tc>
          <w:tcPr>
            <w:tcW w:w="77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6.1</w:t>
            </w:r>
          </w:p>
        </w:tc>
        <w:tc>
          <w:tcPr>
            <w:tcW w:w="95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5.0</w:t>
            </w:r>
          </w:p>
        </w:tc>
        <w:tc>
          <w:tcPr>
            <w:tcW w:w="73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3.3</w:t>
            </w:r>
          </w:p>
        </w:tc>
        <w:tc>
          <w:tcPr>
            <w:tcW w:w="8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2.3</w:t>
            </w:r>
          </w:p>
        </w:tc>
        <w:tc>
          <w:tcPr>
            <w:tcW w:w="72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21.4</w:t>
            </w:r>
          </w:p>
        </w:tc>
        <w:tc>
          <w:tcPr>
            <w:tcW w:w="59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评价风速（m/s）</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2.1</w:t>
            </w:r>
          </w:p>
        </w:tc>
        <w:tc>
          <w:tcPr>
            <w:tcW w:w="80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2.3</w:t>
            </w:r>
          </w:p>
        </w:tc>
        <w:tc>
          <w:tcPr>
            <w:tcW w:w="90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2.7</w:t>
            </w:r>
          </w:p>
        </w:tc>
        <w:tc>
          <w:tcPr>
            <w:tcW w:w="77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2.8</w:t>
            </w:r>
          </w:p>
        </w:tc>
        <w:tc>
          <w:tcPr>
            <w:tcW w:w="95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3.0</w:t>
            </w:r>
          </w:p>
        </w:tc>
        <w:tc>
          <w:tcPr>
            <w:tcW w:w="73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2.4</w:t>
            </w:r>
          </w:p>
        </w:tc>
        <w:tc>
          <w:tcPr>
            <w:tcW w:w="8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r>
              <w:rPr>
                <w:rFonts w:hint="default" w:ascii="Times New Roman" w:hAnsi="Times New Roman" w:eastAsia="宋体" w:cs="Times New Roman"/>
                <w:color w:val="FF0000"/>
                <w:kern w:val="0"/>
                <w:sz w:val="21"/>
                <w:szCs w:val="18"/>
                <w:highlight w:val="none"/>
                <w:lang w:bidi="ar"/>
              </w:rPr>
              <w:t>2.4</w:t>
            </w:r>
          </w:p>
        </w:tc>
        <w:tc>
          <w:tcPr>
            <w:tcW w:w="727"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p>
        </w:tc>
        <w:tc>
          <w:tcPr>
            <w:tcW w:w="59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21"/>
                <w:szCs w:val="18"/>
                <w:highlight w:val="none"/>
                <w:lang w:bidi="ar"/>
              </w:rPr>
            </w:pPr>
          </w:p>
        </w:tc>
      </w:tr>
    </w:tbl>
    <w:p>
      <w:pPr>
        <w:jc w:val="center"/>
        <w:rPr>
          <w:rFonts w:hint="default" w:ascii="Times New Roman" w:hAnsi="Times New Roman" w:eastAsia="宋体" w:cs="Times New Roman"/>
          <w:color w:val="FF0000"/>
          <w:kern w:val="0"/>
          <w:szCs w:val="21"/>
          <w:highlight w:val="none"/>
          <w:lang w:bidi="ar"/>
        </w:rPr>
      </w:pPr>
    </w:p>
    <w:p>
      <w:pPr>
        <w:spacing w:line="360" w:lineRule="auto"/>
        <w:jc w:val="center"/>
        <w:rPr>
          <w:rFonts w:hint="default" w:ascii="Times New Roman" w:hAnsi="Times New Roman" w:eastAsia="宋体" w:cs="Times New Roman"/>
          <w:b/>
          <w:bCs/>
          <w:color w:val="FF0000"/>
          <w:kern w:val="0"/>
          <w:sz w:val="24"/>
          <w:szCs w:val="24"/>
          <w:highlight w:val="none"/>
          <w:lang w:bidi="ar"/>
        </w:rPr>
      </w:pPr>
      <w:r>
        <w:rPr>
          <w:rFonts w:hint="default" w:ascii="Times New Roman" w:hAnsi="Times New Roman" w:eastAsia="宋体" w:cs="Times New Roman"/>
          <w:color w:val="FF0000"/>
          <w:highlight w:val="none"/>
        </w:rPr>
        <w:drawing>
          <wp:inline distT="0" distB="0" distL="114300" distR="114300">
            <wp:extent cx="3850640" cy="1656080"/>
            <wp:effectExtent l="0" t="0" r="16510" b="1270"/>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pic:cNvPicPr>
                      <a:picLocks noChangeAspect="1"/>
                    </pic:cNvPicPr>
                  </pic:nvPicPr>
                  <pic:blipFill>
                    <a:blip r:embed="rId37"/>
                    <a:stretch>
                      <a:fillRect/>
                    </a:stretch>
                  </pic:blipFill>
                  <pic:spPr>
                    <a:xfrm>
                      <a:off x="0" y="0"/>
                      <a:ext cx="3850640" cy="1656080"/>
                    </a:xfrm>
                    <a:prstGeom prst="rect">
                      <a:avLst/>
                    </a:prstGeom>
                    <a:noFill/>
                    <a:ln>
                      <a:noFill/>
                    </a:ln>
                  </pic:spPr>
                </pic:pic>
              </a:graphicData>
            </a:graphic>
          </wp:inline>
        </w:drawing>
      </w:r>
    </w:p>
    <w:p>
      <w:pPr>
        <w:spacing w:line="360" w:lineRule="auto"/>
        <w:jc w:val="center"/>
        <w:rPr>
          <w:rFonts w:hint="default" w:ascii="Times New Roman" w:hAnsi="Times New Roman" w:eastAsia="宋体" w:cs="Times New Roman"/>
          <w:b/>
          <w:bCs/>
          <w:color w:val="FF0000"/>
          <w:kern w:val="0"/>
          <w:sz w:val="24"/>
          <w:szCs w:val="24"/>
          <w:highlight w:val="none"/>
          <w:lang w:bidi="ar"/>
        </w:rPr>
      </w:pPr>
    </w:p>
    <w:p>
      <w:pPr>
        <w:spacing w:line="360" w:lineRule="auto"/>
        <w:jc w:val="center"/>
        <w:rPr>
          <w:rFonts w:hint="default" w:ascii="Times New Roman" w:hAnsi="Times New Roman" w:eastAsia="宋体" w:cs="Times New Roman"/>
          <w:b/>
          <w:bCs/>
          <w:color w:val="FF0000"/>
          <w:kern w:val="0"/>
          <w:sz w:val="24"/>
          <w:szCs w:val="24"/>
          <w:highlight w:val="none"/>
          <w:lang w:bidi="ar"/>
        </w:rPr>
      </w:pPr>
      <w:r>
        <w:rPr>
          <w:rFonts w:hint="default" w:ascii="Times New Roman" w:hAnsi="Times New Roman" w:eastAsia="宋体" w:cs="Times New Roman"/>
          <w:b/>
          <w:bCs/>
          <w:color w:val="FF0000"/>
          <w:kern w:val="0"/>
          <w:sz w:val="24"/>
          <w:szCs w:val="24"/>
          <w:highlight w:val="none"/>
          <w:lang w:bidi="ar"/>
        </w:rPr>
        <w:t>图5.2-2 近 30 年全年风向频率玫瑰图   图5.2-3 近 30 年全年风速玫瑰图</w:t>
      </w:r>
    </w:p>
    <w:p>
      <w:pPr>
        <w:spacing w:line="360" w:lineRule="auto"/>
        <w:ind w:firstLine="480" w:firstLineChars="200"/>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kern w:val="0"/>
          <w:sz w:val="24"/>
          <w:szCs w:val="24"/>
          <w:highlight w:val="none"/>
          <w:lang w:bidi="ar"/>
        </w:rPr>
        <w:t>2）地面风速变化</w:t>
      </w:r>
    </w:p>
    <w:p>
      <w:pPr>
        <w:spacing w:line="360" w:lineRule="auto"/>
        <w:ind w:firstLine="480" w:firstLineChars="200"/>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kern w:val="0"/>
          <w:sz w:val="24"/>
          <w:szCs w:val="24"/>
          <w:highlight w:val="none"/>
          <w:lang w:bidi="ar"/>
        </w:rPr>
        <w:t xml:space="preserve">从临河气象站近30年平均风速的统计(见表5.2-4)可以看出：该地区年平均风速为1.9m/s。全年以春季风速最大(如四月份风速为2.4m/s)，平均风速最小出现在一月份，平均风速均为1.6m/s；风速的年较差为0.8 m/s(逐月平均风速变化曲线见图5.2-4)。 </w:t>
      </w:r>
    </w:p>
    <w:p>
      <w:pPr>
        <w:spacing w:line="360" w:lineRule="auto"/>
        <w:jc w:val="center"/>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b/>
          <w:bCs/>
          <w:color w:val="FF0000"/>
          <w:kern w:val="0"/>
          <w:sz w:val="24"/>
          <w:szCs w:val="24"/>
          <w:highlight w:val="none"/>
          <w:lang w:bidi="ar"/>
        </w:rPr>
        <w:t>表5.2-4 临河气象站近 30 年各月、年平均风速数值</w:t>
      </w:r>
    </w:p>
    <w:tbl>
      <w:tblPr>
        <w:tblStyle w:val="34"/>
        <w:tblW w:w="8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588"/>
        <w:gridCol w:w="588"/>
        <w:gridCol w:w="560"/>
        <w:gridCol w:w="603"/>
        <w:gridCol w:w="604"/>
        <w:gridCol w:w="604"/>
        <w:gridCol w:w="604"/>
        <w:gridCol w:w="604"/>
        <w:gridCol w:w="604"/>
        <w:gridCol w:w="561"/>
        <w:gridCol w:w="589"/>
        <w:gridCol w:w="589"/>
        <w:gridCol w:w="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年</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2</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3</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4</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5</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6</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7</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8</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9</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10</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11</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12</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平均风速（m/s）</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1.6</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1.8</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2.1</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2.5</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2.3</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2.1</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2.0</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1.8</w:t>
            </w:r>
          </w:p>
        </w:tc>
        <w:tc>
          <w:tcPr>
            <w:tcW w:w="6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1.6</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1.8</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1.7</w:t>
            </w:r>
          </w:p>
        </w:tc>
        <w:tc>
          <w:tcPr>
            <w:tcW w:w="59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1.7</w:t>
            </w:r>
          </w:p>
        </w:tc>
        <w:tc>
          <w:tcPr>
            <w:tcW w:w="56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sz w:val="21"/>
                <w:szCs w:val="18"/>
                <w:highlight w:val="none"/>
              </w:rPr>
            </w:pPr>
            <w:r>
              <w:rPr>
                <w:rFonts w:hint="default" w:ascii="Times New Roman" w:hAnsi="Times New Roman" w:eastAsia="宋体" w:cs="Times New Roman"/>
                <w:color w:val="FF0000"/>
                <w:sz w:val="21"/>
                <w:szCs w:val="18"/>
                <w:highlight w:val="none"/>
              </w:rPr>
              <w:t>1.9</w:t>
            </w:r>
          </w:p>
        </w:tc>
      </w:tr>
    </w:tbl>
    <w:p>
      <w:pPr>
        <w:keepNext w:val="0"/>
        <w:keepLines w:val="0"/>
        <w:pageBreakBefore w:val="0"/>
        <w:widowControl w:val="0"/>
        <w:kinsoku/>
        <w:wordWrap/>
        <w:overflowPunct/>
        <w:topLinePunct/>
        <w:autoSpaceDE w:val="0"/>
        <w:autoSpaceDN/>
        <w:bidi w:val="0"/>
        <w:adjustRightInd/>
        <w:snapToGrid/>
        <w:spacing w:line="360" w:lineRule="auto"/>
        <w:ind w:firstLine="0" w:firstLineChars="0"/>
        <w:jc w:val="center"/>
        <w:textAlignment w:val="auto"/>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highlight w:val="none"/>
        </w:rPr>
        <w:drawing>
          <wp:inline distT="0" distB="0" distL="114300" distR="114300">
            <wp:extent cx="5400040" cy="2524760"/>
            <wp:effectExtent l="0" t="0" r="10160" b="8890"/>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5"/>
                    <pic:cNvPicPr>
                      <a:picLocks noChangeAspect="1"/>
                    </pic:cNvPicPr>
                  </pic:nvPicPr>
                  <pic:blipFill>
                    <a:blip r:embed="rId38"/>
                    <a:stretch>
                      <a:fillRect/>
                    </a:stretch>
                  </pic:blipFill>
                  <pic:spPr>
                    <a:xfrm>
                      <a:off x="0" y="0"/>
                      <a:ext cx="5400040" cy="2524760"/>
                    </a:xfrm>
                    <a:prstGeom prst="rect">
                      <a:avLst/>
                    </a:prstGeom>
                    <a:noFill/>
                    <a:ln>
                      <a:noFill/>
                    </a:ln>
                  </pic:spPr>
                </pic:pic>
              </a:graphicData>
            </a:graphic>
          </wp:inline>
        </w:drawing>
      </w:r>
    </w:p>
    <w:p>
      <w:pPr>
        <w:spacing w:line="360" w:lineRule="auto"/>
        <w:jc w:val="center"/>
        <w:rPr>
          <w:rFonts w:hint="default" w:ascii="Times New Roman" w:hAnsi="Times New Roman" w:eastAsia="宋体" w:cs="Times New Roman"/>
          <w:b/>
          <w:bCs/>
          <w:color w:val="FF0000"/>
          <w:kern w:val="0"/>
          <w:sz w:val="24"/>
          <w:szCs w:val="24"/>
          <w:highlight w:val="none"/>
          <w:lang w:bidi="ar"/>
        </w:rPr>
      </w:pPr>
      <w:r>
        <w:rPr>
          <w:rFonts w:hint="default" w:ascii="Times New Roman" w:hAnsi="Times New Roman" w:eastAsia="宋体" w:cs="Times New Roman"/>
          <w:b/>
          <w:bCs/>
          <w:color w:val="FF0000"/>
          <w:kern w:val="0"/>
          <w:sz w:val="24"/>
          <w:szCs w:val="24"/>
          <w:highlight w:val="none"/>
          <w:lang w:bidi="ar"/>
        </w:rPr>
        <w:t>图5.2-4   临河近30年逐月平均风速变化曲线</w:t>
      </w:r>
    </w:p>
    <w:p>
      <w:pPr>
        <w:spacing w:line="360" w:lineRule="auto"/>
        <w:ind w:firstLine="480" w:firstLineChars="200"/>
        <w:rPr>
          <w:rFonts w:hint="default" w:ascii="Times New Roman" w:hAnsi="Times New Roman" w:eastAsia="宋体" w:cs="Times New Roman"/>
          <w:color w:val="FF0000"/>
          <w:kern w:val="0"/>
          <w:sz w:val="24"/>
          <w:szCs w:val="24"/>
          <w:highlight w:val="none"/>
          <w:lang w:bidi="ar"/>
        </w:rPr>
      </w:pPr>
      <w:r>
        <w:rPr>
          <w:rFonts w:hint="default" w:ascii="Times New Roman" w:hAnsi="Times New Roman" w:eastAsia="宋体" w:cs="Times New Roman"/>
          <w:color w:val="FF0000"/>
          <w:kern w:val="0"/>
          <w:sz w:val="24"/>
          <w:szCs w:val="24"/>
          <w:highlight w:val="none"/>
          <w:lang w:bidi="ar"/>
        </w:rPr>
        <w:t>3）地面风速的日变化</w:t>
      </w:r>
    </w:p>
    <w:p>
      <w:pPr>
        <w:spacing w:line="360" w:lineRule="auto"/>
        <w:jc w:val="center"/>
        <w:rPr>
          <w:rFonts w:hint="default" w:ascii="Times New Roman" w:hAnsi="Times New Roman" w:eastAsia="宋体" w:cs="Times New Roman"/>
          <w:b/>
          <w:bCs/>
          <w:color w:val="FF0000"/>
          <w:sz w:val="24"/>
          <w:szCs w:val="24"/>
          <w:highlight w:val="none"/>
        </w:rPr>
      </w:pPr>
      <w:r>
        <w:rPr>
          <w:rFonts w:hint="default" w:ascii="Times New Roman" w:hAnsi="Times New Roman" w:eastAsia="宋体" w:cs="Times New Roman"/>
          <w:b/>
          <w:bCs/>
          <w:color w:val="FF0000"/>
          <w:kern w:val="0"/>
          <w:sz w:val="24"/>
          <w:szCs w:val="24"/>
          <w:highlight w:val="none"/>
          <w:lang w:bidi="ar"/>
        </w:rPr>
        <w:t>表5.2-5   临河气象站各季平均风速日变化统计表 m/s</w:t>
      </w:r>
    </w:p>
    <w:tbl>
      <w:tblPr>
        <w:tblStyle w:val="34"/>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6"/>
        <w:gridCol w:w="654"/>
        <w:gridCol w:w="654"/>
        <w:gridCol w:w="654"/>
        <w:gridCol w:w="654"/>
        <w:gridCol w:w="654"/>
        <w:gridCol w:w="655"/>
        <w:gridCol w:w="655"/>
        <w:gridCol w:w="655"/>
        <w:gridCol w:w="655"/>
        <w:gridCol w:w="656"/>
        <w:gridCol w:w="656"/>
        <w:gridCol w:w="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0</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3</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4</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5</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6</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7</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8</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9</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10</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春季</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1.6</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1.4</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1.4</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1.4</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1.7</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夏季</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1.6</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1.8</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秋季</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1.7</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冬季</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1.0</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1.4</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14</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16</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17</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18</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19</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20</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春季</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2.4</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2.6</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2.5</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2.7</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2.6</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2.5</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2.0</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1.7</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1.7</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夏季</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1.9</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1.9</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秋季</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2.0</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2.0</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1.7</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1.4</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冬季</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1.8</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2.1</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2.2</w:t>
            </w:r>
          </w:p>
        </w:tc>
        <w:tc>
          <w:tcPr>
            <w:tcW w:w="687"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2.2</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1.9</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1.5</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1.4</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1.3</w:t>
            </w:r>
          </w:p>
        </w:tc>
        <w:tc>
          <w:tcPr>
            <w:tcW w:w="688" w:type="dxa"/>
            <w:noWrap w:val="0"/>
            <w:vAlign w:val="top"/>
          </w:tcPr>
          <w:p>
            <w:pPr>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color w:val="FF0000"/>
                <w:sz w:val="21"/>
                <w:szCs w:val="16"/>
                <w:highlight w:val="none"/>
              </w:rPr>
            </w:pPr>
            <w:r>
              <w:rPr>
                <w:rFonts w:hint="default" w:ascii="Times New Roman" w:hAnsi="Times New Roman" w:eastAsia="宋体" w:cs="Times New Roman"/>
                <w:color w:val="FF0000"/>
                <w:sz w:val="21"/>
                <w:szCs w:val="16"/>
                <w:highlight w:val="none"/>
              </w:rPr>
              <w:t>1.4</w:t>
            </w:r>
          </w:p>
        </w:tc>
      </w:tr>
    </w:tbl>
    <w:p>
      <w:pPr>
        <w:rPr>
          <w:rFonts w:hint="default" w:ascii="Times New Roman" w:hAnsi="Times New Roman" w:eastAsia="宋体" w:cs="Times New Roman"/>
          <w:color w:val="FF0000"/>
          <w:highlight w:val="none"/>
        </w:rPr>
      </w:pPr>
    </w:p>
    <w:p>
      <w:pPr>
        <w:rPr>
          <w:rFonts w:hint="default" w:ascii="Times New Roman" w:hAnsi="Times New Roman" w:eastAsia="宋体" w:cs="Times New Roman"/>
          <w:color w:val="FF0000"/>
          <w:highlight w:val="none"/>
        </w:rPr>
      </w:pPr>
    </w:p>
    <w:p>
      <w:pPr>
        <w:pStyle w:val="14"/>
        <w:ind w:firstLine="0"/>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drawing>
          <wp:inline distT="0" distB="0" distL="114300" distR="114300">
            <wp:extent cx="4679950" cy="6357620"/>
            <wp:effectExtent l="0" t="0" r="6350" b="5080"/>
            <wp:docPr id="1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pic:cNvPicPr>
                      <a:picLocks noChangeAspect="1"/>
                    </pic:cNvPicPr>
                  </pic:nvPicPr>
                  <pic:blipFill>
                    <a:blip r:embed="rId39"/>
                    <a:stretch>
                      <a:fillRect/>
                    </a:stretch>
                  </pic:blipFill>
                  <pic:spPr>
                    <a:xfrm>
                      <a:off x="0" y="0"/>
                      <a:ext cx="4679950" cy="6357620"/>
                    </a:xfrm>
                    <a:prstGeom prst="rect">
                      <a:avLst/>
                    </a:prstGeom>
                    <a:noFill/>
                    <a:ln>
                      <a:noFill/>
                    </a:ln>
                  </pic:spPr>
                </pic:pic>
              </a:graphicData>
            </a:graphic>
          </wp:inline>
        </w:drawing>
      </w:r>
    </w:p>
    <w:p>
      <w:pPr>
        <w:pStyle w:val="2"/>
        <w:spacing w:after="0"/>
        <w:ind w:left="0" w:leftChars="0" w:firstLine="482"/>
        <w:jc w:val="center"/>
        <w:rPr>
          <w:rFonts w:hint="default" w:ascii="Times New Roman" w:hAnsi="Times New Roman" w:eastAsia="宋体" w:cs="Times New Roman"/>
          <w:b/>
          <w:bCs/>
          <w:color w:val="FF0000"/>
          <w:highlight w:val="none"/>
        </w:rPr>
      </w:pPr>
      <w:r>
        <w:rPr>
          <w:rFonts w:hint="default" w:ascii="Times New Roman" w:hAnsi="Times New Roman" w:eastAsia="宋体" w:cs="Times New Roman"/>
          <w:b/>
          <w:bCs/>
          <w:color w:val="FF0000"/>
          <w:highlight w:val="none"/>
        </w:rPr>
        <w:t>图 4.1-5 临河各季平均风速的日变化曲线</w:t>
      </w:r>
    </w:p>
    <w:p>
      <w:pPr>
        <w:spacing w:line="360" w:lineRule="auto"/>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临河各季平均风速日变化统计见表4.1-5，临河各季平均风速的日变化曲线见图5.2-5。平均风速的日变化统计结果显示：无论哪个季节平均风速均以凌晨较小(平均风速最小常出现在05时左右)，日出后随太阳高度角的增加，风速明显增大，14～16时达到一日中的最大值，此后随太阳高度角的降低平均风速逐渐减小，到夜间至凌晨达到最小。</w:t>
      </w:r>
    </w:p>
    <w:p>
      <w:pPr>
        <w:spacing w:line="360" w:lineRule="auto"/>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4）地面风频的月变化</w:t>
      </w:r>
    </w:p>
    <w:p>
      <w:pPr>
        <w:spacing w:line="360" w:lineRule="auto"/>
        <w:jc w:val="center"/>
        <w:rPr>
          <w:rFonts w:hint="default" w:ascii="Times New Roman" w:hAnsi="Times New Roman" w:eastAsia="宋体" w:cs="Times New Roman"/>
          <w:b/>
          <w:bCs/>
          <w:color w:val="FF0000"/>
          <w:sz w:val="24"/>
          <w:szCs w:val="24"/>
          <w:highlight w:val="none"/>
        </w:rPr>
      </w:pPr>
      <w:r>
        <w:rPr>
          <w:rFonts w:hint="default" w:ascii="Times New Roman" w:hAnsi="Times New Roman" w:eastAsia="宋体" w:cs="Times New Roman"/>
          <w:b/>
          <w:bCs/>
          <w:color w:val="FF0000"/>
          <w:sz w:val="24"/>
          <w:szCs w:val="24"/>
          <w:highlight w:val="none"/>
        </w:rPr>
        <w:t>表5.2-6   临河气象站近30年各月风向频率统计表</w:t>
      </w:r>
    </w:p>
    <w:tbl>
      <w:tblPr>
        <w:tblStyle w:val="34"/>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
        <w:gridCol w:w="428"/>
        <w:gridCol w:w="527"/>
        <w:gridCol w:w="438"/>
        <w:gridCol w:w="529"/>
        <w:gridCol w:w="429"/>
        <w:gridCol w:w="496"/>
        <w:gridCol w:w="428"/>
        <w:gridCol w:w="504"/>
        <w:gridCol w:w="421"/>
        <w:gridCol w:w="527"/>
        <w:gridCol w:w="441"/>
        <w:gridCol w:w="583"/>
        <w:gridCol w:w="404"/>
        <w:gridCol w:w="608"/>
        <w:gridCol w:w="466"/>
        <w:gridCol w:w="575"/>
        <w:gridCol w:w="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风向</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N</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NNE</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NE</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ENE</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E</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ESE</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SE</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SSE</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S</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SSW</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SW</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WSW</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W</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WNW</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NW</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NNW</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both"/>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2.6</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4.9</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6.6</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7.1</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3.7</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3.1</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2.7</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2.0</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2.4</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10.9</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5.0</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3.1</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2.2</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6.8</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7.7</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9.1</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4.8</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3.8</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3.0</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1.8</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8.3</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4.9</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3.4</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2.2</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7.3</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8.9</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9.4</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4.9</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3.5</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3.7</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3.2</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7.6</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6.8</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6.2</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3.7</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2.1</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3.9</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7.8</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6.5</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7.4</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3.7</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3.5</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3.6</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2.6</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5.0</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6.8</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9.5</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7.2</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3.8</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3.8</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4.7</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5.9</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7.6</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7.5</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4.2</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3.4</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4.3</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4.5</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6.3</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8.7</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7.3</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6.6</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3.6</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2.6</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6.8</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7.9</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8.5</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6.3</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5.5</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4.9</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5.4</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3.5</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5.4</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6.6</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4.4</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3.3</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2.6</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6.4</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8.2</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10.7</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7.5</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5.0</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4.8</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4.2</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5.9</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5.9</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2.8</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2.6</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2.3</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3.6</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5.8</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8.4</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1.6</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6.9</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7.2</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4.7</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5.1</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3.6</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4.7</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3.0</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2.8</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9月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3.7</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6.2</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7.9</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8.6</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4.4</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4.8</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4.5</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4.3</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5.9</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4.3</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3.3</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2.0</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10月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4.2</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6.7</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6.5</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3.9</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9.1</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6.5</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5.2</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3.2</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2.2</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11月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3.8</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5.8</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5.3</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6.5</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3.0</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2.5</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2.6</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1.8</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3.2</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7.4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1.4</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8.3</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6.2</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3.5</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2.0</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12月</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4.4</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5.3</w:t>
            </w:r>
          </w:p>
        </w:tc>
        <w:tc>
          <w:tcPr>
            <w:tcW w:w="58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6.7</w:t>
            </w:r>
          </w:p>
        </w:tc>
        <w:tc>
          <w:tcPr>
            <w:tcW w:w="49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3.9</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2.9</w:t>
            </w:r>
          </w:p>
        </w:tc>
        <w:tc>
          <w:tcPr>
            <w:tcW w:w="48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2.6</w:t>
            </w:r>
          </w:p>
        </w:tc>
        <w:tc>
          <w:tcPr>
            <w:tcW w:w="57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2.4</w:t>
            </w:r>
          </w:p>
        </w:tc>
        <w:tc>
          <w:tcPr>
            <w:tcW w:w="464"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1.6</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3.2</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2.0</w:t>
            </w:r>
          </w:p>
        </w:tc>
        <w:tc>
          <w:tcPr>
            <w:tcW w:w="34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8.0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5.8</w:t>
            </w:r>
          </w:p>
        </w:tc>
        <w:tc>
          <w:tcPr>
            <w:tcW w:w="42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3.7</w:t>
            </w:r>
          </w:p>
        </w:tc>
        <w:tc>
          <w:tcPr>
            <w:tcW w:w="53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2.1</w:t>
            </w:r>
          </w:p>
        </w:tc>
        <w:tc>
          <w:tcPr>
            <w:tcW w:w="3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0"/>
                <w:sz w:val="15"/>
                <w:szCs w:val="15"/>
                <w:highlight w:val="none"/>
                <w:lang w:bidi="ar"/>
              </w:rPr>
            </w:pPr>
            <w:r>
              <w:rPr>
                <w:rFonts w:hint="default" w:ascii="Times New Roman" w:hAnsi="Times New Roman" w:eastAsia="宋体" w:cs="Times New Roman"/>
                <w:color w:val="FF0000"/>
                <w:kern w:val="0"/>
                <w:sz w:val="15"/>
                <w:szCs w:val="15"/>
                <w:highlight w:val="none"/>
                <w:lang w:bidi="ar"/>
              </w:rPr>
              <w:t>6.2</w:t>
            </w:r>
          </w:p>
        </w:tc>
      </w:tr>
    </w:tbl>
    <w:p>
      <w:pPr>
        <w:pStyle w:val="14"/>
        <w:ind w:firstLine="480" w:firstLineChars="200"/>
        <w:jc w:val="both"/>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临河近30年各月风向频率统计见表5.2-6，临河近30年各月风向频率玫瑰见图5.2-6。由图表可知：临河一月份主导风向为WSW风，出现频率为10.7%，次主导风向为W风，出现频率为7.2%；二月份主导风向为ENE风，出现频率为9.1%，三月份主导风向为ENE风，出现频率为9.4%，四月份主导风向为WSW风，出现频率为9.5%，五月份主导风向为WSW风，出现频率为8.7%，六月份主导风向为 ENE 风，出现频率为8.5%，七月份主导风向为ENE风，出现频率为10.7%，八月份主导风向为ENE风，出现频率为11.6%，九月份主导风向为ENE风，出现频率为8.6%，十月份主导风向为WSW风，出现频率为9.1%，十一月份主导风向为WSW风，出现频率为11.4%，十二月份主导风向为WSW 风，出现频率为12.0%。</w:t>
      </w:r>
    </w:p>
    <w:p>
      <w:pPr>
        <w:pStyle w:val="14"/>
        <w:ind w:firstLine="480" w:firstLineChars="200"/>
        <w:rPr>
          <w:rFonts w:hint="default" w:ascii="Times New Roman" w:hAnsi="Times New Roman" w:eastAsia="宋体" w:cs="Times New Roman"/>
          <w:b/>
          <w:bCs/>
          <w:color w:val="FF0000"/>
          <w:sz w:val="24"/>
          <w:szCs w:val="28"/>
          <w:highlight w:val="none"/>
        </w:rPr>
      </w:pPr>
      <w:r>
        <w:rPr>
          <w:rFonts w:hint="default" w:ascii="Times New Roman" w:hAnsi="Times New Roman" w:eastAsia="宋体" w:cs="Times New Roman"/>
          <w:color w:val="FF0000"/>
          <w:sz w:val="24"/>
          <w:szCs w:val="24"/>
          <w:highlight w:val="none"/>
        </w:rPr>
        <w:t>由此可见：临河地区4～5月份及10月～次年1份主导风向均为WSW风，其它各月份主导风向均为ENE风，出现频率在10%左右。</w:t>
      </w:r>
    </w:p>
    <w:p>
      <w:pPr>
        <w:keepNext w:val="0"/>
        <w:keepLines w:val="0"/>
        <w:pageBreakBefore w:val="0"/>
        <w:widowControl w:val="0"/>
        <w:kinsoku/>
        <w:wordWrap/>
        <w:overflowPunct/>
        <w:topLinePunct/>
        <w:autoSpaceDE w:val="0"/>
        <w:autoSpaceDN/>
        <w:bidi w:val="0"/>
        <w:adjustRightInd/>
        <w:snapToGrid/>
        <w:spacing w:line="360" w:lineRule="auto"/>
        <w:ind w:firstLine="0" w:firstLineChars="0"/>
        <w:jc w:val="center"/>
        <w:textAlignment w:val="auto"/>
        <w:rPr>
          <w:rFonts w:hint="default" w:ascii="Times New Roman" w:hAnsi="Times New Roman" w:eastAsia="宋体" w:cs="Times New Roman"/>
          <w:b/>
          <w:bCs/>
          <w:color w:val="FF0000"/>
          <w:sz w:val="24"/>
          <w:szCs w:val="28"/>
          <w:highlight w:val="none"/>
        </w:rPr>
      </w:pPr>
      <w:r>
        <w:rPr>
          <w:rFonts w:hint="default" w:ascii="Times New Roman" w:hAnsi="Times New Roman" w:eastAsia="宋体" w:cs="Times New Roman"/>
          <w:color w:val="FF0000"/>
          <w:highlight w:val="none"/>
        </w:rPr>
        <w:drawing>
          <wp:inline distT="0" distB="0" distL="114300" distR="114300">
            <wp:extent cx="5400040" cy="6535420"/>
            <wp:effectExtent l="0" t="0" r="10160" b="17780"/>
            <wp:docPr id="1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7"/>
                    <pic:cNvPicPr>
                      <a:picLocks noChangeAspect="1"/>
                    </pic:cNvPicPr>
                  </pic:nvPicPr>
                  <pic:blipFill>
                    <a:blip r:embed="rId40"/>
                    <a:stretch>
                      <a:fillRect/>
                    </a:stretch>
                  </pic:blipFill>
                  <pic:spPr>
                    <a:xfrm>
                      <a:off x="0" y="0"/>
                      <a:ext cx="5400040" cy="6535420"/>
                    </a:xfrm>
                    <a:prstGeom prst="rect">
                      <a:avLst/>
                    </a:prstGeom>
                    <a:noFill/>
                    <a:ln>
                      <a:noFill/>
                    </a:ln>
                  </pic:spPr>
                </pic:pic>
              </a:graphicData>
            </a:graphic>
          </wp:inline>
        </w:drawing>
      </w:r>
    </w:p>
    <w:p>
      <w:pPr>
        <w:spacing w:line="360" w:lineRule="auto"/>
        <w:jc w:val="center"/>
        <w:rPr>
          <w:rFonts w:hint="default" w:ascii="Times New Roman" w:hAnsi="Times New Roman" w:eastAsia="宋体" w:cs="Times New Roman"/>
          <w:b/>
          <w:bCs/>
          <w:color w:val="FF0000"/>
          <w:sz w:val="24"/>
          <w:szCs w:val="28"/>
          <w:highlight w:val="none"/>
        </w:rPr>
      </w:pPr>
      <w:r>
        <w:rPr>
          <w:rFonts w:hint="default" w:ascii="Times New Roman" w:hAnsi="Times New Roman" w:eastAsia="宋体" w:cs="Times New Roman"/>
          <w:b/>
          <w:bCs/>
          <w:color w:val="FF0000"/>
          <w:sz w:val="24"/>
          <w:szCs w:val="28"/>
          <w:highlight w:val="none"/>
        </w:rPr>
        <w:t>图5.2-6   临河近30年各月风向频率玫瑰图</w:t>
      </w:r>
    </w:p>
    <w:p>
      <w:pPr>
        <w:spacing w:line="360" w:lineRule="auto"/>
        <w:ind w:firstLine="480" w:firstLineChars="200"/>
        <w:rPr>
          <w:rFonts w:hint="default" w:ascii="Times New Roman" w:hAnsi="Times New Roman" w:eastAsia="宋体" w:cs="Times New Roman"/>
          <w:color w:val="FF0000"/>
          <w:sz w:val="24"/>
          <w:szCs w:val="28"/>
          <w:highlight w:val="none"/>
        </w:rPr>
      </w:pPr>
      <w:r>
        <w:rPr>
          <w:rFonts w:hint="default" w:ascii="Times New Roman" w:hAnsi="Times New Roman" w:eastAsia="宋体" w:cs="Times New Roman"/>
          <w:color w:val="FF0000"/>
          <w:sz w:val="24"/>
          <w:szCs w:val="28"/>
          <w:highlight w:val="none"/>
        </w:rPr>
        <w:t>(5)地面风频的季变化</w:t>
      </w:r>
    </w:p>
    <w:p>
      <w:pPr>
        <w:spacing w:line="360" w:lineRule="auto"/>
        <w:jc w:val="center"/>
        <w:rPr>
          <w:rFonts w:hint="default" w:ascii="Times New Roman" w:hAnsi="Times New Roman" w:eastAsia="宋体" w:cs="Times New Roman"/>
          <w:color w:val="FF0000"/>
          <w:sz w:val="24"/>
          <w:szCs w:val="28"/>
          <w:highlight w:val="none"/>
        </w:rPr>
      </w:pPr>
      <w:r>
        <w:rPr>
          <w:rFonts w:hint="default" w:ascii="Times New Roman" w:hAnsi="Times New Roman" w:eastAsia="宋体" w:cs="Times New Roman"/>
          <w:b/>
          <w:bCs/>
          <w:color w:val="FF0000"/>
          <w:sz w:val="24"/>
          <w:szCs w:val="28"/>
          <w:highlight w:val="none"/>
        </w:rPr>
        <w:t>表5.2-7    临河气象站近30年各季风向频率统计表</w:t>
      </w:r>
    </w:p>
    <w:tbl>
      <w:tblPr>
        <w:tblStyle w:val="34"/>
        <w:tblW w:w="8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
        <w:gridCol w:w="416"/>
        <w:gridCol w:w="545"/>
        <w:gridCol w:w="430"/>
        <w:gridCol w:w="528"/>
        <w:gridCol w:w="416"/>
        <w:gridCol w:w="501"/>
        <w:gridCol w:w="416"/>
        <w:gridCol w:w="492"/>
        <w:gridCol w:w="416"/>
        <w:gridCol w:w="545"/>
        <w:gridCol w:w="456"/>
        <w:gridCol w:w="608"/>
        <w:gridCol w:w="416"/>
        <w:gridCol w:w="634"/>
        <w:gridCol w:w="483"/>
        <w:gridCol w:w="599"/>
        <w:gridCol w:w="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3"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风向</w:t>
            </w:r>
          </w:p>
        </w:tc>
        <w:tc>
          <w:tcPr>
            <w:tcW w:w="474"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N</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NNE</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NE</w:t>
            </w:r>
          </w:p>
        </w:tc>
        <w:tc>
          <w:tcPr>
            <w:tcW w:w="56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ENE</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E</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ESE</w:t>
            </w:r>
          </w:p>
        </w:tc>
        <w:tc>
          <w:tcPr>
            <w:tcW w:w="472"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SE</w:t>
            </w:r>
          </w:p>
        </w:tc>
        <w:tc>
          <w:tcPr>
            <w:tcW w:w="54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SSE</w:t>
            </w:r>
          </w:p>
        </w:tc>
        <w:tc>
          <w:tcPr>
            <w:tcW w:w="45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S</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SSW</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SW</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WSW</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W</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WNW</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NW</w:t>
            </w:r>
          </w:p>
        </w:tc>
        <w:tc>
          <w:tcPr>
            <w:tcW w:w="51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NNW</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3"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both"/>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春季</w:t>
            </w:r>
          </w:p>
        </w:tc>
        <w:tc>
          <w:tcPr>
            <w:tcW w:w="474"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4.2</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7.0</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7.7</w:t>
            </w:r>
          </w:p>
        </w:tc>
        <w:tc>
          <w:tcPr>
            <w:tcW w:w="56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8.1</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4.3</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3.8</w:t>
            </w:r>
          </w:p>
        </w:tc>
        <w:tc>
          <w:tcPr>
            <w:tcW w:w="472"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3.3</w:t>
            </w:r>
          </w:p>
        </w:tc>
        <w:tc>
          <w:tcPr>
            <w:tcW w:w="54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3.9</w:t>
            </w:r>
          </w:p>
        </w:tc>
        <w:tc>
          <w:tcPr>
            <w:tcW w:w="45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2.6</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4.2</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8.6</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7.4</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6.7</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3.7</w:t>
            </w:r>
          </w:p>
        </w:tc>
        <w:tc>
          <w:tcPr>
            <w:tcW w:w="51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2.8</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3"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夏季</w:t>
            </w:r>
          </w:p>
        </w:tc>
        <w:tc>
          <w:tcPr>
            <w:tcW w:w="474"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4.3</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6.3</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8.1</w:t>
            </w:r>
          </w:p>
        </w:tc>
        <w:tc>
          <w:tcPr>
            <w:tcW w:w="56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10.2</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6.5</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6.7</w:t>
            </w:r>
          </w:p>
        </w:tc>
        <w:tc>
          <w:tcPr>
            <w:tcW w:w="472"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4.9</w:t>
            </w:r>
          </w:p>
        </w:tc>
        <w:tc>
          <w:tcPr>
            <w:tcW w:w="54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5.1</w:t>
            </w:r>
          </w:p>
        </w:tc>
        <w:tc>
          <w:tcPr>
            <w:tcW w:w="45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3.2</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4.4</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5.8</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5.7</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3.8</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3.4</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3.0</w:t>
            </w:r>
          </w:p>
        </w:tc>
        <w:tc>
          <w:tcPr>
            <w:tcW w:w="51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2.6</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3"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秋季</w:t>
            </w:r>
          </w:p>
        </w:tc>
        <w:tc>
          <w:tcPr>
            <w:tcW w:w="474"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3.5</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5.4</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6.6</w:t>
            </w:r>
          </w:p>
        </w:tc>
        <w:tc>
          <w:tcPr>
            <w:tcW w:w="56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7.2</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4.1</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3.4</w:t>
            </w:r>
          </w:p>
        </w:tc>
        <w:tc>
          <w:tcPr>
            <w:tcW w:w="472"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3.4</w:t>
            </w:r>
          </w:p>
        </w:tc>
        <w:tc>
          <w:tcPr>
            <w:tcW w:w="54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3.3</w:t>
            </w:r>
          </w:p>
        </w:tc>
        <w:tc>
          <w:tcPr>
            <w:tcW w:w="45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2.5</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3.8</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6.2</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3.8</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6.4</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4.9</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3.2</w:t>
            </w:r>
          </w:p>
        </w:tc>
        <w:tc>
          <w:tcPr>
            <w:tcW w:w="51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2.0</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3"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冬季</w:t>
            </w:r>
          </w:p>
        </w:tc>
        <w:tc>
          <w:tcPr>
            <w:tcW w:w="474"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3.0</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5.4</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6.5</w:t>
            </w:r>
          </w:p>
        </w:tc>
        <w:tc>
          <w:tcPr>
            <w:tcW w:w="56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7.6</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4.1</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3.3</w:t>
            </w:r>
          </w:p>
        </w:tc>
        <w:tc>
          <w:tcPr>
            <w:tcW w:w="472"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2.8</w:t>
            </w:r>
          </w:p>
        </w:tc>
        <w:tc>
          <w:tcPr>
            <w:tcW w:w="54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2.4</w:t>
            </w:r>
          </w:p>
        </w:tc>
        <w:tc>
          <w:tcPr>
            <w:tcW w:w="45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1.5</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2.8</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5.5</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10.4</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7.1</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5.3</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3.4</w:t>
            </w:r>
          </w:p>
        </w:tc>
        <w:tc>
          <w:tcPr>
            <w:tcW w:w="51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2.1</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3"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全年</w:t>
            </w:r>
          </w:p>
        </w:tc>
        <w:tc>
          <w:tcPr>
            <w:tcW w:w="474"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3.8</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5.6</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6.7</w:t>
            </w:r>
          </w:p>
        </w:tc>
        <w:tc>
          <w:tcPr>
            <w:tcW w:w="56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7.6</w:t>
            </w:r>
          </w:p>
        </w:tc>
        <w:tc>
          <w:tcPr>
            <w:tcW w:w="47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4.5</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4.1</w:t>
            </w:r>
          </w:p>
        </w:tc>
        <w:tc>
          <w:tcPr>
            <w:tcW w:w="472"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3.4</w:t>
            </w:r>
          </w:p>
        </w:tc>
        <w:tc>
          <w:tcPr>
            <w:tcW w:w="54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3.5</w:t>
            </w:r>
          </w:p>
        </w:tc>
        <w:tc>
          <w:tcPr>
            <w:tcW w:w="45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2.3</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3.5</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7.6</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5.6</w:t>
            </w:r>
          </w:p>
        </w:tc>
        <w:tc>
          <w:tcPr>
            <w:tcW w:w="515"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5.1</w:t>
            </w:r>
          </w:p>
        </w:tc>
        <w:tc>
          <w:tcPr>
            <w:tcW w:w="44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3.3</w:t>
            </w:r>
          </w:p>
        </w:tc>
        <w:tc>
          <w:tcPr>
            <w:tcW w:w="516"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2.4</w:t>
            </w:r>
          </w:p>
        </w:tc>
        <w:tc>
          <w:tcPr>
            <w:tcW w:w="531" w:type="dxa"/>
            <w:noWrap w:val="0"/>
            <w:vAlign w:val="center"/>
          </w:tcPr>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Times New Roman" w:hAnsi="Times New Roman" w:eastAsia="宋体" w:cs="Times New Roman"/>
                <w:color w:val="FF0000"/>
                <w:kern w:val="0"/>
                <w:sz w:val="16"/>
                <w:szCs w:val="16"/>
                <w:highlight w:val="none"/>
                <w:lang w:bidi="ar"/>
              </w:rPr>
            </w:pPr>
            <w:r>
              <w:rPr>
                <w:rFonts w:hint="default" w:ascii="Times New Roman" w:hAnsi="Times New Roman" w:eastAsia="宋体" w:cs="Times New Roman"/>
                <w:color w:val="FF0000"/>
                <w:kern w:val="0"/>
                <w:sz w:val="16"/>
                <w:szCs w:val="16"/>
                <w:highlight w:val="none"/>
                <w:lang w:bidi="ar"/>
              </w:rPr>
              <w:t>21.4</w:t>
            </w:r>
          </w:p>
        </w:tc>
      </w:tr>
    </w:tbl>
    <w:p>
      <w:pPr>
        <w:pStyle w:val="14"/>
        <w:ind w:firstLine="480" w:firstLineChars="200"/>
        <w:jc w:val="both"/>
        <w:rPr>
          <w:rFonts w:hint="default" w:ascii="Times New Roman" w:hAnsi="Times New Roman" w:eastAsia="宋体" w:cs="Times New Roman"/>
          <w:color w:val="FF0000"/>
          <w:sz w:val="24"/>
          <w:szCs w:val="21"/>
          <w:highlight w:val="none"/>
        </w:rPr>
      </w:pPr>
      <w:r>
        <w:rPr>
          <w:rFonts w:hint="default" w:ascii="Times New Roman" w:hAnsi="Times New Roman" w:eastAsia="宋体" w:cs="Times New Roman"/>
          <w:color w:val="FF0000"/>
          <w:sz w:val="24"/>
          <w:szCs w:val="21"/>
          <w:highlight w:val="none"/>
        </w:rPr>
        <w:t>在表5.2-7中统计了临河近30年各季的风向频率，图5.2-7为临河近30年各季及全年风向频率玫瑰图。临河地区春季主导风向为WSW风，出现频率为8.6%，次主导风向为ENE风，出现频率为8.1%，静风在春季的出现频率为15.9%；临河地区夏季主导风向为ENE风，出现频率为10.2%，次主导风向为NE风，出现频率为8.1%，静风在夏季的出现频率为16.3%；临河地区秋季主导风向为WSW风，出现频率为8.8%，次主导风向为ENE风，出现频率为7.2%，静风在秋季的出现频率为26.6%；临河地区冬季主导风向为WSW风，出现频率为10.4%，次主导风向为ENE风，出现频率为7.6%，静风在冬季的出现频率为27.0%；临河地区全年年主导风向为WSW风和ENE风，出现频率均为8.4%，NE风的出现频率也较高，为7.3%，静风的年出现频率为21.4%。</w:t>
      </w:r>
    </w:p>
    <w:p>
      <w:pPr>
        <w:pStyle w:val="14"/>
        <w:ind w:firstLine="560" w:firstLineChars="20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drawing>
          <wp:inline distT="0" distB="0" distL="114300" distR="114300">
            <wp:extent cx="5076825" cy="2400300"/>
            <wp:effectExtent l="0" t="0" r="9525" b="0"/>
            <wp:docPr id="1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pic:cNvPicPr>
                      <a:picLocks noChangeAspect="1"/>
                    </pic:cNvPicPr>
                  </pic:nvPicPr>
                  <pic:blipFill>
                    <a:blip r:embed="rId41"/>
                    <a:stretch>
                      <a:fillRect/>
                    </a:stretch>
                  </pic:blipFill>
                  <pic:spPr>
                    <a:xfrm>
                      <a:off x="0" y="0"/>
                      <a:ext cx="5076825" cy="2400300"/>
                    </a:xfrm>
                    <a:prstGeom prst="rect">
                      <a:avLst/>
                    </a:prstGeom>
                    <a:noFill/>
                    <a:ln>
                      <a:noFill/>
                    </a:ln>
                  </pic:spPr>
                </pic:pic>
              </a:graphicData>
            </a:graphic>
          </wp:inline>
        </w:drawing>
      </w:r>
    </w:p>
    <w:p>
      <w:pPr>
        <w:pStyle w:val="14"/>
        <w:ind w:firstLine="0"/>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drawing>
          <wp:inline distT="0" distB="0" distL="114300" distR="114300">
            <wp:extent cx="4603750" cy="2161540"/>
            <wp:effectExtent l="0" t="0" r="6350" b="10160"/>
            <wp:docPr id="1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9"/>
                    <pic:cNvPicPr>
                      <a:picLocks noChangeAspect="1"/>
                    </pic:cNvPicPr>
                  </pic:nvPicPr>
                  <pic:blipFill>
                    <a:blip r:embed="rId42"/>
                    <a:stretch>
                      <a:fillRect/>
                    </a:stretch>
                  </pic:blipFill>
                  <pic:spPr>
                    <a:xfrm>
                      <a:off x="0" y="0"/>
                      <a:ext cx="4603750" cy="2161540"/>
                    </a:xfrm>
                    <a:prstGeom prst="rect">
                      <a:avLst/>
                    </a:prstGeom>
                    <a:noFill/>
                    <a:ln>
                      <a:noFill/>
                    </a:ln>
                  </pic:spPr>
                </pic:pic>
              </a:graphicData>
            </a:graphic>
          </wp:inline>
        </w:drawing>
      </w:r>
    </w:p>
    <w:p>
      <w:pPr>
        <w:pStyle w:val="14"/>
        <w:ind w:firstLine="0"/>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drawing>
          <wp:inline distT="0" distB="0" distL="114300" distR="114300">
            <wp:extent cx="2503170" cy="2160905"/>
            <wp:effectExtent l="0" t="0" r="11430" b="10795"/>
            <wp:docPr id="1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
                    <pic:cNvPicPr>
                      <a:picLocks noChangeAspect="1"/>
                    </pic:cNvPicPr>
                  </pic:nvPicPr>
                  <pic:blipFill>
                    <a:blip r:embed="rId43"/>
                    <a:stretch>
                      <a:fillRect/>
                    </a:stretch>
                  </pic:blipFill>
                  <pic:spPr>
                    <a:xfrm>
                      <a:off x="0" y="0"/>
                      <a:ext cx="2503170" cy="2160905"/>
                    </a:xfrm>
                    <a:prstGeom prst="rect">
                      <a:avLst/>
                    </a:prstGeom>
                    <a:noFill/>
                    <a:ln>
                      <a:noFill/>
                    </a:ln>
                  </pic:spPr>
                </pic:pic>
              </a:graphicData>
            </a:graphic>
          </wp:inline>
        </w:drawing>
      </w:r>
    </w:p>
    <w:p>
      <w:pPr>
        <w:pStyle w:val="14"/>
        <w:ind w:firstLine="0"/>
        <w:jc w:val="center"/>
        <w:rPr>
          <w:rFonts w:hint="default" w:ascii="Times New Roman" w:hAnsi="Times New Roman" w:eastAsia="宋体" w:cs="Times New Roman"/>
          <w:color w:val="FF0000"/>
        </w:rPr>
      </w:pPr>
      <w:r>
        <w:rPr>
          <w:rFonts w:hint="default" w:ascii="Times New Roman" w:hAnsi="Times New Roman" w:eastAsia="宋体" w:cs="Times New Roman"/>
          <w:b/>
          <w:bCs/>
          <w:color w:val="FF0000"/>
          <w:sz w:val="24"/>
          <w:szCs w:val="24"/>
          <w:highlight w:val="none"/>
        </w:rPr>
        <w:t>图5.2-7 临河近 30 年各季及全年风向频率玫瑰图</w:t>
      </w:r>
      <w:bookmarkEnd w:id="327"/>
    </w:p>
    <w:p>
      <w:pPr>
        <w:pStyle w:val="6"/>
        <w:rPr>
          <w:rFonts w:hint="default" w:ascii="Times New Roman" w:hAnsi="Times New Roman" w:eastAsia="宋体" w:cs="Times New Roman"/>
          <w:color w:val="auto"/>
        </w:rPr>
      </w:pPr>
      <w:bookmarkStart w:id="328" w:name="_Toc15967"/>
      <w:r>
        <w:rPr>
          <w:rFonts w:hint="default" w:ascii="Times New Roman" w:hAnsi="Times New Roman" w:eastAsia="宋体" w:cs="Times New Roman"/>
          <w:color w:val="auto"/>
        </w:rPr>
        <w:t>5.2.2大气环境影响预测</w:t>
      </w:r>
      <w:bookmarkEnd w:id="328"/>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5.2.2.1评价等级及评价范围</w:t>
      </w:r>
    </w:p>
    <w:p>
      <w:pPr>
        <w:ind w:firstLine="480"/>
        <w:rPr>
          <w:rFonts w:hint="default" w:ascii="Times New Roman" w:hAnsi="Times New Roman" w:eastAsia="宋体" w:cs="Times New Roman"/>
          <w:color w:val="auto"/>
        </w:rPr>
        <w:sectPr>
          <w:pgSz w:w="11906" w:h="16838"/>
          <w:pgMar w:top="1304" w:right="1418" w:bottom="1134" w:left="1701" w:header="851" w:footer="680" w:gutter="0"/>
          <w:pgBorders>
            <w:top w:val="none" w:sz="0" w:space="0"/>
            <w:left w:val="none" w:sz="0" w:space="0"/>
            <w:bottom w:val="none" w:sz="0" w:space="0"/>
            <w:right w:val="none" w:sz="0" w:space="0"/>
          </w:pgBorders>
          <w:pgNumType w:fmt="numberInDash"/>
          <w:cols w:space="720" w:num="1"/>
          <w:docGrid w:linePitch="326" w:charSpace="0"/>
        </w:sectPr>
      </w:pPr>
      <w:r>
        <w:rPr>
          <w:rFonts w:hint="default" w:ascii="Times New Roman" w:hAnsi="Times New Roman" w:eastAsia="宋体" w:cs="Times New Roman"/>
          <w:color w:val="auto"/>
        </w:rPr>
        <w:t>本项目大气环境影响评价等级为二级，评价范围为以项目</w:t>
      </w:r>
      <w:r>
        <w:rPr>
          <w:rFonts w:hint="eastAsia" w:cs="Times New Roman"/>
          <w:color w:val="auto"/>
          <w:lang w:eastAsia="zh-CN"/>
        </w:rPr>
        <w:t>场区</w:t>
      </w:r>
      <w:r>
        <w:rPr>
          <w:rFonts w:hint="default" w:ascii="Times New Roman" w:hAnsi="Times New Roman" w:eastAsia="宋体" w:cs="Times New Roman"/>
          <w:color w:val="auto"/>
        </w:rPr>
        <w:t>为中心，边长5km的矩形为大气环境评价范围。项目各污染物最大落地浓度及最大占标率见表2.5-</w:t>
      </w:r>
      <w:r>
        <w:rPr>
          <w:rFonts w:hint="eastAsia" w:cs="Times New Roman"/>
          <w:color w:val="auto"/>
          <w:lang w:val="en-US" w:eastAsia="zh-CN"/>
        </w:rPr>
        <w:t>6</w:t>
      </w:r>
      <w:r>
        <w:rPr>
          <w:rFonts w:hint="default" w:ascii="Times New Roman" w:hAnsi="Times New Roman" w:eastAsia="宋体" w:cs="Times New Roman"/>
          <w:color w:val="auto"/>
        </w:rPr>
        <w:t>。</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表5.2</w:t>
      </w:r>
      <w:r>
        <w:rPr>
          <w:rFonts w:hint="default" w:ascii="Times New Roman" w:hAnsi="Times New Roman" w:eastAsia="宋体" w:cs="Times New Roman"/>
          <w:color w:val="auto"/>
          <w:lang w:val="en-US" w:eastAsia="zh-CN"/>
        </w:rPr>
        <w:t>-</w:t>
      </w:r>
      <w:r>
        <w:rPr>
          <w:rFonts w:hint="eastAsia" w:cs="Times New Roman"/>
          <w:color w:val="auto"/>
          <w:lang w:val="en-US" w:eastAsia="zh-CN"/>
        </w:rPr>
        <w:t>6</w:t>
      </w:r>
      <w:r>
        <w:rPr>
          <w:rFonts w:hint="default" w:ascii="Times New Roman" w:hAnsi="Times New Roman" w:eastAsia="宋体" w:cs="Times New Roman"/>
          <w:color w:val="auto"/>
        </w:rPr>
        <w:t xml:space="preserve">    污染源估算模型计算结果列表</w:t>
      </w:r>
    </w:p>
    <w:tbl>
      <w:tblPr>
        <w:tblStyle w:val="34"/>
        <w:tblW w:w="1461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84"/>
        <w:gridCol w:w="1127"/>
        <w:gridCol w:w="1127"/>
        <w:gridCol w:w="1127"/>
        <w:gridCol w:w="1127"/>
        <w:gridCol w:w="1128"/>
        <w:gridCol w:w="1128"/>
        <w:gridCol w:w="1128"/>
        <w:gridCol w:w="1128"/>
        <w:gridCol w:w="1128"/>
        <w:gridCol w:w="1128"/>
        <w:gridCol w:w="1128"/>
        <w:gridCol w:w="112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vMerge w:val="restart"/>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离源</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距离</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(m)</w:t>
            </w:r>
          </w:p>
        </w:tc>
        <w:tc>
          <w:tcPr>
            <w:tcW w:w="4508" w:type="dxa"/>
            <w:gridSpan w:val="4"/>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eastAsia" w:ascii="宋体" w:hAnsi="宋体" w:eastAsia="宋体" w:cs="宋体"/>
                <w:color w:val="auto"/>
                <w:kern w:val="0"/>
                <w:sz w:val="21"/>
                <w:szCs w:val="21"/>
                <w:lang w:val="en-US" w:eastAsia="zh-CN" w:bidi="ar"/>
              </w:rPr>
              <w:t>猪舍恶臭</w:t>
            </w:r>
          </w:p>
        </w:tc>
        <w:tc>
          <w:tcPr>
            <w:tcW w:w="4512" w:type="dxa"/>
            <w:gridSpan w:val="4"/>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晾粪台</w:t>
            </w:r>
            <w:r>
              <w:rPr>
                <w:rFonts w:hint="eastAsia" w:ascii="宋体" w:hAnsi="宋体" w:eastAsia="宋体" w:cs="宋体"/>
                <w:color w:val="auto"/>
                <w:kern w:val="0"/>
                <w:sz w:val="21"/>
                <w:szCs w:val="21"/>
                <w:lang w:val="en-US" w:eastAsia="zh-CN" w:bidi="ar"/>
              </w:rPr>
              <w:t>恶臭</w:t>
            </w:r>
          </w:p>
        </w:tc>
        <w:tc>
          <w:tcPr>
            <w:tcW w:w="4512" w:type="dxa"/>
            <w:gridSpan w:val="4"/>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氧化塘</w:t>
            </w:r>
            <w:r>
              <w:rPr>
                <w:rFonts w:hint="eastAsia" w:ascii="宋体" w:hAnsi="宋体" w:eastAsia="宋体" w:cs="宋体"/>
                <w:color w:val="auto"/>
                <w:kern w:val="0"/>
                <w:sz w:val="21"/>
                <w:szCs w:val="21"/>
                <w:lang w:val="en-US" w:eastAsia="zh-CN" w:bidi="ar"/>
              </w:rPr>
              <w:t>恶臭</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vMerge w:val="continue"/>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p>
        </w:tc>
        <w:tc>
          <w:tcPr>
            <w:tcW w:w="2254" w:type="dxa"/>
            <w:gridSpan w:val="2"/>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p>
        </w:tc>
        <w:tc>
          <w:tcPr>
            <w:tcW w:w="2254" w:type="dxa"/>
            <w:gridSpan w:val="2"/>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S</w:t>
            </w:r>
          </w:p>
        </w:tc>
        <w:tc>
          <w:tcPr>
            <w:tcW w:w="2256" w:type="dxa"/>
            <w:gridSpan w:val="2"/>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p>
        </w:tc>
        <w:tc>
          <w:tcPr>
            <w:tcW w:w="2256" w:type="dxa"/>
            <w:gridSpan w:val="2"/>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S</w:t>
            </w:r>
          </w:p>
        </w:tc>
        <w:tc>
          <w:tcPr>
            <w:tcW w:w="2256" w:type="dxa"/>
            <w:gridSpan w:val="2"/>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p>
        </w:tc>
        <w:tc>
          <w:tcPr>
            <w:tcW w:w="2256" w:type="dxa"/>
            <w:gridSpan w:val="2"/>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S</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vMerge w:val="continue"/>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p>
        </w:tc>
        <w:tc>
          <w:tcPr>
            <w:tcW w:w="1127"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27"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27"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27"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p>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0.003654</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1.83</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0.0003348</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3.25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0.0002087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0.00003913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0.39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0.005441</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2.72</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0.0004984</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4.98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0.001512</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0.76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0.0002835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2.83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0.00004251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0.000001215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0.007314</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3.66</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0.00067</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6.7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0.001423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0.71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0.0002669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2.67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0.00005671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0.00000162</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0.009117</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4.56</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0.0008351</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8.35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0.001226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0.61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0.0002299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0.00006004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0.000001715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0.009604</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4.8</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0.0008798</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8.8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0.0009355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0.47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0.0001754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1.75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0.00005737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0.000001639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0.009555</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4.78</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0.0008753</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8.75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0.0007168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0.36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0.0001344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1.34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0.00005363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0.000001532</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0.009013</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4.51</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0.0008257</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8.26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0.0005621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0.28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0.0001054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1.05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0.00006678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0.000001908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0.008323</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4.16</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0.0007624</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7.62</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0.0004523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0.23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0.00008481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0.85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0.00007807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0.000002231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0.007618</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3.81</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0.0006978</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6.98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0.0003749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0.19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0.0000703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0.00008414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0.000002404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0.006953</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3.48</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0.000637</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6.37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0.0003166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0.16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0.00005936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0.59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0.00008633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0.000002466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0.006346</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3.17</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0.0005813</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5.81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0.0002715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0.14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0.00005091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0.51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0.0000859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0.000002454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0.002904</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1.45</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0.000266</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2.66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0.00009863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0.05</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0.00001849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0.18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0.00007111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0.000002032</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default" w:ascii="Times New Roman" w:hAnsi="Times New Roman" w:eastAsia="宋体" w:cs="Times New Roman"/>
                <w:color w:val="auto"/>
                <w:sz w:val="21"/>
                <w:szCs w:val="21"/>
                <w:lang w:val="en-US" w:eastAsia="zh-CN"/>
              </w:rPr>
              <w:t>500</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0.002188</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1.09</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0.0002004</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0.00007193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0.00001349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0.13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0.00006251</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0.03</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0.000001786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下风向最大质量浓度及占标率%</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0.009683</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4.84</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0.000887</w:t>
            </w:r>
          </w:p>
        </w:tc>
        <w:tc>
          <w:tcPr>
            <w:tcW w:w="11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8.87</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0.001524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0.76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0.0002858</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2.86</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0.00008642</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0.04</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0.000002469</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bidi="ar"/>
              </w:rPr>
              <w:t>下风向最大浓度落地距离</w:t>
            </w:r>
          </w:p>
        </w:tc>
        <w:tc>
          <w:tcPr>
            <w:tcW w:w="4508" w:type="dxa"/>
            <w:gridSpan w:val="4"/>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b/>
                <w:i/>
                <w:color w:val="auto"/>
                <w:sz w:val="21"/>
                <w:szCs w:val="21"/>
                <w:lang w:val="en-US" w:eastAsia="zh-CN"/>
              </w:rPr>
            </w:pPr>
            <w:r>
              <w:rPr>
                <w:rFonts w:hint="eastAsia" w:cs="Times New Roman"/>
                <w:b/>
                <w:i/>
                <w:color w:val="auto"/>
                <w:sz w:val="21"/>
                <w:szCs w:val="21"/>
                <w:lang w:val="en-US" w:eastAsia="zh-CN"/>
              </w:rPr>
              <w:t>440</w:t>
            </w:r>
          </w:p>
        </w:tc>
        <w:tc>
          <w:tcPr>
            <w:tcW w:w="4512" w:type="dxa"/>
            <w:gridSpan w:val="4"/>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b/>
                <w:i/>
                <w:color w:val="auto"/>
                <w:sz w:val="21"/>
                <w:szCs w:val="21"/>
                <w:lang w:val="en-US" w:eastAsia="zh-CN"/>
              </w:rPr>
            </w:pPr>
            <w:r>
              <w:rPr>
                <w:rFonts w:hint="eastAsia" w:cs="Times New Roman"/>
                <w:b/>
                <w:i/>
                <w:color w:val="auto"/>
                <w:sz w:val="21"/>
                <w:szCs w:val="21"/>
                <w:lang w:val="en-US" w:eastAsia="zh-CN"/>
              </w:rPr>
              <w:t>93</w:t>
            </w:r>
          </w:p>
        </w:tc>
        <w:tc>
          <w:tcPr>
            <w:tcW w:w="4512" w:type="dxa"/>
            <w:gridSpan w:val="4"/>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b/>
                <w:i/>
                <w:color w:val="auto"/>
                <w:sz w:val="21"/>
                <w:szCs w:val="21"/>
                <w:lang w:val="en-US" w:eastAsia="zh-CN"/>
              </w:rPr>
            </w:pPr>
            <w:r>
              <w:rPr>
                <w:rFonts w:hint="eastAsia" w:cs="Times New Roman"/>
                <w:b/>
                <w:i/>
                <w:color w:val="auto"/>
                <w:sz w:val="21"/>
                <w:szCs w:val="21"/>
                <w:lang w:val="en-US" w:eastAsia="zh-CN"/>
              </w:rPr>
              <w:t>929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84"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D10%最远距离/m</w:t>
            </w:r>
          </w:p>
        </w:tc>
        <w:tc>
          <w:tcPr>
            <w:tcW w:w="1127"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7"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7"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7"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8" w:type="dxa"/>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r>
    </w:tbl>
    <w:p>
      <w:pPr>
        <w:ind w:firstLine="480"/>
        <w:rPr>
          <w:rFonts w:hint="default" w:ascii="Times New Roman" w:hAnsi="Times New Roman" w:eastAsia="宋体" w:cs="Times New Roman"/>
          <w:color w:val="auto"/>
        </w:rPr>
        <w:sectPr>
          <w:pgSz w:w="16838" w:h="11906" w:orient="landscape"/>
          <w:pgMar w:top="1701" w:right="1304" w:bottom="1418" w:left="1134" w:header="851" w:footer="680" w:gutter="0"/>
          <w:pgBorders>
            <w:top w:val="none" w:sz="0" w:space="0"/>
            <w:left w:val="none" w:sz="0" w:space="0"/>
            <w:bottom w:val="none" w:sz="0" w:space="0"/>
            <w:right w:val="none" w:sz="0" w:space="0"/>
          </w:pgBorders>
          <w:pgNumType w:fmt="numberInDash"/>
          <w:cols w:space="720" w:num="1"/>
          <w:docGrid w:linePitch="326" w:charSpace="0"/>
        </w:sectPr>
      </w:pPr>
      <w:r>
        <w:rPr>
          <w:rFonts w:hint="default" w:ascii="Times New Roman" w:hAnsi="Times New Roman" w:eastAsia="宋体" w:cs="Times New Roman"/>
          <w:color w:val="auto"/>
        </w:rPr>
        <w:t>本次评价大气环境为二级评价，根据《环境影响评价技术导则 大气环境》（HJ2.2-2018），二级评价项目不进行进一步预测与评价，本次评价对污染物排放量进行核算。</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5.2.2.1污染物排放量核算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项目无有组织排口，本次评价核算无组织排放量，项目无组织排放量见下表。</w:t>
      </w:r>
    </w:p>
    <w:p>
      <w:pPr>
        <w:keepNext/>
        <w:keepLines/>
        <w:spacing w:before="120" w:after="120"/>
        <w:ind w:firstLine="0" w:firstLineChars="0"/>
        <w:jc w:val="center"/>
        <w:outlineLvl w:val="4"/>
        <w:rPr>
          <w:rFonts w:hint="default" w:ascii="Times New Roman" w:hAnsi="Times New Roman" w:eastAsia="宋体" w:cs="Times New Roman"/>
          <w:b/>
          <w:bCs/>
          <w:color w:val="auto"/>
          <w:szCs w:val="28"/>
        </w:rPr>
      </w:pPr>
      <w:r>
        <w:rPr>
          <w:rFonts w:hint="default" w:ascii="Times New Roman" w:hAnsi="Times New Roman" w:eastAsia="宋体" w:cs="Times New Roman"/>
          <w:b/>
          <w:bCs/>
          <w:color w:val="auto"/>
          <w:szCs w:val="28"/>
        </w:rPr>
        <w:t>表5.2-</w:t>
      </w:r>
      <w:r>
        <w:rPr>
          <w:rFonts w:hint="eastAsia" w:cs="Times New Roman"/>
          <w:b/>
          <w:bCs/>
          <w:color w:val="auto"/>
          <w:szCs w:val="28"/>
          <w:lang w:val="en-US" w:eastAsia="zh-CN"/>
        </w:rPr>
        <w:t>7</w:t>
      </w:r>
      <w:r>
        <w:rPr>
          <w:rFonts w:hint="default" w:ascii="Times New Roman" w:hAnsi="Times New Roman" w:eastAsia="宋体" w:cs="Times New Roman"/>
          <w:b/>
          <w:bCs/>
          <w:color w:val="auto"/>
          <w:szCs w:val="28"/>
        </w:rPr>
        <w:t xml:space="preserve">    大气污染物无组织排放量核算表</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37"/>
        <w:gridCol w:w="737"/>
        <w:gridCol w:w="737"/>
        <w:gridCol w:w="737"/>
        <w:gridCol w:w="2690"/>
        <w:gridCol w:w="1276"/>
        <w:gridCol w:w="992"/>
        <w:gridCol w:w="109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7"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737"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排放口编号</w:t>
            </w:r>
          </w:p>
        </w:tc>
        <w:tc>
          <w:tcPr>
            <w:tcW w:w="737"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产污环节</w:t>
            </w:r>
          </w:p>
        </w:tc>
        <w:tc>
          <w:tcPr>
            <w:tcW w:w="737"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2690"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主要污染</w:t>
            </w:r>
          </w:p>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防治措施</w:t>
            </w:r>
          </w:p>
        </w:tc>
        <w:tc>
          <w:tcPr>
            <w:tcW w:w="2268" w:type="dxa"/>
            <w:gridSpan w:val="2"/>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国家或地方污染物排放标准</w:t>
            </w:r>
          </w:p>
        </w:tc>
        <w:tc>
          <w:tcPr>
            <w:tcW w:w="1097" w:type="dxa"/>
            <w:vMerge w:val="restart"/>
            <w:shd w:val="clear" w:color="auto" w:fill="auto"/>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年排放量</w:t>
            </w:r>
          </w:p>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（t/a）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7"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737"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737"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737"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2690"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1276"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标准名称</w:t>
            </w:r>
          </w:p>
        </w:tc>
        <w:tc>
          <w:tcPr>
            <w:tcW w:w="992"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浓度限值</w:t>
            </w:r>
          </w:p>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（µg/m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097" w:type="dxa"/>
            <w:vMerge w:val="continue"/>
            <w:shd w:val="clear" w:color="auto" w:fill="auto"/>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7"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737" w:type="dxa"/>
            <w:vMerge w:val="restart"/>
            <w:shd w:val="clear" w:color="auto" w:fill="auto"/>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737" w:type="dxa"/>
            <w:vMerge w:val="restart"/>
            <w:shd w:val="clear" w:color="auto" w:fill="auto"/>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eastAsia" w:ascii="宋体" w:hAnsi="宋体" w:eastAsia="宋体" w:cs="宋体"/>
                <w:color w:val="auto"/>
                <w:kern w:val="0"/>
                <w:sz w:val="21"/>
                <w:szCs w:val="21"/>
                <w:lang w:val="en-US" w:eastAsia="zh-CN" w:bidi="ar"/>
              </w:rPr>
              <w:t>猪舍恶臭</w:t>
            </w:r>
          </w:p>
        </w:tc>
        <w:tc>
          <w:tcPr>
            <w:tcW w:w="737" w:type="dxa"/>
            <w:shd w:val="clear" w:color="auto" w:fill="auto"/>
            <w:noWrap/>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p>
        </w:tc>
        <w:tc>
          <w:tcPr>
            <w:tcW w:w="2690" w:type="dxa"/>
            <w:vMerge w:val="restart"/>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场区内采取控制饲养密度、加强舍内通风、调控喂食量、喷洒化学+ 生物除臭剂等措施降低臭气浓度</w:t>
            </w:r>
          </w:p>
        </w:tc>
        <w:tc>
          <w:tcPr>
            <w:tcW w:w="1276"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《恶臭污染物排放标准》（GB14554-93）中二级标准</w:t>
            </w:r>
          </w:p>
        </w:tc>
        <w:tc>
          <w:tcPr>
            <w:tcW w:w="992"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1500</w:t>
            </w:r>
          </w:p>
        </w:tc>
        <w:tc>
          <w:tcPr>
            <w:tcW w:w="1097" w:type="dxa"/>
            <w:shd w:val="clear" w:color="auto" w:fill="auto"/>
            <w:noWrap/>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0.193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7"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737" w:type="dxa"/>
            <w:vMerge w:val="continue"/>
            <w:shd w:val="clear" w:color="auto" w:fill="auto"/>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737" w:type="dxa"/>
            <w:vMerge w:val="continue"/>
            <w:shd w:val="clear" w:color="auto" w:fill="auto"/>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p>
        </w:tc>
        <w:tc>
          <w:tcPr>
            <w:tcW w:w="737" w:type="dxa"/>
            <w:shd w:val="clear" w:color="auto" w:fill="auto"/>
            <w:noWrap/>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S</w:t>
            </w:r>
          </w:p>
        </w:tc>
        <w:tc>
          <w:tcPr>
            <w:tcW w:w="2690" w:type="dxa"/>
            <w:vMerge w:val="continue"/>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left"/>
              <w:textAlignment w:val="center"/>
              <w:rPr>
                <w:rFonts w:hint="default" w:ascii="Times New Roman" w:hAnsi="Times New Roman" w:eastAsia="宋体" w:cs="Times New Roman"/>
                <w:color w:val="auto"/>
                <w:kern w:val="2"/>
                <w:sz w:val="21"/>
                <w:szCs w:val="21"/>
                <w:lang w:val="en-US" w:eastAsia="zh-CN" w:bidi="ar-SA"/>
              </w:rPr>
            </w:pPr>
          </w:p>
        </w:tc>
        <w:tc>
          <w:tcPr>
            <w:tcW w:w="1276"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992"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1097" w:type="dxa"/>
            <w:shd w:val="clear" w:color="auto" w:fill="auto"/>
            <w:noWrap/>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0.064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7"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737" w:type="dxa"/>
            <w:vMerge w:val="restart"/>
            <w:shd w:val="clear" w:color="auto" w:fill="auto"/>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737" w:type="dxa"/>
            <w:vMerge w:val="restart"/>
            <w:shd w:val="clear" w:color="auto" w:fill="auto"/>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晾粪台</w:t>
            </w:r>
            <w:r>
              <w:rPr>
                <w:rFonts w:hint="eastAsia" w:ascii="宋体" w:hAnsi="宋体" w:eastAsia="宋体" w:cs="宋体"/>
                <w:color w:val="auto"/>
                <w:kern w:val="0"/>
                <w:sz w:val="21"/>
                <w:szCs w:val="21"/>
                <w:lang w:val="en-US" w:eastAsia="zh-CN" w:bidi="ar"/>
              </w:rPr>
              <w:t>恶臭</w:t>
            </w:r>
          </w:p>
        </w:tc>
        <w:tc>
          <w:tcPr>
            <w:tcW w:w="737" w:type="dxa"/>
            <w:shd w:val="clear" w:color="auto" w:fill="auto"/>
            <w:noWrap/>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p>
        </w:tc>
        <w:tc>
          <w:tcPr>
            <w:tcW w:w="2690" w:type="dxa"/>
            <w:vMerge w:val="restart"/>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left"/>
              <w:textAlignment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sz w:val="21"/>
                <w:szCs w:val="21"/>
                <w:lang w:val="en-US" w:eastAsia="zh-CN"/>
              </w:rPr>
              <w:t>晾粪台</w:t>
            </w:r>
            <w:r>
              <w:rPr>
                <w:rFonts w:hint="eastAsia"/>
                <w:color w:val="auto"/>
                <w:sz w:val="21"/>
                <w:szCs w:val="21"/>
              </w:rPr>
              <w:t>定期喷洒减少氨释放和保氮的复合菌剂，</w:t>
            </w:r>
            <w:r>
              <w:rPr>
                <w:rFonts w:hint="default" w:ascii="Times New Roman" w:hAnsi="Times New Roman" w:eastAsia="宋体" w:cs="Times New Roman"/>
                <w:color w:val="auto"/>
                <w:sz w:val="21"/>
                <w:szCs w:val="21"/>
              </w:rPr>
              <w:t>通过菌类自身 繁殖达到去除臭气的目的</w:t>
            </w:r>
            <w:r>
              <w:rPr>
                <w:rFonts w:hint="eastAsia"/>
                <w:color w:val="auto"/>
                <w:sz w:val="21"/>
                <w:szCs w:val="21"/>
              </w:rPr>
              <w:t>，同时场区内加强绿化</w:t>
            </w:r>
          </w:p>
        </w:tc>
        <w:tc>
          <w:tcPr>
            <w:tcW w:w="1276"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992"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1500</w:t>
            </w:r>
          </w:p>
        </w:tc>
        <w:tc>
          <w:tcPr>
            <w:tcW w:w="1097" w:type="dxa"/>
            <w:shd w:val="clear" w:color="auto" w:fill="auto"/>
            <w:noWrap/>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snapToGrid w:val="0"/>
                <w:color w:val="FF0000"/>
                <w:kern w:val="2"/>
                <w:position w:val="-2"/>
                <w:sz w:val="21"/>
                <w:szCs w:val="21"/>
                <w:lang w:val="en-US" w:eastAsia="zh-CN" w:bidi="ar-SA"/>
              </w:rPr>
            </w:pPr>
            <w:r>
              <w:rPr>
                <w:rFonts w:hint="eastAsia"/>
                <w:snapToGrid w:val="0"/>
                <w:color w:val="FF0000"/>
                <w:position w:val="-2"/>
                <w:sz w:val="21"/>
                <w:szCs w:val="21"/>
                <w:lang w:val="en-US" w:eastAsia="zh-CN"/>
              </w:rPr>
              <w:t>0.051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7"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737" w:type="dxa"/>
            <w:vMerge w:val="continue"/>
            <w:shd w:val="clear" w:color="auto" w:fill="auto"/>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737" w:type="dxa"/>
            <w:vMerge w:val="continue"/>
            <w:shd w:val="clear" w:color="auto" w:fill="auto"/>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737" w:type="dxa"/>
            <w:shd w:val="clear" w:color="auto" w:fill="auto"/>
            <w:noWrap/>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S</w:t>
            </w:r>
          </w:p>
        </w:tc>
        <w:tc>
          <w:tcPr>
            <w:tcW w:w="2690"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1276"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992"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1097" w:type="dxa"/>
            <w:shd w:val="clear" w:color="auto" w:fill="auto"/>
            <w:noWrap/>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snapToGrid w:val="0"/>
                <w:color w:val="FF0000"/>
                <w:kern w:val="2"/>
                <w:position w:val="-2"/>
                <w:sz w:val="21"/>
                <w:szCs w:val="21"/>
                <w:lang w:val="en-US" w:eastAsia="zh-CN" w:bidi="ar-SA"/>
              </w:rPr>
            </w:pPr>
            <w:r>
              <w:rPr>
                <w:rFonts w:hint="eastAsia"/>
                <w:snapToGrid w:val="0"/>
                <w:color w:val="FF0000"/>
                <w:position w:val="-2"/>
                <w:sz w:val="21"/>
                <w:szCs w:val="21"/>
                <w:lang w:val="en-US" w:eastAsia="zh-CN"/>
              </w:rPr>
              <w:t>0.012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7" w:type="dxa"/>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737" w:type="dxa"/>
            <w:vMerge w:val="restart"/>
            <w:shd w:val="clear" w:color="auto" w:fill="auto"/>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737" w:type="dxa"/>
            <w:vMerge w:val="restart"/>
            <w:shd w:val="clear" w:color="auto" w:fill="auto"/>
            <w:vAlign w:val="center"/>
          </w:tcPr>
          <w:p>
            <w:pPr>
              <w:pStyle w:val="58"/>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氧化塘</w:t>
            </w:r>
            <w:r>
              <w:rPr>
                <w:rFonts w:hint="eastAsia" w:ascii="宋体" w:hAnsi="宋体" w:eastAsia="宋体" w:cs="宋体"/>
                <w:color w:val="auto"/>
                <w:kern w:val="0"/>
                <w:sz w:val="21"/>
                <w:szCs w:val="21"/>
                <w:lang w:val="en-US" w:eastAsia="zh-CN" w:bidi="ar"/>
              </w:rPr>
              <w:t>恶臭</w:t>
            </w:r>
          </w:p>
        </w:tc>
        <w:tc>
          <w:tcPr>
            <w:tcW w:w="737" w:type="dxa"/>
            <w:shd w:val="clear" w:color="auto" w:fill="auto"/>
            <w:noWrap/>
            <w:vAlign w:val="center"/>
          </w:tcPr>
          <w:p>
            <w:pPr>
              <w:pStyle w:val="58"/>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p>
        </w:tc>
        <w:tc>
          <w:tcPr>
            <w:tcW w:w="2690" w:type="dxa"/>
            <w:vMerge w:val="restart"/>
            <w:shd w:val="clear" w:color="auto" w:fill="auto"/>
            <w:noWrap/>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 </w:t>
            </w:r>
            <w:r>
              <w:rPr>
                <w:rFonts w:hint="eastAsia"/>
                <w:color w:val="auto"/>
                <w:sz w:val="21"/>
                <w:szCs w:val="21"/>
              </w:rPr>
              <w:t>氧化塘定期喷洒减少氨释放和保氮的复合菌剂，</w:t>
            </w:r>
            <w:r>
              <w:rPr>
                <w:rFonts w:hint="default" w:ascii="Times New Roman" w:hAnsi="Times New Roman" w:eastAsia="宋体" w:cs="Times New Roman"/>
                <w:color w:val="auto"/>
                <w:sz w:val="21"/>
                <w:szCs w:val="21"/>
              </w:rPr>
              <w:t>通过菌类自身 繁殖达到去除臭气的目的</w:t>
            </w:r>
            <w:r>
              <w:rPr>
                <w:rFonts w:hint="eastAsia"/>
                <w:color w:val="auto"/>
                <w:sz w:val="21"/>
                <w:szCs w:val="21"/>
              </w:rPr>
              <w:t>，同时场区内加强绿化</w:t>
            </w:r>
          </w:p>
        </w:tc>
        <w:tc>
          <w:tcPr>
            <w:tcW w:w="1276" w:type="dxa"/>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992"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1500</w:t>
            </w:r>
          </w:p>
        </w:tc>
        <w:tc>
          <w:tcPr>
            <w:tcW w:w="1097" w:type="dxa"/>
            <w:shd w:val="clear" w:color="auto" w:fill="auto"/>
            <w:noWrap/>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snapToGrid w:val="0"/>
                <w:color w:val="FF0000"/>
                <w:kern w:val="2"/>
                <w:position w:val="-2"/>
                <w:sz w:val="21"/>
                <w:szCs w:val="21"/>
                <w:lang w:val="en-US" w:eastAsia="zh-CN" w:bidi="ar-SA"/>
              </w:rPr>
            </w:pPr>
            <w:r>
              <w:rPr>
                <w:rFonts w:hint="eastAsia" w:ascii="Times New Roman" w:hAnsi="Times New Roman"/>
                <w:color w:val="FF0000"/>
                <w:kern w:val="2"/>
                <w:sz w:val="24"/>
                <w:szCs w:val="24"/>
                <w:lang w:val="en-US" w:eastAsia="zh-CN" w:bidi="ar-SA"/>
              </w:rPr>
              <w:t>0.</w:t>
            </w:r>
            <w:r>
              <w:rPr>
                <w:rFonts w:hint="eastAsia"/>
                <w:color w:val="FF0000"/>
                <w:kern w:val="2"/>
                <w:sz w:val="24"/>
                <w:szCs w:val="24"/>
                <w:lang w:val="en-US" w:eastAsia="zh-CN" w:bidi="ar-SA"/>
              </w:rPr>
              <w:t>085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7" w:type="dxa"/>
            <w:vMerge w:val="continue"/>
            <w:shd w:val="clear" w:color="auto" w:fill="auto"/>
            <w:noWrap/>
            <w:vAlign w:val="center"/>
          </w:tcPr>
          <w:p>
            <w:pPr>
              <w:pStyle w:val="58"/>
              <w:rPr>
                <w:color w:val="auto"/>
                <w:sz w:val="21"/>
                <w:szCs w:val="21"/>
              </w:rPr>
            </w:pPr>
          </w:p>
        </w:tc>
        <w:tc>
          <w:tcPr>
            <w:tcW w:w="737" w:type="dxa"/>
            <w:vMerge w:val="continue"/>
            <w:shd w:val="clear" w:color="auto" w:fill="auto"/>
            <w:vAlign w:val="center"/>
          </w:tcPr>
          <w:p>
            <w:pPr>
              <w:pStyle w:val="58"/>
              <w:rPr>
                <w:color w:val="auto"/>
                <w:sz w:val="21"/>
                <w:szCs w:val="21"/>
              </w:rPr>
            </w:pPr>
          </w:p>
        </w:tc>
        <w:tc>
          <w:tcPr>
            <w:tcW w:w="737" w:type="dxa"/>
            <w:vMerge w:val="continue"/>
            <w:shd w:val="clear" w:color="auto" w:fill="auto"/>
            <w:vAlign w:val="center"/>
          </w:tcPr>
          <w:p>
            <w:pPr>
              <w:pStyle w:val="58"/>
              <w:rPr>
                <w:color w:val="auto"/>
                <w:sz w:val="21"/>
                <w:szCs w:val="21"/>
              </w:rPr>
            </w:pPr>
          </w:p>
        </w:tc>
        <w:tc>
          <w:tcPr>
            <w:tcW w:w="737" w:type="dxa"/>
            <w:shd w:val="clear" w:color="auto" w:fill="auto"/>
            <w:noWrap/>
            <w:vAlign w:val="center"/>
          </w:tcPr>
          <w:p>
            <w:pPr>
              <w:pStyle w:val="58"/>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S</w:t>
            </w:r>
          </w:p>
        </w:tc>
        <w:tc>
          <w:tcPr>
            <w:tcW w:w="2690" w:type="dxa"/>
            <w:vMerge w:val="continue"/>
            <w:shd w:val="clear" w:color="auto" w:fill="auto"/>
            <w:noWrap/>
            <w:vAlign w:val="center"/>
          </w:tcPr>
          <w:p>
            <w:pPr>
              <w:pStyle w:val="58"/>
              <w:rPr>
                <w:rFonts w:hint="default" w:ascii="Times New Roman" w:hAnsi="Times New Roman" w:eastAsia="宋体" w:cs="Times New Roman"/>
                <w:color w:val="auto"/>
                <w:sz w:val="21"/>
                <w:szCs w:val="21"/>
              </w:rPr>
            </w:pPr>
          </w:p>
        </w:tc>
        <w:tc>
          <w:tcPr>
            <w:tcW w:w="1276" w:type="dxa"/>
            <w:vMerge w:val="continue"/>
            <w:shd w:val="clear" w:color="auto" w:fill="auto"/>
            <w:noWrap/>
            <w:vAlign w:val="center"/>
          </w:tcPr>
          <w:p>
            <w:pPr>
              <w:pStyle w:val="58"/>
              <w:rPr>
                <w:rFonts w:hint="default" w:ascii="Times New Roman" w:hAnsi="Times New Roman" w:eastAsia="宋体" w:cs="Times New Roman"/>
                <w:color w:val="auto"/>
                <w:sz w:val="21"/>
                <w:szCs w:val="21"/>
              </w:rPr>
            </w:pPr>
          </w:p>
        </w:tc>
        <w:tc>
          <w:tcPr>
            <w:tcW w:w="992"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60</w:t>
            </w:r>
          </w:p>
        </w:tc>
        <w:tc>
          <w:tcPr>
            <w:tcW w:w="1097" w:type="dxa"/>
            <w:shd w:val="clear" w:color="auto" w:fill="auto"/>
            <w:noWrap/>
            <w:vAlign w:val="center"/>
          </w:tcPr>
          <w:p>
            <w:pPr>
              <w:pStyle w:val="144"/>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auto"/>
              <w:rPr>
                <w:rFonts w:hint="default" w:ascii="Times New Roman" w:hAnsi="Times New Roman" w:eastAsia="宋体" w:cs="Times New Roman"/>
                <w:snapToGrid w:val="0"/>
                <w:color w:val="FF0000"/>
                <w:kern w:val="2"/>
                <w:position w:val="-2"/>
                <w:sz w:val="21"/>
                <w:szCs w:val="21"/>
                <w:lang w:val="en-US" w:eastAsia="zh-CN" w:bidi="ar-SA"/>
              </w:rPr>
            </w:pPr>
            <w:r>
              <w:rPr>
                <w:rFonts w:hint="eastAsia" w:ascii="Times New Roman" w:hAnsi="Times New Roman"/>
                <w:color w:val="FF0000"/>
                <w:kern w:val="2"/>
                <w:sz w:val="24"/>
                <w:szCs w:val="24"/>
                <w:lang w:val="en-US" w:eastAsia="zh-CN" w:bidi="ar-SA"/>
              </w:rPr>
              <w:t>0.00</w:t>
            </w:r>
            <w:r>
              <w:rPr>
                <w:rFonts w:hint="eastAsia"/>
                <w:color w:val="FF0000"/>
                <w:kern w:val="2"/>
                <w:sz w:val="24"/>
                <w:szCs w:val="24"/>
                <w:lang w:val="en-US" w:eastAsia="zh-CN" w:bidi="ar-SA"/>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003" w:type="dxa"/>
            <w:gridSpan w:val="8"/>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无组织排放总计</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474" w:type="dxa"/>
            <w:gridSpan w:val="2"/>
            <w:vMerge w:val="restart"/>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无组织排放总计</w:t>
            </w:r>
          </w:p>
        </w:tc>
        <w:tc>
          <w:tcPr>
            <w:tcW w:w="6432" w:type="dxa"/>
            <w:gridSpan w:val="5"/>
            <w:shd w:val="clear" w:color="auto" w:fill="auto"/>
            <w:noWrap/>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氨气（NH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w:t>
            </w:r>
          </w:p>
        </w:tc>
        <w:tc>
          <w:tcPr>
            <w:tcW w:w="1097"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0.329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474" w:type="dxa"/>
            <w:gridSpan w:val="2"/>
            <w:vMerge w:val="continue"/>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auto"/>
                <w:sz w:val="21"/>
                <w:szCs w:val="21"/>
              </w:rPr>
            </w:pPr>
          </w:p>
        </w:tc>
        <w:tc>
          <w:tcPr>
            <w:tcW w:w="6432" w:type="dxa"/>
            <w:gridSpan w:val="5"/>
            <w:shd w:val="clear" w:color="auto" w:fill="auto"/>
            <w:noWrap/>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硫化氢（H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S）</w:t>
            </w:r>
          </w:p>
        </w:tc>
        <w:tc>
          <w:tcPr>
            <w:tcW w:w="1097" w:type="dxa"/>
            <w:shd w:val="clear" w:color="auto" w:fill="auto"/>
            <w:noWrap/>
            <w:vAlign w:val="center"/>
          </w:tcPr>
          <w:p>
            <w:pPr>
              <w:spacing w:line="360" w:lineRule="exact"/>
              <w:ind w:firstLine="0" w:firstLineChars="0"/>
              <w:jc w:val="center"/>
              <w:textAlignment w:val="center"/>
              <w:rPr>
                <w:rFonts w:hint="default" w:ascii="Times New Roman" w:hAnsi="Times New Roman" w:eastAsia="宋体" w:cs="Times New Roman"/>
                <w:color w:val="FF0000"/>
                <w:sz w:val="21"/>
                <w:szCs w:val="21"/>
                <w:lang w:val="en-US" w:eastAsia="zh-CN"/>
              </w:rPr>
            </w:pPr>
            <w:r>
              <w:rPr>
                <w:rFonts w:hint="eastAsia" w:cs="Times New Roman"/>
                <w:color w:val="FF0000"/>
                <w:sz w:val="21"/>
                <w:szCs w:val="21"/>
                <w:lang w:val="en-US" w:eastAsia="zh-CN"/>
              </w:rPr>
              <w:t>0.079</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项目大气污染物年排放量核算见下表。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表5.2-</w:t>
      </w:r>
      <w:r>
        <w:rPr>
          <w:rFonts w:hint="eastAsia" w:cs="Times New Roman"/>
          <w:color w:val="auto"/>
          <w:lang w:val="en-US" w:eastAsia="zh-CN"/>
        </w:rPr>
        <w:t>8</w:t>
      </w:r>
      <w:r>
        <w:rPr>
          <w:rFonts w:hint="default" w:ascii="Times New Roman" w:hAnsi="Times New Roman" w:eastAsia="宋体" w:cs="Times New Roman"/>
          <w:color w:val="auto"/>
        </w:rPr>
        <w:t xml:space="preserve">    大气污染物年排放量核算表</w:t>
      </w:r>
    </w:p>
    <w:tbl>
      <w:tblPr>
        <w:tblStyle w:val="34"/>
        <w:tblW w:w="9003" w:type="dxa"/>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15" w:type="dxa"/>
          <w:left w:w="108" w:type="dxa"/>
          <w:bottom w:w="15" w:type="dxa"/>
          <w:right w:w="108" w:type="dxa"/>
        </w:tblCellMar>
      </w:tblPr>
      <w:tblGrid>
        <w:gridCol w:w="2323"/>
        <w:gridCol w:w="3635"/>
        <w:gridCol w:w="3045"/>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16" w:hRule="atLeast"/>
        </w:trPr>
        <w:tc>
          <w:tcPr>
            <w:tcW w:w="232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序号</w:t>
            </w:r>
          </w:p>
        </w:tc>
        <w:tc>
          <w:tcPr>
            <w:tcW w:w="363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污染物</w:t>
            </w:r>
          </w:p>
        </w:tc>
        <w:tc>
          <w:tcPr>
            <w:tcW w:w="304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年排放量/（t/a）</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16" w:hRule="atLeast"/>
        </w:trPr>
        <w:tc>
          <w:tcPr>
            <w:tcW w:w="232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w:t>
            </w:r>
          </w:p>
        </w:tc>
        <w:tc>
          <w:tcPr>
            <w:tcW w:w="363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氨气（NH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w:t>
            </w:r>
          </w:p>
        </w:tc>
        <w:tc>
          <w:tcPr>
            <w:tcW w:w="3045" w:type="dxa"/>
            <w:vAlign w:val="center"/>
          </w:tcPr>
          <w:p>
            <w:pPr>
              <w:spacing w:line="360" w:lineRule="exact"/>
              <w:ind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0.329</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16" w:hRule="atLeast"/>
        </w:trPr>
        <w:tc>
          <w:tcPr>
            <w:tcW w:w="232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w:t>
            </w:r>
          </w:p>
        </w:tc>
        <w:tc>
          <w:tcPr>
            <w:tcW w:w="363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硫化氢（H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w:t>
            </w:r>
          </w:p>
        </w:tc>
        <w:tc>
          <w:tcPr>
            <w:tcW w:w="3045" w:type="dxa"/>
            <w:vAlign w:val="center"/>
          </w:tcPr>
          <w:p>
            <w:pPr>
              <w:spacing w:line="360" w:lineRule="exact"/>
              <w:ind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sz w:val="21"/>
                <w:szCs w:val="21"/>
                <w:lang w:val="en-US" w:eastAsia="zh-CN"/>
              </w:rPr>
              <w:t>0.079</w:t>
            </w:r>
          </w:p>
        </w:tc>
      </w:tr>
    </w:tbl>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5.2.2.2大气环境防护距离</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本项目场区通过在饲料中加入EM添加剂以及添加除臭剂，减少粪便中氨氮的排放、减轻恶臭；</w:t>
      </w:r>
      <w:r>
        <w:rPr>
          <w:rFonts w:hint="eastAsia" w:cs="Times New Roman"/>
          <w:color w:val="auto"/>
          <w:lang w:eastAsia="zh-CN"/>
        </w:rPr>
        <w:t>猪舍</w:t>
      </w:r>
      <w:r>
        <w:rPr>
          <w:rFonts w:hint="default" w:ascii="Times New Roman" w:hAnsi="Times New Roman" w:eastAsia="宋体" w:cs="Times New Roman"/>
          <w:color w:val="auto"/>
        </w:rPr>
        <w:t>设置通风口，同时用植物处理液喷洒</w:t>
      </w:r>
      <w:r>
        <w:rPr>
          <w:rFonts w:hint="eastAsia" w:cs="Times New Roman"/>
          <w:color w:val="auto"/>
          <w:lang w:eastAsia="zh-CN"/>
        </w:rPr>
        <w:t>猪舍</w:t>
      </w:r>
      <w:r>
        <w:rPr>
          <w:rFonts w:hint="default" w:ascii="Times New Roman" w:hAnsi="Times New Roman" w:eastAsia="宋体" w:cs="Times New Roman"/>
          <w:color w:val="auto"/>
        </w:rPr>
        <w:t>、</w:t>
      </w:r>
      <w:r>
        <w:rPr>
          <w:rFonts w:hint="eastAsia" w:cs="Times New Roman"/>
          <w:color w:val="auto"/>
          <w:lang w:eastAsia="zh-CN"/>
        </w:rPr>
        <w:t>晾粪台</w:t>
      </w:r>
      <w:r>
        <w:rPr>
          <w:rFonts w:hint="default" w:ascii="Times New Roman" w:hAnsi="Times New Roman" w:eastAsia="宋体" w:cs="Times New Roman"/>
          <w:color w:val="auto"/>
        </w:rPr>
        <w:t>等除臭；根据估算模式预测结果，大气环境影响评价等级为二级，厂界外无超标点，且敏感点预测值能够满足环境功能区划要求，因此无需设置大气环境防护距离。</w:t>
      </w:r>
    </w:p>
    <w:p>
      <w:pPr>
        <w:pStyle w:val="6"/>
        <w:rPr>
          <w:rFonts w:hint="default" w:ascii="Times New Roman" w:hAnsi="Times New Roman" w:eastAsia="宋体" w:cs="Times New Roman"/>
          <w:color w:val="auto"/>
        </w:rPr>
      </w:pPr>
      <w:bookmarkStart w:id="329" w:name="_Toc46421133"/>
      <w:bookmarkStart w:id="330" w:name="_Toc32226"/>
      <w:r>
        <w:rPr>
          <w:rFonts w:hint="default" w:ascii="Times New Roman" w:hAnsi="Times New Roman" w:eastAsia="宋体" w:cs="Times New Roman"/>
          <w:color w:val="auto"/>
        </w:rPr>
        <w:t>5.2.3大气环境影响评价结论与建议</w:t>
      </w:r>
      <w:bookmarkEnd w:id="329"/>
      <w:bookmarkEnd w:id="33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（1）达标区环境可接受性</w:t>
      </w:r>
    </w:p>
    <w:p>
      <w:pPr>
        <w:spacing w:line="52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采取的污染防治措施有效、可行，排放的大气污染物对环境影响较小，根据估算模式预测结果，大气环境影响评价等级为二级，厂界外无超标点，且敏感点预测值能够满足环境功能区划要求。项目正常情况排放的大气污染物对大气环境影响可接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（2）污染物排放量核算结果</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w:t>
      </w:r>
      <w:r>
        <w:rPr>
          <w:rFonts w:hint="eastAsia" w:cs="Times New Roman"/>
          <w:color w:val="auto"/>
          <w:lang w:val="en-US" w:eastAsia="zh-CN"/>
        </w:rPr>
        <w:t>项目不需</w:t>
      </w:r>
      <w:r>
        <w:rPr>
          <w:rFonts w:hint="default" w:ascii="Times New Roman" w:hAnsi="Times New Roman" w:eastAsia="宋体" w:cs="Times New Roman"/>
          <w:color w:val="auto"/>
        </w:rPr>
        <w:t>总量申请。</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（3）大气环境影响评价自查</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本次评价对大气环境影响评价主要内容与结论进行自查，自查结果见下表。</w:t>
      </w:r>
    </w:p>
    <w:p>
      <w:pPr>
        <w:ind w:firstLine="480"/>
        <w:rPr>
          <w:rFonts w:hint="default" w:ascii="Times New Roman" w:hAnsi="Times New Roman" w:eastAsia="宋体" w:cs="Times New Roman"/>
          <w:color w:val="auto"/>
        </w:rPr>
        <w:sectPr>
          <w:pgSz w:w="11906" w:h="16838"/>
          <w:pgMar w:top="1304" w:right="1418" w:bottom="1134"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表5.2-</w:t>
      </w:r>
      <w:r>
        <w:rPr>
          <w:rFonts w:hint="eastAsia" w:cs="Times New Roman"/>
          <w:color w:val="auto"/>
          <w:lang w:val="en-US" w:eastAsia="zh-CN"/>
        </w:rPr>
        <w:t>9</w:t>
      </w:r>
      <w:r>
        <w:rPr>
          <w:rFonts w:hint="default" w:ascii="Times New Roman" w:hAnsi="Times New Roman" w:eastAsia="宋体" w:cs="Times New Roman"/>
          <w:color w:val="auto"/>
        </w:rPr>
        <w:t xml:space="preserve">    建设项目大气环境影响评价自查表</w:t>
      </w:r>
    </w:p>
    <w:tbl>
      <w:tblPr>
        <w:tblStyle w:val="34"/>
        <w:tblW w:w="14389"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15" w:type="dxa"/>
          <w:left w:w="108" w:type="dxa"/>
          <w:bottom w:w="15" w:type="dxa"/>
          <w:right w:w="108" w:type="dxa"/>
        </w:tblCellMar>
      </w:tblPr>
      <w:tblGrid>
        <w:gridCol w:w="1218"/>
        <w:gridCol w:w="2151"/>
        <w:gridCol w:w="1302"/>
        <w:gridCol w:w="1105"/>
        <w:gridCol w:w="1030"/>
        <w:gridCol w:w="714"/>
        <w:gridCol w:w="1695"/>
        <w:gridCol w:w="2046"/>
        <w:gridCol w:w="1252"/>
        <w:gridCol w:w="1876"/>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3369"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工作内容</w:t>
            </w:r>
          </w:p>
        </w:tc>
        <w:tc>
          <w:tcPr>
            <w:tcW w:w="11020" w:type="dxa"/>
            <w:gridSpan w:val="8"/>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自查项目</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评价等级与范围</w:t>
            </w: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评价等级</w:t>
            </w:r>
          </w:p>
        </w:tc>
        <w:tc>
          <w:tcPr>
            <w:tcW w:w="4151" w:type="dxa"/>
            <w:gridSpan w:val="4"/>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一级</w:t>
            </w:r>
            <w:r>
              <w:rPr>
                <w:rFonts w:hint="default" w:ascii="Times New Roman" w:hAnsi="Times New Roman" w:eastAsia="宋体" w:cs="Times New Roman"/>
                <w:color w:val="auto"/>
                <w:sz w:val="28"/>
                <w:szCs w:val="28"/>
              </w:rPr>
              <w:t>□</w:t>
            </w:r>
          </w:p>
        </w:tc>
        <w:tc>
          <w:tcPr>
            <w:tcW w:w="3741"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二级</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三级</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评价范围</w:t>
            </w:r>
          </w:p>
        </w:tc>
        <w:tc>
          <w:tcPr>
            <w:tcW w:w="4151" w:type="dxa"/>
            <w:gridSpan w:val="4"/>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边长=50km</w:t>
            </w:r>
            <w:r>
              <w:rPr>
                <w:rFonts w:hint="default" w:ascii="Times New Roman" w:hAnsi="Times New Roman" w:eastAsia="宋体" w:cs="Times New Roman"/>
                <w:color w:val="auto"/>
                <w:sz w:val="28"/>
                <w:szCs w:val="28"/>
              </w:rPr>
              <w:t>□</w:t>
            </w:r>
          </w:p>
        </w:tc>
        <w:tc>
          <w:tcPr>
            <w:tcW w:w="3741"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边长=5~50km</w:t>
            </w:r>
            <w:r>
              <w:rPr>
                <w:rFonts w:hint="default" w:ascii="Times New Roman" w:hAnsi="Times New Roman" w:eastAsia="宋体" w:cs="Times New Roman"/>
                <w:color w:val="auto"/>
                <w:sz w:val="28"/>
                <w:szCs w:val="28"/>
              </w:rPr>
              <w:t>□</w:t>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边长=5km</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评价因子</w:t>
            </w: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SO</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+NOx排放量</w:t>
            </w:r>
          </w:p>
        </w:tc>
        <w:tc>
          <w:tcPr>
            <w:tcW w:w="2407"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≥2000t/a</w:t>
            </w:r>
            <w:r>
              <w:rPr>
                <w:rFonts w:hint="default" w:ascii="Times New Roman" w:hAnsi="Times New Roman" w:eastAsia="宋体" w:cs="Times New Roman"/>
                <w:color w:val="auto"/>
                <w:sz w:val="28"/>
                <w:szCs w:val="28"/>
              </w:rPr>
              <w:t>□</w:t>
            </w:r>
          </w:p>
        </w:tc>
        <w:tc>
          <w:tcPr>
            <w:tcW w:w="3439"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500~2000t/a</w:t>
            </w:r>
            <w:r>
              <w:rPr>
                <w:rFonts w:hint="default" w:ascii="Times New Roman" w:hAnsi="Times New Roman" w:eastAsia="宋体" w:cs="Times New Roman"/>
                <w:color w:val="auto"/>
                <w:sz w:val="28"/>
                <w:szCs w:val="28"/>
              </w:rPr>
              <w:t>□</w:t>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&lt;500t/a</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评价因子</w:t>
            </w:r>
          </w:p>
        </w:tc>
        <w:tc>
          <w:tcPr>
            <w:tcW w:w="5846" w:type="dxa"/>
            <w:gridSpan w:val="5"/>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基本污染物（SO</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、NO</w:t>
            </w:r>
            <w:r>
              <w:rPr>
                <w:rFonts w:hint="default" w:ascii="Times New Roman" w:hAnsi="Times New Roman" w:eastAsia="宋体" w:cs="Times New Roman"/>
                <w:color w:val="auto"/>
                <w:vertAlign w:val="subscript"/>
              </w:rPr>
              <w:t>X</w:t>
            </w:r>
            <w:r>
              <w:rPr>
                <w:rFonts w:hint="default" w:ascii="Times New Roman" w:hAnsi="Times New Roman" w:eastAsia="宋体" w:cs="Times New Roman"/>
                <w:color w:val="auto"/>
              </w:rPr>
              <w:t>、O</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、CO、PM</w:t>
            </w:r>
            <w:r>
              <w:rPr>
                <w:rFonts w:hint="default" w:ascii="Times New Roman" w:hAnsi="Times New Roman" w:eastAsia="宋体" w:cs="Times New Roman"/>
                <w:color w:val="auto"/>
                <w:vertAlign w:val="subscript"/>
              </w:rPr>
              <w:t>10</w:t>
            </w:r>
            <w:r>
              <w:rPr>
                <w:rFonts w:hint="default" w:ascii="Times New Roman" w:hAnsi="Times New Roman" w:eastAsia="宋体" w:cs="Times New Roman"/>
                <w:color w:val="auto"/>
              </w:rPr>
              <w:t>、PM</w:t>
            </w:r>
            <w:r>
              <w:rPr>
                <w:rFonts w:hint="default" w:ascii="Times New Roman" w:hAnsi="Times New Roman" w:eastAsia="宋体" w:cs="Times New Roman"/>
                <w:color w:val="auto"/>
                <w:vertAlign w:val="subscript"/>
              </w:rPr>
              <w:t>2.5</w:t>
            </w:r>
            <w:r>
              <w:rPr>
                <w:rFonts w:hint="default" w:ascii="Times New Roman" w:hAnsi="Times New Roman" w:eastAsia="宋体" w:cs="Times New Roman"/>
                <w:color w:val="auto"/>
              </w:rPr>
              <w:t>）</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其他污染物（氨气、硫化氢）</w:t>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包括二次PM2.5</w:t>
            </w:r>
            <w:r>
              <w:rPr>
                <w:rFonts w:hint="default" w:ascii="Times New Roman" w:hAnsi="Times New Roman" w:eastAsia="宋体" w:cs="Times New Roman"/>
                <w:color w:val="auto"/>
                <w:sz w:val="28"/>
                <w:szCs w:val="28"/>
              </w:rPr>
              <w:t>□</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不包括二次PM2.5</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评价标准</w:t>
            </w: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评价标准</w:t>
            </w:r>
          </w:p>
        </w:tc>
        <w:tc>
          <w:tcPr>
            <w:tcW w:w="3437"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国家标准</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c>
          <w:tcPr>
            <w:tcW w:w="2409"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地方标准</w:t>
            </w:r>
            <w:r>
              <w:rPr>
                <w:rFonts w:hint="default" w:ascii="Times New Roman" w:hAnsi="Times New Roman" w:eastAsia="宋体" w:cs="Times New Roman"/>
                <w:color w:val="auto"/>
                <w:sz w:val="28"/>
                <w:szCs w:val="28"/>
              </w:rPr>
              <w:t>□</w:t>
            </w:r>
          </w:p>
        </w:tc>
        <w:tc>
          <w:tcPr>
            <w:tcW w:w="2046"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附录D</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其他标准</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sz w:val="28"/>
                <w:szCs w:val="28"/>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现状评价</w:t>
            </w: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评价功能区</w:t>
            </w:r>
          </w:p>
        </w:tc>
        <w:tc>
          <w:tcPr>
            <w:tcW w:w="4151" w:type="dxa"/>
            <w:gridSpan w:val="4"/>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一类区</w:t>
            </w:r>
            <w:r>
              <w:rPr>
                <w:rFonts w:hint="default" w:ascii="Times New Roman" w:hAnsi="Times New Roman" w:eastAsia="宋体" w:cs="Times New Roman"/>
                <w:color w:val="auto"/>
                <w:sz w:val="28"/>
                <w:szCs w:val="28"/>
              </w:rPr>
              <w:t>□</w:t>
            </w:r>
          </w:p>
        </w:tc>
        <w:tc>
          <w:tcPr>
            <w:tcW w:w="3741"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二类区</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一类区和二类区</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评价基准年</w:t>
            </w:r>
          </w:p>
        </w:tc>
        <w:tc>
          <w:tcPr>
            <w:tcW w:w="11020" w:type="dxa"/>
            <w:gridSpan w:val="8"/>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（2019）年</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环境空气质量现状调查数据来源</w:t>
            </w:r>
          </w:p>
        </w:tc>
        <w:tc>
          <w:tcPr>
            <w:tcW w:w="4151" w:type="dxa"/>
            <w:gridSpan w:val="4"/>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长期例行监测数据</w:t>
            </w:r>
            <w:r>
              <w:rPr>
                <w:rFonts w:hint="default" w:ascii="Times New Roman" w:hAnsi="Times New Roman" w:eastAsia="宋体" w:cs="Times New Roman"/>
                <w:color w:val="auto"/>
                <w:sz w:val="28"/>
                <w:szCs w:val="28"/>
              </w:rPr>
              <w:t>□</w:t>
            </w:r>
          </w:p>
        </w:tc>
        <w:tc>
          <w:tcPr>
            <w:tcW w:w="3741"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主管部门发布的数据□</w:t>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现状补充监测</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现状评价</w:t>
            </w:r>
          </w:p>
        </w:tc>
        <w:tc>
          <w:tcPr>
            <w:tcW w:w="5846" w:type="dxa"/>
            <w:gridSpan w:val="5"/>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达标区</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sz w:val="28"/>
                <w:szCs w:val="28"/>
              </w:rPr>
              <w:fldChar w:fldCharType="end"/>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不达标区</w:t>
            </w:r>
            <w:r>
              <w:rPr>
                <w:rFonts w:hint="default" w:ascii="Times New Roman" w:hAnsi="Times New Roman" w:eastAsia="宋体" w:cs="Times New Roman"/>
                <w:color w:val="auto"/>
                <w:sz w:val="28"/>
                <w:szCs w:val="28"/>
              </w:rPr>
              <w:sym w:font="Wingdings 2" w:char="0052"/>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污染源调查</w:t>
            </w: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调查内容</w:t>
            </w:r>
          </w:p>
        </w:tc>
        <w:tc>
          <w:tcPr>
            <w:tcW w:w="3437" w:type="dxa"/>
            <w:gridSpan w:val="3"/>
            <w:vAlign w:val="center"/>
          </w:tcPr>
          <w:p>
            <w:pPr>
              <w:pStyle w:val="58"/>
              <w:rPr>
                <w:rFonts w:hint="default" w:ascii="Times New Roman" w:hAnsi="Times New Roman" w:eastAsia="宋体" w:cs="Times New Roman"/>
                <w:color w:val="auto"/>
                <w:szCs w:val="24"/>
              </w:rPr>
            </w:pPr>
            <w:r>
              <w:rPr>
                <w:rFonts w:hint="default" w:ascii="Times New Roman" w:hAnsi="Times New Roman" w:eastAsia="宋体" w:cs="Times New Roman"/>
                <w:color w:val="auto"/>
              </w:rPr>
              <w:t>本项目正常排放源</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本项目非正常排放源</w:t>
            </w:r>
            <w:r>
              <w:rPr>
                <w:rFonts w:hint="default" w:ascii="Times New Roman" w:hAnsi="Times New Roman" w:eastAsia="宋体" w:cs="Times New Roman"/>
                <w:color w:val="auto"/>
                <w:sz w:val="28"/>
                <w:szCs w:val="28"/>
              </w:rPr>
              <w:t>□</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原批复污染源</w:t>
            </w:r>
            <w:r>
              <w:rPr>
                <w:rFonts w:hint="default" w:ascii="Times New Roman" w:hAnsi="Times New Roman" w:eastAsia="宋体" w:cs="Times New Roman"/>
                <w:color w:val="auto"/>
                <w:sz w:val="28"/>
                <w:szCs w:val="28"/>
              </w:rPr>
              <w:t>□</w:t>
            </w:r>
          </w:p>
        </w:tc>
        <w:tc>
          <w:tcPr>
            <w:tcW w:w="2409"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拟替代的污染源</w:t>
            </w:r>
            <w:r>
              <w:rPr>
                <w:rFonts w:hint="default" w:ascii="Times New Roman" w:hAnsi="Times New Roman" w:eastAsia="宋体" w:cs="Times New Roman"/>
                <w:color w:val="auto"/>
                <w:sz w:val="28"/>
                <w:szCs w:val="28"/>
              </w:rPr>
              <w:t>□</w:t>
            </w:r>
          </w:p>
        </w:tc>
        <w:tc>
          <w:tcPr>
            <w:tcW w:w="2046"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其他在建、拟建项目污染源</w:t>
            </w:r>
            <w:r>
              <w:rPr>
                <w:rFonts w:hint="default" w:ascii="Times New Roman" w:hAnsi="Times New Roman" w:eastAsia="宋体" w:cs="Times New Roman"/>
                <w:color w:val="auto"/>
                <w:sz w:val="28"/>
                <w:szCs w:val="28"/>
              </w:rPr>
              <w:t>□</w:t>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区域污染源</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大气环境影响预测与评价</w:t>
            </w: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预测模型</w:t>
            </w:r>
          </w:p>
        </w:tc>
        <w:tc>
          <w:tcPr>
            <w:tcW w:w="1302"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AERMOD</w:t>
            </w:r>
          </w:p>
          <w:p>
            <w:pPr>
              <w:pStyle w:val="58"/>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w:t>
            </w:r>
          </w:p>
        </w:tc>
        <w:tc>
          <w:tcPr>
            <w:tcW w:w="110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ADMS</w:t>
            </w:r>
          </w:p>
          <w:p>
            <w:pPr>
              <w:pStyle w:val="58"/>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w:t>
            </w:r>
          </w:p>
        </w:tc>
        <w:tc>
          <w:tcPr>
            <w:tcW w:w="1744"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AUSTAL2000</w:t>
            </w:r>
          </w:p>
          <w:p>
            <w:pPr>
              <w:pStyle w:val="58"/>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w:t>
            </w:r>
          </w:p>
        </w:tc>
        <w:tc>
          <w:tcPr>
            <w:tcW w:w="169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EDMS/AEDT</w:t>
            </w:r>
          </w:p>
          <w:p>
            <w:pPr>
              <w:pStyle w:val="58"/>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w:t>
            </w:r>
          </w:p>
        </w:tc>
        <w:tc>
          <w:tcPr>
            <w:tcW w:w="2046"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CALPUFF</w:t>
            </w:r>
          </w:p>
          <w:p>
            <w:pPr>
              <w:pStyle w:val="58"/>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w:t>
            </w:r>
          </w:p>
        </w:tc>
        <w:tc>
          <w:tcPr>
            <w:tcW w:w="1252"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网格模型</w:t>
            </w:r>
          </w:p>
          <w:p>
            <w:pPr>
              <w:pStyle w:val="58"/>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w:t>
            </w:r>
          </w:p>
        </w:tc>
        <w:tc>
          <w:tcPr>
            <w:tcW w:w="1876"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其他</w:t>
            </w:r>
          </w:p>
          <w:p>
            <w:pPr>
              <w:pStyle w:val="58"/>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预测范围</w:t>
            </w:r>
          </w:p>
        </w:tc>
        <w:tc>
          <w:tcPr>
            <w:tcW w:w="4151" w:type="dxa"/>
            <w:gridSpan w:val="4"/>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边长≥50km</w:t>
            </w:r>
            <w:r>
              <w:rPr>
                <w:rFonts w:hint="default" w:ascii="Times New Roman" w:hAnsi="Times New Roman" w:eastAsia="宋体" w:cs="Times New Roman"/>
                <w:color w:val="auto"/>
                <w:sz w:val="28"/>
                <w:szCs w:val="28"/>
              </w:rPr>
              <w:t>□</w:t>
            </w:r>
          </w:p>
        </w:tc>
        <w:tc>
          <w:tcPr>
            <w:tcW w:w="3741"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边长5~50km</w:t>
            </w:r>
            <w:r>
              <w:rPr>
                <w:rFonts w:hint="default" w:ascii="Times New Roman" w:hAnsi="Times New Roman" w:eastAsia="宋体" w:cs="Times New Roman"/>
                <w:color w:val="auto"/>
                <w:sz w:val="28"/>
                <w:szCs w:val="28"/>
              </w:rPr>
              <w:t>□</w:t>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边长=5km</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预测因子</w:t>
            </w:r>
          </w:p>
        </w:tc>
        <w:tc>
          <w:tcPr>
            <w:tcW w:w="5846" w:type="dxa"/>
            <w:gridSpan w:val="5"/>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预测因子（氨气、硫化氢）</w:t>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包括二次PM</w:t>
            </w:r>
            <w:r>
              <w:rPr>
                <w:rFonts w:hint="default" w:ascii="Times New Roman" w:hAnsi="Times New Roman" w:eastAsia="宋体" w:cs="Times New Roman"/>
                <w:color w:val="auto"/>
                <w:vertAlign w:val="subscript"/>
              </w:rPr>
              <w:t>2.5</w:t>
            </w:r>
            <w:r>
              <w:rPr>
                <w:rFonts w:hint="default" w:ascii="Times New Roman" w:hAnsi="Times New Roman" w:eastAsia="宋体" w:cs="Times New Roman"/>
                <w:color w:val="auto"/>
                <w:sz w:val="28"/>
                <w:szCs w:val="28"/>
              </w:rPr>
              <w:t>□</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不包括二次PM</w:t>
            </w:r>
            <w:r>
              <w:rPr>
                <w:rFonts w:hint="default" w:ascii="Times New Roman" w:hAnsi="Times New Roman" w:eastAsia="宋体" w:cs="Times New Roman"/>
                <w:color w:val="auto"/>
                <w:vertAlign w:val="subscript"/>
              </w:rPr>
              <w:t>2.5</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正常排放短期浓度贡献值</w:t>
            </w:r>
          </w:p>
        </w:tc>
        <w:tc>
          <w:tcPr>
            <w:tcW w:w="5846" w:type="dxa"/>
            <w:gridSpan w:val="5"/>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C本项目最大占标率≤100%</w:t>
            </w:r>
            <w:r>
              <w:rPr>
                <w:rFonts w:hint="default" w:ascii="Times New Roman" w:hAnsi="Times New Roman" w:eastAsia="宋体" w:cs="Times New Roman"/>
                <w:color w:val="auto"/>
                <w:sz w:val="28"/>
                <w:szCs w:val="28"/>
              </w:rPr>
              <w:t>□</w:t>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C本项目最大占标率&gt;100%</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正常排放年均浓度贡献值</w:t>
            </w:r>
          </w:p>
        </w:tc>
        <w:tc>
          <w:tcPr>
            <w:tcW w:w="2407"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一类区</w:t>
            </w:r>
          </w:p>
        </w:tc>
        <w:tc>
          <w:tcPr>
            <w:tcW w:w="3439"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本项目</w:t>
            </w:r>
            <w:r>
              <w:rPr>
                <w:rFonts w:hint="default" w:ascii="Times New Roman" w:hAnsi="Times New Roman" w:eastAsia="宋体" w:cs="Times New Roman"/>
                <w:color w:val="auto"/>
              </w:rPr>
              <w:t>最大占标率≤10%</w:t>
            </w:r>
            <w:r>
              <w:rPr>
                <w:rFonts w:hint="default" w:ascii="Times New Roman" w:hAnsi="Times New Roman" w:eastAsia="宋体" w:cs="Times New Roman"/>
                <w:color w:val="auto"/>
                <w:sz w:val="28"/>
                <w:szCs w:val="28"/>
              </w:rPr>
              <w:t>□</w:t>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本项目</w:t>
            </w:r>
            <w:r>
              <w:rPr>
                <w:rFonts w:hint="default" w:ascii="Times New Roman" w:hAnsi="Times New Roman" w:eastAsia="宋体" w:cs="Times New Roman"/>
                <w:color w:val="auto"/>
              </w:rPr>
              <w:t>最大占标率&gt;10%</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Merge w:val="continue"/>
            <w:vAlign w:val="center"/>
          </w:tcPr>
          <w:p>
            <w:pPr>
              <w:pStyle w:val="58"/>
              <w:rPr>
                <w:rFonts w:hint="default" w:ascii="Times New Roman" w:hAnsi="Times New Roman" w:eastAsia="宋体" w:cs="Times New Roman"/>
                <w:color w:val="auto"/>
              </w:rPr>
            </w:pPr>
          </w:p>
        </w:tc>
        <w:tc>
          <w:tcPr>
            <w:tcW w:w="2407"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二类区</w:t>
            </w:r>
          </w:p>
        </w:tc>
        <w:tc>
          <w:tcPr>
            <w:tcW w:w="3439"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本项目</w:t>
            </w:r>
            <w:r>
              <w:rPr>
                <w:rFonts w:hint="default" w:ascii="Times New Roman" w:hAnsi="Times New Roman" w:eastAsia="宋体" w:cs="Times New Roman"/>
                <w:color w:val="auto"/>
              </w:rPr>
              <w:t>最大占标率≤30%</w:t>
            </w:r>
            <w:r>
              <w:rPr>
                <w:rFonts w:hint="default" w:ascii="Times New Roman" w:hAnsi="Times New Roman" w:eastAsia="宋体" w:cs="Times New Roman"/>
                <w:color w:val="auto"/>
                <w:sz w:val="28"/>
                <w:szCs w:val="28"/>
              </w:rPr>
              <w:t>□</w:t>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本项目</w:t>
            </w:r>
            <w:r>
              <w:rPr>
                <w:rFonts w:hint="default" w:ascii="Times New Roman" w:hAnsi="Times New Roman" w:eastAsia="宋体" w:cs="Times New Roman"/>
                <w:color w:val="auto"/>
              </w:rPr>
              <w:t>最大占标率&gt;30%</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非正常1h浓度贡献值</w:t>
            </w:r>
          </w:p>
        </w:tc>
        <w:tc>
          <w:tcPr>
            <w:tcW w:w="3437"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非正常持续时长（ ）h</w:t>
            </w:r>
          </w:p>
        </w:tc>
        <w:tc>
          <w:tcPr>
            <w:tcW w:w="4455"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非正常</w:t>
            </w:r>
            <w:r>
              <w:rPr>
                <w:rFonts w:hint="default" w:ascii="Times New Roman" w:hAnsi="Times New Roman" w:eastAsia="宋体" w:cs="Times New Roman"/>
                <w:color w:val="auto"/>
              </w:rPr>
              <w:t>占标率≤100%</w:t>
            </w:r>
            <w:r>
              <w:rPr>
                <w:rFonts w:hint="default" w:ascii="Times New Roman" w:hAnsi="Times New Roman" w:eastAsia="宋体" w:cs="Times New Roman"/>
                <w:color w:val="auto"/>
                <w:sz w:val="28"/>
                <w:szCs w:val="28"/>
              </w:rPr>
              <w:t>□</w:t>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非正常</w:t>
            </w:r>
            <w:r>
              <w:rPr>
                <w:rFonts w:hint="default" w:ascii="Times New Roman" w:hAnsi="Times New Roman" w:eastAsia="宋体" w:cs="Times New Roman"/>
                <w:color w:val="auto"/>
              </w:rPr>
              <w:t>占标率&gt;100%</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保证率日平均浓度和年平均浓度叠加值</w:t>
            </w:r>
          </w:p>
        </w:tc>
        <w:tc>
          <w:tcPr>
            <w:tcW w:w="5846" w:type="dxa"/>
            <w:gridSpan w:val="5"/>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叠加</w:t>
            </w:r>
            <w:r>
              <w:rPr>
                <w:rFonts w:hint="default" w:ascii="Times New Roman" w:hAnsi="Times New Roman" w:eastAsia="宋体" w:cs="Times New Roman"/>
                <w:color w:val="auto"/>
              </w:rPr>
              <w:t>达标</w:t>
            </w:r>
            <w:r>
              <w:rPr>
                <w:rFonts w:hint="default" w:ascii="Times New Roman" w:hAnsi="Times New Roman" w:eastAsia="宋体" w:cs="Times New Roman"/>
                <w:color w:val="auto"/>
                <w:sz w:val="28"/>
                <w:szCs w:val="28"/>
              </w:rPr>
              <w:t>□</w:t>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叠加</w:t>
            </w:r>
            <w:r>
              <w:rPr>
                <w:rFonts w:hint="default" w:ascii="Times New Roman" w:hAnsi="Times New Roman" w:eastAsia="宋体" w:cs="Times New Roman"/>
                <w:color w:val="auto"/>
              </w:rPr>
              <w:t>不达标</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区域环境质量的整体变化情况</w:t>
            </w:r>
          </w:p>
        </w:tc>
        <w:tc>
          <w:tcPr>
            <w:tcW w:w="5846" w:type="dxa"/>
            <w:gridSpan w:val="5"/>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k≤-20%</w:t>
            </w:r>
            <w:r>
              <w:rPr>
                <w:rFonts w:hint="default" w:ascii="Times New Roman" w:hAnsi="Times New Roman" w:eastAsia="宋体" w:cs="Times New Roman"/>
                <w:color w:val="auto"/>
                <w:sz w:val="28"/>
                <w:szCs w:val="28"/>
              </w:rPr>
              <w:t>□</w:t>
            </w:r>
          </w:p>
        </w:tc>
        <w:tc>
          <w:tcPr>
            <w:tcW w:w="5174"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k&gt;-20%</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环境监测计划</w:t>
            </w: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污染源监测</w:t>
            </w:r>
          </w:p>
        </w:tc>
        <w:tc>
          <w:tcPr>
            <w:tcW w:w="4151" w:type="dxa"/>
            <w:gridSpan w:val="4"/>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监测因子：（氨气、硫化氢、臭气浓度）</w:t>
            </w:r>
          </w:p>
        </w:tc>
        <w:tc>
          <w:tcPr>
            <w:tcW w:w="3741"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有组织废气监测</w:t>
            </w:r>
            <w:r>
              <w:rPr>
                <w:rFonts w:hint="default" w:ascii="Times New Roman" w:hAnsi="Times New Roman" w:eastAsia="宋体" w:cs="Times New Roman"/>
                <w:color w:val="auto"/>
                <w:sz w:val="28"/>
                <w:szCs w:val="28"/>
              </w:rPr>
              <w:t>□</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无组织废气监测</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无监测</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环境质量监测</w:t>
            </w:r>
          </w:p>
        </w:tc>
        <w:tc>
          <w:tcPr>
            <w:tcW w:w="4151" w:type="dxa"/>
            <w:gridSpan w:val="4"/>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监测因子：（）</w:t>
            </w:r>
          </w:p>
        </w:tc>
        <w:tc>
          <w:tcPr>
            <w:tcW w:w="3741"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监测点位数（）</w:t>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无监测</w:t>
            </w:r>
            <w:r>
              <w:rPr>
                <w:rFonts w:hint="default" w:ascii="Times New Roman" w:hAnsi="Times New Roman" w:eastAsia="宋体" w:cs="Times New Roman"/>
                <w:color w:val="auto"/>
                <w:sz w:val="28"/>
                <w:szCs w:val="28"/>
              </w:rPr>
              <w:sym w:font="Wingdings 2" w:char="0052"/>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评价结论</w:t>
            </w: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环境影响</w:t>
            </w:r>
          </w:p>
        </w:tc>
        <w:tc>
          <w:tcPr>
            <w:tcW w:w="11020" w:type="dxa"/>
            <w:gridSpan w:val="8"/>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可以接受</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eq \o\ac(□,</w:instrText>
            </w:r>
            <w:r>
              <w:rPr>
                <w:rFonts w:hint="default" w:ascii="Times New Roman" w:hAnsi="Times New Roman" w:eastAsia="宋体" w:cs="Times New Roman"/>
                <w:color w:val="auto"/>
                <w:position w:val="2"/>
                <w:sz w:val="28"/>
                <w:szCs w:val="28"/>
              </w:rPr>
              <w:instrText xml:space="preserve">√</w:instrText>
            </w:r>
            <w:r>
              <w:rPr>
                <w:rFonts w:hint="default" w:ascii="Times New Roman" w:hAnsi="Times New Roman" w:eastAsia="宋体" w:cs="Times New Roman"/>
                <w:color w:val="auto"/>
                <w:sz w:val="28"/>
                <w:szCs w:val="28"/>
              </w:rPr>
              <w:instrText xml:space="preserve">)</w:instrText>
            </w:r>
            <w:r>
              <w:rPr>
                <w:rFonts w:hint="default" w:ascii="Times New Roman" w:hAnsi="Times New Roman" w:eastAsia="宋体" w:cs="Times New Roman"/>
                <w:color w:val="auto"/>
                <w:sz w:val="28"/>
                <w:szCs w:val="28"/>
              </w:rPr>
              <w:fldChar w:fldCharType="end"/>
            </w:r>
            <w:r>
              <w:rPr>
                <w:rFonts w:hint="default" w:ascii="Times New Roman" w:hAnsi="Times New Roman" w:eastAsia="宋体" w:cs="Times New Roman"/>
                <w:color w:val="auto"/>
              </w:rPr>
              <w:t xml:space="preserve">            不可以接受</w:t>
            </w:r>
            <w:r>
              <w:rPr>
                <w:rFonts w:hint="default" w:ascii="Times New Roman" w:hAnsi="Times New Roman" w:eastAsia="宋体" w:cs="Times New Roman"/>
                <w:color w:val="auto"/>
                <w:sz w:val="28"/>
                <w:szCs w:val="28"/>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大气环境防护距离</w:t>
            </w:r>
          </w:p>
        </w:tc>
        <w:tc>
          <w:tcPr>
            <w:tcW w:w="11020" w:type="dxa"/>
            <w:gridSpan w:val="8"/>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距（    )厂界最远（    ）m</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218" w:type="dxa"/>
            <w:vMerge w:val="continue"/>
            <w:vAlign w:val="center"/>
          </w:tcPr>
          <w:p>
            <w:pPr>
              <w:pStyle w:val="58"/>
              <w:rPr>
                <w:rFonts w:hint="default" w:ascii="Times New Roman" w:hAnsi="Times New Roman" w:eastAsia="宋体" w:cs="Times New Roman"/>
                <w:color w:val="auto"/>
              </w:rPr>
            </w:pPr>
          </w:p>
        </w:tc>
        <w:tc>
          <w:tcPr>
            <w:tcW w:w="215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污染源年排放量</w:t>
            </w:r>
          </w:p>
        </w:tc>
        <w:tc>
          <w:tcPr>
            <w:tcW w:w="3437" w:type="dxa"/>
            <w:gridSpan w:val="3"/>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SO</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 )t/a</w:t>
            </w:r>
          </w:p>
        </w:tc>
        <w:tc>
          <w:tcPr>
            <w:tcW w:w="2409"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NOx:( )t/a</w:t>
            </w:r>
          </w:p>
        </w:tc>
        <w:tc>
          <w:tcPr>
            <w:tcW w:w="2046"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颗粒物:()t/a</w:t>
            </w:r>
          </w:p>
        </w:tc>
        <w:tc>
          <w:tcPr>
            <w:tcW w:w="312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VOCs:( )t/a</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jc w:val="center"/>
        </w:trPr>
        <w:tc>
          <w:tcPr>
            <w:tcW w:w="14389" w:type="dxa"/>
            <w:gridSpan w:val="10"/>
            <w:vAlign w:val="center"/>
          </w:tcPr>
          <w:p>
            <w:pPr>
              <w:pStyle w:val="58"/>
              <w:jc w:val="left"/>
              <w:rPr>
                <w:rFonts w:hint="default" w:ascii="Times New Roman" w:hAnsi="Times New Roman" w:eastAsia="宋体" w:cs="Times New Roman"/>
                <w:color w:val="auto"/>
              </w:rPr>
            </w:pPr>
            <w:r>
              <w:rPr>
                <w:rFonts w:hint="default" w:ascii="Times New Roman" w:hAnsi="Times New Roman" w:eastAsia="宋体" w:cs="Times New Roman"/>
                <w:color w:val="auto"/>
              </w:rPr>
              <w:t>注：“□”，填“√”；“（  ）”为内容填写项</w:t>
            </w:r>
          </w:p>
        </w:tc>
      </w:tr>
    </w:tbl>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sectPr>
          <w:pgSz w:w="16838" w:h="11906" w:orient="landscape"/>
          <w:pgMar w:top="1418" w:right="1247" w:bottom="1701" w:left="1418"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5"/>
        <w:rPr>
          <w:rFonts w:hint="default" w:ascii="Times New Roman" w:hAnsi="Times New Roman" w:eastAsia="宋体" w:cs="Times New Roman"/>
          <w:color w:val="auto"/>
        </w:rPr>
      </w:pPr>
      <w:bookmarkStart w:id="331" w:name="_Toc9169"/>
      <w:r>
        <w:rPr>
          <w:rFonts w:hint="default" w:ascii="Times New Roman" w:hAnsi="Times New Roman" w:eastAsia="宋体" w:cs="Times New Roman"/>
          <w:color w:val="auto"/>
        </w:rPr>
        <w:t>5.3运营期地表水环境影响分析</w:t>
      </w:r>
      <w:bookmarkEnd w:id="331"/>
    </w:p>
    <w:p>
      <w:pPr>
        <w:pStyle w:val="6"/>
        <w:rPr>
          <w:rFonts w:hint="default" w:ascii="Times New Roman" w:hAnsi="Times New Roman" w:eastAsia="宋体" w:cs="Times New Roman"/>
          <w:color w:val="auto"/>
        </w:rPr>
      </w:pPr>
      <w:bookmarkStart w:id="332" w:name="_Toc46421135"/>
      <w:bookmarkStart w:id="333" w:name="_Toc2322"/>
      <w:r>
        <w:rPr>
          <w:rFonts w:hint="default" w:ascii="Times New Roman" w:hAnsi="Times New Roman" w:eastAsia="宋体" w:cs="Times New Roman"/>
          <w:color w:val="auto"/>
        </w:rPr>
        <w:t>5.3.1水污染控制和水环境影响减缓措施有效性评价</w:t>
      </w:r>
      <w:bookmarkEnd w:id="332"/>
      <w:bookmarkEnd w:id="333"/>
    </w:p>
    <w:p>
      <w:pPr>
        <w:keepNext w:val="0"/>
        <w:keepLines w:val="0"/>
        <w:pageBreakBefore w:val="0"/>
        <w:widowControl/>
        <w:suppressLineNumbers w:val="0"/>
        <w:kinsoku/>
        <w:wordWrap/>
        <w:overflowPunct/>
        <w:topLinePunct/>
        <w:autoSpaceDE w:val="0"/>
        <w:autoSpaceDN/>
        <w:bidi w:val="0"/>
        <w:adjustRightInd/>
        <w:snapToGrid/>
        <w:spacing w:line="480" w:lineRule="exact"/>
        <w:jc w:val="left"/>
        <w:textAlignment w:val="auto"/>
        <w:rPr>
          <w:rFonts w:hint="eastAsia" w:ascii="Times New Roman" w:hAnsi="Times New Roman" w:eastAsia="宋体" w:cs="Times New Roman"/>
          <w:color w:val="FF0000"/>
          <w:lang w:eastAsia="zh-CN"/>
        </w:rPr>
      </w:pPr>
      <w:r>
        <w:rPr>
          <w:rFonts w:hint="default" w:ascii="Times New Roman" w:hAnsi="Times New Roman" w:eastAsia="宋体" w:cs="Times New Roman"/>
          <w:color w:val="auto"/>
        </w:rPr>
        <w:t>（1）</w:t>
      </w:r>
      <w:r>
        <w:rPr>
          <w:rFonts w:hint="eastAsia" w:ascii="宋体" w:hAnsi="宋体" w:eastAsia="宋体" w:cs="宋体"/>
          <w:color w:val="auto"/>
          <w:kern w:val="0"/>
          <w:sz w:val="24"/>
          <w:szCs w:val="24"/>
          <w:lang w:val="en-US" w:eastAsia="zh-CN" w:bidi="ar"/>
        </w:rPr>
        <w:t>猪粪尿：猪尿液产生量参考《畜禽养殖污染防治最佳可行技术指南》（试行），该指南中猪的排尿量按</w:t>
      </w:r>
      <w:r>
        <w:rPr>
          <w:rFonts w:hint="default" w:ascii="Times New Roman" w:hAnsi="Times New Roman" w:eastAsia="宋体" w:cs="Times New Roman"/>
          <w:color w:val="auto"/>
          <w:kern w:val="0"/>
          <w:sz w:val="24"/>
          <w:szCs w:val="24"/>
          <w:lang w:val="en-US" w:eastAsia="zh-CN" w:bidi="ar"/>
        </w:rPr>
        <w:t>Yu=0.205+0.438W</w:t>
      </w:r>
      <w:r>
        <w:rPr>
          <w:rFonts w:hint="eastAsia" w:ascii="宋体" w:hAnsi="宋体" w:eastAsia="宋体" w:cs="宋体"/>
          <w:color w:val="auto"/>
          <w:kern w:val="0"/>
          <w:sz w:val="24"/>
          <w:szCs w:val="24"/>
          <w:lang w:val="en-US" w:eastAsia="zh-CN" w:bidi="ar"/>
        </w:rPr>
        <w:t>计算（</w:t>
      </w:r>
      <w:r>
        <w:rPr>
          <w:rFonts w:hint="default" w:ascii="Times New Roman" w:hAnsi="Times New Roman" w:eastAsia="宋体" w:cs="Times New Roman"/>
          <w:color w:val="auto"/>
          <w:kern w:val="0"/>
          <w:sz w:val="24"/>
          <w:szCs w:val="24"/>
          <w:lang w:val="en-US" w:eastAsia="zh-CN" w:bidi="ar"/>
        </w:rPr>
        <w:t>Yu</w:t>
      </w:r>
      <w:r>
        <w:rPr>
          <w:rFonts w:hint="eastAsia" w:ascii="宋体" w:hAnsi="宋体" w:eastAsia="宋体" w:cs="宋体"/>
          <w:color w:val="auto"/>
          <w:kern w:val="0"/>
          <w:sz w:val="24"/>
          <w:szCs w:val="24"/>
          <w:lang w:val="en-US" w:eastAsia="zh-CN" w:bidi="ar"/>
        </w:rPr>
        <w:t xml:space="preserve">：尿排泄量 </w:t>
      </w:r>
      <w:r>
        <w:rPr>
          <w:rFonts w:hint="default" w:ascii="Times New Roman" w:hAnsi="Times New Roman" w:eastAsia="宋体" w:cs="Times New Roman"/>
          <w:color w:val="auto"/>
          <w:kern w:val="0"/>
          <w:sz w:val="24"/>
          <w:szCs w:val="24"/>
          <w:lang w:val="en-US" w:eastAsia="zh-CN" w:bidi="ar"/>
        </w:rPr>
        <w:t>kg</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W</w:t>
      </w:r>
      <w:r>
        <w:rPr>
          <w:rFonts w:hint="eastAsia" w:ascii="宋体" w:hAnsi="宋体" w:eastAsia="宋体" w:cs="宋体"/>
          <w:color w:val="auto"/>
          <w:kern w:val="0"/>
          <w:sz w:val="24"/>
          <w:szCs w:val="24"/>
          <w:lang w:val="en-US" w:eastAsia="zh-CN" w:bidi="ar"/>
        </w:rPr>
        <w:t xml:space="preserve">：饮水量 </w:t>
      </w:r>
      <w:r>
        <w:rPr>
          <w:rFonts w:hint="default" w:ascii="Times New Roman" w:hAnsi="Times New Roman" w:eastAsia="宋体" w:cs="Times New Roman"/>
          <w:color w:val="auto"/>
          <w:kern w:val="0"/>
          <w:sz w:val="24"/>
          <w:szCs w:val="24"/>
          <w:lang w:val="en-US" w:eastAsia="zh-CN" w:bidi="ar"/>
        </w:rPr>
        <w:t>kg</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FF0000"/>
          <w:sz w:val="24"/>
          <w:szCs w:val="24"/>
        </w:rPr>
        <w:t>育肥猪饮水量按照6L/头•日计算</w:t>
      </w:r>
      <w:r>
        <w:rPr>
          <w:rFonts w:hint="eastAsia" w:ascii="宋体" w:hAnsi="宋体" w:eastAsia="宋体" w:cs="宋体"/>
          <w:color w:val="FF0000"/>
          <w:kern w:val="0"/>
          <w:sz w:val="24"/>
          <w:szCs w:val="24"/>
          <w:lang w:val="en-US" w:eastAsia="zh-CN" w:bidi="ar"/>
        </w:rPr>
        <w:t>，故育肥猪的排尿量为</w:t>
      </w:r>
      <w:r>
        <w:rPr>
          <w:rFonts w:hint="eastAsia" w:cs="Times New Roman"/>
          <w:color w:val="FF0000"/>
          <w:kern w:val="0"/>
          <w:sz w:val="24"/>
          <w:szCs w:val="24"/>
          <w:lang w:val="en-US" w:eastAsia="zh-CN" w:bidi="ar"/>
        </w:rPr>
        <w:t>2.833</w:t>
      </w:r>
      <w:r>
        <w:rPr>
          <w:rFonts w:hint="default" w:ascii="Times New Roman" w:hAnsi="Times New Roman" w:eastAsia="宋体" w:cs="Times New Roman"/>
          <w:color w:val="FF0000"/>
          <w:kern w:val="0"/>
          <w:sz w:val="24"/>
          <w:szCs w:val="24"/>
          <w:lang w:val="en-US" w:eastAsia="zh-CN" w:bidi="ar"/>
        </w:rPr>
        <w:t>kg/</w:t>
      </w:r>
      <w:r>
        <w:rPr>
          <w:rFonts w:hint="eastAsia" w:ascii="宋体" w:hAnsi="宋体" w:eastAsia="宋体" w:cs="宋体"/>
          <w:color w:val="FF0000"/>
          <w:kern w:val="0"/>
          <w:sz w:val="24"/>
          <w:szCs w:val="24"/>
          <w:lang w:val="en-US" w:eastAsia="zh-CN" w:bidi="ar"/>
        </w:rPr>
        <w:t>（头</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）。本项目年存栏量为</w:t>
      </w:r>
      <w:r>
        <w:rPr>
          <w:rFonts w:hint="eastAsia" w:ascii="Times New Roman" w:hAnsi="Times New Roman" w:cs="Times New Roman"/>
          <w:color w:val="FF0000"/>
          <w:kern w:val="0"/>
          <w:sz w:val="24"/>
          <w:szCs w:val="24"/>
          <w:lang w:val="en-US" w:eastAsia="zh-CN" w:bidi="ar"/>
        </w:rPr>
        <w:t>88</w:t>
      </w:r>
      <w:r>
        <w:rPr>
          <w:rFonts w:hint="default" w:ascii="Times New Roman" w:hAnsi="Times New Roman" w:eastAsia="宋体" w:cs="Times New Roman"/>
          <w:color w:val="FF0000"/>
          <w:kern w:val="0"/>
          <w:sz w:val="24"/>
          <w:szCs w:val="24"/>
          <w:lang w:val="en-US" w:eastAsia="zh-CN" w:bidi="ar"/>
        </w:rPr>
        <w:t>00</w:t>
      </w:r>
      <w:r>
        <w:rPr>
          <w:rFonts w:hint="eastAsia" w:ascii="宋体" w:hAnsi="宋体" w:eastAsia="宋体" w:cs="宋体"/>
          <w:color w:val="FF0000"/>
          <w:kern w:val="0"/>
          <w:sz w:val="24"/>
          <w:szCs w:val="24"/>
          <w:lang w:val="en-US" w:eastAsia="zh-CN" w:bidi="ar"/>
        </w:rPr>
        <w:t>头育肥猪，故项目育肥猪尿产生量为</w:t>
      </w:r>
      <w:r>
        <w:rPr>
          <w:rFonts w:hint="eastAsia" w:ascii="宋体" w:hAnsi="宋体" w:cs="宋体"/>
          <w:color w:val="FF0000"/>
          <w:kern w:val="0"/>
          <w:sz w:val="24"/>
          <w:szCs w:val="24"/>
          <w:lang w:val="en-US" w:eastAsia="zh-CN" w:bidi="ar"/>
        </w:rPr>
        <w:t>24.93</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kern w:val="0"/>
          <w:sz w:val="24"/>
          <w:szCs w:val="24"/>
          <w:lang w:val="en-US" w:eastAsia="zh-CN" w:bidi="ar"/>
        </w:rPr>
        <w:t>9099.45</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eastAsia" w:ascii="Times New Roman" w:hAnsi="Times New Roman" w:cs="Times New Roman"/>
          <w:color w:val="FF0000"/>
          <w:kern w:val="0"/>
          <w:sz w:val="24"/>
          <w:szCs w:val="24"/>
          <w:lang w:val="en-US" w:eastAsia="zh-CN" w:bidi="ar"/>
        </w:rPr>
        <w:t>/a</w:t>
      </w:r>
      <w:r>
        <w:rPr>
          <w:rFonts w:hint="eastAsia" w:ascii="宋体" w:hAnsi="宋体" w:eastAsia="宋体" w:cs="宋体"/>
          <w:color w:val="FF0000"/>
          <w:kern w:val="0"/>
          <w:sz w:val="24"/>
          <w:szCs w:val="24"/>
          <w:lang w:val="en-US" w:eastAsia="zh-CN" w:bidi="ar"/>
        </w:rPr>
        <w:t>）</w:t>
      </w:r>
      <w:r>
        <w:rPr>
          <w:rFonts w:hint="eastAsia" w:ascii="宋体" w:hAnsi="宋体" w:cs="宋体"/>
          <w:color w:val="FF0000"/>
          <w:kern w:val="0"/>
          <w:sz w:val="24"/>
          <w:szCs w:val="24"/>
          <w:lang w:val="en-US" w:eastAsia="zh-CN" w:bidi="ar"/>
        </w:rPr>
        <w:t>，</w:t>
      </w:r>
      <w:r>
        <w:rPr>
          <w:rFonts w:hint="default" w:ascii="Times New Roman" w:hAnsi="Times New Roman" w:eastAsia="宋体" w:cs="Times New Roman"/>
          <w:color w:val="FF0000"/>
        </w:rPr>
        <w:t>排入氧化塘内发酵6个月，处理后的液肥用于还田</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ascii="Times New Roman" w:hAnsi="Times New Roman" w:eastAsia="宋体" w:cs="Times New Roman"/>
          <w:color w:val="FF0000"/>
          <w:lang w:eastAsia="zh-CN"/>
        </w:rPr>
      </w:pPr>
      <w:r>
        <w:rPr>
          <w:rFonts w:hint="default" w:ascii="Times New Roman" w:hAnsi="Times New Roman" w:eastAsia="宋体" w:cs="Times New Roman"/>
          <w:color w:val="FF0000"/>
        </w:rPr>
        <w:t>（</w:t>
      </w:r>
      <w:r>
        <w:rPr>
          <w:rFonts w:hint="eastAsia" w:cs="Times New Roman"/>
          <w:color w:val="FF0000"/>
          <w:lang w:val="en-US" w:eastAsia="zh-CN"/>
        </w:rPr>
        <w:t>2</w:t>
      </w:r>
      <w:r>
        <w:rPr>
          <w:rFonts w:hint="default" w:ascii="Times New Roman" w:hAnsi="Times New Roman" w:eastAsia="宋体" w:cs="Times New Roman"/>
          <w:color w:val="FF0000"/>
        </w:rPr>
        <w:t>）</w:t>
      </w:r>
      <w:r>
        <w:rPr>
          <w:rFonts w:hint="eastAsia" w:cs="Times New Roman"/>
          <w:color w:val="FF0000"/>
          <w:sz w:val="24"/>
          <w:szCs w:val="24"/>
          <w:lang w:eastAsia="zh-CN"/>
        </w:rPr>
        <w:t>猪舍降温</w:t>
      </w:r>
      <w:r>
        <w:rPr>
          <w:rFonts w:hint="eastAsia" w:cs="Times New Roman"/>
          <w:color w:val="FF0000"/>
          <w:sz w:val="24"/>
          <w:szCs w:val="24"/>
          <w:lang w:val="en-US" w:eastAsia="zh-CN"/>
        </w:rPr>
        <w:t>废</w:t>
      </w:r>
      <w:r>
        <w:rPr>
          <w:rFonts w:hint="eastAsia" w:cs="Times New Roman"/>
          <w:color w:val="FF0000"/>
          <w:sz w:val="24"/>
          <w:szCs w:val="24"/>
          <w:lang w:eastAsia="zh-CN"/>
        </w:rPr>
        <w:t>水：</w:t>
      </w:r>
      <w:r>
        <w:rPr>
          <w:rFonts w:hint="default" w:ascii="Times New Roman" w:hAnsi="Times New Roman" w:eastAsia="宋体" w:cs="Times New Roman"/>
          <w:color w:val="FF0000"/>
        </w:rPr>
        <w:t>降温水帘系统用水循环使用，无废水排放</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cs="Times New Roman"/>
          <w:color w:val="FF0000"/>
          <w:lang w:eastAsia="zh-CN"/>
        </w:rPr>
      </w:pPr>
      <w:r>
        <w:rPr>
          <w:rFonts w:hint="eastAsia" w:cs="Times New Roman"/>
          <w:color w:val="FF0000"/>
          <w:lang w:eastAsia="zh-CN"/>
        </w:rPr>
        <w:t>（</w:t>
      </w:r>
      <w:r>
        <w:rPr>
          <w:rFonts w:hint="eastAsia" w:cs="Times New Roman"/>
          <w:color w:val="FF0000"/>
          <w:lang w:val="en-US" w:eastAsia="zh-CN"/>
        </w:rPr>
        <w:t>3</w:t>
      </w:r>
      <w:r>
        <w:rPr>
          <w:rFonts w:hint="eastAsia" w:cs="Times New Roman"/>
          <w:color w:val="FF0000"/>
          <w:lang w:eastAsia="zh-CN"/>
        </w:rPr>
        <w:t>）猪舍粪污管道冲洗废水：</w:t>
      </w:r>
      <w:r>
        <w:rPr>
          <w:rFonts w:hint="eastAsia" w:cs="Times New Roman"/>
          <w:color w:val="FF0000"/>
          <w:lang w:val="en-US" w:eastAsia="zh-CN"/>
        </w:rPr>
        <w:t>8座</w:t>
      </w:r>
      <w:r>
        <w:rPr>
          <w:rFonts w:hint="eastAsia" w:cs="Times New Roman"/>
          <w:color w:val="FF0000"/>
          <w:lang w:eastAsia="zh-CN"/>
        </w:rPr>
        <w:t>猪舍粪污管道冲洗用水量为</w:t>
      </w:r>
      <w:r>
        <w:rPr>
          <w:rFonts w:hint="eastAsia" w:cs="Times New Roman"/>
          <w:color w:val="FF0000"/>
          <w:lang w:val="en-US" w:eastAsia="zh-CN"/>
        </w:rPr>
        <w:t>16</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5840m</w:t>
      </w:r>
      <w:r>
        <w:rPr>
          <w:rFonts w:hint="eastAsia" w:cs="Times New Roman"/>
          <w:color w:val="FF0000"/>
          <w:vertAlign w:val="superscript"/>
          <w:lang w:val="en-US" w:eastAsia="zh-CN"/>
        </w:rPr>
        <w:t>3</w:t>
      </w:r>
      <w:r>
        <w:rPr>
          <w:rFonts w:hint="eastAsia" w:cs="Times New Roman"/>
          <w:color w:val="FF0000"/>
          <w:lang w:val="en-US" w:eastAsia="zh-CN"/>
        </w:rPr>
        <w:t>/a</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w:t>
      </w:r>
      <w:r>
        <w:rPr>
          <w:rFonts w:hint="default" w:ascii="Times New Roman" w:hAnsi="Times New Roman" w:eastAsia="宋体" w:cs="Times New Roman"/>
          <w:color w:val="FF0000"/>
        </w:rPr>
        <w:t>冲洗过程中约有</w:t>
      </w:r>
      <w:r>
        <w:rPr>
          <w:rFonts w:hint="eastAsia" w:cs="Times New Roman"/>
          <w:color w:val="FF0000"/>
          <w:lang w:val="en-US" w:eastAsia="zh-CN"/>
        </w:rPr>
        <w:t>1</w:t>
      </w:r>
      <w:r>
        <w:rPr>
          <w:rFonts w:hint="default" w:ascii="Times New Roman" w:hAnsi="Times New Roman" w:eastAsia="宋体" w:cs="Times New Roman"/>
          <w:color w:val="FF0000"/>
        </w:rPr>
        <w:t>0%蒸发，剩余</w:t>
      </w:r>
      <w:r>
        <w:rPr>
          <w:rFonts w:hint="eastAsia" w:cs="Times New Roman"/>
          <w:color w:val="FF0000"/>
          <w:lang w:val="en-US" w:eastAsia="zh-CN"/>
        </w:rPr>
        <w:t>9</w:t>
      </w:r>
      <w:r>
        <w:rPr>
          <w:rFonts w:hint="default" w:ascii="Times New Roman" w:hAnsi="Times New Roman" w:eastAsia="宋体" w:cs="Times New Roman"/>
          <w:color w:val="FF0000"/>
        </w:rPr>
        <w:t>0%冲洗废水</w:t>
      </w:r>
      <w:r>
        <w:rPr>
          <w:rFonts w:hint="eastAsia" w:cs="Times New Roman"/>
          <w:color w:val="FF0000"/>
          <w:lang w:eastAsia="zh-CN"/>
        </w:rPr>
        <w:t>排</w:t>
      </w:r>
      <w:r>
        <w:rPr>
          <w:rFonts w:hint="default" w:ascii="Times New Roman" w:hAnsi="Times New Roman" w:eastAsia="宋体" w:cs="Times New Roman"/>
          <w:color w:val="FF0000"/>
        </w:rPr>
        <w:t>到化粪池内，废水产生量为</w:t>
      </w:r>
      <w:r>
        <w:rPr>
          <w:rFonts w:hint="eastAsia" w:cs="Times New Roman"/>
          <w:color w:val="FF0000"/>
          <w:lang w:val="en-US" w:eastAsia="zh-CN"/>
        </w:rPr>
        <w:t>14.4</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5256m</w:t>
      </w:r>
      <w:r>
        <w:rPr>
          <w:rFonts w:hint="eastAsia" w:cs="Times New Roman"/>
          <w:color w:val="FF0000"/>
          <w:vertAlign w:val="superscript"/>
          <w:lang w:val="en-US" w:eastAsia="zh-CN"/>
        </w:rPr>
        <w:t>3</w:t>
      </w:r>
      <w:r>
        <w:rPr>
          <w:rFonts w:hint="eastAsia" w:cs="Times New Roman"/>
          <w:color w:val="FF0000"/>
          <w:lang w:val="en-US" w:eastAsia="zh-CN"/>
        </w:rPr>
        <w:t>/a</w:t>
      </w:r>
      <w:r>
        <w:rPr>
          <w:rFonts w:hint="eastAsia" w:ascii="宋体" w:hAnsi="宋体" w:eastAsia="宋体" w:cs="宋体"/>
          <w:color w:val="FF0000"/>
          <w:kern w:val="0"/>
          <w:sz w:val="24"/>
          <w:szCs w:val="24"/>
          <w:lang w:val="en-US" w:eastAsia="zh-CN" w:bidi="ar"/>
        </w:rPr>
        <w:t>）</w:t>
      </w:r>
      <w:r>
        <w:rPr>
          <w:rFonts w:hint="eastAsia" w:cs="Times New Roman"/>
          <w:color w:val="FF0000"/>
          <w:lang w:eastAsia="zh-CN"/>
        </w:rPr>
        <w:t>，</w:t>
      </w:r>
      <w:r>
        <w:rPr>
          <w:rFonts w:hint="default" w:ascii="Times New Roman" w:hAnsi="Times New Roman" w:eastAsia="宋体" w:cs="Times New Roman"/>
          <w:color w:val="FF0000"/>
        </w:rPr>
        <w:t>排入氧化塘内发酵6个月，处理后的液肥用于还田</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FF0000"/>
        </w:rPr>
      </w:pPr>
      <w:r>
        <w:rPr>
          <w:rFonts w:hint="eastAsia" w:cs="Times New Roman"/>
          <w:color w:val="FF0000"/>
          <w:lang w:eastAsia="zh-CN"/>
        </w:rPr>
        <w:t>（</w:t>
      </w:r>
      <w:r>
        <w:rPr>
          <w:rFonts w:hint="eastAsia" w:cs="Times New Roman"/>
          <w:color w:val="FF0000"/>
          <w:lang w:val="en-US" w:eastAsia="zh-CN"/>
        </w:rPr>
        <w:t>4</w:t>
      </w:r>
      <w:r>
        <w:rPr>
          <w:rFonts w:hint="eastAsia" w:cs="Times New Roman"/>
          <w:color w:val="FF0000"/>
          <w:lang w:eastAsia="zh-CN"/>
        </w:rPr>
        <w:t>）</w:t>
      </w:r>
      <w:r>
        <w:rPr>
          <w:rFonts w:hint="default" w:ascii="Times New Roman" w:hAnsi="Times New Roman" w:eastAsia="宋体" w:cs="Times New Roman"/>
          <w:color w:val="FF0000"/>
        </w:rPr>
        <w:t>洗消中心洗车废水、消毒废水</w:t>
      </w:r>
      <w:r>
        <w:rPr>
          <w:rFonts w:hint="eastAsia" w:cs="Times New Roman"/>
          <w:color w:val="FF0000"/>
          <w:lang w:eastAsia="zh-CN"/>
        </w:rPr>
        <w:t>：洗消中心洗车废水、消毒废水经沉淀池处理后，上清液循环使用，不外排</w:t>
      </w:r>
      <w:r>
        <w:rPr>
          <w:rFonts w:hint="default" w:ascii="Times New Roman" w:hAnsi="Times New Roman" w:eastAsia="宋体" w:cs="Times New Roman"/>
          <w:color w:val="FF0000"/>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ascii="Times New Roman" w:hAnsi="Times New Roman" w:eastAsia="宋体" w:cs="Times New Roman"/>
          <w:color w:val="FF0000"/>
          <w:lang w:eastAsia="zh-CN"/>
        </w:rPr>
      </w:pPr>
      <w:r>
        <w:rPr>
          <w:rFonts w:hint="eastAsia" w:cs="Times New Roman"/>
          <w:color w:val="FF0000"/>
          <w:lang w:eastAsia="zh-CN"/>
        </w:rPr>
        <w:t>（</w:t>
      </w:r>
      <w:r>
        <w:rPr>
          <w:rFonts w:hint="eastAsia" w:cs="Times New Roman"/>
          <w:color w:val="FF0000"/>
          <w:lang w:val="en-US" w:eastAsia="zh-CN"/>
        </w:rPr>
        <w:t>5</w:t>
      </w:r>
      <w:r>
        <w:rPr>
          <w:rFonts w:hint="eastAsia" w:cs="Times New Roman"/>
          <w:color w:val="FF0000"/>
          <w:lang w:eastAsia="zh-CN"/>
        </w:rPr>
        <w:t>）</w:t>
      </w:r>
      <w:r>
        <w:rPr>
          <w:rFonts w:hint="default" w:ascii="Times New Roman" w:hAnsi="Times New Roman" w:eastAsia="宋体" w:cs="Times New Roman"/>
          <w:color w:val="FF0000"/>
        </w:rPr>
        <w:t>生活污水</w:t>
      </w:r>
      <w:r>
        <w:rPr>
          <w:rFonts w:hint="eastAsia" w:cs="Times New Roman"/>
          <w:color w:val="FF0000"/>
          <w:lang w:eastAsia="zh-CN"/>
        </w:rPr>
        <w:t>：</w:t>
      </w:r>
      <w:r>
        <w:rPr>
          <w:rFonts w:hint="eastAsia" w:cs="Times New Roman"/>
          <w:color w:val="FF0000"/>
          <w:lang w:val="en-US" w:eastAsia="zh-CN"/>
        </w:rPr>
        <w:t>施工生活污水</w:t>
      </w:r>
      <w:r>
        <w:rPr>
          <w:rFonts w:hint="default" w:ascii="Times New Roman" w:hAnsi="Times New Roman" w:eastAsia="宋体" w:cs="Times New Roman"/>
          <w:color w:val="FF0000"/>
        </w:rPr>
        <w:t>排放按用水量的80%计，</w:t>
      </w:r>
      <w:r>
        <w:rPr>
          <w:rFonts w:hint="eastAsia" w:cs="Times New Roman"/>
          <w:color w:val="FF0000"/>
          <w:lang w:val="en-US" w:eastAsia="zh-CN"/>
        </w:rPr>
        <w:t>则生活污水产生</w:t>
      </w:r>
      <w:r>
        <w:rPr>
          <w:rFonts w:hint="default" w:ascii="Times New Roman" w:hAnsi="Times New Roman" w:eastAsia="宋体" w:cs="Times New Roman"/>
          <w:color w:val="FF0000"/>
        </w:rPr>
        <w:t>量</w:t>
      </w:r>
      <w:r>
        <w:rPr>
          <w:rFonts w:hint="eastAsia" w:cs="Times New Roman"/>
          <w:color w:val="FF0000"/>
          <w:lang w:val="en-US" w:eastAsia="zh-CN"/>
        </w:rPr>
        <w:t>2.4</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/d</w:t>
      </w:r>
      <w:r>
        <w:rPr>
          <w:rFonts w:hint="eastAsia" w:cs="Times New Roman"/>
          <w:color w:val="FF0000"/>
          <w:lang w:eastAsia="zh-CN"/>
        </w:rPr>
        <w:t>（</w:t>
      </w:r>
      <w:r>
        <w:rPr>
          <w:rFonts w:hint="eastAsia" w:cs="Times New Roman"/>
          <w:color w:val="FF0000"/>
          <w:lang w:val="en-US" w:eastAsia="zh-CN"/>
        </w:rPr>
        <w:t>876</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/a</w:t>
      </w:r>
      <w:r>
        <w:rPr>
          <w:rFonts w:hint="eastAsia" w:cs="Times New Roman"/>
          <w:color w:val="FF0000"/>
          <w:lang w:eastAsia="zh-CN"/>
        </w:rPr>
        <w:t>）</w:t>
      </w:r>
      <w:r>
        <w:rPr>
          <w:rFonts w:hint="default" w:ascii="Times New Roman" w:hAnsi="Times New Roman" w:eastAsia="宋体" w:cs="Times New Roman"/>
          <w:color w:val="FF0000"/>
        </w:rPr>
        <w:t>。排入化粪池，经固液分离器分离后，与猪尿排入氧化塘内发酵6个月，处理后的液肥用于还田。</w:t>
      </w:r>
    </w:p>
    <w:p>
      <w:pPr>
        <w:ind w:firstLine="480"/>
        <w:jc w:val="both"/>
        <w:rPr>
          <w:rFonts w:hint="default" w:ascii="Times New Roman" w:hAnsi="Times New Roman" w:eastAsia="宋体" w:cs="Times New Roman"/>
          <w:color w:val="auto"/>
        </w:rPr>
      </w:pPr>
      <w:r>
        <w:rPr>
          <w:rFonts w:hint="default" w:ascii="Times New Roman" w:hAnsi="Times New Roman" w:eastAsia="宋体" w:cs="Times New Roman"/>
          <w:color w:val="FF0000"/>
        </w:rPr>
        <w:t>（</w:t>
      </w:r>
      <w:r>
        <w:rPr>
          <w:rFonts w:hint="eastAsia" w:cs="Times New Roman"/>
          <w:color w:val="FF0000"/>
          <w:lang w:val="en-US" w:eastAsia="zh-CN"/>
        </w:rPr>
        <w:t>6</w:t>
      </w:r>
      <w:r>
        <w:rPr>
          <w:rFonts w:hint="default" w:ascii="Times New Roman" w:hAnsi="Times New Roman" w:eastAsia="宋体" w:cs="Times New Roman"/>
          <w:color w:val="FF0000"/>
        </w:rPr>
        <w:t>）锅炉排水</w:t>
      </w:r>
      <w:r>
        <w:rPr>
          <w:rFonts w:hint="eastAsia" w:cs="Times New Roman"/>
          <w:color w:val="FF0000"/>
          <w:lang w:eastAsia="zh-CN"/>
        </w:rPr>
        <w:t>：</w:t>
      </w:r>
      <w:r>
        <w:rPr>
          <w:rFonts w:hint="default" w:ascii="Times New Roman" w:hAnsi="Times New Roman" w:eastAsia="宋体" w:cs="Times New Roman"/>
          <w:color w:val="FF0000"/>
          <w:szCs w:val="21"/>
        </w:rPr>
        <w:t>锅炉排污水</w:t>
      </w:r>
      <w:r>
        <w:rPr>
          <w:rFonts w:hint="eastAsia" w:cs="Times New Roman"/>
          <w:color w:val="FF0000"/>
          <w:lang w:val="en-US" w:eastAsia="zh-CN"/>
        </w:rPr>
        <w:t>量</w:t>
      </w:r>
      <w:r>
        <w:rPr>
          <w:rFonts w:hint="default" w:ascii="Times New Roman" w:hAnsi="Times New Roman" w:eastAsia="宋体" w:cs="Times New Roman"/>
          <w:color w:val="FF0000"/>
          <w:szCs w:val="21"/>
        </w:rPr>
        <w:t>2.0m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/d，软化系统排污水0.8m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/d，合计</w:t>
      </w:r>
      <w:r>
        <w:rPr>
          <w:rFonts w:hint="eastAsia" w:cs="Times New Roman"/>
          <w:color w:val="FF0000"/>
          <w:szCs w:val="21"/>
          <w:lang w:val="en-US" w:eastAsia="zh-CN"/>
        </w:rPr>
        <w:t>2.8</w:t>
      </w:r>
      <w:r>
        <w:rPr>
          <w:rFonts w:hint="default" w:ascii="Times New Roman" w:hAnsi="Times New Roman" w:eastAsia="宋体" w:cs="Times New Roman"/>
          <w:color w:val="FF0000"/>
          <w:szCs w:val="21"/>
        </w:rPr>
        <w:t>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w:t>
      </w:r>
      <w:r>
        <w:rPr>
          <w:rFonts w:hint="eastAsia" w:cs="Times New Roman"/>
          <w:color w:val="FF0000"/>
          <w:szCs w:val="21"/>
          <w:lang w:eastAsia="zh-CN"/>
        </w:rPr>
        <w:t>，用于</w:t>
      </w:r>
      <w:r>
        <w:rPr>
          <w:rFonts w:hint="eastAsia" w:cs="Times New Roman"/>
          <w:color w:val="FF0000"/>
          <w:szCs w:val="21"/>
          <w:lang w:val="en-US" w:eastAsia="zh-CN"/>
        </w:rPr>
        <w:t>厂区</w:t>
      </w:r>
      <w:r>
        <w:rPr>
          <w:rFonts w:hint="eastAsia" w:cs="Times New Roman"/>
          <w:color w:val="FF0000"/>
          <w:szCs w:val="21"/>
          <w:lang w:eastAsia="zh-CN"/>
        </w:rPr>
        <w:t>道路抑尘</w:t>
      </w:r>
      <w:r>
        <w:rPr>
          <w:rFonts w:hint="default" w:ascii="Times New Roman" w:hAnsi="Times New Roman" w:eastAsia="宋体" w:cs="Times New Roman"/>
          <w:color w:val="auto"/>
        </w:rPr>
        <w:t>。</w:t>
      </w:r>
    </w:p>
    <w:p>
      <w:pPr>
        <w:pStyle w:val="6"/>
        <w:jc w:val="both"/>
        <w:rPr>
          <w:rFonts w:hint="default" w:ascii="Times New Roman" w:hAnsi="Times New Roman" w:eastAsia="宋体" w:cs="Times New Roman"/>
          <w:color w:val="auto"/>
        </w:rPr>
      </w:pPr>
      <w:bookmarkStart w:id="334" w:name="_Toc46421136"/>
      <w:bookmarkStart w:id="335" w:name="_Toc1752"/>
      <w:r>
        <w:rPr>
          <w:rFonts w:hint="default" w:ascii="Times New Roman" w:hAnsi="Times New Roman" w:eastAsia="宋体" w:cs="Times New Roman"/>
          <w:color w:val="auto"/>
        </w:rPr>
        <w:t>5.3.2粪污资源化利用的环境可行性评价</w:t>
      </w:r>
      <w:bookmarkEnd w:id="334"/>
      <w:bookmarkEnd w:id="335"/>
    </w:p>
    <w:p>
      <w:pPr>
        <w:ind w:firstLine="480"/>
        <w:jc w:val="both"/>
        <w:rPr>
          <w:rFonts w:hint="default" w:ascii="Times New Roman" w:hAnsi="Times New Roman" w:eastAsia="宋体" w:cs="Times New Roman"/>
          <w:color w:val="auto"/>
        </w:rPr>
      </w:pPr>
      <w:r>
        <w:rPr>
          <w:rFonts w:hint="default" w:ascii="Times New Roman" w:hAnsi="Times New Roman" w:eastAsia="宋体" w:cs="Times New Roman"/>
          <w:color w:val="auto"/>
        </w:rPr>
        <w:t>项目养殖废水排入氧化塘进行微生物降解处理的废水量合计为</w:t>
      </w:r>
      <w:r>
        <w:rPr>
          <w:rFonts w:hint="eastAsia" w:cs="Times New Roman"/>
          <w:color w:val="auto"/>
          <w:lang w:val="en-US" w:eastAsia="zh-CN"/>
        </w:rPr>
        <w:t>15231.45</w:t>
      </w:r>
      <w:r>
        <w:rPr>
          <w:rFonts w:hint="default" w:ascii="Times New Roman" w:hAnsi="Times New Roman" w:eastAsia="宋体" w:cs="Times New Roman"/>
          <w:color w:val="auto"/>
        </w:rPr>
        <w:t>t/a。根据《畜禽规模养殖污染防治条例》（国务院第26次常务会议，2014年1月1日实施）中的“第十六条国家鼓励和支持采取种植和养殖相结合的方式消纳利用畜禽养殖废弃物，促进畜禽粪便、污水等废弃物就地就近利用”。本项目粪污水经氧化塘微生物降解处理后作为液肥定期还田。同时，《畜禽粪便无害化处理技术规范》（NY/T1168-2006）中指出，“液态畜禽粪便可以选用沼气发酵、高效厌氧、好氧、自然生物处理等技术进行无害化处理。处理后的上清液和沉淀物应实现农业综合利用，避免产生二次污染”。另外，经处理的上清液、沉淀物作为肥料进行农业利用时，其卫生学指标应满足“规范中表2”的要求，详见表5.3-1。</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表5.3-1    《畜禽粪便无害化处理技术规范》表2液态粪便卫生要求</w:t>
      </w:r>
    </w:p>
    <w:tbl>
      <w:tblPr>
        <w:tblStyle w:val="35"/>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322"/>
        <w:gridCol w:w="768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734" w:type="pct"/>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w:t>
            </w:r>
          </w:p>
        </w:tc>
        <w:tc>
          <w:tcPr>
            <w:tcW w:w="4266" w:type="pct"/>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卫生标准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734" w:type="pct"/>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寄生虫卵</w:t>
            </w:r>
          </w:p>
        </w:tc>
        <w:tc>
          <w:tcPr>
            <w:tcW w:w="4266" w:type="pct"/>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死亡率≥95%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734" w:type="pct"/>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血吸虫卵</w:t>
            </w:r>
          </w:p>
        </w:tc>
        <w:tc>
          <w:tcPr>
            <w:tcW w:w="4266" w:type="pct"/>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在使用粪液中不得检出活的血吸虫卵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734" w:type="pct"/>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蚊子、苍蝇</w:t>
            </w:r>
          </w:p>
        </w:tc>
        <w:tc>
          <w:tcPr>
            <w:tcW w:w="4266" w:type="pct"/>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有效的控制蚊蝇孽生，粪液中不应有蚊蝇幼虫，池的周围无活的蛆、蛹或新羽化的成蝇</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本项目养殖废水中的污染物主要为CODcr、NH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N、TN和TP，经氧化塘内6个月的微生物降解处理后，可满足液态粪便无害化卫生要求。同时，废水因含有氮、磷元素，具有良好的肥效，氧化塘出水可作为液肥全部还田施肥，可达到零排放，因此对区域地表水环境影响很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根据企业提供的资料，项目配套消纳土地</w:t>
      </w:r>
      <w:r>
        <w:rPr>
          <w:rFonts w:hint="default" w:ascii="Times New Roman" w:hAnsi="Times New Roman" w:eastAsia="宋体" w:cs="Times New Roman"/>
          <w:color w:val="auto"/>
          <w:lang w:eastAsia="zh-CN"/>
        </w:rPr>
        <w:t>1</w:t>
      </w:r>
      <w:r>
        <w:rPr>
          <w:rFonts w:hint="eastAsia" w:cs="Times New Roman"/>
          <w:color w:val="auto"/>
          <w:lang w:val="en-US" w:eastAsia="zh-CN"/>
        </w:rPr>
        <w:t>0</w:t>
      </w:r>
      <w:r>
        <w:rPr>
          <w:rFonts w:hint="default" w:ascii="Times New Roman" w:hAnsi="Times New Roman" w:eastAsia="宋体" w:cs="Times New Roman"/>
          <w:color w:val="auto"/>
          <w:lang w:eastAsia="zh-CN"/>
        </w:rPr>
        <w:t>00亩</w:t>
      </w:r>
      <w:r>
        <w:rPr>
          <w:rFonts w:hint="default" w:ascii="Times New Roman" w:hAnsi="Times New Roman" w:eastAsia="宋体" w:cs="Times New Roman"/>
          <w:color w:val="auto"/>
        </w:rPr>
        <w:t>，具有足够的消纳容量，可满足《畜禽养殖业污染治理工程技术规范》（HJ/497-2009）及《内蒙古自治区畜禽养殖主要污染物减排工程项目建设技术指南（试行）》（内环发【2014】83号）要求。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肥水在施肥季节用于农田施肥，非施肥季节储存在氧化塘内，本项目还田肥水量共计为</w:t>
      </w:r>
      <w:r>
        <w:rPr>
          <w:rFonts w:hint="eastAsia" w:cs="Times New Roman"/>
          <w:color w:val="FF0000"/>
          <w:lang w:eastAsia="zh-CN"/>
        </w:rPr>
        <w:t>15231.45</w:t>
      </w:r>
      <w:r>
        <w:rPr>
          <w:rFonts w:hint="default" w:ascii="Times New Roman" w:hAnsi="Times New Roman" w:eastAsia="宋体" w:cs="Times New Roman"/>
          <w:color w:val="FF0000"/>
        </w:rPr>
        <w:t>t/a，每六个月还田一次，本项目氧化塘设计存储量为</w:t>
      </w:r>
      <w:r>
        <w:rPr>
          <w:rFonts w:hint="eastAsia" w:cs="Times New Roman"/>
          <w:color w:val="FF0000"/>
          <w:lang w:val="en-US" w:eastAsia="zh-CN"/>
        </w:rPr>
        <w:t>17</w:t>
      </w:r>
      <w:r>
        <w:rPr>
          <w:rFonts w:hint="default" w:ascii="Times New Roman" w:hAnsi="Times New Roman" w:eastAsia="宋体" w:cs="Times New Roman"/>
          <w:color w:val="FF0000"/>
        </w:rPr>
        <w:t>000m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lang w:eastAsia="zh-CN"/>
        </w:rPr>
        <w:t>（共</w:t>
      </w:r>
      <w:r>
        <w:rPr>
          <w:rFonts w:hint="default" w:ascii="Times New Roman" w:hAnsi="Times New Roman" w:eastAsia="宋体" w:cs="Times New Roman"/>
          <w:color w:val="FF0000"/>
          <w:lang w:val="en-US" w:eastAsia="zh-CN"/>
        </w:rPr>
        <w:t>2座</w:t>
      </w:r>
      <w:r>
        <w:rPr>
          <w:rFonts w:hint="default" w:ascii="Times New Roman" w:hAnsi="Times New Roman" w:eastAsia="宋体" w:cs="Times New Roman"/>
          <w:color w:val="FF0000"/>
          <w:lang w:eastAsia="zh-CN"/>
        </w:rPr>
        <w:t>），</w:t>
      </w:r>
      <w:r>
        <w:rPr>
          <w:rFonts w:hint="default" w:ascii="Times New Roman" w:hAnsi="Times New Roman" w:eastAsia="宋体" w:cs="Times New Roman"/>
          <w:color w:val="FF0000"/>
        </w:rPr>
        <w:t>具备所需的存储容量。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由于氧化塘液肥施用的田地距离本项目较</w:t>
      </w:r>
      <w:r>
        <w:rPr>
          <w:rFonts w:hint="eastAsia" w:cs="Times New Roman"/>
          <w:color w:val="auto"/>
          <w:lang w:val="en-US" w:eastAsia="zh-CN"/>
        </w:rPr>
        <w:t>近</w:t>
      </w:r>
      <w:r>
        <w:rPr>
          <w:rFonts w:hint="default" w:ascii="Times New Roman" w:hAnsi="Times New Roman" w:eastAsia="宋体" w:cs="Times New Roman"/>
          <w:color w:val="auto"/>
        </w:rPr>
        <w:t>，因此，项目产生的液肥采用罐车拉运至周边农田施肥。</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综上，本项目产生的污废水可全部还田消纳，对周围水环境的影响极其微小。</w:t>
      </w:r>
    </w:p>
    <w:p>
      <w:pPr>
        <w:pStyle w:val="5"/>
        <w:rPr>
          <w:rFonts w:hint="default" w:ascii="Times New Roman" w:hAnsi="Times New Roman" w:eastAsia="宋体" w:cs="Times New Roman"/>
          <w:color w:val="auto"/>
        </w:rPr>
      </w:pPr>
      <w:bookmarkStart w:id="336" w:name="_Toc11481"/>
      <w:r>
        <w:rPr>
          <w:rFonts w:hint="default" w:ascii="Times New Roman" w:hAnsi="Times New Roman" w:eastAsia="宋体" w:cs="Times New Roman"/>
          <w:color w:val="auto"/>
        </w:rPr>
        <w:t>5.4运营期地下水环境影响</w:t>
      </w:r>
      <w:bookmarkEnd w:id="336"/>
    </w:p>
    <w:p>
      <w:pPr>
        <w:pStyle w:val="6"/>
        <w:rPr>
          <w:rFonts w:hint="default" w:ascii="Times New Roman" w:hAnsi="Times New Roman" w:eastAsia="宋体" w:cs="Times New Roman"/>
          <w:color w:val="auto"/>
        </w:rPr>
      </w:pPr>
      <w:bookmarkStart w:id="337" w:name="_Toc9480"/>
      <w:r>
        <w:rPr>
          <w:rFonts w:hint="default" w:ascii="Times New Roman" w:hAnsi="Times New Roman" w:eastAsia="宋体" w:cs="Times New Roman"/>
          <w:color w:val="auto"/>
        </w:rPr>
        <w:t>5.4.1环境水文地质条件</w:t>
      </w:r>
      <w:bookmarkEnd w:id="337"/>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5.4.1.1区域水文地质条件</w:t>
      </w:r>
    </w:p>
    <w:p>
      <w:pPr>
        <w:ind w:firstLine="480"/>
        <w:rPr>
          <w:color w:val="auto"/>
        </w:rPr>
      </w:pPr>
      <w:r>
        <w:rPr>
          <w:color w:val="auto"/>
        </w:rPr>
        <w:t>经查阅本项目所在区域水文地质资料，</w:t>
      </w:r>
      <w:r>
        <w:rPr>
          <w:rFonts w:hint="eastAsia"/>
          <w:color w:val="auto"/>
        </w:rPr>
        <w:t>按地下水的赋存条件和含水介质可划分主要为第四系松散岩类孔隙潜水。主要分布于整个项目</w:t>
      </w:r>
      <w:r>
        <w:rPr>
          <w:rFonts w:hint="default" w:ascii="Times New Roman" w:hAnsi="Times New Roman" w:eastAsia="宋体" w:cs="Times New Roman"/>
          <w:color w:val="auto"/>
        </w:rPr>
        <w:t>区</w:t>
      </w:r>
      <w:r>
        <w:rPr>
          <w:rFonts w:hint="eastAsia" w:cs="Times New Roman"/>
          <w:color w:val="auto"/>
          <w:lang w:eastAsia="zh-CN"/>
        </w:rPr>
        <w:t>域</w:t>
      </w:r>
      <w:r>
        <w:rPr>
          <w:rFonts w:hint="eastAsia"/>
          <w:color w:val="auto"/>
        </w:rPr>
        <w:t>内。潜水含水层埋深在100m深度内，水位埋深较潜一般在0.5～2.5m，含水层岩性以粉砂、细砂为主，厚度50～80m，单井涌水量：5～10m</w:t>
      </w:r>
      <w:r>
        <w:rPr>
          <w:rFonts w:hint="eastAsia"/>
          <w:color w:val="auto"/>
          <w:vertAlign w:val="superscript"/>
        </w:rPr>
        <w:t>3</w:t>
      </w:r>
      <w:r>
        <w:rPr>
          <w:rFonts w:hint="eastAsia"/>
          <w:color w:val="auto"/>
        </w:rPr>
        <w:t>/h·m。属较富水区。水质南部较好，为矿化度小于1g/L的HCO</w:t>
      </w:r>
      <w:r>
        <w:rPr>
          <w:rFonts w:hint="eastAsia"/>
          <w:color w:val="auto"/>
          <w:vertAlign w:val="subscript"/>
        </w:rPr>
        <w:t>3</w:t>
      </w:r>
      <w:r>
        <w:rPr>
          <w:rFonts w:hint="eastAsia"/>
          <w:color w:val="auto"/>
        </w:rPr>
        <w:t>-Ca·Mg、HCO</w:t>
      </w:r>
      <w:r>
        <w:rPr>
          <w:rFonts w:hint="eastAsia"/>
          <w:color w:val="auto"/>
          <w:vertAlign w:val="subscript"/>
        </w:rPr>
        <w:t>3</w:t>
      </w:r>
      <w:r>
        <w:rPr>
          <w:rFonts w:hint="eastAsia"/>
          <w:color w:val="auto"/>
        </w:rPr>
        <w:t>-Ca·Mg·Na型水。北部水质较差，矿化度大于3g/L。</w:t>
      </w:r>
    </w:p>
    <w:p>
      <w:pPr>
        <w:ind w:firstLine="480"/>
        <w:rPr>
          <w:color w:val="auto"/>
        </w:rPr>
      </w:pPr>
      <w:r>
        <w:rPr>
          <w:rFonts w:hint="eastAsia"/>
          <w:color w:val="auto"/>
        </w:rPr>
        <w:t>项目所在区域在45m钻探深度范围内，除表层分布有厚度不等的耕质土外，场地天然地层均为第四系冲洪积地层，根据地层岩性及成因的不同，可分为五层：</w:t>
      </w:r>
    </w:p>
    <w:p>
      <w:pPr>
        <w:ind w:firstLine="480"/>
        <w:rPr>
          <w:color w:val="auto"/>
        </w:rPr>
      </w:pPr>
      <w:r>
        <w:rPr>
          <w:rFonts w:hint="eastAsia"/>
          <w:color w:val="auto"/>
        </w:rPr>
        <w:t>第①层粉土：该层主要由粉土夹粉质粘土组成，局部为粉砂夹层或透镜体；粉土呈灰黄色～褐黄色，含有云母及氧化铁，天然状态下呈湿～很湿，稍密～中密状态，摇震反应轻微，无光泽反应，韧性及干强度低。厚度变化在0.30～4.30米之间，层底标高变化在1018.84～1021.98米之间；</w:t>
      </w:r>
    </w:p>
    <w:p>
      <w:pPr>
        <w:ind w:firstLine="480"/>
        <w:rPr>
          <w:color w:val="auto"/>
        </w:rPr>
      </w:pPr>
      <w:r>
        <w:rPr>
          <w:rFonts w:hint="eastAsia"/>
          <w:color w:val="auto"/>
        </w:rPr>
        <w:t>第①-1层粉质粘土：黄褐色～灰黄色，含有云母及氧化铁。天然状态下呈很湿～饱和，软塑～可塑状态，无摇震反应，光泽反应一般，韧性及干强度中等。该层以夹层的形式分布于第①层粉土中，厚度变化在0.30～2.00米之间；</w:t>
      </w:r>
    </w:p>
    <w:p>
      <w:pPr>
        <w:ind w:firstLine="480"/>
        <w:rPr>
          <w:color w:val="auto"/>
        </w:rPr>
      </w:pPr>
      <w:r>
        <w:rPr>
          <w:rFonts w:hint="eastAsia"/>
          <w:color w:val="auto"/>
        </w:rPr>
        <w:t>第①-2层粉砂：黄褐色～灰黄色，均粒结构，以夹层和透镜体的形式分布。天然状态下呈很湿～饱和，松散～稍密状态；</w:t>
      </w:r>
    </w:p>
    <w:p>
      <w:pPr>
        <w:ind w:firstLine="480"/>
        <w:rPr>
          <w:color w:val="auto"/>
        </w:rPr>
      </w:pPr>
      <w:r>
        <w:rPr>
          <w:rFonts w:hint="eastAsia"/>
          <w:color w:val="auto"/>
        </w:rPr>
        <w:t>第②层粉质粘土：该层主要由粉质粘土组成（局部为粘土），上部局部为粉砂夹层；粉质粘土呈黄褐色～灰黄色，含有氧化铁及云母，天然状态下呈饱和，可塑状态，无摇震反应，光泽反应一般，韧性及干强度中等。厚度变化在0.40～6.80米之间，层底标高变化在1015.14～1019.94米之间；</w:t>
      </w:r>
    </w:p>
    <w:p>
      <w:pPr>
        <w:ind w:firstLine="480"/>
        <w:rPr>
          <w:color w:val="auto"/>
        </w:rPr>
      </w:pPr>
      <w:r>
        <w:rPr>
          <w:rFonts w:hint="eastAsia"/>
          <w:color w:val="auto"/>
        </w:rPr>
        <w:t>第③层粉土：该层主要由粉土组成，局部为粉质粘土夹层，粉土呈灰黄色，含有云母及氧化铁，天然状态下呈很湿，中密状态，摇震反应轻微，无光泽反应，韧性及干强度低。厚度变化在0.60～3.80米之间，层底标高变化在1013.24～1017.04米之间；第③-1层粉质粘土：褐黄色～灰黄色，含有云母及氧化铁。天然状态下呈饱和，可塑状态，无摇震反应，光泽反应一般，韧性及干强度中等。该层以夹层的形式分布于第③层粉土中，厚度变化在0.70～3.70米之间；</w:t>
      </w:r>
    </w:p>
    <w:p>
      <w:pPr>
        <w:ind w:firstLine="480"/>
        <w:rPr>
          <w:color w:val="auto"/>
        </w:rPr>
      </w:pPr>
      <w:r>
        <w:rPr>
          <w:rFonts w:hint="eastAsia"/>
          <w:color w:val="auto"/>
        </w:rPr>
        <w:t>第④层粉细砂：灰色～灰黄色，均粒结构，矿物成份主要为长石、石英，含云母，天然状态下呈饱和，松散～稍密状态。本次勘察中仅有部分钻孔揭穿该层；</w:t>
      </w:r>
    </w:p>
    <w:p>
      <w:pPr>
        <w:ind w:firstLine="480"/>
        <w:rPr>
          <w:rFonts w:hint="default" w:ascii="Times New Roman" w:hAnsi="Times New Roman" w:eastAsia="宋体" w:cs="Times New Roman"/>
          <w:color w:val="auto"/>
        </w:rPr>
      </w:pPr>
      <w:r>
        <w:rPr>
          <w:rFonts w:hint="eastAsia"/>
          <w:color w:val="auto"/>
        </w:rPr>
        <w:t>第⑤层细砂：灰色，均粒结构，矿物成份主要为长石、石英，含云母，天然状态下呈饱和，中密～密实状态。本次勘察中未揭穿该层</w:t>
      </w:r>
      <w:r>
        <w:rPr>
          <w:rFonts w:hint="default" w:ascii="Times New Roman" w:hAnsi="Times New Roman" w:eastAsia="宋体" w:cs="Times New Roman"/>
          <w:color w:val="auto"/>
        </w:rPr>
        <w:t>。</w:t>
      </w:r>
    </w:p>
    <w:p>
      <w:pPr>
        <w:pStyle w:val="6"/>
        <w:rPr>
          <w:rFonts w:hint="default" w:ascii="Times New Roman" w:hAnsi="Times New Roman" w:eastAsia="宋体" w:cs="Times New Roman"/>
          <w:color w:val="auto"/>
        </w:rPr>
      </w:pPr>
      <w:bookmarkStart w:id="338" w:name="_Toc25938"/>
      <w:r>
        <w:rPr>
          <w:rFonts w:hint="default" w:ascii="Times New Roman" w:hAnsi="Times New Roman" w:eastAsia="宋体" w:cs="Times New Roman"/>
          <w:color w:val="auto"/>
        </w:rPr>
        <w:t>5.4.2地下水环境影响分析</w:t>
      </w:r>
      <w:bookmarkEnd w:id="33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污染物对地下水的影响主要是由于降雨或废水排放等通过垂直渗透进入包气带，进入包气带的污染物在物理、化学和生物作用下经吸附、转化、迁移和分解后输入地下水。因此，包气带是联接地面污染物与地下含水层的主要通道和过渡带，既是污染物媒介体，又是污染物的净化场所和防护层。地下水能否被污染与土壤的渗透性密切相关，一般说来，土壤粒细而紧密，渗透性差，则污染慢；反之，颗粒大而松散，渗透性能良好则污染重。</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5.4.2.1地下水污染途径</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根据地下水地质条件、地下水补给、径流条件和排洪特点，分析本工程废水排放情况，可能造成的地下水污染途径有以下几种途径：</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①各粪污收集管线和氧化塘等粪污处置场地的防渗、防水措施不完善，而导致废水、渗滤液、淋溶水渗入地下造成对地下水的污染；</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②因基础防渗不足通过裂隙污染地下水；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③粪污非正常情况下超标排放，在还田途径上形成渗漏而污染地下水环境。</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5.4.2.2地下水保护措施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畜禽养殖废水中富含氮、磷等物质。运营期对地下水环境的影响主要是畜禽养殖场废水事故性排放渗入地下可造成地下水中的硝酸盐含量过高。对此，本环评要求建设单位必须采取以下防范措施：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①加强环保设施的维护和管理，定期检查装置及装置间的连接状况，防止粪污的跑冒滴漏和事故排水；设备维修时采取收集措施，避免物料进入地下；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②根据《畜禽养殖业污染治理工程技术规范》、《给排水工程构筑物结构设计规范》（GB50069-2002）等的要求实施防渗。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③整个养殖场粪污收集、输送、处理与利用设施设计的施工中应严格执行高标准防渗、防腐要求，防止废水沿途泄漏；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④提高操作人员技术水平，妥善管理，建立严格的生产管理制度，遵守操作规程；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⑤加强管理，</w:t>
      </w:r>
      <w:r>
        <w:rPr>
          <w:rFonts w:hint="eastAsia" w:cs="Times New Roman"/>
          <w:color w:val="auto"/>
          <w:lang w:eastAsia="zh-CN"/>
        </w:rPr>
        <w:t>猪舍</w:t>
      </w:r>
      <w:r>
        <w:rPr>
          <w:rFonts w:hint="default" w:ascii="Times New Roman" w:hAnsi="Times New Roman" w:eastAsia="宋体" w:cs="Times New Roman"/>
          <w:color w:val="auto"/>
        </w:rPr>
        <w:t>产生的粪便做到日产日清，特别是雨天来临之前要及时清理干净；</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highlight w:val="none"/>
        </w:rPr>
        <w:t>⑥在</w:t>
      </w:r>
      <w:r>
        <w:rPr>
          <w:rFonts w:hint="default" w:ascii="Times New Roman" w:hAnsi="Times New Roman" w:eastAsia="宋体" w:cs="Times New Roman"/>
          <w:color w:val="auto"/>
          <w:highlight w:val="none"/>
          <w:lang w:eastAsia="zh-CN"/>
        </w:rPr>
        <w:t>养殖场内</w:t>
      </w:r>
      <w:r>
        <w:rPr>
          <w:rFonts w:hint="default" w:ascii="Times New Roman" w:hAnsi="Times New Roman" w:eastAsia="宋体" w:cs="Times New Roman"/>
          <w:color w:val="auto"/>
          <w:highlight w:val="none"/>
        </w:rPr>
        <w:t>地下水下游设置1口地下水跟踪观测井，</w:t>
      </w:r>
      <w:r>
        <w:rPr>
          <w:rFonts w:hint="default" w:ascii="Times New Roman" w:hAnsi="Times New Roman" w:eastAsia="宋体" w:cs="Times New Roman"/>
          <w:color w:val="auto"/>
        </w:rPr>
        <w:t>便于发现地下水污染。根据项目平面布置情况，本次环评要求对观测井水质进行跟踪监测，及时掌握场区地下水水质变化情况，水质指标异常时应立即开展调查，查找水质指标异常的原因，对损坏防渗膜及时采取措施进行修复。</w:t>
      </w:r>
    </w:p>
    <w:p>
      <w:pPr>
        <w:pStyle w:val="7"/>
        <w:rPr>
          <w:rStyle w:val="39"/>
          <w:rFonts w:hint="default" w:ascii="Times New Roman" w:hAnsi="Times New Roman" w:eastAsia="宋体" w:cs="Times New Roman"/>
          <w:color w:val="auto"/>
          <w:u w:val="none"/>
        </w:rPr>
      </w:pPr>
      <w:r>
        <w:rPr>
          <w:rStyle w:val="39"/>
          <w:rFonts w:hint="default" w:ascii="Times New Roman" w:hAnsi="Times New Roman" w:eastAsia="宋体" w:cs="Times New Roman"/>
          <w:color w:val="auto"/>
          <w:u w:val="none"/>
        </w:rPr>
        <w:t>5.4.2.3采取防渗措施后对地下水影响分析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根据本项目防渗措施，防渗工程渗透系数小于1.0×10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cm/s，厚度不低于0.5m，则污染质穿透防渗层的时间按下列公式计算：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渗水通道：q=k（d+h）/d</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穿越时间：T=d/q；</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其中：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T为污染质穿过防渗层的时间；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d为防渗层的厚度；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k为防渗层的渗透系数；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h为渗层上面的积水高度。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假定防渗层积水高度为0.10m，防渗层厚度为0.5m，防渗层渗透系数为1.0×10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则计算防渗层的穿透时间为13.21年，即在防渗层上的持续积水0.10m的情况下，经过13.21年的污水才可穿过防渗层。而且污染物穿透防渗层进入包气带中，包气带对污染物有吸附和降解作用，因此，在采取铺设防渗层措施下，事故工况下渗出液进入地下水系统后对区域地下水影响程度和范围均较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企业只要加强管理，在生产中严格按照操作规程，避免废水的事故性排放，运营期对地下水的影响很小。</w:t>
      </w:r>
    </w:p>
    <w:p>
      <w:pPr>
        <w:pStyle w:val="7"/>
        <w:rPr>
          <w:rFonts w:hint="default" w:ascii="Times New Roman" w:hAnsi="Times New Roman" w:eastAsia="宋体" w:cs="Times New Roman"/>
          <w:color w:val="auto"/>
        </w:rPr>
      </w:pPr>
      <w:bookmarkStart w:id="339" w:name="_Toc233"/>
      <w:bookmarkStart w:id="340" w:name="_Toc3537290"/>
      <w:r>
        <w:rPr>
          <w:rFonts w:hint="default" w:ascii="Times New Roman" w:hAnsi="Times New Roman" w:eastAsia="宋体" w:cs="Times New Roman"/>
          <w:color w:val="auto"/>
        </w:rPr>
        <w:t>5.4.2.4资源化利用对农田的影响分析</w:t>
      </w:r>
      <w:bookmarkEnd w:id="339"/>
      <w:bookmarkEnd w:id="34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w:t>
      </w:r>
      <w:r>
        <w:rPr>
          <w:rFonts w:hint="eastAsia" w:cs="Times New Roman"/>
          <w:color w:val="auto"/>
          <w:lang w:val="en-US" w:eastAsia="zh-CN"/>
        </w:rPr>
        <w:t>猪场</w:t>
      </w:r>
      <w:r>
        <w:rPr>
          <w:rFonts w:hint="default" w:ascii="Times New Roman" w:hAnsi="Times New Roman" w:eastAsia="宋体" w:cs="Times New Roman"/>
          <w:color w:val="auto"/>
        </w:rPr>
        <w:t>内做好防护措施，不对地下水产生污染的同时，氧化塘处理后的液体肥料用于农田的施肥是否会污染地下水，为本次评价应该关注的一个重点。</w:t>
      </w:r>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rPr>
        <w:t>本项目液肥均降解陈化后在春秋两季排放，在非施肥季节，液肥在氧化塘内进行厌氧发酵，根据《内蒙古自治区畜禽养殖主要污染物减排项目建设技术指南》（试行）中“污水/尿液储存池容积根据储存期（储存时间）确定，总容积不得低于土地利用的最大间隔时间内本养殖场所产生污水/尿液的总量，确保不外溢造成污染。一般情况下，污水/尿液储存池容积应能容纳2个月以上的污水/尿液量，氧化塘的容积至少应大于15</w:t>
      </w:r>
      <w:r>
        <w:rPr>
          <w:rFonts w:hint="eastAsia" w:cs="Times New Roman"/>
          <w:color w:val="auto"/>
          <w:lang w:val="en-US" w:eastAsia="zh-CN"/>
        </w:rPr>
        <w:t>5</w:t>
      </w:r>
      <w:r>
        <w:rPr>
          <w:rFonts w:hint="default" w:ascii="Times New Roman" w:hAnsi="Times New Roman" w:eastAsia="宋体" w:cs="Times New Roman"/>
          <w:color w:val="auto"/>
        </w:rPr>
        <w:t>00m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w:t>
      </w:r>
      <w:r>
        <w:rPr>
          <w:rFonts w:hint="default" w:ascii="Times New Roman" w:hAnsi="Times New Roman" w:eastAsia="宋体" w:cs="Times New Roman"/>
          <w:color w:val="auto"/>
          <w:szCs w:val="24"/>
        </w:rPr>
        <w:t>本项目年产生废水约为</w:t>
      </w:r>
      <w:r>
        <w:rPr>
          <w:rFonts w:hint="eastAsia" w:cs="Times New Roman"/>
          <w:color w:val="auto"/>
          <w:lang w:eastAsia="zh-CN"/>
        </w:rPr>
        <w:t>15231.45</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szCs w:val="24"/>
        </w:rPr>
        <w:t>/a，氧化塘容积合计约为</w:t>
      </w:r>
      <w:r>
        <w:rPr>
          <w:rFonts w:hint="eastAsia" w:cs="Times New Roman"/>
          <w:color w:val="auto"/>
          <w:szCs w:val="24"/>
          <w:lang w:val="en-US" w:eastAsia="zh-CN"/>
        </w:rPr>
        <w:t>17</w:t>
      </w:r>
      <w:r>
        <w:rPr>
          <w:rFonts w:hint="eastAsia" w:cs="Times New Roman"/>
          <w:color w:val="auto"/>
          <w:szCs w:val="24"/>
          <w:lang w:eastAsia="zh-CN"/>
        </w:rPr>
        <w:t>000</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2座</w:t>
      </w:r>
      <w:r>
        <w:rPr>
          <w:rFonts w:hint="default" w:ascii="Times New Roman" w:hAnsi="Times New Roman" w:eastAsia="宋体" w:cs="Times New Roman"/>
          <w:color w:val="auto"/>
        </w:rPr>
        <w:t>）</w:t>
      </w:r>
      <w:r>
        <w:rPr>
          <w:rFonts w:hint="default" w:ascii="Times New Roman" w:hAnsi="Times New Roman" w:eastAsia="宋体" w:cs="Times New Roman"/>
          <w:color w:val="auto"/>
          <w:szCs w:val="24"/>
        </w:rPr>
        <w:t>，满负荷运行时可容纳本项目</w:t>
      </w:r>
      <w:r>
        <w:rPr>
          <w:rFonts w:hint="eastAsia" w:cs="Times New Roman"/>
          <w:color w:val="auto"/>
          <w:szCs w:val="24"/>
          <w:lang w:val="en-US" w:eastAsia="zh-CN"/>
        </w:rPr>
        <w:t>6</w:t>
      </w:r>
      <w:r>
        <w:rPr>
          <w:rFonts w:hint="default" w:ascii="Times New Roman" w:hAnsi="Times New Roman" w:eastAsia="宋体" w:cs="Times New Roman"/>
          <w:color w:val="auto"/>
          <w:szCs w:val="24"/>
        </w:rPr>
        <w:t>个月产生的废水量；因此氧化塘的容积可以满足各部分废水暂存半年的要求，</w:t>
      </w:r>
      <w:r>
        <w:rPr>
          <w:rFonts w:hint="default" w:ascii="Times New Roman" w:hAnsi="Times New Roman" w:eastAsia="宋体" w:cs="Times New Roman"/>
          <w:color w:val="auto"/>
        </w:rPr>
        <w:t>可保证在不能施肥期间也可有足够的储存空间，</w:t>
      </w:r>
      <w:r>
        <w:rPr>
          <w:rFonts w:hint="default" w:ascii="Times New Roman" w:hAnsi="Times New Roman" w:eastAsia="宋体" w:cs="Times New Roman"/>
          <w:color w:val="auto"/>
          <w:szCs w:val="24"/>
        </w:rPr>
        <w:t>且能保证发酵时间，粪污能够充分发酵，经处理后的肥料各项指标满足相关限值要求，用于区域内农田的肥料还田，实现资源化利用。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粪污经氧化塘进行贮存自然降解陈化后作为液肥施用于农田，对于土壤来说，其机理类似于对污水土地处理系统，其净化机理包含了物理过滤、物理吸附、物理沉积、物理化学吸附、化学反应和化学沉淀、微生物对有机物的降解等过程，污水在土地处理系统中的净化是一个综合净化过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主要污染物的去除途径如下：</w:t>
      </w:r>
    </w:p>
    <w:p>
      <w:pPr>
        <w:ind w:firstLine="480"/>
        <w:rPr>
          <w:rFonts w:hint="default" w:ascii="Times New Roman" w:hAnsi="Times New Roman" w:eastAsia="宋体" w:cs="Times New Roman"/>
          <w:color w:val="auto"/>
        </w:rPr>
      </w:pPr>
      <w:bookmarkStart w:id="341" w:name="_Toc23465"/>
      <w:r>
        <w:rPr>
          <w:rFonts w:hint="default" w:ascii="Times New Roman" w:hAnsi="Times New Roman" w:eastAsia="宋体" w:cs="Times New Roman"/>
          <w:color w:val="auto"/>
        </w:rPr>
        <w:t>（1）BOD的去除</w:t>
      </w:r>
      <w:bookmarkEnd w:id="341"/>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BOD大部分是在土壤表层土中去除的。土壤中含有大量的种类繁多的异养型微生物，它们能对被过滤、截留在土壤颗粒空隙间的悬浮有机物和溶解有机物进行生物降解，并合成微生物新细胞。当处理水的BOD负荷超过土壤微生物分解BOD的生物氧化能力时，会引起厌氧状态或土壤堵塞。</w:t>
      </w:r>
    </w:p>
    <w:p>
      <w:pPr>
        <w:ind w:firstLine="480"/>
        <w:rPr>
          <w:rFonts w:hint="default" w:ascii="Times New Roman" w:hAnsi="Times New Roman" w:eastAsia="宋体" w:cs="Times New Roman"/>
          <w:color w:val="auto"/>
        </w:rPr>
      </w:pPr>
      <w:bookmarkStart w:id="342" w:name="_Toc32210"/>
      <w:bookmarkStart w:id="343" w:name="_Toc3537292"/>
      <w:r>
        <w:rPr>
          <w:rFonts w:hint="default" w:ascii="Times New Roman" w:hAnsi="Times New Roman" w:eastAsia="宋体" w:cs="Times New Roman"/>
          <w:color w:val="auto"/>
        </w:rPr>
        <w:t>（2）磷和氮的去除</w:t>
      </w:r>
      <w:bookmarkEnd w:id="342"/>
      <w:bookmarkEnd w:id="34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土地处理中，磷主要是通过植物吸收，化学反应和沉淀(与土壤中的钙、铝、铁等离子形成难溶的磷酸盐)，物理吸附和沉积(土壤中的黏土矿物对磷酸盐的吸附和沉积)，物理化学吸附(离子交换、络合吸附)等方式被去除。其去除效果受土壤结构、阳离子交换容量、铁铝氧化物和植物对磷的吸收等因素影响。氮主要是通过植物吸收，微生物脱氮(氨化、硝化、反硝化)，挥发、渗出(氨在碱性条件下逸出、硝酸盐的渗出)等方式被去除。其去除率受作物的类型、生长期、对氮的吸收能力，以及土地处理系统的工艺等因素影响。</w:t>
      </w:r>
    </w:p>
    <w:p>
      <w:pPr>
        <w:ind w:firstLine="480"/>
        <w:rPr>
          <w:rFonts w:hint="default" w:ascii="Times New Roman" w:hAnsi="Times New Roman" w:eastAsia="宋体" w:cs="Times New Roman"/>
          <w:color w:val="auto"/>
        </w:rPr>
      </w:pPr>
      <w:bookmarkStart w:id="344" w:name="_Toc30342"/>
      <w:bookmarkStart w:id="345" w:name="_Toc3537293"/>
      <w:r>
        <w:rPr>
          <w:rFonts w:hint="default" w:ascii="Times New Roman" w:hAnsi="Times New Roman" w:eastAsia="宋体" w:cs="Times New Roman"/>
          <w:color w:val="auto"/>
        </w:rPr>
        <w:t>（3）悬浮物质的去除</w:t>
      </w:r>
      <w:bookmarkEnd w:id="344"/>
      <w:bookmarkEnd w:id="34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污水中的悬浮物质是依靠作物和土壤颗粒间的孔隙截留、过滤去除的。土壤颗粒的大小、颗粒间孔隙的形状、大小、分布和水流通道，以及悬浮物的性质、大小和浓度等都影响对悬浮物的截留过滤效果。若悬浮物浓度太高、颗粒太大会引起土壤堵塞。</w:t>
      </w:r>
    </w:p>
    <w:p>
      <w:pPr>
        <w:ind w:firstLine="480"/>
        <w:rPr>
          <w:rFonts w:hint="default" w:ascii="Times New Roman" w:hAnsi="Times New Roman" w:eastAsia="宋体" w:cs="Times New Roman"/>
          <w:color w:val="auto"/>
        </w:rPr>
      </w:pPr>
      <w:bookmarkStart w:id="346" w:name="_Toc3537294"/>
      <w:bookmarkStart w:id="347" w:name="_Toc19341"/>
      <w:r>
        <w:rPr>
          <w:rFonts w:hint="default" w:ascii="Times New Roman" w:hAnsi="Times New Roman" w:eastAsia="宋体" w:cs="Times New Roman"/>
          <w:color w:val="auto"/>
        </w:rPr>
        <w:t>（4）病原体的去除</w:t>
      </w:r>
      <w:bookmarkEnd w:id="346"/>
      <w:bookmarkEnd w:id="347"/>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污水经土壤过滤后，水中大部分的病菌和病毒可被去除，去除率可达92％～97％。其去除率与选用的土地处理系统工艺有关，其中地表漫流的去除率略低，但若有较长的漫流距离和停留时间，也可达到较高的去除效率。</w:t>
      </w:r>
    </w:p>
    <w:p>
      <w:pPr>
        <w:ind w:firstLine="480"/>
        <w:rPr>
          <w:rFonts w:hint="default" w:ascii="Times New Roman" w:hAnsi="Times New Roman" w:eastAsia="宋体" w:cs="Times New Roman"/>
          <w:color w:val="auto"/>
        </w:rPr>
      </w:pPr>
      <w:bookmarkStart w:id="348" w:name="_Toc14594"/>
      <w:bookmarkStart w:id="349" w:name="_Toc3537295"/>
      <w:r>
        <w:rPr>
          <w:rFonts w:hint="default" w:ascii="Times New Roman" w:hAnsi="Times New Roman" w:eastAsia="宋体" w:cs="Times New Roman"/>
          <w:color w:val="auto"/>
        </w:rPr>
        <w:t>（5）重金属的去除</w:t>
      </w:r>
      <w:bookmarkEnd w:id="348"/>
      <w:bookmarkEnd w:id="34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重金属的去除主要是通过物理化学吸附，化学反应与沉淀等途径被去除的。重金属离子在土壤胶体表面进行阳离子交换而被置换、吸附，并生成难溶性化合物被固定于矿物晶格中；重金属与某些有机物生成可吸性螯合物被固定于矿物晶格中；重金属离子与土壤的某些组分进行化学反应，生成金属磷酸盐和有机重金属等沉积于土壤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在废水的下渗过程中，通过土壤的过滤、吸附、离子交换、化学反应等作用，可使水质有所改善，因此越向下渗，水质将越好。因此只要氧化塘处理后的出水的施用量适度，就不会造成土壤和地下水的污染。</w:t>
      </w:r>
    </w:p>
    <w:p>
      <w:pPr>
        <w:pStyle w:val="6"/>
        <w:rPr>
          <w:rFonts w:hint="default" w:ascii="Times New Roman" w:hAnsi="Times New Roman" w:eastAsia="宋体" w:cs="Times New Roman"/>
          <w:color w:val="auto"/>
        </w:rPr>
      </w:pPr>
      <w:bookmarkStart w:id="350" w:name="_Toc491351861"/>
      <w:bookmarkStart w:id="351" w:name="_Toc490143552"/>
      <w:bookmarkStart w:id="352" w:name="_Toc491351727"/>
      <w:bookmarkStart w:id="353" w:name="_Toc486320556"/>
      <w:bookmarkStart w:id="354" w:name="_Toc13217"/>
      <w:r>
        <w:rPr>
          <w:rFonts w:hint="default" w:ascii="Times New Roman" w:hAnsi="Times New Roman" w:eastAsia="宋体" w:cs="Times New Roman"/>
          <w:color w:val="auto"/>
        </w:rPr>
        <w:t>5.4.3预测结果分析评价</w:t>
      </w:r>
      <w:bookmarkEnd w:id="350"/>
      <w:bookmarkEnd w:id="351"/>
      <w:bookmarkEnd w:id="352"/>
      <w:bookmarkEnd w:id="353"/>
      <w:bookmarkEnd w:id="354"/>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合地下水评价结果可知：正常状况，企业严格按照防渗等级对各区设置防渗，本项目各区不会发生泄漏，不会对地下水造成污染。非正常泄漏状况，根据预测结果可以发现，在防渗层上的持续积水0.10m的情况下，经过13.21年的污水才可穿过防渗层，本次要求企业加强日常巡视防渗措施和跟踪监测，发现泄漏及时切断污染物向含水层的迁移途径，减少泄露量和泄露时间，可将泄漏引起的地下水污染控制在可接受的范围内；并在农田施用时不超过土壤可以承受的负荷量的情况下，本项目不会对地下水产生污染。</w:t>
      </w:r>
    </w:p>
    <w:p>
      <w:pPr>
        <w:pStyle w:val="5"/>
        <w:bidi w:val="0"/>
        <w:rPr>
          <w:rFonts w:hint="default"/>
          <w:lang w:val="en-US" w:eastAsia="zh-CN"/>
        </w:rPr>
      </w:pPr>
      <w:bookmarkStart w:id="355" w:name="_Toc15903"/>
      <w:r>
        <w:rPr>
          <w:rFonts w:hint="default"/>
          <w:lang w:val="en-US" w:eastAsia="zh-CN"/>
        </w:rPr>
        <w:t>5.5</w:t>
      </w:r>
      <w:bookmarkStart w:id="356" w:name="_Toc494206331"/>
      <w:bookmarkStart w:id="357" w:name="_Toc530642955"/>
      <w:r>
        <w:rPr>
          <w:rFonts w:hint="default"/>
          <w:lang w:val="en-US" w:eastAsia="zh-CN"/>
        </w:rPr>
        <w:t>资源化利用土壤环境影响分析</w:t>
      </w:r>
      <w:bookmarkEnd w:id="35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产生的粪污经处理后部分作为配套农田的有机肥使用，有机肥含有丰富的养分，除了含有丰富的氮、磷、钾等元素外，还含有对植物生长起有重要作用的硼、铜、铁、锰、钙、锌等微量元素，以及大量的氨基酸、B族维生素、各种水解酶、某些植物激素，是一种高效性的优质肥料。有机肥具有改良土壤的作用，含有丰富的腐殖酸。腐殖酸能够促进微生物和酶系的活性，改善土壤水、肥、气、热状况收到培肥地力的功效。根据相关实践证明，有机肥用于果树，可提高座果率5%以上，增产幅度10%～30%，果实甜度提高0.5～1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用土壤中的磷除部分被植被吸收利用和因化学反应产生难溶性磷酸盐外，其他磷则被土壤团粒和胶粒所吸附。这些被吸附磷与土壤溶液中磷处于吸附磷素施入土壤后，土壤胶体对无机磷有强列的吸附和固定作用。在pH小于6的酸性土壤中，磷素和土壤中的铁、铝化合物生成难溶性的磷酸铁、磷酸铝；在pH大于7.5的碱性土壤中，磷和钙易结合成难溶性磷酸钙。而施入有机肥，由于有机肥中含有腐植酸，能够提高土壤的缓冲性能（即维持土壤酸碱反应的相对稳定的能力）维持土壤pH在6~7.5，可以降低土壤对磷的吸附量，从而减少对磷的固定，提高施肥的有效性。</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用有机肥常被作为控制和改良土壤重金属污染的控制措施，因为可能通过改变重金属污染物在土壤中的形态分布而降低其生物有效性，还可以提高土壤的肥力。根据刘瑞伟等《有机肥料对土壤重金属净化的影响》，试验表明，施用化肥或机肥料都降低了土壤的pH值，且随着时间的延长，施用有机肥料的土壤pH值降低幅度更大，并通过络合土壤重金属，降低土壤重金属的有效态含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另外，有机肥料的施用，增加土壤的微生物量，提高土壤的生态肥力，可通过微生物的吸附、转化作用，降低土壤的pH值等，降低重金属的生物有效性，对土壤的重金属具有一定的解毒作用。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合以上分析可知，只要建设单位能够综合考虑有机肥的组成成分，N、P、K养分的有效性和在土壤中的迁移规律、作物对有机肥的吸收能力，做到合理施肥，则采用有机肥施肥，能改善土壤的理化性质，增强土壤的保肥性，提高土壤的生态肥力，改良土壤重金属污染，预防病虫害，从而提高作物的品质和产量。由此分析可知，本项目实施后当地土壤环境影响较小。</w:t>
      </w:r>
    </w:p>
    <w:p>
      <w:pPr>
        <w:pStyle w:val="5"/>
        <w:rPr>
          <w:rFonts w:hint="default" w:ascii="Times New Roman" w:hAnsi="Times New Roman" w:eastAsia="宋体" w:cs="Times New Roman"/>
          <w:color w:val="auto"/>
        </w:rPr>
      </w:pPr>
      <w:bookmarkStart w:id="358" w:name="_Toc5522"/>
      <w:r>
        <w:rPr>
          <w:rFonts w:hint="default" w:ascii="Times New Roman" w:hAnsi="Times New Roman" w:eastAsia="宋体" w:cs="Times New Roman"/>
          <w:color w:val="auto"/>
        </w:rPr>
        <w:t>5.6运营期声环境影响分析</w:t>
      </w:r>
      <w:bookmarkEnd w:id="356"/>
      <w:bookmarkEnd w:id="357"/>
      <w:bookmarkEnd w:id="358"/>
    </w:p>
    <w:p>
      <w:pPr>
        <w:pStyle w:val="6"/>
        <w:rPr>
          <w:rFonts w:hint="default" w:ascii="Times New Roman" w:hAnsi="Times New Roman" w:eastAsia="宋体" w:cs="Times New Roman"/>
          <w:color w:val="auto"/>
        </w:rPr>
      </w:pPr>
      <w:bookmarkStart w:id="359" w:name="_Toc25830"/>
      <w:r>
        <w:rPr>
          <w:rFonts w:hint="default" w:ascii="Times New Roman" w:hAnsi="Times New Roman" w:eastAsia="宋体" w:cs="Times New Roman"/>
          <w:color w:val="auto"/>
        </w:rPr>
        <w:t>5.6.1主要声源源强</w:t>
      </w:r>
      <w:bookmarkEnd w:id="359"/>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本项目噪声源主要为降温风扇、</w:t>
      </w:r>
      <w:r>
        <w:rPr>
          <w:color w:val="auto"/>
          <w:sz w:val="24"/>
          <w:szCs w:val="24"/>
        </w:rPr>
        <w:t>水泵</w:t>
      </w:r>
      <w:r>
        <w:rPr>
          <w:rFonts w:hint="default" w:ascii="Times New Roman" w:hAnsi="Times New Roman" w:eastAsia="宋体" w:cs="Times New Roman"/>
          <w:color w:val="auto"/>
          <w:sz w:val="24"/>
          <w:szCs w:val="24"/>
        </w:rPr>
        <w:t>、</w:t>
      </w:r>
      <w:r>
        <w:rPr>
          <w:rFonts w:hint="eastAsia" w:ascii="宋体" w:hAnsi="宋体" w:eastAsia="宋体" w:cs="宋体"/>
          <w:color w:val="auto"/>
          <w:kern w:val="0"/>
          <w:sz w:val="24"/>
          <w:szCs w:val="24"/>
          <w:lang w:val="en-US" w:eastAsia="zh-CN" w:bidi="ar"/>
        </w:rPr>
        <w:t>搅拌泵</w:t>
      </w:r>
      <w:r>
        <w:rPr>
          <w:rFonts w:hint="default" w:ascii="Times New Roman" w:hAnsi="Times New Roman" w:eastAsia="宋体" w:cs="Times New Roman"/>
          <w:color w:val="auto"/>
          <w:sz w:val="24"/>
          <w:szCs w:val="24"/>
        </w:rPr>
        <w:t>、</w:t>
      </w:r>
      <w:r>
        <w:rPr>
          <w:rFonts w:hint="eastAsia" w:cs="Times New Roman"/>
          <w:color w:val="auto"/>
          <w:sz w:val="24"/>
          <w:szCs w:val="24"/>
          <w:lang w:eastAsia="zh-CN"/>
        </w:rPr>
        <w:t>固液分离器</w:t>
      </w:r>
      <w:r>
        <w:rPr>
          <w:rFonts w:hint="default" w:ascii="Times New Roman" w:hAnsi="Times New Roman" w:eastAsia="宋体" w:cs="Times New Roman"/>
          <w:color w:val="auto"/>
          <w:sz w:val="24"/>
          <w:szCs w:val="24"/>
        </w:rPr>
        <w:t>等。噪声声级在</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0~</w:t>
      </w:r>
      <w:r>
        <w:rPr>
          <w:rFonts w:hint="default" w:ascii="Times New Roman" w:hAnsi="Times New Roman" w:eastAsia="宋体" w:cs="Times New Roman"/>
          <w:color w:val="auto"/>
          <w:sz w:val="24"/>
          <w:szCs w:val="24"/>
          <w:lang w:val="en-US" w:eastAsia="zh-CN"/>
        </w:rPr>
        <w:t>85</w:t>
      </w:r>
      <w:r>
        <w:rPr>
          <w:rFonts w:hint="default" w:ascii="Times New Roman" w:hAnsi="Times New Roman" w:eastAsia="宋体" w:cs="Times New Roman"/>
          <w:color w:val="auto"/>
          <w:sz w:val="24"/>
          <w:szCs w:val="24"/>
        </w:rPr>
        <w:t>dB（A）。本项目的噪声产生源强情况见下表。</w:t>
      </w:r>
    </w:p>
    <w:p>
      <w:pPr>
        <w:pStyle w:val="8"/>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w:t>
      </w:r>
      <w:r>
        <w:rPr>
          <w:rFonts w:hint="eastAsia" w:cs="Times New Roman"/>
          <w:color w:val="auto"/>
          <w:sz w:val="24"/>
          <w:szCs w:val="24"/>
          <w:lang w:val="en-US" w:eastAsia="zh-CN"/>
        </w:rPr>
        <w:t>5.6-1</w:t>
      </w:r>
      <w:r>
        <w:rPr>
          <w:rFonts w:hint="default" w:ascii="Times New Roman" w:hAnsi="Times New Roman" w:eastAsia="宋体" w:cs="Times New Roman"/>
          <w:color w:val="auto"/>
          <w:sz w:val="24"/>
          <w:szCs w:val="24"/>
        </w:rPr>
        <w:t xml:space="preserve">   噪声产生源强一览表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431"/>
        <w:gridCol w:w="1125"/>
        <w:gridCol w:w="1203"/>
        <w:gridCol w:w="1161"/>
        <w:gridCol w:w="2365"/>
        <w:gridCol w:w="1044"/>
        <w:gridCol w:w="1458"/>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tblHeader/>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324" w:type="pct"/>
            <w:gridSpan w:val="2"/>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噪声源</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治理措施</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源强dB(A)</w:t>
            </w:r>
          </w:p>
        </w:tc>
        <w:tc>
          <w:tcPr>
            <w:tcW w:w="829" w:type="pct"/>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排放强度dB(A)</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p>
        </w:tc>
        <w:tc>
          <w:tcPr>
            <w:tcW w:w="64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猪</w:t>
            </w:r>
            <w:r>
              <w:rPr>
                <w:rFonts w:hint="default" w:ascii="Times New Roman" w:hAnsi="Times New Roman" w:eastAsia="宋体" w:cs="Times New Roman"/>
                <w:color w:val="auto"/>
                <w:sz w:val="21"/>
                <w:szCs w:val="21"/>
              </w:rPr>
              <w:t>舍</w:t>
            </w:r>
          </w:p>
        </w:tc>
        <w:tc>
          <w:tcPr>
            <w:tcW w:w="68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降温风扇</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置于室内</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64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eastAsia"/>
                <w:color w:val="auto"/>
                <w:sz w:val="21"/>
                <w:szCs w:val="21"/>
              </w:rPr>
              <w:t>深井泵房</w:t>
            </w:r>
          </w:p>
        </w:tc>
        <w:tc>
          <w:tcPr>
            <w:tcW w:w="684" w:type="pct"/>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Times New Roman" w:hAnsi="Times New Roman" w:eastAsia="宋体" w:cs="Times New Roman"/>
                <w:color w:val="auto"/>
                <w:kern w:val="2"/>
                <w:sz w:val="21"/>
                <w:szCs w:val="18"/>
                <w:lang w:val="en-US" w:eastAsia="zh-CN" w:bidi="ar-SA"/>
              </w:rPr>
            </w:pPr>
            <w:r>
              <w:rPr>
                <w:color w:val="auto"/>
                <w:sz w:val="21"/>
                <w:szCs w:val="18"/>
              </w:rPr>
              <w:t>水泵</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基础减振、建筑隔声</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85</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65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640"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粪污处理</w:t>
            </w:r>
          </w:p>
        </w:tc>
        <w:tc>
          <w:tcPr>
            <w:tcW w:w="68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eastAsia" w:ascii="宋体" w:hAnsi="宋体" w:eastAsia="宋体" w:cs="宋体"/>
                <w:color w:val="auto"/>
                <w:kern w:val="0"/>
                <w:sz w:val="21"/>
                <w:szCs w:val="21"/>
                <w:lang w:val="en-US" w:eastAsia="zh-CN" w:bidi="ar"/>
              </w:rPr>
              <w:t>搅拌泵</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2</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基础减振、建筑隔声</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85</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65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c>
          <w:tcPr>
            <w:tcW w:w="640"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68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水泵</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4</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基础减振、建筑隔声</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85</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65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2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640"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z w:val="21"/>
                <w:szCs w:val="21"/>
              </w:rPr>
            </w:pPr>
          </w:p>
        </w:tc>
        <w:tc>
          <w:tcPr>
            <w:tcW w:w="68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2"/>
                <w:sz w:val="21"/>
                <w:szCs w:val="22"/>
                <w:lang w:val="en-US" w:eastAsia="zh-CN" w:bidi="ar-SA"/>
              </w:rPr>
            </w:pPr>
            <w:r>
              <w:rPr>
                <w:rFonts w:hint="eastAsia" w:cs="Times New Roman"/>
                <w:color w:val="auto"/>
                <w:lang w:eastAsia="zh-CN"/>
              </w:rPr>
              <w:t>固液分离器</w:t>
            </w:r>
          </w:p>
        </w:tc>
        <w:tc>
          <w:tcPr>
            <w:tcW w:w="66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lang w:val="en-US" w:eastAsia="zh-CN"/>
              </w:rPr>
              <w:t>1</w:t>
            </w:r>
          </w:p>
        </w:tc>
        <w:tc>
          <w:tcPr>
            <w:tcW w:w="134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基础减振、建筑隔声</w:t>
            </w:r>
          </w:p>
        </w:tc>
        <w:tc>
          <w:tcPr>
            <w:tcW w:w="59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85</w:t>
            </w:r>
          </w:p>
        </w:tc>
        <w:tc>
          <w:tcPr>
            <w:tcW w:w="82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rPr>
              <w:t>65</w:t>
            </w:r>
          </w:p>
        </w:tc>
      </w:tr>
    </w:tbl>
    <w:p>
      <w:pPr>
        <w:pStyle w:val="6"/>
        <w:rPr>
          <w:rFonts w:hint="default" w:ascii="Times New Roman" w:hAnsi="Times New Roman" w:eastAsia="宋体" w:cs="Times New Roman"/>
          <w:color w:val="auto"/>
        </w:rPr>
      </w:pPr>
      <w:bookmarkStart w:id="360" w:name="_Toc1684"/>
      <w:r>
        <w:rPr>
          <w:rFonts w:hint="default" w:ascii="Times New Roman" w:hAnsi="Times New Roman" w:eastAsia="宋体" w:cs="Times New Roman"/>
          <w:color w:val="auto"/>
        </w:rPr>
        <w:t>5.6.2声环境预测方法</w:t>
      </w:r>
      <w:bookmarkEnd w:id="360"/>
    </w:p>
    <w:p>
      <w:pPr>
        <w:ind w:firstLine="480"/>
        <w:rPr>
          <w:rFonts w:hint="default" w:ascii="Times New Roman" w:hAnsi="Times New Roman" w:eastAsia="宋体" w:cs="Times New Roman"/>
          <w:color w:val="auto"/>
        </w:rPr>
      </w:pPr>
      <w:bookmarkStart w:id="361" w:name="_Toc255298748"/>
      <w:bookmarkStart w:id="362" w:name="_Toc241406780"/>
      <w:bookmarkStart w:id="363" w:name="_Toc253320781"/>
      <w:r>
        <w:rPr>
          <w:rFonts w:hint="default" w:ascii="Times New Roman" w:hAnsi="Times New Roman" w:eastAsia="宋体" w:cs="Times New Roman"/>
          <w:color w:val="auto"/>
        </w:rPr>
        <w:t>本次环境噪声预测，采用《环境影响评价技术导则 声环境》（HJ2.4-2009）中的工业噪声预测模式，主要是对拟建项目噪声源对厂界的影响进行预测，厂界以现状监测点为预测点。预测模式如下：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1）单个室外的点声源在预测点产生的声级计算公式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相同方向预测点位置的倍频带声压级L</w:t>
      </w:r>
      <w:r>
        <w:rPr>
          <w:rFonts w:hint="default" w:ascii="Times New Roman" w:hAnsi="Times New Roman" w:eastAsia="宋体" w:cs="Times New Roman"/>
          <w:color w:val="auto"/>
          <w:vertAlign w:val="subscript"/>
        </w:rPr>
        <w:t>P</w:t>
      </w:r>
      <w:r>
        <w:rPr>
          <w:rFonts w:hint="default" w:ascii="Times New Roman" w:hAnsi="Times New Roman" w:eastAsia="宋体" w:cs="Times New Roman"/>
          <w:color w:val="auto"/>
        </w:rPr>
        <w:t>(r)计算公式：</w:t>
      </w:r>
    </w:p>
    <w:p>
      <w:pPr>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position w:val="-14"/>
        </w:rPr>
        <w:object>
          <v:shape id="_x0000_i1029" o:spt="75" type="#_x0000_t75" style="height:26.5pt;width:93.75pt;" o:ole="t" filled="f" o:preferrelative="t" stroked="f" coordsize="21600,21600">
            <v:path/>
            <v:fill on="f" focussize="0,0"/>
            <v:stroke on="f" joinstyle="miter"/>
            <v:imagedata r:id="rId45" o:title=""/>
            <o:lock v:ext="edit" aspectratio="t"/>
            <w10:wrap type="none"/>
            <w10:anchorlock/>
          </v:shape>
          <o:OLEObject Type="Embed" ProgID="Equation.3" ShapeID="_x0000_i1029" DrawAspect="Content" ObjectID="_1468075729" r:id="rId44">
            <o:LockedField>false</o:LockedField>
          </o:OLEObject>
        </w:object>
      </w:r>
    </w:p>
    <w:p>
      <w:pPr>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position w:val="-14"/>
        </w:rPr>
        <w:object>
          <v:shape id="_x0000_i1030" o:spt="75" type="#_x0000_t75" style="height:26.5pt;width:169.15pt;" o:ole="t" filled="f" o:preferrelative="t" stroked="f" coordsize="21600,21600">
            <v:path/>
            <v:fill on="f" focussize="0,0"/>
            <v:stroke on="f" joinstyle="miter"/>
            <v:imagedata r:id="rId47" o:title=""/>
            <o:lock v:ext="edit" aspectratio="t"/>
            <w10:wrap type="none"/>
            <w10:anchorlock/>
          </v:shape>
          <o:OLEObject Type="Embed" ProgID="Equation.3" ShapeID="_x0000_i1030" DrawAspect="Content" ObjectID="_1468075730" r:id="rId46">
            <o:LockedField>false</o:LockedField>
          </o:OLEObject>
        </w:objec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L</w:t>
      </w:r>
      <w:r>
        <w:rPr>
          <w:rFonts w:hint="default" w:ascii="Times New Roman" w:hAnsi="Times New Roman" w:eastAsia="宋体" w:cs="Times New Roman"/>
          <w:color w:val="auto"/>
          <w:vertAlign w:val="subscript"/>
        </w:rPr>
        <w:t>p(r0)</w:t>
      </w:r>
      <w:r>
        <w:rPr>
          <w:rFonts w:hint="default" w:ascii="Times New Roman" w:hAnsi="Times New Roman" w:eastAsia="宋体" w:cs="Times New Roman"/>
          <w:color w:val="auto"/>
        </w:rPr>
        <w:t>—靠近声源处某点的倍频带声压级，dB；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A—倍频带衰减，dB；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A</w:t>
      </w:r>
      <w:r>
        <w:rPr>
          <w:rFonts w:hint="default" w:ascii="Times New Roman" w:hAnsi="Times New Roman" w:eastAsia="宋体" w:cs="Times New Roman"/>
          <w:color w:val="auto"/>
          <w:vertAlign w:val="subscript"/>
        </w:rPr>
        <w:t>div</w:t>
      </w:r>
      <w:r>
        <w:rPr>
          <w:rFonts w:hint="default" w:ascii="Times New Roman" w:hAnsi="Times New Roman" w:eastAsia="宋体" w:cs="Times New Roman"/>
          <w:color w:val="auto"/>
        </w:rPr>
        <w:t>—几何发散引起的倍频带衰减，dB；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A</w:t>
      </w:r>
      <w:r>
        <w:rPr>
          <w:rFonts w:hint="default" w:ascii="Times New Roman" w:hAnsi="Times New Roman" w:eastAsia="宋体" w:cs="Times New Roman"/>
          <w:color w:val="auto"/>
          <w:vertAlign w:val="subscript"/>
        </w:rPr>
        <w:t>atm</w:t>
      </w:r>
      <w:r>
        <w:rPr>
          <w:rFonts w:hint="default" w:ascii="Times New Roman" w:hAnsi="Times New Roman" w:eastAsia="宋体" w:cs="Times New Roman"/>
          <w:color w:val="auto"/>
        </w:rPr>
        <w:t>—大气吸收引起的倍频带衰减，dB；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A</w:t>
      </w:r>
      <w:r>
        <w:rPr>
          <w:rFonts w:hint="default" w:ascii="Times New Roman" w:hAnsi="Times New Roman" w:eastAsia="宋体" w:cs="Times New Roman"/>
          <w:color w:val="auto"/>
          <w:vertAlign w:val="subscript"/>
        </w:rPr>
        <w:t>gr</w:t>
      </w:r>
      <w:r>
        <w:rPr>
          <w:rFonts w:hint="default" w:ascii="Times New Roman" w:hAnsi="Times New Roman" w:eastAsia="宋体" w:cs="Times New Roman"/>
          <w:color w:val="auto"/>
        </w:rPr>
        <w:t>—地面效应引起的倍频带衰减，dB；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A</w:t>
      </w:r>
      <w:r>
        <w:rPr>
          <w:rFonts w:hint="default" w:ascii="Times New Roman" w:hAnsi="Times New Roman" w:eastAsia="宋体" w:cs="Times New Roman"/>
          <w:color w:val="auto"/>
          <w:vertAlign w:val="subscript"/>
        </w:rPr>
        <w:t>bar</w:t>
      </w:r>
      <w:r>
        <w:rPr>
          <w:rFonts w:hint="default" w:ascii="Times New Roman" w:hAnsi="Times New Roman" w:eastAsia="宋体" w:cs="Times New Roman"/>
          <w:color w:val="auto"/>
        </w:rPr>
        <w:t>—声屏障引起的倍频带衰减，dB；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A</w:t>
      </w:r>
      <w:r>
        <w:rPr>
          <w:rFonts w:hint="default" w:ascii="Times New Roman" w:hAnsi="Times New Roman" w:eastAsia="宋体" w:cs="Times New Roman"/>
          <w:color w:val="auto"/>
          <w:vertAlign w:val="subscript"/>
        </w:rPr>
        <w:t>misc</w:t>
      </w:r>
      <w:r>
        <w:rPr>
          <w:rFonts w:hint="default" w:ascii="Times New Roman" w:hAnsi="Times New Roman" w:eastAsia="宋体" w:cs="Times New Roman"/>
          <w:color w:val="auto"/>
        </w:rPr>
        <w:t>—其他多方面效应引起的倍频带衰减，dB。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2）室内声源等效室外声源声功率级计算方法</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室外的倍频带声压级</w:t>
      </w:r>
    </w:p>
    <w:p>
      <w:pPr>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position w:val="-14"/>
        </w:rPr>
        <w:object>
          <v:shape id="_x0000_i1031" o:spt="75" type="#_x0000_t75" style="height:21.75pt;width:102.55pt;" o:ole="t" filled="f" o:preferrelative="t" stroked="f" coordsize="21600,21600">
            <v:path/>
            <v:fill on="f" focussize="0,0"/>
            <v:stroke on="f" joinstyle="miter"/>
            <v:imagedata r:id="rId49" o:title=""/>
            <o:lock v:ext="edit" aspectratio="t"/>
            <w10:wrap type="none"/>
            <w10:anchorlock/>
          </v:shape>
          <o:OLEObject Type="Embed" ProgID="Equation.3" ShapeID="_x0000_i1031" DrawAspect="Content" ObjectID="_1468075731" r:id="rId48">
            <o:LockedField>false</o:LockedField>
          </o:OLEObject>
        </w:objec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TL—隔墙（或窗户）倍频带的隔声量，dB。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某一室内声源靠近围护结构处产生的倍频带声压级</w:t>
      </w:r>
    </w:p>
    <w:p>
      <w:pPr>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position w:val="-24"/>
        </w:rPr>
        <w:object>
          <v:shape id="_x0000_i1032" o:spt="75" type="#_x0000_t75" style="height:30.55pt;width:139.25pt;" o:ole="t" filled="f" o:preferrelative="t" stroked="f" coordsize="21600,21600">
            <v:path/>
            <v:fill on="f" focussize="0,0"/>
            <v:stroke on="f" joinstyle="miter"/>
            <v:imagedata r:id="rId51" o:title=""/>
            <o:lock v:ext="edit" aspectratio="t"/>
            <w10:wrap type="none"/>
            <w10:anchorlock/>
          </v:shape>
          <o:OLEObject Type="Embed" ProgID="Equation.3" ShapeID="_x0000_i1032" DrawAspect="Content" ObjectID="_1468075732" r:id="rId50">
            <o:LockedField>false</o:LockedField>
          </o:OLEObject>
        </w:objec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Q—指向性因数；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R—房间常数；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r—声源在靠近围护结构某点处的距离，m。</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室内声源在围护结构处产生的i倍频带叠加声压级：</w:t>
      </w:r>
    </w:p>
    <w:p>
      <w:pPr>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position w:val="-30"/>
        </w:rPr>
        <w:object>
          <v:shape id="_x0000_i1033" o:spt="75" type="#_x0000_t75" style="height:36.7pt;width:133.15pt;" o:ole="t" filled="f" o:preferrelative="t" stroked="f" coordsize="21600,21600">
            <v:path/>
            <v:fill on="f" focussize="0,0"/>
            <v:stroke on="f" joinstyle="miter"/>
            <v:imagedata r:id="rId53" o:title=""/>
            <o:lock v:ext="edit" aspectratio="t"/>
            <w10:wrap type="none"/>
            <w10:anchorlock/>
          </v:shape>
          <o:OLEObject Type="Embed" ProgID="Equation.3" ShapeID="_x0000_i1033" DrawAspect="Content" ObjectID="_1468075733" r:id="rId52">
            <o:LockedField>false</o:LockedField>
          </o:OLEObject>
        </w:objec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bookmarkStart w:id="364" w:name="_Toc471227766"/>
      <w:r>
        <w:rPr>
          <w:rFonts w:hint="default" w:ascii="Times New Roman" w:hAnsi="Times New Roman" w:eastAsia="宋体" w:cs="Times New Roman"/>
          <w:color w:val="auto"/>
        </w:rPr>
        <w:t>Lp1i(T)—靠近围护结构处室内N个声源i倍频带的叠加声压级，dB；</w:t>
      </w:r>
      <w:bookmarkEnd w:id="364"/>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L</w:t>
      </w:r>
      <w:r>
        <w:rPr>
          <w:rFonts w:hint="default" w:ascii="Times New Roman" w:hAnsi="Times New Roman" w:eastAsia="宋体" w:cs="Times New Roman"/>
          <w:color w:val="auto"/>
          <w:vertAlign w:val="subscript"/>
        </w:rPr>
        <w:t>p1ij</w:t>
      </w:r>
      <w:r>
        <w:rPr>
          <w:rFonts w:hint="default" w:ascii="Times New Roman" w:hAnsi="Times New Roman" w:eastAsia="宋体" w:cs="Times New Roman"/>
          <w:color w:val="auto"/>
        </w:rPr>
        <w:t>—室内j声源i倍频带的声压级，dB；</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N—室内声源总数。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3）噪声贡献值计算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拟建项目声源对预测点产生的贡献值为：</w:t>
      </w:r>
    </w:p>
    <w:p>
      <w:pPr>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position w:val="-34"/>
        </w:rPr>
        <w:object>
          <v:shape id="_x0000_i1034" o:spt="75" type="#_x0000_t75" style="height:41.45pt;width:205.15pt;" o:ole="t" filled="f" o:preferrelative="t" stroked="f" coordsize="21600,21600">
            <v:path/>
            <v:fill on="f" focussize="0,0"/>
            <v:stroke on="f" joinstyle="miter"/>
            <v:imagedata r:id="rId55" o:title=""/>
            <o:lock v:ext="edit" aspectratio="t"/>
            <w10:wrap type="none"/>
            <w10:anchorlock/>
          </v:shape>
          <o:OLEObject Type="Embed" ProgID="Equation.3" ShapeID="_x0000_i1034" DrawAspect="Content" ObjectID="_1468075734" r:id="rId54">
            <o:LockedField>false</o:LockedField>
          </o:OLEObject>
        </w:objec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t</w:t>
      </w:r>
      <w:r>
        <w:rPr>
          <w:rFonts w:hint="default" w:ascii="Times New Roman" w:hAnsi="Times New Roman" w:eastAsia="宋体" w:cs="Times New Roman"/>
          <w:color w:val="auto"/>
          <w:vertAlign w:val="subscript"/>
        </w:rPr>
        <w:t>j</w:t>
      </w:r>
      <w:r>
        <w:rPr>
          <w:rFonts w:hint="default" w:ascii="Times New Roman" w:hAnsi="Times New Roman" w:eastAsia="宋体" w:cs="Times New Roman"/>
          <w:color w:val="auto"/>
        </w:rPr>
        <w:t>—在T时间内j声源工作时间，s；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t</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—在T时间内i声源工作时间，s；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T—用于计算等效声级的时间，s；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N—室外声源个数；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M—等效室外声源个数。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4）预测值计算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建设项目声源在预测点产生的等效声级贡献值（L</w:t>
      </w:r>
      <w:r>
        <w:rPr>
          <w:rFonts w:hint="default" w:ascii="Times New Roman" w:hAnsi="Times New Roman" w:eastAsia="宋体" w:cs="Times New Roman"/>
          <w:color w:val="auto"/>
          <w:vertAlign w:val="subscript"/>
        </w:rPr>
        <w:t>eqg</w:t>
      </w:r>
      <w:r>
        <w:rPr>
          <w:rFonts w:hint="default" w:ascii="Times New Roman" w:hAnsi="Times New Roman" w:eastAsia="宋体" w:cs="Times New Roman"/>
          <w:color w:val="auto"/>
        </w:rPr>
        <w:t>）计算公式：</w:t>
      </w:r>
    </w:p>
    <w:p>
      <w:pPr>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position w:val="-30"/>
        </w:rPr>
        <w:object>
          <v:shape id="_x0000_i1035" o:spt="75" type="#_x0000_t75" style="height:36.7pt;width:133.8pt;" o:ole="t" filled="f" o:preferrelative="t" stroked="f" coordsize="21600,21600">
            <v:path/>
            <v:fill on="f" focussize="0,0"/>
            <v:stroke on="f" joinstyle="miter"/>
            <v:imagedata r:id="rId57" o:title=""/>
            <o:lock v:ext="edit" aspectratio="t"/>
            <w10:wrap type="none"/>
            <w10:anchorlock/>
          </v:shape>
          <o:OLEObject Type="Embed" ProgID="Equation.3" ShapeID="_x0000_i1035" DrawAspect="Content" ObjectID="_1468075735" r:id="rId56">
            <o:LockedField>false</o:LockedField>
          </o:OLEObject>
        </w:objec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bookmarkStart w:id="365" w:name="_Toc471227767"/>
      <w:r>
        <w:rPr>
          <w:rFonts w:hint="default" w:ascii="Times New Roman" w:hAnsi="Times New Roman" w:eastAsia="宋体" w:cs="Times New Roman"/>
          <w:color w:val="auto"/>
        </w:rPr>
        <w:t>L</w:t>
      </w:r>
      <w:r>
        <w:rPr>
          <w:rFonts w:hint="default" w:ascii="Times New Roman" w:hAnsi="Times New Roman" w:eastAsia="宋体" w:cs="Times New Roman"/>
          <w:color w:val="auto"/>
          <w:vertAlign w:val="subscript"/>
        </w:rPr>
        <w:t>eqg</w:t>
      </w:r>
      <w:r>
        <w:rPr>
          <w:rFonts w:hint="default" w:ascii="Times New Roman" w:hAnsi="Times New Roman" w:eastAsia="宋体" w:cs="Times New Roman"/>
          <w:color w:val="auto"/>
        </w:rPr>
        <w:t>—建设项目声源在预测点的等效声级贡献值，dB(A)；</w:t>
      </w:r>
      <w:bookmarkEnd w:id="36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L</w:t>
      </w:r>
      <w:r>
        <w:rPr>
          <w:rFonts w:hint="default" w:ascii="Times New Roman" w:hAnsi="Times New Roman" w:eastAsia="宋体" w:cs="Times New Roman"/>
          <w:color w:val="auto"/>
          <w:vertAlign w:val="subscript"/>
        </w:rPr>
        <w:t>Ai</w:t>
      </w:r>
      <w:r>
        <w:rPr>
          <w:rFonts w:hint="default" w:ascii="Times New Roman" w:hAnsi="Times New Roman" w:eastAsia="宋体" w:cs="Times New Roman"/>
          <w:color w:val="auto"/>
        </w:rPr>
        <w:t>—i声源在预测点产生的A声级，dB(A)；</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T—预测计算的时间段，s；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t</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—i声源在T时段内的运行时间，s。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预测点的预测等效声级（L</w:t>
      </w:r>
      <w:r>
        <w:rPr>
          <w:rFonts w:hint="default" w:ascii="Times New Roman" w:hAnsi="Times New Roman" w:eastAsia="宋体" w:cs="Times New Roman"/>
          <w:color w:val="auto"/>
          <w:vertAlign w:val="subscript"/>
        </w:rPr>
        <w:t>eq</w:t>
      </w:r>
      <w:r>
        <w:rPr>
          <w:rFonts w:hint="default" w:ascii="Times New Roman" w:hAnsi="Times New Roman" w:eastAsia="宋体" w:cs="Times New Roman"/>
          <w:color w:val="auto"/>
        </w:rPr>
        <w:t>）计算公式：</w:t>
      </w:r>
    </w:p>
    <w:p>
      <w:pPr>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rPr>
        <w:object>
          <v:shape id="_x0000_i1036" o:spt="75" type="#_x0000_t75" style="height:26.5pt;width:139.25pt;" o:ole="t" filled="f" o:preferrelative="t" stroked="f" coordsize="21600,21600">
            <v:path/>
            <v:fill on="f" focussize="0,0"/>
            <v:stroke on="f" joinstyle="miter"/>
            <v:imagedata r:id="rId59" o:title=""/>
            <o:lock v:ext="edit" aspectratio="t"/>
            <w10:wrap type="none"/>
            <w10:anchorlock/>
          </v:shape>
          <o:OLEObject Type="Embed" ProgID="Equation.3" ShapeID="_x0000_i1036" DrawAspect="Content" ObjectID="_1468075736" r:id="rId58">
            <o:LockedField>false</o:LockedField>
          </o:OLEObject>
        </w:objec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bookmarkStart w:id="366" w:name="_Toc471227768"/>
      <w:r>
        <w:rPr>
          <w:rFonts w:hint="default" w:ascii="Times New Roman" w:hAnsi="Times New Roman" w:eastAsia="宋体" w:cs="Times New Roman"/>
          <w:color w:val="auto"/>
        </w:rPr>
        <w:t>L</w:t>
      </w:r>
      <w:r>
        <w:rPr>
          <w:rFonts w:hint="default" w:ascii="Times New Roman" w:hAnsi="Times New Roman" w:eastAsia="宋体" w:cs="Times New Roman"/>
          <w:color w:val="auto"/>
          <w:vertAlign w:val="subscript"/>
        </w:rPr>
        <w:t>eqg</w:t>
      </w:r>
      <w:r>
        <w:rPr>
          <w:rFonts w:hint="default" w:ascii="Times New Roman" w:hAnsi="Times New Roman" w:eastAsia="宋体" w:cs="Times New Roman"/>
          <w:color w:val="auto"/>
        </w:rPr>
        <w:t>—建设项目声源在预测点的等效声级贡献值，dB(A)；</w:t>
      </w:r>
      <w:bookmarkEnd w:id="36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L</w:t>
      </w:r>
      <w:r>
        <w:rPr>
          <w:rFonts w:hint="default" w:ascii="Times New Roman" w:hAnsi="Times New Roman" w:eastAsia="宋体" w:cs="Times New Roman"/>
          <w:color w:val="auto"/>
          <w:vertAlign w:val="subscript"/>
        </w:rPr>
        <w:t>eqb</w:t>
      </w:r>
      <w:r>
        <w:rPr>
          <w:rFonts w:hint="default" w:ascii="Times New Roman" w:hAnsi="Times New Roman" w:eastAsia="宋体" w:cs="Times New Roman"/>
          <w:color w:val="auto"/>
        </w:rPr>
        <w:t>—预测点的背景值，dB(A)。</w:t>
      </w:r>
      <w:bookmarkEnd w:id="361"/>
      <w:bookmarkEnd w:id="362"/>
      <w:bookmarkEnd w:id="363"/>
    </w:p>
    <w:p>
      <w:pPr>
        <w:pStyle w:val="6"/>
        <w:rPr>
          <w:rFonts w:hint="default" w:ascii="Times New Roman" w:hAnsi="Times New Roman" w:eastAsia="宋体" w:cs="Times New Roman"/>
          <w:color w:val="auto"/>
        </w:rPr>
      </w:pPr>
      <w:bookmarkStart w:id="367" w:name="_Toc286164661"/>
      <w:bookmarkStart w:id="368" w:name="_Toc305308424"/>
      <w:bookmarkStart w:id="369" w:name="_Toc255298766"/>
      <w:bookmarkStart w:id="370" w:name="_Toc259614279"/>
      <w:bookmarkStart w:id="371" w:name="_Toc347089996"/>
      <w:bookmarkStart w:id="372" w:name="_Toc414022975"/>
      <w:bookmarkStart w:id="373" w:name="_Toc439090908"/>
      <w:bookmarkStart w:id="374" w:name="_Toc265744683"/>
      <w:bookmarkStart w:id="375" w:name="_Toc289249108"/>
      <w:bookmarkStart w:id="376" w:name="_Toc282785319"/>
      <w:bookmarkStart w:id="377" w:name="_Toc304736413"/>
      <w:bookmarkStart w:id="378" w:name="_Toc303002840"/>
      <w:bookmarkStart w:id="379" w:name="_Toc259614486"/>
      <w:bookmarkStart w:id="380" w:name="_Toc282796700"/>
      <w:bookmarkStart w:id="381" w:name="_Toc138493289"/>
      <w:bookmarkStart w:id="382" w:name="_Toc259456491"/>
      <w:bookmarkStart w:id="383" w:name="_Toc304537901"/>
      <w:bookmarkStart w:id="384" w:name="_Toc137236015"/>
      <w:bookmarkStart w:id="385" w:name="_Toc305323632"/>
      <w:bookmarkStart w:id="386" w:name="_Toc414022750"/>
      <w:bookmarkStart w:id="387" w:name="_Toc307566446"/>
      <w:bookmarkStart w:id="388" w:name="_Toc307561327"/>
      <w:bookmarkStart w:id="389" w:name="_Toc41476807"/>
      <w:bookmarkStart w:id="390" w:name="_Toc121"/>
      <w:r>
        <w:rPr>
          <w:rFonts w:hint="default" w:ascii="Times New Roman" w:hAnsi="Times New Roman" w:eastAsia="宋体" w:cs="Times New Roman"/>
          <w:color w:val="auto"/>
        </w:rPr>
        <w:t>5.6.3声环境预测结果</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Fonts w:hint="default" w:ascii="Times New Roman" w:hAnsi="Times New Roman" w:eastAsia="宋体" w:cs="Times New Roman"/>
          <w:color w:val="auto"/>
        </w:rPr>
        <w:t>及结论</w:t>
      </w:r>
      <w:bookmarkEnd w:id="389"/>
      <w:bookmarkEnd w:id="390"/>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根据《环境影响评价技术导则声环境》（HJ2.4-2009）规定，本项目为新建项目，预测厂界噪声时直接以工程噪声贡献值为评价量，不在叠加现状噪声背景值。</w:t>
      </w:r>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结合项目场区平面布置图，经噪声衰减和叠加公式计算，工程运营期主要噪声源对厂界的影响结果见表5.6-2。</w:t>
      </w:r>
    </w:p>
    <w:p>
      <w:pPr>
        <w:pStyle w:val="8"/>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表5.6-2    设备噪声预测结果      单位：dB（A）</w:t>
      </w:r>
    </w:p>
    <w:tbl>
      <w:tblPr>
        <w:tblStyle w:val="34"/>
        <w:tblW w:w="895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1643"/>
        <w:gridCol w:w="1939"/>
        <w:gridCol w:w="1344"/>
        <w:gridCol w:w="1344"/>
        <w:gridCol w:w="1344"/>
        <w:gridCol w:w="134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22" w:hRule="atLeast"/>
          <w:jc w:val="center"/>
        </w:trPr>
        <w:tc>
          <w:tcPr>
            <w:tcW w:w="1643"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项目名称</w:t>
            </w:r>
          </w:p>
        </w:tc>
        <w:tc>
          <w:tcPr>
            <w:tcW w:w="1939" w:type="dxa"/>
          </w:tcPr>
          <w:p>
            <w:pPr>
              <w:pStyle w:val="58"/>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预测内容</w:t>
            </w:r>
          </w:p>
        </w:tc>
        <w:tc>
          <w:tcPr>
            <w:tcW w:w="134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kern w:val="0"/>
                <w:szCs w:val="21"/>
              </w:rPr>
              <w:t>东厂界</w:t>
            </w:r>
          </w:p>
        </w:tc>
        <w:tc>
          <w:tcPr>
            <w:tcW w:w="1344" w:type="dxa"/>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kern w:val="0"/>
                <w:szCs w:val="21"/>
              </w:rPr>
              <w:t>南厂界</w:t>
            </w:r>
          </w:p>
        </w:tc>
        <w:tc>
          <w:tcPr>
            <w:tcW w:w="1344" w:type="dxa"/>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kern w:val="0"/>
                <w:szCs w:val="21"/>
              </w:rPr>
              <w:t>西厂界</w:t>
            </w:r>
          </w:p>
        </w:tc>
        <w:tc>
          <w:tcPr>
            <w:tcW w:w="134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kern w:val="0"/>
                <w:szCs w:val="21"/>
              </w:rPr>
              <w:t>北厂界</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22" w:hRule="atLeast"/>
          <w:jc w:val="center"/>
        </w:trPr>
        <w:tc>
          <w:tcPr>
            <w:tcW w:w="1643" w:type="dxa"/>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生产车间</w:t>
            </w:r>
          </w:p>
        </w:tc>
        <w:tc>
          <w:tcPr>
            <w:tcW w:w="1939" w:type="dxa"/>
          </w:tcPr>
          <w:p>
            <w:pPr>
              <w:pStyle w:val="58"/>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距离</w:t>
            </w:r>
          </w:p>
        </w:tc>
        <w:tc>
          <w:tcPr>
            <w:tcW w:w="1344" w:type="dxa"/>
            <w:vAlign w:val="center"/>
          </w:tcPr>
          <w:p>
            <w:pPr>
              <w:pStyle w:val="58"/>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60</w:t>
            </w:r>
          </w:p>
        </w:tc>
        <w:tc>
          <w:tcPr>
            <w:tcW w:w="1344" w:type="dxa"/>
          </w:tcPr>
          <w:p>
            <w:pPr>
              <w:pStyle w:val="58"/>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55</w:t>
            </w:r>
          </w:p>
        </w:tc>
        <w:tc>
          <w:tcPr>
            <w:tcW w:w="1344" w:type="dxa"/>
          </w:tcPr>
          <w:p>
            <w:pPr>
              <w:pStyle w:val="58"/>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100</w:t>
            </w:r>
          </w:p>
        </w:tc>
        <w:tc>
          <w:tcPr>
            <w:tcW w:w="1344" w:type="dxa"/>
            <w:vAlign w:val="center"/>
          </w:tcPr>
          <w:p>
            <w:pPr>
              <w:pStyle w:val="58"/>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176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22" w:hRule="atLeast"/>
          <w:jc w:val="center"/>
        </w:trPr>
        <w:tc>
          <w:tcPr>
            <w:tcW w:w="1643" w:type="dxa"/>
            <w:vMerge w:val="continue"/>
            <w:vAlign w:val="center"/>
          </w:tcPr>
          <w:p>
            <w:pPr>
              <w:pStyle w:val="58"/>
              <w:rPr>
                <w:rFonts w:hint="default" w:ascii="Times New Roman" w:hAnsi="Times New Roman" w:eastAsia="宋体" w:cs="Times New Roman"/>
                <w:color w:val="auto"/>
              </w:rPr>
            </w:pPr>
          </w:p>
        </w:tc>
        <w:tc>
          <w:tcPr>
            <w:tcW w:w="1939" w:type="dxa"/>
          </w:tcPr>
          <w:p>
            <w:pPr>
              <w:pStyle w:val="58"/>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贡献值</w:t>
            </w:r>
          </w:p>
        </w:tc>
        <w:tc>
          <w:tcPr>
            <w:tcW w:w="1344" w:type="dxa"/>
            <w:vAlign w:val="center"/>
          </w:tcPr>
          <w:p>
            <w:pPr>
              <w:pStyle w:val="58"/>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38.63</w:t>
            </w:r>
          </w:p>
        </w:tc>
        <w:tc>
          <w:tcPr>
            <w:tcW w:w="1344" w:type="dxa"/>
          </w:tcPr>
          <w:p>
            <w:pPr>
              <w:pStyle w:val="58"/>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41.52</w:t>
            </w:r>
          </w:p>
        </w:tc>
        <w:tc>
          <w:tcPr>
            <w:tcW w:w="1344" w:type="dxa"/>
          </w:tcPr>
          <w:p>
            <w:pPr>
              <w:pStyle w:val="58"/>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39.89</w:t>
            </w:r>
          </w:p>
        </w:tc>
        <w:tc>
          <w:tcPr>
            <w:tcW w:w="1344" w:type="dxa"/>
            <w:vAlign w:val="center"/>
          </w:tcPr>
          <w:p>
            <w:pPr>
              <w:pStyle w:val="58"/>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38.34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22" w:hRule="atLeast"/>
          <w:jc w:val="center"/>
        </w:trPr>
        <w:tc>
          <w:tcPr>
            <w:tcW w:w="3582"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《工业企业厂界环境噪声排放标准》（GB12348-2008）2类标准</w:t>
            </w:r>
          </w:p>
        </w:tc>
        <w:tc>
          <w:tcPr>
            <w:tcW w:w="268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昼间：65</w:t>
            </w:r>
          </w:p>
        </w:tc>
        <w:tc>
          <w:tcPr>
            <w:tcW w:w="2688" w:type="dxa"/>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夜间：55</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由上表可以看出，建设项目投产后，项目噪声经隔声及距离衰减后，项目运营期四周厂界的噪声预测值为</w:t>
      </w:r>
      <w:r>
        <w:rPr>
          <w:rFonts w:hint="default" w:ascii="Times New Roman" w:hAnsi="Times New Roman" w:eastAsia="宋体" w:cs="Times New Roman"/>
          <w:color w:val="auto"/>
          <w:lang w:val="en-US" w:eastAsia="zh-CN"/>
        </w:rPr>
        <w:t>38.34</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41.52</w:t>
      </w:r>
      <w:r>
        <w:rPr>
          <w:rFonts w:hint="default" w:ascii="Times New Roman" w:hAnsi="Times New Roman" w:eastAsia="宋体" w:cs="Times New Roman"/>
          <w:color w:val="auto"/>
        </w:rPr>
        <w:t>dB（A），项目厂界均能满足《工业企业厂界噪声排放标准》（GB12348-2008）中2类标准要求，拟建项目声环境评价范围内（200m）无声环境敏感点，不会产生声环境产生影响。</w:t>
      </w:r>
    </w:p>
    <w:p>
      <w:pPr>
        <w:pStyle w:val="5"/>
        <w:rPr>
          <w:rFonts w:hint="default" w:ascii="Times New Roman" w:hAnsi="Times New Roman" w:eastAsia="宋体" w:cs="Times New Roman"/>
          <w:color w:val="auto"/>
        </w:rPr>
      </w:pPr>
      <w:bookmarkStart w:id="391" w:name="_Toc494206332"/>
      <w:bookmarkStart w:id="392" w:name="_Toc530642956"/>
      <w:bookmarkStart w:id="393" w:name="_Toc3116"/>
      <w:r>
        <w:rPr>
          <w:rFonts w:hint="default" w:ascii="Times New Roman" w:hAnsi="Times New Roman" w:eastAsia="宋体" w:cs="Times New Roman"/>
          <w:color w:val="auto"/>
        </w:rPr>
        <w:t>5.7运营期固体废物环境影响分析</w:t>
      </w:r>
      <w:bookmarkEnd w:id="391"/>
      <w:bookmarkEnd w:id="392"/>
      <w:bookmarkEnd w:id="393"/>
    </w:p>
    <w:p>
      <w:pPr>
        <w:pStyle w:val="6"/>
        <w:rPr>
          <w:rFonts w:hint="default" w:ascii="Times New Roman" w:hAnsi="Times New Roman" w:eastAsia="宋体" w:cs="Times New Roman"/>
          <w:color w:val="auto"/>
        </w:rPr>
      </w:pPr>
      <w:bookmarkStart w:id="394" w:name="_Toc31327"/>
      <w:r>
        <w:rPr>
          <w:rFonts w:hint="default" w:ascii="Times New Roman" w:hAnsi="Times New Roman" w:eastAsia="宋体" w:cs="Times New Roman"/>
          <w:color w:val="auto"/>
        </w:rPr>
        <w:t>5.7.1固体废物环境影响特点</w:t>
      </w:r>
      <w:bookmarkEnd w:id="394"/>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固体废弃物除直接占用土地和空间外，其对环境的影响将会通过水、气或土壤污染周围环境，因此，固体废弃物既是造成水、大气、土壤污染的“源头”，又是废水、废气处理的“终态物”。</w:t>
      </w:r>
    </w:p>
    <w:p>
      <w:pPr>
        <w:pStyle w:val="6"/>
        <w:rPr>
          <w:rFonts w:hint="default" w:ascii="Times New Roman" w:hAnsi="Times New Roman" w:eastAsia="宋体" w:cs="Times New Roman"/>
          <w:color w:val="auto"/>
        </w:rPr>
      </w:pPr>
      <w:bookmarkStart w:id="395" w:name="_Toc17292"/>
      <w:r>
        <w:rPr>
          <w:rFonts w:hint="default" w:ascii="Times New Roman" w:hAnsi="Times New Roman" w:eastAsia="宋体" w:cs="Times New Roman"/>
          <w:color w:val="auto"/>
        </w:rPr>
        <w:t>5.7.2固体废物污染途径</w:t>
      </w:r>
      <w:bookmarkEnd w:id="39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运营过程中产生的固体废物如处置不当，将会对周围环境造成影响，本工程主要是</w:t>
      </w:r>
      <w:r>
        <w:rPr>
          <w:rFonts w:hint="eastAsia" w:cs="Times New Roman"/>
          <w:color w:val="auto"/>
          <w:lang w:eastAsia="zh-CN"/>
        </w:rPr>
        <w:t>猪粪</w:t>
      </w:r>
      <w:r>
        <w:rPr>
          <w:rFonts w:hint="default" w:ascii="Times New Roman" w:hAnsi="Times New Roman" w:eastAsia="宋体" w:cs="Times New Roman"/>
          <w:color w:val="auto"/>
        </w:rPr>
        <w:t>对周围环境的影响，主要表现在以下方面：</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氮磷的污染</w:t>
      </w:r>
    </w:p>
    <w:p>
      <w:pPr>
        <w:ind w:firstLine="480"/>
        <w:rPr>
          <w:rFonts w:hint="default" w:ascii="Times New Roman" w:hAnsi="Times New Roman" w:eastAsia="宋体" w:cs="Times New Roman"/>
          <w:color w:val="auto"/>
        </w:rPr>
      </w:pPr>
      <w:r>
        <w:rPr>
          <w:rFonts w:hint="eastAsia" w:cs="Times New Roman"/>
          <w:color w:val="auto"/>
          <w:lang w:eastAsia="zh-CN"/>
        </w:rPr>
        <w:t>猪粪</w:t>
      </w:r>
      <w:r>
        <w:rPr>
          <w:rFonts w:hint="default" w:ascii="Times New Roman" w:hAnsi="Times New Roman" w:eastAsia="宋体" w:cs="Times New Roman"/>
          <w:color w:val="auto"/>
        </w:rPr>
        <w:t>中含有大量的氮磷化合物，未经处理的粪便中的一部分氮以氨的形式挥发到大气中，增加了大气中氨的含量，氨可转化为氮氧化物，使空气质量下降，严重时导致酸雨，危害环境。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畜禽粪便中的氮磷流失量大于化肥氮磷流失量，是造成农村污染的主要原因之一。若不及时清理，就会通过地表径流，汇入地表水体，大量的氮、磷流入会导致水体富营养化。</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畜禽粪便长期堆放，粪便中所含大量含氮化合物在土壤微生物的作用下，通过氨化、硝化等生物化学反应过程，导致土壤中硝酸盐含量增高，间接影响人体健康。</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有害病原微生物的污染</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粪便是微生物的主要载体。大量实践表明，由于畜禽粪便的随意堆放，最终会导致畜禽传染病和寄生虫病的蔓延。</w:t>
      </w:r>
    </w:p>
    <w:p>
      <w:pPr>
        <w:pStyle w:val="6"/>
        <w:rPr>
          <w:rFonts w:hint="default" w:ascii="Times New Roman" w:hAnsi="Times New Roman" w:eastAsia="宋体" w:cs="Times New Roman"/>
          <w:color w:val="auto"/>
        </w:rPr>
      </w:pPr>
      <w:bookmarkStart w:id="396" w:name="_Toc5541"/>
      <w:r>
        <w:rPr>
          <w:rFonts w:hint="default" w:ascii="Times New Roman" w:hAnsi="Times New Roman" w:eastAsia="宋体" w:cs="Times New Roman"/>
          <w:color w:val="auto"/>
        </w:rPr>
        <w:t>5.7.3固废影响分析</w:t>
      </w:r>
      <w:bookmarkEnd w:id="39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根据工程分析，项目养殖过程由于疾病等原因产生的病死畜</w:t>
      </w:r>
      <w:r>
        <w:rPr>
          <w:rFonts w:hint="eastAsia" w:cs="Times New Roman"/>
          <w:color w:val="auto"/>
          <w:lang w:val="en-US" w:eastAsia="zh-CN"/>
        </w:rPr>
        <w:t>设置安全填埋井</w:t>
      </w:r>
      <w:r>
        <w:rPr>
          <w:rFonts w:hint="default" w:ascii="Times New Roman" w:hAnsi="Times New Roman" w:eastAsia="宋体" w:cs="Times New Roman"/>
          <w:color w:val="auto"/>
        </w:rPr>
        <w:t>进行无害化处理；</w:t>
      </w:r>
      <w:r>
        <w:rPr>
          <w:rFonts w:hint="default" w:ascii="Times New Roman" w:hAnsi="Times New Roman" w:eastAsia="宋体" w:cs="Times New Roman"/>
          <w:color w:val="auto"/>
          <w:highlight w:val="none"/>
        </w:rPr>
        <w:t>运营过程产生的医疗废弃物</w:t>
      </w:r>
      <w:r>
        <w:rPr>
          <w:rFonts w:hint="default" w:ascii="Times New Roman" w:hAnsi="Times New Roman" w:eastAsia="宋体" w:cs="Times New Roman"/>
          <w:color w:val="auto"/>
          <w:highlight w:val="none"/>
          <w:lang w:eastAsia="zh-CN"/>
        </w:rPr>
        <w:t>暂存于危险废物暂存间内，</w:t>
      </w:r>
      <w:r>
        <w:rPr>
          <w:rFonts w:hint="default" w:ascii="Times New Roman" w:hAnsi="Times New Roman" w:eastAsia="宋体" w:cs="Times New Roman"/>
          <w:color w:val="auto"/>
          <w:highlight w:val="none"/>
        </w:rPr>
        <w:t>交由有资质单位处理；</w:t>
      </w:r>
      <w:r>
        <w:rPr>
          <w:rFonts w:hint="eastAsia" w:cs="Times New Roman"/>
          <w:color w:val="auto"/>
          <w:highlight w:val="none"/>
          <w:lang w:eastAsia="zh-CN"/>
        </w:rPr>
        <w:t>猪粪</w:t>
      </w:r>
      <w:r>
        <w:rPr>
          <w:rFonts w:hint="default" w:ascii="Times New Roman" w:hAnsi="Times New Roman" w:eastAsia="宋体" w:cs="Times New Roman"/>
          <w:color w:val="auto"/>
        </w:rPr>
        <w:t>出售有机肥生产厂家进行资源化利用</w:t>
      </w:r>
      <w:r>
        <w:rPr>
          <w:rFonts w:hint="default" w:ascii="Times New Roman" w:hAnsi="Times New Roman" w:eastAsia="宋体" w:cs="Times New Roman"/>
          <w:color w:val="auto"/>
          <w:highlight w:val="none"/>
        </w:rPr>
        <w:t>；生活垃圾</w:t>
      </w:r>
      <w:r>
        <w:rPr>
          <w:rFonts w:hint="default" w:ascii="Times New Roman" w:hAnsi="Times New Roman" w:eastAsia="宋体" w:cs="Times New Roman"/>
          <w:color w:val="auto"/>
          <w:highlight w:val="none"/>
          <w:lang w:eastAsia="zh-CN"/>
        </w:rPr>
        <w:t>和</w:t>
      </w:r>
      <w:r>
        <w:rPr>
          <w:rFonts w:hint="default" w:ascii="Times New Roman" w:hAnsi="Times New Roman" w:eastAsia="宋体" w:cs="Times New Roman"/>
          <w:color w:val="auto"/>
          <w:highlight w:val="none"/>
        </w:rPr>
        <w:t>废离子交换树脂统一收集后</w:t>
      </w:r>
      <w:r>
        <w:rPr>
          <w:rFonts w:hint="default" w:ascii="Times New Roman" w:hAnsi="Times New Roman" w:eastAsia="宋体" w:cs="Times New Roman"/>
          <w:color w:val="auto"/>
          <w:lang w:bidi="zh-CN"/>
        </w:rPr>
        <w:t>清运到环卫部门指定的地点集中处理</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综合以上分析，拟建项目投产后，产生的固体废物均得到综合利用和有效处置和利用，拟建项目固体废物对周围环境产生的影响较小。</w:t>
      </w:r>
    </w:p>
    <w:p>
      <w:pPr>
        <w:pStyle w:val="5"/>
        <w:rPr>
          <w:rFonts w:hint="default" w:ascii="Times New Roman" w:hAnsi="Times New Roman" w:eastAsia="宋体" w:cs="Times New Roman"/>
          <w:color w:val="auto"/>
        </w:rPr>
      </w:pPr>
      <w:bookmarkStart w:id="397" w:name="_Toc7084"/>
      <w:r>
        <w:rPr>
          <w:rFonts w:hint="default" w:ascii="Times New Roman" w:hAnsi="Times New Roman" w:eastAsia="宋体" w:cs="Times New Roman"/>
          <w:color w:val="auto"/>
        </w:rPr>
        <w:t>5.8运营期生态环境影响分析</w:t>
      </w:r>
      <w:bookmarkEnd w:id="397"/>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运营期对生态环境产生的影响主要表现为对土地利用格局的改变，对动植物的影响，对土壤污染影响。</w:t>
      </w:r>
    </w:p>
    <w:p>
      <w:pPr>
        <w:pStyle w:val="6"/>
        <w:rPr>
          <w:rFonts w:hint="default" w:ascii="Times New Roman" w:hAnsi="Times New Roman" w:eastAsia="宋体" w:cs="Times New Roman"/>
          <w:color w:val="auto"/>
        </w:rPr>
      </w:pPr>
      <w:bookmarkStart w:id="398" w:name="_Toc17683"/>
      <w:r>
        <w:rPr>
          <w:rFonts w:hint="default" w:ascii="Times New Roman" w:hAnsi="Times New Roman" w:eastAsia="宋体" w:cs="Times New Roman"/>
          <w:color w:val="auto"/>
        </w:rPr>
        <w:t>5.8.1土地利用影响评价</w:t>
      </w:r>
      <w:bookmarkEnd w:id="39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项目的建设使土地利用格局发生了变化，这一变化将使区域内局部地块的功能彻底发生改变。项目的建设占用项目所在地大部分为牧草地，使得生态景观更加破碎化，项目区域内生态环境生产能力下降。</w:t>
      </w:r>
    </w:p>
    <w:p>
      <w:pPr>
        <w:pStyle w:val="6"/>
        <w:rPr>
          <w:rFonts w:hint="default" w:ascii="Times New Roman" w:hAnsi="Times New Roman" w:eastAsia="宋体" w:cs="Times New Roman"/>
          <w:color w:val="auto"/>
        </w:rPr>
      </w:pPr>
      <w:bookmarkStart w:id="399" w:name="_Toc17690"/>
      <w:r>
        <w:rPr>
          <w:rFonts w:hint="default" w:ascii="Times New Roman" w:hAnsi="Times New Roman" w:eastAsia="宋体" w:cs="Times New Roman"/>
          <w:color w:val="auto"/>
        </w:rPr>
        <w:t>5.8.2对动植物的影响分析</w:t>
      </w:r>
      <w:bookmarkEnd w:id="39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的建设对部分陆生动物的活动区域、迁移途径、栖息区域、觅食范围等受到一定的限制。但评价区内无野生动物保护区、无国家级、省级保护动物，也不是动物迁徙地带，本项目的建设不会对连通性造成影响，基本不会对动物的生存、迁徙、生育、繁殖产生影响。</w:t>
      </w:r>
    </w:p>
    <w:p>
      <w:pPr>
        <w:pStyle w:val="6"/>
        <w:rPr>
          <w:rFonts w:hint="default" w:ascii="Times New Roman" w:hAnsi="Times New Roman" w:eastAsia="宋体" w:cs="Times New Roman"/>
          <w:color w:val="auto"/>
        </w:rPr>
      </w:pPr>
      <w:bookmarkStart w:id="400" w:name="_Toc1088"/>
      <w:r>
        <w:rPr>
          <w:rFonts w:hint="default" w:ascii="Times New Roman" w:hAnsi="Times New Roman" w:eastAsia="宋体" w:cs="Times New Roman"/>
          <w:color w:val="auto"/>
        </w:rPr>
        <w:t>5.8.3对土壤的污染影响分析</w:t>
      </w:r>
      <w:bookmarkEnd w:id="40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本项目为</w:t>
      </w:r>
      <w:r>
        <w:rPr>
          <w:rFonts w:hint="eastAsia" w:cs="Times New Roman"/>
          <w:color w:val="auto"/>
          <w:lang w:eastAsia="zh-CN"/>
        </w:rPr>
        <w:t>养猪场</w:t>
      </w:r>
      <w:r>
        <w:rPr>
          <w:rFonts w:hint="default" w:ascii="Times New Roman" w:hAnsi="Times New Roman" w:eastAsia="宋体" w:cs="Times New Roman"/>
          <w:color w:val="auto"/>
        </w:rPr>
        <w:t>，其畜禽粪便、尿液等产生的固液废物，全部以肥料的方式处理。</w:t>
      </w:r>
      <w:r>
        <w:rPr>
          <w:rFonts w:hint="eastAsia" w:cs="Times New Roman"/>
          <w:color w:val="auto"/>
          <w:lang w:eastAsia="zh-CN"/>
        </w:rPr>
        <w:t>氧化塘</w:t>
      </w:r>
      <w:r>
        <w:rPr>
          <w:rFonts w:hint="default" w:ascii="Times New Roman" w:hAnsi="Times New Roman" w:eastAsia="宋体" w:cs="Times New Roman"/>
          <w:color w:val="auto"/>
        </w:rPr>
        <w:t>发酵产生的农肥还田使用在提高当地农灌区土壤有机养分之外，会对当地土壤的理化性质机构发生变化，若堆肥工艺管理不当会使残留的重金属，抗生素类等污染物进入土壤，进而被农作物吸收，间接对人体产生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本项目对生态环境可能造成的影响分析，建设单位主要采取在</w:t>
      </w:r>
      <w:r>
        <w:rPr>
          <w:rFonts w:hint="eastAsia" w:cs="Times New Roman"/>
          <w:color w:val="auto"/>
          <w:lang w:val="en-US" w:eastAsia="zh-CN"/>
        </w:rPr>
        <w:t>养猪场</w:t>
      </w:r>
      <w:r>
        <w:rPr>
          <w:rFonts w:hint="default" w:ascii="Times New Roman" w:hAnsi="Times New Roman" w:eastAsia="宋体" w:cs="Times New Roman"/>
          <w:color w:val="auto"/>
        </w:rPr>
        <w:t>周围及场内道路两侧种植对硫化氢等有害气体吸收能力较强的树木，如：杨树等乔木树种，以吸收有害气体，杀灭细菌，降低其在周围环境中的浓度。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随着工程投入生产，项目提出的绿化工程实施，通过对各区域绿化和植被恢复工作，项目区</w:t>
      </w:r>
      <w:r>
        <w:rPr>
          <w:rFonts w:hint="eastAsia" w:cs="Times New Roman"/>
          <w:color w:val="auto"/>
          <w:lang w:eastAsia="zh-CN"/>
        </w:rPr>
        <w:t>域</w:t>
      </w:r>
      <w:r>
        <w:rPr>
          <w:rFonts w:hint="default" w:ascii="Times New Roman" w:hAnsi="Times New Roman" w:eastAsia="宋体" w:cs="Times New Roman"/>
          <w:color w:val="auto"/>
        </w:rPr>
        <w:t>植被覆盖率明显增加，这将改善区域生态环境和局地小气候，减少风力，提高土壤蓄水保肥能力，有利于自然植被恢复和防止水土流失及土地沙漠化加剧，对区域生态环境产生一定的有利影响。项目排放污染物类型较少，同时均采取相应的防治措施，能够达标排放，对周边农作物影响较小。</w:t>
      </w:r>
    </w:p>
    <w:p>
      <w:pPr>
        <w:ind w:firstLine="480"/>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项目通过对区域</w:t>
      </w:r>
      <w:r>
        <w:rPr>
          <w:rFonts w:hint="eastAsia" w:cs="Times New Roman"/>
          <w:color w:val="auto"/>
          <w:lang w:val="en-US" w:eastAsia="zh-CN"/>
        </w:rPr>
        <w:t>生猪</w:t>
      </w:r>
      <w:r>
        <w:rPr>
          <w:rFonts w:hint="default" w:ascii="Times New Roman" w:hAnsi="Times New Roman" w:eastAsia="宋体" w:cs="Times New Roman"/>
          <w:color w:val="auto"/>
        </w:rPr>
        <w:t>养殖实施集约化管理，并对</w:t>
      </w:r>
      <w:r>
        <w:rPr>
          <w:rFonts w:hint="eastAsia" w:cs="Times New Roman"/>
          <w:color w:val="auto"/>
          <w:lang w:val="en-US" w:eastAsia="zh-CN"/>
        </w:rPr>
        <w:t>生猪</w:t>
      </w:r>
      <w:r>
        <w:rPr>
          <w:rFonts w:hint="default" w:ascii="Times New Roman" w:hAnsi="Times New Roman" w:eastAsia="宋体" w:cs="Times New Roman"/>
          <w:color w:val="auto"/>
        </w:rPr>
        <w:t>养殖产生的粪污进行减量化、无害化、资源化综合利用，构建</w:t>
      </w:r>
      <w:r>
        <w:rPr>
          <w:rFonts w:hint="eastAsia" w:cs="Times New Roman"/>
          <w:color w:val="auto"/>
          <w:lang w:val="en-US" w:eastAsia="zh-CN"/>
        </w:rPr>
        <w:t>生猪</w:t>
      </w:r>
      <w:r>
        <w:rPr>
          <w:rFonts w:hint="default" w:ascii="Times New Roman" w:hAnsi="Times New Roman" w:eastAsia="宋体" w:cs="Times New Roman"/>
          <w:color w:val="auto"/>
        </w:rPr>
        <w:t>养殖→肥料→还田还林，对改善项目区域农业生态环境将产生积极作用</w:t>
      </w:r>
      <w:r>
        <w:rPr>
          <w:rFonts w:hint="default" w:ascii="Times New Roman" w:hAnsi="Times New Roman" w:eastAsia="宋体" w:cs="Times New Roman"/>
          <w:color w:val="auto"/>
          <w:lang w:eastAsia="zh-CN"/>
        </w:rPr>
        <w:t>。</w:t>
      </w: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4"/>
        <w:rPr>
          <w:rFonts w:hint="default" w:ascii="Times New Roman" w:hAnsi="Times New Roman" w:eastAsia="宋体" w:cs="Times New Roman"/>
          <w:color w:val="auto"/>
        </w:rPr>
      </w:pPr>
      <w:bookmarkStart w:id="401" w:name="_Toc530642958"/>
      <w:bookmarkStart w:id="402" w:name="_Toc11596"/>
      <w:r>
        <w:rPr>
          <w:rFonts w:hint="default" w:ascii="Times New Roman" w:hAnsi="Times New Roman" w:eastAsia="宋体" w:cs="Times New Roman"/>
          <w:color w:val="auto"/>
        </w:rPr>
        <w:t>6环境风险评价</w:t>
      </w:r>
      <w:bookmarkEnd w:id="401"/>
      <w:bookmarkEnd w:id="402"/>
    </w:p>
    <w:p>
      <w:pPr>
        <w:pStyle w:val="5"/>
        <w:rPr>
          <w:rFonts w:hint="default" w:ascii="Times New Roman" w:hAnsi="Times New Roman" w:eastAsia="宋体" w:cs="Times New Roman"/>
          <w:color w:val="auto"/>
        </w:rPr>
      </w:pPr>
      <w:bookmarkStart w:id="403" w:name="_Toc530642959"/>
      <w:bookmarkStart w:id="404" w:name="_Toc21021"/>
      <w:r>
        <w:rPr>
          <w:rFonts w:hint="default" w:ascii="Times New Roman" w:hAnsi="Times New Roman" w:eastAsia="宋体" w:cs="Times New Roman"/>
          <w:color w:val="auto"/>
        </w:rPr>
        <w:t>6.1风险评价目的</w:t>
      </w:r>
      <w:bookmarkEnd w:id="403"/>
      <w:bookmarkEnd w:id="404"/>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境风险评价目的是分析和预测建设项目存在的潜在危险、有害因素，建设项目建设和营运期间可能发生的突发性事件或事故（一般不包括人为破坏和自然灾害），引起有毒有害和易燃易爆等物质泄漏，所造成的人身安全与环境影响和损害程度，提出合理可行的防范、应急与减缓措施，以使建设项目事故率、损失和环境影响达到可以接受水平。</w:t>
      </w:r>
    </w:p>
    <w:p>
      <w:pPr>
        <w:ind w:firstLine="480"/>
        <w:rPr>
          <w:rFonts w:hint="default" w:ascii="Times New Roman" w:hAnsi="Times New Roman" w:eastAsia="宋体" w:cs="Times New Roman"/>
          <w:color w:val="auto"/>
        </w:rPr>
      </w:pPr>
      <w:bookmarkStart w:id="405" w:name="_Toc4787456"/>
      <w:bookmarkStart w:id="406" w:name="_Toc530642963"/>
      <w:r>
        <w:rPr>
          <w:rFonts w:hint="default" w:ascii="Times New Roman" w:hAnsi="Times New Roman" w:eastAsia="宋体" w:cs="Times New Roman"/>
          <w:color w:val="auto"/>
          <w:szCs w:val="32"/>
        </w:rPr>
        <w:t>根据《建设项目环境风险评价技术导则》（HJ169-2018），该导则适用于涉及有毒有害和易燃易爆物质的生产、使用、贮运的建设项目可能发生的突发性事故（不包括认为破坏及自然灾害引发的事故）的环境风险评价。</w:t>
      </w:r>
      <w:r>
        <w:rPr>
          <w:rFonts w:hint="default" w:ascii="Times New Roman" w:hAnsi="Times New Roman" w:eastAsia="宋体" w:cs="Times New Roman"/>
          <w:color w:val="auto"/>
        </w:rPr>
        <w:t>通过分析本工程主要物料的危险特性、毒理毒性及生产设施的特点进行风险识别，分析事故源项和发生概率，提出有针对性的、操作性较强的防范措施，为工程设计和环境管理提供资料和依据，以期达到规避风险，减少危害的目的。</w:t>
      </w:r>
    </w:p>
    <w:p>
      <w:pPr>
        <w:pStyle w:val="5"/>
        <w:rPr>
          <w:rFonts w:hint="default" w:ascii="Times New Roman" w:hAnsi="Times New Roman" w:eastAsia="宋体" w:cs="Times New Roman"/>
          <w:color w:val="auto"/>
        </w:rPr>
      </w:pPr>
      <w:bookmarkStart w:id="407" w:name="_Toc18810"/>
      <w:r>
        <w:rPr>
          <w:rFonts w:hint="default" w:ascii="Times New Roman" w:hAnsi="Times New Roman" w:eastAsia="宋体" w:cs="Times New Roman"/>
          <w:color w:val="auto"/>
        </w:rPr>
        <w:t>6.2风险调查</w:t>
      </w:r>
      <w:bookmarkEnd w:id="407"/>
    </w:p>
    <w:p>
      <w:pPr>
        <w:pStyle w:val="6"/>
        <w:rPr>
          <w:rFonts w:hint="default" w:ascii="Times New Roman" w:hAnsi="Times New Roman" w:eastAsia="宋体" w:cs="Times New Roman"/>
          <w:color w:val="auto"/>
        </w:rPr>
      </w:pPr>
      <w:bookmarkStart w:id="408" w:name="_Toc17106557"/>
      <w:bookmarkStart w:id="409" w:name="_Toc32201"/>
      <w:bookmarkStart w:id="410" w:name="_Toc8423"/>
      <w:r>
        <w:rPr>
          <w:rFonts w:hint="default" w:ascii="Times New Roman" w:hAnsi="Times New Roman" w:eastAsia="宋体" w:cs="Times New Roman"/>
          <w:color w:val="auto"/>
        </w:rPr>
        <w:t>6.2.1建设项目风险源调查</w:t>
      </w:r>
      <w:bookmarkEnd w:id="408"/>
      <w:bookmarkEnd w:id="409"/>
      <w:bookmarkEnd w:id="410"/>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依据《建设项目环境风险评价技术导则》（HJ169-2018），本项目运营期场内不涉及附录B内重点关注的危险物质。</w:t>
      </w:r>
    </w:p>
    <w:p>
      <w:pPr>
        <w:ind w:firstLine="480"/>
        <w:rPr>
          <w:rFonts w:hint="default" w:ascii="Times New Roman" w:hAnsi="Times New Roman" w:eastAsia="宋体" w:cs="Times New Roman"/>
          <w:b/>
          <w:bCs/>
          <w:color w:val="auto"/>
        </w:rPr>
      </w:pPr>
      <w:r>
        <w:rPr>
          <w:rFonts w:hint="eastAsia" w:cs="Times New Roman"/>
          <w:color w:val="auto"/>
          <w:lang w:val="en-US" w:eastAsia="zh-CN"/>
        </w:rPr>
        <w:t>生猪</w:t>
      </w:r>
      <w:r>
        <w:rPr>
          <w:rFonts w:hint="default" w:ascii="Times New Roman" w:hAnsi="Times New Roman" w:eastAsia="宋体" w:cs="Times New Roman"/>
          <w:color w:val="auto"/>
        </w:rPr>
        <w:t>养殖过程中，产生的粪污如果处理不当，渗入地下，对区域土壤、地下水环境造成污染隐患，具有一定的环境风险。</w:t>
      </w:r>
    </w:p>
    <w:p>
      <w:pPr>
        <w:pStyle w:val="6"/>
        <w:rPr>
          <w:rFonts w:hint="default" w:ascii="Times New Roman" w:hAnsi="Times New Roman" w:eastAsia="宋体" w:cs="Times New Roman"/>
          <w:color w:val="auto"/>
        </w:rPr>
      </w:pPr>
      <w:bookmarkStart w:id="411" w:name="_Toc21830"/>
      <w:r>
        <w:rPr>
          <w:rFonts w:hint="default" w:ascii="Times New Roman" w:hAnsi="Times New Roman" w:eastAsia="宋体" w:cs="Times New Roman"/>
          <w:color w:val="auto"/>
        </w:rPr>
        <w:t>6.2.2环境敏感目标调查</w:t>
      </w:r>
      <w:bookmarkEnd w:id="411"/>
    </w:p>
    <w:p>
      <w:pPr>
        <w:ind w:firstLine="480"/>
        <w:rPr>
          <w:rFonts w:hint="default" w:ascii="Times New Roman" w:hAnsi="Times New Roman" w:eastAsia="宋体" w:cs="Times New Roman"/>
          <w:color w:val="auto"/>
        </w:rPr>
      </w:pPr>
      <w:bookmarkStart w:id="412" w:name="_Toc19973"/>
      <w:bookmarkStart w:id="413" w:name="_Toc17106559"/>
      <w:r>
        <w:rPr>
          <w:rFonts w:hint="default" w:ascii="Times New Roman" w:hAnsi="Times New Roman" w:eastAsia="宋体" w:cs="Times New Roman"/>
          <w:color w:val="auto"/>
        </w:rPr>
        <w:t>按照《建设项目环境风险评价技术导则》（HJ169-2018）附录D环境敏感程度（E）分级原则中要求调查5km范围内居住区、医疗卫生、文化教育、科研、行政办公等机构人口总数以及500m范围内人口总数。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项目选址于</w:t>
      </w:r>
      <w:r>
        <w:rPr>
          <w:rFonts w:hint="eastAsia" w:cs="Times New Roman"/>
          <w:color w:val="auto"/>
          <w:lang w:eastAsia="zh-CN"/>
        </w:rPr>
        <w:t>巴彦淖尔市五原县天吉泰镇二合永村一组</w:t>
      </w:r>
      <w:r>
        <w:rPr>
          <w:rFonts w:hint="default" w:ascii="Times New Roman" w:hAnsi="Times New Roman" w:eastAsia="宋体" w:cs="Times New Roman"/>
          <w:color w:val="auto"/>
        </w:rPr>
        <w:t>，周边以</w:t>
      </w:r>
      <w:r>
        <w:rPr>
          <w:rFonts w:hint="eastAsia" w:cs="Times New Roman"/>
          <w:color w:val="auto"/>
          <w:lang w:eastAsia="zh-CN"/>
        </w:rPr>
        <w:t>沙地、</w:t>
      </w:r>
      <w:r>
        <w:rPr>
          <w:rFonts w:hint="eastAsia" w:cs="Times New Roman"/>
          <w:color w:val="auto"/>
          <w:lang w:val="en-US" w:eastAsia="zh-CN"/>
        </w:rPr>
        <w:t>林地、农田</w:t>
      </w:r>
      <w:r>
        <w:rPr>
          <w:rFonts w:hint="default" w:ascii="Times New Roman" w:hAnsi="Times New Roman" w:eastAsia="宋体" w:cs="Times New Roman"/>
          <w:color w:val="auto"/>
        </w:rPr>
        <w:t>为主，5km范围内的环境敏感目标主要为村庄及散户居民，人口总数小于1万人；500m范围内人口数小于500人。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根据《建设项目环境风险评价技术导则》（HJ 169-2018）附录D表D.6地下水功能敏感性分区，本项目2.5km范围内无集中式饮用水水源准保护区及补给径流区；未划定准保护区的集中式饮用水水源，其保护区以外的补给径流区；6km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范围内分布有居民饮用水井，因此项目地下水环境敏感程度为较敏感区域。</w:t>
      </w:r>
    </w:p>
    <w:p>
      <w:pPr>
        <w:pStyle w:val="5"/>
        <w:rPr>
          <w:rFonts w:hint="default" w:ascii="Times New Roman" w:hAnsi="Times New Roman" w:eastAsia="宋体" w:cs="Times New Roman"/>
          <w:color w:val="auto"/>
        </w:rPr>
      </w:pPr>
      <w:bookmarkStart w:id="414" w:name="_Toc28325"/>
      <w:r>
        <w:rPr>
          <w:rFonts w:hint="default" w:ascii="Times New Roman" w:hAnsi="Times New Roman" w:eastAsia="宋体" w:cs="Times New Roman"/>
          <w:color w:val="auto"/>
        </w:rPr>
        <w:t>6.3</w:t>
      </w:r>
      <w:bookmarkEnd w:id="412"/>
      <w:bookmarkEnd w:id="413"/>
      <w:bookmarkStart w:id="415" w:name="_Toc16112"/>
      <w:bookmarkStart w:id="416" w:name="_Toc17106560"/>
      <w:r>
        <w:rPr>
          <w:rFonts w:hint="default" w:ascii="Times New Roman" w:hAnsi="Times New Roman" w:eastAsia="宋体" w:cs="Times New Roman"/>
          <w:color w:val="auto"/>
        </w:rPr>
        <w:t>评价等级划分及评价范围</w:t>
      </w:r>
      <w:bookmarkEnd w:id="414"/>
    </w:p>
    <w:p>
      <w:pPr>
        <w:pStyle w:val="6"/>
        <w:rPr>
          <w:rFonts w:hint="default" w:ascii="Times New Roman" w:hAnsi="Times New Roman" w:eastAsia="宋体" w:cs="Times New Roman"/>
          <w:color w:val="auto"/>
        </w:rPr>
      </w:pPr>
      <w:bookmarkStart w:id="417" w:name="_Toc3013"/>
      <w:r>
        <w:rPr>
          <w:rFonts w:hint="default" w:ascii="Times New Roman" w:hAnsi="Times New Roman" w:eastAsia="宋体" w:cs="Times New Roman"/>
          <w:color w:val="auto"/>
        </w:rPr>
        <w:t>6.3.1危险物质及工艺系统危险性（P）的分级确定</w:t>
      </w:r>
      <w:bookmarkEnd w:id="415"/>
      <w:bookmarkEnd w:id="416"/>
      <w:bookmarkEnd w:id="417"/>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危险物质数量与临界量比值（Q）</w:t>
      </w:r>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根据《建设项目环境风险评价技术导则》（HJ169-2018）附录B，本项目涉及的危险物质在厂界内的最大存在总量与附录B 中对应临界量的比值情况。</w:t>
      </w:r>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涉及多种危险物质，按下式计算物质总量与其临界量比值（Q）。</w:t>
      </w:r>
    </w:p>
    <w:p>
      <w:pPr>
        <w:overflowPunct w:val="0"/>
        <w:autoSpaceDE/>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rPr>
        <w:drawing>
          <wp:inline distT="0" distB="0" distL="0" distR="0">
            <wp:extent cx="1440815" cy="43116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440815" cy="431165"/>
                    </a:xfrm>
                    <a:prstGeom prst="rect">
                      <a:avLst/>
                    </a:prstGeom>
                    <a:noFill/>
                    <a:ln>
                      <a:noFill/>
                    </a:ln>
                  </pic:spPr>
                </pic:pic>
              </a:graphicData>
            </a:graphic>
          </wp:inline>
        </w:drawing>
      </w:r>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q</w:t>
      </w:r>
      <w:r>
        <w:rPr>
          <w:rFonts w:hint="default" w:ascii="Times New Roman" w:hAnsi="Times New Roman" w:eastAsia="宋体" w:cs="Times New Roman"/>
          <w:color w:val="auto"/>
          <w:vertAlign w:val="subscript"/>
        </w:rPr>
        <w:t>1</w:t>
      </w:r>
      <w:r>
        <w:rPr>
          <w:rFonts w:hint="default" w:ascii="Times New Roman" w:hAnsi="Times New Roman" w:eastAsia="宋体" w:cs="Times New Roman"/>
          <w:color w:val="auto"/>
        </w:rPr>
        <w:t>、q</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、q</w:t>
      </w:r>
      <w:r>
        <w:rPr>
          <w:rFonts w:hint="default" w:ascii="Times New Roman" w:hAnsi="Times New Roman" w:eastAsia="宋体" w:cs="Times New Roman"/>
          <w:color w:val="auto"/>
          <w:vertAlign w:val="subscript"/>
        </w:rPr>
        <w:t>n</w:t>
      </w:r>
      <w:r>
        <w:rPr>
          <w:rFonts w:hint="default" w:ascii="Times New Roman" w:hAnsi="Times New Roman" w:eastAsia="宋体" w:cs="Times New Roman"/>
          <w:color w:val="auto"/>
        </w:rPr>
        <w:t>——每种危险物质的最大存在总量，t；</w:t>
      </w:r>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Q</w:t>
      </w:r>
      <w:r>
        <w:rPr>
          <w:rFonts w:hint="default" w:ascii="Times New Roman" w:hAnsi="Times New Roman" w:eastAsia="宋体" w:cs="Times New Roman"/>
          <w:color w:val="auto"/>
          <w:vertAlign w:val="subscript"/>
        </w:rPr>
        <w:t>1</w:t>
      </w:r>
      <w:r>
        <w:rPr>
          <w:rFonts w:hint="default" w:ascii="Times New Roman" w:hAnsi="Times New Roman" w:eastAsia="宋体" w:cs="Times New Roman"/>
          <w:color w:val="auto"/>
        </w:rPr>
        <w:t>、Q</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、Q</w:t>
      </w:r>
      <w:r>
        <w:rPr>
          <w:rFonts w:hint="default" w:ascii="Times New Roman" w:hAnsi="Times New Roman" w:eastAsia="宋体" w:cs="Times New Roman"/>
          <w:color w:val="auto"/>
          <w:vertAlign w:val="subscript"/>
        </w:rPr>
        <w:t>n</w:t>
      </w:r>
      <w:r>
        <w:rPr>
          <w:rFonts w:hint="default" w:ascii="Times New Roman" w:hAnsi="Times New Roman" w:eastAsia="宋体" w:cs="Times New Roman"/>
          <w:color w:val="auto"/>
        </w:rPr>
        <w:t>——每种危险物质的临界量，t。</w:t>
      </w:r>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当Q＜1时，该项目环境风险潜势为I。</w:t>
      </w:r>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当Q≥1时，将Q值划分为：（1）1≤Q＜10；（2）10≤Q＜100；（3）Q≥100。</w:t>
      </w:r>
    </w:p>
    <w:p>
      <w:pPr>
        <w:ind w:firstLine="480"/>
        <w:rPr>
          <w:rFonts w:hint="default" w:ascii="Times New Roman" w:hAnsi="Times New Roman" w:eastAsia="宋体" w:cs="Times New Roman"/>
          <w:color w:val="auto"/>
          <w:shd w:val="clear" w:color="auto" w:fill="FFFFFF"/>
        </w:rPr>
      </w:pPr>
      <w:r>
        <w:rPr>
          <w:rFonts w:hint="default" w:ascii="Times New Roman" w:hAnsi="Times New Roman" w:eastAsia="宋体" w:cs="Times New Roman"/>
          <w:color w:val="auto"/>
        </w:rPr>
        <w:t>项目不涉及《建设项目环境风险评价技术导则》（HJ169-2018）附录B突发环境风险物质，Q＜1时，该项目环境风险潜势为I</w:t>
      </w:r>
      <w:r>
        <w:rPr>
          <w:rFonts w:hint="default" w:ascii="Times New Roman" w:hAnsi="Times New Roman" w:eastAsia="宋体" w:cs="Times New Roman"/>
          <w:color w:val="auto"/>
          <w:shd w:val="clear" w:color="auto" w:fill="FFFFFF"/>
        </w:rPr>
        <w:t>。</w:t>
      </w:r>
    </w:p>
    <w:p>
      <w:pPr>
        <w:pStyle w:val="6"/>
        <w:rPr>
          <w:rFonts w:hint="default" w:ascii="Times New Roman" w:hAnsi="Times New Roman" w:eastAsia="宋体" w:cs="Times New Roman"/>
          <w:color w:val="auto"/>
        </w:rPr>
      </w:pPr>
      <w:bookmarkStart w:id="418" w:name="_Toc6648"/>
      <w:bookmarkStart w:id="419" w:name="_Toc405365980"/>
      <w:bookmarkStart w:id="420" w:name="_Toc492626842"/>
      <w:bookmarkStart w:id="421" w:name="_Toc17106563"/>
      <w:bookmarkStart w:id="422" w:name="_Toc489892353"/>
      <w:bookmarkStart w:id="423" w:name="_Toc4765"/>
      <w:r>
        <w:rPr>
          <w:rFonts w:hint="default" w:ascii="Times New Roman" w:hAnsi="Times New Roman" w:eastAsia="宋体" w:cs="Times New Roman"/>
          <w:color w:val="auto"/>
        </w:rPr>
        <w:t>6.3.2环境影响评价等级</w:t>
      </w:r>
      <w:bookmarkEnd w:id="418"/>
      <w:bookmarkEnd w:id="419"/>
      <w:bookmarkEnd w:id="420"/>
      <w:bookmarkEnd w:id="421"/>
      <w:bookmarkEnd w:id="422"/>
      <w:r>
        <w:rPr>
          <w:rFonts w:hint="default" w:ascii="Times New Roman" w:hAnsi="Times New Roman" w:eastAsia="宋体" w:cs="Times New Roman"/>
          <w:color w:val="auto"/>
        </w:rPr>
        <w:t>及评价范围</w:t>
      </w:r>
      <w:bookmarkEnd w:id="423"/>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建设项目环境风险评价技术导则》（HJ169-2018），环境风险评价工作等级划分为一级、二级、三级、简单分析。根据建设项目涉及的物质及工艺系统危险性和所在地的环境敏感性确定环境风险潜势，按照下表确定评价工作等级。</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表6.3-1    环境风险评价工作等级划分表</w:t>
      </w:r>
    </w:p>
    <w:tbl>
      <w:tblPr>
        <w:tblStyle w:val="34"/>
        <w:tblW w:w="907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663"/>
        <w:gridCol w:w="1965"/>
        <w:gridCol w:w="2267"/>
        <w:gridCol w:w="16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512"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环境风险潜势</w:t>
            </w:r>
          </w:p>
        </w:tc>
        <w:tc>
          <w:tcPr>
            <w:tcW w:w="1663"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4 \* ROMAN \* MERGEFORMAT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IV</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4 \* ROMAN \* MERGEFORMAT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IV</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w:t>
            </w:r>
          </w:p>
        </w:tc>
        <w:tc>
          <w:tcPr>
            <w:tcW w:w="1965"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3 \* ROMAN \* MERGEFORMAT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III</w:t>
            </w:r>
            <w:r>
              <w:rPr>
                <w:rFonts w:hint="default" w:ascii="Times New Roman" w:hAnsi="Times New Roman" w:eastAsia="宋体" w:cs="Times New Roman"/>
                <w:color w:val="auto"/>
              </w:rPr>
              <w:fldChar w:fldCharType="end"/>
            </w:r>
          </w:p>
        </w:tc>
        <w:tc>
          <w:tcPr>
            <w:tcW w:w="2267"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2 \* ROMAN \* MERGEFORMAT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II</w:t>
            </w:r>
            <w:r>
              <w:rPr>
                <w:rFonts w:hint="default" w:ascii="Times New Roman" w:hAnsi="Times New Roman" w:eastAsia="宋体" w:cs="Times New Roman"/>
                <w:color w:val="auto"/>
              </w:rPr>
              <w:fldChar w:fldCharType="end"/>
            </w:r>
          </w:p>
        </w:tc>
        <w:tc>
          <w:tcPr>
            <w:tcW w:w="1663"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1 \* ROMAN \* MERGEFORMAT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I</w:t>
            </w:r>
            <w:r>
              <w:rPr>
                <w:rFonts w:hint="default" w:ascii="Times New Roman" w:hAnsi="Times New Roman" w:eastAsia="宋体" w:cs="Times New Roman"/>
                <w:color w:val="auto"/>
              </w:rPr>
              <w:fldChar w:fldCharType="end"/>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12"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评价工作等级</w:t>
            </w:r>
          </w:p>
        </w:tc>
        <w:tc>
          <w:tcPr>
            <w:tcW w:w="1663"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w:t>
            </w:r>
          </w:p>
        </w:tc>
        <w:tc>
          <w:tcPr>
            <w:tcW w:w="1965"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二</w:t>
            </w:r>
          </w:p>
        </w:tc>
        <w:tc>
          <w:tcPr>
            <w:tcW w:w="2267"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三</w:t>
            </w:r>
          </w:p>
        </w:tc>
        <w:tc>
          <w:tcPr>
            <w:tcW w:w="1663" w:type="dxa"/>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简单分析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070" w:type="dxa"/>
            <w:gridSpan w:val="5"/>
            <w:tcMar>
              <w:left w:w="0" w:type="dxa"/>
              <w:right w:w="0" w:type="dxa"/>
            </w:tcMar>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简单分析是相对于详细评价工作内容而言，在描述危险物质、环境影响途径、环境危害后果、风险防范措施等方面给出定性的说明</w:t>
            </w:r>
          </w:p>
        </w:tc>
      </w:tr>
      <w:bookmarkEnd w:id="405"/>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由上表可知，本项目环境风险潜势I级，本次环境风险评价等级为简单分析，不设评价范围。根据《建设项目环境风险评价技术导则》（HJ 169-2018）“简单分析是相对于详细评价工作内容而言，在描述危险物质、环境影响途径、环境危害后果、风险防范措施等方面给出定性的说明。</w:t>
      </w:r>
    </w:p>
    <w:p>
      <w:pPr>
        <w:pStyle w:val="5"/>
        <w:rPr>
          <w:rFonts w:hint="default" w:ascii="Times New Roman" w:hAnsi="Times New Roman" w:eastAsia="宋体" w:cs="Times New Roman"/>
          <w:color w:val="auto"/>
        </w:rPr>
      </w:pPr>
      <w:bookmarkStart w:id="424" w:name="_Toc21921"/>
      <w:r>
        <w:rPr>
          <w:rFonts w:hint="default" w:ascii="Times New Roman" w:hAnsi="Times New Roman" w:eastAsia="宋体" w:cs="Times New Roman"/>
          <w:color w:val="auto"/>
        </w:rPr>
        <w:t>6.4环境风险分析</w:t>
      </w:r>
      <w:bookmarkEnd w:id="424"/>
    </w:p>
    <w:p>
      <w:pPr>
        <w:pStyle w:val="6"/>
        <w:rPr>
          <w:rFonts w:hint="default" w:ascii="Times New Roman" w:hAnsi="Times New Roman" w:eastAsia="宋体" w:cs="Times New Roman"/>
          <w:color w:val="auto"/>
        </w:rPr>
      </w:pPr>
      <w:bookmarkStart w:id="425" w:name="_Toc405365975"/>
      <w:bookmarkStart w:id="426" w:name="_Toc489892348"/>
      <w:bookmarkStart w:id="427" w:name="_Toc492626837"/>
      <w:bookmarkStart w:id="428" w:name="_Toc919"/>
      <w:bookmarkStart w:id="429" w:name="_Toc17106565"/>
      <w:bookmarkStart w:id="430" w:name="_Toc28514"/>
      <w:r>
        <w:rPr>
          <w:rFonts w:hint="default" w:ascii="Times New Roman" w:hAnsi="Times New Roman" w:eastAsia="宋体" w:cs="Times New Roman"/>
          <w:color w:val="auto"/>
        </w:rPr>
        <w:t>6.4.1物质危险性识别</w:t>
      </w:r>
      <w:bookmarkEnd w:id="425"/>
      <w:bookmarkEnd w:id="426"/>
      <w:bookmarkEnd w:id="427"/>
      <w:bookmarkEnd w:id="428"/>
      <w:bookmarkEnd w:id="429"/>
      <w:bookmarkEnd w:id="430"/>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根据工程分析，项目所使用的原辅材料不属于《建设项目环境风险评价技术导则》（HJ 169-2018）附录B内重点关注的危险物质。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本项目所排放氨气、硫化氢的主要理化性质及毒性效应见下表。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表6.4-1    三废物质的主要理化性质及毒性效应一览表</w:t>
      </w:r>
    </w:p>
    <w:tbl>
      <w:tblPr>
        <w:tblStyle w:val="3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1"/>
        <w:gridCol w:w="728"/>
        <w:gridCol w:w="1310"/>
        <w:gridCol w:w="62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序号</w:t>
            </w:r>
          </w:p>
        </w:tc>
        <w:tc>
          <w:tcPr>
            <w:tcW w:w="728"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名称</w:t>
            </w:r>
          </w:p>
        </w:tc>
        <w:tc>
          <w:tcPr>
            <w:tcW w:w="1310"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主（次）危险性类别</w:t>
            </w:r>
          </w:p>
        </w:tc>
        <w:tc>
          <w:tcPr>
            <w:tcW w:w="6275"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危险特性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1</w:t>
            </w:r>
          </w:p>
        </w:tc>
        <w:tc>
          <w:tcPr>
            <w:tcW w:w="728"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H</w:t>
            </w:r>
            <w:r>
              <w:rPr>
                <w:rFonts w:hint="default" w:ascii="Times New Roman" w:hAnsi="Times New Roman" w:eastAsia="宋体" w:cs="Times New Roman"/>
                <w:color w:val="auto"/>
                <w:vertAlign w:val="subscript"/>
                <w:lang w:bidi="zh-CN"/>
              </w:rPr>
              <w:t>2</w:t>
            </w:r>
            <w:r>
              <w:rPr>
                <w:rFonts w:hint="default" w:ascii="Times New Roman" w:hAnsi="Times New Roman" w:eastAsia="宋体" w:cs="Times New Roman"/>
                <w:color w:val="auto"/>
                <w:lang w:bidi="zh-CN"/>
              </w:rPr>
              <w:t>S</w:t>
            </w:r>
          </w:p>
        </w:tc>
        <w:tc>
          <w:tcPr>
            <w:tcW w:w="1310"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易燃气体</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（有毒）</w:t>
            </w:r>
          </w:p>
        </w:tc>
        <w:tc>
          <w:tcPr>
            <w:tcW w:w="6275"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具有臭鸡蛋气味，其毒作用的主要靶器是中枢神经系统和呼吸系统，亦可伴有心脏等多器官损害，对毒作用最敏感的组织是脑和粘膜接触部位。</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人吸入LC10:600ppm/30M，800ppm/5M。人（男性）吸入</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LC50:5700ug/kg。</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大鼠吸入LC50:444pp。小鼠吸入LC50:634ppm/1H。</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接触高浓度硫化氢后以脑病表现为显著，出现头痛、头晕、易激动、步态蹒跚、烦躁、意识模糊、谵妄、癫痫样抽搐可呈全身性强直一阵挛发作等；可突然发生昏迷；也可发生呼吸困难或呼吸停止后心跳停止。眼底检查可见个别病例有视神经乳头水肿。部分病例可同时伴有肺水肿。脑病症状常较呼吸道症状的出现为早。可能因发生粘膜刺激作用需要一定时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2</w:t>
            </w:r>
          </w:p>
        </w:tc>
        <w:tc>
          <w:tcPr>
            <w:tcW w:w="728"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NH</w:t>
            </w:r>
            <w:r>
              <w:rPr>
                <w:rFonts w:hint="default" w:ascii="Times New Roman" w:hAnsi="Times New Roman" w:eastAsia="宋体" w:cs="Times New Roman"/>
                <w:color w:val="auto"/>
                <w:vertAlign w:val="subscript"/>
                <w:lang w:bidi="zh-CN"/>
              </w:rPr>
              <w:t>3</w:t>
            </w:r>
          </w:p>
        </w:tc>
        <w:tc>
          <w:tcPr>
            <w:tcW w:w="1310"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有毒气体</w:t>
            </w:r>
          </w:p>
        </w:tc>
        <w:tc>
          <w:tcPr>
            <w:tcW w:w="6275" w:type="dxa"/>
            <w:vAlign w:val="center"/>
          </w:tcPr>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对粘膜和皮肤有碱性刺激及腐蚀作用，可造成组织溶解性坏死。高浓度时可引起反射性呼吸停止和心脏停搏。</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人吸入LC10:5000ppm/5M。</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大鼠吸入LC50:2000ppm/4H。</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小鼠吸入LC50:4230ppm/1H。</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人接触553mg/m</w:t>
            </w:r>
            <w:r>
              <w:rPr>
                <w:rFonts w:hint="default" w:ascii="Times New Roman" w:hAnsi="Times New Roman" w:eastAsia="宋体" w:cs="Times New Roman"/>
                <w:color w:val="auto"/>
                <w:vertAlign w:val="superscript"/>
                <w:lang w:bidi="zh-CN"/>
              </w:rPr>
              <w:t>3</w:t>
            </w:r>
            <w:r>
              <w:rPr>
                <w:rFonts w:hint="default" w:ascii="Times New Roman" w:hAnsi="Times New Roman" w:eastAsia="宋体" w:cs="Times New Roman"/>
                <w:color w:val="auto"/>
                <w:lang w:bidi="zh-CN"/>
              </w:rPr>
              <w:t>可发生强烈的刺激症状，可耐受1-25分钟；3500～7000mg/m</w:t>
            </w:r>
            <w:r>
              <w:rPr>
                <w:rFonts w:hint="default" w:ascii="Times New Roman" w:hAnsi="Times New Roman" w:eastAsia="宋体" w:cs="Times New Roman"/>
                <w:color w:val="auto"/>
                <w:vertAlign w:val="superscript"/>
                <w:lang w:bidi="zh-CN"/>
              </w:rPr>
              <w:t>3</w:t>
            </w:r>
            <w:r>
              <w:rPr>
                <w:rFonts w:hint="default" w:ascii="Times New Roman" w:hAnsi="Times New Roman" w:eastAsia="宋体" w:cs="Times New Roman"/>
                <w:color w:val="auto"/>
                <w:lang w:bidi="zh-CN"/>
              </w:rPr>
              <w:t>浓度下可立即死亡。</w:t>
            </w:r>
          </w:p>
          <w:p>
            <w:pPr>
              <w:pStyle w:val="58"/>
              <w:rPr>
                <w:rFonts w:hint="default" w:ascii="Times New Roman" w:hAnsi="Times New Roman" w:eastAsia="宋体" w:cs="Times New Roman"/>
                <w:color w:val="auto"/>
                <w:lang w:bidi="zh-CN"/>
              </w:rPr>
            </w:pPr>
            <w:r>
              <w:rPr>
                <w:rFonts w:hint="default" w:ascii="Times New Roman" w:hAnsi="Times New Roman" w:eastAsia="宋体" w:cs="Times New Roman"/>
                <w:color w:val="auto"/>
                <w:lang w:bidi="zh-CN"/>
              </w:rPr>
              <w:t>短期内吸入大量氨气后可出现流泪、咽痛、声音嘶哑、咳嗽、痰可带血丝、胸闷、呼吸困难，可伴有头晕、头痛、恶心、呕吐、乏力等，可出现紫绀、眼结膜及咽部充血及水肿、呼吸率快、肺部罗音等。严重者可发生肺水肿、急性呼吸窘迫综合征，喉水肿痉挛或支气管粘膜坏死脱落致窒息，还可并发气胸、纵膈气肿。胸部X线检查呈支气管炎、支气管周围炎、肺炎或肺水肿表现。血气分析示动脉血氧分压降低。</w:t>
            </w:r>
          </w:p>
        </w:tc>
      </w:tr>
    </w:tbl>
    <w:p>
      <w:pPr>
        <w:pStyle w:val="6"/>
        <w:rPr>
          <w:rFonts w:hint="default" w:ascii="Times New Roman" w:hAnsi="Times New Roman" w:eastAsia="宋体" w:cs="Times New Roman"/>
          <w:color w:val="auto"/>
        </w:rPr>
      </w:pPr>
      <w:bookmarkStart w:id="431" w:name="_Toc32103"/>
      <w:bookmarkStart w:id="432" w:name="_Toc17106568"/>
      <w:bookmarkStart w:id="433" w:name="_Toc19642"/>
      <w:r>
        <w:rPr>
          <w:rFonts w:hint="default" w:ascii="Times New Roman" w:hAnsi="Times New Roman" w:eastAsia="宋体" w:cs="Times New Roman"/>
          <w:color w:val="auto"/>
        </w:rPr>
        <w:t>6.4.2生产系统危险性识别</w:t>
      </w:r>
      <w:bookmarkEnd w:id="431"/>
    </w:p>
    <w:p>
      <w:pPr>
        <w:ind w:firstLine="480"/>
        <w:rPr>
          <w:rFonts w:hint="default" w:ascii="Times New Roman" w:hAnsi="Times New Roman" w:eastAsia="宋体" w:cs="Times New Roman"/>
          <w:color w:val="auto"/>
        </w:rPr>
      </w:pPr>
      <w:bookmarkStart w:id="434" w:name="_Toc18033"/>
      <w:r>
        <w:rPr>
          <w:rFonts w:hint="default" w:ascii="Times New Roman" w:hAnsi="Times New Roman" w:eastAsia="宋体" w:cs="Times New Roman"/>
          <w:color w:val="auto"/>
        </w:rPr>
        <w:t>污染单元氧化塘的硬化地面、防渗设置出现破损，出现污水渗漏的情况。</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针对养殖企业的一些养殖区、</w:t>
      </w:r>
      <w:r>
        <w:rPr>
          <w:rFonts w:hint="eastAsia" w:cs="Times New Roman"/>
          <w:color w:val="auto"/>
          <w:lang w:eastAsia="zh-CN"/>
        </w:rPr>
        <w:t>晾粪台</w:t>
      </w:r>
      <w:r>
        <w:rPr>
          <w:rFonts w:hint="default" w:ascii="Times New Roman" w:hAnsi="Times New Roman" w:eastAsia="宋体" w:cs="Times New Roman"/>
          <w:color w:val="auto"/>
        </w:rPr>
        <w:t>、氧化塘等场地发生硬化面破损，即使物料或污水等泄漏，对地下水造成潜在危害这一现象，按照目前的管理规范，必须及时采取措施，防止物料或污水漫流渗漏，且在建设中，应针对不同区域采取相应的防治措施。对于泄漏初期短时间物料暴露而污染的少量土壤，则会通过挖出进行处置，以免其渗入地下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在项目氧化塘等污染单元等这些半地下水非可视部位发生渗漏时，才可能有污染物通过漏点，逐步渗入包气带并可能进入地下水。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地下水预测结果可知，在发生意外泄漏事故的情况下，在非正常情况下，污染物泄漏量增加，但只要防渗措施不出现问题，对地下水造成污染的风险较低，如果叠加出现防渗层破损情况，则对氧化塘附近地下水造成影响，污染风险较大。由预测结果可知，增加防渗设施后能有效地降低对地下水环境的影响。因此，应对</w:t>
      </w:r>
      <w:r>
        <w:rPr>
          <w:rFonts w:hint="eastAsia" w:cs="Times New Roman"/>
          <w:color w:val="auto"/>
          <w:lang w:eastAsia="zh-CN"/>
        </w:rPr>
        <w:t>场区</w:t>
      </w:r>
      <w:r>
        <w:rPr>
          <w:rFonts w:hint="default" w:ascii="Times New Roman" w:hAnsi="Times New Roman" w:eastAsia="宋体" w:cs="Times New Roman"/>
          <w:color w:val="auto"/>
        </w:rPr>
        <w:t>内实施严格的防渗、建立完善的地下水监测系统，强化地下水应急排水措施。当发生污染物泄露事故后，必须立即启动应急预案，参照预测结果，分析污染事故的发展趋势，并提出下一步预防和防治措施，迅速控制或切断事件灾害链，对污水进行封闭、截流，抽出污水送污水处理场集中处理，使污染地下水扩散得到有效抑制，最大限度地保护下游地下水水质安全，将损失降到最低限度。根据建设项目的生产特征，结合物质危险性识别，对项目功能系统划分功能单元，确定潜在的危险单元及重点风险源。</w:t>
      </w:r>
      <w:bookmarkEnd w:id="434"/>
    </w:p>
    <w:p>
      <w:pPr>
        <w:pStyle w:val="5"/>
        <w:rPr>
          <w:rFonts w:hint="default" w:ascii="Times New Roman" w:hAnsi="Times New Roman" w:eastAsia="宋体" w:cs="Times New Roman"/>
          <w:color w:val="auto"/>
        </w:rPr>
      </w:pPr>
      <w:bookmarkStart w:id="435" w:name="_Toc30316"/>
      <w:r>
        <w:rPr>
          <w:rFonts w:hint="default" w:ascii="Times New Roman" w:hAnsi="Times New Roman" w:eastAsia="宋体" w:cs="Times New Roman"/>
          <w:color w:val="auto"/>
        </w:rPr>
        <w:t>6.5风险事故情形分析</w:t>
      </w:r>
      <w:bookmarkEnd w:id="43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本项目污水事故排放是指粪污水未经处理，直接排放的情况。废水直接外排会对地表水、地下水、土壤、大气环境等产生不利影响。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（1）土壤</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废水中高浓度的有机物和氨氮会使土壤环境质量恶化。当粪污水直接外排量超过了土壤的自净能力，便会出现降解不完成和厌氧腐化，产生恶臭物质和亚硝酸盐等有害物质，引起土壤的组成和性状发生改变，破坏其原有的基本功能，作物徒长、倒伏、晚熟或不熟，造成减产，甚至毒害作物，大面积地腐坏。此外，土壤对病原微生物的自净能力下降，不仅增加了净化难度，而且容易造成生物污染和疫病传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（2）大气</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废水会散发出高浓度的恶臭气体，造成空气中含氧量下降，污浊度上升，轻则降低空气质量，产生异味妨碍人畜健康生长，重则引起呼吸系统疾病，造成人畜死亡。未经任何处理的养殖废水含有大量的微生物，在风的作用下，极易扩散在空气中，可能引起口蹄疫和大肠埃希菌、炭疽、布氏杆菌、真菌孢子等引起的疫病传播，危害人畜健康。</w:t>
      </w:r>
    </w:p>
    <w:p>
      <w:pPr>
        <w:spacing w:line="5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（3）地表水</w:t>
      </w:r>
    </w:p>
    <w:p>
      <w:pPr>
        <w:spacing w:line="5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养殖</w:t>
      </w:r>
      <w:r>
        <w:rPr>
          <w:rFonts w:hint="default" w:ascii="Times New Roman" w:hAnsi="Times New Roman" w:eastAsia="宋体" w:cs="Times New Roman"/>
          <w:color w:val="auto"/>
        </w:rPr>
        <w:t>场高浓度污水通过泄洪渠进入自然水体后，使水中有机物、固体悬浮物和微生物等含量增高，改变水体的物理、化学和生物组成群落，使水质变差。粪污中含有大量的病原微生物将通过水体或水生动植物进行扩散传播，危害人畜健康。此外，粪污中大量的有机物生物降解和水生生物的大量繁殖，消耗水体中的溶解氧，使水体变黑发臭，最终造成水生生物大量死亡，产生水体富营养化，失去水体原有功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（4）地下水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养殖</w:t>
      </w:r>
      <w:r>
        <w:rPr>
          <w:rFonts w:hint="default" w:ascii="Times New Roman" w:hAnsi="Times New Roman" w:eastAsia="宋体" w:cs="Times New Roman"/>
          <w:color w:val="auto"/>
        </w:rPr>
        <w:t>场高浓度污水直接排入土壤，废水中的氮、磷以及其他有毒有害成分渗入地下污染地下水，导致地下水水质下降，严重时，造成地下水发黑发臭，一旦造成地下水污染，极难治理恢复，从而造成持久性污染。</w:t>
      </w:r>
      <w:bookmarkEnd w:id="432"/>
      <w:bookmarkEnd w:id="433"/>
    </w:p>
    <w:p>
      <w:pPr>
        <w:pStyle w:val="5"/>
        <w:rPr>
          <w:rFonts w:hint="default" w:ascii="Times New Roman" w:hAnsi="Times New Roman" w:eastAsia="宋体" w:cs="Times New Roman"/>
          <w:color w:val="auto"/>
        </w:rPr>
      </w:pPr>
      <w:bookmarkStart w:id="436" w:name="_Toc17226"/>
      <w:r>
        <w:rPr>
          <w:rFonts w:hint="default" w:ascii="Times New Roman" w:hAnsi="Times New Roman" w:eastAsia="宋体" w:cs="Times New Roman"/>
          <w:color w:val="auto"/>
        </w:rPr>
        <w:t>6.6环境风险管理</w:t>
      </w:r>
      <w:bookmarkEnd w:id="436"/>
    </w:p>
    <w:p>
      <w:pPr>
        <w:pStyle w:val="6"/>
        <w:rPr>
          <w:rFonts w:hint="default" w:ascii="Times New Roman" w:hAnsi="Times New Roman" w:eastAsia="宋体" w:cs="Times New Roman"/>
          <w:color w:val="auto"/>
        </w:rPr>
      </w:pPr>
      <w:bookmarkStart w:id="437" w:name="_Toc4444"/>
      <w:r>
        <w:rPr>
          <w:rFonts w:hint="default" w:ascii="Times New Roman" w:hAnsi="Times New Roman" w:eastAsia="宋体" w:cs="Times New Roman"/>
          <w:color w:val="auto"/>
        </w:rPr>
        <w:t>6.6.1环境风险防范措施</w:t>
      </w:r>
      <w:bookmarkEnd w:id="437"/>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6.6.1.1废水风险防范措施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（1）设备、管道设计按有关规定留有满足要求的安全系数，均按规范进行强度实验、严密性测试和防腐措施检验；工程抗震设防烈度8度。采取符合要求的静电、雷击防护措施；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（2）养殖场的排水系统应实行雨水和污水收集输送系统分离，避免雨水进入废水收集系统中；氧化塘周围设置截水沟，防止雨水进入造成溢流污染地下水。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（3）本项目医疗垃圾暂存间按照《畜禽养殖业污染治理工程技术规范》要求应取防渗措施。具体防渗措施要求如下：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危险废物暂存间等重点防渗区铺设2mm厚HDPE土工膜进行防渗，或可参照《危险废物贮存污染控制标准》（GB18597-2001）中的相关要求进行防渗，渗透系数不大于1.0×10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w:t>
      </w:r>
    </w:p>
    <w:p>
      <w:pPr>
        <w:ind w:firstLine="480"/>
        <w:rPr>
          <w:rFonts w:hint="default" w:ascii="Times New Roman" w:hAnsi="Times New Roman" w:eastAsia="宋体" w:cs="Times New Roman"/>
          <w:color w:val="auto"/>
        </w:rPr>
      </w:pPr>
      <w:r>
        <w:rPr>
          <w:rFonts w:hint="eastAsia" w:cs="Times New Roman"/>
          <w:color w:val="auto"/>
          <w:lang w:eastAsia="zh-CN"/>
        </w:rPr>
        <w:t>晾粪台</w:t>
      </w:r>
      <w:r>
        <w:rPr>
          <w:rFonts w:hint="default" w:ascii="Times New Roman" w:hAnsi="Times New Roman" w:eastAsia="宋体" w:cs="Times New Roman"/>
          <w:color w:val="auto"/>
        </w:rPr>
        <w:t>、</w:t>
      </w:r>
      <w:r>
        <w:rPr>
          <w:rFonts w:hint="eastAsia" w:cs="Times New Roman"/>
          <w:color w:val="auto"/>
          <w:lang w:eastAsia="zh-CN"/>
        </w:rPr>
        <w:t>化粪池、</w:t>
      </w:r>
      <w:r>
        <w:rPr>
          <w:rFonts w:hint="default" w:ascii="Times New Roman" w:hAnsi="Times New Roman" w:eastAsia="宋体" w:cs="Times New Roman"/>
          <w:color w:val="auto"/>
        </w:rPr>
        <w:t>粪污通道、氧化塘等构筑物，均参照《一般工业固体废物贮存、处置场污染控制标准》（GB18599-2001）中的相关要求进行防渗，渗透系数≤1.0×10</w:t>
      </w:r>
      <w:r>
        <w:rPr>
          <w:rFonts w:hint="default" w:ascii="Times New Roman" w:hAnsi="Times New Roman" w:eastAsia="宋体" w:cs="Times New Roman"/>
          <w:color w:val="auto"/>
          <w:vertAlign w:val="superscript"/>
        </w:rPr>
        <w:t xml:space="preserve"> -7</w:t>
      </w:r>
      <w:r>
        <w:rPr>
          <w:rFonts w:hint="default" w:ascii="Times New Roman" w:hAnsi="Times New Roman" w:eastAsia="宋体" w:cs="Times New Roman"/>
          <w:color w:val="auto"/>
        </w:rPr>
        <w:t>cm/s；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（4）根据《环境影响评价技术导则 地下水环境》（HJ610-2016），本项目地下水为三级评价，根据当地水文地质资料，地下水流向为</w:t>
      </w:r>
      <w:r>
        <w:rPr>
          <w:rFonts w:hint="eastAsia" w:cs="Times New Roman"/>
          <w:color w:val="auto"/>
          <w:lang w:eastAsia="zh-CN"/>
        </w:rPr>
        <w:t>西南向东北</w:t>
      </w:r>
      <w:r>
        <w:rPr>
          <w:rFonts w:hint="default" w:ascii="Times New Roman" w:hAnsi="Times New Roman" w:eastAsia="宋体" w:cs="Times New Roman"/>
          <w:color w:val="auto"/>
        </w:rPr>
        <w:t>，本项目在</w:t>
      </w:r>
      <w:r>
        <w:rPr>
          <w:rFonts w:hint="eastAsia" w:cs="Times New Roman"/>
          <w:color w:val="auto"/>
          <w:lang w:eastAsia="zh-CN"/>
        </w:rPr>
        <w:t>场区</w:t>
      </w:r>
      <w:r>
        <w:rPr>
          <w:rFonts w:hint="eastAsia" w:cs="Times New Roman"/>
          <w:color w:val="FF0000"/>
          <w:lang w:eastAsia="zh-CN"/>
        </w:rPr>
        <w:t>北</w:t>
      </w:r>
      <w:r>
        <w:rPr>
          <w:rFonts w:hint="default" w:ascii="Times New Roman" w:hAnsi="Times New Roman" w:eastAsia="宋体" w:cs="Times New Roman"/>
          <w:color w:val="FF0000"/>
        </w:rPr>
        <w:t>方向设置1口地下水监测井（E107°39'3.32'',N40°53'33.28''）。</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（5）加强事故监控。企业内部人员应定期巡检，对于管道、氧化塘要定期进行维护。及时发现各种可能引起养殖废水事故排放的异常情形，并在相关人员的配合下消除事故隐患。</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6.6.1.2管理措施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①制定安全管理制度及建立有效的安全管理组织，确保各种有关的安全管理规定能在各个环节上得到充分落实，并能有所改进与提高；</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 xml:space="preserve">②在投产运行前，应制定出正常、异常或紧急状态下的操作手册和维修手册，并对操作、维修人员进行培训，避免因严重操作失误而造成的事故； </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③加强对工作人员安全素质方面的教育及训练，包括安全知识、安全技术、安全心理、职业卫生及排险与消防活动等，而且要时常演练与考核；</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④制定应急操作规程，在规程中应说明发生事故时应采取的操作步骤，规定抢修进度，限制事故的影响；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⑤对重要的仪器设备有完善的检查项目、维护方法；按计划进行定期维护；有专门档案（包括维护记录档案），文件齐全；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⑥站区内设有醒目的“严禁烟火”标志和防火安全制度。</w:t>
      </w:r>
    </w:p>
    <w:p>
      <w:pPr>
        <w:pStyle w:val="6"/>
        <w:rPr>
          <w:rFonts w:hint="default" w:ascii="Times New Roman" w:hAnsi="Times New Roman" w:eastAsia="宋体" w:cs="Times New Roman"/>
          <w:color w:val="auto"/>
        </w:rPr>
      </w:pPr>
      <w:bookmarkStart w:id="438" w:name="_Toc13268"/>
      <w:r>
        <w:rPr>
          <w:rFonts w:hint="default" w:ascii="Times New Roman" w:hAnsi="Times New Roman" w:eastAsia="宋体" w:cs="Times New Roman"/>
          <w:color w:val="auto"/>
        </w:rPr>
        <w:t>6.6.2突发环境事件应急预案编制要求</w:t>
      </w:r>
      <w:bookmarkEnd w:id="43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根据《建设项目环境风险评价技术导则》（HJ169-2018），按照国家、地方和相关部门要求，本次评价提出企业突发环境事件应急预案编制的原则要求：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建设单位按照国家、地方和相关部门要求，提出企业突发环境事件应急预案编制或完善的原则要求，包括预案适用范围、环境事件分类与分级、组织机构与职责、监控和预警、应急响应、应急保障、善后处置、预案管理与演练等内容。</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应急预案明确企业、区域、地方政府环境风险应急体系。企业突发环境事件应急预案应体现分级响应、区域联动的原则，与地方政府突发环境事件应急预案相衔接，明确分级响应程序。</w:t>
      </w:r>
    </w:p>
    <w:p>
      <w:pPr>
        <w:pStyle w:val="5"/>
        <w:rPr>
          <w:rFonts w:hint="default" w:ascii="Times New Roman" w:hAnsi="Times New Roman" w:eastAsia="宋体" w:cs="Times New Roman"/>
          <w:color w:val="auto"/>
        </w:rPr>
      </w:pPr>
      <w:bookmarkStart w:id="439" w:name="_Toc26191"/>
      <w:r>
        <w:rPr>
          <w:rFonts w:hint="default" w:ascii="Times New Roman" w:hAnsi="Times New Roman" w:eastAsia="宋体" w:cs="Times New Roman"/>
          <w:color w:val="auto"/>
        </w:rPr>
        <w:t>6.7结论与建议</w:t>
      </w:r>
      <w:bookmarkEnd w:id="439"/>
    </w:p>
    <w:p>
      <w:pPr>
        <w:pStyle w:val="6"/>
        <w:rPr>
          <w:rFonts w:hint="default" w:ascii="Times New Roman" w:hAnsi="Times New Roman" w:eastAsia="宋体" w:cs="Times New Roman"/>
          <w:color w:val="auto"/>
        </w:rPr>
      </w:pPr>
      <w:bookmarkStart w:id="440" w:name="_Toc358"/>
      <w:r>
        <w:rPr>
          <w:rFonts w:hint="default" w:ascii="Times New Roman" w:hAnsi="Times New Roman" w:eastAsia="宋体" w:cs="Times New Roman"/>
          <w:color w:val="auto"/>
        </w:rPr>
        <w:t>6.7.1结论</w:t>
      </w:r>
      <w:bookmarkEnd w:id="44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项目运营期场内不涉及《建设项目环境风险评价技术导则》（HJ 169-2018）附录B内重点关注的危险物质；根据2.6.5.1风险评价等级判定，本项目环境风险潜势为Ⅰ级，评价等级为简单分析。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项目环境风险简单分析内容见表6.7-1。</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表6.7-1    建设项目环境风险简单分析内容表</w:t>
      </w:r>
    </w:p>
    <w:tbl>
      <w:tblPr>
        <w:tblStyle w:val="34"/>
        <w:tblW w:w="8787" w:type="dxa"/>
        <w:tblInd w:w="0" w:type="dxa"/>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364"/>
        <w:gridCol w:w="1606"/>
        <w:gridCol w:w="1441"/>
        <w:gridCol w:w="1722"/>
        <w:gridCol w:w="1654"/>
      </w:tblGrid>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36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建设项目名称</w:t>
            </w:r>
          </w:p>
        </w:tc>
        <w:tc>
          <w:tcPr>
            <w:tcW w:w="6423" w:type="dxa"/>
            <w:gridSpan w:val="4"/>
            <w:vAlign w:val="center"/>
          </w:tcPr>
          <w:p>
            <w:pPr>
              <w:pStyle w:val="58"/>
              <w:rPr>
                <w:rFonts w:hint="default" w:ascii="Times New Roman" w:hAnsi="Times New Roman" w:eastAsia="宋体" w:cs="Times New Roman"/>
                <w:color w:val="auto"/>
                <w:lang w:eastAsia="zh-CN"/>
              </w:rPr>
            </w:pPr>
            <w:r>
              <w:rPr>
                <w:rFonts w:hint="eastAsia" w:cs="Times New Roman"/>
                <w:color w:val="auto"/>
                <w:lang w:eastAsia="zh-CN"/>
              </w:rPr>
              <w:t>巴彦淖尔市亨泰农牧业有限责任公司育肥猪养殖产业化项目</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36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建设地点</w:t>
            </w:r>
          </w:p>
        </w:tc>
        <w:tc>
          <w:tcPr>
            <w:tcW w:w="1606"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（内蒙古）自治区</w:t>
            </w:r>
          </w:p>
        </w:tc>
        <w:tc>
          <w:tcPr>
            <w:tcW w:w="144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（巴彦淖尔）市</w:t>
            </w:r>
          </w:p>
        </w:tc>
        <w:tc>
          <w:tcPr>
            <w:tcW w:w="1722"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五原</w:t>
            </w:r>
            <w:r>
              <w:rPr>
                <w:rFonts w:hint="default" w:ascii="Times New Roman" w:hAnsi="Times New Roman" w:eastAsia="宋体" w:cs="Times New Roman"/>
                <w:color w:val="auto"/>
              </w:rPr>
              <w:t>）县</w:t>
            </w:r>
          </w:p>
        </w:tc>
        <w:tc>
          <w:tcPr>
            <w:tcW w:w="1654" w:type="dxa"/>
            <w:vAlign w:val="center"/>
          </w:tcPr>
          <w:p>
            <w:pPr>
              <w:pStyle w:val="58"/>
              <w:rPr>
                <w:rFonts w:hint="default" w:ascii="Times New Roman" w:hAnsi="Times New Roman" w:eastAsia="宋体" w:cs="Times New Roman"/>
                <w:color w:val="auto"/>
                <w:lang w:eastAsia="zh-CN"/>
              </w:rPr>
            </w:pPr>
            <w:r>
              <w:rPr>
                <w:rFonts w:hint="eastAsia" w:cs="Times New Roman"/>
                <w:color w:val="auto"/>
                <w:lang w:eastAsia="zh-CN"/>
              </w:rPr>
              <w:t>天吉泰镇二合永村一组</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36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地理坐标</w:t>
            </w:r>
          </w:p>
        </w:tc>
        <w:tc>
          <w:tcPr>
            <w:tcW w:w="1606"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经度</w:t>
            </w:r>
          </w:p>
        </w:tc>
        <w:tc>
          <w:tcPr>
            <w:tcW w:w="1441"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w:t>
            </w:r>
            <w:r>
              <w:rPr>
                <w:rFonts w:hint="eastAsia" w:cs="Times New Roman"/>
                <w:color w:val="auto"/>
                <w:lang w:val="en-US" w:eastAsia="zh-CN"/>
              </w:rPr>
              <w:t>7</w:t>
            </w:r>
            <w:r>
              <w:rPr>
                <w:rFonts w:hint="default" w:ascii="Times New Roman" w:hAnsi="Times New Roman" w:eastAsia="宋体" w:cs="Times New Roman"/>
                <w:color w:val="auto"/>
              </w:rPr>
              <w:t>°</w:t>
            </w:r>
            <w:r>
              <w:rPr>
                <w:rFonts w:hint="eastAsia" w:cs="Times New Roman"/>
                <w:color w:val="auto"/>
                <w:lang w:val="en-US" w:eastAsia="zh-CN"/>
              </w:rPr>
              <w:t>39</w:t>
            </w:r>
            <w:r>
              <w:rPr>
                <w:rFonts w:hint="default" w:ascii="Times New Roman" w:hAnsi="Times New Roman" w:eastAsia="宋体" w:cs="Times New Roman"/>
                <w:color w:val="auto"/>
              </w:rPr>
              <w:t>'</w:t>
            </w:r>
            <w:r>
              <w:rPr>
                <w:rFonts w:hint="eastAsia" w:cs="Times New Roman"/>
                <w:color w:val="auto"/>
                <w:lang w:val="en-US" w:eastAsia="zh-CN"/>
              </w:rPr>
              <w:t>2</w:t>
            </w:r>
            <w:r>
              <w:rPr>
                <w:rFonts w:hint="default" w:ascii="Times New Roman" w:hAnsi="Times New Roman" w:eastAsia="宋体" w:cs="Times New Roman"/>
                <w:color w:val="auto"/>
              </w:rPr>
              <w:t>"</w:t>
            </w:r>
          </w:p>
        </w:tc>
        <w:tc>
          <w:tcPr>
            <w:tcW w:w="1722"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纬度</w:t>
            </w:r>
          </w:p>
        </w:tc>
        <w:tc>
          <w:tcPr>
            <w:tcW w:w="1654" w:type="dxa"/>
            <w:vAlign w:val="center"/>
          </w:tcPr>
          <w:p>
            <w:pPr>
              <w:pStyle w:val="58"/>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40°</w:t>
            </w:r>
            <w:r>
              <w:rPr>
                <w:rFonts w:hint="eastAsia" w:cs="Times New Roman"/>
                <w:color w:val="auto"/>
                <w:lang w:val="en-US" w:eastAsia="zh-CN"/>
              </w:rPr>
              <w:t>53</w:t>
            </w:r>
            <w:r>
              <w:rPr>
                <w:rFonts w:hint="default" w:ascii="Times New Roman" w:hAnsi="Times New Roman" w:eastAsia="宋体" w:cs="Times New Roman"/>
                <w:color w:val="auto"/>
              </w:rPr>
              <w:t>'</w:t>
            </w:r>
            <w:r>
              <w:rPr>
                <w:rFonts w:hint="eastAsia" w:cs="Times New Roman"/>
                <w:color w:val="auto"/>
                <w:lang w:val="en-US" w:eastAsia="zh-CN"/>
              </w:rPr>
              <w:t>31</w:t>
            </w:r>
            <w:r>
              <w:rPr>
                <w:rFonts w:hint="default" w:ascii="Times New Roman" w:hAnsi="Times New Roman" w:eastAsia="宋体" w:cs="Times New Roman"/>
                <w:color w:val="auto"/>
              </w:rPr>
              <w:t>"</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36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主要危险物质及分布</w:t>
            </w:r>
          </w:p>
        </w:tc>
        <w:tc>
          <w:tcPr>
            <w:tcW w:w="6423" w:type="dxa"/>
            <w:gridSpan w:val="4"/>
            <w:vAlign w:val="center"/>
          </w:tcPr>
          <w:p>
            <w:pPr>
              <w:pStyle w:val="58"/>
              <w:jc w:val="center"/>
              <w:rPr>
                <w:rFonts w:hint="eastAsia" w:ascii="Times New Roman" w:hAnsi="Times New Roman" w:eastAsia="宋体" w:cs="Times New Roman"/>
                <w:color w:val="auto"/>
                <w:lang w:eastAsia="zh-CN"/>
              </w:rPr>
            </w:pPr>
            <w:r>
              <w:rPr>
                <w:rFonts w:hint="eastAsia" w:cs="Times New Roman"/>
                <w:color w:val="auto"/>
                <w:lang w:eastAsia="zh-CN"/>
              </w:rPr>
              <w:t>氨气、硫化氢</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36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环境影响途径及危害后果（大气、地表水、地下水等）</w:t>
            </w:r>
          </w:p>
        </w:tc>
        <w:tc>
          <w:tcPr>
            <w:tcW w:w="6423" w:type="dxa"/>
            <w:gridSpan w:val="4"/>
            <w:vAlign w:val="center"/>
          </w:tcPr>
          <w:p>
            <w:pPr>
              <w:pStyle w:val="58"/>
              <w:jc w:val="center"/>
              <w:rPr>
                <w:rFonts w:hint="default" w:ascii="Times New Roman" w:hAnsi="Times New Roman" w:eastAsia="宋体" w:cs="Times New Roman"/>
                <w:color w:val="auto"/>
              </w:rPr>
            </w:pPr>
            <w:r>
              <w:rPr>
                <w:rFonts w:hint="default" w:ascii="Times New Roman" w:hAnsi="Times New Roman" w:eastAsia="宋体" w:cs="Times New Roman"/>
                <w:color w:val="auto"/>
              </w:rPr>
              <w:t>本项目环境风险主要为氧化塘的硬化地面、防渗设置出现破损，出现污水渗漏的情况</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364"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风险防范措施要求</w:t>
            </w:r>
          </w:p>
        </w:tc>
        <w:tc>
          <w:tcPr>
            <w:tcW w:w="6423" w:type="dxa"/>
            <w:gridSpan w:val="4"/>
            <w:vAlign w:val="center"/>
          </w:tcPr>
          <w:p>
            <w:pPr>
              <w:pStyle w:val="58"/>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从技术、工艺和管理三个方面入手，采取综合措施，预防泄漏事故，详见6.6环境风险防范措施及应急要求</w:t>
            </w:r>
          </w:p>
        </w:tc>
      </w:tr>
    </w:tbl>
    <w:p>
      <w:pPr>
        <w:pStyle w:val="6"/>
        <w:rPr>
          <w:rFonts w:hint="default" w:ascii="Times New Roman" w:hAnsi="Times New Roman" w:eastAsia="宋体" w:cs="Times New Roman"/>
          <w:color w:val="auto"/>
        </w:rPr>
      </w:pPr>
      <w:bookmarkStart w:id="441" w:name="_Toc22519"/>
      <w:r>
        <w:rPr>
          <w:rFonts w:hint="default" w:ascii="Times New Roman" w:hAnsi="Times New Roman" w:eastAsia="宋体" w:cs="Times New Roman"/>
          <w:color w:val="auto"/>
        </w:rPr>
        <w:t>6.7.2建议</w:t>
      </w:r>
      <w:bookmarkEnd w:id="441"/>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（1）要求建设单位针对可能发生的重大环境风险事故制定详细的环境风险应急预案，并经过专家评审，定期进行预案演练。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（2）建立企业环境风险应急机制，加强养殖区、粪污处理区的巡查，监视力度，强化风险管理。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（3）建设单位须采取有效的防范、减缓措施，并制定突发性事故应急预案，强化安全管理，降低事故发生的可能性，使危险等级降低到可接受水平。</w:t>
      </w:r>
    </w:p>
    <w:bookmarkEnd w:id="406"/>
    <w:p>
      <w:pPr>
        <w:overflowPunct w:val="0"/>
        <w:ind w:firstLine="480"/>
        <w:rPr>
          <w:rFonts w:hint="default" w:ascii="Times New Roman" w:hAnsi="Times New Roman" w:eastAsia="宋体" w:cs="Times New Roman"/>
          <w:color w:val="auto"/>
        </w:rPr>
      </w:pPr>
    </w:p>
    <w:p>
      <w:pPr>
        <w:pStyle w:val="4"/>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bookmarkStart w:id="442" w:name="_Toc523322383"/>
    </w:p>
    <w:p>
      <w:pPr>
        <w:pStyle w:val="4"/>
        <w:rPr>
          <w:rFonts w:hint="default" w:ascii="Times New Roman" w:hAnsi="Times New Roman" w:eastAsia="宋体" w:cs="Times New Roman"/>
          <w:color w:val="auto"/>
        </w:rPr>
      </w:pPr>
      <w:bookmarkStart w:id="443" w:name="_Toc523322368"/>
      <w:bookmarkStart w:id="444" w:name="_Toc24183"/>
      <w:r>
        <w:rPr>
          <w:rFonts w:hint="default" w:ascii="Times New Roman" w:hAnsi="Times New Roman" w:eastAsia="宋体" w:cs="Times New Roman"/>
          <w:color w:val="auto"/>
        </w:rPr>
        <w:t>7环境保护措施及其可行性论证</w:t>
      </w:r>
      <w:bookmarkEnd w:id="443"/>
      <w:bookmarkEnd w:id="444"/>
    </w:p>
    <w:p>
      <w:pPr>
        <w:pStyle w:val="5"/>
        <w:rPr>
          <w:rFonts w:hint="default" w:ascii="Times New Roman" w:hAnsi="Times New Roman" w:eastAsia="宋体" w:cs="Times New Roman"/>
          <w:color w:val="auto"/>
        </w:rPr>
      </w:pPr>
      <w:bookmarkStart w:id="445" w:name="_Toc523322369"/>
      <w:bookmarkStart w:id="446" w:name="_Toc26448"/>
      <w:r>
        <w:rPr>
          <w:rFonts w:hint="default" w:ascii="Times New Roman" w:hAnsi="Times New Roman" w:eastAsia="宋体" w:cs="Times New Roman"/>
          <w:color w:val="auto"/>
        </w:rPr>
        <w:t>7.1施工期环境保护措施</w:t>
      </w:r>
      <w:bookmarkEnd w:id="445"/>
      <w:bookmarkEnd w:id="446"/>
    </w:p>
    <w:p>
      <w:pPr>
        <w:pStyle w:val="6"/>
        <w:rPr>
          <w:rFonts w:hint="default" w:ascii="Times New Roman" w:hAnsi="Times New Roman" w:eastAsia="宋体" w:cs="Times New Roman"/>
          <w:color w:val="auto"/>
        </w:rPr>
      </w:pPr>
      <w:bookmarkStart w:id="447" w:name="_Toc7299"/>
      <w:bookmarkStart w:id="448" w:name="_Toc523322370"/>
      <w:bookmarkStart w:id="449" w:name="_Toc1767"/>
      <w:r>
        <w:rPr>
          <w:rFonts w:hint="default" w:ascii="Times New Roman" w:hAnsi="Times New Roman" w:eastAsia="宋体" w:cs="Times New Roman"/>
          <w:color w:val="auto"/>
        </w:rPr>
        <w:t>7.1.1施工期大气环境保护措施</w:t>
      </w:r>
      <w:bookmarkEnd w:id="447"/>
      <w:bookmarkEnd w:id="448"/>
      <w:bookmarkEnd w:id="44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根据施工期大气环境影响分析结果、根据相关法律法规确定本项目施工期大气环境保护措施，具体措施如下：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（1）整体防治措施：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①建设单位应当将防治扬尘污染的费用列入工程造价，并在施工承包合同中明确施工单位扬尘污染防治责任。施工单位应当制定具体的施工扬尘污染防治实施方案。</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②施工单位应当在施工工地洒水抑尘、车辆等有效防尘降尘措施，对施工场地及施工道路每天洒水抑尘作业4～5次，可使扬尘量减少70%左右。</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加强施工现场运输车辆管理，注重车辆的维护保养，严禁使用冒黑烟车辆，限制车速，严禁超高、超载运输；保证所运物品无撒漏、扬散，防止建筑材料、垃圾和尘土飞扬、洒落和流溢，有效抑制粉尘和二次扬尘污染；驶出工地的车辆必须车身整洁，装载车厢完好，装载货物堆码整齐，不得污染道路。</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④施工场区不使用油耗高、效率低、废气排放严重的施工机械，对燃油设备合理配置，加强管理，工程运输车辆尾气达标。</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⑤加快施工进度，尽量缩短工期。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（2）扬尘防治措施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①料场集中堆放的采取覆盖并保持其表面湿润或固化处理，并在堆场表面用防尘网进行遮盖，以防止风蚀防尘措施。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②对开挖等施工作业面（点）进行封闭施工或者采取洒水等控尘降尘措施。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③采取分段施工，分段回填、分段恢复，减少裸露地面面积和土方堆置。</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④当出现4级及以上风力天气情况时，禁止土方施工，并作好遮掩、洒水抑尘工作。</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⑤施工完成后，及时进行表土覆盖和植被恢复，防止基础裸露。</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⑥运输车辆严禁超限运输并在运输物料及土方上覆盖苫布，严禁物料散落和起尘；运输车辆速慢行，固定行车路线，干燥大风天气对途径敏感点路段运输道路洒水抑尘。</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⑦对临时占地采取严格处理措施，取土过程中及时对取土面加盖，防止生成新尘源；对于临时堆土场及时洒水，并加盖，防止形成新尘源。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⑧施工垃圾应及时清运，集中堆放的采取覆盖并保持其表面湿润或固化处理，并在土堆表面用防尘网进行遮盖，以防止风蚀。</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⑨可能产生扬尘污染的建筑材料在库房存放，避免露天堆放，或者严密遮盖或采用洒水、遮盖物或喷洒遮盖剂等措施防止扬尘。</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通过上述各项措施，可基本控制建筑施工扬尘的产生，降低施工扬尘对周围环境的影响。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施工期间大气污染防治措施目前较成熟，实践表明只要管理和工程措施到位，完全能够满足环保要求。</w:t>
      </w:r>
    </w:p>
    <w:p>
      <w:pPr>
        <w:pStyle w:val="6"/>
        <w:rPr>
          <w:rFonts w:hint="default" w:ascii="Times New Roman" w:hAnsi="Times New Roman" w:eastAsia="宋体" w:cs="Times New Roman"/>
          <w:color w:val="auto"/>
        </w:rPr>
      </w:pPr>
      <w:bookmarkStart w:id="450" w:name="_Toc6972"/>
      <w:bookmarkStart w:id="451" w:name="_Toc523322371"/>
      <w:bookmarkStart w:id="452" w:name="_Toc3117"/>
      <w:r>
        <w:rPr>
          <w:rFonts w:hint="default" w:ascii="Times New Roman" w:hAnsi="Times New Roman" w:eastAsia="宋体" w:cs="Times New Roman"/>
          <w:color w:val="auto"/>
        </w:rPr>
        <w:t>7.1.2施工期水环境保护措施</w:t>
      </w:r>
      <w:bookmarkEnd w:id="450"/>
      <w:bookmarkEnd w:id="451"/>
      <w:bookmarkEnd w:id="45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（1）加强施工机械管理，防止油的跑、冒、滴、漏。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（2）项目施工期生活污水依托</w:t>
      </w:r>
      <w:r>
        <w:rPr>
          <w:rFonts w:hint="eastAsia" w:cs="Times New Roman"/>
          <w:color w:val="auto"/>
          <w:lang w:eastAsia="zh-CN"/>
        </w:rPr>
        <w:t>二合永村一组</w:t>
      </w:r>
      <w:r>
        <w:rPr>
          <w:rFonts w:hint="default" w:ascii="Times New Roman" w:hAnsi="Times New Roman" w:eastAsia="宋体" w:cs="Times New Roman"/>
          <w:color w:val="auto"/>
        </w:rPr>
        <w:t>旱厕进行。</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施工过程中贯彻“一水多用、重复利用、节约用水”的原则，尽量减少废水的排放量。施工期间废水污染防治措施可行，能够满足环保要求。</w:t>
      </w:r>
    </w:p>
    <w:p>
      <w:pPr>
        <w:pStyle w:val="6"/>
        <w:rPr>
          <w:rFonts w:hint="default" w:ascii="Times New Roman" w:hAnsi="Times New Roman" w:eastAsia="宋体" w:cs="Times New Roman"/>
          <w:color w:val="auto"/>
        </w:rPr>
      </w:pPr>
      <w:bookmarkStart w:id="453" w:name="_Toc523322372"/>
      <w:bookmarkStart w:id="454" w:name="_Toc29520"/>
      <w:bookmarkStart w:id="455" w:name="_Toc22763"/>
      <w:r>
        <w:rPr>
          <w:rFonts w:hint="default" w:ascii="Times New Roman" w:hAnsi="Times New Roman" w:eastAsia="宋体" w:cs="Times New Roman"/>
          <w:color w:val="auto"/>
        </w:rPr>
        <w:t>7.1.3施工期声环境保护措施</w:t>
      </w:r>
      <w:bookmarkEnd w:id="453"/>
      <w:bookmarkEnd w:id="454"/>
      <w:bookmarkEnd w:id="455"/>
    </w:p>
    <w:p>
      <w:pPr>
        <w:ind w:firstLine="480"/>
        <w:rPr>
          <w:rFonts w:hint="default" w:ascii="Times New Roman" w:hAnsi="Times New Roman" w:eastAsia="宋体" w:cs="Times New Roman"/>
          <w:color w:val="auto"/>
        </w:rPr>
      </w:pPr>
      <w:bookmarkStart w:id="456" w:name="_Toc14156"/>
      <w:r>
        <w:rPr>
          <w:rFonts w:hint="default" w:ascii="Times New Roman" w:hAnsi="Times New Roman" w:eastAsia="宋体" w:cs="Times New Roman"/>
          <w:color w:val="auto"/>
        </w:rPr>
        <w:t>（1）在满足施工需要的前提下，尽可能选择低噪先进设备，并严格控制高噪声设备的施工时间。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（2）加强设备的维护保养，避免由于设备性能差而使机械噪声增大的现象。</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（3）施工单位应高度重视噪声影响，合理安排作业时间。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（4）加快施工进度，尽量缩短工期。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（5）加强环境宣传和教育，认真落实各项降噪措施，做到文明施工。</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工程施工期噪声污染防治措施较为成熟，技术经济可行。</w:t>
      </w:r>
    </w:p>
    <w:p>
      <w:pPr>
        <w:pStyle w:val="6"/>
        <w:rPr>
          <w:rFonts w:hint="default" w:ascii="Times New Roman" w:hAnsi="Times New Roman" w:eastAsia="宋体" w:cs="Times New Roman"/>
          <w:color w:val="auto"/>
        </w:rPr>
      </w:pPr>
      <w:bookmarkStart w:id="457" w:name="_Toc523322373"/>
      <w:bookmarkStart w:id="458" w:name="_Toc750"/>
      <w:r>
        <w:rPr>
          <w:rFonts w:hint="default" w:ascii="Times New Roman" w:hAnsi="Times New Roman" w:eastAsia="宋体" w:cs="Times New Roman"/>
          <w:color w:val="auto"/>
        </w:rPr>
        <w:t>7.1.4施工期固体废物处理措施</w:t>
      </w:r>
      <w:bookmarkEnd w:id="456"/>
      <w:bookmarkEnd w:id="457"/>
      <w:bookmarkEnd w:id="45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（1）废包装物、建筑垃圾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工程建筑垃圾及时运至指定渣场规范处置。采用密闭车辆运输，并对进出工程场地的运输车辆轮胎进行清洗，避免将泥土带入道路。</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（2）生活垃圾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生活垃圾集中收集后</w:t>
      </w:r>
      <w:r>
        <w:rPr>
          <w:rFonts w:hint="default" w:ascii="Times New Roman" w:hAnsi="Times New Roman" w:eastAsia="宋体" w:cs="Times New Roman"/>
          <w:color w:val="auto"/>
          <w:lang w:bidi="zh-CN"/>
        </w:rPr>
        <w:t>清运到环卫部门指定的地点集中处理</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采取上述污染防治措施，施工期固体废物对环境的影响很小。</w:t>
      </w:r>
    </w:p>
    <w:p>
      <w:pPr>
        <w:pStyle w:val="6"/>
        <w:rPr>
          <w:rFonts w:hint="default" w:ascii="Times New Roman" w:hAnsi="Times New Roman" w:eastAsia="宋体" w:cs="Times New Roman"/>
          <w:color w:val="auto"/>
        </w:rPr>
      </w:pPr>
      <w:bookmarkStart w:id="459" w:name="_Toc8797"/>
      <w:r>
        <w:rPr>
          <w:rFonts w:hint="default" w:ascii="Times New Roman" w:hAnsi="Times New Roman" w:eastAsia="宋体" w:cs="Times New Roman"/>
          <w:color w:val="auto"/>
        </w:rPr>
        <w:t>7.1.5施工期生态环境保护措施</w:t>
      </w:r>
      <w:bookmarkEnd w:id="459"/>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7.1.5.1主体工程施工期生态保护措施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本项目施工期对生态环境的影响较小，但仍需采取如下措施：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（1）为消减施工队伍对植被的影响，在工程施工区设置警示牌，标明施工活动区，严令禁止到非施工区域活动，非施工区严禁烟火等破坏性活动。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（2）在施工期间对施工人员加强施工区生态保护的宣传教育，以公告、宣传册发放等形式，教育施工人员，通过制度化禁止施工人员捕食蛙类、鸟类、兽类，以减轻施工对当地陆生动植物的影响。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（3）工程施工结束后，场区内施工临时占地应采取绿化措施，进行植被恢复；同时对</w:t>
      </w:r>
      <w:r>
        <w:rPr>
          <w:rFonts w:hint="default" w:ascii="Times New Roman" w:hAnsi="Times New Roman" w:eastAsia="宋体" w:cs="Times New Roman"/>
          <w:color w:val="auto"/>
          <w:lang w:val="en-US" w:eastAsia="zh-CN"/>
        </w:rPr>
        <w:t>养殖</w:t>
      </w:r>
      <w:r>
        <w:rPr>
          <w:rFonts w:hint="default" w:ascii="Times New Roman" w:hAnsi="Times New Roman" w:eastAsia="宋体" w:cs="Times New Roman"/>
          <w:color w:val="auto"/>
        </w:rPr>
        <w:t>场也尽可能进行绿化。</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加强场区的绿化工作、对改善场区内小环境有重要意义。绿化可以吸尘灭菌、降低噪声、净化空气、防疫隔离、防暑防寒。如按冬季主风的上风向设防风林、在</w:t>
      </w:r>
      <w:r>
        <w:rPr>
          <w:rFonts w:hint="default" w:ascii="Times New Roman" w:hAnsi="Times New Roman" w:eastAsia="宋体" w:cs="Times New Roman"/>
          <w:color w:val="auto"/>
          <w:lang w:eastAsia="zh-CN"/>
        </w:rPr>
        <w:t>养殖</w:t>
      </w:r>
      <w:r>
        <w:rPr>
          <w:rFonts w:hint="default" w:ascii="Times New Roman" w:hAnsi="Times New Roman" w:eastAsia="宋体" w:cs="Times New Roman"/>
          <w:color w:val="auto"/>
        </w:rPr>
        <w:t>场的周围设隔离林、</w:t>
      </w:r>
      <w:r>
        <w:rPr>
          <w:rFonts w:hint="default" w:ascii="Times New Roman" w:hAnsi="Times New Roman" w:eastAsia="宋体" w:cs="Times New Roman"/>
          <w:color w:val="auto"/>
          <w:lang w:eastAsia="zh-CN"/>
        </w:rPr>
        <w:t>生活区和养殖区之间</w:t>
      </w:r>
      <w:r>
        <w:rPr>
          <w:rFonts w:hint="default" w:ascii="Times New Roman" w:hAnsi="Times New Roman" w:eastAsia="宋体" w:cs="Times New Roman"/>
          <w:color w:val="auto"/>
        </w:rPr>
        <w:t>设隔离林、道路两旁进行遮荫绿化、场区裸露地面上种植花草。同时还应科学的选择园艺花卉品种，充分利用植物的环境修复功能。经研究发现，绿色植物对空气污染具有很好的净化作用，不光是叶子，植物的根以及土壤里的细菌都能有效清除有害气体。建议在</w:t>
      </w:r>
      <w:r>
        <w:rPr>
          <w:rFonts w:hint="eastAsia" w:cs="Times New Roman"/>
          <w:color w:val="auto"/>
          <w:lang w:val="en-US" w:eastAsia="zh-CN"/>
        </w:rPr>
        <w:t>养猪场</w:t>
      </w:r>
      <w:r>
        <w:rPr>
          <w:rFonts w:hint="default" w:ascii="Times New Roman" w:hAnsi="Times New Roman" w:eastAsia="宋体" w:cs="Times New Roman"/>
          <w:color w:val="auto"/>
        </w:rPr>
        <w:t>周围栽种当地常见的较高大绿色植物，形成绿色屏障。</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7.1.5.2水土流失保护措施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工程的建设对项目涉及区域水土保持的影响主要发生在施工期，由于表土的开挖、植被的破坏，使抵抗流失力强的表层土壤受到影响；遇到下雨天，将造成严重的水土流失。环评要求建设单位采取以下措施控制水土流失情况：</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①进一步优化主体工程设计，在既保证主体工程顺利施工的条件下，同时兼顾水土保持的要求。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规范施工程序，优化施工组织和施工工艺。合理安排施工时序，尽量缩短施工工期，减少疏松地面的裸露时间；尽量避开雨季施工，适时开挖，减轻施工期造成的水土流失。增加土石方移动过程中临时处理措施，完善边坡挡土工程、护坡工程。修建临时性围墙封闭施工，将水土流失尽量控制在项目</w:t>
      </w:r>
      <w:r>
        <w:rPr>
          <w:rFonts w:hint="eastAsia" w:cs="Times New Roman"/>
          <w:color w:val="auto"/>
          <w:lang w:eastAsia="zh-CN"/>
        </w:rPr>
        <w:t>场区</w:t>
      </w:r>
      <w:r>
        <w:rPr>
          <w:rFonts w:hint="default" w:ascii="Times New Roman" w:hAnsi="Times New Roman" w:eastAsia="宋体" w:cs="Times New Roman"/>
          <w:color w:val="auto"/>
        </w:rPr>
        <w:t>内进行防治。既有利于阻挡水、土外流，防止对四周造成危害，又有利于施工管理。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③增加临时排水措施和沉沙池工程。本工程全面扰动地表，施工建设期土体裸露面积大、裸露时间较长，雨季易产生严重水土流失，因此在采取永久性防治措施之前，应采取临时性措施，控制施工期水土流失。</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划定表土临时堆置区。为了保护和充分利用不可再生的表土资源，提高工程绿化时的造林成活率，减少工程绿化的造林成本，须设置表土临时堆置区，并对其采取临时性水土保持措施防止水土流失。在项目场地平整前，剥离场内部分表层腐殖土并集中堆置，并采取必要的防护，待工程基本建成后将腐殖土覆盖在绿化区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⑤工程各处开挖裸露被建筑物、道路占用外，尽可能全部恢复植被，减少水土流失，做到水土流失治理与景观保护相互统一，通过采用乔、灌、草立体绿化、美化等措施防治水土流失，美化项目</w:t>
      </w:r>
      <w:r>
        <w:rPr>
          <w:rFonts w:hint="eastAsia" w:cs="Times New Roman"/>
          <w:color w:val="auto"/>
          <w:lang w:eastAsia="zh-CN"/>
        </w:rPr>
        <w:t>场区</w:t>
      </w:r>
      <w:r>
        <w:rPr>
          <w:rFonts w:hint="default" w:ascii="Times New Roman" w:hAnsi="Times New Roman" w:eastAsia="宋体" w:cs="Times New Roman"/>
          <w:color w:val="auto"/>
        </w:rPr>
        <w:t>环境，使景观得到优化，环境得到改善。</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⑥项目建设应满足消防及交通要求，项目道路及给排水管网一次敷设到位，避免改沟改路，尤其应防止沟渠受截而使水流冲刷改道，造成水土流失。</w:t>
      </w:r>
    </w:p>
    <w:p>
      <w:pPr>
        <w:pStyle w:val="6"/>
        <w:rPr>
          <w:rFonts w:hint="default" w:ascii="Times New Roman" w:hAnsi="Times New Roman" w:eastAsia="宋体" w:cs="Times New Roman"/>
          <w:color w:val="auto"/>
        </w:rPr>
      </w:pPr>
      <w:bookmarkStart w:id="460" w:name="_Toc523322375"/>
      <w:bookmarkStart w:id="461" w:name="_Toc16667"/>
      <w:r>
        <w:rPr>
          <w:rFonts w:hint="default" w:ascii="Times New Roman" w:hAnsi="Times New Roman" w:eastAsia="宋体" w:cs="Times New Roman"/>
          <w:color w:val="auto"/>
        </w:rPr>
        <w:t>7.1.6小结</w:t>
      </w:r>
      <w:bookmarkEnd w:id="460"/>
      <w:bookmarkEnd w:id="461"/>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施工期的环境影响是随着施工活动而产生的，因此施工期环境影响具有暂时性的特点，施工活动结束影响逐渐消失，不会对区域产生长远的影响。施工期环境保护工作是一项管理和措施并重的工作，施工单位若能强化管理，很多潜在的污染问题便不会出现；对于出现的环境影响采取必要的措施来消减其影响，使其降至最低。本次评价要求建设单位和施工单位在施工委托时明确施工期的环境保护工作内容和目标，明确责任，在施工过程中加强施工管理和环境保护工作。</w:t>
      </w:r>
    </w:p>
    <w:p>
      <w:pPr>
        <w:pStyle w:val="5"/>
        <w:rPr>
          <w:rFonts w:hint="default" w:ascii="Times New Roman" w:hAnsi="Times New Roman" w:eastAsia="宋体" w:cs="Times New Roman"/>
          <w:color w:val="auto"/>
        </w:rPr>
      </w:pPr>
      <w:bookmarkStart w:id="462" w:name="_Toc530642990"/>
      <w:bookmarkStart w:id="463" w:name="_Toc11630"/>
      <w:r>
        <w:rPr>
          <w:rFonts w:hint="default" w:ascii="Times New Roman" w:hAnsi="Times New Roman" w:eastAsia="宋体" w:cs="Times New Roman"/>
          <w:color w:val="auto"/>
        </w:rPr>
        <w:t>7.2运营期大气污染防治措施及可行性</w:t>
      </w:r>
      <w:bookmarkEnd w:id="462"/>
      <w:bookmarkEnd w:id="46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本项目运营后产生的废气主要有</w:t>
      </w:r>
      <w:r>
        <w:rPr>
          <w:rFonts w:hint="eastAsia" w:cs="Times New Roman"/>
          <w:color w:val="auto"/>
          <w:lang w:eastAsia="zh-CN"/>
        </w:rPr>
        <w:t>猪舍</w:t>
      </w:r>
      <w:r>
        <w:rPr>
          <w:rFonts w:hint="default" w:ascii="Times New Roman" w:hAnsi="Times New Roman" w:eastAsia="宋体" w:cs="Times New Roman"/>
          <w:color w:val="auto"/>
        </w:rPr>
        <w:t>、</w:t>
      </w:r>
      <w:r>
        <w:rPr>
          <w:rFonts w:hint="eastAsia" w:cs="Times New Roman"/>
          <w:color w:val="auto"/>
          <w:lang w:eastAsia="zh-CN"/>
        </w:rPr>
        <w:t>晾粪台</w:t>
      </w:r>
      <w:r>
        <w:rPr>
          <w:rFonts w:hint="default" w:ascii="Times New Roman" w:hAnsi="Times New Roman" w:eastAsia="宋体" w:cs="Times New Roman"/>
          <w:color w:val="auto"/>
        </w:rPr>
        <w:t>及氧化塘臭气等污染源，为了减少废气对周围环境的影响，需采取如下措施。</w:t>
      </w:r>
    </w:p>
    <w:p>
      <w:pPr>
        <w:pStyle w:val="6"/>
        <w:rPr>
          <w:rFonts w:hint="default" w:ascii="Times New Roman" w:hAnsi="Times New Roman" w:eastAsia="宋体" w:cs="Times New Roman"/>
          <w:color w:val="auto"/>
        </w:rPr>
      </w:pPr>
      <w:bookmarkStart w:id="464" w:name="_Toc4033"/>
      <w:r>
        <w:rPr>
          <w:rFonts w:hint="default" w:ascii="Times New Roman" w:hAnsi="Times New Roman" w:eastAsia="宋体" w:cs="Times New Roman"/>
          <w:color w:val="auto"/>
        </w:rPr>
        <w:t>7.2.1恶臭污染防治措施</w:t>
      </w:r>
      <w:bookmarkEnd w:id="464"/>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7.2.1.1</w:t>
      </w:r>
      <w:r>
        <w:rPr>
          <w:rFonts w:hint="eastAsia" w:cs="Times New Roman"/>
          <w:color w:val="auto"/>
          <w:lang w:eastAsia="zh-CN"/>
        </w:rPr>
        <w:t>猪舍</w:t>
      </w:r>
      <w:r>
        <w:rPr>
          <w:rFonts w:hint="default" w:ascii="Times New Roman" w:hAnsi="Times New Roman" w:eastAsia="宋体" w:cs="Times New Roman"/>
          <w:color w:val="auto"/>
        </w:rPr>
        <w:t>恶臭防治措施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养殖场有味气体来源于多个方面，例如动物呼吸、饲料、动物粪便及粪污处理系统等，其中以</w:t>
      </w:r>
      <w:r>
        <w:rPr>
          <w:rFonts w:hint="eastAsia" w:cs="Times New Roman"/>
          <w:color w:val="auto"/>
          <w:lang w:val="en-US" w:eastAsia="zh-CN"/>
        </w:rPr>
        <w:t>猪</w:t>
      </w:r>
      <w:r>
        <w:rPr>
          <w:rFonts w:hint="default" w:ascii="Times New Roman" w:hAnsi="Times New Roman" w:eastAsia="宋体" w:cs="Times New Roman"/>
          <w:color w:val="auto"/>
        </w:rPr>
        <w:t>的粪便的味道为主，会挥发出氨、硫化氢等恶臭物质。在国际上，通常根据嗅觉判别标准，将臭气强度划分为6级，恶臭强度分级见下表。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表7.2-1    恶臭强度分级法</w:t>
      </w:r>
    </w:p>
    <w:tbl>
      <w:tblPr>
        <w:tblStyle w:val="34"/>
        <w:tblW w:w="86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80"/>
        <w:gridCol w:w="68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6"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强度</w:t>
            </w:r>
          </w:p>
        </w:tc>
        <w:tc>
          <w:tcPr>
            <w:tcW w:w="7390"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指标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6"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0</w:t>
            </w:r>
          </w:p>
        </w:tc>
        <w:tc>
          <w:tcPr>
            <w:tcW w:w="7390"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无味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6"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1</w:t>
            </w:r>
          </w:p>
        </w:tc>
        <w:tc>
          <w:tcPr>
            <w:tcW w:w="7390"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勉强能感觉到气味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6"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2</w:t>
            </w:r>
          </w:p>
        </w:tc>
        <w:tc>
          <w:tcPr>
            <w:tcW w:w="7390"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气味很弱但能分辨其性质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6"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3</w:t>
            </w:r>
          </w:p>
        </w:tc>
        <w:tc>
          <w:tcPr>
            <w:tcW w:w="7390"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很容易感觉到气味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6"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4</w:t>
            </w:r>
          </w:p>
        </w:tc>
        <w:tc>
          <w:tcPr>
            <w:tcW w:w="7390"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强烈的气味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6"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5</w:t>
            </w:r>
          </w:p>
        </w:tc>
        <w:tc>
          <w:tcPr>
            <w:tcW w:w="7390" w:type="dxa"/>
            <w:vAlign w:val="center"/>
          </w:tcPr>
          <w:p>
            <w:pPr>
              <w:pStyle w:val="58"/>
              <w:keepNext w:val="0"/>
              <w:keepLines w:val="0"/>
              <w:pageBreakBefore w:val="0"/>
              <w:widowControl w:val="0"/>
              <w:kinsoku/>
              <w:wordWrap/>
              <w:overflowPunct/>
              <w:topLinePunct/>
              <w:autoSpaceDE w:val="0"/>
              <w:autoSpaceDN/>
              <w:bidi w:val="0"/>
              <w:adjustRightInd/>
              <w:snapToGrid/>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rPr>
              <w:t>无法忍受的极强气味</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据初步统计，与养殖场有关的恶臭物质多达23种，大多为氨、硫化氢、硫醇类、酮类、胺类、吲哚类和醛类，国外研究出七种主要与养殖场有关的恶臭物质的浓度与臭气强度之间的关系，见下表。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表7.2-2     恶臭物质浓度与臭气强度的关系         mg/m</w:t>
      </w:r>
      <w:r>
        <w:rPr>
          <w:rFonts w:hint="default" w:ascii="Times New Roman" w:hAnsi="Times New Roman" w:eastAsia="宋体" w:cs="Times New Roman"/>
          <w:color w:val="auto"/>
          <w:vertAlign w:val="superscript"/>
        </w:rPr>
        <w:t>3</w:t>
      </w:r>
    </w:p>
    <w:tbl>
      <w:tblPr>
        <w:tblStyle w:val="34"/>
        <w:tblW w:w="867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53"/>
        <w:gridCol w:w="1008"/>
        <w:gridCol w:w="1085"/>
        <w:gridCol w:w="1085"/>
        <w:gridCol w:w="1086"/>
        <w:gridCol w:w="1085"/>
        <w:gridCol w:w="1087"/>
        <w:gridCol w:w="108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臭气强度</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氨</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硫醇</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硫化氢</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甲基硫</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二甲硫</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三甲胺</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乙醛</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0.1</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0.0001</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0.0005</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0.0001</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0.0003</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0.0001</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0.0007</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0.006</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0.002</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0.003</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0.001</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0.002</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0.02</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0.009</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0.005</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0.004</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0.06</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0.03</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0.02</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0.1</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0.07</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0.03</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0.7</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0.8</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3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臭气特征</w:t>
            </w:r>
          </w:p>
        </w:tc>
        <w:tc>
          <w:tcPr>
            <w:tcW w:w="1078"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刺激臭</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刺激臭</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蛋味</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刺激臭</w:t>
            </w:r>
          </w:p>
        </w:tc>
        <w:tc>
          <w:tcPr>
            <w:tcW w:w="1162"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刺激臭</w:t>
            </w:r>
          </w:p>
        </w:tc>
        <w:tc>
          <w:tcPr>
            <w:tcW w:w="1163"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臭鱼味</w:t>
            </w:r>
          </w:p>
        </w:tc>
        <w:tc>
          <w:tcPr>
            <w:tcW w:w="1160"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刺激臭</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在不采用任何措施的情况下，大型养殖场的恶臭气体氨的浓度一般在15~30mg/m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之间，H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S的浓度在1.0~8.0mg/m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之间。由上表可知，其臭气强度为4~5级，属于无法忍受的强烈臭味。</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养</w:t>
      </w:r>
      <w:r>
        <w:rPr>
          <w:rFonts w:hint="eastAsia" w:cs="Times New Roman"/>
          <w:color w:val="auto"/>
          <w:lang w:val="en-US" w:eastAsia="zh-CN"/>
        </w:rPr>
        <w:t>猪</w:t>
      </w:r>
      <w:r>
        <w:rPr>
          <w:rFonts w:hint="default" w:ascii="Times New Roman" w:hAnsi="Times New Roman" w:eastAsia="宋体" w:cs="Times New Roman"/>
          <w:color w:val="auto"/>
        </w:rPr>
        <w:t>项目控制恶臭气体的主要措施是从饲料喂饲着手，合理调节饲料中的蛋白质含量，可以减少因蛋白质过剩而产生过多的恶臭气体，同时针对</w:t>
      </w:r>
      <w:r>
        <w:rPr>
          <w:rFonts w:hint="eastAsia" w:cs="Times New Roman"/>
          <w:color w:val="auto"/>
          <w:lang w:eastAsia="zh-CN"/>
        </w:rPr>
        <w:t>猪舍</w:t>
      </w:r>
      <w:r>
        <w:rPr>
          <w:rFonts w:hint="default" w:ascii="Times New Roman" w:hAnsi="Times New Roman" w:eastAsia="宋体" w:cs="Times New Roman"/>
          <w:color w:val="auto"/>
        </w:rPr>
        <w:t>进行规范管理，并采用了相应的除臭措施，具体措施如下：</w:t>
      </w:r>
    </w:p>
    <w:p>
      <w:pPr>
        <w:ind w:firstLine="480"/>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w:t>（1）合理设计</w:t>
      </w:r>
      <w:r>
        <w:rPr>
          <w:rFonts w:hint="eastAsia" w:cs="Times New Roman"/>
          <w:color w:val="auto"/>
          <w:lang w:eastAsia="zh-CN"/>
        </w:rPr>
        <w:t>猪舍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有资料表明，温度高时恶臭气体浓度高，</w:t>
      </w:r>
      <w:r>
        <w:rPr>
          <w:rFonts w:hint="eastAsia" w:cs="Times New Roman"/>
          <w:color w:val="auto"/>
          <w:lang w:eastAsia="zh-CN"/>
        </w:rPr>
        <w:t>猪粪</w:t>
      </w:r>
      <w:r>
        <w:rPr>
          <w:rFonts w:hint="default" w:ascii="Times New Roman" w:hAnsi="Times New Roman" w:eastAsia="宋体" w:cs="Times New Roman"/>
          <w:color w:val="auto"/>
        </w:rPr>
        <w:t>在1~2周后发酵较快，粪便暴露面积大的发酵率高。项目夏季加强了</w:t>
      </w:r>
      <w:r>
        <w:rPr>
          <w:rFonts w:hint="eastAsia" w:cs="Times New Roman"/>
          <w:color w:val="auto"/>
          <w:lang w:eastAsia="zh-CN"/>
        </w:rPr>
        <w:t>猪舍</w:t>
      </w:r>
      <w:r>
        <w:rPr>
          <w:rFonts w:hint="default" w:ascii="Times New Roman" w:hAnsi="Times New Roman" w:eastAsia="宋体" w:cs="Times New Roman"/>
          <w:color w:val="auto"/>
        </w:rPr>
        <w:t>的通风，加速粪便干燥，可减少臭气产生。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（2）合理选用</w:t>
      </w:r>
      <w:r>
        <w:rPr>
          <w:rFonts w:hint="eastAsia" w:cs="Times New Roman"/>
          <w:color w:val="auto"/>
          <w:lang w:val="en-US" w:eastAsia="zh-CN"/>
        </w:rPr>
        <w:t>猪</w:t>
      </w:r>
      <w:r>
        <w:rPr>
          <w:rFonts w:hint="default" w:ascii="Times New Roman" w:hAnsi="Times New Roman" w:eastAsia="宋体" w:cs="Times New Roman"/>
          <w:color w:val="auto"/>
        </w:rPr>
        <w:t>饲料</w:t>
      </w:r>
    </w:p>
    <w:p>
      <w:pPr>
        <w:ind w:firstLine="480"/>
        <w:rPr>
          <w:rFonts w:hint="default" w:ascii="Times New Roman" w:hAnsi="Times New Roman" w:eastAsia="宋体" w:cs="Times New Roman"/>
          <w:color w:val="auto"/>
        </w:rPr>
      </w:pPr>
      <w:r>
        <w:rPr>
          <w:rFonts w:hint="eastAsia" w:cs="Times New Roman"/>
          <w:color w:val="auto"/>
          <w:lang w:val="en-US" w:eastAsia="zh-CN"/>
        </w:rPr>
        <w:t>猪</w:t>
      </w:r>
      <w:r>
        <w:rPr>
          <w:rFonts w:hint="default" w:ascii="Times New Roman" w:hAnsi="Times New Roman" w:eastAsia="宋体" w:cs="Times New Roman"/>
          <w:color w:val="auto"/>
        </w:rPr>
        <w:t>排泄物中的恶臭组分复杂，但基本上可分为含硫化合物、酚类化合物、挥发性脂肪酸、氨和胺等四类。通过控制或使用饲料（全价饲料或添加生物抑制剂），粪便中粗蛋白的含量可显著地降低，有效减少未消化蛋白质的分解物排放，提高日粮消化率、减少干物质（蛋白质）排出量是减少恶臭来源的有效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本项目的所有饲料采用某些添加剂，除可以提高畜禽生产性能外，还可以控制恶臭。①酶制剂，加入饲料中可以提高营养利用率；②EM液，是由光合细菌、乳酸菌群、酵母菌群等多种微生物组成的，</w:t>
      </w:r>
      <w:r>
        <w:rPr>
          <w:rFonts w:hint="default" w:ascii="Times New Roman" w:hAnsi="Times New Roman" w:eastAsia="宋体" w:cs="Times New Roman"/>
          <w:color w:val="auto"/>
          <w:shd w:val="clear" w:color="auto" w:fill="FFFFFF"/>
        </w:rPr>
        <w:t>饲料中长期添加益生菌原液或益生菌原液发酵料，有益微生物在大肠中产生氨基酸、氧化酶及硫化物分解酶，将产生臭气的吲哚类化合物完全氧化，将硫化氢氧化成无臭无毒的物质，可使养殖臭气、氨气含量显著下降</w:t>
      </w:r>
      <w:r>
        <w:rPr>
          <w:rFonts w:hint="default" w:ascii="Times New Roman" w:hAnsi="Times New Roman" w:eastAsia="宋体" w:cs="Times New Roman"/>
          <w:color w:val="auto"/>
        </w:rPr>
        <w:t>；③酸化剂，低pH值可以使畜禽排泄的粪便中的氨处于非挥发性的NH</w:t>
      </w:r>
      <w:r>
        <w:rPr>
          <w:rFonts w:hint="default" w:ascii="Times New Roman" w:hAnsi="Times New Roman" w:eastAsia="宋体" w:cs="Times New Roman"/>
          <w:color w:val="auto"/>
          <w:vertAlign w:val="subscript"/>
        </w:rPr>
        <w:t>4</w:t>
      </w:r>
      <w:r>
        <w:rPr>
          <w:rFonts w:hint="default" w:ascii="Times New Roman" w:hAnsi="Times New Roman" w:eastAsia="宋体" w:cs="Times New Roman"/>
          <w:color w:val="auto"/>
          <w:vertAlign w:val="superscript"/>
        </w:rPr>
        <w:t>+</w:t>
      </w:r>
      <w:r>
        <w:rPr>
          <w:rFonts w:hint="default" w:ascii="Times New Roman" w:hAnsi="Times New Roman" w:eastAsia="宋体" w:cs="Times New Roman"/>
          <w:color w:val="auto"/>
        </w:rPr>
        <w:t>状态，这样就减少了空气中的氨。饲料在消化过程中，未消化吸收的部分进入后段肠道，因微生物作用产生臭气，粪便被排出体外后，继续经微生物作用产生更多的臭气，因此减少饲料中的蛋白质含量是减少恶臭来源的有效措施。以满足其实际需要为原则，通过调控喂食量将不会导致因营养成分的富余而使</w:t>
      </w:r>
      <w:r>
        <w:rPr>
          <w:rFonts w:hint="eastAsia" w:cs="Times New Roman"/>
          <w:color w:val="auto"/>
          <w:lang w:val="en-US" w:eastAsia="zh-CN"/>
        </w:rPr>
        <w:t>猪</w:t>
      </w:r>
      <w:r>
        <w:rPr>
          <w:rFonts w:hint="default" w:ascii="Times New Roman" w:hAnsi="Times New Roman" w:eastAsia="宋体" w:cs="Times New Roman"/>
          <w:color w:val="auto"/>
        </w:rPr>
        <w:t>排泄的粪尿量增加，同时也会使粪便中的氨有效降低，从源头减少恶臭的产生。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EM微生物是有效微生物群的英文缩写，它是光合细菌、乳酸菌群、酵母菌群、放线菌群、丝状菌群等5种10属80余种微生物组成的。向饲料中添加EM微生物菌群，不仅可以提高</w:t>
      </w:r>
      <w:r>
        <w:rPr>
          <w:rFonts w:hint="eastAsia" w:cs="Times New Roman"/>
          <w:color w:val="auto"/>
          <w:lang w:val="en-US" w:eastAsia="zh-CN"/>
        </w:rPr>
        <w:t>猪</w:t>
      </w:r>
      <w:r>
        <w:rPr>
          <w:rFonts w:hint="default" w:ascii="Times New Roman" w:hAnsi="Times New Roman" w:eastAsia="宋体" w:cs="Times New Roman"/>
          <w:color w:val="auto"/>
        </w:rPr>
        <w:t>的免疫力，促进</w:t>
      </w:r>
      <w:r>
        <w:rPr>
          <w:rFonts w:hint="eastAsia" w:cs="Times New Roman"/>
          <w:color w:val="auto"/>
          <w:lang w:val="en-US" w:eastAsia="zh-CN"/>
        </w:rPr>
        <w:t>猪</w:t>
      </w:r>
      <w:r>
        <w:rPr>
          <w:rFonts w:hint="default" w:ascii="Times New Roman" w:hAnsi="Times New Roman" w:eastAsia="宋体" w:cs="Times New Roman"/>
          <w:color w:val="auto"/>
        </w:rPr>
        <w:t>的生长，而且可以减少</w:t>
      </w:r>
      <w:r>
        <w:rPr>
          <w:rFonts w:hint="eastAsia" w:cs="Times New Roman"/>
          <w:color w:val="auto"/>
          <w:lang w:eastAsia="zh-CN"/>
        </w:rPr>
        <w:t>猪舍</w:t>
      </w:r>
      <w:r>
        <w:rPr>
          <w:rFonts w:hint="default" w:ascii="Times New Roman" w:hAnsi="Times New Roman" w:eastAsia="宋体" w:cs="Times New Roman"/>
          <w:color w:val="auto"/>
        </w:rPr>
        <w:t>粪便恶臭。有关资料显示，使用EM微生物后，圈舍臭味明显减少，夏天苍蝇数量减少60%以上，氨气浓度降低了69.7%。根据北京环境监测中心对EM微生物除臭效果进行检测的结果，在生猪的饲料中添加EM微生物１个月后，恶臭浓度下降了90%，臭气强度下降到2.5级以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w:t>
      </w:r>
      <w:r>
        <w:rPr>
          <w:rFonts w:hint="eastAsia" w:cs="Times New Roman"/>
          <w:color w:val="auto"/>
          <w:lang w:eastAsia="zh-CN"/>
        </w:rPr>
        <w:t>猪粪</w:t>
      </w:r>
      <w:r>
        <w:rPr>
          <w:rFonts w:hint="default" w:ascii="Times New Roman" w:hAnsi="Times New Roman" w:eastAsia="宋体" w:cs="Times New Roman"/>
          <w:color w:val="auto"/>
        </w:rPr>
        <w:t>日产日清</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有资料表明，</w:t>
      </w:r>
      <w:r>
        <w:rPr>
          <w:rFonts w:hint="eastAsia" w:cs="Times New Roman"/>
          <w:color w:val="auto"/>
          <w:lang w:eastAsia="zh-CN"/>
        </w:rPr>
        <w:t>猪粪</w:t>
      </w:r>
      <w:r>
        <w:rPr>
          <w:rFonts w:hint="default" w:ascii="Times New Roman" w:hAnsi="Times New Roman" w:eastAsia="宋体" w:cs="Times New Roman"/>
          <w:color w:val="auto"/>
        </w:rPr>
        <w:t>在1~2周后发酵较快，粪便暴露面积越大，发酵率越高，因此应及时将粪便从</w:t>
      </w:r>
      <w:r>
        <w:rPr>
          <w:rFonts w:hint="eastAsia" w:cs="Times New Roman"/>
          <w:color w:val="auto"/>
          <w:lang w:eastAsia="zh-CN"/>
        </w:rPr>
        <w:t>猪舍</w:t>
      </w:r>
      <w:r>
        <w:rPr>
          <w:rFonts w:hint="default" w:ascii="Times New Roman" w:hAnsi="Times New Roman" w:eastAsia="宋体" w:cs="Times New Roman"/>
          <w:color w:val="auto"/>
        </w:rPr>
        <w:t>中排出，并加强</w:t>
      </w:r>
      <w:r>
        <w:rPr>
          <w:rFonts w:hint="eastAsia" w:cs="Times New Roman"/>
          <w:color w:val="auto"/>
          <w:lang w:eastAsia="zh-CN"/>
        </w:rPr>
        <w:t>猪舍</w:t>
      </w:r>
      <w:r>
        <w:rPr>
          <w:rFonts w:hint="default" w:ascii="Times New Roman" w:hAnsi="Times New Roman" w:eastAsia="宋体" w:cs="Times New Roman"/>
          <w:color w:val="auto"/>
        </w:rPr>
        <w:t>内的通风效果，减少臭气在</w:t>
      </w:r>
      <w:r>
        <w:rPr>
          <w:rFonts w:hint="eastAsia" w:cs="Times New Roman"/>
          <w:color w:val="auto"/>
          <w:lang w:eastAsia="zh-CN"/>
        </w:rPr>
        <w:t>猪舍</w:t>
      </w:r>
      <w:r>
        <w:rPr>
          <w:rFonts w:hint="default" w:ascii="Times New Roman" w:hAnsi="Times New Roman" w:eastAsia="宋体" w:cs="Times New Roman"/>
          <w:color w:val="auto"/>
        </w:rPr>
        <w:t>的停留时间，降低臭气的排放浓度，能较好的减少臭气污染。</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在夏、秋季节，建议使用掩臭剂、氧化剂处理未及时清运的粪便。在不利于污染物稀释、扩散的气象条件下，每天应增加1~2次粪便的收集次数，减少粪便堆积挥发的恶臭气体排放量。</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7.2.1.2粪污处理区恶臭防治措施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本项目粪污处理区的</w:t>
      </w:r>
      <w:r>
        <w:rPr>
          <w:rFonts w:hint="eastAsia" w:cs="Times New Roman"/>
          <w:color w:val="auto"/>
          <w:lang w:eastAsia="zh-CN"/>
        </w:rPr>
        <w:t>晾粪台</w:t>
      </w:r>
      <w:r>
        <w:rPr>
          <w:rFonts w:hint="default" w:ascii="Times New Roman" w:hAnsi="Times New Roman" w:eastAsia="宋体" w:cs="Times New Roman"/>
          <w:color w:val="auto"/>
        </w:rPr>
        <w:t>以及氧化塘的恶臭主要来自粪便及尿液产生的NH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S等恶臭有害气体，首先是在饲喂过程中合理配制日粮，减少恶臭物质的产生，即从源头减少；及时将粪便</w:t>
      </w:r>
      <w:r>
        <w:rPr>
          <w:rFonts w:hint="eastAsia" w:cs="Times New Roman"/>
          <w:color w:val="auto"/>
          <w:lang w:eastAsia="zh-CN"/>
        </w:rPr>
        <w:t>清运</w:t>
      </w:r>
      <w:r>
        <w:rPr>
          <w:rFonts w:hint="default" w:ascii="Times New Roman" w:hAnsi="Times New Roman" w:eastAsia="宋体" w:cs="Times New Roman"/>
          <w:color w:val="auto"/>
        </w:rPr>
        <w:t>，避免长时间放置，可有效减少臭气的产生量。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根据《中国论文科技在线》中的文章《复合发酵剂在</w:t>
      </w:r>
      <w:r>
        <w:rPr>
          <w:rFonts w:hint="eastAsia" w:cs="Times New Roman"/>
          <w:color w:val="auto"/>
          <w:lang w:eastAsia="zh-CN"/>
        </w:rPr>
        <w:t>猪粪</w:t>
      </w:r>
      <w:r>
        <w:rPr>
          <w:rFonts w:hint="default" w:ascii="Times New Roman" w:hAnsi="Times New Roman" w:eastAsia="宋体" w:cs="Times New Roman"/>
          <w:color w:val="auto"/>
        </w:rPr>
        <w:t>无害化处理中的应用效果》，在</w:t>
      </w:r>
      <w:r>
        <w:rPr>
          <w:rFonts w:hint="eastAsia" w:cs="Times New Roman"/>
          <w:color w:val="auto"/>
          <w:lang w:eastAsia="zh-CN"/>
        </w:rPr>
        <w:t>晾粪台</w:t>
      </w:r>
      <w:r>
        <w:rPr>
          <w:rFonts w:hint="default" w:ascii="Times New Roman" w:hAnsi="Times New Roman" w:eastAsia="宋体" w:cs="Times New Roman"/>
          <w:color w:val="auto"/>
        </w:rPr>
        <w:t>过程中使用复合发酵剂时的臭味变化动态情况如下表：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 xml:space="preserve">表7.2-3   </w:t>
      </w:r>
      <w:r>
        <w:rPr>
          <w:rFonts w:hint="eastAsia" w:cs="Times New Roman"/>
          <w:color w:val="auto"/>
          <w:lang w:eastAsia="zh-CN"/>
        </w:rPr>
        <w:t>晾粪</w:t>
      </w:r>
      <w:r>
        <w:rPr>
          <w:rFonts w:hint="default" w:ascii="Times New Roman" w:hAnsi="Times New Roman" w:eastAsia="宋体" w:cs="Times New Roman"/>
          <w:color w:val="auto"/>
        </w:rPr>
        <w:t>过程中使用复合发酵剂时的臭味变化动态情况列表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27"/>
        <w:gridCol w:w="698"/>
        <w:gridCol w:w="698"/>
        <w:gridCol w:w="698"/>
        <w:gridCol w:w="698"/>
        <w:gridCol w:w="698"/>
        <w:gridCol w:w="698"/>
        <w:gridCol w:w="698"/>
        <w:gridCol w:w="698"/>
        <w:gridCol w:w="698"/>
        <w:gridCol w:w="698"/>
        <w:gridCol w:w="698"/>
        <w:gridCol w:w="69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臭味</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5d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6d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7d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8d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9d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10d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11d</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12d</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对照</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Ms5</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Ms5</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Ms5</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Ms5</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Ms4</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Ms4</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Ms4</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Ms4</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Ms4</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Ms4</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Ms3</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处理</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Ms5</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Ms3</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Ms1</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c>
          <w:tcPr>
            <w:tcW w:w="0" w:type="auto"/>
            <w:shd w:val="clear" w:color="auto" w:fill="auto"/>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Ms0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gridSpan w:val="13"/>
            <w:shd w:val="clear" w:color="auto" w:fill="auto"/>
            <w:vAlign w:val="center"/>
          </w:tcPr>
          <w:p>
            <w:pPr>
              <w:pStyle w:val="58"/>
              <w:jc w:val="both"/>
              <w:rPr>
                <w:rFonts w:hint="default" w:ascii="Times New Roman" w:hAnsi="Times New Roman" w:eastAsia="宋体" w:cs="Times New Roman"/>
                <w:color w:val="auto"/>
              </w:rPr>
            </w:pPr>
            <w:r>
              <w:rPr>
                <w:rFonts w:hint="default" w:ascii="Times New Roman" w:hAnsi="Times New Roman" w:eastAsia="宋体" w:cs="Times New Roman"/>
                <w:color w:val="auto"/>
              </w:rPr>
              <w:t>注：Ms0无臭味；Ms1勉强感觉到臭味；Ms2微弱的臭味；Ms3明显的臭味；Ms4很强的臭味；Ms5难以忍受的臭味。</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从上表可以看出，在使用复合发酵剂后，粪污处理区产生的臭气可大幅减少，是可行的。</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通过以上措施可减少养殖区的臭味产生，通过考察周边各</w:t>
      </w:r>
      <w:r>
        <w:rPr>
          <w:rFonts w:hint="eastAsia" w:cs="Times New Roman"/>
          <w:color w:val="auto"/>
          <w:lang w:val="en-US" w:eastAsia="zh-CN"/>
        </w:rPr>
        <w:t>猪</w:t>
      </w:r>
      <w:r>
        <w:rPr>
          <w:rFonts w:hint="default" w:ascii="Times New Roman" w:hAnsi="Times New Roman" w:eastAsia="宋体" w:cs="Times New Roman"/>
          <w:color w:val="auto"/>
        </w:rPr>
        <w:t>场的实际运行情况，也的确取得了较好的效果，场界</w:t>
      </w:r>
      <w:r>
        <w:rPr>
          <w:rFonts w:hint="default" w:ascii="Times New Roman" w:hAnsi="Times New Roman" w:eastAsia="宋体" w:cs="Times New Roman"/>
          <w:color w:val="auto"/>
          <w:lang w:eastAsia="zh-CN"/>
        </w:rPr>
        <w:t>氨气和硫化氢</w:t>
      </w:r>
      <w:r>
        <w:rPr>
          <w:rFonts w:hint="default" w:ascii="Times New Roman" w:hAnsi="Times New Roman" w:eastAsia="宋体" w:cs="Times New Roman"/>
          <w:color w:val="auto"/>
        </w:rPr>
        <w:t>排放浓度满足《恶臭污染物排放标准》（GB14554-93）中的二级新扩改建标准</w:t>
      </w:r>
      <w:r>
        <w:rPr>
          <w:rFonts w:hint="default" w:ascii="Times New Roman" w:hAnsi="Times New Roman" w:eastAsia="宋体" w:cs="Times New Roman"/>
          <w:color w:val="auto"/>
          <w:lang w:eastAsia="zh-CN"/>
        </w:rPr>
        <w:t>、臭气浓度排放满足</w:t>
      </w:r>
      <w:r>
        <w:rPr>
          <w:rFonts w:hint="default" w:ascii="Times New Roman" w:hAnsi="Times New Roman" w:eastAsia="宋体" w:cs="Times New Roman"/>
          <w:color w:val="auto"/>
        </w:rPr>
        <w:t>《畜禽养殖业污染物排放标准》(GB18596-2001)中表7标准，因此</w:t>
      </w:r>
      <w:r>
        <w:rPr>
          <w:rFonts w:hint="default" w:ascii="Times New Roman" w:hAnsi="Times New Roman" w:eastAsia="宋体" w:cs="Times New Roman"/>
          <w:color w:val="auto"/>
          <w:lang w:eastAsia="zh-CN"/>
        </w:rPr>
        <w:t>本项目采取的废气治理措施</w:t>
      </w:r>
      <w:r>
        <w:rPr>
          <w:rFonts w:hint="default" w:ascii="Times New Roman" w:hAnsi="Times New Roman" w:eastAsia="宋体" w:cs="Times New Roman"/>
          <w:color w:val="auto"/>
        </w:rPr>
        <w:t>是可行的。</w:t>
      </w:r>
    </w:p>
    <w:p>
      <w:pPr>
        <w:pStyle w:val="5"/>
        <w:rPr>
          <w:rFonts w:hint="default" w:ascii="Times New Roman" w:hAnsi="Times New Roman" w:eastAsia="宋体" w:cs="Times New Roman"/>
          <w:color w:val="auto"/>
        </w:rPr>
      </w:pPr>
      <w:bookmarkStart w:id="465" w:name="_Toc12303"/>
      <w:r>
        <w:rPr>
          <w:rFonts w:hint="default" w:ascii="Times New Roman" w:hAnsi="Times New Roman" w:eastAsia="宋体" w:cs="Times New Roman"/>
          <w:color w:val="auto"/>
        </w:rPr>
        <w:t>7.3运营期水污染防治措施及可行性</w:t>
      </w:r>
      <w:bookmarkEnd w:id="465"/>
    </w:p>
    <w:p>
      <w:pPr>
        <w:keepNext w:val="0"/>
        <w:keepLines w:val="0"/>
        <w:pageBreakBefore w:val="0"/>
        <w:widowControl/>
        <w:suppressLineNumbers w:val="0"/>
        <w:kinsoku/>
        <w:wordWrap/>
        <w:overflowPunct/>
        <w:topLinePunct/>
        <w:autoSpaceDE w:val="0"/>
        <w:autoSpaceDN/>
        <w:bidi w:val="0"/>
        <w:adjustRightInd/>
        <w:snapToGrid/>
        <w:spacing w:line="480" w:lineRule="exact"/>
        <w:jc w:val="left"/>
        <w:textAlignment w:val="auto"/>
        <w:rPr>
          <w:rFonts w:hint="eastAsia" w:ascii="Times New Roman" w:hAnsi="Times New Roman" w:eastAsia="宋体" w:cs="Times New Roman"/>
          <w:color w:val="FF0000"/>
          <w:lang w:eastAsia="zh-CN"/>
        </w:rPr>
      </w:pPr>
      <w:bookmarkStart w:id="466" w:name="_Toc46421190"/>
      <w:r>
        <w:rPr>
          <w:rFonts w:hint="default" w:ascii="Times New Roman" w:hAnsi="Times New Roman" w:eastAsia="宋体" w:cs="Times New Roman"/>
          <w:color w:val="auto"/>
        </w:rPr>
        <w:t>（1）</w:t>
      </w:r>
      <w:r>
        <w:rPr>
          <w:rFonts w:hint="eastAsia" w:ascii="宋体" w:hAnsi="宋体" w:eastAsia="宋体" w:cs="宋体"/>
          <w:color w:val="auto"/>
          <w:kern w:val="0"/>
          <w:sz w:val="24"/>
          <w:szCs w:val="24"/>
          <w:lang w:val="en-US" w:eastAsia="zh-CN" w:bidi="ar"/>
        </w:rPr>
        <w:t>猪粪尿：猪尿液产生量参考《畜禽养殖污染防治最佳可行技术指南》（试行），该指南中猪的排尿量按</w:t>
      </w:r>
      <w:r>
        <w:rPr>
          <w:rFonts w:hint="default" w:ascii="Times New Roman" w:hAnsi="Times New Roman" w:eastAsia="宋体" w:cs="Times New Roman"/>
          <w:color w:val="auto"/>
          <w:kern w:val="0"/>
          <w:sz w:val="24"/>
          <w:szCs w:val="24"/>
          <w:lang w:val="en-US" w:eastAsia="zh-CN" w:bidi="ar"/>
        </w:rPr>
        <w:t>Yu=0.205+0.438W</w:t>
      </w:r>
      <w:r>
        <w:rPr>
          <w:rFonts w:hint="eastAsia" w:ascii="宋体" w:hAnsi="宋体" w:eastAsia="宋体" w:cs="宋体"/>
          <w:color w:val="auto"/>
          <w:kern w:val="0"/>
          <w:sz w:val="24"/>
          <w:szCs w:val="24"/>
          <w:lang w:val="en-US" w:eastAsia="zh-CN" w:bidi="ar"/>
        </w:rPr>
        <w:t>计算（</w:t>
      </w:r>
      <w:r>
        <w:rPr>
          <w:rFonts w:hint="default" w:ascii="Times New Roman" w:hAnsi="Times New Roman" w:eastAsia="宋体" w:cs="Times New Roman"/>
          <w:color w:val="auto"/>
          <w:kern w:val="0"/>
          <w:sz w:val="24"/>
          <w:szCs w:val="24"/>
          <w:lang w:val="en-US" w:eastAsia="zh-CN" w:bidi="ar"/>
        </w:rPr>
        <w:t>Yu</w:t>
      </w:r>
      <w:r>
        <w:rPr>
          <w:rFonts w:hint="eastAsia" w:ascii="宋体" w:hAnsi="宋体" w:eastAsia="宋体" w:cs="宋体"/>
          <w:color w:val="auto"/>
          <w:kern w:val="0"/>
          <w:sz w:val="24"/>
          <w:szCs w:val="24"/>
          <w:lang w:val="en-US" w:eastAsia="zh-CN" w:bidi="ar"/>
        </w:rPr>
        <w:t xml:space="preserve">：尿排泄量 </w:t>
      </w:r>
      <w:r>
        <w:rPr>
          <w:rFonts w:hint="default" w:ascii="Times New Roman" w:hAnsi="Times New Roman" w:eastAsia="宋体" w:cs="Times New Roman"/>
          <w:color w:val="auto"/>
          <w:kern w:val="0"/>
          <w:sz w:val="24"/>
          <w:szCs w:val="24"/>
          <w:lang w:val="en-US" w:eastAsia="zh-CN" w:bidi="ar"/>
        </w:rPr>
        <w:t>kg</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W</w:t>
      </w:r>
      <w:r>
        <w:rPr>
          <w:rFonts w:hint="eastAsia" w:ascii="宋体" w:hAnsi="宋体" w:eastAsia="宋体" w:cs="宋体"/>
          <w:color w:val="auto"/>
          <w:kern w:val="0"/>
          <w:sz w:val="24"/>
          <w:szCs w:val="24"/>
          <w:lang w:val="en-US" w:eastAsia="zh-CN" w:bidi="ar"/>
        </w:rPr>
        <w:t xml:space="preserve">：饮水量 </w:t>
      </w:r>
      <w:r>
        <w:rPr>
          <w:rFonts w:hint="default" w:ascii="Times New Roman" w:hAnsi="Times New Roman" w:eastAsia="宋体" w:cs="Times New Roman"/>
          <w:color w:val="auto"/>
          <w:kern w:val="0"/>
          <w:sz w:val="24"/>
          <w:szCs w:val="24"/>
          <w:lang w:val="en-US" w:eastAsia="zh-CN" w:bidi="ar"/>
        </w:rPr>
        <w:t>kg</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FF0000"/>
          <w:sz w:val="24"/>
          <w:szCs w:val="24"/>
        </w:rPr>
        <w:t>育肥猪饮水量按照6L/头•日计算</w:t>
      </w:r>
      <w:r>
        <w:rPr>
          <w:rFonts w:hint="eastAsia" w:ascii="宋体" w:hAnsi="宋体" w:eastAsia="宋体" w:cs="宋体"/>
          <w:color w:val="FF0000"/>
          <w:kern w:val="0"/>
          <w:sz w:val="24"/>
          <w:szCs w:val="24"/>
          <w:lang w:val="en-US" w:eastAsia="zh-CN" w:bidi="ar"/>
        </w:rPr>
        <w:t>，故育肥猪的排尿量为</w:t>
      </w:r>
      <w:r>
        <w:rPr>
          <w:rFonts w:hint="eastAsia" w:cs="Times New Roman"/>
          <w:color w:val="FF0000"/>
          <w:kern w:val="0"/>
          <w:sz w:val="24"/>
          <w:szCs w:val="24"/>
          <w:lang w:val="en-US" w:eastAsia="zh-CN" w:bidi="ar"/>
        </w:rPr>
        <w:t>2.833</w:t>
      </w:r>
      <w:r>
        <w:rPr>
          <w:rFonts w:hint="default" w:ascii="Times New Roman" w:hAnsi="Times New Roman" w:eastAsia="宋体" w:cs="Times New Roman"/>
          <w:color w:val="FF0000"/>
          <w:kern w:val="0"/>
          <w:sz w:val="24"/>
          <w:szCs w:val="24"/>
          <w:lang w:val="en-US" w:eastAsia="zh-CN" w:bidi="ar"/>
        </w:rPr>
        <w:t>kg/</w:t>
      </w:r>
      <w:r>
        <w:rPr>
          <w:rFonts w:hint="eastAsia" w:ascii="宋体" w:hAnsi="宋体" w:eastAsia="宋体" w:cs="宋体"/>
          <w:color w:val="FF0000"/>
          <w:kern w:val="0"/>
          <w:sz w:val="24"/>
          <w:szCs w:val="24"/>
          <w:lang w:val="en-US" w:eastAsia="zh-CN" w:bidi="ar"/>
        </w:rPr>
        <w:t>（头</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）。本项目年存栏量为</w:t>
      </w:r>
      <w:r>
        <w:rPr>
          <w:rFonts w:hint="eastAsia" w:ascii="Times New Roman" w:hAnsi="Times New Roman" w:cs="Times New Roman"/>
          <w:color w:val="FF0000"/>
          <w:kern w:val="0"/>
          <w:sz w:val="24"/>
          <w:szCs w:val="24"/>
          <w:lang w:val="en-US" w:eastAsia="zh-CN" w:bidi="ar"/>
        </w:rPr>
        <w:t>88</w:t>
      </w:r>
      <w:r>
        <w:rPr>
          <w:rFonts w:hint="default" w:ascii="Times New Roman" w:hAnsi="Times New Roman" w:eastAsia="宋体" w:cs="Times New Roman"/>
          <w:color w:val="FF0000"/>
          <w:kern w:val="0"/>
          <w:sz w:val="24"/>
          <w:szCs w:val="24"/>
          <w:lang w:val="en-US" w:eastAsia="zh-CN" w:bidi="ar"/>
        </w:rPr>
        <w:t>00</w:t>
      </w:r>
      <w:r>
        <w:rPr>
          <w:rFonts w:hint="eastAsia" w:ascii="宋体" w:hAnsi="宋体" w:eastAsia="宋体" w:cs="宋体"/>
          <w:color w:val="FF0000"/>
          <w:kern w:val="0"/>
          <w:sz w:val="24"/>
          <w:szCs w:val="24"/>
          <w:lang w:val="en-US" w:eastAsia="zh-CN" w:bidi="ar"/>
        </w:rPr>
        <w:t>头育肥猪，故项目育肥猪尿产生量为</w:t>
      </w:r>
      <w:r>
        <w:rPr>
          <w:rFonts w:hint="eastAsia" w:ascii="宋体" w:hAnsi="宋体" w:cs="宋体"/>
          <w:color w:val="FF0000"/>
          <w:kern w:val="0"/>
          <w:sz w:val="24"/>
          <w:szCs w:val="24"/>
          <w:lang w:val="en-US" w:eastAsia="zh-CN" w:bidi="ar"/>
        </w:rPr>
        <w:t>24.93</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kern w:val="0"/>
          <w:sz w:val="24"/>
          <w:szCs w:val="24"/>
          <w:lang w:val="en-US" w:eastAsia="zh-CN" w:bidi="ar"/>
        </w:rPr>
        <w:t>9099.45</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eastAsia" w:ascii="Times New Roman" w:hAnsi="Times New Roman" w:cs="Times New Roman"/>
          <w:color w:val="FF0000"/>
          <w:kern w:val="0"/>
          <w:sz w:val="24"/>
          <w:szCs w:val="24"/>
          <w:lang w:val="en-US" w:eastAsia="zh-CN" w:bidi="ar"/>
        </w:rPr>
        <w:t>/a</w:t>
      </w:r>
      <w:r>
        <w:rPr>
          <w:rFonts w:hint="eastAsia" w:ascii="宋体" w:hAnsi="宋体" w:eastAsia="宋体" w:cs="宋体"/>
          <w:color w:val="FF0000"/>
          <w:kern w:val="0"/>
          <w:sz w:val="24"/>
          <w:szCs w:val="24"/>
          <w:lang w:val="en-US" w:eastAsia="zh-CN" w:bidi="ar"/>
        </w:rPr>
        <w:t>）</w:t>
      </w:r>
      <w:r>
        <w:rPr>
          <w:rFonts w:hint="eastAsia" w:ascii="宋体" w:hAnsi="宋体" w:cs="宋体"/>
          <w:color w:val="FF0000"/>
          <w:kern w:val="0"/>
          <w:sz w:val="24"/>
          <w:szCs w:val="24"/>
          <w:lang w:val="en-US" w:eastAsia="zh-CN" w:bidi="ar"/>
        </w:rPr>
        <w:t>，</w:t>
      </w:r>
      <w:r>
        <w:rPr>
          <w:rFonts w:hint="default" w:ascii="Times New Roman" w:hAnsi="Times New Roman" w:eastAsia="宋体" w:cs="Times New Roman"/>
          <w:color w:val="FF0000"/>
        </w:rPr>
        <w:t>排入氧化塘内发酵6个月，处理后的液肥用于还田</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ascii="Times New Roman" w:hAnsi="Times New Roman" w:eastAsia="宋体" w:cs="Times New Roman"/>
          <w:color w:val="FF0000"/>
          <w:lang w:eastAsia="zh-CN"/>
        </w:rPr>
      </w:pPr>
      <w:r>
        <w:rPr>
          <w:rFonts w:hint="default" w:ascii="Times New Roman" w:hAnsi="Times New Roman" w:eastAsia="宋体" w:cs="Times New Roman"/>
          <w:color w:val="FF0000"/>
        </w:rPr>
        <w:t>（</w:t>
      </w:r>
      <w:r>
        <w:rPr>
          <w:rFonts w:hint="eastAsia" w:cs="Times New Roman"/>
          <w:color w:val="FF0000"/>
          <w:lang w:val="en-US" w:eastAsia="zh-CN"/>
        </w:rPr>
        <w:t>2</w:t>
      </w:r>
      <w:r>
        <w:rPr>
          <w:rFonts w:hint="default" w:ascii="Times New Roman" w:hAnsi="Times New Roman" w:eastAsia="宋体" w:cs="Times New Roman"/>
          <w:color w:val="FF0000"/>
        </w:rPr>
        <w:t>）</w:t>
      </w:r>
      <w:r>
        <w:rPr>
          <w:rFonts w:hint="eastAsia" w:cs="Times New Roman"/>
          <w:color w:val="FF0000"/>
          <w:sz w:val="24"/>
          <w:szCs w:val="24"/>
          <w:lang w:eastAsia="zh-CN"/>
        </w:rPr>
        <w:t>猪舍降温</w:t>
      </w:r>
      <w:r>
        <w:rPr>
          <w:rFonts w:hint="eastAsia" w:cs="Times New Roman"/>
          <w:color w:val="FF0000"/>
          <w:sz w:val="24"/>
          <w:szCs w:val="24"/>
          <w:lang w:val="en-US" w:eastAsia="zh-CN"/>
        </w:rPr>
        <w:t>废</w:t>
      </w:r>
      <w:r>
        <w:rPr>
          <w:rFonts w:hint="eastAsia" w:cs="Times New Roman"/>
          <w:color w:val="FF0000"/>
          <w:sz w:val="24"/>
          <w:szCs w:val="24"/>
          <w:lang w:eastAsia="zh-CN"/>
        </w:rPr>
        <w:t>水：</w:t>
      </w:r>
      <w:r>
        <w:rPr>
          <w:rFonts w:hint="default" w:ascii="Times New Roman" w:hAnsi="Times New Roman" w:eastAsia="宋体" w:cs="Times New Roman"/>
          <w:color w:val="FF0000"/>
        </w:rPr>
        <w:t>降温水帘系统用水循环使用，无废水排放</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cs="Times New Roman"/>
          <w:color w:val="FF0000"/>
          <w:lang w:eastAsia="zh-CN"/>
        </w:rPr>
      </w:pPr>
      <w:r>
        <w:rPr>
          <w:rFonts w:hint="eastAsia" w:cs="Times New Roman"/>
          <w:color w:val="FF0000"/>
          <w:lang w:eastAsia="zh-CN"/>
        </w:rPr>
        <w:t>（</w:t>
      </w:r>
      <w:r>
        <w:rPr>
          <w:rFonts w:hint="eastAsia" w:cs="Times New Roman"/>
          <w:color w:val="FF0000"/>
          <w:lang w:val="en-US" w:eastAsia="zh-CN"/>
        </w:rPr>
        <w:t>3</w:t>
      </w:r>
      <w:r>
        <w:rPr>
          <w:rFonts w:hint="eastAsia" w:cs="Times New Roman"/>
          <w:color w:val="FF0000"/>
          <w:lang w:eastAsia="zh-CN"/>
        </w:rPr>
        <w:t>）猪舍粪污管道冲洗废水：</w:t>
      </w:r>
      <w:r>
        <w:rPr>
          <w:rFonts w:hint="eastAsia" w:cs="Times New Roman"/>
          <w:color w:val="FF0000"/>
          <w:lang w:val="en-US" w:eastAsia="zh-CN"/>
        </w:rPr>
        <w:t>8座</w:t>
      </w:r>
      <w:r>
        <w:rPr>
          <w:rFonts w:hint="eastAsia" w:cs="Times New Roman"/>
          <w:color w:val="FF0000"/>
          <w:lang w:eastAsia="zh-CN"/>
        </w:rPr>
        <w:t>猪舍粪污管道冲洗用水量为</w:t>
      </w:r>
      <w:r>
        <w:rPr>
          <w:rFonts w:hint="eastAsia" w:cs="Times New Roman"/>
          <w:color w:val="FF0000"/>
          <w:lang w:val="en-US" w:eastAsia="zh-CN"/>
        </w:rPr>
        <w:t>16</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5840m</w:t>
      </w:r>
      <w:r>
        <w:rPr>
          <w:rFonts w:hint="eastAsia" w:cs="Times New Roman"/>
          <w:color w:val="FF0000"/>
          <w:vertAlign w:val="superscript"/>
          <w:lang w:val="en-US" w:eastAsia="zh-CN"/>
        </w:rPr>
        <w:t>3</w:t>
      </w:r>
      <w:r>
        <w:rPr>
          <w:rFonts w:hint="eastAsia" w:cs="Times New Roman"/>
          <w:color w:val="FF0000"/>
          <w:lang w:val="en-US" w:eastAsia="zh-CN"/>
        </w:rPr>
        <w:t>/a</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w:t>
      </w:r>
      <w:r>
        <w:rPr>
          <w:rFonts w:hint="default" w:ascii="Times New Roman" w:hAnsi="Times New Roman" w:eastAsia="宋体" w:cs="Times New Roman"/>
          <w:color w:val="FF0000"/>
        </w:rPr>
        <w:t>冲洗过程中约有</w:t>
      </w:r>
      <w:r>
        <w:rPr>
          <w:rFonts w:hint="eastAsia" w:cs="Times New Roman"/>
          <w:color w:val="FF0000"/>
          <w:lang w:val="en-US" w:eastAsia="zh-CN"/>
        </w:rPr>
        <w:t>1</w:t>
      </w:r>
      <w:r>
        <w:rPr>
          <w:rFonts w:hint="default" w:ascii="Times New Roman" w:hAnsi="Times New Roman" w:eastAsia="宋体" w:cs="Times New Roman"/>
          <w:color w:val="FF0000"/>
        </w:rPr>
        <w:t>0%蒸发，剩余</w:t>
      </w:r>
      <w:r>
        <w:rPr>
          <w:rFonts w:hint="eastAsia" w:cs="Times New Roman"/>
          <w:color w:val="FF0000"/>
          <w:lang w:val="en-US" w:eastAsia="zh-CN"/>
        </w:rPr>
        <w:t>9</w:t>
      </w:r>
      <w:r>
        <w:rPr>
          <w:rFonts w:hint="default" w:ascii="Times New Roman" w:hAnsi="Times New Roman" w:eastAsia="宋体" w:cs="Times New Roman"/>
          <w:color w:val="FF0000"/>
        </w:rPr>
        <w:t>0%冲洗废水</w:t>
      </w:r>
      <w:r>
        <w:rPr>
          <w:rFonts w:hint="eastAsia" w:cs="Times New Roman"/>
          <w:color w:val="FF0000"/>
          <w:lang w:eastAsia="zh-CN"/>
        </w:rPr>
        <w:t>排</w:t>
      </w:r>
      <w:r>
        <w:rPr>
          <w:rFonts w:hint="default" w:ascii="Times New Roman" w:hAnsi="Times New Roman" w:eastAsia="宋体" w:cs="Times New Roman"/>
          <w:color w:val="FF0000"/>
        </w:rPr>
        <w:t>到化粪池内，废水产生量为</w:t>
      </w:r>
      <w:r>
        <w:rPr>
          <w:rFonts w:hint="eastAsia" w:cs="Times New Roman"/>
          <w:color w:val="FF0000"/>
          <w:lang w:val="en-US" w:eastAsia="zh-CN"/>
        </w:rPr>
        <w:t>14.4</w:t>
      </w:r>
      <w:r>
        <w:rPr>
          <w:rFonts w:hint="default" w:ascii="Times New Roman" w:hAnsi="Times New Roman" w:eastAsia="宋体" w:cs="Times New Roman"/>
          <w:color w:val="FF0000"/>
          <w:kern w:val="0"/>
          <w:sz w:val="24"/>
          <w:szCs w:val="24"/>
          <w:lang w:val="en-US" w:eastAsia="zh-CN" w:bidi="ar"/>
        </w:rPr>
        <w:t>m</w:t>
      </w:r>
      <w:r>
        <w:rPr>
          <w:rFonts w:hint="default" w:ascii="Times New Roman" w:hAnsi="Times New Roman" w:eastAsia="宋体" w:cs="Times New Roman"/>
          <w:color w:val="FF0000"/>
          <w:kern w:val="0"/>
          <w:sz w:val="24"/>
          <w:szCs w:val="24"/>
          <w:vertAlign w:val="superscript"/>
          <w:lang w:val="en-US" w:eastAsia="zh-CN" w:bidi="ar"/>
        </w:rPr>
        <w:t>3</w:t>
      </w:r>
      <w:r>
        <w:rPr>
          <w:rFonts w:hint="default" w:ascii="Times New Roman" w:hAnsi="Times New Roman" w:eastAsia="宋体" w:cs="Times New Roman"/>
          <w:color w:val="FF0000"/>
          <w:kern w:val="0"/>
          <w:sz w:val="24"/>
          <w:szCs w:val="24"/>
          <w:lang w:val="en-US" w:eastAsia="zh-CN" w:bidi="ar"/>
        </w:rPr>
        <w:t>/d</w:t>
      </w:r>
      <w:r>
        <w:rPr>
          <w:rFonts w:hint="eastAsia" w:ascii="宋体" w:hAnsi="宋体" w:eastAsia="宋体" w:cs="宋体"/>
          <w:color w:val="FF0000"/>
          <w:kern w:val="0"/>
          <w:sz w:val="24"/>
          <w:szCs w:val="24"/>
          <w:lang w:val="en-US" w:eastAsia="zh-CN" w:bidi="ar"/>
        </w:rPr>
        <w:t>（</w:t>
      </w:r>
      <w:r>
        <w:rPr>
          <w:rFonts w:hint="eastAsia" w:cs="Times New Roman"/>
          <w:color w:val="FF0000"/>
          <w:lang w:val="en-US" w:eastAsia="zh-CN"/>
        </w:rPr>
        <w:t>5256m</w:t>
      </w:r>
      <w:r>
        <w:rPr>
          <w:rFonts w:hint="eastAsia" w:cs="Times New Roman"/>
          <w:color w:val="FF0000"/>
          <w:vertAlign w:val="superscript"/>
          <w:lang w:val="en-US" w:eastAsia="zh-CN"/>
        </w:rPr>
        <w:t>3</w:t>
      </w:r>
      <w:r>
        <w:rPr>
          <w:rFonts w:hint="eastAsia" w:cs="Times New Roman"/>
          <w:color w:val="FF0000"/>
          <w:lang w:val="en-US" w:eastAsia="zh-CN"/>
        </w:rPr>
        <w:t>/a</w:t>
      </w:r>
      <w:r>
        <w:rPr>
          <w:rFonts w:hint="eastAsia" w:ascii="宋体" w:hAnsi="宋体" w:eastAsia="宋体" w:cs="宋体"/>
          <w:color w:val="FF0000"/>
          <w:kern w:val="0"/>
          <w:sz w:val="24"/>
          <w:szCs w:val="24"/>
          <w:lang w:val="en-US" w:eastAsia="zh-CN" w:bidi="ar"/>
        </w:rPr>
        <w:t>）</w:t>
      </w:r>
      <w:r>
        <w:rPr>
          <w:rFonts w:hint="eastAsia" w:cs="Times New Roman"/>
          <w:color w:val="FF0000"/>
          <w:lang w:eastAsia="zh-CN"/>
        </w:rPr>
        <w:t>，</w:t>
      </w:r>
      <w:r>
        <w:rPr>
          <w:rFonts w:hint="default" w:ascii="Times New Roman" w:hAnsi="Times New Roman" w:eastAsia="宋体" w:cs="Times New Roman"/>
          <w:color w:val="FF0000"/>
        </w:rPr>
        <w:t>排入氧化塘内发酵6个月，处理后的液肥用于还田</w:t>
      </w:r>
      <w:r>
        <w:rPr>
          <w:rFonts w:hint="eastAsia" w:cs="Times New Roman"/>
          <w:color w:val="FF0000"/>
          <w:lang w:eastAsia="zh-CN"/>
        </w:rPr>
        <w:t>。</w:t>
      </w:r>
    </w:p>
    <w:p>
      <w:pPr>
        <w:pageBreakBefore w:val="0"/>
        <w:kinsoku/>
        <w:wordWrap/>
        <w:overflowPunct/>
        <w:topLinePunct/>
        <w:autoSpaceDE w:val="0"/>
        <w:autoSpaceDN/>
        <w:bidi w:val="0"/>
        <w:adjustRightInd/>
        <w:snapToGrid/>
        <w:spacing w:line="480" w:lineRule="exact"/>
        <w:ind w:firstLine="480"/>
        <w:jc w:val="both"/>
        <w:textAlignment w:val="auto"/>
        <w:rPr>
          <w:rFonts w:hint="default" w:ascii="Times New Roman" w:hAnsi="Times New Roman" w:eastAsia="宋体" w:cs="Times New Roman"/>
          <w:color w:val="FF0000"/>
        </w:rPr>
      </w:pPr>
      <w:r>
        <w:rPr>
          <w:rFonts w:hint="eastAsia" w:cs="Times New Roman"/>
          <w:color w:val="FF0000"/>
          <w:lang w:eastAsia="zh-CN"/>
        </w:rPr>
        <w:t>（</w:t>
      </w:r>
      <w:r>
        <w:rPr>
          <w:rFonts w:hint="eastAsia" w:cs="Times New Roman"/>
          <w:color w:val="FF0000"/>
          <w:lang w:val="en-US" w:eastAsia="zh-CN"/>
        </w:rPr>
        <w:t>4</w:t>
      </w:r>
      <w:r>
        <w:rPr>
          <w:rFonts w:hint="eastAsia" w:cs="Times New Roman"/>
          <w:color w:val="FF0000"/>
          <w:lang w:eastAsia="zh-CN"/>
        </w:rPr>
        <w:t>）</w:t>
      </w:r>
      <w:r>
        <w:rPr>
          <w:rFonts w:hint="default" w:ascii="Times New Roman" w:hAnsi="Times New Roman" w:eastAsia="宋体" w:cs="Times New Roman"/>
          <w:color w:val="FF0000"/>
        </w:rPr>
        <w:t>洗消中心洗车废水、消毒废水</w:t>
      </w:r>
      <w:r>
        <w:rPr>
          <w:rFonts w:hint="eastAsia" w:cs="Times New Roman"/>
          <w:color w:val="FF0000"/>
          <w:lang w:eastAsia="zh-CN"/>
        </w:rPr>
        <w:t>：洗消中心洗车废水、消毒废水经沉淀池处理后，上清液循环使用，不外排</w:t>
      </w:r>
      <w:r>
        <w:rPr>
          <w:rFonts w:hint="default" w:ascii="Times New Roman" w:hAnsi="Times New Roman" w:eastAsia="宋体" w:cs="Times New Roman"/>
          <w:color w:val="FF0000"/>
        </w:rPr>
        <w:t>。</w:t>
      </w:r>
    </w:p>
    <w:p>
      <w:pPr>
        <w:pageBreakBefore w:val="0"/>
        <w:kinsoku/>
        <w:wordWrap/>
        <w:overflowPunct/>
        <w:topLinePunct/>
        <w:autoSpaceDE w:val="0"/>
        <w:autoSpaceDN/>
        <w:bidi w:val="0"/>
        <w:adjustRightInd/>
        <w:snapToGrid/>
        <w:spacing w:line="480" w:lineRule="exact"/>
        <w:ind w:firstLine="480"/>
        <w:jc w:val="both"/>
        <w:textAlignment w:val="auto"/>
        <w:rPr>
          <w:rFonts w:hint="eastAsia" w:ascii="Times New Roman" w:hAnsi="Times New Roman" w:eastAsia="宋体" w:cs="Times New Roman"/>
          <w:color w:val="FF0000"/>
          <w:lang w:eastAsia="zh-CN"/>
        </w:rPr>
      </w:pPr>
      <w:r>
        <w:rPr>
          <w:rFonts w:hint="eastAsia" w:cs="Times New Roman"/>
          <w:color w:val="FF0000"/>
          <w:lang w:eastAsia="zh-CN"/>
        </w:rPr>
        <w:t>（</w:t>
      </w:r>
      <w:r>
        <w:rPr>
          <w:rFonts w:hint="eastAsia" w:cs="Times New Roman"/>
          <w:color w:val="FF0000"/>
          <w:lang w:val="en-US" w:eastAsia="zh-CN"/>
        </w:rPr>
        <w:t>5</w:t>
      </w:r>
      <w:r>
        <w:rPr>
          <w:rFonts w:hint="eastAsia" w:cs="Times New Roman"/>
          <w:color w:val="FF0000"/>
          <w:lang w:eastAsia="zh-CN"/>
        </w:rPr>
        <w:t>）</w:t>
      </w:r>
      <w:r>
        <w:rPr>
          <w:rFonts w:hint="default" w:ascii="Times New Roman" w:hAnsi="Times New Roman" w:eastAsia="宋体" w:cs="Times New Roman"/>
          <w:color w:val="FF0000"/>
        </w:rPr>
        <w:t>生活污水</w:t>
      </w:r>
      <w:r>
        <w:rPr>
          <w:rFonts w:hint="eastAsia" w:cs="Times New Roman"/>
          <w:color w:val="FF0000"/>
          <w:lang w:eastAsia="zh-CN"/>
        </w:rPr>
        <w:t>：</w:t>
      </w:r>
      <w:r>
        <w:rPr>
          <w:rFonts w:hint="eastAsia" w:cs="Times New Roman"/>
          <w:color w:val="FF0000"/>
          <w:lang w:val="en-US" w:eastAsia="zh-CN"/>
        </w:rPr>
        <w:t>施工生活污水</w:t>
      </w:r>
      <w:r>
        <w:rPr>
          <w:rFonts w:hint="default" w:ascii="Times New Roman" w:hAnsi="Times New Roman" w:eastAsia="宋体" w:cs="Times New Roman"/>
          <w:color w:val="FF0000"/>
        </w:rPr>
        <w:t>排放按用水量的80%计，</w:t>
      </w:r>
      <w:r>
        <w:rPr>
          <w:rFonts w:hint="eastAsia" w:cs="Times New Roman"/>
          <w:color w:val="FF0000"/>
          <w:lang w:val="en-US" w:eastAsia="zh-CN"/>
        </w:rPr>
        <w:t>则生活污水产生</w:t>
      </w:r>
      <w:r>
        <w:rPr>
          <w:rFonts w:hint="default" w:ascii="Times New Roman" w:hAnsi="Times New Roman" w:eastAsia="宋体" w:cs="Times New Roman"/>
          <w:color w:val="FF0000"/>
        </w:rPr>
        <w:t>量</w:t>
      </w:r>
      <w:r>
        <w:rPr>
          <w:rFonts w:hint="eastAsia" w:cs="Times New Roman"/>
          <w:color w:val="FF0000"/>
          <w:lang w:val="en-US" w:eastAsia="zh-CN"/>
        </w:rPr>
        <w:t>2.4</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/d</w:t>
      </w:r>
      <w:r>
        <w:rPr>
          <w:rFonts w:hint="eastAsia" w:cs="Times New Roman"/>
          <w:color w:val="FF0000"/>
          <w:lang w:eastAsia="zh-CN"/>
        </w:rPr>
        <w:t>（</w:t>
      </w:r>
      <w:r>
        <w:rPr>
          <w:rFonts w:hint="eastAsia" w:cs="Times New Roman"/>
          <w:color w:val="FF0000"/>
          <w:lang w:val="en-US" w:eastAsia="zh-CN"/>
        </w:rPr>
        <w:t>876</w:t>
      </w:r>
      <w:r>
        <w:rPr>
          <w:rFonts w:hint="default" w:ascii="Times New Roman" w:hAnsi="Times New Roman" w:eastAsia="宋体" w:cs="Times New Roman"/>
          <w:color w:val="FF0000"/>
        </w:rPr>
        <w:t>m</w:t>
      </w:r>
      <w:r>
        <w:rPr>
          <w:rFonts w:hint="default" w:ascii="Times New Roman" w:hAnsi="Times New Roman" w:eastAsia="宋体" w:cs="Times New Roman"/>
          <w:color w:val="FF0000"/>
          <w:vertAlign w:val="superscript"/>
        </w:rPr>
        <w:t>3</w:t>
      </w:r>
      <w:r>
        <w:rPr>
          <w:rFonts w:hint="default" w:ascii="Times New Roman" w:hAnsi="Times New Roman" w:eastAsia="宋体" w:cs="Times New Roman"/>
          <w:color w:val="FF0000"/>
        </w:rPr>
        <w:t>/a</w:t>
      </w:r>
      <w:r>
        <w:rPr>
          <w:rFonts w:hint="eastAsia" w:cs="Times New Roman"/>
          <w:color w:val="FF0000"/>
          <w:lang w:eastAsia="zh-CN"/>
        </w:rPr>
        <w:t>）</w:t>
      </w:r>
      <w:r>
        <w:rPr>
          <w:rFonts w:hint="default" w:ascii="Times New Roman" w:hAnsi="Times New Roman" w:eastAsia="宋体" w:cs="Times New Roman"/>
          <w:color w:val="FF0000"/>
        </w:rPr>
        <w:t>。排入化粪池，经固液分离器分离后，与猪尿排入氧化塘内发酵6个月，处理后的液肥用于还田。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FF0000"/>
        </w:rPr>
        <w:t>（</w:t>
      </w:r>
      <w:r>
        <w:rPr>
          <w:rFonts w:hint="eastAsia" w:cs="Times New Roman"/>
          <w:color w:val="FF0000"/>
          <w:lang w:val="en-US" w:eastAsia="zh-CN"/>
        </w:rPr>
        <w:t>6</w:t>
      </w:r>
      <w:r>
        <w:rPr>
          <w:rFonts w:hint="default" w:ascii="Times New Roman" w:hAnsi="Times New Roman" w:eastAsia="宋体" w:cs="Times New Roman"/>
          <w:color w:val="FF0000"/>
        </w:rPr>
        <w:t>）锅炉排水</w:t>
      </w:r>
      <w:r>
        <w:rPr>
          <w:rFonts w:hint="eastAsia" w:cs="Times New Roman"/>
          <w:color w:val="FF0000"/>
          <w:lang w:eastAsia="zh-CN"/>
        </w:rPr>
        <w:t>：</w:t>
      </w:r>
      <w:r>
        <w:rPr>
          <w:rFonts w:hint="default" w:ascii="Times New Roman" w:hAnsi="Times New Roman" w:eastAsia="宋体" w:cs="Times New Roman"/>
          <w:color w:val="FF0000"/>
          <w:szCs w:val="21"/>
        </w:rPr>
        <w:t>锅炉排污水</w:t>
      </w:r>
      <w:r>
        <w:rPr>
          <w:rFonts w:hint="eastAsia" w:cs="Times New Roman"/>
          <w:color w:val="FF0000"/>
          <w:lang w:val="en-US" w:eastAsia="zh-CN"/>
        </w:rPr>
        <w:t>量</w:t>
      </w:r>
      <w:r>
        <w:rPr>
          <w:rFonts w:hint="default" w:ascii="Times New Roman" w:hAnsi="Times New Roman" w:eastAsia="宋体" w:cs="Times New Roman"/>
          <w:color w:val="FF0000"/>
          <w:szCs w:val="21"/>
        </w:rPr>
        <w:t>2.0m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/d，软化系统排污水0.8m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/d，合计</w:t>
      </w:r>
      <w:r>
        <w:rPr>
          <w:rFonts w:hint="eastAsia" w:cs="Times New Roman"/>
          <w:color w:val="FF0000"/>
          <w:szCs w:val="21"/>
          <w:lang w:val="en-US" w:eastAsia="zh-CN"/>
        </w:rPr>
        <w:t>2.8</w:t>
      </w:r>
      <w:r>
        <w:rPr>
          <w:rFonts w:hint="default" w:ascii="Times New Roman" w:hAnsi="Times New Roman" w:eastAsia="宋体" w:cs="Times New Roman"/>
          <w:color w:val="FF0000"/>
          <w:szCs w:val="21"/>
        </w:rPr>
        <w:t>m</w:t>
      </w:r>
      <w:r>
        <w:rPr>
          <w:rFonts w:hint="default" w:ascii="Times New Roman" w:hAnsi="Times New Roman" w:eastAsia="宋体" w:cs="Times New Roman"/>
          <w:color w:val="FF0000"/>
          <w:szCs w:val="21"/>
          <w:vertAlign w:val="superscript"/>
        </w:rPr>
        <w:t>3</w:t>
      </w:r>
      <w:r>
        <w:rPr>
          <w:rFonts w:hint="default" w:ascii="Times New Roman" w:hAnsi="Times New Roman" w:eastAsia="宋体" w:cs="Times New Roman"/>
          <w:color w:val="FF0000"/>
          <w:szCs w:val="21"/>
        </w:rPr>
        <w:t>/d</w:t>
      </w:r>
      <w:r>
        <w:rPr>
          <w:rFonts w:hint="eastAsia" w:cs="Times New Roman"/>
          <w:color w:val="FF0000"/>
          <w:szCs w:val="21"/>
          <w:lang w:eastAsia="zh-CN"/>
        </w:rPr>
        <w:t>，用于</w:t>
      </w:r>
      <w:r>
        <w:rPr>
          <w:rFonts w:hint="eastAsia" w:cs="Times New Roman"/>
          <w:color w:val="FF0000"/>
          <w:szCs w:val="21"/>
          <w:lang w:val="en-US" w:eastAsia="zh-CN"/>
        </w:rPr>
        <w:t>厂区</w:t>
      </w:r>
      <w:r>
        <w:rPr>
          <w:rFonts w:hint="eastAsia" w:cs="Times New Roman"/>
          <w:color w:val="FF0000"/>
          <w:szCs w:val="21"/>
          <w:lang w:eastAsia="zh-CN"/>
        </w:rPr>
        <w:t>道路抑尘</w:t>
      </w:r>
      <w:r>
        <w:rPr>
          <w:rFonts w:hint="default" w:ascii="Times New Roman" w:hAnsi="Times New Roman" w:eastAsia="宋体" w:cs="Times New Roman"/>
          <w:color w:val="auto"/>
        </w:rPr>
        <w:t>。</w:t>
      </w:r>
    </w:p>
    <w:p>
      <w:pPr>
        <w:pStyle w:val="6"/>
        <w:rPr>
          <w:rFonts w:hint="default" w:ascii="Times New Roman" w:hAnsi="Times New Roman" w:eastAsia="宋体" w:cs="Times New Roman"/>
          <w:color w:val="auto"/>
        </w:rPr>
      </w:pPr>
      <w:bookmarkStart w:id="467" w:name="_Toc447"/>
      <w:r>
        <w:rPr>
          <w:rFonts w:hint="default" w:ascii="Times New Roman" w:hAnsi="Times New Roman" w:eastAsia="宋体" w:cs="Times New Roman"/>
          <w:color w:val="auto"/>
        </w:rPr>
        <w:t>7.3.1最高允许排水量</w:t>
      </w:r>
      <w:bookmarkEnd w:id="466"/>
      <w:bookmarkEnd w:id="467"/>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符合《禽畜养殖业污染物排放标准》（GB18596-2001）对集约化禽畜养殖业最高允许排水量的要求。</w:t>
      </w:r>
    </w:p>
    <w:p>
      <w:pPr>
        <w:pStyle w:val="6"/>
        <w:rPr>
          <w:rFonts w:hint="default" w:ascii="Times New Roman" w:hAnsi="Times New Roman" w:eastAsia="宋体" w:cs="Times New Roman"/>
          <w:color w:val="auto"/>
        </w:rPr>
      </w:pPr>
      <w:bookmarkStart w:id="468" w:name="_Toc46421191"/>
      <w:bookmarkStart w:id="469" w:name="_Toc7059"/>
      <w:r>
        <w:rPr>
          <w:rFonts w:hint="default" w:ascii="Times New Roman" w:hAnsi="Times New Roman" w:eastAsia="宋体" w:cs="Times New Roman"/>
          <w:color w:val="auto"/>
        </w:rPr>
        <w:t>7.3.2雨污分流措施</w:t>
      </w:r>
      <w:bookmarkEnd w:id="468"/>
      <w:bookmarkEnd w:id="46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项目采用雨污分流，</w:t>
      </w:r>
      <w:r>
        <w:rPr>
          <w:rFonts w:hint="eastAsia" w:cs="Times New Roman"/>
          <w:color w:val="auto"/>
          <w:lang w:eastAsia="zh-CN"/>
        </w:rPr>
        <w:t>猪舍</w:t>
      </w:r>
      <w:r>
        <w:rPr>
          <w:rFonts w:hint="default" w:ascii="Times New Roman" w:hAnsi="Times New Roman" w:eastAsia="宋体" w:cs="Times New Roman"/>
          <w:color w:val="auto"/>
        </w:rPr>
        <w:t>屋面设置合适坡度，以利雨水的排出；</w:t>
      </w:r>
      <w:r>
        <w:rPr>
          <w:rFonts w:hint="eastAsia" w:cs="Times New Roman"/>
          <w:color w:val="auto"/>
          <w:lang w:eastAsia="zh-CN"/>
        </w:rPr>
        <w:t>猪舍</w:t>
      </w:r>
      <w:r>
        <w:rPr>
          <w:rFonts w:hint="default" w:ascii="Times New Roman" w:hAnsi="Times New Roman" w:eastAsia="宋体" w:cs="Times New Roman"/>
          <w:color w:val="auto"/>
        </w:rPr>
        <w:t>屋面雨水、道路雨水采用自流式排水，经过雨水管道排入</w:t>
      </w:r>
      <w:r>
        <w:rPr>
          <w:rFonts w:hint="eastAsia" w:cs="Times New Roman"/>
          <w:color w:val="auto"/>
          <w:lang w:eastAsia="zh-CN"/>
        </w:rPr>
        <w:t>场区</w:t>
      </w:r>
      <w:r>
        <w:rPr>
          <w:rFonts w:hint="default" w:ascii="Times New Roman" w:hAnsi="Times New Roman" w:eastAsia="宋体" w:cs="Times New Roman"/>
          <w:color w:val="auto"/>
        </w:rPr>
        <w:t>排水沟，沿道路排水沟排出，最终排放至场区外。本次评价对因降雨而产生可能产生二次污染提出如下要求：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w:t>
      </w:r>
      <w:r>
        <w:rPr>
          <w:rFonts w:hint="eastAsia" w:cs="Times New Roman"/>
          <w:color w:val="auto"/>
          <w:lang w:eastAsia="zh-CN"/>
        </w:rPr>
        <w:t>猪舍</w:t>
      </w:r>
      <w:r>
        <w:rPr>
          <w:rFonts w:hint="default" w:ascii="Times New Roman" w:hAnsi="Times New Roman" w:eastAsia="宋体" w:cs="Times New Roman"/>
          <w:color w:val="auto"/>
        </w:rPr>
        <w:t>屋面设置合适坡度并在屋檐设置导流槽，将雨水导出不排入</w:t>
      </w:r>
      <w:r>
        <w:rPr>
          <w:rFonts w:hint="eastAsia" w:cs="Times New Roman"/>
          <w:color w:val="auto"/>
          <w:lang w:val="en-US" w:eastAsia="zh-CN"/>
        </w:rPr>
        <w:t>猪舍</w:t>
      </w:r>
      <w:r>
        <w:rPr>
          <w:rFonts w:hint="default" w:ascii="Times New Roman" w:hAnsi="Times New Roman" w:eastAsia="宋体" w:cs="Times New Roman"/>
          <w:color w:val="auto"/>
        </w:rPr>
        <w:t>内，屋面雨水采用自流式排水，经过雨水管道排入场区排水沟排出。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val="en-US" w:eastAsia="zh-CN"/>
        </w:rPr>
        <w:t>猪舍四周</w:t>
      </w:r>
      <w:r>
        <w:rPr>
          <w:rFonts w:hint="default" w:ascii="Times New Roman" w:hAnsi="Times New Roman" w:eastAsia="宋体" w:cs="Times New Roman"/>
          <w:color w:val="auto"/>
        </w:rPr>
        <w:t>设置挡水坡道，防止雨水进入</w:t>
      </w:r>
      <w:r>
        <w:rPr>
          <w:rFonts w:hint="eastAsia" w:cs="Times New Roman"/>
          <w:color w:val="auto"/>
          <w:lang w:val="en-US" w:eastAsia="zh-CN"/>
        </w:rPr>
        <w:t>猪舍</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3</w:t>
      </w:r>
      <w:r>
        <w:rPr>
          <w:rFonts w:hint="default" w:ascii="Times New Roman" w:hAnsi="Times New Roman" w:eastAsia="宋体" w:cs="Times New Roman"/>
          <w:color w:val="auto"/>
        </w:rPr>
        <w:t>）氧化塘四周设置挡水墙以及雨水导流渠，可有效防止雨水倒灌，避免存储塘因雨水进入而溢流。</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项目清净雨水，通过场区雨水管道自流式排出。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综上，采用上述措施是可行的。</w:t>
      </w:r>
    </w:p>
    <w:p>
      <w:pPr>
        <w:pStyle w:val="5"/>
        <w:rPr>
          <w:rFonts w:hint="default" w:ascii="Times New Roman" w:hAnsi="Times New Roman" w:eastAsia="宋体" w:cs="Times New Roman"/>
          <w:color w:val="auto"/>
        </w:rPr>
      </w:pPr>
      <w:bookmarkStart w:id="470" w:name="_Toc530642992"/>
      <w:bookmarkStart w:id="471" w:name="_Toc28001"/>
      <w:r>
        <w:rPr>
          <w:rFonts w:hint="default" w:ascii="Times New Roman" w:hAnsi="Times New Roman" w:eastAsia="宋体" w:cs="Times New Roman"/>
          <w:color w:val="auto"/>
        </w:rPr>
        <w:t>7.4运营期地下水防治措施可行性</w:t>
      </w:r>
      <w:bookmarkEnd w:id="470"/>
      <w:bookmarkEnd w:id="471"/>
    </w:p>
    <w:p>
      <w:pPr>
        <w:pStyle w:val="6"/>
        <w:rPr>
          <w:rFonts w:hint="default" w:ascii="Times New Roman" w:hAnsi="Times New Roman" w:eastAsia="宋体" w:cs="Times New Roman"/>
          <w:color w:val="auto"/>
        </w:rPr>
      </w:pPr>
      <w:bookmarkStart w:id="472" w:name="_Toc41476842"/>
      <w:bookmarkStart w:id="473" w:name="_Toc30283"/>
      <w:r>
        <w:rPr>
          <w:rFonts w:hint="default" w:ascii="Times New Roman" w:hAnsi="Times New Roman" w:eastAsia="宋体" w:cs="Times New Roman"/>
          <w:color w:val="auto"/>
        </w:rPr>
        <w:t>7.4.1防治原则</w:t>
      </w:r>
      <w:bookmarkEnd w:id="472"/>
      <w:bookmarkEnd w:id="47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地下水及土壤污染防治措施坚持“源头控制、末端防治、污染监控、应急响应相结合”的原则，即采取主动控制和被动控制相结合的措施。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（1）主动控制，即从源头控制措施，主要包括在危废暂存间、</w:t>
      </w:r>
      <w:r>
        <w:rPr>
          <w:rFonts w:hint="eastAsia" w:cs="Times New Roman"/>
          <w:color w:val="auto"/>
          <w:lang w:eastAsia="zh-CN"/>
        </w:rPr>
        <w:t>晾粪台</w:t>
      </w:r>
      <w:r>
        <w:rPr>
          <w:rFonts w:hint="default" w:ascii="Times New Roman" w:hAnsi="Times New Roman" w:eastAsia="宋体" w:cs="Times New Roman"/>
          <w:color w:val="auto"/>
        </w:rPr>
        <w:t>、氧化塘</w:t>
      </w:r>
      <w:r>
        <w:rPr>
          <w:rFonts w:hint="default" w:ascii="Times New Roman" w:hAnsi="Times New Roman" w:eastAsia="宋体" w:cs="Times New Roman"/>
          <w:color w:val="auto"/>
          <w:lang w:eastAsia="zh-CN"/>
        </w:rPr>
        <w:t>、</w:t>
      </w:r>
      <w:r>
        <w:rPr>
          <w:rFonts w:hint="eastAsia" w:cs="Times New Roman"/>
          <w:color w:val="auto"/>
          <w:lang w:eastAsia="zh-CN"/>
        </w:rPr>
        <w:t>沉淀池</w:t>
      </w:r>
      <w:r>
        <w:rPr>
          <w:rFonts w:hint="default" w:ascii="Times New Roman" w:hAnsi="Times New Roman" w:eastAsia="宋体" w:cs="Times New Roman"/>
          <w:color w:val="auto"/>
        </w:rPr>
        <w:t>采取相应措施，防止和降低污染物跑、冒、滴、漏，将污染物泄漏的环境风险事故降到最低程度。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被动控制，即末端控制措施，主要包括场内污染区地面的防渗措施和泄漏、渗漏污染物收集措施，即在污染区地面进行防渗处理，防止洒落地面的污染物渗入地下，并把滞留在地面的污染物收集起来，按规范妥善处置。</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（3）实施重点区域地下水污染监控系统，包括建立完善的监测制度，科学、合理设置地下水污染监控井，及时发现污染、及时控制。</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（4）应急响应措施，包括一旦发现地下水污、土壤染事故，立即启动应急预案、采取应急措施控制地下水、土壤污染，并使污染得到治理。</w:t>
      </w:r>
    </w:p>
    <w:p>
      <w:pPr>
        <w:pStyle w:val="6"/>
        <w:rPr>
          <w:rFonts w:hint="default" w:ascii="Times New Roman" w:hAnsi="Times New Roman" w:eastAsia="宋体" w:cs="Times New Roman"/>
          <w:color w:val="auto"/>
        </w:rPr>
      </w:pPr>
      <w:bookmarkStart w:id="474" w:name="_Toc41476843"/>
      <w:bookmarkStart w:id="475" w:name="_Toc3072"/>
      <w:r>
        <w:rPr>
          <w:rFonts w:hint="default" w:ascii="Times New Roman" w:hAnsi="Times New Roman" w:eastAsia="宋体" w:cs="Times New Roman"/>
          <w:color w:val="auto"/>
        </w:rPr>
        <w:t>7.4.2污染物控制对策</w:t>
      </w:r>
      <w:bookmarkEnd w:id="474"/>
      <w:bookmarkEnd w:id="47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按照“源头控制、分区防控、污染监控、应急响应”原则，按照分区防控原则，拟建项目所在地分重点防渗区、一般防渗区和简单防渗区。为了防止地下水和土壤受到污染，采取的主要地下水防治措施如下：</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7.4.2.1源头控制措施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项目运营后应加强管理，主要包括在</w:t>
      </w:r>
      <w:r>
        <w:rPr>
          <w:rFonts w:hint="eastAsia" w:cs="Times New Roman"/>
          <w:color w:val="auto"/>
          <w:lang w:eastAsia="zh-CN"/>
        </w:rPr>
        <w:t>晾粪台</w:t>
      </w:r>
      <w:r>
        <w:rPr>
          <w:rFonts w:hint="default" w:ascii="Times New Roman" w:hAnsi="Times New Roman" w:eastAsia="宋体" w:cs="Times New Roman"/>
          <w:color w:val="auto"/>
        </w:rPr>
        <w:t>、氧化塘等区域，降低和防止污染物跑、冒、滴、漏，将污染物泄漏的环境风险事故降到最低程度，把工程分析中提到的各项废水利用措施落实到位，避免事故排放对地下水造成污染。</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本次评价提出如下要求：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1）场区任何废水皆禁止排入地下水中。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2）将场区采取分区防渗，全厂根据不同区域潜在地下水污染风险性大小划分为：重点防渗区、一般防渗区和简单防渗区。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3）在场区可能发生泄漏的装置下游布置1口地下水跟踪监测井，进行地下水污染监测，发现泄漏及时切断泄漏源，减小向地下水中的泄漏量。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4）场区液体输送管道尽量采用管道敷设。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5）采用雨污分流自流式排水，道路雨水采用自流式排水，经过雨水管道排入养殖场排水沟，沿道路排水沟排出，最终排放至场区外。</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7.4.2.2分区防渗措施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根据生产装置、辅助设施及公用工程可能泄漏特殊的性质将项目</w:t>
      </w:r>
      <w:r>
        <w:rPr>
          <w:rFonts w:hint="eastAsia" w:cs="Times New Roman"/>
          <w:color w:val="auto"/>
          <w:lang w:eastAsia="zh-CN"/>
        </w:rPr>
        <w:t>场区</w:t>
      </w:r>
      <w:r>
        <w:rPr>
          <w:rFonts w:hint="default" w:ascii="Times New Roman" w:hAnsi="Times New Roman" w:eastAsia="宋体" w:cs="Times New Roman"/>
          <w:color w:val="auto"/>
        </w:rPr>
        <w:t>分为重点污染防治区、一般污染防治区和非污染防治区。为防止运营过程对地下水造成污染，在工程设计中，将分区对场区内防渗漏设施进行建设。主要考虑重点污染防治区和一般污染防治区，分别采取不同等级防渗方案：</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重点防渗区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重点污染防治区指位于地下或者半地下的生产功能单元，污染地下水环境的污染物泄漏后不容易被及时发现或处理的区域/部位，该区域采取严格的防腐、防渗措施，重点污染防治区包括</w:t>
      </w:r>
      <w:r>
        <w:rPr>
          <w:rFonts w:hint="default" w:ascii="Times New Roman" w:hAnsi="Times New Roman" w:eastAsia="宋体" w:cs="Times New Roman"/>
          <w:color w:val="auto"/>
          <w:lang w:val="zh-CN"/>
        </w:rPr>
        <w:t>危险废物暂存间</w:t>
      </w:r>
      <w:r>
        <w:rPr>
          <w:rFonts w:hint="eastAsia" w:cs="Times New Roman"/>
          <w:color w:val="auto"/>
          <w:lang w:val="zh-CN"/>
        </w:rPr>
        <w:t>、安全填埋井</w:t>
      </w:r>
      <w:r>
        <w:rPr>
          <w:rFonts w:hint="default" w:ascii="Times New Roman" w:hAnsi="Times New Roman" w:eastAsia="宋体" w:cs="Times New Roman"/>
          <w:color w:val="auto"/>
          <w:lang w:val="zh-CN"/>
        </w:rPr>
        <w:t>等</w:t>
      </w:r>
      <w:r>
        <w:rPr>
          <w:rFonts w:hint="default" w:ascii="Times New Roman" w:hAnsi="Times New Roman" w:eastAsia="宋体" w:cs="Times New Roman"/>
          <w:color w:val="auto"/>
        </w:rPr>
        <w:t>，避免泄露对地下水造成污染，防渗技术要求为渗透系数≤1.0×10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一般防渗区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一般防渗区包括</w:t>
      </w:r>
      <w:r>
        <w:rPr>
          <w:rFonts w:hint="eastAsia" w:cs="Times New Roman"/>
          <w:color w:val="auto"/>
          <w:lang w:eastAsia="zh-CN"/>
        </w:rPr>
        <w:t>化粪池</w:t>
      </w:r>
      <w:r>
        <w:rPr>
          <w:rFonts w:hint="default" w:ascii="Times New Roman" w:hAnsi="Times New Roman" w:eastAsia="宋体" w:cs="Times New Roman"/>
          <w:color w:val="auto"/>
        </w:rPr>
        <w:t>、</w:t>
      </w:r>
      <w:r>
        <w:rPr>
          <w:rFonts w:hint="eastAsia" w:cs="Times New Roman"/>
          <w:color w:val="auto"/>
          <w:lang w:eastAsia="zh-CN"/>
        </w:rPr>
        <w:t>猪舍</w:t>
      </w:r>
      <w:r>
        <w:rPr>
          <w:rFonts w:hint="default" w:ascii="Times New Roman" w:hAnsi="Times New Roman" w:eastAsia="宋体" w:cs="Times New Roman"/>
          <w:color w:val="auto"/>
        </w:rPr>
        <w:t>粪污通道、</w:t>
      </w:r>
      <w:r>
        <w:rPr>
          <w:rFonts w:hint="eastAsia" w:cs="Times New Roman"/>
          <w:color w:val="auto"/>
          <w:lang w:eastAsia="zh-CN"/>
        </w:rPr>
        <w:t>晾粪台</w:t>
      </w:r>
      <w:r>
        <w:rPr>
          <w:rFonts w:hint="default" w:ascii="Times New Roman" w:hAnsi="Times New Roman" w:eastAsia="宋体" w:cs="Times New Roman"/>
          <w:color w:val="auto"/>
        </w:rPr>
        <w:t>、氧化塘等，渗透系数按照小于1.0×10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cm/s建设。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简单防渗区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主要为消毒室、场区道路、</w:t>
      </w:r>
      <w:r>
        <w:rPr>
          <w:rFonts w:hint="eastAsia" w:cs="Times New Roman"/>
          <w:color w:val="auto"/>
          <w:lang w:eastAsia="zh-CN"/>
        </w:rPr>
        <w:t>猪舍</w:t>
      </w:r>
      <w:r>
        <w:rPr>
          <w:rFonts w:hint="default" w:ascii="Times New Roman" w:hAnsi="Times New Roman" w:eastAsia="宋体" w:cs="Times New Roman"/>
          <w:color w:val="auto"/>
        </w:rPr>
        <w:t>饲料通道、运输道路单元，采取水泥硬化处理，采用粘土铺底，再在上层铺15～20cm厚抗渗水泥硬化的要求建设。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4</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非防渗区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非污染防治区指没有物料或污染物泄漏，不会对地下水环境造成污染的区域或部位，主要包括场区内绿化带、办公区域等。</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防渗参照的标准和规范，结合目前施工过程中的可操作性和技术水平，针对不同的防渗区域采用典型的防渗措施如下，在具体设计中应根据实际情况在满足防渗标准的前提下做必要的调整。本次评价所涉及的设计防渗分区的具体防渗要求如下，见表7.4-1。</w:t>
      </w:r>
    </w:p>
    <w:p>
      <w:pPr>
        <w:pStyle w:val="8"/>
        <w:rPr>
          <w:rFonts w:hint="default" w:ascii="Times New Roman" w:hAnsi="Times New Roman" w:eastAsia="宋体" w:cs="Times New Roman"/>
          <w:color w:val="auto"/>
        </w:rPr>
      </w:pPr>
      <w:bookmarkStart w:id="476" w:name="_Hlk46587433"/>
      <w:r>
        <w:rPr>
          <w:rFonts w:hint="default" w:ascii="Times New Roman" w:hAnsi="Times New Roman" w:eastAsia="宋体" w:cs="Times New Roman"/>
          <w:color w:val="auto"/>
        </w:rPr>
        <w:t>表7.4-1    本项目地下水分区防渗表</w:t>
      </w:r>
    </w:p>
    <w:tbl>
      <w:tblPr>
        <w:tblStyle w:val="34"/>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637"/>
        <w:gridCol w:w="495"/>
        <w:gridCol w:w="1385"/>
        <w:gridCol w:w="4647"/>
        <w:gridCol w:w="1839"/>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54"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序号</w:t>
            </w:r>
          </w:p>
        </w:tc>
        <w:tc>
          <w:tcPr>
            <w:tcW w:w="1044" w:type="pct"/>
            <w:gridSpan w:val="2"/>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防渗项目</w:t>
            </w:r>
          </w:p>
        </w:tc>
        <w:tc>
          <w:tcPr>
            <w:tcW w:w="25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具体做法及要求</w:t>
            </w:r>
          </w:p>
        </w:tc>
        <w:tc>
          <w:tcPr>
            <w:tcW w:w="102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参照标准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54"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w:t>
            </w:r>
          </w:p>
        </w:tc>
        <w:tc>
          <w:tcPr>
            <w:tcW w:w="275"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重点防渗区</w:t>
            </w:r>
          </w:p>
        </w:tc>
        <w:tc>
          <w:tcPr>
            <w:tcW w:w="769"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危险废物暂存间</w:t>
            </w:r>
          </w:p>
          <w:p>
            <w:pPr>
              <w:pStyle w:val="58"/>
              <w:rPr>
                <w:rFonts w:hint="eastAsia" w:ascii="Times New Roman" w:hAnsi="Times New Roman" w:eastAsia="宋体" w:cs="Times New Roman"/>
                <w:color w:val="auto"/>
                <w:lang w:eastAsia="zh-CN"/>
              </w:rPr>
            </w:pPr>
            <w:r>
              <w:rPr>
                <w:rFonts w:hint="eastAsia" w:cs="Times New Roman"/>
                <w:color w:val="auto"/>
                <w:lang w:eastAsia="zh-CN"/>
              </w:rPr>
              <w:t>安全填埋井</w:t>
            </w:r>
          </w:p>
        </w:tc>
        <w:tc>
          <w:tcPr>
            <w:tcW w:w="25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防渗层为敷设不小于2mm的高密度聚氯乙烯（HDPE）人工防渗膜，膜上、膜下设置“长丝无纺土工布”保护层，并铺设不小于250mm的混凝土保护层避免人畜对土工膜的破坏。混凝土抗渗系数不应低于P8，或其他材料可满足渗透系数小于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w:t>
            </w:r>
          </w:p>
        </w:tc>
        <w:tc>
          <w:tcPr>
            <w:tcW w:w="102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《危险废物贮存污染控制标准》（GB18597-2001）</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54"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w:t>
            </w:r>
          </w:p>
        </w:tc>
        <w:tc>
          <w:tcPr>
            <w:tcW w:w="275" w:type="pct"/>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一般防渗区</w:t>
            </w:r>
          </w:p>
        </w:tc>
        <w:tc>
          <w:tcPr>
            <w:tcW w:w="769" w:type="pct"/>
            <w:vAlign w:val="center"/>
          </w:tcPr>
          <w:p>
            <w:pPr>
              <w:pStyle w:val="58"/>
              <w:rPr>
                <w:rFonts w:hint="default" w:ascii="Times New Roman" w:hAnsi="Times New Roman" w:eastAsia="宋体" w:cs="Times New Roman"/>
                <w:color w:val="auto"/>
              </w:rPr>
            </w:pPr>
            <w:r>
              <w:rPr>
                <w:rFonts w:hint="eastAsia" w:cs="Times New Roman"/>
                <w:color w:val="auto"/>
                <w:lang w:val="en-US" w:eastAsia="zh-CN"/>
              </w:rPr>
              <w:t>化粪</w:t>
            </w:r>
            <w:r>
              <w:rPr>
                <w:rFonts w:hint="default" w:ascii="Times New Roman" w:hAnsi="Times New Roman" w:eastAsia="宋体" w:cs="Times New Roman"/>
                <w:color w:val="auto"/>
              </w:rPr>
              <w:t>池</w:t>
            </w:r>
          </w:p>
          <w:p>
            <w:pPr>
              <w:pStyle w:val="58"/>
              <w:rPr>
                <w:rFonts w:hint="eastAsia" w:ascii="Times New Roman" w:hAnsi="Times New Roman" w:eastAsia="宋体" w:cs="Times New Roman"/>
                <w:color w:val="auto"/>
                <w:lang w:eastAsia="zh-CN"/>
              </w:rPr>
            </w:pPr>
            <w:r>
              <w:rPr>
                <w:rFonts w:hint="eastAsia" w:cs="Times New Roman"/>
                <w:color w:val="auto"/>
                <w:lang w:eastAsia="zh-CN"/>
              </w:rPr>
              <w:t>晾粪台</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粪污通道</w:t>
            </w:r>
          </w:p>
        </w:tc>
        <w:tc>
          <w:tcPr>
            <w:tcW w:w="25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防渗层为敷设不小于2mm的高密度聚氯乙烯（HDPE）人工防渗膜，膜上、膜下设置“长丝无纺土工布”保护层，并铺设不小于100mm的混凝土保护层，或其他材料可满足渗透系数小于1.0×10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w:t>
            </w:r>
          </w:p>
        </w:tc>
        <w:tc>
          <w:tcPr>
            <w:tcW w:w="1021" w:type="pct"/>
            <w:vMerge w:val="restart"/>
            <w:vAlign w:val="center"/>
          </w:tcPr>
          <w:p>
            <w:pPr>
              <w:pStyle w:val="58"/>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具备“防渗、防雨、防溢”的三防措施，畜禽粪便的贮存相关要求，应具备防渗、通风、防雨的三防措施；雨污分流满足《畜禽养殖业污染防治技术规范》（HJ/T81-2001）要求</w:t>
            </w:r>
            <w:r>
              <w:rPr>
                <w:rFonts w:hint="default" w:ascii="Times New Roman" w:hAnsi="Times New Roman" w:eastAsia="宋体" w:cs="Times New Roman"/>
                <w:color w:val="auto"/>
                <w:lang w:eastAsia="zh-CN"/>
              </w:rPr>
              <w:t>；</w:t>
            </w:r>
          </w:p>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参照《一般工业固体废物贮存、处置场污染控制标准》（GB18599-2001）</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54"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w:t>
            </w:r>
          </w:p>
        </w:tc>
        <w:tc>
          <w:tcPr>
            <w:tcW w:w="275" w:type="pct"/>
            <w:vMerge w:val="continue"/>
            <w:vAlign w:val="center"/>
          </w:tcPr>
          <w:p>
            <w:pPr>
              <w:pStyle w:val="58"/>
              <w:rPr>
                <w:rFonts w:hint="default" w:ascii="Times New Roman" w:hAnsi="Times New Roman" w:eastAsia="宋体" w:cs="Times New Roman"/>
                <w:color w:val="auto"/>
              </w:rPr>
            </w:pPr>
          </w:p>
        </w:tc>
        <w:tc>
          <w:tcPr>
            <w:tcW w:w="769" w:type="pct"/>
            <w:tcBorders>
              <w:top w:val="single" w:color="auto" w:sz="4" w:space="0"/>
            </w:tcBorders>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氧化塘</w:t>
            </w:r>
          </w:p>
        </w:tc>
        <w:tc>
          <w:tcPr>
            <w:tcW w:w="25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池底及坡道采用粘土找平，底部素土夯实，夯实层以上设20mm厚1:3水泥砂浆找平层，防渗层为敷设不小于2mm的高密度聚氯乙烯（HDPE）人工防渗膜，膜上、膜下设置“长丝无纺土工布”保护层，并铺设不小于100mm的混凝土保护层，或其他材料可满足渗透系数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w:t>
            </w:r>
          </w:p>
        </w:tc>
        <w:tc>
          <w:tcPr>
            <w:tcW w:w="1021" w:type="pct"/>
            <w:vMerge w:val="continue"/>
            <w:vAlign w:val="center"/>
          </w:tcPr>
          <w:p>
            <w:pPr>
              <w:pStyle w:val="58"/>
              <w:rPr>
                <w:rFonts w:hint="default" w:ascii="Times New Roman" w:hAnsi="Times New Roman" w:eastAsia="宋体" w:cs="Times New Roman"/>
                <w:color w:val="auto"/>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54"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w:t>
            </w:r>
          </w:p>
        </w:tc>
        <w:tc>
          <w:tcPr>
            <w:tcW w:w="275"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简单防渗区</w:t>
            </w:r>
          </w:p>
        </w:tc>
        <w:tc>
          <w:tcPr>
            <w:tcW w:w="769"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场区道路</w:t>
            </w:r>
          </w:p>
        </w:tc>
        <w:tc>
          <w:tcPr>
            <w:tcW w:w="258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采取水泥硬化处理，采用粘土铺底，再在上层铺15～20cm厚抗渗水泥硬化的要求</w:t>
            </w:r>
          </w:p>
        </w:tc>
        <w:tc>
          <w:tcPr>
            <w:tcW w:w="1021" w:type="pct"/>
            <w:vAlign w:val="center"/>
          </w:tcPr>
          <w:p>
            <w:pPr>
              <w:pStyle w:val="58"/>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本项目的防渗要求如下：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重点防渗区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危险废物暂存间</w:t>
      </w:r>
      <w:r>
        <w:rPr>
          <w:rFonts w:hint="eastAsia" w:cs="Times New Roman"/>
          <w:color w:val="auto"/>
          <w:lang w:eastAsia="zh-CN"/>
        </w:rPr>
        <w:t>、安全填埋井</w:t>
      </w:r>
      <w:r>
        <w:rPr>
          <w:rFonts w:hint="default" w:ascii="Times New Roman" w:hAnsi="Times New Roman" w:eastAsia="宋体" w:cs="Times New Roman"/>
          <w:color w:val="auto"/>
        </w:rPr>
        <w:t>的建设应按照《危险废物贮存污染控制标准》（GB18597-2001）、《医疗卫生机构医疗废物管理办法》和《危险废物污染防治技术政策》的要求设置，暂存间地面及裙角必须防渗，渗透系数小于1.0×10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建设要求：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贮存场所地面须作硬化处理，以混凝土、砖、或经过防止腐化处理的钢材料进行建设，地面敷设2mm厚HDPE膜进行防渗处理，以防止渗漏和腐蚀。存放液体性危险废物的贮存场所必须设计导流槽和收集井。场所需要密闭且有通风口。</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default" w:ascii="Times New Roman" w:hAnsi="Times New Roman" w:eastAsia="宋体" w:cs="Times New Roman"/>
          <w:color w:val="auto"/>
          <w:lang w:eastAsia="zh-CN"/>
        </w:rPr>
        <w:t>危险废物暂存间</w:t>
      </w:r>
      <w:r>
        <w:rPr>
          <w:rFonts w:hint="default" w:ascii="Times New Roman" w:hAnsi="Times New Roman" w:eastAsia="宋体" w:cs="Times New Roman"/>
          <w:color w:val="auto"/>
        </w:rPr>
        <w:t>内四周如果不是水泥墙（主要指彩钢房搭建的危废贮存库）时，四周要做高50cm，宽12cm的围堰，并用水泥抹好。危废暂存间的地面与裙脚要用坚固、防渗的材料建造，建筑材料必须与危险废物相容。</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3）建筑材料必须与危险废物相容，防止鸟类和昆虫进入，照明和通风效果好；不得建在食堂或准备食物区域附近或宿舍楼附近。</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4）必须设置防风、防雨、防晒、防雷、防扬散、防流失、防渗漏、泄露液体收集等。</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一般防渗区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1）对</w:t>
      </w:r>
      <w:r>
        <w:rPr>
          <w:rFonts w:hint="eastAsia" w:cs="Times New Roman"/>
          <w:color w:val="auto"/>
          <w:lang w:val="en-US" w:eastAsia="zh-CN"/>
        </w:rPr>
        <w:t>化粪池</w:t>
      </w:r>
      <w:r>
        <w:rPr>
          <w:rFonts w:hint="default" w:ascii="Times New Roman" w:hAnsi="Times New Roman" w:eastAsia="宋体" w:cs="Times New Roman"/>
          <w:color w:val="auto"/>
        </w:rPr>
        <w:t>、粪污通道、</w:t>
      </w:r>
      <w:r>
        <w:rPr>
          <w:rFonts w:hint="eastAsia" w:cs="Times New Roman"/>
          <w:color w:val="auto"/>
          <w:lang w:eastAsia="zh-CN"/>
        </w:rPr>
        <w:t>晾粪台</w:t>
      </w:r>
      <w:r>
        <w:rPr>
          <w:rFonts w:hint="default" w:ascii="Times New Roman" w:hAnsi="Times New Roman" w:eastAsia="宋体" w:cs="Times New Roman"/>
          <w:color w:val="auto"/>
        </w:rPr>
        <w:t>底部基础防渗具体做法为：防渗层为敷设不小于2mm的高密度聚氯乙烯（HDPE）人工防渗膜，膜上、膜下设置“长丝无纺土工布”保护层，并铺设不小于100mm的混凝土保护层，或其他材料可满足渗透系数小于1.0×10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2）对氧化塘采取以下防渗措施：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池底及坡道采用粘土找平，底部素土夯实，夯实层以上设20mm厚1:3水泥砂浆找平层，防渗层为敷设不小于2mm的高密度聚氯乙烯（HDPE）人工防渗膜，膜上、膜下设置“长丝无纺土工布”保护层，并铺设不小于100mm的混凝土保护层，或其他材料可满足渗透系数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3、简单防渗区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对于消毒室、场区道路、</w:t>
      </w:r>
      <w:r>
        <w:rPr>
          <w:rFonts w:hint="eastAsia" w:cs="Times New Roman"/>
          <w:color w:val="auto"/>
          <w:lang w:eastAsia="zh-CN"/>
        </w:rPr>
        <w:t>猪舍</w:t>
      </w:r>
      <w:r>
        <w:rPr>
          <w:rFonts w:hint="default" w:ascii="Times New Roman" w:hAnsi="Times New Roman" w:eastAsia="宋体" w:cs="Times New Roman"/>
          <w:color w:val="auto"/>
        </w:rPr>
        <w:t>饲料通道等生产区，铺设防渗混凝土地面进行防渗。</w:t>
      </w:r>
      <w:bookmarkEnd w:id="476"/>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7.4.2.3地下水环境监测管理体系</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建立地下水环境监测管理体系，包括制定地下水环境影响跟踪监测计划、建立地下水环境影响跟踪监测制度，以便及时发现问题，采取措施。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通过对场区防渗规范施工、加强管理可使发生废水渗漏的可能性降到最低，为将本场区建设对地下水环境造成的影响降到最低；对场区所在地周围的地下水水质进行监测，在场区周边布设污染监控井，定期监测，以便及时准确地反馈地下水水质状况。当监测出水质异常时，应当立即采取相关检修措施，对渗漏发生区域进行防渗修补，确保污染物不进入到地下水系统中，可有效降低渗漏产生的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1）地下水监测原则</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①重点污染企业下游加密监测原则；</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②以浅层地下水及有开发利用价值的含水层监测为主的原则；</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③上、下游同步对比监测原则；</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④水质检测项目参照《地下水质量标准》相关要求和潜在污染源特征污染因子确定。</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2）跟踪监测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1、监测点的布设：本项目设置地下水监控1眼，位于场区</w:t>
      </w:r>
      <w:r>
        <w:rPr>
          <w:rFonts w:hint="default" w:ascii="Times New Roman" w:hAnsi="Times New Roman" w:eastAsia="宋体" w:cs="Times New Roman"/>
          <w:color w:val="auto"/>
          <w:lang w:eastAsia="zh-CN"/>
        </w:rPr>
        <w:t>内</w:t>
      </w:r>
      <w:r>
        <w:rPr>
          <w:rFonts w:hint="default" w:ascii="Times New Roman" w:hAnsi="Times New Roman" w:eastAsia="宋体" w:cs="Times New Roman"/>
          <w:color w:val="auto"/>
        </w:rPr>
        <w:t>，观测井设置遵循溶质迁移的水流路径，兼顾考虑粪污处理单元位置，以便一旦发生泄漏，可第一时间观测到地下水污染情况，并进行抽水，最大程度地减少地下水污染范围。地下水监测井布置功能及监测计划见表7.4-2。</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表7.4-2    地下水监测孔相关参数</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57" w:type="dxa"/>
          <w:bottom w:w="0" w:type="dxa"/>
          <w:right w:w="57" w:type="dxa"/>
        </w:tblCellMar>
      </w:tblPr>
      <w:tblGrid>
        <w:gridCol w:w="402"/>
        <w:gridCol w:w="1333"/>
        <w:gridCol w:w="1356"/>
        <w:gridCol w:w="1147"/>
        <w:gridCol w:w="1148"/>
        <w:gridCol w:w="1400"/>
        <w:gridCol w:w="211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blHeader/>
          <w:jc w:val="center"/>
        </w:trPr>
        <w:tc>
          <w:tcPr>
            <w:tcW w:w="243" w:type="pct"/>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编号</w:t>
            </w:r>
          </w:p>
        </w:tc>
        <w:tc>
          <w:tcPr>
            <w:tcW w:w="740"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经度</w:t>
            </w:r>
          </w:p>
        </w:tc>
        <w:tc>
          <w:tcPr>
            <w:tcW w:w="68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纬度</w:t>
            </w:r>
          </w:p>
        </w:tc>
        <w:tc>
          <w:tcPr>
            <w:tcW w:w="661" w:type="pct"/>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井深（m）</w:t>
            </w:r>
          </w:p>
        </w:tc>
        <w:tc>
          <w:tcPr>
            <w:tcW w:w="662"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监测层位</w:t>
            </w:r>
          </w:p>
        </w:tc>
        <w:tc>
          <w:tcPr>
            <w:tcW w:w="803" w:type="pct"/>
            <w:vMerge w:val="restar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监测功能</w:t>
            </w:r>
          </w:p>
        </w:tc>
        <w:tc>
          <w:tcPr>
            <w:tcW w:w="1204" w:type="pct"/>
            <w:vMerge w:val="restar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blHeader/>
          <w:jc w:val="center"/>
        </w:trPr>
        <w:tc>
          <w:tcPr>
            <w:tcW w:w="24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740"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68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661"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662"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803"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c>
          <w:tcPr>
            <w:tcW w:w="1204" w:type="pct"/>
            <w:vMerge w:val="continue"/>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243" w:type="pc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J1</w:t>
            </w:r>
          </w:p>
        </w:tc>
        <w:tc>
          <w:tcPr>
            <w:tcW w:w="740"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highlight w:val="none"/>
                <w:lang w:val="en-US" w:eastAsia="zh-CN"/>
              </w:rPr>
              <w:t>E107°39'3.32''</w:t>
            </w:r>
          </w:p>
        </w:tc>
        <w:tc>
          <w:tcPr>
            <w:tcW w:w="68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highlight w:val="none"/>
                <w:lang w:val="en-US" w:eastAsia="zh-CN"/>
              </w:rPr>
              <w:t>N40°53'33.28''</w:t>
            </w:r>
          </w:p>
        </w:tc>
        <w:tc>
          <w:tcPr>
            <w:tcW w:w="661" w:type="pc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2</w:t>
            </w:r>
            <w:r>
              <w:rPr>
                <w:rFonts w:hint="default" w:ascii="Times New Roman" w:hAnsi="Times New Roman" w:eastAsia="宋体" w:cs="Times New Roman"/>
                <w:color w:val="FF0000"/>
                <w:sz w:val="21"/>
                <w:szCs w:val="21"/>
              </w:rPr>
              <w:t>0</w:t>
            </w:r>
          </w:p>
        </w:tc>
        <w:tc>
          <w:tcPr>
            <w:tcW w:w="662"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潜水含水层</w:t>
            </w:r>
          </w:p>
        </w:tc>
        <w:tc>
          <w:tcPr>
            <w:tcW w:w="80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污染扩散监测点</w:t>
            </w:r>
          </w:p>
        </w:tc>
        <w:tc>
          <w:tcPr>
            <w:tcW w:w="1204" w:type="pct"/>
            <w:shd w:val="clear" w:color="auto" w:fill="auto"/>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监测可能产生的泄漏对下游潜水的污染</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2、监测层位及井深：监测潜水含水层，设计监测井深度为</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rPr>
        <w:t>0m，实际井深以现场施工为准。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3、监测频率：投入使用前监测一次本底值，投入使用后，在正常工况下，</w:t>
      </w:r>
      <w:r>
        <w:rPr>
          <w:rFonts w:hint="default" w:ascii="Times New Roman" w:hAnsi="Times New Roman" w:eastAsia="宋体" w:cs="Times New Roman"/>
          <w:color w:val="auto"/>
          <w:highlight w:val="none"/>
        </w:rPr>
        <w:t>每年监测1次，全年共监测</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次。</w:t>
      </w:r>
      <w:r>
        <w:rPr>
          <w:rFonts w:hint="default" w:ascii="Times New Roman" w:hAnsi="Times New Roman" w:eastAsia="宋体" w:cs="Times New Roman"/>
          <w:color w:val="auto"/>
        </w:rPr>
        <w:t>发生事故后应加密监测，每周监测1次，直到污染消除。</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4、监测因子：根据场内污染物分析，污染源产生的污水特征，确定地下水监测项目为：</w:t>
      </w:r>
      <w:r>
        <w:rPr>
          <w:rFonts w:hint="default" w:ascii="Times New Roman" w:hAnsi="Times New Roman" w:eastAsia="宋体" w:cs="Times New Roman"/>
          <w:color w:val="auto"/>
          <w:kern w:val="0"/>
          <w:szCs w:val="21"/>
        </w:rPr>
        <w:t>pH、总硬度、耗氧量、硫酸盐、氯化物、硝酸盐、氨氮、亚硝酸盐、挥发性酚类、氰化物、氟、溶解性总固体、六价铬、砷、汞、铅、镉、铁、锰、</w:t>
      </w:r>
      <w:r>
        <w:rPr>
          <w:rFonts w:hint="default" w:ascii="Times New Roman" w:hAnsi="Times New Roman" w:eastAsia="宋体" w:cs="Times New Roman"/>
          <w:color w:val="auto"/>
          <w:kern w:val="0"/>
          <w:szCs w:val="21"/>
          <w:lang w:eastAsia="zh-CN"/>
        </w:rPr>
        <w:t>菌落总数</w:t>
      </w:r>
      <w:r>
        <w:rPr>
          <w:rFonts w:hint="default" w:ascii="Times New Roman" w:hAnsi="Times New Roman" w:eastAsia="宋体" w:cs="Times New Roman"/>
          <w:color w:val="auto"/>
          <w:kern w:val="0"/>
          <w:szCs w:val="21"/>
        </w:rPr>
        <w:t>、总大肠菌群共21项目，</w:t>
      </w:r>
      <w:r>
        <w:rPr>
          <w:rFonts w:hint="default" w:ascii="Times New Roman" w:hAnsi="Times New Roman" w:eastAsia="宋体" w:cs="Times New Roman"/>
          <w:color w:val="auto"/>
        </w:rPr>
        <w:t>执行《地下水质量标准》（GB/T14848-2017）Ⅲ类标准。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上述监测的结果应按项目有关规定及时建立档案，并抄送生态环境主管部门，对于常规检测数据应该进行公开，特别是对项目所在区域的居民公开，满足法律中关于知情权的要求。发现污染和水质恶化时，要及时进行处理，开展系统调查，并上报有关部门。</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7.4.2.4应急响应措施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一旦发现地下水污染事故，立即启动应急预案、采取应急措施控制地下水污染，并使污染得到治理。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1）在突发地下水污染事故情况下，建议采取以下应急管理措施，以保护地下水环境：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2）立即启动应急预案；</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3）查明并切断污染源。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4）查明地下水污染深度、范围和程度；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5）依据查明的地下水污染情况，合理布置浅井，并进行试抽水工作；</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6）依据抽水设计方案进行施工，抽出被污染的地下水体；</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7）将抽出的地下水进行集中收集处理，并送实验室进行化验分析；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8）监测孔中的主要污染物浓度满足《地下水质量标准（GB/T14848-93）》相关级别标准后，逐步停止抽水，并进行土壤修复治理工作。</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应急管理建议：</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1）由于地下水污染具有不易发现和一旦污染很难治理的特点，因此地下水污染防控应遵循源头控制、防止渗漏、污染监测和事故应急处理的主动和被动防渗相结合的原则进行。</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2）地下水污染状况勘察是一项专业性很强的工作，一旦发生污染事故，应委托具有水文地质勘察资质的单位以水文地质工作为基础开展地下水污染勘察工作。</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3）在具体的地下水污染治理中，往往需要多种技术结合使用。一般在治理初期，先使用物理法或水动力控制法将污染区封闭，然后尽量收集污水，最后再使用抽出处理法或原位法进行治理。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地下水污染修复的同时还须进行受污染岩土的修复。地下水接受包气带的入渗补给，赋存与含水层岩土的孔隙中，地下水中的物质受岩土的控制，因此避免地下水与岩土的交叉污染，使地下水的治理行之有效，需要进行污染岩土的修复。</w:t>
      </w:r>
    </w:p>
    <w:p>
      <w:pPr>
        <w:pStyle w:val="6"/>
        <w:rPr>
          <w:rFonts w:hint="default" w:ascii="Times New Roman" w:hAnsi="Times New Roman" w:eastAsia="宋体" w:cs="Times New Roman"/>
          <w:color w:val="auto"/>
        </w:rPr>
      </w:pPr>
      <w:bookmarkStart w:id="477" w:name="_Toc41476844"/>
      <w:bookmarkStart w:id="478" w:name="_Toc30519"/>
      <w:r>
        <w:rPr>
          <w:rFonts w:hint="default" w:ascii="Times New Roman" w:hAnsi="Times New Roman" w:eastAsia="宋体" w:cs="Times New Roman"/>
          <w:color w:val="auto"/>
        </w:rPr>
        <w:t>7.4.3措施可行性</w:t>
      </w:r>
      <w:bookmarkEnd w:id="477"/>
      <w:bookmarkEnd w:id="47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本报告中涉及到的地下水环境保护管理措施有构建地下水监测网、局部防渗等，其中：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（1）地下水监测孔及地下防渗措施的建设，可以依据国家相关标准实施，如《危险废物填埋污染控制标准》和《地下水环境监测技术规范》等。</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（2）监测孔的建设费、维护费和水质测试费、防渗材料的购置与铺设等费用是环境保护措施中的预算之一，建设单位应按预算执行。</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上述分析可知，项目对地下水污染进行了严格的预防措施，不会造成污染物下渗到地下水中造成污染，本次评价提出的地下水环境保护管理措施具有可行性。</w:t>
      </w:r>
    </w:p>
    <w:p>
      <w:pPr>
        <w:pStyle w:val="5"/>
        <w:rPr>
          <w:rFonts w:hint="default" w:ascii="Times New Roman" w:hAnsi="Times New Roman" w:eastAsia="宋体" w:cs="Times New Roman"/>
          <w:color w:val="auto"/>
        </w:rPr>
      </w:pPr>
      <w:bookmarkStart w:id="479" w:name="_Toc14211"/>
      <w:r>
        <w:rPr>
          <w:rFonts w:hint="default" w:ascii="Times New Roman" w:hAnsi="Times New Roman" w:eastAsia="宋体" w:cs="Times New Roman"/>
          <w:color w:val="auto"/>
        </w:rPr>
        <w:t>7.5运营期土壤环境防治措施</w:t>
      </w:r>
      <w:bookmarkEnd w:id="47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根据《环境影响评价技术导则土壤环境（试行）》（HJ964-2018）的要求，土壤污染防治措施主要包括源头控制措施、过程控制措施。</w:t>
      </w:r>
    </w:p>
    <w:p>
      <w:pPr>
        <w:pStyle w:val="6"/>
        <w:rPr>
          <w:rFonts w:hint="default" w:ascii="Times New Roman" w:hAnsi="Times New Roman" w:eastAsia="宋体" w:cs="Times New Roman"/>
          <w:color w:val="auto"/>
        </w:rPr>
      </w:pPr>
      <w:bookmarkStart w:id="480" w:name="_Toc7162"/>
      <w:r>
        <w:rPr>
          <w:rFonts w:hint="default" w:ascii="Times New Roman" w:hAnsi="Times New Roman" w:eastAsia="宋体" w:cs="Times New Roman"/>
          <w:color w:val="auto"/>
        </w:rPr>
        <w:t>7.5.1源头控制措施</w:t>
      </w:r>
      <w:bookmarkEnd w:id="48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本项目土壤污染源头控制措施主要是减少项目废气、废水、固废等污染物的产生及排放量。本环评报告主要提出如下措施：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（1）做好雨污分流工作。建设单位在运营过程中定期对</w:t>
      </w:r>
      <w:r>
        <w:rPr>
          <w:rFonts w:hint="eastAsia" w:cs="Times New Roman"/>
          <w:color w:val="auto"/>
          <w:lang w:eastAsia="zh-CN"/>
        </w:rPr>
        <w:t>化粪池</w:t>
      </w:r>
      <w:r>
        <w:rPr>
          <w:rFonts w:hint="default" w:ascii="Times New Roman" w:hAnsi="Times New Roman" w:eastAsia="宋体" w:cs="Times New Roman"/>
          <w:color w:val="auto"/>
        </w:rPr>
        <w:t>、</w:t>
      </w:r>
      <w:r>
        <w:rPr>
          <w:rFonts w:hint="eastAsia" w:cs="Times New Roman"/>
          <w:color w:val="auto"/>
          <w:lang w:eastAsia="zh-CN"/>
        </w:rPr>
        <w:t>晾粪台</w:t>
      </w:r>
      <w:r>
        <w:rPr>
          <w:rFonts w:hint="default" w:ascii="Times New Roman" w:hAnsi="Times New Roman" w:eastAsia="宋体" w:cs="Times New Roman"/>
          <w:color w:val="auto"/>
        </w:rPr>
        <w:t>、氧化塘等进行检查，确保正常运行，从源头上减少污染物的非正常排放量。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（2）企业应加强对粪污治理措施的管理和维护，确保各污染物达标排放，有效减少废水污染物通过沉降进入土壤的量。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（3）企业应采用先进的养殖工艺，减少固废的产生量，并提高固废的综合利用率，减少固废的堆存量。</w:t>
      </w:r>
    </w:p>
    <w:p>
      <w:pPr>
        <w:pStyle w:val="6"/>
        <w:rPr>
          <w:rFonts w:hint="default" w:ascii="Times New Roman" w:hAnsi="Times New Roman" w:eastAsia="宋体" w:cs="Times New Roman"/>
          <w:color w:val="auto"/>
        </w:rPr>
      </w:pPr>
      <w:bookmarkStart w:id="481" w:name="_Toc15598"/>
      <w:r>
        <w:rPr>
          <w:rFonts w:hint="default" w:ascii="Times New Roman" w:hAnsi="Times New Roman" w:eastAsia="宋体" w:cs="Times New Roman"/>
          <w:color w:val="auto"/>
        </w:rPr>
        <w:t>7.5.2过程控制措施</w:t>
      </w:r>
      <w:bookmarkEnd w:id="481"/>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项目针对土壤污染的途径提出相应的过程控制措施：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企业应在占地范围内采取绿化措施，以种植具有较强吸附能力的植物为主，加大对废气污染物的吸附量，减少最终进入土壤的污染物量，从而减小对土壤的污染。</w:t>
      </w:r>
    </w:p>
    <w:p>
      <w:pPr>
        <w:pStyle w:val="6"/>
        <w:rPr>
          <w:rFonts w:hint="default" w:ascii="Times New Roman" w:hAnsi="Times New Roman" w:eastAsia="宋体" w:cs="Times New Roman"/>
          <w:color w:val="auto"/>
        </w:rPr>
      </w:pPr>
      <w:bookmarkStart w:id="482" w:name="_Toc29621"/>
      <w:r>
        <w:rPr>
          <w:rFonts w:hint="default" w:ascii="Times New Roman" w:hAnsi="Times New Roman" w:eastAsia="宋体" w:cs="Times New Roman"/>
          <w:color w:val="auto"/>
        </w:rPr>
        <w:t>7.5.3末端控制措施</w:t>
      </w:r>
      <w:bookmarkEnd w:id="48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末端控制采取分区防渗原则，主要包括对重点防渗区（包括危险废物暂存间</w:t>
      </w:r>
      <w:r>
        <w:rPr>
          <w:rFonts w:hint="eastAsia" w:cs="Times New Roman"/>
          <w:color w:val="auto"/>
          <w:lang w:eastAsia="zh-CN"/>
        </w:rPr>
        <w:t>、安全填埋井</w:t>
      </w:r>
      <w:r>
        <w:rPr>
          <w:rFonts w:hint="default" w:ascii="Times New Roman" w:hAnsi="Times New Roman" w:eastAsia="宋体" w:cs="Times New Roman"/>
          <w:color w:val="auto"/>
        </w:rPr>
        <w:t>）场底及周围进行防渗措施，使其渗透系数小于1.0×10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cm/s，防止渗滤液污染物渗入地下。</w:t>
      </w:r>
    </w:p>
    <w:p>
      <w:pPr>
        <w:pStyle w:val="6"/>
        <w:rPr>
          <w:rFonts w:hint="default" w:ascii="Times New Roman" w:hAnsi="Times New Roman" w:eastAsia="宋体" w:cs="Times New Roman"/>
          <w:color w:val="auto"/>
        </w:rPr>
      </w:pPr>
      <w:bookmarkStart w:id="483" w:name="_Toc13413"/>
      <w:r>
        <w:rPr>
          <w:rFonts w:hint="default" w:ascii="Times New Roman" w:hAnsi="Times New Roman" w:eastAsia="宋体" w:cs="Times New Roman"/>
          <w:color w:val="auto"/>
        </w:rPr>
        <w:t>7.5.</w:t>
      </w:r>
      <w:r>
        <w:rPr>
          <w:rFonts w:hint="default" w:ascii="Times New Roman" w:hAnsi="Times New Roman" w:eastAsia="宋体" w:cs="Times New Roman"/>
          <w:color w:val="auto"/>
          <w:lang w:val="en-US" w:eastAsia="zh-CN"/>
        </w:rPr>
        <w:t>4</w:t>
      </w:r>
      <w:r>
        <w:rPr>
          <w:rFonts w:hint="default" w:ascii="Times New Roman" w:hAnsi="Times New Roman" w:eastAsia="宋体" w:cs="Times New Roman"/>
          <w:color w:val="auto"/>
        </w:rPr>
        <w:t>应急响应措施</w:t>
      </w:r>
      <w:bookmarkEnd w:id="48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一旦发现土壤污染事故，立即采取应急措施控制土壤、地下水污染，并使污染得到治理。</w:t>
      </w:r>
    </w:p>
    <w:p>
      <w:pPr>
        <w:pStyle w:val="5"/>
        <w:rPr>
          <w:rFonts w:hint="default" w:ascii="Times New Roman" w:hAnsi="Times New Roman" w:eastAsia="宋体" w:cs="Times New Roman"/>
          <w:color w:val="auto"/>
        </w:rPr>
      </w:pPr>
      <w:bookmarkStart w:id="484" w:name="_Toc530642993"/>
      <w:bookmarkStart w:id="485" w:name="_Toc494206376"/>
      <w:bookmarkStart w:id="486" w:name="_Toc28023"/>
      <w:r>
        <w:rPr>
          <w:rFonts w:hint="default" w:ascii="Times New Roman" w:hAnsi="Times New Roman" w:eastAsia="宋体" w:cs="Times New Roman"/>
          <w:color w:val="auto"/>
        </w:rPr>
        <w:t>7.6运营期声环境防治措施</w:t>
      </w:r>
      <w:bookmarkEnd w:id="484"/>
      <w:bookmarkEnd w:id="485"/>
      <w:bookmarkEnd w:id="48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本项目实施后，</w:t>
      </w:r>
      <w:r>
        <w:rPr>
          <w:rFonts w:hint="default" w:ascii="Times New Roman" w:hAnsi="Times New Roman" w:eastAsia="宋体" w:cs="Times New Roman"/>
          <w:color w:val="auto"/>
          <w:szCs w:val="24"/>
        </w:rPr>
        <w:t>产生噪声源主要来源于</w:t>
      </w:r>
      <w:r>
        <w:rPr>
          <w:rFonts w:hint="eastAsia" w:cs="Times New Roman"/>
          <w:color w:val="auto"/>
          <w:szCs w:val="24"/>
          <w:lang w:eastAsia="zh-CN"/>
        </w:rPr>
        <w:t>猪舍</w:t>
      </w:r>
      <w:r>
        <w:rPr>
          <w:rFonts w:hint="default" w:ascii="Times New Roman" w:hAnsi="Times New Roman" w:eastAsia="宋体" w:cs="Times New Roman"/>
          <w:color w:val="auto"/>
          <w:szCs w:val="24"/>
        </w:rPr>
        <w:t>排气扇以及固液分离机、水泵、出入场区车辆产生的噪声等</w:t>
      </w:r>
      <w:r>
        <w:rPr>
          <w:rFonts w:hint="default" w:ascii="Times New Roman" w:hAnsi="Times New Roman" w:eastAsia="宋体" w:cs="Times New Roman"/>
          <w:color w:val="auto"/>
        </w:rPr>
        <w:t>。为了减轻各类噪声对工人操作环境和周围声环境影响，因此本项目应加强噪声的治理工作，主要从设备选型、阻隔传播途径和受声者保护三方面入手。</w:t>
      </w:r>
    </w:p>
    <w:p>
      <w:pPr>
        <w:ind w:firstLine="480"/>
        <w:rPr>
          <w:rFonts w:hint="default" w:ascii="Times New Roman" w:hAnsi="Times New Roman" w:eastAsia="宋体" w:cs="Times New Roman"/>
          <w:color w:val="FF0000"/>
        </w:rPr>
      </w:pPr>
      <w:r>
        <w:rPr>
          <w:rFonts w:hint="default" w:ascii="Times New Roman" w:hAnsi="Times New Roman" w:eastAsia="宋体" w:cs="Times New Roman"/>
          <w:color w:val="FF0000"/>
        </w:rPr>
        <w:t>①优先选用低噪声设备，对强噪声设备如水泵和风机等采取减振、隔声措施。风机的排风口做消声处理，水泵和风机等均放单独的房间内，采用隔声门窗或双层玻璃。</w:t>
      </w:r>
    </w:p>
    <w:p>
      <w:pPr>
        <w:ind w:firstLine="480"/>
        <w:rPr>
          <w:rFonts w:hint="default" w:ascii="Times New Roman" w:hAnsi="Times New Roman" w:eastAsia="宋体" w:cs="Times New Roman"/>
          <w:color w:val="FF0000"/>
        </w:rPr>
      </w:pPr>
      <w:r>
        <w:rPr>
          <w:rFonts w:hint="default" w:ascii="Times New Roman" w:hAnsi="Times New Roman" w:eastAsia="宋体" w:cs="Times New Roman"/>
          <w:color w:val="FF0000"/>
        </w:rPr>
        <w:t>②</w:t>
      </w:r>
      <w:r>
        <w:rPr>
          <w:rFonts w:hint="eastAsia" w:cs="Times New Roman"/>
          <w:color w:val="FF0000"/>
          <w:lang w:eastAsia="zh-CN"/>
        </w:rPr>
        <w:t>猪舍</w:t>
      </w:r>
      <w:r>
        <w:rPr>
          <w:rFonts w:hint="default" w:ascii="Times New Roman" w:hAnsi="Times New Roman" w:eastAsia="宋体" w:cs="Times New Roman"/>
          <w:color w:val="FF0000"/>
        </w:rPr>
        <w:t>内安装的降温排风扇应安装牢固，并加减震圈（垫），减轻噪声对操作人员及</w:t>
      </w:r>
      <w:r>
        <w:rPr>
          <w:rFonts w:hint="eastAsia" w:cs="Times New Roman"/>
          <w:color w:val="FF0000"/>
          <w:lang w:eastAsia="zh-CN"/>
        </w:rPr>
        <w:t>生猪</w:t>
      </w:r>
      <w:r>
        <w:rPr>
          <w:rFonts w:hint="default" w:ascii="Times New Roman" w:hAnsi="Times New Roman" w:eastAsia="宋体" w:cs="Times New Roman"/>
          <w:color w:val="FF0000"/>
        </w:rPr>
        <w:t>的危害和影响。</w:t>
      </w:r>
    </w:p>
    <w:p>
      <w:pPr>
        <w:ind w:firstLine="480"/>
        <w:rPr>
          <w:rFonts w:hint="default" w:ascii="Times New Roman" w:hAnsi="Times New Roman" w:eastAsia="宋体" w:cs="Times New Roman"/>
          <w:color w:val="FF0000"/>
        </w:rPr>
      </w:pPr>
      <w:r>
        <w:rPr>
          <w:rFonts w:hint="default" w:ascii="Times New Roman" w:hAnsi="Times New Roman" w:eastAsia="宋体" w:cs="Times New Roman"/>
          <w:color w:val="FF0000"/>
        </w:rPr>
        <w:t>③</w:t>
      </w:r>
      <w:r>
        <w:rPr>
          <w:rFonts w:hint="default" w:ascii="Times New Roman" w:hAnsi="Times New Roman" w:eastAsia="宋体" w:cs="Times New Roman"/>
          <w:color w:val="FF0000"/>
          <w:lang w:eastAsia="zh-CN"/>
        </w:rPr>
        <w:t>养殖</w:t>
      </w:r>
      <w:r>
        <w:rPr>
          <w:rFonts w:hint="default" w:ascii="Times New Roman" w:hAnsi="Times New Roman" w:eastAsia="宋体" w:cs="Times New Roman"/>
          <w:color w:val="FF0000"/>
        </w:rPr>
        <w:t>场场界设围墙，建隔离带，降噪林，经过生态林降噪和距离衰减后厂界噪声可满足《工业企业厂界环境噪声排放标准》（GB12348-2008）2类区排放限值</w:t>
      </w:r>
      <w:r>
        <w:rPr>
          <w:rFonts w:hint="default" w:ascii="Times New Roman" w:hAnsi="Times New Roman" w:eastAsia="宋体" w:cs="Times New Roman"/>
          <w:snapToGrid w:val="0"/>
          <w:color w:val="FF0000"/>
          <w:kern w:val="0"/>
        </w:rPr>
        <w:t>。</w:t>
      </w:r>
    </w:p>
    <w:p>
      <w:pPr>
        <w:ind w:firstLine="480"/>
        <w:rPr>
          <w:rFonts w:hint="default" w:ascii="Times New Roman" w:hAnsi="Times New Roman" w:eastAsia="宋体" w:cs="Times New Roman"/>
          <w:color w:val="FF0000"/>
        </w:rPr>
      </w:pPr>
      <w:r>
        <w:rPr>
          <w:rFonts w:hint="default" w:ascii="Times New Roman" w:hAnsi="Times New Roman" w:eastAsia="宋体" w:cs="Times New Roman"/>
          <w:color w:val="FF0000"/>
        </w:rPr>
        <w:t>④</w:t>
      </w:r>
      <w:r>
        <w:rPr>
          <w:rFonts w:hint="default" w:ascii="Times New Roman" w:hAnsi="Times New Roman" w:eastAsia="宋体" w:cs="Times New Roman"/>
          <w:color w:val="FF0000"/>
        </w:rPr>
        <w:t>根据生产实际情况，合理调度汽车运输；优化运输路线，使运输路线尽量选择距离居民敏感点较远、地域较开阔的地段。</w:t>
      </w:r>
    </w:p>
    <w:p>
      <w:pPr>
        <w:ind w:firstLine="480"/>
        <w:rPr>
          <w:rFonts w:hint="default" w:ascii="Times New Roman" w:hAnsi="Times New Roman" w:eastAsia="宋体" w:cs="Times New Roman"/>
          <w:color w:val="FF0000"/>
        </w:rPr>
      </w:pPr>
      <w:r>
        <w:rPr>
          <w:rFonts w:hint="default" w:ascii="Times New Roman" w:hAnsi="Times New Roman" w:eastAsia="宋体" w:cs="Times New Roman"/>
          <w:color w:val="FF0000"/>
        </w:rPr>
        <w:t>⑤货物运输车辆在村庄、</w:t>
      </w:r>
      <w:r>
        <w:rPr>
          <w:rFonts w:hint="eastAsia" w:cs="Times New Roman"/>
          <w:color w:val="FF0000"/>
          <w:lang w:eastAsia="zh-CN"/>
        </w:rPr>
        <w:t>猪场</w:t>
      </w:r>
      <w:r>
        <w:rPr>
          <w:rFonts w:hint="default" w:ascii="Times New Roman" w:hAnsi="Times New Roman" w:eastAsia="宋体" w:cs="Times New Roman"/>
          <w:color w:val="FF0000"/>
        </w:rPr>
        <w:t>门前做到不鸣或少鸣笛，以减轻交通噪声对外环境的影响。货物运输车辆夜间在途经村庄或在场界内时禁止鸣笛。</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在采取上述有效的防治措施后，项目</w:t>
      </w:r>
      <w:r>
        <w:rPr>
          <w:rFonts w:hint="default" w:ascii="Times New Roman" w:hAnsi="Times New Roman" w:eastAsia="宋体" w:cs="Times New Roman"/>
          <w:color w:val="auto"/>
          <w:lang w:eastAsia="zh-CN"/>
        </w:rPr>
        <w:t>养殖</w:t>
      </w:r>
      <w:r>
        <w:rPr>
          <w:rFonts w:hint="default" w:ascii="Times New Roman" w:hAnsi="Times New Roman" w:eastAsia="宋体" w:cs="Times New Roman"/>
          <w:color w:val="auto"/>
        </w:rPr>
        <w:t>场界噪声可达到《工业企业厂界环境噪声排放标准》（GB12348-2008）中的2类标准，产噪设备对周围声环境影响较小。</w:t>
      </w:r>
    </w:p>
    <w:p>
      <w:pPr>
        <w:pStyle w:val="5"/>
        <w:rPr>
          <w:rFonts w:hint="default" w:ascii="Times New Roman" w:hAnsi="Times New Roman" w:eastAsia="宋体" w:cs="Times New Roman"/>
          <w:color w:val="auto"/>
        </w:rPr>
      </w:pPr>
      <w:bookmarkStart w:id="487" w:name="_Toc530642994"/>
      <w:bookmarkStart w:id="488" w:name="_Toc4684"/>
      <w:r>
        <w:rPr>
          <w:rFonts w:hint="default" w:ascii="Times New Roman" w:hAnsi="Times New Roman" w:eastAsia="宋体" w:cs="Times New Roman"/>
          <w:color w:val="auto"/>
        </w:rPr>
        <w:t>7.7运营期固体废物污染防治措施</w:t>
      </w:r>
      <w:bookmarkEnd w:id="487"/>
      <w:bookmarkEnd w:id="48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固体废物的处理将遵循环境健康风险预防、安全无害以及固体废物“减量化、资源化、无害化及生态化”的原则进行，有效的解决集约化养殖场的环境污染问题，达到变废为宝、化害为利、综合利用的目的。</w:t>
      </w:r>
    </w:p>
    <w:p>
      <w:pPr>
        <w:pStyle w:val="6"/>
        <w:rPr>
          <w:rFonts w:hint="default" w:ascii="Times New Roman" w:hAnsi="Times New Roman" w:eastAsia="宋体" w:cs="Times New Roman"/>
          <w:color w:val="auto"/>
        </w:rPr>
      </w:pPr>
      <w:bookmarkStart w:id="489" w:name="_Toc12126"/>
      <w:r>
        <w:rPr>
          <w:rFonts w:hint="default" w:ascii="Times New Roman" w:hAnsi="Times New Roman" w:eastAsia="宋体" w:cs="Times New Roman"/>
          <w:color w:val="auto"/>
        </w:rPr>
        <w:t>7.7.1固体废物处置合理性分析</w:t>
      </w:r>
      <w:bookmarkEnd w:id="48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eastAsia" w:cs="Times New Roman"/>
          <w:color w:val="auto"/>
          <w:lang w:val="en-US" w:eastAsia="zh-CN"/>
        </w:rPr>
        <w:t>猪</w:t>
      </w:r>
      <w:r>
        <w:rPr>
          <w:rFonts w:hint="default" w:ascii="Times New Roman" w:hAnsi="Times New Roman" w:eastAsia="宋体" w:cs="Times New Roman"/>
          <w:color w:val="auto"/>
        </w:rPr>
        <w:t>粪</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猪粪便产生量根据《畜禽养殖污染防治最佳可行技术指南》（试行），育肥猪粪便产生量按1.4kg/（头•d），本期年存栏量为</w:t>
      </w:r>
      <w:r>
        <w:rPr>
          <w:rFonts w:hint="eastAsia" w:cs="Times New Roman"/>
          <w:color w:val="auto"/>
          <w:lang w:val="en-US" w:eastAsia="zh-CN"/>
        </w:rPr>
        <w:t>8800</w:t>
      </w:r>
      <w:r>
        <w:rPr>
          <w:rFonts w:hint="default" w:ascii="Times New Roman" w:hAnsi="Times New Roman" w:eastAsia="宋体" w:cs="Times New Roman"/>
          <w:color w:val="auto"/>
        </w:rPr>
        <w:t>头育肥猪，故育肥猪粪便产生量为</w:t>
      </w:r>
      <w:r>
        <w:rPr>
          <w:rFonts w:hint="eastAsia" w:cs="Times New Roman"/>
          <w:color w:val="auto"/>
          <w:lang w:val="en-US" w:eastAsia="zh-CN"/>
        </w:rPr>
        <w:t>12.32</w:t>
      </w:r>
      <w:r>
        <w:rPr>
          <w:rFonts w:hint="default" w:ascii="Times New Roman" w:hAnsi="Times New Roman" w:eastAsia="宋体" w:cs="Times New Roman"/>
          <w:color w:val="auto"/>
        </w:rPr>
        <w:t>t/d（</w:t>
      </w:r>
      <w:r>
        <w:rPr>
          <w:rFonts w:hint="eastAsia" w:cs="Times New Roman"/>
          <w:color w:val="auto"/>
          <w:lang w:val="en-US" w:eastAsia="zh-CN"/>
        </w:rPr>
        <w:t>4496.8</w:t>
      </w:r>
      <w:r>
        <w:rPr>
          <w:rFonts w:hint="default" w:ascii="Times New Roman" w:hAnsi="Times New Roman" w:eastAsia="宋体" w:cs="Times New Roman"/>
          <w:color w:val="auto"/>
        </w:rPr>
        <w:t>t/a）。</w:t>
      </w:r>
    </w:p>
    <w:p>
      <w:pPr>
        <w:ind w:firstLine="480"/>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w:t>猪舍地面采用漏缝地板，猪粪和猪尿依靠重力作用落到化粪池内，经固液分离器将猪粪分离后，猪粪储存于晾粪台，出售有机肥生产厂家进行资源化利用</w:t>
      </w:r>
      <w:r>
        <w:rPr>
          <w:rFonts w:hint="eastAsia" w:cs="Times New Roman"/>
          <w:color w:val="auto"/>
          <w:lang w:eastAsia="zh-CN"/>
        </w:rPr>
        <w:t>。</w:t>
      </w:r>
    </w:p>
    <w:p>
      <w:pPr>
        <w:ind w:firstLine="480"/>
        <w:rPr>
          <w:rFonts w:hint="eastAsia" w:ascii="Times New Roman" w:hAnsi="Times New Roman" w:eastAsia="宋体" w:cs="Times New Roman"/>
          <w:color w:val="auto"/>
          <w:lang w:eastAsia="zh-CN"/>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病死</w:t>
      </w:r>
      <w:r>
        <w:rPr>
          <w:rFonts w:hint="eastAsia" w:cs="Times New Roman"/>
          <w:color w:val="auto"/>
          <w:lang w:val="en-US" w:eastAsia="zh-CN"/>
        </w:rPr>
        <w:t>猪</w:t>
      </w:r>
    </w:p>
    <w:p>
      <w:pPr>
        <w:adjustRightInd w:val="0"/>
        <w:snapToGrid w:val="0"/>
        <w:spacing w:line="476" w:lineRule="exact"/>
        <w:ind w:firstLine="480" w:firstLineChars="200"/>
        <w:rPr>
          <w:snapToGrid w:val="0"/>
          <w:color w:val="auto"/>
          <w:position w:val="-2"/>
          <w:sz w:val="24"/>
        </w:rPr>
      </w:pPr>
      <w:r>
        <w:rPr>
          <w:snapToGrid w:val="0"/>
          <w:color w:val="auto"/>
          <w:position w:val="-2"/>
          <w:sz w:val="24"/>
        </w:rPr>
        <w:t>一般而言，哺乳期后的猪抗病、抗寒能力比哺乳期的猪仔要强得多，因此死亡的猪主要来自处于哺乳期的猪仔，猪仔的死亡率约5～6%，且主要死于出生后的前两周，第一周死亡的猪仔占82%，第二周占12%。</w:t>
      </w:r>
      <w:r>
        <w:rPr>
          <w:rFonts w:hint="default" w:ascii="Times New Roman" w:hAnsi="Times New Roman" w:eastAsia="宋体" w:cs="Times New Roman"/>
          <w:color w:val="auto"/>
        </w:rPr>
        <w:t>年存栏量为</w:t>
      </w:r>
      <w:r>
        <w:rPr>
          <w:rFonts w:hint="eastAsia" w:cs="Times New Roman"/>
          <w:color w:val="auto"/>
          <w:lang w:val="en-US" w:eastAsia="zh-CN"/>
        </w:rPr>
        <w:t>8800</w:t>
      </w:r>
      <w:r>
        <w:rPr>
          <w:rFonts w:hint="default" w:ascii="Times New Roman" w:hAnsi="Times New Roman" w:eastAsia="宋体" w:cs="Times New Roman"/>
          <w:color w:val="auto"/>
        </w:rPr>
        <w:t>头育肥猪</w:t>
      </w:r>
      <w:r>
        <w:rPr>
          <w:snapToGrid w:val="0"/>
          <w:color w:val="auto"/>
          <w:position w:val="-2"/>
          <w:sz w:val="24"/>
        </w:rPr>
        <w:t>，死亡率按</w:t>
      </w:r>
      <w:r>
        <w:rPr>
          <w:rFonts w:hint="eastAsia"/>
          <w:snapToGrid w:val="0"/>
          <w:color w:val="auto"/>
          <w:position w:val="-2"/>
          <w:sz w:val="24"/>
        </w:rPr>
        <w:t>5</w:t>
      </w:r>
      <w:r>
        <w:rPr>
          <w:snapToGrid w:val="0"/>
          <w:color w:val="auto"/>
          <w:position w:val="-2"/>
          <w:sz w:val="24"/>
        </w:rPr>
        <w:t>%计，则年死亡的猪仔有</w:t>
      </w:r>
      <w:r>
        <w:rPr>
          <w:rFonts w:hint="eastAsia"/>
          <w:snapToGrid w:val="0"/>
          <w:color w:val="auto"/>
          <w:position w:val="-2"/>
          <w:sz w:val="24"/>
          <w:lang w:val="en-US" w:eastAsia="zh-CN"/>
        </w:rPr>
        <w:t>44</w:t>
      </w:r>
      <w:r>
        <w:rPr>
          <w:rFonts w:hint="eastAsia"/>
          <w:snapToGrid w:val="0"/>
          <w:color w:val="auto"/>
          <w:position w:val="-2"/>
          <w:sz w:val="24"/>
        </w:rPr>
        <w:t>0</w:t>
      </w:r>
      <w:r>
        <w:rPr>
          <w:snapToGrid w:val="0"/>
          <w:color w:val="auto"/>
          <w:position w:val="-2"/>
          <w:sz w:val="24"/>
        </w:rPr>
        <w:t>头，平均体重为6kg，则年病死猪只为</w:t>
      </w:r>
      <w:r>
        <w:rPr>
          <w:rFonts w:hint="eastAsia"/>
          <w:snapToGrid w:val="0"/>
          <w:color w:val="auto"/>
          <w:position w:val="-2"/>
          <w:sz w:val="24"/>
          <w:lang w:val="en-US" w:eastAsia="zh-CN"/>
        </w:rPr>
        <w:t>2.</w:t>
      </w:r>
      <w:r>
        <w:rPr>
          <w:rFonts w:hint="eastAsia"/>
          <w:snapToGrid w:val="0"/>
          <w:color w:val="auto"/>
          <w:position w:val="-2"/>
          <w:sz w:val="24"/>
        </w:rPr>
        <w:t>6</w:t>
      </w:r>
      <w:r>
        <w:rPr>
          <w:rFonts w:hint="eastAsia"/>
          <w:snapToGrid w:val="0"/>
          <w:color w:val="auto"/>
          <w:position w:val="-2"/>
          <w:sz w:val="24"/>
          <w:lang w:val="en-US" w:eastAsia="zh-CN"/>
        </w:rPr>
        <w:t>4</w:t>
      </w:r>
      <w:r>
        <w:rPr>
          <w:snapToGrid w:val="0"/>
          <w:color w:val="auto"/>
          <w:position w:val="-2"/>
          <w:sz w:val="24"/>
        </w:rPr>
        <w:t>t/a。根据《国家危险废物名录》，病死猪尸体属于HW01非特定行业中“为防治动物传染病而需要收集和处置的废物”（废物代码：900-001-01）。</w:t>
      </w:r>
    </w:p>
    <w:p>
      <w:pPr>
        <w:spacing w:line="440" w:lineRule="exact"/>
        <w:ind w:firstLine="480"/>
        <w:rPr>
          <w:rFonts w:hint="default" w:ascii="Times New Roman" w:hAnsi="Times New Roman" w:eastAsia="宋体" w:cs="Times New Roman"/>
          <w:color w:val="auto"/>
          <w:lang w:eastAsia="zh-CN"/>
        </w:rPr>
      </w:pPr>
      <w:r>
        <w:rPr>
          <w:rFonts w:hint="eastAsia"/>
          <w:snapToGrid w:val="0"/>
          <w:color w:val="auto"/>
          <w:position w:val="-2"/>
          <w:sz w:val="24"/>
        </w:rPr>
        <w:t>根</w:t>
      </w:r>
      <w:r>
        <w:rPr>
          <w:snapToGrid w:val="0"/>
          <w:color w:val="auto"/>
          <w:position w:val="-2"/>
          <w:sz w:val="24"/>
        </w:rPr>
        <w:t>据《病害动物和病害动物产品生物安全处理规程》（GB16548-2006）中的规定</w:t>
      </w:r>
      <w:r>
        <w:rPr>
          <w:rFonts w:hint="eastAsia"/>
          <w:snapToGrid w:val="0"/>
          <w:color w:val="auto"/>
          <w:position w:val="-2"/>
          <w:sz w:val="24"/>
        </w:rPr>
        <w:t>进行</w:t>
      </w:r>
      <w:r>
        <w:rPr>
          <w:snapToGrid w:val="0"/>
          <w:color w:val="auto"/>
          <w:position w:val="-2"/>
          <w:sz w:val="24"/>
        </w:rPr>
        <w:t>无害化处理</w:t>
      </w:r>
      <w:r>
        <w:rPr>
          <w:rFonts w:hint="eastAsia"/>
          <w:snapToGrid w:val="0"/>
          <w:color w:val="auto"/>
          <w:position w:val="-2"/>
          <w:sz w:val="24"/>
        </w:rPr>
        <w:t>，</w:t>
      </w:r>
      <w:r>
        <w:rPr>
          <w:color w:val="auto"/>
          <w:sz w:val="24"/>
        </w:rPr>
        <w:t>建设单位设置有隔离猪舍及</w:t>
      </w:r>
      <w:r>
        <w:rPr>
          <w:rFonts w:hint="eastAsia"/>
          <w:color w:val="auto"/>
          <w:sz w:val="24"/>
          <w:lang w:eastAsia="zh-CN"/>
        </w:rPr>
        <w:t>填埋井</w:t>
      </w:r>
      <w:r>
        <w:rPr>
          <w:color w:val="auto"/>
          <w:sz w:val="24"/>
        </w:rPr>
        <w:t>，病猪先进行隔离观察治疗，无法治疗的病死猪在专业技术人员的指导下，在</w:t>
      </w:r>
      <w:r>
        <w:rPr>
          <w:rFonts w:hint="eastAsia"/>
          <w:color w:val="auto"/>
          <w:sz w:val="24"/>
          <w:lang w:eastAsia="zh-CN"/>
        </w:rPr>
        <w:t>场区</w:t>
      </w:r>
      <w:r>
        <w:rPr>
          <w:color w:val="auto"/>
          <w:sz w:val="24"/>
        </w:rPr>
        <w:t>内设置的</w:t>
      </w:r>
      <w:r>
        <w:rPr>
          <w:rFonts w:hint="eastAsia"/>
          <w:color w:val="auto"/>
          <w:sz w:val="24"/>
          <w:lang w:val="en-US" w:eastAsia="zh-CN"/>
        </w:rPr>
        <w:t>2</w:t>
      </w:r>
      <w:r>
        <w:rPr>
          <w:rFonts w:hint="eastAsia"/>
          <w:color w:val="auto"/>
          <w:sz w:val="24"/>
        </w:rPr>
        <w:t>个</w:t>
      </w:r>
      <w:r>
        <w:rPr>
          <w:rFonts w:hint="eastAsia"/>
          <w:color w:val="auto"/>
          <w:sz w:val="24"/>
          <w:lang w:eastAsia="zh-CN"/>
        </w:rPr>
        <w:t>填埋井</w:t>
      </w:r>
      <w:r>
        <w:rPr>
          <w:rFonts w:hint="eastAsia"/>
          <w:color w:val="auto"/>
          <w:sz w:val="24"/>
        </w:rPr>
        <w:t>进行无害化处理</w:t>
      </w:r>
      <w:r>
        <w:rPr>
          <w:rFonts w:hint="default" w:ascii="Times New Roman" w:hAnsi="Times New Roman" w:eastAsia="宋体" w:cs="Times New Roman"/>
          <w:color w:val="auto"/>
          <w:lang w:eastAsia="zh-CN"/>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废离子交换树脂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电锅炉软化水采用离子交换树脂，每三年更换一次</w:t>
      </w:r>
      <w:r>
        <w:rPr>
          <w:rFonts w:hint="default" w:ascii="Times New Roman" w:hAnsi="Times New Roman" w:eastAsia="宋体" w:cs="Times New Roman"/>
          <w:color w:val="auto"/>
          <w:lang w:eastAsia="zh-CN"/>
        </w:rPr>
        <w:t>；根据查阅《国家危险废物名录》（</w:t>
      </w:r>
      <w:r>
        <w:rPr>
          <w:rFonts w:hint="default" w:ascii="Times New Roman" w:hAnsi="Times New Roman" w:eastAsia="宋体" w:cs="Times New Roman"/>
          <w:color w:val="auto"/>
          <w:lang w:val="en-US" w:eastAsia="zh-CN"/>
        </w:rPr>
        <w:t>2021年</w:t>
      </w:r>
      <w:r>
        <w:rPr>
          <w:rFonts w:hint="default" w:ascii="Times New Roman" w:hAnsi="Times New Roman" w:eastAsia="宋体" w:cs="Times New Roman"/>
          <w:color w:val="auto"/>
          <w:lang w:eastAsia="zh-CN"/>
        </w:rPr>
        <w:t>），锅炉软化水制备中产生的离子交换树脂不属于危险废物，属于一般固废，</w:t>
      </w:r>
      <w:r>
        <w:rPr>
          <w:rFonts w:hint="eastAsia" w:cs="Times New Roman"/>
          <w:color w:val="auto"/>
          <w:lang w:eastAsia="zh-CN"/>
        </w:rPr>
        <w:t>由厂家回收</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w:t>
      </w:r>
      <w:r>
        <w:rPr>
          <w:rFonts w:hint="eastAsia" w:cs="Times New Roman"/>
          <w:color w:val="auto"/>
          <w:lang w:val="en-US" w:eastAsia="zh-CN"/>
        </w:rPr>
        <w:t>4</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医疗垃圾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项目配套设置兽医室，负责日常保健及疾病治疗，运营期在检疫、治疗过程中会产生废弃医疗试剂、废纱布等医疗垃圾，根据《国家危险废物名录》</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2021年</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的规定，危废类别为HW01医疗废物，编号为900-001-01，通过类比同类型项目的医疗垃圾产生情况，产生量约40kg/月（0.48t/a）。</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医疗垃圾主要为一次性医疗用品及一次性医疗器械，携带有病原微生物，易引发感染性疾病的传播，属于感染性医疗废物，集中收集单独定点存放，根据《医疗废物管理条例》中的要求，本项目设置医疗废物临时储存间，医疗废物经临时储存后交由有医疗废物处理资质的单位进行集中清运、处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项目危险废物暂存间面积设置为10m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内部分隔为医疗废物暂存间及其他暂存间，危废暂存间建设按照《危险废物贮存污染控制标准》（GB18597-2001）、《医疗卫生机构医疗废物管理办法》和《危险废物污染防治技术政策》的要求设置。暂存间地面铺HDPE膜防渗，渗透系数</w:t>
      </w:r>
      <w:r>
        <w:rPr>
          <w:rFonts w:hint="default" w:ascii="Times New Roman" w:hAnsi="Times New Roman" w:eastAsia="宋体" w:cs="Times New Roman"/>
          <w:color w:val="auto"/>
          <w:szCs w:val="21"/>
        </w:rPr>
        <w:t>小于</w:t>
      </w:r>
      <w:r>
        <w:rPr>
          <w:rFonts w:hint="default" w:ascii="Times New Roman" w:hAnsi="Times New Roman" w:eastAsia="宋体" w:cs="Times New Roman"/>
          <w:color w:val="auto"/>
        </w:rPr>
        <w:t>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cm/s。暂存间的地面与裙脚要用坚固、防渗的材料建造，建筑材料必须与危险废物相容。常温下贮存期不得超过1天，于5</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以下冷藏的，不得超过7天。危险废物垃圾集中收集暂存、转移委外处理过程中，建设单位须按照相关规定填报转移联单，做好台账。</w:t>
      </w:r>
    </w:p>
    <w:p>
      <w:pPr>
        <w:ind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w:t>
      </w:r>
      <w:r>
        <w:rPr>
          <w:rFonts w:hint="eastAsia" w:cs="Times New Roman"/>
          <w:color w:val="auto"/>
          <w:lang w:val="en-US" w:eastAsia="zh-CN"/>
        </w:rPr>
        <w:t>5</w:t>
      </w:r>
      <w:r>
        <w:rPr>
          <w:rFonts w:hint="default" w:ascii="Times New Roman" w:hAnsi="Times New Roman" w:eastAsia="宋体" w:cs="Times New Roman"/>
          <w:color w:val="auto"/>
          <w:lang w:eastAsia="zh-CN"/>
        </w:rPr>
        <w:t>）</w:t>
      </w:r>
      <w:r>
        <w:rPr>
          <w:rFonts w:hint="eastAsia" w:cs="Times New Roman"/>
          <w:color w:val="auto"/>
          <w:lang w:val="en-US" w:eastAsia="zh-CN"/>
        </w:rPr>
        <w:t>生活垃圾</w:t>
      </w:r>
    </w:p>
    <w:p>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rPr>
        <w:t>生活垃圾按0.5kg/人</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rPr>
        <w:t>d计，项目劳动定员50人，产生量</w:t>
      </w:r>
      <w:r>
        <w:rPr>
          <w:rFonts w:hint="eastAsia" w:cs="Times New Roman"/>
          <w:color w:val="auto"/>
          <w:lang w:val="en-US" w:eastAsia="zh-CN"/>
        </w:rPr>
        <w:t>9.125</w:t>
      </w:r>
      <w:r>
        <w:rPr>
          <w:rFonts w:hint="default" w:ascii="Times New Roman" w:hAnsi="Times New Roman" w:eastAsia="宋体" w:cs="Times New Roman"/>
          <w:color w:val="auto"/>
        </w:rPr>
        <w:t>t/a（</w:t>
      </w:r>
      <w:r>
        <w:rPr>
          <w:rFonts w:hint="eastAsia" w:cs="Times New Roman"/>
          <w:color w:val="auto"/>
          <w:lang w:val="en-US" w:eastAsia="zh-CN"/>
        </w:rPr>
        <w:t>2</w:t>
      </w:r>
      <w:r>
        <w:rPr>
          <w:rFonts w:hint="default" w:ascii="Times New Roman" w:hAnsi="Times New Roman" w:eastAsia="宋体" w:cs="Times New Roman"/>
          <w:color w:val="auto"/>
        </w:rPr>
        <w:t>5kg/d）。生活垃圾</w:t>
      </w:r>
      <w:r>
        <w:rPr>
          <w:rFonts w:hint="default" w:ascii="Times New Roman" w:hAnsi="Times New Roman" w:eastAsia="宋体" w:cs="Times New Roman"/>
          <w:color w:val="auto"/>
          <w:lang w:bidi="zh-CN"/>
        </w:rPr>
        <w:t>清运到环卫部门指定的地点集中处理</w:t>
      </w:r>
      <w:r>
        <w:rPr>
          <w:rFonts w:hint="default" w:ascii="Times New Roman" w:hAnsi="Times New Roman" w:eastAsia="宋体" w:cs="Times New Roman"/>
          <w:color w:val="auto"/>
          <w:highlight w:val="none"/>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根据以上的分析可知，本项目所采取的固体废物污染物防治措施是可行的。</w:t>
      </w:r>
    </w:p>
    <w:p>
      <w:pPr>
        <w:pStyle w:val="6"/>
        <w:rPr>
          <w:rFonts w:hint="default" w:ascii="Times New Roman" w:hAnsi="Times New Roman" w:eastAsia="宋体" w:cs="Times New Roman"/>
          <w:color w:val="auto"/>
        </w:rPr>
      </w:pPr>
      <w:bookmarkStart w:id="490" w:name="_Toc621"/>
      <w:r>
        <w:rPr>
          <w:rFonts w:hint="default" w:ascii="Times New Roman" w:hAnsi="Times New Roman" w:eastAsia="宋体" w:cs="Times New Roman"/>
          <w:color w:val="auto"/>
        </w:rPr>
        <w:t>7.7.2危险废物管理</w:t>
      </w:r>
      <w:bookmarkEnd w:id="49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1）危险废物环境管理相关规定</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危险废物环境管理应按照《中华人民共和国固体废物污染环境防治法》、《国家危险废物名录》、《危险废物贮存污染控制标准》、《危险废物污染防治技术政策》等相关规定执行，对危险废物的产生、收集、运输、分类、检测、包装、综合利用、贮存和处理等进行全过程控制，使危险废物减量化、资源化和无害化。</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项目建设单位必须执行国家的有关法律、法规，自觉接受环保部门的监督和日常检查，在危险废物管理工作中应做到：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①在项目审批登记时应填写《危险废物申报单》，正式投产后，应输理危险废物申报登记手续，填写《危险废物申报登记》，当生产或废物产生情况与申报登记发生较大变化时应及时办理登记手续。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②必须按照有关危险废物包装、标识及贮存技术规范的要求建设危险废物污染防治设施。收集、贮存、运输、利用、处置危险废物的设施、场所，必须设置危险废物识别标志。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③制定危险废物管理计划：内容齐全，危险废物的产生环节、种类、危害特性、产生量、利用处置方式描述清晰：报环保部门备案。</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④应建立危险废物岗位操作管理制度。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⑤必须将其危险废物交给有“危险废物经营许可证”的单位进行运输、利用、处理、处置，严禁擅自倾倒、混入生活垃圾中处置。</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⑥与危险废物处理处置单位签订废物处理合同。</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7 \* GB3 \* MERGEFORMAT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⑦</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转移危险废物时需严格按照要求填写《危险废物转移联单》、《危险废物管理手册》季报表。制定培训计划，并开展相关培训。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根据上述分析可知，项目产生的危险废物经过合理的处理后，不外排，实现了固体废物零排放。</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本项目在采取有效的措施后，能利用的废物均被有效利用，不能利用的固废也均能得到妥善处置，实现了固体废物零排放，因此本项目排放的固体废物经上述处理后不会对周围环境产生影响。</w:t>
      </w:r>
    </w:p>
    <w:p>
      <w:pPr>
        <w:pStyle w:val="5"/>
        <w:rPr>
          <w:rFonts w:hint="default" w:ascii="Times New Roman" w:hAnsi="Times New Roman" w:eastAsia="宋体" w:cs="Times New Roman"/>
          <w:color w:val="auto"/>
        </w:rPr>
      </w:pPr>
      <w:bookmarkStart w:id="491" w:name="_Toc471227807"/>
      <w:bookmarkStart w:id="492" w:name="_Toc25506"/>
      <w:r>
        <w:rPr>
          <w:rFonts w:hint="default" w:ascii="Times New Roman" w:hAnsi="Times New Roman" w:eastAsia="宋体" w:cs="Times New Roman"/>
          <w:color w:val="auto"/>
        </w:rPr>
        <w:t>7.8粪污资源化利用措施可行性分析</w:t>
      </w:r>
      <w:bookmarkEnd w:id="491"/>
      <w:bookmarkEnd w:id="49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畜禽养殖污染防治管理办法》(国家环境保护总局9号令)、《畜禽养殖业污染物排放标准》(GB18596-2001)、《畜禽养殖业污染防治技术规范》(HJ/T81－2001)、《畜禽养殖业污染治理工程技术规范》（HJ497-2009）等的相关要求，畜禽养殖业的污染防治应优先考虑综合利用和资源化的技术路线，以“资源化利用、容量化控制、减量化处置、无害化处理、生态化发展、低廉化治理”为原则，以管促制，化害为利，变废为宝，将畜禽养殖产生的废物转化为种植业可利用的资源，最终实现种养结合、互为促进的良性生态农业生产链，促进农业生产和生态环境的协调发展。</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本次评价的环境保护措施主要从“资源化利用、容量化控制、减量化处置、无害化处理、生态化发展、低廉化治理”等方面进行经济、技术论证。</w:t>
      </w:r>
    </w:p>
    <w:p>
      <w:pPr>
        <w:pStyle w:val="6"/>
        <w:rPr>
          <w:rFonts w:hint="default" w:ascii="Times New Roman" w:hAnsi="Times New Roman" w:eastAsia="宋体" w:cs="Times New Roman"/>
          <w:color w:val="auto"/>
        </w:rPr>
      </w:pPr>
      <w:bookmarkStart w:id="493" w:name="_Toc25932"/>
      <w:r>
        <w:rPr>
          <w:rFonts w:hint="default" w:ascii="Times New Roman" w:hAnsi="Times New Roman" w:eastAsia="宋体" w:cs="Times New Roman"/>
          <w:color w:val="auto"/>
        </w:rPr>
        <w:t>7.8.1粪污资源化利用可行性</w:t>
      </w:r>
      <w:bookmarkEnd w:id="49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项目产生的养殖废水（猪尿、</w:t>
      </w:r>
      <w:r>
        <w:rPr>
          <w:rFonts w:hint="eastAsia" w:cs="Times New Roman"/>
          <w:color w:val="auto"/>
          <w:lang w:eastAsia="zh-CN"/>
        </w:rPr>
        <w:t>猪舍粪污管道冲洗废水</w:t>
      </w:r>
      <w:r>
        <w:rPr>
          <w:rFonts w:hint="default" w:ascii="Times New Roman" w:hAnsi="Times New Roman" w:eastAsia="宋体" w:cs="Times New Roman"/>
          <w:color w:val="auto"/>
        </w:rPr>
        <w:t>、员工生活污水）经氧化塘处理后，全部用于场区周边配套的农田施肥；</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猪粪便出售有机肥生产厂家进行资源化利用。</w:t>
      </w:r>
    </w:p>
    <w:p>
      <w:pPr>
        <w:pStyle w:val="6"/>
        <w:rPr>
          <w:rFonts w:hint="default" w:ascii="Times New Roman" w:hAnsi="Times New Roman" w:eastAsia="宋体" w:cs="Times New Roman"/>
          <w:color w:val="auto"/>
        </w:rPr>
      </w:pPr>
      <w:bookmarkStart w:id="494" w:name="_Toc4899"/>
      <w:r>
        <w:rPr>
          <w:rFonts w:hint="default" w:ascii="Times New Roman" w:hAnsi="Times New Roman" w:eastAsia="宋体" w:cs="Times New Roman"/>
          <w:color w:val="auto"/>
        </w:rPr>
        <w:t>7.8.2粪污农肥还田利用合规性分析</w:t>
      </w:r>
      <w:bookmarkEnd w:id="494"/>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根据相关管理办法、排放标准、技术规范及防治政策要求，项目粪便农肥还田利用合规性分析，见下表。</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表7.8-2    粪便农肥还田利用合规性分析</w:t>
      </w:r>
    </w:p>
    <w:tbl>
      <w:tblPr>
        <w:tblStyle w:val="34"/>
        <w:tblW w:w="86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3634"/>
        <w:gridCol w:w="31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政策法规</w:t>
            </w:r>
          </w:p>
        </w:tc>
        <w:tc>
          <w:tcPr>
            <w:tcW w:w="363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相关条款及规定</w:t>
            </w:r>
          </w:p>
        </w:tc>
        <w:tc>
          <w:tcPr>
            <w:tcW w:w="31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符合性分析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《畜禽养殖业污染物排放标准》(GB18596-2001)</w:t>
            </w:r>
          </w:p>
        </w:tc>
        <w:tc>
          <w:tcPr>
            <w:tcW w:w="363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畜禽养殖业应积极通过废水和粪便的还田或其他措施对所排放的污染物进行综合利用，实现污染物的资源化。</w:t>
            </w:r>
          </w:p>
        </w:tc>
        <w:tc>
          <w:tcPr>
            <w:tcW w:w="31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项目采用“（液）厌氧发酵+土地消纳”的种养结合的粪便农肥资源化利用处理模式，每半年还田一次，实现粪便的资源化综合利用，化害为利，变废为宝，符合相关要求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《畜禽规模养殖污染防治条例》（国务院令第643号）</w:t>
            </w:r>
          </w:p>
        </w:tc>
        <w:tc>
          <w:tcPr>
            <w:tcW w:w="363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国家鼓励和支持采取种植和养殖相结合的方式消纳利用畜禽养殖废弃物，促进畜禽粪便、污水等废弃物就地就近利用。</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将畜禽粪便、污水、沼渣、沼液等用作肥料的，应当与土地的消纳能力相适应，并采取有效措施，消除可能引起传染病的微生物，防止污染环境和传播疫病。</w:t>
            </w:r>
          </w:p>
        </w:tc>
        <w:tc>
          <w:tcPr>
            <w:tcW w:w="31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项目采用“（液）厌氧发酵+土地消纳”的种养结合的粪便农肥资源化利用处理模式，每半年还田一次，</w:t>
            </w:r>
            <w:r>
              <w:rPr>
                <w:rFonts w:hint="default" w:ascii="Times New Roman" w:hAnsi="Times New Roman" w:eastAsia="宋体" w:cs="Times New Roman"/>
                <w:color w:val="auto"/>
                <w:sz w:val="21"/>
                <w:szCs w:val="21"/>
                <w:highlight w:val="none"/>
                <w:lang w:eastAsia="zh-CN"/>
              </w:rPr>
              <w:t>周边</w:t>
            </w:r>
            <w:r>
              <w:rPr>
                <w:rFonts w:hint="default" w:ascii="Times New Roman" w:hAnsi="Times New Roman" w:eastAsia="宋体" w:cs="Times New Roman"/>
                <w:color w:val="auto"/>
                <w:sz w:val="21"/>
                <w:szCs w:val="21"/>
                <w:highlight w:val="none"/>
              </w:rPr>
              <w:t>配套</w:t>
            </w:r>
            <w:r>
              <w:rPr>
                <w:rFonts w:hint="default" w:ascii="Times New Roman" w:hAnsi="Times New Roman" w:eastAsia="宋体" w:cs="Times New Roman"/>
                <w:color w:val="auto"/>
                <w:sz w:val="21"/>
                <w:szCs w:val="21"/>
                <w:highlight w:val="none"/>
                <w:lang w:eastAsia="zh-CN"/>
              </w:rPr>
              <w:t>有1</w:t>
            </w:r>
            <w:r>
              <w:rPr>
                <w:rFonts w:hint="eastAsia" w:cs="Times New Roman"/>
                <w:color w:val="auto"/>
                <w:sz w:val="21"/>
                <w:szCs w:val="21"/>
                <w:highlight w:val="none"/>
                <w:lang w:val="en-US" w:eastAsia="zh-CN"/>
              </w:rPr>
              <w:t>00</w:t>
            </w:r>
            <w:r>
              <w:rPr>
                <w:rFonts w:hint="default" w:ascii="Times New Roman" w:hAnsi="Times New Roman" w:eastAsia="宋体" w:cs="Times New Roman"/>
                <w:color w:val="auto"/>
                <w:sz w:val="21"/>
                <w:szCs w:val="21"/>
                <w:highlight w:val="none"/>
                <w:lang w:eastAsia="zh-CN"/>
              </w:rPr>
              <w:t>0亩</w:t>
            </w:r>
            <w:r>
              <w:rPr>
                <w:rFonts w:hint="default" w:ascii="Times New Roman" w:hAnsi="Times New Roman" w:eastAsia="宋体" w:cs="Times New Roman"/>
                <w:color w:val="auto"/>
                <w:sz w:val="21"/>
                <w:szCs w:val="21"/>
                <w:highlight w:val="none"/>
              </w:rPr>
              <w:t>消纳土地，</w:t>
            </w:r>
            <w:r>
              <w:rPr>
                <w:rFonts w:hint="default" w:ascii="Times New Roman" w:hAnsi="Times New Roman" w:eastAsia="宋体" w:cs="Times New Roman"/>
                <w:color w:val="auto"/>
                <w:sz w:val="21"/>
                <w:szCs w:val="21"/>
              </w:rPr>
              <w:t>土地消纳能力与粪污产生量相适应，符合相关要求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《关于进一步贯彻落实《畜禽规模养殖污染防治条例》促进养殖废弃物综合利用加强污染防治的通知》</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（内农牧畜发（2016）228号）</w:t>
            </w:r>
          </w:p>
        </w:tc>
        <w:tc>
          <w:tcPr>
            <w:tcW w:w="363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按照生态文明建设的总体要求，全面贯彻落实《条例》和“水十条”要求，坚持源头减量、过程控制、综合利用相结合，以提高畜禽养殖废弃物综合利用水平为核心，以农牧结合、种养平衡、生态循环为基本要求，加强规划引导、优化区域布局、健全政策体系、加强科技运用、规范行业管理、强化指导服务。加强试点示范和典型引领，大力推广废弃物产生减量化、处理无害化、利用资源化。</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因地制宜发展多种形式的畜禽生态养殖，大力推行种养结合，打通种养业协调发展通道，促进循环利用、变废为宝。</w:t>
            </w:r>
          </w:p>
        </w:tc>
        <w:tc>
          <w:tcPr>
            <w:tcW w:w="31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项目采用“（液）厌氧发酵+土地消纳”的种养结合的粪便农肥资源化利用处理模式，每半年还田一次，配套消纳土地</w:t>
            </w:r>
            <w:r>
              <w:rPr>
                <w:rFonts w:hint="default" w:ascii="Times New Roman" w:hAnsi="Times New Roman" w:eastAsia="宋体" w:cs="Times New Roman"/>
                <w:color w:val="auto"/>
                <w:sz w:val="21"/>
                <w:szCs w:val="21"/>
                <w:lang w:eastAsia="zh-CN"/>
              </w:rPr>
              <w:t>1</w:t>
            </w:r>
            <w:r>
              <w:rPr>
                <w:rFonts w:hint="eastAsia" w:cs="Times New Roman"/>
                <w:color w:val="auto"/>
                <w:sz w:val="21"/>
                <w:szCs w:val="21"/>
                <w:lang w:val="en-US" w:eastAsia="zh-CN"/>
              </w:rPr>
              <w:t>0</w:t>
            </w:r>
            <w:r>
              <w:rPr>
                <w:rFonts w:hint="default" w:ascii="Times New Roman" w:hAnsi="Times New Roman" w:eastAsia="宋体" w:cs="Times New Roman"/>
                <w:color w:val="auto"/>
                <w:sz w:val="21"/>
                <w:szCs w:val="21"/>
                <w:lang w:eastAsia="zh-CN"/>
              </w:rPr>
              <w:t>00亩</w:t>
            </w:r>
            <w:r>
              <w:rPr>
                <w:rFonts w:hint="default" w:ascii="Times New Roman" w:hAnsi="Times New Roman" w:eastAsia="宋体" w:cs="Times New Roman"/>
                <w:color w:val="auto"/>
                <w:sz w:val="21"/>
                <w:szCs w:val="21"/>
              </w:rPr>
              <w:t>，土地消纳能力与粪污产生量相适应，种养平衡；</w:t>
            </w:r>
          </w:p>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实现粪便的资源化综合利用，化害为利，变废为宝，符合相关要求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畜禽养殖业污染治理工程技术规范（HJ497－2009）</w:t>
            </w:r>
          </w:p>
        </w:tc>
        <w:tc>
          <w:tcPr>
            <w:tcW w:w="3634"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无害化处理后进行还田综合利用的，粪肥用量不能超过作物当年生长所需的养分量。在确定粪肥的最佳施用量时，应对土壤肥力和粪肥肥效进行测试评价，并符合当地环境容量的要求。同时应有一倍以上的土地用于轮作施肥，不得长期施肥于同一土地。</w:t>
            </w:r>
          </w:p>
        </w:tc>
        <w:tc>
          <w:tcPr>
            <w:tcW w:w="3186" w:type="dxa"/>
            <w:vAlign w:val="center"/>
          </w:tcPr>
          <w:p>
            <w:pPr>
              <w:pStyle w:val="58"/>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项目每半年还田一次，粪肥用量不超过作物当年生长所需的养分量，配套消纳土地</w:t>
            </w:r>
            <w:r>
              <w:rPr>
                <w:rFonts w:hint="default" w:ascii="Times New Roman" w:hAnsi="Times New Roman" w:eastAsia="宋体" w:cs="Times New Roman"/>
                <w:color w:val="auto"/>
                <w:sz w:val="21"/>
                <w:szCs w:val="21"/>
                <w:lang w:eastAsia="zh-CN"/>
              </w:rPr>
              <w:t>1</w:t>
            </w:r>
            <w:r>
              <w:rPr>
                <w:rFonts w:hint="eastAsia" w:cs="Times New Roman"/>
                <w:color w:val="auto"/>
                <w:sz w:val="21"/>
                <w:szCs w:val="21"/>
                <w:lang w:val="en-US" w:eastAsia="zh-CN"/>
              </w:rPr>
              <w:t>0</w:t>
            </w:r>
            <w:r>
              <w:rPr>
                <w:rFonts w:hint="default" w:ascii="Times New Roman" w:hAnsi="Times New Roman" w:eastAsia="宋体" w:cs="Times New Roman"/>
                <w:color w:val="auto"/>
                <w:sz w:val="21"/>
                <w:szCs w:val="21"/>
                <w:lang w:eastAsia="zh-CN"/>
              </w:rPr>
              <w:t>00亩</w:t>
            </w:r>
            <w:r>
              <w:rPr>
                <w:rFonts w:hint="default" w:ascii="Times New Roman" w:hAnsi="Times New Roman" w:eastAsia="宋体" w:cs="Times New Roman"/>
                <w:color w:val="auto"/>
                <w:sz w:val="21"/>
                <w:szCs w:val="21"/>
              </w:rPr>
              <w:t>，实现粪便的资源化综合利用，化害为利，变废为宝，符合相关要求</w:t>
            </w:r>
          </w:p>
        </w:tc>
      </w:tr>
    </w:tbl>
    <w:p>
      <w:pPr>
        <w:ind w:firstLine="480"/>
        <w:rPr>
          <w:rFonts w:hint="default" w:ascii="Times New Roman" w:hAnsi="Times New Roman" w:eastAsia="宋体" w:cs="Times New Roman"/>
          <w:color w:val="auto"/>
          <w:shd w:val="clear" w:color="auto" w:fill="FFFFFF"/>
        </w:rPr>
      </w:pPr>
      <w:r>
        <w:rPr>
          <w:rFonts w:hint="default" w:ascii="Times New Roman" w:hAnsi="Times New Roman" w:eastAsia="宋体" w:cs="Times New Roman"/>
          <w:color w:val="auto"/>
          <w:shd w:val="clear" w:color="auto" w:fill="FFFFFF"/>
        </w:rPr>
        <w:t>项目种养结合的</w:t>
      </w:r>
      <w:r>
        <w:rPr>
          <w:rFonts w:hint="eastAsia" w:cs="Times New Roman"/>
          <w:color w:val="auto"/>
          <w:shd w:val="clear" w:color="auto" w:fill="FFFFFF"/>
          <w:lang w:eastAsia="zh-CN"/>
        </w:rPr>
        <w:t>养猪</w:t>
      </w:r>
      <w:r>
        <w:rPr>
          <w:rFonts w:hint="default" w:ascii="Times New Roman" w:hAnsi="Times New Roman" w:eastAsia="宋体" w:cs="Times New Roman"/>
          <w:color w:val="auto"/>
          <w:shd w:val="clear" w:color="auto" w:fill="FFFFFF"/>
        </w:rPr>
        <w:t>模式符合《</w:t>
      </w:r>
      <w:r>
        <w:rPr>
          <w:rFonts w:hint="default" w:ascii="Times New Roman" w:hAnsi="Times New Roman" w:eastAsia="宋体" w:cs="Times New Roman"/>
          <w:color w:val="auto"/>
        </w:rPr>
        <w:t>畜禽规模养殖污染防治条例</w:t>
      </w:r>
      <w:r>
        <w:rPr>
          <w:rFonts w:hint="default" w:ascii="Times New Roman" w:hAnsi="Times New Roman" w:eastAsia="宋体" w:cs="Times New Roman"/>
          <w:color w:val="auto"/>
          <w:shd w:val="clear" w:color="auto" w:fill="FFFFFF"/>
        </w:rPr>
        <w:t>》精神和要求，积极推进种养结合、种养平衡，发展养殖业＋种植业复合型产业模式，拉长产业链条，提高粪便等废弃物资源的综合利用水平，增加盈利点，提升产业综合效益。</w:t>
      </w:r>
    </w:p>
    <w:p>
      <w:pPr>
        <w:pStyle w:val="6"/>
        <w:rPr>
          <w:rFonts w:hint="default" w:ascii="Times New Roman" w:hAnsi="Times New Roman" w:eastAsia="宋体" w:cs="Times New Roman"/>
          <w:color w:val="auto"/>
        </w:rPr>
      </w:pPr>
      <w:bookmarkStart w:id="495" w:name="_Toc18701"/>
      <w:r>
        <w:rPr>
          <w:rFonts w:hint="default" w:ascii="Times New Roman" w:hAnsi="Times New Roman" w:eastAsia="宋体" w:cs="Times New Roman"/>
          <w:color w:val="auto"/>
        </w:rPr>
        <w:t>7.8.3粪污资源化工艺可行性分析</w:t>
      </w:r>
      <w:bookmarkEnd w:id="495"/>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7.8.3.</w:t>
      </w:r>
      <w:r>
        <w:rPr>
          <w:rFonts w:hint="eastAsia" w:cs="Times New Roman"/>
          <w:color w:val="auto"/>
          <w:lang w:val="en-US" w:eastAsia="zh-CN"/>
        </w:rPr>
        <w:t>1</w:t>
      </w:r>
      <w:r>
        <w:rPr>
          <w:rFonts w:hint="default" w:ascii="Times New Roman" w:hAnsi="Times New Roman" w:eastAsia="宋体" w:cs="Times New Roman"/>
          <w:color w:val="auto"/>
        </w:rPr>
        <w:t>液体厌氧发酵工艺可行分析</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1、畜禽养殖废水处理后作为液态肥料的政策可行性</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保部、农业部2016年10月联合印发的《畜禽养殖禁养区划定技术指南》明确指出，养殖场将畜禽粪便等废弃物依法合规进行还田等利用不造成环境污染的，不属于排放污染物。畜禽粪便、养殖废水、沼渣沼液等经过无害化处理用作肥料还田，符合法律法规以及国家和地方相关标准规范的要求，不造成环境污染的，不属于排放污染物。</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国务院办公厅2017年6月出具的《关于加快推进畜禽养殖废弃物资源化利用的意见》明确表明：畜禽粪污处理原则为因地制宜、多元利用，根据不同区域、不同畜种、不同规模，肥料化利用为基础，采取经济高效适用的处理规模，宜肥则肥、宜气则气，宜电则电，实现粪污就地就近利用；新建或改扩建畜禽规模养殖场，应突出养分综合利用，配套与养殖规模和处理工艺相适应的粪污消纳用地，配备必要的粪污收集、贮存、处理、利用设施；根据不同资源条件、不同畜种、不同规模，推广粪污全量收集还田利用、专业化能源利用、固体粪便肥料化利用、异位发酵床、粪便回用、污水肥料利用、污水达标排放等经济实用技术模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2017年6月农业部、财政部发布的《关于做好畜禽粪污资源化利用项目实施工作的通知》指出，要坚持种养结合，统筹考虑资源环境承载能力、畜产品供给保障能力、畜禽粪污资源化利用能力，科学规划农牧业发展布局，推进种养结合、循环发展，实现区域内种养基本平衡，畜禽粪污就地就近消纳；以种养结合为路径，建设相对完善的规模养殖场粪污处理、畜禽粪污集中处理、农用有机肥生产、沼液储运等配套设施，打通粪污肥料化、能源化利用通道，实现畜禽粪污就地就近消纳。</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本项目养殖规模</w:t>
      </w:r>
      <w:r>
        <w:rPr>
          <w:rFonts w:hint="eastAsia" w:cs="Times New Roman"/>
          <w:color w:val="auto"/>
          <w:lang w:val="en-US" w:eastAsia="zh-CN"/>
        </w:rPr>
        <w:t>存栏8800头育肥猪</w:t>
      </w:r>
      <w:r>
        <w:rPr>
          <w:rFonts w:hint="default" w:ascii="Times New Roman" w:hAnsi="Times New Roman" w:eastAsia="宋体" w:cs="Times New Roman"/>
          <w:color w:val="auto"/>
        </w:rPr>
        <w:t>，属于规模化养殖场，养殖废水经</w:t>
      </w:r>
      <w:r>
        <w:rPr>
          <w:rFonts w:hint="default" w:ascii="Times New Roman" w:hAnsi="Times New Roman" w:eastAsia="宋体" w:cs="Times New Roman"/>
          <w:color w:val="auto"/>
          <w:lang w:eastAsia="zh-CN"/>
        </w:rPr>
        <w:t>氧化塘</w:t>
      </w:r>
      <w:r>
        <w:rPr>
          <w:rFonts w:hint="default" w:ascii="Times New Roman" w:hAnsi="Times New Roman" w:eastAsia="宋体" w:cs="Times New Roman"/>
          <w:color w:val="auto"/>
        </w:rPr>
        <w:t>厌氧发酵</w:t>
      </w:r>
      <w:r>
        <w:rPr>
          <w:rFonts w:hint="default" w:ascii="Times New Roman" w:hAnsi="Times New Roman" w:eastAsia="宋体" w:cs="Times New Roman"/>
          <w:color w:val="auto"/>
          <w:lang w:eastAsia="zh-CN"/>
        </w:rPr>
        <w:t>后作为</w:t>
      </w:r>
      <w:r>
        <w:rPr>
          <w:rFonts w:hint="default" w:ascii="Times New Roman" w:hAnsi="Times New Roman" w:eastAsia="宋体" w:cs="Times New Roman"/>
          <w:color w:val="auto"/>
        </w:rPr>
        <w:t>肥料还田，因此不属于污染物排放。</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2、项目工艺方案的可行性分析</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依据《关于印发&lt;内蒙古自治区畜禽养殖主要污染物减排项目建设技术指南（试行）&gt;的通知》（内环发[2014]83号）中的要求，本项目为规模较大的养殖场，鼓励选用模式</w:t>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 5 \* GB3 \* MERGEFORMAT </w:instrText>
      </w:r>
      <w:r>
        <w:rPr>
          <w:rFonts w:hint="default" w:ascii="Times New Roman" w:hAnsi="Times New Roman" w:eastAsia="宋体" w:cs="Times New Roman"/>
          <w:color w:val="auto"/>
          <w:sz w:val="24"/>
          <w:szCs w:val="24"/>
        </w:rPr>
        <w:fldChar w:fldCharType="separate"/>
      </w:r>
      <w:r>
        <w:rPr>
          <w:color w:val="auto"/>
        </w:rPr>
        <w:t>⑤</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防雨防渗+粪便堆放+</w:t>
      </w:r>
      <w:r>
        <w:rPr>
          <w:rFonts w:hint="default" w:ascii="Times New Roman" w:hAnsi="Times New Roman" w:eastAsia="宋体" w:cs="Times New Roman"/>
          <w:color w:val="auto"/>
          <w:sz w:val="24"/>
          <w:szCs w:val="24"/>
        </w:rPr>
        <w:t>污水厌氧处理</w:t>
      </w:r>
      <w:r>
        <w:rPr>
          <w:rFonts w:hint="eastAsia" w:cs="Times New Roman"/>
          <w:color w:val="auto"/>
          <w:sz w:val="24"/>
          <w:szCs w:val="24"/>
          <w:lang w:val="en-US" w:eastAsia="zh-CN"/>
        </w:rPr>
        <w:t>或储存</w:t>
      </w:r>
      <w:r>
        <w:rPr>
          <w:rFonts w:hint="default" w:ascii="Times New Roman" w:hAnsi="Times New Roman" w:eastAsia="宋体" w:cs="Times New Roman"/>
          <w:color w:val="auto"/>
          <w:sz w:val="24"/>
          <w:szCs w:val="24"/>
        </w:rPr>
        <w:t>+消纳土地），但结合目前内蒙古地区已采用厌氧处理及沼气工程的粪污处理工艺的大型养殖场，该模式不适用于北方地区，厌氧及沼气工程在北方地区冬季气温低无法运行，还需采用采暖锅炉对反应系统进行加热，使粪污处理变的复杂，同时增加了投资，因此本项目废水采用“</w:t>
      </w:r>
      <w:r>
        <w:rPr>
          <w:rFonts w:hint="eastAsia" w:cs="Times New Roman"/>
          <w:color w:val="auto"/>
          <w:sz w:val="24"/>
          <w:szCs w:val="24"/>
          <w:lang w:val="en-US" w:eastAsia="zh-CN"/>
        </w:rPr>
        <w:t>化粪</w:t>
      </w:r>
      <w:r>
        <w:rPr>
          <w:rFonts w:hint="default" w:ascii="Times New Roman" w:hAnsi="Times New Roman" w:eastAsia="宋体" w:cs="Times New Roman"/>
          <w:color w:val="auto"/>
          <w:sz w:val="24"/>
          <w:szCs w:val="24"/>
        </w:rPr>
        <w:t>池+氧化塘（厌氧发酵）+消纳土地”模式进行农业利用。本项目处理工艺采用</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厌氧发酵</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rPr>
        <w:t>消纳土地</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的模式，经</w:t>
      </w:r>
      <w:r>
        <w:rPr>
          <w:rFonts w:hint="eastAsia" w:cs="Times New Roman"/>
          <w:color w:val="auto"/>
          <w:sz w:val="24"/>
          <w:szCs w:val="24"/>
          <w:lang w:eastAsia="zh-CN"/>
        </w:rPr>
        <w:t>氧化塘</w:t>
      </w:r>
      <w:r>
        <w:rPr>
          <w:rFonts w:hint="default" w:ascii="Times New Roman" w:hAnsi="Times New Roman" w:eastAsia="宋体" w:cs="Times New Roman"/>
          <w:color w:val="auto"/>
          <w:sz w:val="24"/>
          <w:szCs w:val="24"/>
        </w:rPr>
        <w:t>厌氧发酵后作为液肥施用于周边居民种植的农田。</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3、本项目污水处理工艺可行性分析</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本次项目建成后，场区污水处理工艺为“</w:t>
      </w:r>
      <w:r>
        <w:rPr>
          <w:rFonts w:hint="eastAsia" w:cs="Times New Roman"/>
          <w:color w:val="auto"/>
          <w:sz w:val="24"/>
          <w:szCs w:val="24"/>
          <w:lang w:val="en-US" w:eastAsia="zh-CN"/>
        </w:rPr>
        <w:t>防雨防渗+粪便堆放+</w:t>
      </w:r>
      <w:r>
        <w:rPr>
          <w:rFonts w:hint="default" w:ascii="Times New Roman" w:hAnsi="Times New Roman" w:eastAsia="宋体" w:cs="Times New Roman"/>
          <w:color w:val="auto"/>
          <w:sz w:val="24"/>
          <w:szCs w:val="24"/>
        </w:rPr>
        <w:t>污水厌氧处理</w:t>
      </w:r>
      <w:r>
        <w:rPr>
          <w:rFonts w:hint="eastAsia" w:cs="Times New Roman"/>
          <w:color w:val="auto"/>
          <w:sz w:val="24"/>
          <w:szCs w:val="24"/>
          <w:lang w:val="en-US" w:eastAsia="zh-CN"/>
        </w:rPr>
        <w:t>或储存</w:t>
      </w:r>
      <w:r>
        <w:rPr>
          <w:rFonts w:hint="default" w:ascii="Times New Roman" w:hAnsi="Times New Roman" w:eastAsia="宋体" w:cs="Times New Roman"/>
          <w:color w:val="auto"/>
          <w:sz w:val="24"/>
          <w:szCs w:val="24"/>
        </w:rPr>
        <w:t>+消纳土地”工艺。</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养殖粪便中的氮、磷进入水环境就是水体的主要污染物，但对于种植业来说，氮、磷是肥料，是农作物生长不可缺少的营养源，应通过种植和养殖相结合，粪水还田。本项目处理养殖废水采用氧化塘自然处理方法，其基本原理是利用生物降解有机物。污水处理流程为：进水→氧化塘厌氧发酵→出水。氧化塘设计水深约</w:t>
      </w:r>
      <w:r>
        <w:rPr>
          <w:rFonts w:hint="eastAsia" w:cs="Times New Roman"/>
          <w:color w:val="FF0000"/>
          <w:sz w:val="24"/>
          <w:szCs w:val="24"/>
          <w:lang w:val="en-US" w:eastAsia="zh-CN"/>
        </w:rPr>
        <w:t>4</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auto"/>
          <w:sz w:val="24"/>
          <w:szCs w:val="24"/>
        </w:rPr>
        <w:t>氧化塘的停留时间为6个月，污水在塘内停留时间长，而水中的微生物可代谢降解有机污染物，随着停留时间的增加，污水厌氧环境对粪大肠菌群等具有杀灭作用，项目粪水经微生物降解后满足《畜禽粪便无害化处理技术规范》表2液态粪便卫生要求，详见表5.3-1。</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综上，总体来说，肥水作为液肥还田是可行的。</w:t>
      </w:r>
    </w:p>
    <w:p>
      <w:pPr>
        <w:pStyle w:val="6"/>
        <w:rPr>
          <w:rFonts w:hint="default" w:ascii="Times New Roman" w:hAnsi="Times New Roman" w:eastAsia="宋体" w:cs="Times New Roman"/>
          <w:color w:val="auto"/>
          <w:sz w:val="24"/>
          <w:szCs w:val="24"/>
        </w:rPr>
      </w:pPr>
      <w:bookmarkStart w:id="496" w:name="_Toc8496"/>
      <w:r>
        <w:rPr>
          <w:rFonts w:hint="default" w:ascii="Times New Roman" w:hAnsi="Times New Roman" w:eastAsia="宋体" w:cs="Times New Roman"/>
          <w:color w:val="auto"/>
          <w:sz w:val="24"/>
          <w:szCs w:val="24"/>
        </w:rPr>
        <w:t>7.8.4还田利用可行性分析</w:t>
      </w:r>
      <w:bookmarkEnd w:id="496"/>
    </w:p>
    <w:p>
      <w:pPr>
        <w:ind w:firstLine="480"/>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粪便作为农肥施用于农田，对于土壤来说，其机理类似于粪污土地处理系统，其净化机理包含了物理过滤、物理吸附、物理沉积、物理化学吸附、化学反应和化学沉淀、微生物对有机物的降解等过程，粪污在土地处理系统中的净化是一个综合净化过程。主要污染物的去除途径如下：</w:t>
      </w:r>
    </w:p>
    <w:p>
      <w:pPr>
        <w:ind w:firstLine="480"/>
        <w:rPr>
          <w:rFonts w:hint="default" w:ascii="Times New Roman" w:hAnsi="Times New Roman" w:eastAsia="宋体" w:cs="Times New Roman"/>
          <w:snapToGrid w:val="0"/>
          <w:color w:val="auto"/>
          <w:kern w:val="0"/>
          <w:sz w:val="24"/>
          <w:szCs w:val="24"/>
        </w:rPr>
      </w:pPr>
      <w:bookmarkStart w:id="497" w:name="_Toc471227811"/>
      <w:r>
        <w:rPr>
          <w:rFonts w:hint="default" w:ascii="Times New Roman" w:hAnsi="Times New Roman" w:eastAsia="宋体" w:cs="Times New Roman"/>
          <w:snapToGrid w:val="0"/>
          <w:color w:val="auto"/>
          <w:kern w:val="0"/>
          <w:sz w:val="24"/>
          <w:szCs w:val="24"/>
        </w:rPr>
        <w:t>1、BOD的去除</w:t>
      </w:r>
      <w:bookmarkEnd w:id="497"/>
    </w:p>
    <w:p>
      <w:pPr>
        <w:ind w:firstLine="480"/>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BOD大部分是在土壤表层土中去除的。土壤中含有大量的种类繁多的异养型微生物，它们能对被过滤、截留在土壤颗粒空隙间的悬浮有机物和溶解有机物进行生物降解，并合成微生物新细胞。当处理水的BOD负荷超过土壤微生物分解BOD的生物氧化能力时，会引起好氧状态或土壤堵塞。</w:t>
      </w:r>
    </w:p>
    <w:p>
      <w:pPr>
        <w:ind w:firstLine="480"/>
        <w:rPr>
          <w:rFonts w:hint="default" w:ascii="Times New Roman" w:hAnsi="Times New Roman" w:eastAsia="宋体" w:cs="Times New Roman"/>
          <w:snapToGrid w:val="0"/>
          <w:color w:val="auto"/>
          <w:kern w:val="0"/>
          <w:sz w:val="24"/>
          <w:szCs w:val="24"/>
        </w:rPr>
      </w:pPr>
      <w:bookmarkStart w:id="498" w:name="_Toc471227812"/>
      <w:r>
        <w:rPr>
          <w:rFonts w:hint="default" w:ascii="Times New Roman" w:hAnsi="Times New Roman" w:eastAsia="宋体" w:cs="Times New Roman"/>
          <w:snapToGrid w:val="0"/>
          <w:color w:val="auto"/>
          <w:kern w:val="0"/>
          <w:sz w:val="24"/>
          <w:szCs w:val="24"/>
        </w:rPr>
        <w:t>2、磷和氮的去除</w:t>
      </w:r>
      <w:bookmarkEnd w:id="498"/>
    </w:p>
    <w:p>
      <w:pPr>
        <w:ind w:firstLine="480"/>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在土地处理中，磷主要是通过植物吸收，化学反应和沉淀(与土壤中的钙、铝、铁等离子形成难溶的磷酸盐)，物理吸附和沉积(土壤中的黏土矿物对磷酸盐的吸附和沉积)，物理化学吸附(离子交换、络合吸附)等方式被去除。其去除效果受土壤结构、阳离子交换容量、铁铝氧化物和植物对磷的吸收等因素影响。氮主要是通过植物吸收，微生物脱氮(氨化、硝化、反硝化)，挥发、渗出(氨在碱性条件下逸出、硝酸盐的渗出)等方式被去除。其去除率受作物的类型、生长期、对氮的吸收能力，以及土地处理系统的工艺等因素影响。</w:t>
      </w:r>
    </w:p>
    <w:p>
      <w:pPr>
        <w:ind w:firstLine="480"/>
        <w:rPr>
          <w:rFonts w:hint="default" w:ascii="Times New Roman" w:hAnsi="Times New Roman" w:eastAsia="宋体" w:cs="Times New Roman"/>
          <w:snapToGrid w:val="0"/>
          <w:color w:val="auto"/>
          <w:kern w:val="0"/>
          <w:sz w:val="24"/>
          <w:szCs w:val="24"/>
        </w:rPr>
      </w:pPr>
      <w:bookmarkStart w:id="499" w:name="_Toc471227813"/>
      <w:r>
        <w:rPr>
          <w:rFonts w:hint="default" w:ascii="Times New Roman" w:hAnsi="Times New Roman" w:eastAsia="宋体" w:cs="Times New Roman"/>
          <w:snapToGrid w:val="0"/>
          <w:color w:val="auto"/>
          <w:kern w:val="0"/>
          <w:sz w:val="24"/>
          <w:szCs w:val="24"/>
        </w:rPr>
        <w:t>3、病原体的去除</w:t>
      </w:r>
      <w:bookmarkEnd w:id="499"/>
    </w:p>
    <w:p>
      <w:pPr>
        <w:ind w:firstLine="480"/>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农肥经土壤过滤后，水中大部分的病菌和病毒可被去除，去除率可达92％～97％。其去除率与选用的土地处理系统工艺有关，其中地表漫流的去除率略低，但若有较长的漫流距离和停留时间，也可达到较高的去除效率。</w:t>
      </w:r>
    </w:p>
    <w:p>
      <w:pPr>
        <w:ind w:firstLine="480"/>
        <w:rPr>
          <w:rFonts w:hint="default" w:ascii="Times New Roman" w:hAnsi="Times New Roman" w:eastAsia="宋体" w:cs="Times New Roman"/>
          <w:snapToGrid w:val="0"/>
          <w:color w:val="auto"/>
          <w:kern w:val="0"/>
          <w:sz w:val="24"/>
          <w:szCs w:val="24"/>
        </w:rPr>
      </w:pPr>
      <w:bookmarkStart w:id="500" w:name="_Toc471227814"/>
      <w:r>
        <w:rPr>
          <w:rFonts w:hint="default" w:ascii="Times New Roman" w:hAnsi="Times New Roman" w:eastAsia="宋体" w:cs="Times New Roman"/>
          <w:snapToGrid w:val="0"/>
          <w:color w:val="auto"/>
          <w:kern w:val="0"/>
          <w:sz w:val="24"/>
          <w:szCs w:val="24"/>
        </w:rPr>
        <w:t>4、重金属的去除</w:t>
      </w:r>
      <w:bookmarkEnd w:id="500"/>
    </w:p>
    <w:p>
      <w:pPr>
        <w:ind w:firstLine="480"/>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重金属的去除主要是通过物理化学吸附，化学反应与沉淀等途径被去除的。重金属离子在土壤胶体表面进行阳离子交换而被置换、吸附，并生成难溶性化合物被固定于矿物晶格中；重金属与某些有机物生成可吸性螯合物被固定于矿物晶格中；重金属离子与土壤的某些组分进行化学反应，生成金属磷酸盐和有机重金属等沉积于土壤中。</w:t>
      </w:r>
    </w:p>
    <w:p>
      <w:pPr>
        <w:ind w:firstLine="480"/>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农肥中的废水的在下渗过程中，通过土壤的过滤、吸附、离子交换、化学反应等作用，可使水质有所改善，因此越向下渗，水质将越好。因此只要粪便经好氧发酵处理后的农肥施用量适度，就不会造成土壤和地下水的污染。</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由于氧化塘长期储存粪污，每年仅需排出2次，比较适合农田作物的施肥节奏。经过发酵后的粪便农肥，在还田前，需要进行以下几个工作：</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利用时必须对粪便农肥成分进行科学的测定。满足《畜禽规模养殖污染防治条例》（第643号）有关畜禽粪便综合利用与治理相关要求及《畜禽养殖业污染物排放标准》（GB18596-2001）中表6畜禽养殖业废渣无害化环境标准关于无害化的要求后，进行还田，避免污染食物链。</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2、对农肥的所含物质进行检测。主要检测N、P、K、微量元素、有机物质以及PH值等。</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3、对土壤进行土化检测，测定所含N、P、K、有机物的含量。</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4、测定耕种作物的营养需求和粪便农肥养分，并对区域内作物的养分需求进行核算，平衡粪肥养分供给量和作物粪肥养分需求量，根据超载或者不足情况决定粪肥施用量。</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通过以上措施，项目粪便农肥资源化还田利用是可行的。</w:t>
      </w:r>
    </w:p>
    <w:p>
      <w:pPr>
        <w:pStyle w:val="6"/>
        <w:rPr>
          <w:rFonts w:hint="default" w:ascii="Times New Roman" w:hAnsi="Times New Roman" w:eastAsia="宋体" w:cs="Times New Roman"/>
          <w:color w:val="auto"/>
          <w:sz w:val="24"/>
          <w:szCs w:val="24"/>
        </w:rPr>
      </w:pPr>
      <w:bookmarkStart w:id="501" w:name="_Toc17049"/>
      <w:r>
        <w:rPr>
          <w:rFonts w:hint="default" w:ascii="Times New Roman" w:hAnsi="Times New Roman" w:eastAsia="宋体" w:cs="Times New Roman"/>
          <w:color w:val="auto"/>
          <w:sz w:val="24"/>
          <w:szCs w:val="24"/>
        </w:rPr>
        <w:t>7.8.5氧化塘贮存措施及其可行性分析</w:t>
      </w:r>
      <w:bookmarkEnd w:id="501"/>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本项目处理养殖废水采用氧化塘自然处理方法。氧化塘污水处理流程为：进水→氧化塘厌氧发酵→还田。氧化塘设计水深约</w:t>
      </w:r>
      <w:r>
        <w:rPr>
          <w:rFonts w:hint="eastAsia" w:cs="Times New Roman"/>
          <w:color w:val="FF0000"/>
          <w:sz w:val="24"/>
          <w:szCs w:val="24"/>
          <w:lang w:val="en-US" w:eastAsia="zh-CN"/>
        </w:rPr>
        <w:t>4</w:t>
      </w:r>
      <w:r>
        <w:rPr>
          <w:rFonts w:hint="default" w:ascii="Times New Roman" w:hAnsi="Times New Roman" w:eastAsia="宋体" w:cs="Times New Roman"/>
          <w:color w:val="FF0000"/>
          <w:sz w:val="24"/>
          <w:szCs w:val="24"/>
        </w:rPr>
        <w:t>.0m</w:t>
      </w:r>
      <w:r>
        <w:rPr>
          <w:rFonts w:hint="default" w:ascii="Times New Roman" w:hAnsi="Times New Roman" w:eastAsia="宋体" w:cs="Times New Roman"/>
          <w:color w:val="auto"/>
          <w:sz w:val="24"/>
          <w:szCs w:val="24"/>
        </w:rPr>
        <w:t>，有效总容积</w:t>
      </w:r>
      <w:r>
        <w:rPr>
          <w:rFonts w:hint="eastAsia" w:cs="Times New Roman"/>
          <w:color w:val="auto"/>
          <w:sz w:val="24"/>
          <w:szCs w:val="24"/>
          <w:lang w:eastAsia="zh-CN"/>
        </w:rPr>
        <w:t>17000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液肥在冬季及不还田的时候，在氧化塘进行储存，根据《内蒙古自治区畜禽养殖主要污染物减排项目建设技术指南》（试行）中污水/尿液氧化塘容积根据储存期（储存时间）确定，总容积不得低于土地利用的最大间隔时间内本养殖场所产生污水尿液的总量，确保不外溢造成污染。一般情况下，污水尿液氧化塘容积应能容纳2个月以上的污水尿液量，</w:t>
      </w:r>
      <w:r>
        <w:rPr>
          <w:rFonts w:hint="eastAsia" w:cs="Times New Roman"/>
          <w:color w:val="auto"/>
          <w:sz w:val="24"/>
          <w:szCs w:val="24"/>
          <w:lang w:eastAsia="zh-CN"/>
        </w:rPr>
        <w:t>每头猪不少于0.15m</w:t>
      </w:r>
      <w:r>
        <w:rPr>
          <w:rFonts w:hint="eastAsia" w:cs="Times New Roman"/>
          <w:color w:val="auto"/>
          <w:sz w:val="24"/>
          <w:szCs w:val="24"/>
          <w:vertAlign w:val="superscript"/>
          <w:lang w:eastAsia="zh-CN"/>
        </w:rPr>
        <w:t>3</w:t>
      </w:r>
      <w:r>
        <w:rPr>
          <w:rFonts w:hint="eastAsia" w:cs="Times New Roman"/>
          <w:color w:val="auto"/>
          <w:sz w:val="24"/>
          <w:szCs w:val="24"/>
          <w:lang w:eastAsia="zh-CN"/>
        </w:rPr>
        <w:t>的规定</w:t>
      </w:r>
      <w:r>
        <w:rPr>
          <w:rFonts w:hint="default" w:ascii="Times New Roman" w:hAnsi="Times New Roman" w:eastAsia="宋体" w:cs="Times New Roman"/>
          <w:color w:val="auto"/>
          <w:sz w:val="24"/>
          <w:szCs w:val="24"/>
        </w:rPr>
        <w:t>。</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本项目废水液体产生量为</w:t>
      </w:r>
      <w:r>
        <w:rPr>
          <w:rFonts w:hint="eastAsia" w:cs="Times New Roman"/>
          <w:color w:val="auto"/>
          <w:sz w:val="24"/>
          <w:szCs w:val="24"/>
          <w:lang w:eastAsia="zh-CN"/>
        </w:rPr>
        <w:t>15231.45</w:t>
      </w:r>
      <w:r>
        <w:rPr>
          <w:rFonts w:hint="default" w:ascii="Times New Roman" w:hAnsi="Times New Roman" w:eastAsia="宋体" w:cs="Times New Roman"/>
          <w:color w:val="auto"/>
          <w:sz w:val="24"/>
          <w:szCs w:val="24"/>
        </w:rPr>
        <w:t>t/a，按环保要求并结合当地还田规律，氧化塘容积需满足</w:t>
      </w:r>
      <w:r>
        <w:rPr>
          <w:rFonts w:hint="eastAsia" w:cs="Times New Roman"/>
          <w:color w:val="auto"/>
          <w:sz w:val="24"/>
          <w:szCs w:val="24"/>
          <w:lang w:val="en-US" w:eastAsia="zh-CN"/>
        </w:rPr>
        <w:t>6</w:t>
      </w:r>
      <w:r>
        <w:rPr>
          <w:rFonts w:hint="default" w:ascii="Times New Roman" w:hAnsi="Times New Roman" w:eastAsia="宋体" w:cs="Times New Roman"/>
          <w:color w:val="auto"/>
          <w:sz w:val="24"/>
          <w:szCs w:val="24"/>
        </w:rPr>
        <w:t>个月的废水暂存需求，同时考虑在暂存期间约有20%的水量蒸发损耗，氧化塘容积计算如下：</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氧化塘计算容积：</w:t>
      </w:r>
    </w:p>
    <w:p>
      <w:pPr>
        <w:ind w:firstLine="482"/>
        <w:rPr>
          <w:rFonts w:hint="default" w:ascii="Times New Roman" w:hAnsi="Times New Roman" w:eastAsia="宋体" w:cs="Times New Roman"/>
          <w:color w:val="FF0000"/>
          <w:sz w:val="24"/>
          <w:szCs w:val="24"/>
        </w:rPr>
      </w:pPr>
      <w:r>
        <w:rPr>
          <w:rFonts w:hint="default" w:ascii="Times New Roman" w:hAnsi="Times New Roman" w:eastAsia="宋体" w:cs="Times New Roman"/>
          <w:b/>
          <w:color w:val="FF0000"/>
          <w:sz w:val="24"/>
          <w:szCs w:val="24"/>
        </w:rPr>
        <w:t>V</w:t>
      </w:r>
      <w:r>
        <w:rPr>
          <w:rFonts w:hint="default" w:ascii="Times New Roman" w:hAnsi="Times New Roman" w:eastAsia="宋体" w:cs="Times New Roman"/>
          <w:b/>
          <w:color w:val="FF0000"/>
          <w:sz w:val="24"/>
          <w:szCs w:val="24"/>
          <w:vertAlign w:val="subscript"/>
        </w:rPr>
        <w:t>计</w:t>
      </w:r>
      <w:r>
        <w:rPr>
          <w:rFonts w:hint="default" w:ascii="Times New Roman" w:hAnsi="Times New Roman" w:eastAsia="宋体" w:cs="Times New Roman"/>
          <w:color w:val="FF0000"/>
          <w:sz w:val="24"/>
          <w:szCs w:val="24"/>
        </w:rPr>
        <w:t>=</w:t>
      </w:r>
      <w:r>
        <w:rPr>
          <w:rFonts w:hint="eastAsia" w:cs="Times New Roman"/>
          <w:color w:val="FF0000"/>
          <w:sz w:val="24"/>
          <w:szCs w:val="24"/>
          <w:lang w:eastAsia="zh-CN"/>
        </w:rPr>
        <w:t>15231.45</w:t>
      </w:r>
      <w:r>
        <w:rPr>
          <w:rFonts w:hint="default" w:ascii="Times New Roman" w:hAnsi="Times New Roman" w:eastAsia="宋体" w:cs="Times New Roman"/>
          <w:color w:val="FF0000"/>
          <w:sz w:val="24"/>
          <w:szCs w:val="24"/>
        </w:rPr>
        <w:t>/12个月</w:t>
      </w:r>
    </w:p>
    <w:p>
      <w:pPr>
        <w:ind w:firstLine="480"/>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w:t>
      </w:r>
      <w:r>
        <w:rPr>
          <w:rFonts w:hint="eastAsia" w:cs="Times New Roman"/>
          <w:color w:val="FF0000"/>
          <w:sz w:val="24"/>
          <w:szCs w:val="24"/>
          <w:lang w:val="en-US" w:eastAsia="zh-CN"/>
        </w:rPr>
        <w:t>1269.2875</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/月×</w:t>
      </w:r>
      <w:r>
        <w:rPr>
          <w:rFonts w:hint="eastAsia" w:cs="Times New Roman"/>
          <w:color w:val="FF0000"/>
          <w:sz w:val="24"/>
          <w:szCs w:val="24"/>
          <w:lang w:val="en-US" w:eastAsia="zh-CN"/>
        </w:rPr>
        <w:t>6</w:t>
      </w:r>
      <w:r>
        <w:rPr>
          <w:rFonts w:hint="default" w:ascii="Times New Roman" w:hAnsi="Times New Roman" w:eastAsia="宋体" w:cs="Times New Roman"/>
          <w:color w:val="FF0000"/>
          <w:sz w:val="24"/>
          <w:szCs w:val="24"/>
        </w:rPr>
        <w:t>个月</w:t>
      </w:r>
    </w:p>
    <w:p>
      <w:pPr>
        <w:ind w:firstLine="480"/>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w:t>
      </w:r>
      <w:r>
        <w:rPr>
          <w:rFonts w:hint="eastAsia" w:cs="Times New Roman"/>
          <w:color w:val="FF0000"/>
          <w:sz w:val="24"/>
          <w:szCs w:val="24"/>
          <w:lang w:val="en-US" w:eastAsia="zh-CN"/>
        </w:rPr>
        <w:t>7615.725</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氧化塘安全余量按照5%考虑，并按最小取整，氧化塘容积不得低于</w:t>
      </w:r>
      <w:r>
        <w:rPr>
          <w:rFonts w:hint="eastAsia" w:cs="Times New Roman"/>
          <w:color w:val="auto"/>
          <w:sz w:val="24"/>
          <w:szCs w:val="24"/>
          <w:lang w:val="en-US" w:eastAsia="zh-CN"/>
        </w:rPr>
        <w:t>7700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p>
    <w:p>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项目设置</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座氧化塘</w:t>
      </w:r>
      <w:r>
        <w:rPr>
          <w:rFonts w:hint="eastAsia" w:cs="Times New Roman"/>
          <w:color w:val="auto"/>
          <w:sz w:val="24"/>
          <w:szCs w:val="24"/>
          <w:lang w:eastAsia="zh-CN"/>
        </w:rPr>
        <w:t>（总</w:t>
      </w:r>
      <w:r>
        <w:rPr>
          <w:rFonts w:hint="default" w:ascii="Times New Roman" w:hAnsi="Times New Roman" w:eastAsia="宋体" w:cs="Times New Roman"/>
          <w:color w:val="auto"/>
          <w:sz w:val="24"/>
          <w:szCs w:val="24"/>
        </w:rPr>
        <w:t>容积为</w:t>
      </w:r>
      <w:r>
        <w:rPr>
          <w:rFonts w:hint="eastAsia" w:cs="Times New Roman"/>
          <w:color w:val="auto"/>
          <w:sz w:val="24"/>
          <w:szCs w:val="24"/>
          <w:lang w:val="en-US" w:eastAsia="zh-CN"/>
        </w:rPr>
        <w:t>17000</w:t>
      </w:r>
      <w:r>
        <w:rPr>
          <w:rFonts w:hint="default" w:ascii="Times New Roman" w:hAnsi="Times New Roman" w:eastAsia="宋体" w:cs="Times New Roman"/>
          <w:color w:val="auto"/>
          <w:sz w:val="24"/>
          <w:szCs w:val="24"/>
        </w:rPr>
        <w:t>m³</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，在冬季存储量的基础上。具备所需的存储容量，可以保证在非施肥季节也可有足够的储存空间，在开春后施用于农田。液肥每年分两次进行还田，分别在春季和秋季实施，每次还田量约为</w:t>
      </w:r>
      <w:r>
        <w:rPr>
          <w:rFonts w:hint="eastAsia" w:cs="Times New Roman"/>
          <w:color w:val="FF0000"/>
          <w:sz w:val="24"/>
          <w:szCs w:val="24"/>
          <w:lang w:val="en-US" w:eastAsia="zh-CN"/>
        </w:rPr>
        <w:t>7615.725</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。通过以上资料，项目氧化塘可完全满足项目所产生液体农肥的收集与存放。</w:t>
      </w:r>
    </w:p>
    <w:p>
      <w:pPr>
        <w:pStyle w:val="6"/>
        <w:rPr>
          <w:rFonts w:hint="default" w:ascii="Times New Roman" w:hAnsi="Times New Roman" w:eastAsia="宋体" w:cs="Times New Roman"/>
          <w:color w:val="auto"/>
        </w:rPr>
      </w:pPr>
      <w:bookmarkStart w:id="502" w:name="_Toc23189"/>
      <w:r>
        <w:rPr>
          <w:rFonts w:hint="default" w:ascii="Times New Roman" w:hAnsi="Times New Roman" w:eastAsia="宋体" w:cs="Times New Roman"/>
          <w:color w:val="auto"/>
        </w:rPr>
        <w:t>7.8.6土地承载力分析</w:t>
      </w:r>
      <w:bookmarkEnd w:id="50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根据《畜禽规模养殖污染防治条例》第十八条规定：“</w:t>
      </w:r>
      <w:r>
        <w:rPr>
          <w:rFonts w:hint="default" w:ascii="Times New Roman" w:hAnsi="Times New Roman" w:eastAsia="宋体" w:cs="Times New Roman"/>
          <w:color w:val="auto"/>
          <w:szCs w:val="24"/>
        </w:rPr>
        <w:t>将畜禽粪便、污水、沼渣、沼液等用作肥料的，应当与土地的消纳能力相适应，并采取有效措施，消除可能引起传染病的微生物，防止污染环境和传播疫病</w:t>
      </w:r>
      <w:r>
        <w:rPr>
          <w:rFonts w:hint="default" w:ascii="Times New Roman" w:hAnsi="Times New Roman" w:eastAsia="宋体" w:cs="Times New Roman"/>
          <w:color w:val="auto"/>
        </w:rPr>
        <w:t>”</w:t>
      </w:r>
      <w:r>
        <w:rPr>
          <w:rFonts w:hint="default" w:ascii="Times New Roman" w:hAnsi="Times New Roman" w:eastAsia="宋体" w:cs="Times New Roman"/>
          <w:color w:val="auto"/>
          <w:szCs w:val="24"/>
        </w:rPr>
        <w:t>。项目产生的</w:t>
      </w:r>
      <w:r>
        <w:rPr>
          <w:rFonts w:hint="eastAsia" w:cs="Times New Roman"/>
          <w:color w:val="auto"/>
          <w:szCs w:val="24"/>
          <w:lang w:eastAsia="zh-CN"/>
        </w:rPr>
        <w:t>生猪</w:t>
      </w:r>
      <w:r>
        <w:rPr>
          <w:rFonts w:hint="default" w:ascii="Times New Roman" w:hAnsi="Times New Roman" w:eastAsia="宋体" w:cs="Times New Roman"/>
          <w:color w:val="auto"/>
          <w:szCs w:val="24"/>
        </w:rPr>
        <w:t>粪便</w:t>
      </w:r>
      <w:r>
        <w:rPr>
          <w:rFonts w:hint="default" w:ascii="Times New Roman" w:hAnsi="Times New Roman" w:eastAsia="宋体" w:cs="Times New Roman"/>
          <w:color w:val="auto"/>
        </w:rPr>
        <w:t>经好氧降解无害化处理施于农田并不超过土地养分需求，不造成环境污染，即属于粪肥还田，而不是向环境排污。</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畜禽养殖业污染防治技术规范》提出了原则性规定：畜禽养殖场的建设应坚持“农牧结合、种养平衡”的原则，根据本项目区域土地（包括与其他土地经营者签约承诺消纳本场区产生粪便污水的土地）对畜禽粪便的消纳能力，确定新建畜禽养殖场的养殖规模。对于无相应消纳土地的养殖场，必须配套建立具有相应加工（处理）能力的粪便污水处理设施或处理（处置）机制。</w:t>
      </w:r>
    </w:p>
    <w:p>
      <w:pPr>
        <w:ind w:firstLine="480"/>
        <w:rPr>
          <w:rFonts w:hint="default" w:ascii="Times New Roman" w:hAnsi="Times New Roman" w:eastAsia="宋体" w:cs="Times New Roman"/>
          <w:snapToGrid w:val="0"/>
          <w:color w:val="auto"/>
          <w:kern w:val="0"/>
        </w:rPr>
      </w:pPr>
      <w:r>
        <w:rPr>
          <w:rFonts w:hint="default" w:ascii="Times New Roman" w:hAnsi="Times New Roman" w:eastAsia="宋体" w:cs="Times New Roman"/>
          <w:color w:val="auto"/>
        </w:rPr>
        <w:t>综上，项目粪便及粪水经处理后达到《畜禽养殖业污染物排放标准》（GB18596-2001）及《畜禽粪便无害化处理技术规范》（GB／T36195-2018）要求后还田利用，同时消纳土地满足《内蒙古自治区畜禽养殖主要污染物减排工程项目建设技术指南（试行）》（内环发【2014】83号），消纳土地面积要求</w:t>
      </w:r>
      <w:bookmarkStart w:id="503" w:name="_Toc307566463"/>
      <w:bookmarkStart w:id="504" w:name="_Toc303002857"/>
      <w:bookmarkStart w:id="505" w:name="_Toc307561344"/>
      <w:bookmarkStart w:id="506" w:name="_Toc304736430"/>
      <w:bookmarkStart w:id="507" w:name="_Toc347090031"/>
      <w:bookmarkStart w:id="508" w:name="_Toc305308441"/>
      <w:bookmarkStart w:id="509" w:name="_Toc304537918"/>
      <w:bookmarkStart w:id="510" w:name="_Toc439090937"/>
      <w:bookmarkStart w:id="511" w:name="_Toc305323649"/>
      <w:r>
        <w:rPr>
          <w:rFonts w:hint="eastAsia" w:cs="Times New Roman"/>
          <w:color w:val="auto"/>
          <w:lang w:eastAsia="zh-CN"/>
        </w:rPr>
        <w:t>每头猪不少于0.1亩土地</w:t>
      </w:r>
      <w:r>
        <w:rPr>
          <w:rFonts w:hint="default" w:ascii="Times New Roman" w:hAnsi="Times New Roman" w:eastAsia="宋体" w:cs="Times New Roman"/>
          <w:color w:val="auto"/>
        </w:rPr>
        <w:t>的要求，项目配套消纳土地</w:t>
      </w:r>
      <w:r>
        <w:rPr>
          <w:rFonts w:hint="default" w:ascii="Times New Roman" w:hAnsi="Times New Roman" w:eastAsia="宋体" w:cs="Times New Roman"/>
          <w:color w:val="auto"/>
          <w:lang w:eastAsia="zh-CN"/>
        </w:rPr>
        <w:t>1</w:t>
      </w:r>
      <w:r>
        <w:rPr>
          <w:rFonts w:hint="eastAsia" w:cs="Times New Roman"/>
          <w:color w:val="auto"/>
          <w:lang w:val="en-US" w:eastAsia="zh-CN"/>
        </w:rPr>
        <w:t>0</w:t>
      </w:r>
      <w:r>
        <w:rPr>
          <w:rFonts w:hint="default" w:ascii="Times New Roman" w:hAnsi="Times New Roman" w:eastAsia="宋体" w:cs="Times New Roman"/>
          <w:color w:val="auto"/>
          <w:lang w:eastAsia="zh-CN"/>
        </w:rPr>
        <w:t>00亩</w:t>
      </w:r>
      <w:r>
        <w:rPr>
          <w:rFonts w:hint="default" w:ascii="Times New Roman" w:hAnsi="Times New Roman" w:eastAsia="宋体" w:cs="Times New Roman"/>
          <w:color w:val="auto"/>
        </w:rPr>
        <w:t>。</w:t>
      </w:r>
      <w:r>
        <w:rPr>
          <w:rFonts w:hint="default" w:ascii="Times New Roman" w:hAnsi="Times New Roman" w:eastAsia="宋体" w:cs="Times New Roman"/>
          <w:color w:val="auto"/>
          <w:kern w:val="0"/>
        </w:rPr>
        <w:t>项目产生的粪便完全可以得以消纳，不会有超过农田负荷的情况出现，因此目养殖粪便有机肥及液肥</w:t>
      </w:r>
      <w:r>
        <w:rPr>
          <w:rFonts w:hint="default" w:ascii="Times New Roman" w:hAnsi="Times New Roman" w:eastAsia="宋体" w:cs="Times New Roman"/>
          <w:snapToGrid w:val="0"/>
          <w:color w:val="auto"/>
          <w:kern w:val="0"/>
        </w:rPr>
        <w:t>作为肥料用于还田资源化利用的方案可行。</w:t>
      </w:r>
      <w:bookmarkEnd w:id="503"/>
      <w:bookmarkEnd w:id="504"/>
      <w:bookmarkEnd w:id="505"/>
      <w:bookmarkEnd w:id="506"/>
      <w:bookmarkEnd w:id="507"/>
      <w:bookmarkEnd w:id="508"/>
      <w:bookmarkEnd w:id="509"/>
      <w:bookmarkEnd w:id="510"/>
      <w:bookmarkEnd w:id="511"/>
    </w:p>
    <w:p>
      <w:pPr>
        <w:pStyle w:val="5"/>
        <w:rPr>
          <w:rFonts w:hint="default" w:ascii="Times New Roman" w:hAnsi="Times New Roman" w:eastAsia="宋体" w:cs="Times New Roman"/>
          <w:color w:val="auto"/>
        </w:rPr>
      </w:pPr>
      <w:bookmarkStart w:id="512" w:name="_Toc28905"/>
      <w:r>
        <w:rPr>
          <w:rFonts w:hint="default" w:ascii="Times New Roman" w:hAnsi="Times New Roman" w:eastAsia="宋体" w:cs="Times New Roman"/>
          <w:color w:val="auto"/>
        </w:rPr>
        <w:t>7.9运营期生态环境保护措施</w:t>
      </w:r>
      <w:bookmarkEnd w:id="51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营运期生态环境保护措施，主要为在</w:t>
      </w:r>
      <w:r>
        <w:rPr>
          <w:rFonts w:hint="default" w:ascii="Times New Roman" w:hAnsi="Times New Roman" w:eastAsia="宋体" w:cs="Times New Roman"/>
          <w:color w:val="auto"/>
          <w:lang w:eastAsia="zh-CN"/>
        </w:rPr>
        <w:t>养殖</w:t>
      </w:r>
      <w:r>
        <w:rPr>
          <w:rFonts w:hint="default" w:ascii="Times New Roman" w:hAnsi="Times New Roman" w:eastAsia="宋体" w:cs="Times New Roman"/>
          <w:color w:val="auto"/>
        </w:rPr>
        <w:t>场四周及场内道路两侧种植对硫化氢</w:t>
      </w:r>
      <w:r>
        <w:rPr>
          <w:rFonts w:hint="default" w:ascii="Times New Roman" w:hAnsi="Times New Roman" w:eastAsia="宋体" w:cs="Times New Roman"/>
          <w:color w:val="auto"/>
          <w:lang w:eastAsia="zh-CN"/>
        </w:rPr>
        <w:t>、氨气</w:t>
      </w:r>
      <w:r>
        <w:rPr>
          <w:rFonts w:hint="default" w:ascii="Times New Roman" w:hAnsi="Times New Roman" w:eastAsia="宋体" w:cs="Times New Roman"/>
          <w:color w:val="auto"/>
        </w:rPr>
        <w:t>等有害气体吸收能力较强的树木，如：杨树等乔木树种，以吸收有害气体，杀灭细菌，降低其在周围环境中的浓度。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绿色植物，特别是树木，对粉尘也有明显的阻挡、过滤和吸附作用。树木的枝冠能降低风速，使灰尘下降，叶子表面不平，还分泌粘性的油汁和汁浆，能吸附空气中的尘埃。一般情况下，绿化树木能使降尘量减少23-25%；而飘尘量减少37-60%，落叶阔叶树比常绿阔叶树滞尘能力要强。</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因此，为了减噪和净化空气，减少异味，保护环境，应在园区根据不同地段的要求，合理搭配各种植物。在绿化的同时，充分发挥植物净化、防尘、隔噪等效应。例如废气污染源与其它建筑物之间应设置高大阔叶乔木林带，并选择降尘、吸收效果好的树种；而在发生噪声的车间周围则应选择降噪效果明显的树种，设置较宽的防护林带。达到既发展生产，又改善和保护环境的目的。</w:t>
      </w:r>
    </w:p>
    <w:p>
      <w:pPr>
        <w:ind w:firstLine="480"/>
        <w:rPr>
          <w:rFonts w:hint="default" w:ascii="Times New Roman" w:hAnsi="Times New Roman" w:eastAsia="宋体" w:cs="Times New Roman"/>
          <w:color w:val="auto"/>
        </w:rPr>
      </w:pPr>
      <w:r>
        <w:rPr>
          <w:rFonts w:hint="eastAsia" w:cs="Times New Roman"/>
          <w:color w:val="auto"/>
          <w:lang w:eastAsia="zh-CN"/>
        </w:rPr>
        <w:t>猪场</w:t>
      </w:r>
      <w:r>
        <w:rPr>
          <w:rFonts w:hint="default" w:ascii="Times New Roman" w:hAnsi="Times New Roman" w:eastAsia="宋体" w:cs="Times New Roman"/>
          <w:color w:val="auto"/>
        </w:rPr>
        <w:t>绿化对于吸收有害气体，补充新鲜空气，阻隔噪声，保护生态环境，改善工作环境，美化劳动环境，改善小气候等均有着十分重要的作用。项目建成后，场区内栽种适合当地耐寒的植物及树种，场区绿化面积约为</w:t>
      </w:r>
      <w:r>
        <w:rPr>
          <w:rFonts w:hint="default" w:ascii="Times New Roman" w:hAnsi="Times New Roman" w:eastAsia="宋体" w:cs="Times New Roman"/>
          <w:color w:val="auto"/>
          <w:lang w:val="en-US" w:eastAsia="zh-CN"/>
        </w:rPr>
        <w:t>10</w:t>
      </w:r>
      <w:r>
        <w:rPr>
          <w:rFonts w:hint="default" w:ascii="Times New Roman" w:hAnsi="Times New Roman" w:eastAsia="宋体" w:cs="Times New Roman"/>
          <w:color w:val="auto"/>
        </w:rPr>
        <w:t>00平方米。</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①场区林带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在场界周边种植乔木和灌木混合林带，并栽种刺笆。乔木类的大叶杨、早柳、钻天杨、榆树及常绿针叶树等；灌木类的河柳、紫穗槐、侧柏等起到防风阻沙等作用。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②绿化隔离带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在各个分区之间设置绿化隔离带，一般可用杨树、榆树或灌木，以起到隔离作用；场址边缘地带种植适应当地的高大树种形成多层防护林带，建设单位规划沿</w:t>
      </w:r>
      <w:r>
        <w:rPr>
          <w:rFonts w:hint="eastAsia" w:cs="Times New Roman"/>
          <w:color w:val="auto"/>
          <w:lang w:eastAsia="zh-CN"/>
        </w:rPr>
        <w:t>猪场</w:t>
      </w:r>
      <w:r>
        <w:rPr>
          <w:rFonts w:hint="default" w:ascii="Times New Roman" w:hAnsi="Times New Roman" w:eastAsia="宋体" w:cs="Times New Roman"/>
          <w:color w:val="auto"/>
        </w:rPr>
        <w:t>四周栽植模式为2米×2行模式，形成防护林。</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③道路绿化</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主干道两侧用适合当地气候的槐树、榆树等四季常青树种，进行绿化。</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④管理中心绿化</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生活管理区及场区大门周围种花种草进行绿化，净化空气，美化环境。</w:t>
      </w:r>
    </w:p>
    <w:p>
      <w:pPr>
        <w:ind w:firstLine="480"/>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采取以上措施后，建设项目对区域生态环境影响很小</w:t>
      </w:r>
      <w:r>
        <w:rPr>
          <w:rFonts w:hint="default" w:ascii="Times New Roman" w:hAnsi="Times New Roman" w:eastAsia="宋体" w:cs="Times New Roman"/>
          <w:color w:val="auto"/>
          <w:lang w:eastAsia="zh-CN"/>
        </w:rPr>
        <w:t>。</w:t>
      </w:r>
    </w:p>
    <w:p>
      <w:pPr>
        <w:pStyle w:val="5"/>
        <w:rPr>
          <w:rFonts w:hint="default" w:ascii="Times New Roman" w:hAnsi="Times New Roman" w:eastAsia="宋体" w:cs="Times New Roman"/>
          <w:color w:val="auto"/>
        </w:rPr>
      </w:pPr>
      <w:bookmarkStart w:id="513" w:name="_Toc23109"/>
      <w:r>
        <w:rPr>
          <w:rFonts w:hint="default" w:ascii="Times New Roman" w:hAnsi="Times New Roman" w:eastAsia="宋体" w:cs="Times New Roman"/>
          <w:color w:val="auto"/>
        </w:rPr>
        <w:t>7.10营运期人群健康保护措施</w:t>
      </w:r>
      <w:bookmarkEnd w:id="51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运行期为保护场区人员不受</w:t>
      </w:r>
      <w:r>
        <w:rPr>
          <w:rFonts w:hint="eastAsia" w:cs="Times New Roman"/>
          <w:color w:val="auto"/>
          <w:lang w:eastAsia="zh-CN"/>
        </w:rPr>
        <w:t>生猪</w:t>
      </w:r>
      <w:r>
        <w:rPr>
          <w:rFonts w:hint="default" w:ascii="Times New Roman" w:hAnsi="Times New Roman" w:eastAsia="宋体" w:cs="Times New Roman"/>
          <w:color w:val="auto"/>
        </w:rPr>
        <w:t>病疫情传染，项目在场区大门口设</w:t>
      </w:r>
      <w:r>
        <w:rPr>
          <w:rFonts w:hint="default" w:ascii="Times New Roman" w:hAnsi="Times New Roman" w:eastAsia="宋体" w:cs="Times New Roman"/>
          <w:color w:val="auto"/>
          <w:lang w:eastAsia="zh-CN"/>
        </w:rPr>
        <w:t>消毒室</w:t>
      </w:r>
      <w:r>
        <w:rPr>
          <w:rFonts w:hint="default" w:ascii="Times New Roman" w:hAnsi="Times New Roman" w:eastAsia="宋体" w:cs="Times New Roman"/>
          <w:color w:val="auto"/>
        </w:rPr>
        <w:t>，配备消毒设备和消毒池，所有车辆及有关用具等均须进行彻底消毒后方准进入园区。严格控制外来人员进出</w:t>
      </w:r>
      <w:r>
        <w:rPr>
          <w:rFonts w:hint="eastAsia" w:cs="Times New Roman"/>
          <w:color w:val="auto"/>
          <w:lang w:eastAsia="zh-CN"/>
        </w:rPr>
        <w:t>猪场</w:t>
      </w:r>
      <w:r>
        <w:rPr>
          <w:rFonts w:hint="default" w:ascii="Times New Roman" w:hAnsi="Times New Roman" w:eastAsia="宋体" w:cs="Times New Roman"/>
          <w:color w:val="auto"/>
        </w:rPr>
        <w:t>养殖区，特别情况下，外来人员经淋浴后穿戴消毒过的工作服经过消毒间后方可进入，要同时做好来访记录。本场人员进场前，要遵守生物防疫程序，经洗澡淋浴，更换干净的工作服（鞋）后方可进入养殖区。在养殖区内，工作人员和来访人员进出</w:t>
      </w:r>
      <w:r>
        <w:rPr>
          <w:rFonts w:hint="eastAsia" w:cs="Times New Roman"/>
          <w:color w:val="auto"/>
          <w:lang w:eastAsia="zh-CN"/>
        </w:rPr>
        <w:t>猪舍</w:t>
      </w:r>
      <w:r>
        <w:rPr>
          <w:rFonts w:hint="default" w:ascii="Times New Roman" w:hAnsi="Times New Roman" w:eastAsia="宋体" w:cs="Times New Roman"/>
          <w:color w:val="auto"/>
        </w:rPr>
        <w:t>时，必须清洗消毒双手和鞋靴等。</w:t>
      </w:r>
      <w:r>
        <w:rPr>
          <w:rFonts w:hint="eastAsia" w:cs="Times New Roman"/>
          <w:color w:val="auto"/>
          <w:lang w:eastAsia="zh-CN"/>
        </w:rPr>
        <w:t>猪场</w:t>
      </w:r>
      <w:r>
        <w:rPr>
          <w:rFonts w:hint="default" w:ascii="Times New Roman" w:hAnsi="Times New Roman" w:eastAsia="宋体" w:cs="Times New Roman"/>
          <w:color w:val="auto"/>
        </w:rPr>
        <w:t>内要分设净道和污道，人员、动物和相关物品运转应采取单一流向，防止发生污染和疫病传播。饲养管理人员每年要定期进行健康检查，取得《健康证》后上岗。</w:t>
      </w:r>
    </w:p>
    <w:p>
      <w:pPr>
        <w:pStyle w:val="5"/>
        <w:rPr>
          <w:rFonts w:hint="default" w:ascii="Times New Roman" w:hAnsi="Times New Roman" w:eastAsia="宋体" w:cs="Times New Roman"/>
          <w:color w:val="auto"/>
        </w:rPr>
      </w:pPr>
      <w:bookmarkStart w:id="514" w:name="_Toc494206378"/>
      <w:bookmarkStart w:id="515" w:name="_Toc530642995"/>
      <w:bookmarkStart w:id="516" w:name="_Toc922"/>
      <w:r>
        <w:rPr>
          <w:rFonts w:hint="default" w:ascii="Times New Roman" w:hAnsi="Times New Roman" w:eastAsia="宋体" w:cs="Times New Roman"/>
          <w:color w:val="auto"/>
        </w:rPr>
        <w:t>7.</w:t>
      </w:r>
      <w:bookmarkEnd w:id="514"/>
      <w:r>
        <w:rPr>
          <w:rFonts w:hint="default" w:ascii="Times New Roman" w:hAnsi="Times New Roman" w:eastAsia="宋体" w:cs="Times New Roman"/>
          <w:color w:val="auto"/>
        </w:rPr>
        <w:t>11运营期污染防治对策和措施及环保投资汇总</w:t>
      </w:r>
      <w:bookmarkEnd w:id="515"/>
      <w:bookmarkEnd w:id="516"/>
    </w:p>
    <w:p>
      <w:pPr>
        <w:ind w:firstLine="480"/>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r>
        <w:rPr>
          <w:rFonts w:hint="default" w:ascii="Times New Roman" w:hAnsi="Times New Roman" w:eastAsia="宋体" w:cs="Times New Roman"/>
          <w:color w:val="auto"/>
        </w:rPr>
        <w:t>本项目所有污染源均采取有效地的污染防治措施。环保投资项目主要有废气治理、废水治理、场区防渗、噪声治理等。总投资</w:t>
      </w:r>
      <w:r>
        <w:rPr>
          <w:rFonts w:hint="eastAsia" w:cs="Times New Roman"/>
          <w:color w:val="auto"/>
          <w:lang w:val="en-US" w:eastAsia="zh-CN"/>
        </w:rPr>
        <w:t>2100</w:t>
      </w:r>
      <w:r>
        <w:rPr>
          <w:rFonts w:hint="default" w:ascii="Times New Roman" w:hAnsi="Times New Roman" w:eastAsia="宋体" w:cs="Times New Roman"/>
          <w:color w:val="auto"/>
        </w:rPr>
        <w:t>万元，其中环保投资</w:t>
      </w:r>
      <w:r>
        <w:rPr>
          <w:rFonts w:hint="eastAsia" w:cs="Times New Roman"/>
          <w:color w:val="auto"/>
          <w:lang w:val="en-US" w:eastAsia="zh-CN"/>
        </w:rPr>
        <w:t>171.8</w:t>
      </w:r>
      <w:r>
        <w:rPr>
          <w:rFonts w:hint="default" w:ascii="Times New Roman" w:hAnsi="Times New Roman" w:eastAsia="宋体" w:cs="Times New Roman"/>
          <w:color w:val="auto"/>
        </w:rPr>
        <w:t>万元，占总投资比例为</w:t>
      </w:r>
      <w:r>
        <w:rPr>
          <w:rFonts w:hint="eastAsia" w:cs="Times New Roman"/>
          <w:color w:val="auto"/>
          <w:lang w:val="en-US" w:eastAsia="zh-CN"/>
        </w:rPr>
        <w:t>8.18</w:t>
      </w:r>
      <w:r>
        <w:rPr>
          <w:rFonts w:hint="default" w:ascii="Times New Roman" w:hAnsi="Times New Roman" w:eastAsia="宋体" w:cs="Times New Roman"/>
          <w:color w:val="auto"/>
        </w:rPr>
        <w:t>%，污染防治措施及环保投资见表7.11-1。</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表7.11-1    项目环境保护措施一览表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36"/>
        <w:gridCol w:w="1278"/>
        <w:gridCol w:w="1304"/>
        <w:gridCol w:w="7095"/>
        <w:gridCol w:w="2988"/>
        <w:gridCol w:w="10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类型</w:t>
            </w: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产污点</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污染物</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治理措施</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治理效果</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环保投资</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废气</w:t>
            </w:r>
          </w:p>
        </w:tc>
        <w:tc>
          <w:tcPr>
            <w:tcW w:w="444" w:type="pct"/>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0"/>
                <w:sz w:val="21"/>
                <w:szCs w:val="21"/>
                <w:lang w:val="en-US" w:eastAsia="zh-CN" w:bidi="ar"/>
              </w:rPr>
              <w:t>猪舍恶臭</w:t>
            </w:r>
          </w:p>
        </w:tc>
        <w:tc>
          <w:tcPr>
            <w:tcW w:w="453"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氨气</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硫化氢</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臭气浓度</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场区内采取控制饲养密度、加强舍内通风、调控喂食量、喷洒化学+生物除臭剂等措施降低臭气浓度；</w:t>
            </w:r>
          </w:p>
        </w:tc>
        <w:tc>
          <w:tcPr>
            <w:tcW w:w="1038"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《恶臭污染物排放标准》（GB14554-93）二级标准中氨气和硫化氢的浓度标准限值；</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《畜禽养殖业污染物排放标准》（GB18596-2001）中臭气浓度的限值要求</w:t>
            </w:r>
          </w:p>
        </w:tc>
        <w:tc>
          <w:tcPr>
            <w:tcW w:w="378"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lang w:val="en-US" w:eastAsia="zh-CN"/>
              </w:rPr>
            </w:pPr>
            <w:r>
              <w:rPr>
                <w:rFonts w:hint="eastAsia" w:cs="Times New Roman"/>
                <w:color w:val="auto"/>
                <w:lang w:val="en-US" w:eastAsia="zh-CN"/>
              </w:rPr>
              <w:t>15.8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ascii="Times New Roman" w:hAnsi="Times New Roman" w:eastAsia="宋体" w:cs="Times New Roman"/>
                <w:color w:val="auto"/>
                <w:lang w:eastAsia="zh-CN"/>
              </w:rPr>
            </w:pPr>
            <w:r>
              <w:rPr>
                <w:rFonts w:hint="eastAsia" w:cs="Times New Roman"/>
                <w:color w:val="auto"/>
                <w:lang w:eastAsia="zh-CN"/>
              </w:rPr>
              <w:t>、、</w:t>
            </w: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晾粪台</w:t>
            </w:r>
            <w:r>
              <w:rPr>
                <w:rFonts w:hint="eastAsia" w:ascii="宋体" w:hAnsi="宋体" w:eastAsia="宋体" w:cs="宋体"/>
                <w:color w:val="auto"/>
                <w:kern w:val="0"/>
                <w:sz w:val="21"/>
                <w:szCs w:val="21"/>
                <w:lang w:val="en-US" w:eastAsia="zh-CN" w:bidi="ar"/>
              </w:rPr>
              <w:t>恶臭</w:t>
            </w:r>
          </w:p>
        </w:tc>
        <w:tc>
          <w:tcPr>
            <w:tcW w:w="453"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晾粪台</w:t>
            </w:r>
            <w:r>
              <w:rPr>
                <w:rFonts w:hint="eastAsia"/>
                <w:color w:val="auto"/>
                <w:sz w:val="21"/>
                <w:szCs w:val="21"/>
              </w:rPr>
              <w:t>定期喷洒减少氨释放和保氮的复合菌剂，</w:t>
            </w:r>
            <w:r>
              <w:rPr>
                <w:rFonts w:hint="default" w:ascii="Times New Roman" w:hAnsi="Times New Roman" w:eastAsia="宋体" w:cs="Times New Roman"/>
                <w:color w:val="auto"/>
                <w:sz w:val="21"/>
                <w:szCs w:val="21"/>
              </w:rPr>
              <w:t>通过菌类自身繁殖达到去除臭气的目的</w:t>
            </w:r>
            <w:r>
              <w:rPr>
                <w:rFonts w:hint="eastAsia"/>
                <w:color w:val="auto"/>
                <w:sz w:val="21"/>
                <w:szCs w:val="21"/>
              </w:rPr>
              <w:t>，同时场区内加强绿化</w:t>
            </w:r>
            <w:r>
              <w:rPr>
                <w:rFonts w:hint="eastAsia"/>
                <w:color w:val="auto"/>
                <w:sz w:val="21"/>
                <w:szCs w:val="21"/>
                <w:lang w:eastAsia="zh-CN"/>
              </w:rPr>
              <w:t>；</w:t>
            </w:r>
          </w:p>
        </w:tc>
        <w:tc>
          <w:tcPr>
            <w:tcW w:w="103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37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cs="Times New Roman"/>
                <w:color w:val="auto"/>
                <w:lang w:eastAsia="zh-CN"/>
              </w:rPr>
            </w:pP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氧化塘</w:t>
            </w:r>
            <w:r>
              <w:rPr>
                <w:rFonts w:hint="eastAsia" w:ascii="宋体" w:hAnsi="宋体" w:eastAsia="宋体" w:cs="宋体"/>
                <w:color w:val="auto"/>
                <w:kern w:val="0"/>
                <w:sz w:val="21"/>
                <w:szCs w:val="21"/>
                <w:lang w:val="en-US" w:eastAsia="zh-CN" w:bidi="ar"/>
              </w:rPr>
              <w:t>恶臭</w:t>
            </w:r>
          </w:p>
        </w:tc>
        <w:tc>
          <w:tcPr>
            <w:tcW w:w="453"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eastAsia"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sz w:val="21"/>
                <w:szCs w:val="21"/>
              </w:rPr>
              <w:t xml:space="preserve"> </w:t>
            </w:r>
            <w:r>
              <w:rPr>
                <w:rFonts w:hint="eastAsia"/>
                <w:color w:val="auto"/>
                <w:sz w:val="21"/>
                <w:szCs w:val="21"/>
              </w:rPr>
              <w:t>氧化塘定期喷洒减少氨释放和保氮的复合菌剂，</w:t>
            </w:r>
            <w:r>
              <w:rPr>
                <w:rFonts w:hint="default" w:ascii="Times New Roman" w:hAnsi="Times New Roman" w:eastAsia="宋体" w:cs="Times New Roman"/>
                <w:color w:val="auto"/>
                <w:sz w:val="21"/>
                <w:szCs w:val="21"/>
              </w:rPr>
              <w:t>通过菌类自身繁殖达到去除臭气的目的</w:t>
            </w:r>
            <w:r>
              <w:rPr>
                <w:rFonts w:hint="eastAsia"/>
                <w:color w:val="auto"/>
                <w:sz w:val="21"/>
                <w:szCs w:val="21"/>
              </w:rPr>
              <w:t>，同时场区内加强绿化</w:t>
            </w:r>
            <w:r>
              <w:rPr>
                <w:rFonts w:hint="eastAsia"/>
                <w:color w:val="auto"/>
                <w:sz w:val="21"/>
                <w:szCs w:val="21"/>
                <w:lang w:eastAsia="zh-CN"/>
              </w:rPr>
              <w:t>；</w:t>
            </w:r>
          </w:p>
        </w:tc>
        <w:tc>
          <w:tcPr>
            <w:tcW w:w="103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37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w:t>
            </w:r>
          </w:p>
        </w:tc>
        <w:tc>
          <w:tcPr>
            <w:tcW w:w="44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eastAsia"/>
                <w:color w:val="auto"/>
                <w:kern w:val="0"/>
                <w:sz w:val="21"/>
                <w:szCs w:val="21"/>
                <w:lang w:eastAsia="zh-CN"/>
              </w:rPr>
              <w:t>猪</w:t>
            </w:r>
            <w:r>
              <w:rPr>
                <w:rFonts w:hint="eastAsia"/>
                <w:color w:val="auto"/>
                <w:kern w:val="0"/>
                <w:sz w:val="21"/>
                <w:szCs w:val="21"/>
              </w:rPr>
              <w:t>尿</w:t>
            </w:r>
          </w:p>
        </w:tc>
        <w:tc>
          <w:tcPr>
            <w:tcW w:w="45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404" w:firstLineChars="200"/>
              <w:jc w:val="left"/>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sz w:val="21"/>
                <w:szCs w:val="21"/>
              </w:rPr>
              <w:t>猪舍地面采用漏缝地板，</w:t>
            </w:r>
            <w:r>
              <w:rPr>
                <w:rFonts w:hint="eastAsia"/>
                <w:color w:val="FF0000"/>
                <w:sz w:val="21"/>
                <w:szCs w:val="21"/>
                <w:lang w:eastAsia="zh-CN"/>
              </w:rPr>
              <w:t>猪粪和猪尿由猪舍内的地漏落到</w:t>
            </w:r>
            <w:r>
              <w:rPr>
                <w:rFonts w:hint="eastAsia" w:cs="Times New Roman"/>
                <w:color w:val="FF0000"/>
                <w:lang w:eastAsia="zh-CN"/>
              </w:rPr>
              <w:t>猪舍粪污管道内，通过坡度自流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default" w:ascii="Times New Roman" w:hAnsi="Times New Roman" w:eastAsia="宋体" w:cs="Times New Roman"/>
                <w:color w:val="FF0000"/>
                <w:spacing w:val="-4"/>
                <w:sz w:val="21"/>
                <w:szCs w:val="21"/>
              </w:rPr>
              <w:t>，</w:t>
            </w:r>
            <w:r>
              <w:rPr>
                <w:rFonts w:hint="eastAsia" w:cs="Times New Roman"/>
                <w:color w:val="FF0000"/>
                <w:spacing w:val="-4"/>
                <w:sz w:val="21"/>
                <w:szCs w:val="21"/>
                <w:lang w:val="en-US" w:eastAsia="zh-CN"/>
              </w:rPr>
              <w:t>化粪池内粪水经</w:t>
            </w:r>
            <w:r>
              <w:rPr>
                <w:rFonts w:hint="eastAsia" w:cs="Times New Roman"/>
                <w:color w:val="auto"/>
                <w:spacing w:val="-4"/>
                <w:sz w:val="21"/>
                <w:szCs w:val="21"/>
                <w:lang w:val="en-US" w:eastAsia="zh-CN"/>
              </w:rPr>
              <w:t>固液分离器将猪粪分离后</w:t>
            </w:r>
            <w:r>
              <w:rPr>
                <w:rFonts w:hint="default" w:ascii="Times New Roman" w:hAnsi="Times New Roman" w:eastAsia="宋体" w:cs="Times New Roman"/>
                <w:color w:val="auto"/>
                <w:spacing w:val="-4"/>
                <w:sz w:val="21"/>
                <w:szCs w:val="21"/>
              </w:rPr>
              <w:t>，猪尿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c>
          <w:tcPr>
            <w:tcW w:w="1038"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资源化利用，满足《畜禽养殖业污染物排放标准》（GB18596-2001）</w:t>
            </w:r>
          </w:p>
        </w:tc>
        <w:tc>
          <w:tcPr>
            <w:tcW w:w="378"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44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0"/>
                <w:sz w:val="21"/>
                <w:szCs w:val="21"/>
                <w:lang w:val="en-US" w:eastAsia="zh-CN" w:bidi="ar-SA"/>
              </w:rPr>
            </w:pPr>
            <w:r>
              <w:rPr>
                <w:rFonts w:hint="eastAsia" w:cs="Times New Roman"/>
                <w:color w:val="auto"/>
                <w:sz w:val="21"/>
                <w:szCs w:val="21"/>
                <w:lang w:eastAsia="zh-CN"/>
              </w:rPr>
              <w:t>猪舍粪污管道冲洗废水</w:t>
            </w:r>
          </w:p>
        </w:tc>
        <w:tc>
          <w:tcPr>
            <w:tcW w:w="45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kern w:val="0"/>
                <w:sz w:val="21"/>
                <w:szCs w:val="21"/>
                <w:lang w:val="en-US" w:eastAsia="zh-CN" w:bidi="ar-SA"/>
              </w:rPr>
            </w:pPr>
            <w:r>
              <w:rPr>
                <w:rFonts w:hint="eastAsia" w:cs="Times New Roman"/>
                <w:color w:val="FF0000"/>
                <w:lang w:eastAsia="zh-CN"/>
              </w:rPr>
              <w:t>猪舍粪污管道冲洗废水通过粪污管道坡度自流</w:t>
            </w:r>
            <w:r>
              <w:rPr>
                <w:rFonts w:hint="eastAsia"/>
                <w:color w:val="FF0000"/>
                <w:sz w:val="21"/>
                <w:szCs w:val="21"/>
                <w:lang w:eastAsia="zh-CN"/>
              </w:rPr>
              <w:t>到</w:t>
            </w:r>
            <w:r>
              <w:rPr>
                <w:rFonts w:hint="eastAsia"/>
                <w:color w:val="FF0000"/>
                <w:sz w:val="21"/>
                <w:szCs w:val="21"/>
                <w:lang w:val="en-US" w:eastAsia="zh-CN"/>
              </w:rPr>
              <w:t>化</w:t>
            </w:r>
            <w:r>
              <w:rPr>
                <w:rFonts w:hint="eastAsia"/>
                <w:color w:val="FF0000"/>
                <w:sz w:val="21"/>
                <w:szCs w:val="21"/>
                <w:lang w:eastAsia="zh-CN"/>
              </w:rPr>
              <w:t>粪池内</w:t>
            </w:r>
            <w:r>
              <w:rPr>
                <w:rFonts w:hint="default" w:ascii="Times New Roman" w:hAnsi="Times New Roman" w:eastAsia="宋体" w:cs="Times New Roman"/>
                <w:color w:val="FF0000"/>
                <w:spacing w:val="-4"/>
                <w:sz w:val="21"/>
                <w:szCs w:val="21"/>
              </w:rPr>
              <w:t>，</w:t>
            </w:r>
            <w:r>
              <w:rPr>
                <w:rFonts w:hint="eastAsia" w:cs="Times New Roman"/>
                <w:color w:val="FF0000"/>
                <w:spacing w:val="-4"/>
                <w:sz w:val="21"/>
                <w:szCs w:val="21"/>
                <w:lang w:val="en-US" w:eastAsia="zh-CN"/>
              </w:rPr>
              <w:t>化粪池内粪水经固液分离器将猪粪分离后</w:t>
            </w:r>
            <w:r>
              <w:rPr>
                <w:rFonts w:hint="default" w:ascii="Times New Roman" w:hAnsi="Times New Roman" w:eastAsia="宋体" w:cs="Times New Roman"/>
                <w:color w:val="FF0000"/>
                <w:spacing w:val="-4"/>
                <w:sz w:val="21"/>
                <w:szCs w:val="21"/>
              </w:rPr>
              <w:t>，猪尿</w:t>
            </w:r>
            <w:r>
              <w:rPr>
                <w:rFonts w:hint="eastAsia" w:cs="Times New Roman"/>
                <w:color w:val="FF0000"/>
                <w:spacing w:val="-4"/>
                <w:sz w:val="21"/>
                <w:szCs w:val="21"/>
                <w:lang w:val="en-US" w:eastAsia="zh-CN"/>
              </w:rPr>
              <w:t>排入氧化塘</w:t>
            </w:r>
            <w:r>
              <w:rPr>
                <w:rFonts w:hint="default" w:ascii="Times New Roman" w:hAnsi="Times New Roman" w:eastAsia="宋体" w:cs="Times New Roman"/>
                <w:color w:val="FF0000"/>
                <w:spacing w:val="-4"/>
                <w:sz w:val="21"/>
                <w:szCs w:val="21"/>
              </w:rPr>
              <w:t>内发酵6个月，处理后的液肥用于还田</w:t>
            </w:r>
            <w:r>
              <w:rPr>
                <w:rFonts w:hint="default" w:ascii="Times New Roman" w:hAnsi="Times New Roman" w:eastAsia="宋体" w:cs="Times New Roman"/>
                <w:color w:val="auto"/>
                <w:spacing w:val="-4"/>
                <w:sz w:val="21"/>
                <w:szCs w:val="21"/>
              </w:rPr>
              <w:t>猪舍地面采用漏缝地板，猪舍冲洗废水由猪舍内的地漏落到</w:t>
            </w:r>
            <w:r>
              <w:rPr>
                <w:rFonts w:hint="eastAsia" w:cs="Times New Roman"/>
                <w:color w:val="auto"/>
                <w:spacing w:val="-4"/>
                <w:sz w:val="21"/>
                <w:szCs w:val="21"/>
                <w:lang w:val="en-US" w:eastAsia="zh-CN"/>
              </w:rPr>
              <w:t>化</w:t>
            </w:r>
            <w:r>
              <w:rPr>
                <w:rFonts w:hint="default" w:ascii="Times New Roman" w:hAnsi="Times New Roman" w:eastAsia="宋体" w:cs="Times New Roman"/>
                <w:color w:val="auto"/>
                <w:spacing w:val="-4"/>
                <w:sz w:val="21"/>
                <w:szCs w:val="21"/>
              </w:rPr>
              <w:t>粪池内，</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r>
              <w:rPr>
                <w:rFonts w:hint="eastAsia" w:cs="Times New Roman"/>
                <w:color w:val="auto"/>
                <w:spacing w:val="-4"/>
                <w:sz w:val="21"/>
                <w:szCs w:val="21"/>
                <w:lang w:eastAsia="zh-CN"/>
              </w:rPr>
              <w:t>；</w:t>
            </w:r>
          </w:p>
        </w:tc>
        <w:tc>
          <w:tcPr>
            <w:tcW w:w="103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37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44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生活污水</w:t>
            </w:r>
          </w:p>
        </w:tc>
        <w:tc>
          <w:tcPr>
            <w:tcW w:w="45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246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sz w:val="21"/>
                <w:szCs w:val="21"/>
              </w:rPr>
              <w:t>生活污水</w:t>
            </w:r>
            <w:r>
              <w:rPr>
                <w:rFonts w:hint="eastAsia" w:cs="Times New Roman"/>
                <w:color w:val="auto"/>
                <w:spacing w:val="-4"/>
                <w:sz w:val="21"/>
                <w:szCs w:val="21"/>
                <w:lang w:val="en-US" w:eastAsia="zh-CN"/>
              </w:rPr>
              <w:t>排入</w:t>
            </w:r>
            <w:r>
              <w:rPr>
                <w:rFonts w:hint="default" w:ascii="Times New Roman" w:hAnsi="Times New Roman" w:eastAsia="宋体" w:cs="Times New Roman"/>
                <w:color w:val="auto"/>
                <w:spacing w:val="-4"/>
                <w:sz w:val="21"/>
                <w:szCs w:val="21"/>
              </w:rPr>
              <w:t>化粪池</w:t>
            </w:r>
            <w:r>
              <w:rPr>
                <w:rFonts w:hint="eastAsia" w:cs="Times New Roman"/>
                <w:color w:val="auto"/>
                <w:spacing w:val="-4"/>
                <w:sz w:val="21"/>
                <w:szCs w:val="21"/>
                <w:lang w:eastAsia="zh-CN"/>
              </w:rPr>
              <w:t>，</w:t>
            </w:r>
            <w:r>
              <w:rPr>
                <w:rFonts w:hint="eastAsia" w:cs="Times New Roman"/>
                <w:color w:val="auto"/>
                <w:spacing w:val="-4"/>
                <w:sz w:val="21"/>
                <w:szCs w:val="21"/>
                <w:lang w:val="en-US" w:eastAsia="zh-CN"/>
              </w:rPr>
              <w:t>经固液分离器分离后，</w:t>
            </w:r>
            <w:r>
              <w:rPr>
                <w:rFonts w:hint="default" w:ascii="Times New Roman" w:hAnsi="Times New Roman" w:eastAsia="宋体" w:cs="Times New Roman"/>
                <w:color w:val="auto"/>
                <w:spacing w:val="-4"/>
                <w:sz w:val="21"/>
                <w:szCs w:val="21"/>
              </w:rPr>
              <w:t>与猪尿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c>
          <w:tcPr>
            <w:tcW w:w="103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37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44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锅炉排污水</w:t>
            </w:r>
          </w:p>
        </w:tc>
        <w:tc>
          <w:tcPr>
            <w:tcW w:w="453"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清净下水</w:t>
            </w:r>
          </w:p>
        </w:tc>
        <w:tc>
          <w:tcPr>
            <w:tcW w:w="246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电锅炉排水用于场区洒水抑尘</w:t>
            </w:r>
          </w:p>
        </w:tc>
        <w:tc>
          <w:tcPr>
            <w:tcW w:w="103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37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pacing w:val="-4"/>
                <w:kern w:val="2"/>
                <w:sz w:val="21"/>
                <w:szCs w:val="21"/>
                <w:lang w:val="en-US" w:eastAsia="zh-CN" w:bidi="ar-SA"/>
              </w:rPr>
            </w:pPr>
            <w:r>
              <w:rPr>
                <w:rFonts w:hint="eastAsia" w:cs="Times New Roman"/>
                <w:color w:val="FF0000"/>
                <w:spacing w:val="-4"/>
                <w:sz w:val="21"/>
                <w:szCs w:val="21"/>
                <w:lang w:eastAsia="zh-CN"/>
              </w:rPr>
              <w:t>猪舍</w:t>
            </w:r>
            <w:r>
              <w:rPr>
                <w:rFonts w:hint="default" w:ascii="Times New Roman" w:hAnsi="Times New Roman" w:eastAsia="宋体" w:cs="Times New Roman"/>
                <w:color w:val="FF0000"/>
                <w:spacing w:val="-4"/>
                <w:sz w:val="21"/>
                <w:szCs w:val="21"/>
              </w:rPr>
              <w:t>降温水帘系统用水</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jc w:val="center"/>
              <w:rPr>
                <w:rFonts w:hint="default" w:ascii="Times New Roman" w:hAnsi="Times New Roman" w:eastAsia="宋体" w:cs="Times New Roman"/>
                <w:color w:val="auto"/>
                <w:spacing w:val="-4"/>
                <w:kern w:val="2"/>
                <w:sz w:val="21"/>
                <w:szCs w:val="21"/>
                <w:lang w:val="en-US" w:eastAsia="zh-CN" w:bidi="ar-SA"/>
              </w:rPr>
            </w:pPr>
            <w:r>
              <w:rPr>
                <w:rFonts w:hint="default" w:ascii="Times New Roman" w:hAnsi="Times New Roman" w:eastAsia="宋体" w:cs="Times New Roman"/>
                <w:color w:val="auto"/>
                <w:sz w:val="21"/>
                <w:szCs w:val="21"/>
              </w:rPr>
              <w:t>清净下水</w:t>
            </w:r>
          </w:p>
        </w:tc>
        <w:tc>
          <w:tcPr>
            <w:tcW w:w="246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pacing w:val="-4"/>
                <w:sz w:val="21"/>
                <w:szCs w:val="21"/>
              </w:rPr>
              <w:t>循环使用，无废水排放</w:t>
            </w:r>
          </w:p>
        </w:tc>
        <w:tc>
          <w:tcPr>
            <w:tcW w:w="103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37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444"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洗消中心洗车废水、消毒废水</w:t>
            </w:r>
          </w:p>
        </w:tc>
        <w:tc>
          <w:tcPr>
            <w:tcW w:w="45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2465"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sz w:val="21"/>
                <w:szCs w:val="21"/>
              </w:rPr>
              <w:t>经沉淀池处理后，上清液循环使用，不外排</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rPr>
              <w:t>/</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ascii="Times New Roman" w:hAnsi="Times New Roman" w:eastAsia="宋体" w:cs="Times New Roman"/>
                <w:color w:val="auto"/>
                <w:lang w:val="en-US" w:eastAsia="zh-CN"/>
              </w:rPr>
            </w:pPr>
            <w:r>
              <w:rPr>
                <w:rFonts w:hint="eastAsia" w:cs="Times New Roman"/>
                <w:color w:val="auto"/>
                <w:lang w:val="en-US" w:eastAsia="zh-CN"/>
              </w:rPr>
              <w:t>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地下水</w:t>
            </w: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地下水监控井</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bCs/>
                <w:color w:val="auto"/>
              </w:rPr>
            </w:pPr>
            <w:r>
              <w:rPr>
                <w:rFonts w:hint="default" w:ascii="Times New Roman" w:hAnsi="Times New Roman" w:eastAsia="宋体" w:cs="Times New Roman"/>
                <w:bCs/>
                <w:color w:val="auto"/>
              </w:rPr>
              <w:t>设置地下水监控井1眼，设置标示等</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《地下水质量标准》（GB/T14848-2017）中Ⅲ类标准</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工程防渗要求</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jc w:val="both"/>
              <w:rPr>
                <w:rFonts w:hint="default" w:ascii="Times New Roman" w:hAnsi="Times New Roman" w:eastAsia="宋体" w:cs="Times New Roman"/>
                <w:color w:val="auto"/>
              </w:rPr>
            </w:pPr>
            <w:r>
              <w:rPr>
                <w:rFonts w:hint="default" w:ascii="Times New Roman" w:hAnsi="Times New Roman" w:eastAsia="宋体" w:cs="Times New Roman"/>
                <w:color w:val="auto"/>
              </w:rPr>
              <w:t>1、重点防渗区涉及</w:t>
            </w:r>
            <w:r>
              <w:rPr>
                <w:rFonts w:hint="default" w:ascii="Times New Roman" w:hAnsi="Times New Roman" w:eastAsia="宋体" w:cs="Times New Roman"/>
                <w:color w:val="auto"/>
                <w:lang w:val="zh-CN"/>
              </w:rPr>
              <w:t>危险废物暂存间</w:t>
            </w:r>
            <w:r>
              <w:rPr>
                <w:rFonts w:hint="eastAsia" w:cs="Times New Roman"/>
                <w:color w:val="auto"/>
                <w:lang w:val="zh-CN"/>
              </w:rPr>
              <w:t>、安全填埋井</w:t>
            </w:r>
            <w:r>
              <w:rPr>
                <w:rFonts w:hint="default" w:ascii="Times New Roman" w:hAnsi="Times New Roman" w:eastAsia="宋体" w:cs="Times New Roman"/>
                <w:color w:val="auto"/>
              </w:rPr>
              <w:t>渗透系数要求小于1.0×10-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w:t>
            </w:r>
          </w:p>
          <w:p>
            <w:pPr>
              <w:pStyle w:val="58"/>
              <w:keepNext w:val="0"/>
              <w:keepLines w:val="0"/>
              <w:pageBreakBefore w:val="0"/>
              <w:kinsoku/>
              <w:wordWrap/>
              <w:overflowPunct/>
              <w:topLinePunct/>
              <w:autoSpaceDE w:val="0"/>
              <w:autoSpaceDN/>
              <w:bidi w:val="0"/>
              <w:adjustRightInd/>
              <w:snapToGrid/>
              <w:spacing w:line="360" w:lineRule="exact"/>
              <w:jc w:val="both"/>
              <w:rPr>
                <w:rFonts w:hint="default" w:ascii="Times New Roman" w:hAnsi="Times New Roman" w:eastAsia="宋体" w:cs="Times New Roman"/>
                <w:color w:val="auto"/>
              </w:rPr>
            </w:pPr>
            <w:r>
              <w:rPr>
                <w:rFonts w:hint="default" w:ascii="Times New Roman" w:hAnsi="Times New Roman" w:eastAsia="宋体" w:cs="Times New Roman"/>
                <w:color w:val="auto"/>
              </w:rPr>
              <w:t>2、一般防渗区：</w:t>
            </w:r>
          </w:p>
          <w:p>
            <w:pPr>
              <w:pStyle w:val="58"/>
              <w:keepNext w:val="0"/>
              <w:keepLines w:val="0"/>
              <w:pageBreakBefore w:val="0"/>
              <w:kinsoku/>
              <w:wordWrap/>
              <w:overflowPunct/>
              <w:topLinePunct/>
              <w:autoSpaceDE w:val="0"/>
              <w:autoSpaceDN/>
              <w:bidi w:val="0"/>
              <w:adjustRightInd/>
              <w:snapToGrid/>
              <w:spacing w:line="360" w:lineRule="exact"/>
              <w:jc w:val="both"/>
              <w:rPr>
                <w:rFonts w:hint="default" w:ascii="Times New Roman" w:hAnsi="Times New Roman" w:eastAsia="宋体" w:cs="Times New Roman"/>
                <w:color w:val="auto"/>
              </w:rPr>
            </w:pPr>
            <w:r>
              <w:rPr>
                <w:rFonts w:hint="default" w:ascii="Times New Roman" w:hAnsi="Times New Roman" w:eastAsia="宋体" w:cs="Times New Roman"/>
                <w:color w:val="auto"/>
              </w:rPr>
              <w:t>1）对</w:t>
            </w:r>
            <w:r>
              <w:rPr>
                <w:rFonts w:hint="eastAsia" w:cs="Times New Roman"/>
                <w:color w:val="auto"/>
                <w:lang w:eastAsia="zh-CN"/>
              </w:rPr>
              <w:t>沉淀池</w:t>
            </w:r>
            <w:r>
              <w:rPr>
                <w:rFonts w:hint="default" w:ascii="Times New Roman" w:hAnsi="Times New Roman" w:eastAsia="宋体" w:cs="Times New Roman"/>
                <w:color w:val="auto"/>
              </w:rPr>
              <w:t>、</w:t>
            </w:r>
            <w:r>
              <w:rPr>
                <w:rFonts w:hint="eastAsia" w:cs="Times New Roman"/>
                <w:color w:val="auto"/>
                <w:lang w:eastAsia="zh-CN"/>
              </w:rPr>
              <w:t>化粪池</w:t>
            </w:r>
            <w:r>
              <w:rPr>
                <w:rFonts w:hint="default" w:ascii="Times New Roman" w:hAnsi="Times New Roman" w:eastAsia="宋体" w:cs="Times New Roman"/>
                <w:color w:val="auto"/>
              </w:rPr>
              <w:t>、</w:t>
            </w:r>
            <w:r>
              <w:rPr>
                <w:rFonts w:hint="eastAsia" w:cs="Times New Roman"/>
                <w:color w:val="auto"/>
                <w:lang w:eastAsia="zh-CN"/>
              </w:rPr>
              <w:t>猪舍</w:t>
            </w:r>
            <w:r>
              <w:rPr>
                <w:rFonts w:hint="default" w:ascii="Times New Roman" w:hAnsi="Times New Roman" w:eastAsia="宋体" w:cs="Times New Roman"/>
                <w:color w:val="auto"/>
              </w:rPr>
              <w:t>粪污通道、</w:t>
            </w:r>
            <w:r>
              <w:rPr>
                <w:rFonts w:hint="eastAsia" w:cs="Times New Roman"/>
                <w:color w:val="auto"/>
                <w:lang w:eastAsia="zh-CN"/>
              </w:rPr>
              <w:t>晾粪台</w:t>
            </w:r>
            <w:r>
              <w:rPr>
                <w:rFonts w:hint="default" w:ascii="Times New Roman" w:hAnsi="Times New Roman" w:eastAsia="宋体" w:cs="Times New Roman"/>
                <w:color w:val="auto"/>
              </w:rPr>
              <w:t>基础防渗具体做法为：防渗层为敷设不小于2mm的高密度聚氯乙烯（HDPE）人工防渗膜，膜上、膜下设置“长丝无纺土工布”保护层，并铺设不小于100mm的混凝土保护层，或其他材料可满足渗透系数小于1.0×10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w:t>
            </w:r>
          </w:p>
          <w:p>
            <w:pPr>
              <w:pStyle w:val="58"/>
              <w:keepNext w:val="0"/>
              <w:keepLines w:val="0"/>
              <w:pageBreakBefore w:val="0"/>
              <w:kinsoku/>
              <w:wordWrap/>
              <w:overflowPunct/>
              <w:topLinePunct/>
              <w:autoSpaceDE w:val="0"/>
              <w:autoSpaceDN/>
              <w:bidi w:val="0"/>
              <w:adjustRightInd/>
              <w:snapToGrid/>
              <w:spacing w:line="360" w:lineRule="exact"/>
              <w:jc w:val="both"/>
              <w:rPr>
                <w:rFonts w:hint="default" w:ascii="Times New Roman" w:hAnsi="Times New Roman" w:eastAsia="宋体" w:cs="Times New Roman"/>
                <w:color w:val="auto"/>
              </w:rPr>
            </w:pPr>
            <w:r>
              <w:rPr>
                <w:rFonts w:hint="default" w:ascii="Times New Roman" w:hAnsi="Times New Roman" w:eastAsia="宋体" w:cs="Times New Roman"/>
                <w:color w:val="auto"/>
              </w:rPr>
              <w:t>2）对氧化塘采取以下防渗措施：</w:t>
            </w:r>
          </w:p>
          <w:p>
            <w:pPr>
              <w:pStyle w:val="58"/>
              <w:keepNext w:val="0"/>
              <w:keepLines w:val="0"/>
              <w:pageBreakBefore w:val="0"/>
              <w:kinsoku/>
              <w:wordWrap/>
              <w:overflowPunct/>
              <w:topLinePunct/>
              <w:autoSpaceDE w:val="0"/>
              <w:autoSpaceDN/>
              <w:bidi w:val="0"/>
              <w:adjustRightInd/>
              <w:snapToGrid/>
              <w:spacing w:line="360" w:lineRule="exact"/>
              <w:jc w:val="both"/>
              <w:rPr>
                <w:rFonts w:hint="default" w:ascii="Times New Roman" w:hAnsi="Times New Roman" w:eastAsia="宋体" w:cs="Times New Roman"/>
                <w:color w:val="auto"/>
              </w:rPr>
            </w:pPr>
            <w:r>
              <w:rPr>
                <w:rFonts w:hint="default" w:ascii="Times New Roman" w:hAnsi="Times New Roman" w:eastAsia="宋体" w:cs="Times New Roman"/>
                <w:color w:val="auto"/>
              </w:rPr>
              <w:t>池底及坡道采用粘土找平，底部素土夯实，夯实层以上设20mm厚1:3水泥砂浆找平层，防渗层为敷设不小于2mm的高密度聚氯乙烯（HDPE）人工防渗膜，膜上、膜下设置“长丝无纺土工布”保护层，并铺设不小于100mm的混凝土保护层，或其他材料可满足渗透系数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w:t>
            </w:r>
          </w:p>
          <w:p>
            <w:pPr>
              <w:pStyle w:val="58"/>
              <w:keepNext w:val="0"/>
              <w:keepLines w:val="0"/>
              <w:pageBreakBefore w:val="0"/>
              <w:kinsoku/>
              <w:wordWrap/>
              <w:overflowPunct/>
              <w:topLinePunct/>
              <w:autoSpaceDE w:val="0"/>
              <w:autoSpaceDN/>
              <w:bidi w:val="0"/>
              <w:adjustRightInd/>
              <w:snapToGrid/>
              <w:spacing w:line="360" w:lineRule="exact"/>
              <w:jc w:val="both"/>
              <w:rPr>
                <w:rFonts w:hint="default" w:ascii="Times New Roman" w:hAnsi="Times New Roman" w:eastAsia="宋体" w:cs="Times New Roman"/>
                <w:bCs/>
                <w:color w:val="auto"/>
              </w:rPr>
            </w:pPr>
            <w:r>
              <w:rPr>
                <w:rFonts w:hint="default" w:ascii="Times New Roman" w:hAnsi="Times New Roman" w:eastAsia="宋体" w:cs="Times New Roman"/>
                <w:color w:val="auto"/>
              </w:rPr>
              <w:t>3、对于消毒室、场区道路、</w:t>
            </w:r>
            <w:r>
              <w:rPr>
                <w:rFonts w:hint="eastAsia" w:cs="Times New Roman"/>
                <w:color w:val="auto"/>
                <w:lang w:eastAsia="zh-CN"/>
              </w:rPr>
              <w:t>猪舍</w:t>
            </w:r>
            <w:r>
              <w:rPr>
                <w:rFonts w:hint="default" w:ascii="Times New Roman" w:hAnsi="Times New Roman" w:eastAsia="宋体" w:cs="Times New Roman"/>
                <w:color w:val="auto"/>
              </w:rPr>
              <w:t>饲料通道等生产区，铺设防渗混凝土地面进行防渗。</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《畜禽养殖业污染物排放标（GB18596-2001）》，《危险废物贮存污染控制标准》（GB18597-2001）</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参照《一般工业固体废物贮存、处置场污染控制标准》（GB18599-2001）</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eastAsia" w:cs="Times New Roman"/>
                <w:color w:val="auto"/>
                <w:lang w:val="en-US" w:eastAsia="zh-CN"/>
              </w:rPr>
              <w:t>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固体废物</w:t>
            </w: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危险废物</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设危险废物暂存间1座，建筑面积10m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，暂存运营过程产生的医疗废弃物，暂存后交由有资质单位处理；</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1）贮存场所地面须作硬化处理，以混凝土、砖、或经过防止腐化处理的钢材料进行建设，地面敷设2mm厚HDPE膜进行防渗处理，以防止渗漏和腐蚀。存放液体性危险废物的贮存场所必须设计导流槽和收集井。场所需要密闭且有通风口。</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2）危废暂存间的地面与裙脚要用坚固、防渗的材料建造，建筑材料必须与危险废物相容。</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《危险废物贮存污染控制标准》（GB18597-2001）</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ascii="Times New Roman" w:hAnsi="Times New Roman" w:eastAsia="宋体" w:cs="Times New Roman"/>
                <w:color w:val="auto"/>
                <w:lang w:eastAsia="zh-CN"/>
              </w:rPr>
            </w:pPr>
            <w:r>
              <w:rPr>
                <w:rFonts w:hint="eastAsia" w:cs="Times New Roman"/>
                <w:color w:val="auto"/>
                <w:lang w:val="en-US" w:eastAsia="zh-CN"/>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ascii="Times New Roman" w:hAnsi="Times New Roman" w:eastAsia="宋体" w:cs="Times New Roman"/>
                <w:color w:val="auto"/>
                <w:lang w:eastAsia="zh-CN"/>
              </w:rPr>
            </w:pPr>
            <w:r>
              <w:rPr>
                <w:rFonts w:hint="eastAsia" w:cs="Times New Roman"/>
                <w:color w:val="auto"/>
                <w:lang w:eastAsia="zh-CN"/>
              </w:rPr>
              <w:t>病死猪</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设置2个填埋井进行无害化处理。</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《畜禽养殖业污染治理工程技术规范》（HJ497-2009）、《畜禽养殖业污染防治技术规范》（HJ/T81-2001）、《病死及病害动物无害化处理技术规范》（农医发[2017]25号）</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ascii="Times New Roman" w:hAnsi="Times New Roman" w:eastAsia="宋体" w:cs="Times New Roman"/>
                <w:color w:val="auto"/>
                <w:lang w:eastAsia="zh-CN"/>
              </w:rPr>
            </w:pPr>
            <w:r>
              <w:rPr>
                <w:rFonts w:hint="eastAsia" w:cs="Times New Roman"/>
                <w:color w:val="auto"/>
                <w:lang w:val="en-US" w:eastAsia="zh-CN"/>
              </w:rPr>
              <w:t>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ascii="Times New Roman" w:hAnsi="Times New Roman" w:eastAsia="宋体" w:cs="Times New Roman"/>
                <w:color w:val="auto"/>
                <w:lang w:eastAsia="zh-CN"/>
              </w:rPr>
            </w:pPr>
            <w:r>
              <w:rPr>
                <w:rFonts w:hint="eastAsia" w:cs="Times New Roman"/>
                <w:color w:val="auto"/>
                <w:lang w:eastAsia="zh-CN"/>
              </w:rPr>
              <w:t>猪粪</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猪舍地面采用漏缝地板，猪粪和猪尿依靠重力作用落到化粪池内，经固液分离器将猪粪分离后，猪粪储存于晾粪台，出售有机肥生产厂家进行资源化利用</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资源化利用，满足《畜禽养殖业污染物排放标准》（GB18596-2001）</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eastAsia" w:cs="Times New Roman"/>
                <w:color w:val="auto"/>
                <w:lang w:val="en-US" w:eastAsia="zh-CN"/>
              </w:rPr>
              <w:t>2</w:t>
            </w:r>
            <w:r>
              <w:rPr>
                <w:rFonts w:hint="default" w:ascii="Times New Roman" w:hAnsi="Times New Roman" w:eastAsia="宋体" w:cs="Times New Roman"/>
                <w:color w:val="auto"/>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电锅炉</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废离子交换树脂</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lang w:val="en-US" w:eastAsia="zh-CN"/>
              </w:rPr>
            </w:pPr>
            <w:r>
              <w:rPr>
                <w:rFonts w:hint="eastAsia" w:cs="Times New Roman"/>
                <w:color w:val="auto"/>
                <w:sz w:val="21"/>
                <w:szCs w:val="21"/>
                <w:highlight w:val="none"/>
                <w:lang w:eastAsia="zh-CN"/>
              </w:rPr>
              <w:t>由厂家</w:t>
            </w:r>
            <w:r>
              <w:rPr>
                <w:rFonts w:hint="eastAsia" w:cs="Times New Roman"/>
                <w:color w:val="auto"/>
                <w:sz w:val="21"/>
                <w:szCs w:val="21"/>
                <w:highlight w:val="none"/>
                <w:lang w:val="en-US" w:eastAsia="zh-CN"/>
              </w:rPr>
              <w:t>回收</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《一般工业固体废物贮存、处置场污染控制标准》（GB18599-2001）及其修改单</w:t>
            </w:r>
          </w:p>
        </w:tc>
        <w:tc>
          <w:tcPr>
            <w:tcW w:w="378"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人员</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生活垃圾</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场区设置垃圾桶分类收集，</w:t>
            </w:r>
            <w:r>
              <w:rPr>
                <w:rFonts w:hint="default" w:ascii="Times New Roman" w:hAnsi="Times New Roman" w:eastAsia="宋体" w:cs="Times New Roman"/>
                <w:color w:val="auto"/>
                <w:sz w:val="21"/>
                <w:szCs w:val="21"/>
                <w:lang w:bidi="zh-CN"/>
              </w:rPr>
              <w:t>清运到环卫部门指定的地点集中处理</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37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噪声</w:t>
            </w: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风机和泵类</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lang w:val="en-GB"/>
              </w:rPr>
              <w:t>噪声</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基础减振、全封闭厂房等措施</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《工业企业厂界环境噪声排放标准》（GB12348-2008）2类标准值</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农肥</w:t>
            </w: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农肥</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液体有机肥采用罐车进行还田</w:t>
            </w:r>
            <w:r>
              <w:rPr>
                <w:rFonts w:hint="eastAsia" w:cs="Times New Roman"/>
                <w:color w:val="auto"/>
                <w:lang w:eastAsia="zh-CN"/>
              </w:rPr>
              <w:t>，</w:t>
            </w:r>
            <w:r>
              <w:rPr>
                <w:rFonts w:hint="default" w:ascii="Times New Roman" w:hAnsi="Times New Roman" w:eastAsia="宋体" w:cs="Times New Roman"/>
                <w:color w:val="auto"/>
              </w:rPr>
              <w:t>对农肥的无害化程度进行检测，主要检测蛔虫卵、粪大肠菌群数等，满足相关法规及规范关于无害化的要求。</w:t>
            </w:r>
          </w:p>
        </w:tc>
        <w:tc>
          <w:tcPr>
            <w:tcW w:w="1038" w:type="pct"/>
            <w:vMerge w:val="restar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满足《畜禽规模养殖污染防治条例》（第643号）有关畜禽粪便综合利用与治理相关要求及《畜禽养殖业污染物排放标准》（GB18596-2001）中表6畜禽养殖业废渣无害化环境标准关于无害化的要求，</w:t>
            </w:r>
          </w:p>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进行资源化还田</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444"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消纳土地</w:t>
            </w:r>
          </w:p>
        </w:tc>
        <w:tc>
          <w:tcPr>
            <w:tcW w:w="453"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项目运营时配套有效消纳土地不少于</w:t>
            </w:r>
            <w:r>
              <w:rPr>
                <w:rFonts w:hint="default" w:ascii="Times New Roman" w:hAnsi="Times New Roman" w:eastAsia="宋体" w:cs="Times New Roman"/>
                <w:color w:val="auto"/>
                <w:lang w:eastAsia="zh-CN"/>
              </w:rPr>
              <w:t>1</w:t>
            </w:r>
            <w:r>
              <w:rPr>
                <w:rFonts w:hint="eastAsia" w:cs="Times New Roman"/>
                <w:color w:val="auto"/>
                <w:lang w:val="en-US" w:eastAsia="zh-CN"/>
              </w:rPr>
              <w:t>0</w:t>
            </w:r>
            <w:r>
              <w:rPr>
                <w:rFonts w:hint="default" w:ascii="Times New Roman" w:hAnsi="Times New Roman" w:eastAsia="宋体" w:cs="Times New Roman"/>
                <w:color w:val="auto"/>
                <w:lang w:eastAsia="zh-CN"/>
              </w:rPr>
              <w:t>00亩</w:t>
            </w:r>
            <w:r>
              <w:rPr>
                <w:rFonts w:hint="default" w:ascii="Times New Roman" w:hAnsi="Times New Roman" w:eastAsia="宋体" w:cs="Times New Roman"/>
                <w:color w:val="auto"/>
              </w:rPr>
              <w:t>，消纳项目所产生的尿液降解发酵形成的粪便农肥。</w:t>
            </w:r>
          </w:p>
        </w:tc>
        <w:tc>
          <w:tcPr>
            <w:tcW w:w="1038" w:type="pct"/>
            <w:vMerge w:val="continue"/>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lang w:val="en-US" w:eastAsia="zh-CN"/>
              </w:rPr>
            </w:pPr>
            <w:r>
              <w:rPr>
                <w:rFonts w:hint="eastAsia" w:cs="Times New Roman"/>
                <w:color w:val="auto"/>
                <w:lang w:val="en-US" w:eastAsia="zh-CN"/>
              </w:rPr>
              <w:t>15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1"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绿化</w:t>
            </w:r>
          </w:p>
        </w:tc>
        <w:tc>
          <w:tcPr>
            <w:tcW w:w="897" w:type="pct"/>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lang w:val="en-GB"/>
              </w:rPr>
            </w:pPr>
            <w:r>
              <w:rPr>
                <w:rFonts w:hint="default" w:ascii="Times New Roman" w:hAnsi="Times New Roman" w:eastAsia="宋体" w:cs="Times New Roman"/>
                <w:color w:val="auto"/>
                <w:lang w:val="en-GB"/>
              </w:rPr>
              <w:t>绿化工程</w:t>
            </w:r>
          </w:p>
        </w:tc>
        <w:tc>
          <w:tcPr>
            <w:tcW w:w="2465"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在场区四周、建筑物及道路两侧要种植乔灌相间的常青树，尤其应对</w:t>
            </w:r>
            <w:r>
              <w:rPr>
                <w:rFonts w:hint="eastAsia" w:cs="Times New Roman"/>
                <w:color w:val="auto"/>
                <w:lang w:eastAsia="zh-CN"/>
              </w:rPr>
              <w:t>猪场</w:t>
            </w:r>
            <w:r>
              <w:rPr>
                <w:rFonts w:hint="default" w:ascii="Times New Roman" w:hAnsi="Times New Roman" w:eastAsia="宋体" w:cs="Times New Roman"/>
                <w:color w:val="auto"/>
              </w:rPr>
              <w:t>进行重点绿化，选择适宜的树种和草本植物，结合地区气候条件进行绿化美化工作环境，绿化面积为</w:t>
            </w:r>
            <w:r>
              <w:rPr>
                <w:rFonts w:hint="default" w:ascii="Times New Roman" w:hAnsi="Times New Roman" w:eastAsia="宋体" w:cs="Times New Roman"/>
                <w:color w:val="auto"/>
                <w:lang w:val="en-US" w:eastAsia="zh-CN"/>
              </w:rPr>
              <w:t>10</w:t>
            </w:r>
            <w:r>
              <w:rPr>
                <w:rFonts w:hint="default" w:ascii="Times New Roman" w:hAnsi="Times New Roman" w:eastAsia="宋体" w:cs="Times New Roman"/>
                <w:color w:val="auto"/>
              </w:rPr>
              <w:t>00m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eastAsia" w:ascii="Times New Roman" w:hAnsi="Times New Roman" w:eastAsia="宋体" w:cs="Times New Roman"/>
                <w:color w:val="auto"/>
                <w:lang w:eastAsia="zh-CN"/>
              </w:rPr>
            </w:pPr>
            <w:r>
              <w:rPr>
                <w:rFonts w:hint="eastAsia" w:cs="Times New Roman"/>
                <w:color w:val="auto"/>
                <w:lang w:val="en-US" w:eastAsia="zh-CN"/>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5" w:type="pct"/>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环境监测</w:t>
            </w:r>
          </w:p>
        </w:tc>
        <w:tc>
          <w:tcPr>
            <w:tcW w:w="2918" w:type="pct"/>
            <w:gridSpan w:val="2"/>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委托有资质的监测单位每年进行例行监测。</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按相关操作规程进行</w:t>
            </w: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583" w:type="pct"/>
            <w:gridSpan w:val="4"/>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r>
              <w:rPr>
                <w:rFonts w:hint="default" w:ascii="Times New Roman" w:hAnsi="Times New Roman" w:eastAsia="宋体" w:cs="Times New Roman"/>
                <w:color w:val="auto"/>
              </w:rPr>
              <w:t>合计</w:t>
            </w:r>
          </w:p>
        </w:tc>
        <w:tc>
          <w:tcPr>
            <w:tcW w:w="103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rPr>
            </w:pPr>
          </w:p>
        </w:tc>
        <w:tc>
          <w:tcPr>
            <w:tcW w:w="378" w:type="pct"/>
            <w:vAlign w:val="center"/>
          </w:tcPr>
          <w:p>
            <w:pPr>
              <w:pStyle w:val="58"/>
              <w:keepNext w:val="0"/>
              <w:keepLines w:val="0"/>
              <w:pageBreakBefore w:val="0"/>
              <w:kinsoku/>
              <w:wordWrap/>
              <w:overflowPunct/>
              <w:topLinePunct/>
              <w:autoSpaceDE w:val="0"/>
              <w:autoSpaceDN/>
              <w:bidi w:val="0"/>
              <w:adjustRightInd/>
              <w:snapToGrid/>
              <w:spacing w:line="360" w:lineRule="exact"/>
              <w:rPr>
                <w:rFonts w:hint="default" w:ascii="Times New Roman" w:hAnsi="Times New Roman" w:eastAsia="宋体" w:cs="Times New Roman"/>
                <w:color w:val="auto"/>
                <w:lang w:val="en-US" w:eastAsia="zh-CN"/>
              </w:rPr>
            </w:pPr>
            <w:r>
              <w:rPr>
                <w:rFonts w:hint="eastAsia" w:cs="Times New Roman"/>
                <w:color w:val="auto"/>
                <w:lang w:val="en-US" w:eastAsia="zh-CN"/>
              </w:rPr>
              <w:t>171.8</w:t>
            </w:r>
          </w:p>
        </w:tc>
      </w:tr>
    </w:tbl>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p>
    <w:p>
      <w:pPr>
        <w:pStyle w:val="4"/>
        <w:rPr>
          <w:rFonts w:hint="default" w:ascii="Times New Roman" w:hAnsi="Times New Roman" w:eastAsia="宋体" w:cs="Times New Roman"/>
          <w:color w:val="auto"/>
        </w:rPr>
        <w:sectPr>
          <w:pgSz w:w="16838" w:h="11906" w:orient="landscape"/>
          <w:pgMar w:top="1418" w:right="1247" w:bottom="1701" w:left="1418" w:header="851" w:footer="992" w:gutter="0"/>
          <w:pgBorders>
            <w:top w:val="none" w:sz="0" w:space="0"/>
            <w:left w:val="none" w:sz="0" w:space="0"/>
            <w:bottom w:val="none" w:sz="0" w:space="0"/>
            <w:right w:val="none" w:sz="0" w:space="0"/>
          </w:pgBorders>
          <w:pgNumType w:fmt="numberInDash"/>
          <w:cols w:space="720" w:num="1"/>
          <w:docGrid w:linePitch="326" w:charSpace="0"/>
        </w:sectPr>
      </w:pPr>
    </w:p>
    <w:p>
      <w:pPr>
        <w:pStyle w:val="4"/>
        <w:rPr>
          <w:rFonts w:hint="default" w:ascii="Times New Roman" w:hAnsi="Times New Roman" w:eastAsia="宋体" w:cs="Times New Roman"/>
          <w:color w:val="auto"/>
        </w:rPr>
      </w:pPr>
      <w:bookmarkStart w:id="517" w:name="_Toc22544"/>
      <w:r>
        <w:rPr>
          <w:rFonts w:hint="default" w:ascii="Times New Roman" w:hAnsi="Times New Roman" w:eastAsia="宋体" w:cs="Times New Roman"/>
          <w:color w:val="auto"/>
        </w:rPr>
        <w:t>8环境影响经济损益分析</w:t>
      </w:r>
      <w:bookmarkEnd w:id="442"/>
      <w:bookmarkEnd w:id="517"/>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环境经济损益分析主要任务是估算建设项目需要投入的环保投资和所能收到的环境保护效果。因此，在环境经济损益分析中，除需计算用于控制污染所需投资和费用外，还要同时核算可能收到的环境与经济实效。</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然而，经济效益比较直观，很容易用货币直接计算，而污染影响带来的损失一般是间接的，很难用货币直接计算。因此，目前环境影响经济定量化分析难度较大，本项目环境经济损益采用定性与半定量相结合的方法进行讨论。</w:t>
      </w:r>
    </w:p>
    <w:p>
      <w:pPr>
        <w:pStyle w:val="5"/>
        <w:rPr>
          <w:rFonts w:hint="default" w:ascii="Times New Roman" w:hAnsi="Times New Roman" w:eastAsia="宋体" w:cs="Times New Roman"/>
          <w:color w:val="auto"/>
        </w:rPr>
      </w:pPr>
      <w:bookmarkStart w:id="518" w:name="_Toc487188665"/>
      <w:bookmarkStart w:id="519" w:name="_Toc494206391"/>
      <w:bookmarkStart w:id="520" w:name="_Toc523322384"/>
      <w:bookmarkStart w:id="521" w:name="_Toc10044"/>
      <w:r>
        <w:rPr>
          <w:rFonts w:hint="default" w:ascii="Times New Roman" w:hAnsi="Times New Roman" w:eastAsia="宋体" w:cs="Times New Roman"/>
          <w:color w:val="auto"/>
        </w:rPr>
        <w:t>8.1经济效益分析</w:t>
      </w:r>
      <w:bookmarkEnd w:id="518"/>
      <w:bookmarkEnd w:id="519"/>
      <w:bookmarkEnd w:id="520"/>
      <w:bookmarkEnd w:id="521"/>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项目总投资</w:t>
      </w:r>
      <w:r>
        <w:rPr>
          <w:rFonts w:hint="eastAsia" w:cs="Times New Roman"/>
          <w:color w:val="auto"/>
          <w:lang w:val="en-US" w:eastAsia="zh-CN"/>
        </w:rPr>
        <w:t>2100</w:t>
      </w:r>
      <w:r>
        <w:rPr>
          <w:rFonts w:hint="default" w:ascii="Times New Roman" w:hAnsi="Times New Roman" w:eastAsia="宋体" w:cs="Times New Roman"/>
          <w:color w:val="auto"/>
        </w:rPr>
        <w:t>万元，资金来源企业自筹。项目的投产运营，经济效益主要通过产品销售获得。根据项目可研，项目年运行成本及利润估算见表8.1-1。</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表8.1-1    运行成本及利润估算表</w:t>
      </w:r>
    </w:p>
    <w:tbl>
      <w:tblPr>
        <w:tblStyle w:val="34"/>
        <w:tblW w:w="917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45"/>
        <w:gridCol w:w="5730"/>
        <w:gridCol w:w="249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blHeader/>
          <w:jc w:val="center"/>
        </w:trPr>
        <w:tc>
          <w:tcPr>
            <w:tcW w:w="94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序号</w:t>
            </w:r>
          </w:p>
        </w:tc>
        <w:tc>
          <w:tcPr>
            <w:tcW w:w="573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项目</w:t>
            </w:r>
          </w:p>
        </w:tc>
        <w:tc>
          <w:tcPr>
            <w:tcW w:w="2499"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单位（万元/年）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4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w:t>
            </w:r>
          </w:p>
        </w:tc>
        <w:tc>
          <w:tcPr>
            <w:tcW w:w="573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总投资</w:t>
            </w:r>
          </w:p>
        </w:tc>
        <w:tc>
          <w:tcPr>
            <w:tcW w:w="2499" w:type="dxa"/>
            <w:vAlign w:val="center"/>
          </w:tcPr>
          <w:p>
            <w:pPr>
              <w:pStyle w:val="58"/>
              <w:rPr>
                <w:rFonts w:hint="default" w:ascii="Times New Roman" w:hAnsi="Times New Roman" w:eastAsia="宋体" w:cs="Times New Roman"/>
                <w:color w:val="auto"/>
              </w:rPr>
            </w:pPr>
            <w:r>
              <w:rPr>
                <w:rFonts w:hint="eastAsia" w:cs="Times New Roman"/>
                <w:color w:val="auto"/>
                <w:lang w:val="en-US" w:eastAsia="zh-CN"/>
              </w:rPr>
              <w:t>2100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4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w:t>
            </w:r>
          </w:p>
        </w:tc>
        <w:tc>
          <w:tcPr>
            <w:tcW w:w="573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总成本费用</w:t>
            </w:r>
          </w:p>
        </w:tc>
        <w:tc>
          <w:tcPr>
            <w:tcW w:w="2499" w:type="dxa"/>
            <w:vAlign w:val="center"/>
          </w:tcPr>
          <w:p>
            <w:pPr>
              <w:pStyle w:val="58"/>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1268.86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4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3</w:t>
            </w:r>
          </w:p>
        </w:tc>
        <w:tc>
          <w:tcPr>
            <w:tcW w:w="573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年销售收入</w:t>
            </w:r>
          </w:p>
        </w:tc>
        <w:tc>
          <w:tcPr>
            <w:tcW w:w="2499" w:type="dxa"/>
            <w:vAlign w:val="center"/>
          </w:tcPr>
          <w:p>
            <w:pPr>
              <w:pStyle w:val="58"/>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5191.7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45"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4</w:t>
            </w:r>
          </w:p>
        </w:tc>
        <w:tc>
          <w:tcPr>
            <w:tcW w:w="5730" w:type="dxa"/>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年均利润总额</w:t>
            </w:r>
          </w:p>
        </w:tc>
        <w:tc>
          <w:tcPr>
            <w:tcW w:w="2499" w:type="dxa"/>
            <w:vAlign w:val="center"/>
          </w:tcPr>
          <w:p>
            <w:pPr>
              <w:pStyle w:val="58"/>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3884.73</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从表8.1-1可见，本项目财务生存能力良好，工程财务指标较好，具有较强的清偿能力和抗风险能力，因而从经济方面考虑本项目可行。</w:t>
      </w:r>
    </w:p>
    <w:p>
      <w:pPr>
        <w:pStyle w:val="5"/>
        <w:rPr>
          <w:rFonts w:hint="default" w:ascii="Times New Roman" w:hAnsi="Times New Roman" w:eastAsia="宋体" w:cs="Times New Roman"/>
          <w:color w:val="auto"/>
        </w:rPr>
      </w:pPr>
      <w:bookmarkStart w:id="522" w:name="_Toc494206392"/>
      <w:bookmarkStart w:id="523" w:name="_Toc523322385"/>
      <w:bookmarkStart w:id="524" w:name="_Toc487188666"/>
      <w:bookmarkStart w:id="525" w:name="_Toc23108"/>
      <w:r>
        <w:rPr>
          <w:rFonts w:hint="default" w:ascii="Times New Roman" w:hAnsi="Times New Roman" w:eastAsia="宋体" w:cs="Times New Roman"/>
          <w:color w:val="auto"/>
        </w:rPr>
        <w:t>8.2社会效益分析</w:t>
      </w:r>
      <w:bookmarkEnd w:id="522"/>
      <w:bookmarkEnd w:id="523"/>
      <w:bookmarkEnd w:id="524"/>
      <w:bookmarkEnd w:id="52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本项目建成投产后，不仅可以增加国家和地方财税收入，同时可以增加新的就业岗位，带动相关产业的发展，增加间接的就业机会，对促进区域经济和社会发展具有重要意义。</w:t>
      </w:r>
    </w:p>
    <w:p>
      <w:pPr>
        <w:pStyle w:val="5"/>
        <w:rPr>
          <w:rFonts w:hint="default" w:ascii="Times New Roman" w:hAnsi="Times New Roman" w:eastAsia="宋体" w:cs="Times New Roman"/>
          <w:color w:val="auto"/>
        </w:rPr>
      </w:pPr>
      <w:bookmarkStart w:id="526" w:name="_Toc494206393"/>
      <w:bookmarkStart w:id="527" w:name="_Toc487188667"/>
      <w:bookmarkStart w:id="528" w:name="_Toc523322386"/>
      <w:bookmarkStart w:id="529" w:name="_Toc3318"/>
      <w:r>
        <w:rPr>
          <w:rFonts w:hint="default" w:ascii="Times New Roman" w:hAnsi="Times New Roman" w:eastAsia="宋体" w:cs="Times New Roman"/>
          <w:color w:val="auto"/>
        </w:rPr>
        <w:t>8.3环境效益分析</w:t>
      </w:r>
      <w:bookmarkEnd w:id="526"/>
      <w:bookmarkEnd w:id="527"/>
      <w:bookmarkEnd w:id="528"/>
      <w:bookmarkEnd w:id="529"/>
    </w:p>
    <w:p>
      <w:pPr>
        <w:pStyle w:val="6"/>
        <w:rPr>
          <w:rFonts w:hint="default" w:ascii="Times New Roman" w:hAnsi="Times New Roman" w:eastAsia="宋体" w:cs="Times New Roman"/>
          <w:color w:val="auto"/>
        </w:rPr>
      </w:pPr>
      <w:bookmarkStart w:id="530" w:name="_Toc523322387"/>
      <w:bookmarkStart w:id="531" w:name="_Toc487188668"/>
      <w:bookmarkStart w:id="532" w:name="_Toc494206394"/>
      <w:bookmarkStart w:id="533" w:name="_Toc18738"/>
      <w:r>
        <w:rPr>
          <w:rFonts w:hint="default" w:ascii="Times New Roman" w:hAnsi="Times New Roman" w:eastAsia="宋体" w:cs="Times New Roman"/>
          <w:color w:val="auto"/>
        </w:rPr>
        <w:t>8.3.1环保投资费用</w:t>
      </w:r>
      <w:bookmarkEnd w:id="530"/>
      <w:bookmarkEnd w:id="531"/>
      <w:bookmarkEnd w:id="532"/>
      <w:bookmarkEnd w:id="53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环保投资主要包括废气处理工程、地下水防治工程、噪声处理工程和其它不可预见费用等。本工程总投资</w:t>
      </w:r>
      <w:r>
        <w:rPr>
          <w:rFonts w:hint="eastAsia" w:cs="Times New Roman"/>
          <w:color w:val="auto"/>
          <w:lang w:val="en-US" w:eastAsia="zh-CN"/>
        </w:rPr>
        <w:t>2100</w:t>
      </w:r>
      <w:r>
        <w:rPr>
          <w:rFonts w:hint="default" w:ascii="Times New Roman" w:hAnsi="Times New Roman" w:eastAsia="宋体" w:cs="Times New Roman"/>
          <w:color w:val="auto"/>
        </w:rPr>
        <w:t>万元，其中环保投资</w:t>
      </w:r>
      <w:r>
        <w:rPr>
          <w:rFonts w:hint="eastAsia" w:cs="Times New Roman"/>
          <w:color w:val="auto"/>
          <w:lang w:val="en-US" w:eastAsia="zh-CN"/>
        </w:rPr>
        <w:t>171.8</w:t>
      </w:r>
      <w:r>
        <w:rPr>
          <w:rFonts w:hint="default" w:ascii="Times New Roman" w:hAnsi="Times New Roman" w:eastAsia="宋体" w:cs="Times New Roman"/>
          <w:color w:val="auto"/>
        </w:rPr>
        <w:t>万元，占总投资比例为</w:t>
      </w:r>
      <w:r>
        <w:rPr>
          <w:rFonts w:hint="eastAsia" w:cs="Times New Roman"/>
          <w:color w:val="auto"/>
          <w:lang w:val="en-US" w:eastAsia="zh-CN"/>
        </w:rPr>
        <w:t>8.18</w:t>
      </w:r>
      <w:r>
        <w:rPr>
          <w:rFonts w:hint="default" w:ascii="Times New Roman" w:hAnsi="Times New Roman" w:eastAsia="宋体" w:cs="Times New Roman"/>
          <w:color w:val="auto"/>
        </w:rPr>
        <w:t>%</w:t>
      </w:r>
      <w:r>
        <w:rPr>
          <w:rFonts w:hint="eastAsia" w:ascii="Times New Roman" w:hAnsi="Times New Roman" w:cs="Times New Roman"/>
          <w:color w:val="auto"/>
          <w:lang w:eastAsia="zh-CN"/>
        </w:rPr>
        <w:t>，</w:t>
      </w:r>
      <w:r>
        <w:rPr>
          <w:rFonts w:hint="default" w:ascii="Times New Roman" w:hAnsi="Times New Roman" w:eastAsia="宋体" w:cs="Times New Roman"/>
          <w:color w:val="auto"/>
        </w:rPr>
        <w:t>投资分配情况见下表。</w:t>
      </w:r>
    </w:p>
    <w:p>
      <w:pPr>
        <w:pStyle w:val="6"/>
        <w:rPr>
          <w:rFonts w:hint="default" w:ascii="Times New Roman" w:hAnsi="Times New Roman" w:eastAsia="宋体" w:cs="Times New Roman"/>
          <w:color w:val="auto"/>
        </w:rPr>
      </w:pPr>
      <w:bookmarkStart w:id="534" w:name="_Toc523322388"/>
      <w:bookmarkStart w:id="535" w:name="_Toc487188669"/>
      <w:bookmarkStart w:id="536" w:name="_Toc494206395"/>
      <w:bookmarkStart w:id="537" w:name="_Toc12407"/>
      <w:r>
        <w:rPr>
          <w:rFonts w:hint="default" w:ascii="Times New Roman" w:hAnsi="Times New Roman" w:eastAsia="宋体" w:cs="Times New Roman"/>
          <w:color w:val="auto"/>
        </w:rPr>
        <w:t>8.3.2环保设施运行费用</w:t>
      </w:r>
      <w:bookmarkEnd w:id="534"/>
      <w:bookmarkEnd w:id="535"/>
      <w:bookmarkEnd w:id="536"/>
      <w:bookmarkEnd w:id="537"/>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（1）设备运行费用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1 \* GB3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①</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环保设施折旧费C1</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本项目环保设施投资折旧费由下式计算：</w:t>
      </w:r>
    </w:p>
    <w:p>
      <w:pPr>
        <w:ind w:firstLine="480"/>
        <w:jc w:val="center"/>
        <w:rPr>
          <w:rFonts w:hint="default" w:ascii="Times New Roman" w:hAnsi="Times New Roman" w:eastAsia="宋体" w:cs="Times New Roman"/>
          <w:color w:val="auto"/>
        </w:rPr>
      </w:pPr>
      <w:r>
        <w:rPr>
          <w:rFonts w:hint="default" w:ascii="Times New Roman" w:hAnsi="Times New Roman" w:eastAsia="宋体" w:cs="Times New Roman"/>
          <w:color w:val="auto"/>
        </w:rPr>
        <w:t>C1=a×C0/n</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a——固定资产形成率，取环保投资的85%；</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C0——环保总投资（万元）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n——折旧年限，取10年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环保设施投资折旧费计算结果为</w:t>
      </w:r>
      <w:r>
        <w:rPr>
          <w:rFonts w:hint="eastAsia" w:cs="Times New Roman"/>
          <w:color w:val="auto"/>
          <w:lang w:val="en-US" w:eastAsia="zh-CN"/>
        </w:rPr>
        <w:t>14.60</w:t>
      </w:r>
      <w:r>
        <w:rPr>
          <w:rFonts w:hint="default" w:ascii="Times New Roman" w:hAnsi="Times New Roman" w:eastAsia="宋体" w:cs="Times New Roman"/>
          <w:color w:val="auto"/>
        </w:rPr>
        <w:t>万元/年。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2 \* GB3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②</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环保设施运行费用C2</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参照国内外企业环保设施运行费的相关资料，环保设施的年运行得用可按环保投资的5%计算。</w:t>
      </w:r>
    </w:p>
    <w:p>
      <w:pPr>
        <w:ind w:firstLine="480"/>
        <w:jc w:val="center"/>
        <w:rPr>
          <w:rFonts w:hint="default" w:ascii="Times New Roman" w:hAnsi="Times New Roman" w:eastAsia="宋体" w:cs="Times New Roman"/>
          <w:color w:val="auto"/>
        </w:rPr>
      </w:pPr>
      <w:r>
        <w:rPr>
          <w:rFonts w:hint="default" w:ascii="Times New Roman" w:hAnsi="Times New Roman" w:eastAsia="宋体" w:cs="Times New Roman"/>
          <w:color w:val="auto"/>
        </w:rPr>
        <w:t>C2=C0×5%=</w:t>
      </w:r>
      <w:r>
        <w:rPr>
          <w:rFonts w:hint="eastAsia" w:cs="Times New Roman"/>
          <w:color w:val="auto"/>
          <w:lang w:val="en-US" w:eastAsia="zh-CN"/>
        </w:rPr>
        <w:t>8.59</w:t>
      </w:r>
      <w:r>
        <w:rPr>
          <w:rFonts w:hint="default" w:ascii="Times New Roman" w:hAnsi="Times New Roman" w:eastAsia="宋体" w:cs="Times New Roman"/>
          <w:color w:val="auto"/>
        </w:rPr>
        <w:t>（万元/年）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3 \* GB3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③</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环保管理费用C3</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环保管理费用包括管理部门的办公费、检测费、技术咨询、学术交流和科研等费用，按环保投资的1.0%计算。</w:t>
      </w:r>
    </w:p>
    <w:p>
      <w:pPr>
        <w:ind w:firstLine="480"/>
        <w:jc w:val="center"/>
        <w:rPr>
          <w:rFonts w:hint="default" w:ascii="Times New Roman" w:hAnsi="Times New Roman" w:eastAsia="宋体" w:cs="Times New Roman"/>
          <w:color w:val="auto"/>
        </w:rPr>
      </w:pPr>
      <w:r>
        <w:rPr>
          <w:rFonts w:hint="default" w:ascii="Times New Roman" w:hAnsi="Times New Roman" w:eastAsia="宋体" w:cs="Times New Roman"/>
          <w:color w:val="auto"/>
        </w:rPr>
        <w:t>C3=C0×1.0%=</w:t>
      </w:r>
      <w:r>
        <w:rPr>
          <w:rFonts w:hint="eastAsia" w:cs="Times New Roman"/>
          <w:color w:val="auto"/>
          <w:lang w:val="en-US" w:eastAsia="zh-CN"/>
        </w:rPr>
        <w:t>1.72</w:t>
      </w:r>
      <w:r>
        <w:rPr>
          <w:rFonts w:hint="default" w:ascii="Times New Roman" w:hAnsi="Times New Roman" w:eastAsia="宋体" w:cs="Times New Roman"/>
          <w:color w:val="auto"/>
        </w:rPr>
        <w:t>（万元/年）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4 \* GB3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④</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环保设施经营支出C</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环保设施经营支出费用为折旧费、运行费和管理费之和，即：</w:t>
      </w:r>
    </w:p>
    <w:p>
      <w:pPr>
        <w:ind w:firstLine="480"/>
        <w:jc w:val="center"/>
        <w:rPr>
          <w:rFonts w:hint="default" w:ascii="Times New Roman" w:hAnsi="Times New Roman" w:eastAsia="宋体" w:cs="Times New Roman"/>
          <w:color w:val="auto"/>
        </w:rPr>
      </w:pPr>
      <w:r>
        <w:rPr>
          <w:rFonts w:hint="default" w:ascii="Times New Roman" w:hAnsi="Times New Roman" w:eastAsia="宋体" w:cs="Times New Roman"/>
          <w:color w:val="auto"/>
        </w:rPr>
        <w:t>C=C1+C2+C3=</w:t>
      </w:r>
      <w:r>
        <w:rPr>
          <w:rFonts w:hint="eastAsia" w:cs="Times New Roman"/>
          <w:color w:val="auto"/>
          <w:lang w:val="en-US" w:eastAsia="zh-CN"/>
        </w:rPr>
        <w:t>24.91</w:t>
      </w:r>
      <w:r>
        <w:rPr>
          <w:rFonts w:hint="default" w:ascii="Times New Roman" w:hAnsi="Times New Roman" w:eastAsia="宋体" w:cs="Times New Roman"/>
          <w:color w:val="auto"/>
        </w:rPr>
        <w:t>（万元/年）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项目完成后，环保投资</w:t>
      </w:r>
      <w:r>
        <w:rPr>
          <w:rFonts w:hint="eastAsia" w:cs="Times New Roman"/>
          <w:color w:val="auto"/>
          <w:lang w:val="en-US" w:eastAsia="zh-CN"/>
        </w:rPr>
        <w:t>171.8</w:t>
      </w:r>
      <w:r>
        <w:rPr>
          <w:rFonts w:hint="default" w:ascii="Times New Roman" w:hAnsi="Times New Roman" w:eastAsia="宋体" w:cs="Times New Roman"/>
          <w:color w:val="auto"/>
        </w:rPr>
        <w:t>万元，各项治理措施的运行每年还需投入经营费用（即负效益）</w:t>
      </w:r>
      <w:r>
        <w:rPr>
          <w:rFonts w:hint="eastAsia" w:cs="Times New Roman"/>
          <w:color w:val="auto"/>
          <w:lang w:val="en-US" w:eastAsia="zh-CN"/>
        </w:rPr>
        <w:t>24.91</w:t>
      </w:r>
      <w:r>
        <w:rPr>
          <w:rFonts w:hint="default" w:ascii="Times New Roman" w:hAnsi="Times New Roman" w:eastAsia="宋体" w:cs="Times New Roman"/>
          <w:color w:val="auto"/>
        </w:rPr>
        <w:t>万元。</w:t>
      </w:r>
    </w:p>
    <w:p>
      <w:pPr>
        <w:pStyle w:val="6"/>
        <w:rPr>
          <w:rFonts w:hint="default" w:ascii="Times New Roman" w:hAnsi="Times New Roman" w:eastAsia="宋体" w:cs="Times New Roman"/>
          <w:color w:val="auto"/>
        </w:rPr>
      </w:pPr>
      <w:bookmarkStart w:id="538" w:name="_Toc523322389"/>
      <w:bookmarkStart w:id="539" w:name="_Toc7142"/>
      <w:r>
        <w:rPr>
          <w:rFonts w:hint="default" w:ascii="Times New Roman" w:hAnsi="Times New Roman" w:eastAsia="宋体" w:cs="Times New Roman"/>
          <w:color w:val="auto"/>
        </w:rPr>
        <w:t>8.3.3环保效益估算</w:t>
      </w:r>
      <w:bookmarkEnd w:id="538"/>
      <w:bookmarkEnd w:id="53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环保效益即环保设施的环境经济效益，包括直接经济效益和间接经济效益。</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（1）直接经济效益</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直接经济效益是指实施污染治理措施后，循环利用及回收资源所产生的经济效益。对拟建项目而言，生产过程中的废水进行了循环利用，既节约能源，又减少了污染物的排放。类比同类项目，资源能源循环利用后产生的直接经济效益约为200万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（2）间接经济效益</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间接经济效益主要指环保设施带来的社会效益，包括环境污染损失的减少，人体健康的保护费用的减少，控制污染物达标排放免交或少交排污费、罚款和赔偿费等。</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就本项目而言，可量化的间接经济效益表现为因污染治理达标而免交的排污费。根据排污费收取办法，本项目污染物治理全部达标排放后，预计达标排放的废气每年可免交排污费约15万元。因此，拟建项目可挽回的经济损失共计约215万元/年。</w:t>
      </w:r>
    </w:p>
    <w:p>
      <w:pPr>
        <w:pStyle w:val="6"/>
        <w:rPr>
          <w:rFonts w:hint="default" w:ascii="Times New Roman" w:hAnsi="Times New Roman" w:eastAsia="宋体" w:cs="Times New Roman"/>
          <w:color w:val="auto"/>
        </w:rPr>
      </w:pPr>
      <w:bookmarkStart w:id="540" w:name="_Toc471227877"/>
      <w:bookmarkStart w:id="541" w:name="_Toc523322390"/>
      <w:bookmarkStart w:id="542" w:name="_Toc22099"/>
      <w:r>
        <w:rPr>
          <w:rFonts w:hint="default" w:ascii="Times New Roman" w:hAnsi="Times New Roman" w:eastAsia="宋体" w:cs="Times New Roman"/>
          <w:color w:val="auto"/>
        </w:rPr>
        <w:t>8.3.4经济效益分析</w:t>
      </w:r>
      <w:bookmarkEnd w:id="540"/>
      <w:bookmarkEnd w:id="541"/>
      <w:bookmarkEnd w:id="542"/>
    </w:p>
    <w:p>
      <w:pPr>
        <w:ind w:firstLine="480"/>
        <w:rPr>
          <w:rFonts w:hint="default" w:ascii="Times New Roman" w:hAnsi="Times New Roman" w:eastAsia="宋体" w:cs="Times New Roman"/>
          <w:color w:val="auto"/>
        </w:rPr>
      </w:pPr>
      <w:bookmarkStart w:id="543" w:name="_Toc494206396"/>
      <w:bookmarkStart w:id="544" w:name="_Toc487188670"/>
      <w:r>
        <w:rPr>
          <w:rFonts w:hint="default" w:ascii="Times New Roman" w:hAnsi="Times New Roman" w:eastAsia="宋体" w:cs="Times New Roman"/>
          <w:color w:val="auto"/>
        </w:rPr>
        <w:t>经济损益（Zj）值的计算采用因采取有效的环保措施而挽回的经济损失（产生的效益）与年环保费用之比的方法来确定，即：</w:t>
      </w:r>
    </w:p>
    <w:p>
      <w:pPr>
        <w:spacing w:line="36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color w:val="auto"/>
        </w:rPr>
        <w:drawing>
          <wp:inline distT="0" distB="0" distL="0" distR="0">
            <wp:extent cx="1184910" cy="652145"/>
            <wp:effectExtent l="0" t="0" r="0" b="0"/>
            <wp:docPr id="4" name="图片 4" descr="1531128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31128282(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184910" cy="652145"/>
                    </a:xfrm>
                    <a:prstGeom prst="rect">
                      <a:avLst/>
                    </a:prstGeom>
                    <a:noFill/>
                    <a:ln>
                      <a:noFill/>
                    </a:ln>
                  </pic:spPr>
                </pic:pic>
              </a:graphicData>
            </a:graphic>
          </wp:inline>
        </w:drawing>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Sij——由于防止（或减少）损失而挽回的经济价值；</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Hi——年环保费用。</w:t>
      </w:r>
    </w:p>
    <w:p>
      <w:pPr>
        <w:ind w:firstLine="480"/>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rPr>
        <w:t>根据以上分析，计算出拟建项目的经济损益值为2.79，大于1，表明拟建项目投入的环保治理经济效益较理想。</w:t>
      </w:r>
    </w:p>
    <w:p>
      <w:pPr>
        <w:pStyle w:val="5"/>
        <w:rPr>
          <w:rFonts w:hint="default" w:ascii="Times New Roman" w:hAnsi="Times New Roman" w:eastAsia="宋体" w:cs="Times New Roman"/>
          <w:color w:val="auto"/>
        </w:rPr>
      </w:pPr>
      <w:bookmarkStart w:id="545" w:name="_Toc523322391"/>
      <w:bookmarkStart w:id="546" w:name="_Toc20370"/>
      <w:r>
        <w:rPr>
          <w:rFonts w:hint="default" w:ascii="Times New Roman" w:hAnsi="Times New Roman" w:eastAsia="宋体" w:cs="Times New Roman"/>
          <w:color w:val="auto"/>
        </w:rPr>
        <w:t>8.4小结</w:t>
      </w:r>
      <w:bookmarkEnd w:id="543"/>
      <w:bookmarkEnd w:id="544"/>
      <w:bookmarkEnd w:id="545"/>
      <w:bookmarkEnd w:id="54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本项目建成投产后，不仅可以增加国家和地方财税收入，同时可以增加新的就业岗位，带动相关产业的发展，增加间接的就业机会，对促进区域经济和社会发展具有重要意义。</w:t>
      </w:r>
    </w:p>
    <w:p>
      <w:pPr>
        <w:ind w:firstLine="480"/>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rPr>
        <w:t>综上所述，从保护环境的角度出发，项目的效益是显著的、可行的。</w:t>
      </w:r>
    </w:p>
    <w:p>
      <w:pPr>
        <w:ind w:firstLine="480"/>
        <w:rPr>
          <w:rFonts w:hint="default" w:ascii="Times New Roman" w:hAnsi="Times New Roman" w:eastAsia="宋体" w:cs="Times New Roman"/>
          <w:color w:val="auto"/>
          <w:szCs w:val="20"/>
        </w:rPr>
      </w:pPr>
    </w:p>
    <w:p>
      <w:pPr>
        <w:ind w:firstLine="480"/>
        <w:rPr>
          <w:rFonts w:hint="default" w:ascii="Times New Roman" w:hAnsi="Times New Roman" w:eastAsia="宋体" w:cs="Times New Roman"/>
          <w:color w:val="auto"/>
          <w:szCs w:val="20"/>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4"/>
        <w:rPr>
          <w:rFonts w:hint="default" w:ascii="Times New Roman" w:hAnsi="Times New Roman" w:eastAsia="宋体" w:cs="Times New Roman"/>
          <w:color w:val="auto"/>
        </w:rPr>
      </w:pPr>
      <w:bookmarkStart w:id="547" w:name="_Toc523322392"/>
      <w:bookmarkStart w:id="548" w:name="_Toc20012"/>
      <w:r>
        <w:rPr>
          <w:rFonts w:hint="default" w:ascii="Times New Roman" w:hAnsi="Times New Roman" w:eastAsia="宋体" w:cs="Times New Roman"/>
          <w:color w:val="auto"/>
        </w:rPr>
        <w:t>9环境管理与监测计划</w:t>
      </w:r>
      <w:bookmarkEnd w:id="547"/>
      <w:bookmarkEnd w:id="54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境管理及监测计划的制定和执行，为环境统计和环境定量评价提供科学依据，可以保证各项污染防治措施的实施与落实，可以及时发现环保措施出现的问题并进行修正和改进。因此企业建立相应的环境管理计划与监测计划，才能确保企业环境设施正常运行和达标排放，预防风险事故并减低事故损失，使建设项目对环境的危害控制在最小范围内。</w:t>
      </w:r>
    </w:p>
    <w:p>
      <w:pPr>
        <w:pStyle w:val="5"/>
        <w:rPr>
          <w:rFonts w:hint="default" w:ascii="Times New Roman" w:hAnsi="Times New Roman" w:eastAsia="宋体" w:cs="Times New Roman"/>
          <w:color w:val="auto"/>
        </w:rPr>
      </w:pPr>
      <w:bookmarkStart w:id="549" w:name="_Toc10121"/>
      <w:r>
        <w:rPr>
          <w:rFonts w:hint="default" w:ascii="Times New Roman" w:hAnsi="Times New Roman" w:eastAsia="宋体" w:cs="Times New Roman"/>
          <w:color w:val="auto"/>
        </w:rPr>
        <w:t>9.1污染物总量控制分析</w:t>
      </w:r>
      <w:bookmarkEnd w:id="549"/>
    </w:p>
    <w:p>
      <w:pPr>
        <w:pStyle w:val="6"/>
        <w:rPr>
          <w:rFonts w:hint="default" w:ascii="Times New Roman" w:hAnsi="Times New Roman" w:eastAsia="宋体" w:cs="Times New Roman"/>
          <w:color w:val="auto"/>
        </w:rPr>
      </w:pPr>
      <w:bookmarkStart w:id="550" w:name="_Toc530643017"/>
      <w:bookmarkStart w:id="551" w:name="_Toc8036"/>
      <w:r>
        <w:rPr>
          <w:rFonts w:hint="default" w:ascii="Times New Roman" w:hAnsi="Times New Roman" w:eastAsia="宋体" w:cs="Times New Roman"/>
          <w:color w:val="auto"/>
        </w:rPr>
        <w:t>9.1.1原则和目标</w:t>
      </w:r>
      <w:bookmarkEnd w:id="550"/>
      <w:bookmarkEnd w:id="551"/>
    </w:p>
    <w:p>
      <w:pPr>
        <w:overflowPunct w:val="0"/>
        <w:autoSpaceDE/>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对建设项目产生的污染物实行总量控制是推行可持续发展战略的需要，是一种为使某一时空环境领域达到一定环境质量目标时，将污染物负荷总量控制在自然环境的承载能力范围之内的规划管理措施。</w:t>
      </w:r>
    </w:p>
    <w:p>
      <w:pPr>
        <w:pStyle w:val="6"/>
        <w:rPr>
          <w:rFonts w:hint="default" w:ascii="Times New Roman" w:hAnsi="Times New Roman" w:eastAsia="宋体" w:cs="Times New Roman"/>
          <w:color w:val="FF0000"/>
        </w:rPr>
      </w:pPr>
      <w:bookmarkStart w:id="552" w:name="_Toc25007"/>
      <w:r>
        <w:rPr>
          <w:rFonts w:hint="default" w:ascii="Times New Roman" w:hAnsi="Times New Roman" w:eastAsia="宋体" w:cs="Times New Roman"/>
          <w:color w:val="FF0000"/>
        </w:rPr>
        <w:t>9.1.</w:t>
      </w:r>
      <w:r>
        <w:rPr>
          <w:rFonts w:hint="eastAsia" w:cs="Times New Roman"/>
          <w:color w:val="FF0000"/>
          <w:lang w:val="en-US" w:eastAsia="zh-CN"/>
        </w:rPr>
        <w:t>2</w:t>
      </w:r>
      <w:r>
        <w:rPr>
          <w:rFonts w:hint="default" w:ascii="Times New Roman" w:hAnsi="Times New Roman" w:eastAsia="宋体" w:cs="Times New Roman"/>
          <w:color w:val="FF0000"/>
        </w:rPr>
        <w:t>总量核算</w:t>
      </w:r>
      <w:bookmarkEnd w:id="552"/>
    </w:p>
    <w:p>
      <w:pPr>
        <w:ind w:firstLine="480"/>
        <w:rPr>
          <w:rFonts w:hint="default" w:ascii="Times New Roman" w:hAnsi="Times New Roman" w:eastAsia="宋体" w:cs="Times New Roman"/>
          <w:color w:val="FF0000"/>
        </w:rPr>
      </w:pPr>
      <w:r>
        <w:rPr>
          <w:rFonts w:hint="default" w:ascii="Times New Roman" w:hAnsi="Times New Roman" w:eastAsia="宋体" w:cs="Times New Roman"/>
          <w:color w:val="FF0000"/>
        </w:rPr>
        <w:t>1）废气</w:t>
      </w:r>
    </w:p>
    <w:p>
      <w:pPr>
        <w:ind w:firstLine="480"/>
        <w:rPr>
          <w:rFonts w:hint="default" w:ascii="Times New Roman" w:hAnsi="Times New Roman" w:eastAsia="宋体" w:cs="Times New Roman"/>
          <w:color w:val="FF0000"/>
        </w:rPr>
      </w:pPr>
      <w:r>
        <w:rPr>
          <w:rFonts w:hint="eastAsia" w:cs="Times New Roman"/>
          <w:color w:val="FF0000"/>
          <w:lang w:val="en-US" w:eastAsia="zh-CN"/>
        </w:rPr>
        <w:t>无</w:t>
      </w:r>
      <w:r>
        <w:rPr>
          <w:rFonts w:hint="default" w:ascii="Times New Roman" w:hAnsi="Times New Roman" w:eastAsia="宋体" w:cs="Times New Roman"/>
          <w:color w:val="FF0000"/>
        </w:rPr>
        <w:t>。</w:t>
      </w:r>
    </w:p>
    <w:p>
      <w:pPr>
        <w:ind w:firstLine="480"/>
        <w:rPr>
          <w:rFonts w:hint="default" w:ascii="Times New Roman" w:hAnsi="Times New Roman" w:eastAsia="宋体" w:cs="Times New Roman"/>
          <w:color w:val="FF0000"/>
        </w:rPr>
      </w:pPr>
      <w:r>
        <w:rPr>
          <w:rFonts w:hint="default" w:ascii="Times New Roman" w:hAnsi="Times New Roman" w:eastAsia="宋体" w:cs="Times New Roman"/>
          <w:color w:val="FF0000"/>
        </w:rPr>
        <w:t>2）废水</w:t>
      </w:r>
    </w:p>
    <w:p>
      <w:pPr>
        <w:ind w:firstLine="480"/>
        <w:rPr>
          <w:rFonts w:hint="default" w:ascii="Times New Roman" w:hAnsi="Times New Roman" w:eastAsia="宋体" w:cs="Times New Roman"/>
          <w:b/>
          <w:bCs/>
          <w:color w:val="FF0000"/>
        </w:rPr>
      </w:pPr>
      <w:bookmarkStart w:id="553" w:name="_Toc530643020"/>
      <w:r>
        <w:rPr>
          <w:rFonts w:hint="default" w:ascii="Times New Roman" w:hAnsi="Times New Roman" w:eastAsia="宋体" w:cs="Times New Roman"/>
          <w:color w:val="FF0000"/>
        </w:rPr>
        <w:t>项目生活污水、猪舍粪污管道冲洗废水</w:t>
      </w:r>
      <w:r>
        <w:rPr>
          <w:rFonts w:hint="default" w:ascii="Times New Roman" w:hAnsi="Times New Roman" w:eastAsia="宋体" w:cs="Times New Roman"/>
          <w:color w:val="FF0000"/>
          <w:lang w:eastAsia="zh-CN"/>
        </w:rPr>
        <w:t>、</w:t>
      </w:r>
      <w:r>
        <w:rPr>
          <w:rFonts w:hint="eastAsia" w:cs="Times New Roman"/>
          <w:color w:val="FF0000"/>
          <w:lang w:eastAsia="zh-CN"/>
        </w:rPr>
        <w:t>猪尿业</w:t>
      </w:r>
      <w:r>
        <w:rPr>
          <w:rFonts w:hint="default" w:ascii="Times New Roman" w:hAnsi="Times New Roman" w:eastAsia="宋体" w:cs="Times New Roman"/>
          <w:color w:val="FF0000"/>
        </w:rPr>
        <w:t>处理工艺采用“厌氧发酵+土地消纳”的种养结合的粪便农肥资源化利用处理模式，每半年还田一次，实现粪便的资源化综合利用，不排入地表水环境中。因此本项目COD、氨氮无需申请总量。</w:t>
      </w:r>
    </w:p>
    <w:p>
      <w:pPr>
        <w:pStyle w:val="6"/>
        <w:rPr>
          <w:rFonts w:hint="default" w:ascii="Times New Roman" w:hAnsi="Times New Roman" w:eastAsia="宋体" w:cs="Times New Roman"/>
          <w:color w:val="auto"/>
        </w:rPr>
      </w:pPr>
      <w:bookmarkStart w:id="554" w:name="_Toc15403"/>
      <w:r>
        <w:rPr>
          <w:rFonts w:hint="default" w:ascii="Times New Roman" w:hAnsi="Times New Roman" w:eastAsia="宋体" w:cs="Times New Roman"/>
          <w:color w:val="auto"/>
        </w:rPr>
        <w:t>9.1.</w:t>
      </w:r>
      <w:r>
        <w:rPr>
          <w:rFonts w:hint="eastAsia" w:cs="Times New Roman"/>
          <w:color w:val="auto"/>
          <w:lang w:val="en-US" w:eastAsia="zh-CN"/>
        </w:rPr>
        <w:t>3</w:t>
      </w:r>
      <w:r>
        <w:rPr>
          <w:rFonts w:hint="default" w:ascii="Times New Roman" w:hAnsi="Times New Roman" w:eastAsia="宋体" w:cs="Times New Roman"/>
          <w:color w:val="auto"/>
        </w:rPr>
        <w:t>污染物总量控制指标</w:t>
      </w:r>
      <w:bookmarkEnd w:id="553"/>
      <w:bookmarkEnd w:id="554"/>
    </w:p>
    <w:p>
      <w:pPr>
        <w:overflowPunct w:val="0"/>
        <w:autoSpaceDE/>
        <w:ind w:firstLine="480"/>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4"/>
          <w:lang w:eastAsia="zh-CN"/>
        </w:rPr>
        <w:t>无</w:t>
      </w:r>
      <w:r>
        <w:rPr>
          <w:rFonts w:hint="default" w:ascii="Times New Roman" w:hAnsi="Times New Roman" w:eastAsia="宋体" w:cs="Times New Roman"/>
          <w:color w:val="auto"/>
          <w:szCs w:val="20"/>
        </w:rPr>
        <w:t>。</w:t>
      </w:r>
    </w:p>
    <w:p>
      <w:pPr>
        <w:pStyle w:val="5"/>
        <w:rPr>
          <w:rFonts w:hint="default" w:ascii="Times New Roman" w:hAnsi="Times New Roman" w:eastAsia="宋体" w:cs="Times New Roman"/>
          <w:color w:val="auto"/>
        </w:rPr>
      </w:pPr>
      <w:bookmarkStart w:id="555" w:name="_Toc494206398"/>
      <w:bookmarkStart w:id="556" w:name="_Toc487188672"/>
      <w:bookmarkStart w:id="557" w:name="_Toc523322393"/>
      <w:bookmarkStart w:id="558" w:name="_Toc11211"/>
      <w:r>
        <w:rPr>
          <w:rFonts w:hint="default" w:ascii="Times New Roman" w:hAnsi="Times New Roman" w:eastAsia="宋体" w:cs="Times New Roman"/>
          <w:color w:val="auto"/>
        </w:rPr>
        <w:t>9.2环境管理</w:t>
      </w:r>
      <w:bookmarkEnd w:id="555"/>
      <w:bookmarkEnd w:id="556"/>
      <w:bookmarkEnd w:id="557"/>
      <w:bookmarkEnd w:id="558"/>
    </w:p>
    <w:p>
      <w:pPr>
        <w:pStyle w:val="6"/>
        <w:rPr>
          <w:rFonts w:hint="default" w:ascii="Times New Roman" w:hAnsi="Times New Roman" w:eastAsia="宋体" w:cs="Times New Roman"/>
          <w:color w:val="auto"/>
        </w:rPr>
      </w:pPr>
      <w:bookmarkStart w:id="559" w:name="_Toc523322394"/>
      <w:bookmarkStart w:id="560" w:name="_Toc30242"/>
      <w:r>
        <w:rPr>
          <w:rFonts w:hint="default" w:ascii="Times New Roman" w:hAnsi="Times New Roman" w:eastAsia="宋体" w:cs="Times New Roman"/>
          <w:color w:val="auto"/>
        </w:rPr>
        <w:t>9.2.1环境管理制度及组织机构</w:t>
      </w:r>
      <w:bookmarkEnd w:id="559"/>
      <w:bookmarkEnd w:id="560"/>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9.2.1.1环境管理制度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企业应建立环境保护责任制度，设立安全环保部门，配备专职环境保护管理人员协调、落实各部门的环保工作。制定企业《环境保护管理制度》、《项目建设环境保护管理制度》、《环保节能设施管理制度》、《环保会议制度》、《环保统计制度》、《环保现场检查与“红黄牌”挂牌制度》、《环保标准化管理制度》等一系列环保管理制度。</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9.2.1.2环境管理机构</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国家有关建设项目环境保护的规定和该项目的建设，建议该项目从施工期开始，就在该项目管理组中设置环境保护管理岗位，配置1~2名环保专业人员；在项目营运期，配备1~2名环保专业人员。该项目的环境管理监督机构为各级生态环境主管部门，该项目的环境保护管理工作应接受各级生态环境主管部门的监督和指导，同时还应接受项目主管部门及公众的监督。</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9.2.1.3环境管理职责</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1）认真贯彻执行国家、地方环境保护法规和标准。</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2）建立和健全以清洁生产技术为核心的各项环境保护规章制度（岗位责任制、操作规程、安全制度、绿化管理规定等），并实施、落实环境监测制度。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3）加强“三废”治理设施监督管理，确保“三废”处理设施正常并高效运行。</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建立污染源档案，并优化污染防治措施。按照上级环保部门的规范建立本企业有关“三废”排放量、排放浓度、噪声情况、固体废物综合利用、污染控制效果等情况档案，并按照有关规定编制各种报告与报表，负责向上级领导及环保部门呈报。</w:t>
      </w:r>
    </w:p>
    <w:p>
      <w:pPr>
        <w:ind w:firstLine="480"/>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rPr>
        <w:t>5）搞好环境保护工作宣传和职工环境意识教育及技术培训等工作。协同当地环保部门处理与项目有关的环境问题，维护好公众的利益。</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6）为全面掌握企业环境保护工作情况，进一步了解管理体系中可能存在的问题，建议公司内部每年应举行一次内部评审，检查环境管理工作的问题和不足，对发现的问题和不足，提出改进意见。</w:t>
      </w:r>
    </w:p>
    <w:p>
      <w:pPr>
        <w:pStyle w:val="6"/>
        <w:rPr>
          <w:rFonts w:hint="default" w:ascii="Times New Roman" w:hAnsi="Times New Roman" w:eastAsia="宋体" w:cs="Times New Roman"/>
          <w:color w:val="auto"/>
        </w:rPr>
      </w:pPr>
      <w:bookmarkStart w:id="561" w:name="_Toc523322397"/>
      <w:bookmarkStart w:id="562" w:name="_Toc18471"/>
      <w:r>
        <w:rPr>
          <w:rFonts w:hint="default" w:ascii="Times New Roman" w:hAnsi="Times New Roman" w:eastAsia="宋体" w:cs="Times New Roman"/>
          <w:color w:val="auto"/>
        </w:rPr>
        <w:t>9.2.2排污许可</w:t>
      </w:r>
      <w:bookmarkEnd w:id="561"/>
      <w:r>
        <w:rPr>
          <w:rFonts w:hint="default" w:ascii="Times New Roman" w:hAnsi="Times New Roman" w:eastAsia="宋体" w:cs="Times New Roman"/>
          <w:color w:val="auto"/>
        </w:rPr>
        <w:t>证申领</w:t>
      </w:r>
      <w:bookmarkEnd w:id="56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根据《排污许可管理办法（试行）》，项目在取得环境影响评价批复文件后，应当在投入生产或使用并产生实际排污行为之前向许可证核发机关提交申请材料，申领排污许可证。</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企业申请排污许可证，应当在信息平台填报统一的《排污许可证申请表》，签署《守法承诺书》，并同时向许可证核发机关提交排污许可证申请表、经生态环境主管部门批复的建设项目环境影响评价文件或排污单位经过整改并通过地方人民政府确认满足有关规定的证明材料等。许可申请文件内容由生态环境部统一制定的《排污许可证申请表》确定。</w:t>
      </w:r>
    </w:p>
    <w:p>
      <w:pPr>
        <w:pStyle w:val="6"/>
        <w:rPr>
          <w:rFonts w:hint="default" w:ascii="Times New Roman" w:hAnsi="Times New Roman" w:eastAsia="宋体" w:cs="Times New Roman"/>
          <w:color w:val="auto"/>
        </w:rPr>
      </w:pPr>
      <w:bookmarkStart w:id="563" w:name="_Toc523322396"/>
      <w:bookmarkStart w:id="564" w:name="_Toc2283"/>
      <w:r>
        <w:rPr>
          <w:rFonts w:hint="default" w:ascii="Times New Roman" w:hAnsi="Times New Roman" w:eastAsia="宋体" w:cs="Times New Roman"/>
          <w:color w:val="auto"/>
        </w:rPr>
        <w:t>9.2.3环保竣工验收</w:t>
      </w:r>
      <w:bookmarkEnd w:id="563"/>
      <w:bookmarkEnd w:id="564"/>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按照《建设项目竣工环境保护验收暂行办法》（国环规环评【2017】4号）中要求实施环保竣工验收。</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竣工验收以现场调查与监测相结合的方式对工程“三同时”建设情况进行验收，环境保护验收的主要内容包括以下几个方面：</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（1）通过现场调查项目“三同时”建设情况，主要环保设施的建设与环评批复文件的符合性检查及验收；</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（2）环保设施建设及运行情况，包括：废气、废水、噪声污染防治设施的建设及运行情况及运行处理效果，生态保护措施的落实情况；防止固废废物污染环境的措施；场区绿化等；</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（3）主要节能措施及清洁生产措施；环保投资及环境管理机构的设置情况。</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验收范围：与项目有关的各项环保设施，包括为防治污染和保护环境所建成或配套建成的治理工程、设备、装置和监测手段，以及各项生态保护设施等；环境影响报告书及其批复文件和有关设计文件规定应采取环保措施。</w:t>
      </w:r>
    </w:p>
    <w:p>
      <w:pPr>
        <w:pStyle w:val="6"/>
        <w:rPr>
          <w:rFonts w:hint="default" w:ascii="Times New Roman" w:hAnsi="Times New Roman" w:eastAsia="宋体" w:cs="Times New Roman"/>
          <w:color w:val="auto"/>
        </w:rPr>
      </w:pPr>
      <w:bookmarkStart w:id="565" w:name="_Toc1112"/>
      <w:r>
        <w:rPr>
          <w:rFonts w:hint="default" w:ascii="Times New Roman" w:hAnsi="Times New Roman" w:eastAsia="宋体" w:cs="Times New Roman"/>
          <w:color w:val="auto"/>
        </w:rPr>
        <w:t>9.2.4排污口规范化管理</w:t>
      </w:r>
      <w:bookmarkEnd w:id="56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原国家环境保护总局《关于开展排放口规范化整治工作的通知》（环发[1999]24号）的规定，一切新建、扩建、改建的排污单位必须在建设污染治理措施的同时建设规范化排污口，作为落实环境保护“三同时”制度的必要组成和项目验收内容之一。本评价对场区排污口建设提出以下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工程应按《环境保护图形标志—排放口（源）》（GB15562.1-1995）规定的图形，在各气、水、声排污口（源）挂牌标识，做到各排污口（源）的环保标志明显，便于企业管理和公众监督。根据《环境保护图形标志》实施细则，填写本工程的主要污染物；标志牌必须保持清晰、完整，发现形象损坏、颜色污染或有变化、退色等不符合图形标志标准的情况，应及时修复或更换，检查时间至少每年一次。环境保护图形标志牌设置位置应距污染物排放口及固体废物堆放场或采样点较近且醒目处，设置高度一般为标志牌上缘距离地面约2m。</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建设单位应如实填写《中华人民共和国规范化排污口标识登记证》的有关内容，由生态环境主管部门签发登记证。建设单位应把有关排污情况如排污口的性质、编号、排污口的位置以及主要排放的污染物种类、数量、浓度、排放规律及污染治理设施的运行情况等进行建档管理，并报送生态环境主管部门备案。</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《〈环境保护图形标志〉实施细则(试行)》（环监[1996]463号）中规定的各类排放口环境保护图形标志牌的要求如图9.2-1。</w:t>
      </w: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图9.2-1    项目污染源排放口图形标志</w:t>
      </w:r>
    </w:p>
    <w:tbl>
      <w:tblPr>
        <w:tblStyle w:val="34"/>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50"/>
        <w:gridCol w:w="1792"/>
        <w:gridCol w:w="2313"/>
        <w:gridCol w:w="2347"/>
        <w:gridCol w:w="20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序号</w:t>
            </w:r>
          </w:p>
        </w:tc>
        <w:tc>
          <w:tcPr>
            <w:tcW w:w="1792"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标志名称及</w:t>
            </w:r>
          </w:p>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标示位置</w:t>
            </w:r>
          </w:p>
        </w:tc>
        <w:tc>
          <w:tcPr>
            <w:tcW w:w="2313"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提示图形符号</w:t>
            </w:r>
          </w:p>
        </w:tc>
        <w:tc>
          <w:tcPr>
            <w:tcW w:w="2347"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警告图形符合</w:t>
            </w:r>
          </w:p>
        </w:tc>
        <w:tc>
          <w:tcPr>
            <w:tcW w:w="2001"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功能说明</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1</w:t>
            </w:r>
          </w:p>
        </w:tc>
        <w:tc>
          <w:tcPr>
            <w:tcW w:w="1792"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噪声排放源</w:t>
            </w:r>
          </w:p>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产噪设备</w:t>
            </w:r>
          </w:p>
        </w:tc>
        <w:tc>
          <w:tcPr>
            <w:tcW w:w="2313" w:type="dxa"/>
            <w:vAlign w:val="center"/>
          </w:tcPr>
          <w:p>
            <w:pPr>
              <w:pStyle w:val="58"/>
              <w:spacing w:line="240" w:lineRule="auto"/>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drawing>
                <wp:inline distT="0" distB="0" distL="0" distR="0">
                  <wp:extent cx="1281430" cy="1652270"/>
                  <wp:effectExtent l="0" t="0" r="0" b="0"/>
                  <wp:docPr id="40" name="图片 35"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5" descr="C:\Users\ADMINI~1\AppData\Local\Temp\1527145873(1).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281600" cy="1652400"/>
                          </a:xfrm>
                          <a:prstGeom prst="rect">
                            <a:avLst/>
                          </a:prstGeom>
                          <a:noFill/>
                          <a:ln>
                            <a:noFill/>
                          </a:ln>
                        </pic:spPr>
                      </pic:pic>
                    </a:graphicData>
                  </a:graphic>
                </wp:inline>
              </w:drawing>
            </w:r>
          </w:p>
        </w:tc>
        <w:tc>
          <w:tcPr>
            <w:tcW w:w="2347" w:type="dxa"/>
            <w:vAlign w:val="center"/>
          </w:tcPr>
          <w:p>
            <w:pPr>
              <w:pStyle w:val="58"/>
              <w:spacing w:line="240" w:lineRule="auto"/>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drawing>
                <wp:inline distT="0" distB="0" distL="0" distR="0">
                  <wp:extent cx="1281430" cy="1652270"/>
                  <wp:effectExtent l="0" t="0" r="0" b="0"/>
                  <wp:docPr id="41" name="图片 36"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6" descr="C:\Users\ADMINI~1\AppData\Local\Temp\1527145873(1).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281600" cy="1652400"/>
                          </a:xfrm>
                          <a:prstGeom prst="rect">
                            <a:avLst/>
                          </a:prstGeom>
                          <a:noFill/>
                          <a:ln>
                            <a:noFill/>
                          </a:ln>
                        </pic:spPr>
                      </pic:pic>
                    </a:graphicData>
                  </a:graphic>
                </wp:inline>
              </w:drawing>
            </w:r>
          </w:p>
        </w:tc>
        <w:tc>
          <w:tcPr>
            <w:tcW w:w="2001"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表示噪声向外环境排放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2</w:t>
            </w:r>
          </w:p>
        </w:tc>
        <w:tc>
          <w:tcPr>
            <w:tcW w:w="1792"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一般固废</w:t>
            </w:r>
          </w:p>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一般固废暂存场所</w:t>
            </w:r>
          </w:p>
        </w:tc>
        <w:tc>
          <w:tcPr>
            <w:tcW w:w="2313" w:type="dxa"/>
            <w:vAlign w:val="center"/>
          </w:tcPr>
          <w:p>
            <w:pPr>
              <w:pStyle w:val="58"/>
              <w:spacing w:line="240" w:lineRule="auto"/>
              <w:rPr>
                <w:rFonts w:hint="default" w:ascii="Times New Roman" w:hAnsi="Times New Roman" w:eastAsia="宋体" w:cs="Times New Roman"/>
                <w:color w:val="auto"/>
                <w:kern w:val="0"/>
              </w:rPr>
            </w:pPr>
            <w:r>
              <w:rPr>
                <w:rFonts w:hint="default" w:ascii="Times New Roman" w:hAnsi="Times New Roman" w:eastAsia="宋体" w:cs="Times New Roman"/>
                <w:color w:val="auto"/>
              </w:rPr>
              <w:drawing>
                <wp:inline distT="0" distB="0" distL="0" distR="0">
                  <wp:extent cx="1295400" cy="1652270"/>
                  <wp:effectExtent l="0" t="0" r="0" b="0"/>
                  <wp:docPr id="28" name="currentImg" descr="https://ss3.bdstatic.com/70cFv8Sh_Q1YnxGkpoWK1HF6hhy/it/u=3971714203,1921564374&amp;fm=26&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urrentImg" descr="https://ss3.bdstatic.com/70cFv8Sh_Q1YnxGkpoWK1HF6hhy/it/u=3971714203,1921564374&amp;fm=26&amp;gp=0.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296000" cy="1652400"/>
                          </a:xfrm>
                          <a:prstGeom prst="rect">
                            <a:avLst/>
                          </a:prstGeom>
                          <a:noFill/>
                          <a:ln>
                            <a:noFill/>
                          </a:ln>
                        </pic:spPr>
                      </pic:pic>
                    </a:graphicData>
                  </a:graphic>
                </wp:inline>
              </w:drawing>
            </w:r>
          </w:p>
        </w:tc>
        <w:tc>
          <w:tcPr>
            <w:tcW w:w="2347" w:type="dxa"/>
            <w:vAlign w:val="center"/>
          </w:tcPr>
          <w:p>
            <w:pPr>
              <w:pStyle w:val="58"/>
              <w:spacing w:line="240" w:lineRule="auto"/>
              <w:rPr>
                <w:rFonts w:hint="default" w:ascii="Times New Roman" w:hAnsi="Times New Roman" w:eastAsia="宋体" w:cs="Times New Roman"/>
                <w:color w:val="auto"/>
                <w:kern w:val="0"/>
              </w:rPr>
            </w:pPr>
            <w:r>
              <w:rPr>
                <w:rFonts w:hint="default" w:ascii="Times New Roman" w:hAnsi="Times New Roman" w:eastAsia="宋体" w:cs="Times New Roman"/>
                <w:color w:val="auto"/>
              </w:rPr>
              <w:drawing>
                <wp:inline distT="0" distB="0" distL="0" distR="0">
                  <wp:extent cx="1295400" cy="1562100"/>
                  <wp:effectExtent l="0" t="0" r="0" b="0"/>
                  <wp:docPr id="29" name="currentImg" descr="https://timgsa.baidu.com/timg?image&amp;quality=80&amp;size=b9999_10000&amp;sec=1591874896138&amp;di=ba4f2acdc68a5e94a0eb94acf06f5553&amp;imgtype=0&amp;src=http%3A%2F%2Fwww.mk-hk.com%2Ftp%2Fimage%2F20190818%2F20190818080525682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urrentImg" descr="https://timgsa.baidu.com/timg?image&amp;quality=80&amp;size=b9999_10000&amp;sec=1591874896138&amp;di=ba4f2acdc68a5e94a0eb94acf06f5553&amp;imgtype=0&amp;src=http%3A%2F%2Fwww.mk-hk.com%2Ftp%2Fimage%2F20190818%2F20190818080525682568.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1296000" cy="1562824"/>
                          </a:xfrm>
                          <a:prstGeom prst="rect">
                            <a:avLst/>
                          </a:prstGeom>
                          <a:noFill/>
                          <a:ln>
                            <a:noFill/>
                          </a:ln>
                        </pic:spPr>
                      </pic:pic>
                    </a:graphicData>
                  </a:graphic>
                </wp:inline>
              </w:drawing>
            </w:r>
          </w:p>
        </w:tc>
        <w:tc>
          <w:tcPr>
            <w:tcW w:w="2001"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表示一般固体废物贮存、处置场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3</w:t>
            </w:r>
          </w:p>
        </w:tc>
        <w:tc>
          <w:tcPr>
            <w:tcW w:w="1792"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危险废物</w:t>
            </w:r>
          </w:p>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危险废物暂存间</w:t>
            </w:r>
          </w:p>
        </w:tc>
        <w:tc>
          <w:tcPr>
            <w:tcW w:w="2313" w:type="dxa"/>
            <w:vAlign w:val="center"/>
          </w:tcPr>
          <w:p>
            <w:pPr>
              <w:pStyle w:val="58"/>
              <w:rPr>
                <w:rFonts w:hint="default" w:ascii="Times New Roman" w:hAnsi="Times New Roman" w:eastAsia="宋体" w:cs="Times New Roman"/>
                <w:color w:val="auto"/>
                <w:kern w:val="0"/>
              </w:rPr>
            </w:pPr>
          </w:p>
        </w:tc>
        <w:tc>
          <w:tcPr>
            <w:tcW w:w="2347" w:type="dxa"/>
            <w:vAlign w:val="center"/>
          </w:tcPr>
          <w:p>
            <w:pPr>
              <w:pStyle w:val="58"/>
              <w:spacing w:line="240" w:lineRule="auto"/>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drawing>
                <wp:inline distT="0" distB="0" distL="0" distR="0">
                  <wp:extent cx="1281430" cy="1655445"/>
                  <wp:effectExtent l="0" t="0" r="0" b="0"/>
                  <wp:docPr id="42" name="图片 37"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7" descr="C:\Users\ADMINI~1\AppData\Local\Temp\1527145873(1).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281600" cy="1656000"/>
                          </a:xfrm>
                          <a:prstGeom prst="rect">
                            <a:avLst/>
                          </a:prstGeom>
                          <a:noFill/>
                          <a:ln>
                            <a:noFill/>
                          </a:ln>
                        </pic:spPr>
                      </pic:pic>
                    </a:graphicData>
                  </a:graphic>
                </wp:inline>
              </w:drawing>
            </w:r>
          </w:p>
        </w:tc>
        <w:tc>
          <w:tcPr>
            <w:tcW w:w="2001" w:type="dxa"/>
            <w:vAlign w:val="center"/>
          </w:tcPr>
          <w:p>
            <w:pPr>
              <w:pStyle w:val="58"/>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szCs w:val="21"/>
              </w:rPr>
              <w:t>表示危险废物贮存、处置场</w:t>
            </w:r>
          </w:p>
        </w:tc>
      </w:tr>
    </w:tbl>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本工程排污口使用国家环保局统一印制的《中华人民共和国规范化排污口标志登记证》，并按要求填写有关内容；</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根据排污口管理内容要求，本工程建成投产后，应将主要污染物种类、数量、排放去向，立标情况及设施运行情况记录于档案。</w:t>
      </w:r>
    </w:p>
    <w:p>
      <w:pPr>
        <w:pStyle w:val="6"/>
        <w:rPr>
          <w:rFonts w:hint="default" w:ascii="Times New Roman" w:hAnsi="Times New Roman" w:eastAsia="宋体" w:cs="Times New Roman"/>
          <w:color w:val="auto"/>
        </w:rPr>
      </w:pPr>
      <w:bookmarkStart w:id="566" w:name="_Toc41476878"/>
      <w:bookmarkStart w:id="567" w:name="_Toc29273"/>
      <w:r>
        <w:rPr>
          <w:rFonts w:hint="default" w:ascii="Times New Roman" w:hAnsi="Times New Roman" w:eastAsia="宋体" w:cs="Times New Roman"/>
          <w:color w:val="auto"/>
        </w:rPr>
        <w:t>9.2.5环境风险应急</w:t>
      </w:r>
      <w:bookmarkEnd w:id="566"/>
      <w:bookmarkEnd w:id="567"/>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企业必须建立风险事故应急方案，包括：</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（1）制定风险应急预案。</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（2）建立异常事件预警系统。</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（3）设立报告制度。</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（4）提出消除事故影响的措施。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（5）建立事故环境影响消除的审核制度。</w:t>
      </w:r>
    </w:p>
    <w:p>
      <w:pPr>
        <w:pStyle w:val="6"/>
        <w:rPr>
          <w:rFonts w:hint="default" w:ascii="Times New Roman" w:hAnsi="Times New Roman" w:eastAsia="宋体" w:cs="Times New Roman"/>
          <w:color w:val="auto"/>
        </w:rPr>
      </w:pPr>
      <w:bookmarkStart w:id="568" w:name="_Toc41476879"/>
      <w:bookmarkStart w:id="569" w:name="_Toc31530"/>
      <w:r>
        <w:rPr>
          <w:rFonts w:hint="default" w:ascii="Times New Roman" w:hAnsi="Times New Roman" w:eastAsia="宋体" w:cs="Times New Roman"/>
          <w:color w:val="auto"/>
        </w:rPr>
        <w:t>9.2.6向生态环境主管部门报告制度</w:t>
      </w:r>
      <w:bookmarkEnd w:id="568"/>
      <w:bookmarkEnd w:id="56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建设单位应制定向生态环境主管部门报告制度，定期向生态环境部门报告防治地下水、大气污染等方面的信息。</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报告应由企业环保管理部门草拟，经总经理或环保工作领导小组确认后，以书面形式向生态环境主管部门报告。报告的频次建议为至少每</w:t>
      </w:r>
      <w:r>
        <w:rPr>
          <w:rFonts w:hint="default" w:ascii="Times New Roman" w:hAnsi="Times New Roman" w:eastAsia="宋体" w:cs="Times New Roman"/>
          <w:color w:val="auto"/>
          <w:lang w:eastAsia="zh-CN"/>
        </w:rPr>
        <w:t>半年</w:t>
      </w:r>
      <w:r>
        <w:rPr>
          <w:rFonts w:hint="default" w:ascii="Times New Roman" w:hAnsi="Times New Roman" w:eastAsia="宋体" w:cs="Times New Roman"/>
          <w:color w:val="auto"/>
        </w:rPr>
        <w:t>一次。</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报告的内容应包括：所在场地及其影响区地下水环境、大气环境等监测数据，排放污染物的种类、数量、浓度，以及排放设施、治理措施运行状况和运行效果等。</w:t>
      </w:r>
    </w:p>
    <w:p>
      <w:pPr>
        <w:pStyle w:val="6"/>
        <w:rPr>
          <w:rFonts w:hint="default" w:ascii="Times New Roman" w:hAnsi="Times New Roman" w:eastAsia="宋体" w:cs="Times New Roman"/>
          <w:color w:val="auto"/>
        </w:rPr>
      </w:pPr>
      <w:bookmarkStart w:id="570" w:name="_Toc41476880"/>
      <w:bookmarkStart w:id="571" w:name="_Toc19755"/>
      <w:r>
        <w:rPr>
          <w:rFonts w:hint="default" w:ascii="Times New Roman" w:hAnsi="Times New Roman" w:eastAsia="宋体" w:cs="Times New Roman"/>
          <w:color w:val="auto"/>
        </w:rPr>
        <w:t>9.2.7企业环境信息公开</w:t>
      </w:r>
      <w:bookmarkEnd w:id="570"/>
      <w:bookmarkEnd w:id="571"/>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建设单位按照《关于加强污染源环境监管信息公开工作的通知》（环发[2013]74号）及《企业事业单位环境信息公开办法》（环保部令第31号）的要求，在重点排污单位名录公布后九十日内，对以下内容进行公开：</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1）建设单位名称、组织机构代码、法定代表人、生产地址、联系方式，以及生产经营和管理服务的主要内容、产品及规模；</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2）污染物及特征污染物的名称、排放方式、排放口数量和分布情况、排放浓度和总量、超标情况，以及执行的污染物排放标准、核定的排放总量；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3）防治污染设施的建设和运行情况；</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4）建设项目环境影响评价及其他环境保护行政许可情况；</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5）突发环境事件应急预案。</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公开方式：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1）企业网站及当地政府网站；</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2）企业办公楼显示屏；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3）企业公告栏、公示栏。</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同时，建设单位按照《关于加强企业环境信用体系建设的指导意见》（环发[2015]161号）的要求，定期在政府网站公布自身污染物监测数据以及区域环境质量现状监测数据。</w:t>
      </w:r>
    </w:p>
    <w:p>
      <w:pPr>
        <w:pStyle w:val="6"/>
        <w:rPr>
          <w:rFonts w:hint="default" w:ascii="Times New Roman" w:hAnsi="Times New Roman" w:eastAsia="宋体" w:cs="Times New Roman"/>
          <w:color w:val="auto"/>
        </w:rPr>
      </w:pPr>
      <w:bookmarkStart w:id="572" w:name="_Toc41476881"/>
      <w:bookmarkStart w:id="573" w:name="_Toc8960"/>
      <w:r>
        <w:rPr>
          <w:rFonts w:hint="default" w:ascii="Times New Roman" w:hAnsi="Times New Roman" w:eastAsia="宋体" w:cs="Times New Roman"/>
          <w:color w:val="auto"/>
        </w:rPr>
        <w:t>9.2.8日常环境管理台账</w:t>
      </w:r>
      <w:bookmarkEnd w:id="572"/>
      <w:bookmarkEnd w:id="57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企业需建立环境管理台账制度，定期记录汇总生产报表、原燃料报表、监测数据、环保设施台账</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固定污染源排放量核算报表等信息。企业应设置专职人员进行台帐的记录、整理、维护和管理，并在排污许可证管理信息平台实时记录。企业应对台账记录结果的真实性、准确性、完整性负责。</w:t>
      </w:r>
    </w:p>
    <w:p>
      <w:pPr>
        <w:pStyle w:val="5"/>
        <w:rPr>
          <w:rFonts w:hint="default" w:ascii="Times New Roman" w:hAnsi="Times New Roman" w:eastAsia="宋体" w:cs="Times New Roman"/>
          <w:color w:val="auto"/>
        </w:rPr>
      </w:pPr>
      <w:bookmarkStart w:id="574" w:name="_Toc523322399"/>
      <w:bookmarkStart w:id="575" w:name="_Toc19047"/>
      <w:r>
        <w:rPr>
          <w:rFonts w:hint="default" w:ascii="Times New Roman" w:hAnsi="Times New Roman" w:eastAsia="宋体" w:cs="Times New Roman"/>
          <w:color w:val="auto"/>
        </w:rPr>
        <w:t>9.3监测计划</w:t>
      </w:r>
      <w:bookmarkEnd w:id="574"/>
      <w:bookmarkEnd w:id="575"/>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本次评价按照《排污单位自行监测技术指南总则》（HJ819-2017）、《排污许可证申请与核发技术规范 畜禽养殖行业》（HJ1029-2019）以及各环境要素导则、相关标准要求制定项目运营期监测计划。</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排污单位应在生产运行阶段对其排放的废水、废气、噪声以及对周边环境质量影响开展监测，本工程的环境监测计划应包括二部分：一为竣工验收监测，二为营运期的常规监测。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竣工验收监测：本工程投入试生产后，建设单位应按规定对本工程环保“三同时”设施组织竣工验收监测。</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营运期的常规监测：主要是对工程的污染源进行监测，为掌握工程环保设施的运行状况，对环保设施运行情况进行定期或不定期监测。</w:t>
      </w:r>
    </w:p>
    <w:p>
      <w:pPr>
        <w:pStyle w:val="6"/>
        <w:rPr>
          <w:rFonts w:hint="default" w:ascii="Times New Roman" w:hAnsi="Times New Roman" w:eastAsia="宋体" w:cs="Times New Roman"/>
          <w:color w:val="auto"/>
        </w:rPr>
      </w:pPr>
      <w:bookmarkStart w:id="576" w:name="_Toc523322400"/>
      <w:bookmarkStart w:id="577" w:name="_Toc29741"/>
      <w:r>
        <w:rPr>
          <w:rFonts w:hint="default" w:ascii="Times New Roman" w:hAnsi="Times New Roman" w:eastAsia="宋体" w:cs="Times New Roman"/>
          <w:color w:val="auto"/>
        </w:rPr>
        <w:t>9.3.1废气监测计划</w:t>
      </w:r>
      <w:bookmarkEnd w:id="576"/>
      <w:bookmarkEnd w:id="577"/>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9.3.1.1环境空气质量监测计划</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环境影响评价技术导则－大气环境》（HJ2.2-2018）中规定，需筛选按评价等级要求计算的项目排放污染物Pi≥1%的其他污染物作为环境质量监测因子，本次评价筛选的因子为氨气、硫化氢作为环境质量监测因子，在项目厂界设置监测点，各监测因子每年监测一次。</w:t>
      </w:r>
    </w:p>
    <w:p>
      <w:pPr>
        <w:pStyle w:val="7"/>
        <w:rPr>
          <w:rFonts w:hint="default" w:ascii="Times New Roman" w:hAnsi="Times New Roman" w:eastAsia="宋体" w:cs="Times New Roman"/>
          <w:color w:val="auto"/>
        </w:rPr>
      </w:pPr>
      <w:r>
        <w:rPr>
          <w:rFonts w:hint="default" w:ascii="Times New Roman" w:hAnsi="Times New Roman" w:eastAsia="宋体" w:cs="Times New Roman"/>
          <w:color w:val="auto"/>
        </w:rPr>
        <w:t>9.3.1.2污染源监测计划</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无组织排放监测按照HJ/T55、HJ733等标准设置无组织排放监测点位，本项目在厂家下风向设3个监控点，同时在场区上风向设1个对照点。监测因子为氨气、硫化氢、臭气浓度。</w:t>
      </w:r>
    </w:p>
    <w:p>
      <w:pPr>
        <w:pStyle w:val="6"/>
        <w:rPr>
          <w:rFonts w:hint="default" w:ascii="Times New Roman" w:hAnsi="Times New Roman" w:eastAsia="宋体" w:cs="Times New Roman"/>
          <w:color w:val="auto"/>
        </w:rPr>
      </w:pPr>
      <w:bookmarkStart w:id="578" w:name="_Toc41476884"/>
      <w:bookmarkStart w:id="579" w:name="_Toc3853"/>
      <w:r>
        <w:rPr>
          <w:rFonts w:hint="default" w:ascii="Times New Roman" w:hAnsi="Times New Roman" w:eastAsia="宋体" w:cs="Times New Roman"/>
          <w:color w:val="auto"/>
        </w:rPr>
        <w:t>9.3.2地下水监测计划</w:t>
      </w:r>
      <w:bookmarkEnd w:id="578"/>
      <w:bookmarkEnd w:id="579"/>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按照《</w:t>
      </w:r>
      <w:r>
        <w:rPr>
          <w:rFonts w:hint="eastAsia" w:cs="Times New Roman"/>
          <w:color w:val="auto"/>
          <w:lang w:eastAsia="zh-CN"/>
        </w:rPr>
        <w:t>环境影响评价技术导则 地下水环境</w:t>
      </w:r>
      <w:r>
        <w:rPr>
          <w:rFonts w:hint="default" w:ascii="Times New Roman" w:hAnsi="Times New Roman" w:eastAsia="宋体" w:cs="Times New Roman"/>
          <w:color w:val="auto"/>
        </w:rPr>
        <w:t>》(HJ610-2016)、《地下水环境监测技术规范》（HJ/T164-2004）中相关要求，提出本次项目的地下水监测计划。</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建立场地区地下水污染监控制度，本次评价要求地下水监控井沿地下水流向布设1口地下水监控井。</w:t>
      </w:r>
    </w:p>
    <w:p>
      <w:pPr>
        <w:ind w:firstLine="480"/>
        <w:rPr>
          <w:rStyle w:val="37"/>
          <w:rFonts w:hint="default" w:ascii="Times New Roman" w:hAnsi="Times New Roman" w:eastAsia="宋体" w:cs="Times New Roman"/>
          <w:color w:val="auto"/>
        </w:rPr>
      </w:pPr>
      <w:bookmarkStart w:id="580" w:name="_Hlk39779341"/>
      <w:r>
        <w:rPr>
          <w:rStyle w:val="37"/>
          <w:rFonts w:hint="default" w:ascii="Times New Roman" w:hAnsi="Times New Roman" w:eastAsia="宋体" w:cs="Times New Roman"/>
          <w:color w:val="auto"/>
        </w:rPr>
        <w:t>监测频率和监测因子要求如下：</w:t>
      </w:r>
    </w:p>
    <w:p>
      <w:pPr>
        <w:ind w:firstLine="480"/>
        <w:rPr>
          <w:rStyle w:val="37"/>
          <w:rFonts w:hint="default" w:ascii="Times New Roman" w:hAnsi="Times New Roman" w:eastAsia="宋体" w:cs="Times New Roman"/>
          <w:color w:val="auto"/>
        </w:rPr>
      </w:pPr>
      <w:r>
        <w:rPr>
          <w:rStyle w:val="37"/>
          <w:rFonts w:hint="default" w:ascii="Times New Roman" w:hAnsi="Times New Roman" w:eastAsia="宋体" w:cs="Times New Roman"/>
          <w:color w:val="auto"/>
        </w:rPr>
        <w:t>①监测频率：投入使用前监测一次本底值，投入使用后，每半年监测1次，全年共监测2次。</w:t>
      </w:r>
    </w:p>
    <w:p>
      <w:pPr>
        <w:ind w:firstLine="480"/>
        <w:rPr>
          <w:rFonts w:hint="default" w:ascii="Times New Roman" w:hAnsi="Times New Roman" w:eastAsia="宋体" w:cs="Times New Roman"/>
          <w:color w:val="auto"/>
        </w:rPr>
      </w:pPr>
      <w:r>
        <w:rPr>
          <w:rStyle w:val="37"/>
          <w:rFonts w:hint="default" w:ascii="Times New Roman" w:hAnsi="Times New Roman" w:eastAsia="宋体" w:cs="Times New Roman"/>
          <w:color w:val="auto"/>
        </w:rPr>
        <w:t>②监测因子为：</w:t>
      </w:r>
      <w:r>
        <w:rPr>
          <w:rFonts w:hint="default" w:ascii="Times New Roman" w:hAnsi="Times New Roman" w:eastAsia="宋体" w:cs="Times New Roman"/>
          <w:color w:val="auto"/>
          <w:kern w:val="0"/>
          <w:szCs w:val="21"/>
        </w:rPr>
        <w:t>pH、总硬度、耗氧量、硫酸盐、氯化物、硝酸盐、氨氮、亚硝酸盐、挥发性酚类、氰化物、氟、溶解性总固体、六价铬、砷、汞、铅、镉、铁、锰、</w:t>
      </w:r>
      <w:r>
        <w:rPr>
          <w:rFonts w:hint="default" w:ascii="Times New Roman" w:hAnsi="Times New Roman" w:eastAsia="宋体" w:cs="Times New Roman"/>
          <w:color w:val="auto"/>
          <w:kern w:val="0"/>
          <w:szCs w:val="21"/>
          <w:lang w:eastAsia="zh-CN"/>
        </w:rPr>
        <w:t>菌落总数</w:t>
      </w:r>
      <w:r>
        <w:rPr>
          <w:rFonts w:hint="default" w:ascii="Times New Roman" w:hAnsi="Times New Roman" w:eastAsia="宋体" w:cs="Times New Roman"/>
          <w:color w:val="auto"/>
          <w:kern w:val="0"/>
          <w:szCs w:val="21"/>
        </w:rPr>
        <w:t>、总大肠菌群等</w:t>
      </w:r>
      <w:r>
        <w:rPr>
          <w:rFonts w:hint="default" w:ascii="Times New Roman" w:hAnsi="Times New Roman" w:eastAsia="宋体" w:cs="Times New Roman"/>
          <w:color w:val="auto"/>
        </w:rPr>
        <w:t>共21项。</w:t>
      </w:r>
    </w:p>
    <w:p>
      <w:pPr>
        <w:ind w:firstLine="480"/>
        <w:rPr>
          <w:rStyle w:val="37"/>
          <w:rFonts w:hint="default" w:ascii="Times New Roman" w:hAnsi="Times New Roman" w:eastAsia="宋体" w:cs="Times New Roman"/>
          <w:color w:val="auto"/>
        </w:rPr>
      </w:pPr>
      <w:r>
        <w:rPr>
          <w:rStyle w:val="37"/>
          <w:rFonts w:hint="default" w:ascii="Times New Roman" w:hAnsi="Times New Roman" w:eastAsia="宋体" w:cs="Times New Roman"/>
          <w:color w:val="auto"/>
        </w:rPr>
        <w:t>按照有关规定及时建立档案，并定期向安全环保部门汇报，对于常规监测数据应该进行公开，特别是对项目所在区域的居民进行公开，满足法律中关于知情权的要求。</w:t>
      </w:r>
      <w:bookmarkEnd w:id="580"/>
    </w:p>
    <w:p>
      <w:pPr>
        <w:pStyle w:val="6"/>
        <w:rPr>
          <w:rFonts w:hint="default" w:ascii="Times New Roman" w:hAnsi="Times New Roman" w:eastAsia="宋体" w:cs="Times New Roman"/>
          <w:color w:val="auto"/>
        </w:rPr>
      </w:pPr>
      <w:bookmarkStart w:id="581" w:name="_Toc41476886"/>
      <w:bookmarkStart w:id="582" w:name="_Toc9536"/>
      <w:r>
        <w:rPr>
          <w:rFonts w:hint="default" w:ascii="Times New Roman" w:hAnsi="Times New Roman" w:eastAsia="宋体" w:cs="Times New Roman"/>
          <w:color w:val="auto"/>
        </w:rPr>
        <w:t>9.3.</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rPr>
        <w:t>噪声监测计划</w:t>
      </w:r>
      <w:bookmarkEnd w:id="581"/>
      <w:bookmarkEnd w:id="58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（1）监测点位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厂界外1m，场界四周共布置4个监测点位。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（2）监测指标</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连续等效噪声A声级</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（3）监测频次</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每季度至少开展一次监测。</w:t>
      </w:r>
    </w:p>
    <w:p>
      <w:pPr>
        <w:pStyle w:val="6"/>
        <w:rPr>
          <w:rFonts w:hint="default" w:ascii="Times New Roman" w:hAnsi="Times New Roman" w:eastAsia="宋体" w:cs="Times New Roman"/>
          <w:color w:val="auto"/>
        </w:rPr>
      </w:pPr>
      <w:bookmarkStart w:id="583" w:name="_Toc18403"/>
      <w:r>
        <w:rPr>
          <w:rFonts w:hint="default" w:ascii="Times New Roman" w:hAnsi="Times New Roman" w:eastAsia="宋体" w:cs="Times New Roman"/>
          <w:color w:val="auto"/>
        </w:rPr>
        <w:t>9.3.</w:t>
      </w:r>
      <w:r>
        <w:rPr>
          <w:rFonts w:hint="default" w:ascii="Times New Roman" w:hAnsi="Times New Roman" w:eastAsia="宋体" w:cs="Times New Roman"/>
          <w:color w:val="auto"/>
          <w:lang w:val="en-US" w:eastAsia="zh-CN"/>
        </w:rPr>
        <w:t>4</w:t>
      </w:r>
      <w:r>
        <w:rPr>
          <w:rFonts w:hint="default" w:ascii="Times New Roman" w:hAnsi="Times New Roman" w:eastAsia="宋体" w:cs="Times New Roman"/>
          <w:color w:val="auto"/>
        </w:rPr>
        <w:t>农肥监测计划</w:t>
      </w:r>
      <w:bookmarkEnd w:id="58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（1）监测点位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还田利用前氧化塘取肥口，取样点不少于1处。</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（2）监测指标</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蛔虫卵、粪大肠菌群数。</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（3）监测频次</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每次施肥还田前，2次/年。</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综上，本次项目运营期环境监测计划及内容见表9.3-1。</w:t>
      </w:r>
    </w:p>
    <w:p>
      <w:pPr>
        <w:pStyle w:val="5"/>
        <w:rPr>
          <w:rFonts w:hint="default" w:ascii="Times New Roman" w:hAnsi="Times New Roman" w:eastAsia="宋体" w:cs="Times New Roman"/>
          <w:color w:val="auto"/>
        </w:rPr>
      </w:pPr>
      <w:bookmarkStart w:id="584" w:name="_Toc523322409"/>
      <w:bookmarkStart w:id="585" w:name="_Toc471227906"/>
      <w:bookmarkStart w:id="586" w:name="_Toc6962"/>
      <w:r>
        <w:rPr>
          <w:rFonts w:hint="default" w:ascii="Times New Roman" w:hAnsi="Times New Roman" w:eastAsia="宋体" w:cs="Times New Roman"/>
          <w:color w:val="auto"/>
        </w:rPr>
        <w:t>9.4环保设施“三同时”竣工验收</w:t>
      </w:r>
      <w:bookmarkEnd w:id="584"/>
      <w:bookmarkEnd w:id="585"/>
      <w:bookmarkEnd w:id="58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根据《建设项目环境保护管理条例》、《建设项目环境保护验收管理办法》及《建设项目竣工环境保护验收技术指南 污染影响类》的规定，本项目的环保设施“三同时”竣工验收内容见表9.4-1。</w:t>
      </w:r>
    </w:p>
    <w:p>
      <w:pPr>
        <w:ind w:firstLine="480"/>
        <w:rPr>
          <w:rFonts w:hint="default" w:ascii="Times New Roman" w:hAnsi="Times New Roman" w:eastAsia="宋体" w:cs="Times New Roman"/>
          <w:color w:val="auto"/>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8"/>
        <w:rPr>
          <w:rFonts w:hint="default" w:ascii="Times New Roman" w:hAnsi="Times New Roman" w:eastAsia="宋体" w:cs="Times New Roman"/>
          <w:color w:val="auto"/>
        </w:rPr>
      </w:pPr>
      <w:r>
        <w:rPr>
          <w:rFonts w:hint="default" w:ascii="Times New Roman" w:hAnsi="Times New Roman" w:eastAsia="宋体" w:cs="Times New Roman"/>
          <w:color w:val="auto"/>
        </w:rPr>
        <w:t>表9.3-1    本次项目环境监测计划一览表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57" w:type="dxa"/>
          <w:bottom w:w="0" w:type="dxa"/>
          <w:right w:w="57" w:type="dxa"/>
        </w:tblCellMar>
      </w:tblPr>
      <w:tblGrid>
        <w:gridCol w:w="747"/>
        <w:gridCol w:w="670"/>
        <w:gridCol w:w="750"/>
        <w:gridCol w:w="1116"/>
        <w:gridCol w:w="3386"/>
        <w:gridCol w:w="1392"/>
        <w:gridCol w:w="4382"/>
        <w:gridCol w:w="139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270"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阶段</w:t>
            </w:r>
          </w:p>
        </w:tc>
        <w:tc>
          <w:tcPr>
            <w:tcW w:w="513" w:type="pct"/>
            <w:gridSpan w:val="2"/>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类别</w:t>
            </w:r>
          </w:p>
        </w:tc>
        <w:tc>
          <w:tcPr>
            <w:tcW w:w="403"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监测点位</w:t>
            </w:r>
          </w:p>
        </w:tc>
        <w:tc>
          <w:tcPr>
            <w:tcW w:w="1223"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监测指标</w:t>
            </w:r>
          </w:p>
        </w:tc>
        <w:tc>
          <w:tcPr>
            <w:tcW w:w="503"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监测频次</w:t>
            </w:r>
          </w:p>
        </w:tc>
        <w:tc>
          <w:tcPr>
            <w:tcW w:w="1583"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执行标准</w:t>
            </w:r>
          </w:p>
        </w:tc>
        <w:tc>
          <w:tcPr>
            <w:tcW w:w="502"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实施单位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270" w:type="pct"/>
            <w:vMerge w:val="restart"/>
            <w:shd w:val="clear" w:color="auto" w:fill="FFFFFF"/>
            <w:textDirection w:val="tbRlV"/>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运营期</w:t>
            </w:r>
          </w:p>
        </w:tc>
        <w:tc>
          <w:tcPr>
            <w:tcW w:w="242" w:type="pct"/>
            <w:shd w:val="clear" w:color="auto" w:fill="FFFFFF"/>
            <w:textDirection w:val="tbRlV"/>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环境质量监测</w:t>
            </w:r>
          </w:p>
        </w:tc>
        <w:tc>
          <w:tcPr>
            <w:tcW w:w="271"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地下水</w:t>
            </w:r>
          </w:p>
        </w:tc>
        <w:tc>
          <w:tcPr>
            <w:tcW w:w="403"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1口地下水监控井水质</w:t>
            </w:r>
          </w:p>
        </w:tc>
        <w:tc>
          <w:tcPr>
            <w:tcW w:w="1223"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pH、总硬度、耗氧量、硫酸盐、氯化物、硝酸盐、氨氮、亚硝酸盐、挥发性酚类、氰化物、氟、溶解性总固体、六价铬、砷、汞、铅、镉、铁、锰、</w:t>
            </w:r>
            <w:r>
              <w:rPr>
                <w:rFonts w:hint="default" w:ascii="Times New Roman" w:hAnsi="Times New Roman" w:eastAsia="宋体" w:cs="Times New Roman"/>
                <w:color w:val="auto"/>
                <w:lang w:eastAsia="zh-CN"/>
              </w:rPr>
              <w:t>菌落总数</w:t>
            </w:r>
            <w:r>
              <w:rPr>
                <w:rFonts w:hint="default" w:ascii="Times New Roman" w:hAnsi="Times New Roman" w:eastAsia="宋体" w:cs="Times New Roman"/>
                <w:color w:val="auto"/>
              </w:rPr>
              <w:t>、总大肠菌群等共21项</w:t>
            </w:r>
          </w:p>
        </w:tc>
        <w:tc>
          <w:tcPr>
            <w:tcW w:w="503"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1次/半年</w:t>
            </w:r>
          </w:p>
        </w:tc>
        <w:tc>
          <w:tcPr>
            <w:tcW w:w="1583"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《地下水质量标准》（GB/T14848-2017）中Ⅲ类标准</w:t>
            </w:r>
          </w:p>
        </w:tc>
        <w:tc>
          <w:tcPr>
            <w:tcW w:w="502" w:type="pct"/>
            <w:shd w:val="clear" w:color="auto" w:fill="FFFFFF"/>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委托有资质单位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52" w:hRule="atLeast"/>
          <w:jc w:val="center"/>
        </w:trPr>
        <w:tc>
          <w:tcPr>
            <w:tcW w:w="270" w:type="pct"/>
            <w:vMerge w:val="continue"/>
            <w:vAlign w:val="center"/>
          </w:tcPr>
          <w:p>
            <w:pPr>
              <w:pStyle w:val="58"/>
              <w:rPr>
                <w:rFonts w:hint="default" w:ascii="Times New Roman" w:hAnsi="Times New Roman" w:eastAsia="宋体" w:cs="Times New Roman"/>
                <w:color w:val="auto"/>
              </w:rPr>
            </w:pPr>
          </w:p>
        </w:tc>
        <w:tc>
          <w:tcPr>
            <w:tcW w:w="242" w:type="pct"/>
            <w:vMerge w:val="restart"/>
            <w:textDirection w:val="tbRlV"/>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污染源监测</w:t>
            </w:r>
          </w:p>
        </w:tc>
        <w:tc>
          <w:tcPr>
            <w:tcW w:w="271" w:type="pct"/>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废气</w:t>
            </w:r>
          </w:p>
        </w:tc>
        <w:tc>
          <w:tcPr>
            <w:tcW w:w="403" w:type="pct"/>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厂界</w:t>
            </w:r>
          </w:p>
        </w:tc>
        <w:tc>
          <w:tcPr>
            <w:tcW w:w="122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氨气、硫化氢</w:t>
            </w:r>
          </w:p>
        </w:tc>
        <w:tc>
          <w:tcPr>
            <w:tcW w:w="503" w:type="pct"/>
            <w:vAlign w:val="center"/>
          </w:tcPr>
          <w:p>
            <w:pPr>
              <w:pStyle w:val="58"/>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1次/</w:t>
            </w:r>
            <w:r>
              <w:rPr>
                <w:rFonts w:hint="default" w:ascii="Times New Roman" w:hAnsi="Times New Roman" w:eastAsia="宋体" w:cs="Times New Roman"/>
                <w:color w:val="auto"/>
                <w:lang w:eastAsia="zh-CN"/>
              </w:rPr>
              <w:t>半年</w:t>
            </w:r>
          </w:p>
        </w:tc>
        <w:tc>
          <w:tcPr>
            <w:tcW w:w="15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《恶臭污染物排放标准》（GB14554-93）二级标准中氨气和硫化氢的浓度标准限值</w:t>
            </w:r>
          </w:p>
        </w:tc>
        <w:tc>
          <w:tcPr>
            <w:tcW w:w="502" w:type="pct"/>
            <w:vMerge w:val="restar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委托有资质单位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52" w:hRule="atLeast"/>
          <w:jc w:val="center"/>
        </w:trPr>
        <w:tc>
          <w:tcPr>
            <w:tcW w:w="270" w:type="pct"/>
            <w:vMerge w:val="continue"/>
            <w:vAlign w:val="center"/>
          </w:tcPr>
          <w:p>
            <w:pPr>
              <w:pStyle w:val="58"/>
              <w:rPr>
                <w:rFonts w:hint="default" w:ascii="Times New Roman" w:hAnsi="Times New Roman" w:eastAsia="宋体" w:cs="Times New Roman"/>
                <w:color w:val="auto"/>
              </w:rPr>
            </w:pPr>
          </w:p>
        </w:tc>
        <w:tc>
          <w:tcPr>
            <w:tcW w:w="242" w:type="pct"/>
            <w:vMerge w:val="continue"/>
            <w:textDirection w:val="tbRlV"/>
            <w:vAlign w:val="center"/>
          </w:tcPr>
          <w:p>
            <w:pPr>
              <w:pStyle w:val="58"/>
              <w:rPr>
                <w:rFonts w:hint="default" w:ascii="Times New Roman" w:hAnsi="Times New Roman" w:eastAsia="宋体" w:cs="Times New Roman"/>
                <w:color w:val="auto"/>
              </w:rPr>
            </w:pPr>
          </w:p>
        </w:tc>
        <w:tc>
          <w:tcPr>
            <w:tcW w:w="271" w:type="pct"/>
            <w:vMerge w:val="continue"/>
            <w:vAlign w:val="center"/>
          </w:tcPr>
          <w:p>
            <w:pPr>
              <w:pStyle w:val="58"/>
              <w:rPr>
                <w:rFonts w:hint="default" w:ascii="Times New Roman" w:hAnsi="Times New Roman" w:eastAsia="宋体" w:cs="Times New Roman"/>
                <w:color w:val="auto"/>
              </w:rPr>
            </w:pPr>
          </w:p>
        </w:tc>
        <w:tc>
          <w:tcPr>
            <w:tcW w:w="403" w:type="pct"/>
            <w:vMerge w:val="continue"/>
            <w:vAlign w:val="center"/>
          </w:tcPr>
          <w:p>
            <w:pPr>
              <w:pStyle w:val="58"/>
              <w:rPr>
                <w:rFonts w:hint="default" w:ascii="Times New Roman" w:hAnsi="Times New Roman" w:eastAsia="宋体" w:cs="Times New Roman"/>
                <w:color w:val="auto"/>
              </w:rPr>
            </w:pPr>
          </w:p>
        </w:tc>
        <w:tc>
          <w:tcPr>
            <w:tcW w:w="122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臭气浓度</w:t>
            </w:r>
          </w:p>
        </w:tc>
        <w:tc>
          <w:tcPr>
            <w:tcW w:w="50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1次/</w:t>
            </w:r>
            <w:r>
              <w:rPr>
                <w:rFonts w:hint="default" w:ascii="Times New Roman" w:hAnsi="Times New Roman" w:eastAsia="宋体" w:cs="Times New Roman"/>
                <w:color w:val="auto"/>
                <w:lang w:eastAsia="zh-CN"/>
              </w:rPr>
              <w:t>半年</w:t>
            </w:r>
          </w:p>
        </w:tc>
        <w:tc>
          <w:tcPr>
            <w:tcW w:w="15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《畜禽养殖业污染物排放标准》（GB18596-2001）中臭气浓度的限值要求</w:t>
            </w:r>
          </w:p>
        </w:tc>
        <w:tc>
          <w:tcPr>
            <w:tcW w:w="502" w:type="pct"/>
            <w:vMerge w:val="continue"/>
            <w:vAlign w:val="center"/>
          </w:tcPr>
          <w:p>
            <w:pPr>
              <w:pStyle w:val="58"/>
              <w:rPr>
                <w:rFonts w:hint="default" w:ascii="Times New Roman" w:hAnsi="Times New Roman" w:eastAsia="宋体" w:cs="Times New Roman"/>
                <w:color w:val="auto"/>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270" w:type="pct"/>
            <w:vMerge w:val="continue"/>
            <w:vAlign w:val="center"/>
          </w:tcPr>
          <w:p>
            <w:pPr>
              <w:pStyle w:val="58"/>
              <w:rPr>
                <w:rFonts w:hint="default" w:ascii="Times New Roman" w:hAnsi="Times New Roman" w:eastAsia="宋体" w:cs="Times New Roman"/>
                <w:color w:val="auto"/>
              </w:rPr>
            </w:pPr>
          </w:p>
        </w:tc>
        <w:tc>
          <w:tcPr>
            <w:tcW w:w="242" w:type="pct"/>
            <w:vMerge w:val="continue"/>
            <w:vAlign w:val="center"/>
          </w:tcPr>
          <w:p>
            <w:pPr>
              <w:pStyle w:val="58"/>
              <w:rPr>
                <w:rFonts w:hint="default" w:ascii="Times New Roman" w:hAnsi="Times New Roman" w:eastAsia="宋体" w:cs="Times New Roman"/>
                <w:color w:val="auto"/>
              </w:rPr>
            </w:pPr>
          </w:p>
        </w:tc>
        <w:tc>
          <w:tcPr>
            <w:tcW w:w="271"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噪声</w:t>
            </w:r>
          </w:p>
        </w:tc>
        <w:tc>
          <w:tcPr>
            <w:tcW w:w="40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厂界</w:t>
            </w:r>
          </w:p>
        </w:tc>
        <w:tc>
          <w:tcPr>
            <w:tcW w:w="122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等效噪声A声级</w:t>
            </w:r>
          </w:p>
        </w:tc>
        <w:tc>
          <w:tcPr>
            <w:tcW w:w="50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1次/季度</w:t>
            </w:r>
          </w:p>
        </w:tc>
        <w:tc>
          <w:tcPr>
            <w:tcW w:w="15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《工业企业厂界环境噪声排放标准》（GB12348-2008）2类标准值</w:t>
            </w:r>
          </w:p>
        </w:tc>
        <w:tc>
          <w:tcPr>
            <w:tcW w:w="50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委托有资质单位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270" w:type="pct"/>
            <w:vMerge w:val="continue"/>
            <w:vAlign w:val="center"/>
          </w:tcPr>
          <w:p>
            <w:pPr>
              <w:pStyle w:val="58"/>
              <w:rPr>
                <w:rFonts w:hint="default" w:ascii="Times New Roman" w:hAnsi="Times New Roman" w:eastAsia="宋体" w:cs="Times New Roman"/>
                <w:color w:val="auto"/>
              </w:rPr>
            </w:pPr>
          </w:p>
        </w:tc>
        <w:tc>
          <w:tcPr>
            <w:tcW w:w="242" w:type="pct"/>
            <w:vMerge w:val="continue"/>
            <w:vAlign w:val="center"/>
          </w:tcPr>
          <w:p>
            <w:pPr>
              <w:pStyle w:val="58"/>
              <w:rPr>
                <w:rFonts w:hint="default" w:ascii="Times New Roman" w:hAnsi="Times New Roman" w:eastAsia="宋体" w:cs="Times New Roman"/>
                <w:color w:val="auto"/>
              </w:rPr>
            </w:pPr>
          </w:p>
        </w:tc>
        <w:tc>
          <w:tcPr>
            <w:tcW w:w="271" w:type="pct"/>
            <w:vAlign w:val="center"/>
          </w:tcPr>
          <w:p>
            <w:pPr>
              <w:pStyle w:val="58"/>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氧化塘</w:t>
            </w:r>
          </w:p>
        </w:tc>
        <w:tc>
          <w:tcPr>
            <w:tcW w:w="40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取肥口</w:t>
            </w:r>
          </w:p>
        </w:tc>
        <w:tc>
          <w:tcPr>
            <w:tcW w:w="122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蛔虫卵、粪大肠菌群数</w:t>
            </w:r>
          </w:p>
        </w:tc>
        <w:tc>
          <w:tcPr>
            <w:tcW w:w="50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2次/年</w:t>
            </w:r>
          </w:p>
        </w:tc>
        <w:tc>
          <w:tcPr>
            <w:tcW w:w="1583"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《畜禽养殖业污染物排放标准》（GB18596-2001）中表6畜禽养殖业废渣无害化环境标准</w:t>
            </w:r>
          </w:p>
        </w:tc>
        <w:tc>
          <w:tcPr>
            <w:tcW w:w="502" w:type="pct"/>
            <w:vAlign w:val="center"/>
          </w:tcPr>
          <w:p>
            <w:pPr>
              <w:pStyle w:val="58"/>
              <w:rPr>
                <w:rFonts w:hint="default" w:ascii="Times New Roman" w:hAnsi="Times New Roman" w:eastAsia="宋体" w:cs="Times New Roman"/>
                <w:color w:val="auto"/>
              </w:rPr>
            </w:pPr>
            <w:r>
              <w:rPr>
                <w:rFonts w:hint="default" w:ascii="Times New Roman" w:hAnsi="Times New Roman" w:eastAsia="宋体" w:cs="Times New Roman"/>
                <w:color w:val="auto"/>
              </w:rPr>
              <w:t>委托有资质单位</w:t>
            </w:r>
          </w:p>
        </w:tc>
      </w:tr>
    </w:tbl>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br w:type="page"/>
      </w:r>
    </w:p>
    <w:p>
      <w:pPr>
        <w:pStyle w:val="8"/>
        <w:rPr>
          <w:rFonts w:hint="default" w:ascii="Times New Roman" w:hAnsi="Times New Roman" w:eastAsia="宋体" w:cs="Times New Roman"/>
          <w:color w:val="auto"/>
        </w:rPr>
      </w:pPr>
      <w:bookmarkStart w:id="587" w:name="_Hlk46587142"/>
      <w:r>
        <w:rPr>
          <w:rFonts w:hint="default" w:ascii="Times New Roman" w:hAnsi="Times New Roman" w:eastAsia="宋体" w:cs="Times New Roman"/>
          <w:color w:val="auto"/>
        </w:rPr>
        <w:t>表9.4-1    项目“三同时”环保验收一览表</w:t>
      </w:r>
    </w:p>
    <w:tbl>
      <w:tblPr>
        <w:tblStyle w:val="34"/>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62"/>
        <w:gridCol w:w="1145"/>
        <w:gridCol w:w="1168"/>
        <w:gridCol w:w="1168"/>
        <w:gridCol w:w="4152"/>
        <w:gridCol w:w="2190"/>
        <w:gridCol w:w="2491"/>
        <w:gridCol w:w="115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类型</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产污点</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监测点位</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治理措施</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治理效果</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完成时间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w:t>
            </w:r>
          </w:p>
        </w:tc>
        <w:tc>
          <w:tcPr>
            <w:tcW w:w="411" w:type="pct"/>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0"/>
                <w:sz w:val="21"/>
                <w:szCs w:val="21"/>
                <w:lang w:val="en-US" w:eastAsia="zh-CN" w:bidi="ar"/>
              </w:rPr>
              <w:t>猪舍恶臭</w:t>
            </w:r>
          </w:p>
        </w:tc>
        <w:tc>
          <w:tcPr>
            <w:tcW w:w="419"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厂界四周</w:t>
            </w:r>
          </w:p>
        </w:tc>
        <w:tc>
          <w:tcPr>
            <w:tcW w:w="419"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氨气</w:t>
            </w:r>
          </w:p>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硫化氢</w:t>
            </w:r>
          </w:p>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臭气浓度</w:t>
            </w:r>
          </w:p>
        </w:tc>
        <w:tc>
          <w:tcPr>
            <w:tcW w:w="2275" w:type="pct"/>
            <w:gridSpan w:val="2"/>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场区内采取控制饲养密度、加强舍内通风、调控喂食量、喷洒化学+生物除臭剂等措施降低臭气浓度；</w:t>
            </w:r>
          </w:p>
        </w:tc>
        <w:tc>
          <w:tcPr>
            <w:tcW w:w="894"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《恶臭污染物排放标准》（GB14554-93）二级标准中氨气和硫化氢的浓度标准限值；</w:t>
            </w:r>
          </w:p>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《畜禽养殖业污染物排放标准》（GB18596-2001）中臭气浓度的限值要求</w:t>
            </w:r>
          </w:p>
        </w:tc>
        <w:tc>
          <w:tcPr>
            <w:tcW w:w="413"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晾粪台</w:t>
            </w:r>
            <w:r>
              <w:rPr>
                <w:rFonts w:hint="eastAsia" w:ascii="宋体" w:hAnsi="宋体" w:eastAsia="宋体" w:cs="宋体"/>
                <w:color w:val="auto"/>
                <w:kern w:val="0"/>
                <w:sz w:val="21"/>
                <w:szCs w:val="21"/>
                <w:lang w:val="en-US" w:eastAsia="zh-CN" w:bidi="ar"/>
              </w:rPr>
              <w:t>恶臭</w:t>
            </w:r>
          </w:p>
        </w:tc>
        <w:tc>
          <w:tcPr>
            <w:tcW w:w="419"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9"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2275" w:type="pct"/>
            <w:gridSpan w:val="2"/>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晾粪台</w:t>
            </w:r>
            <w:r>
              <w:rPr>
                <w:rFonts w:hint="eastAsia"/>
                <w:color w:val="auto"/>
                <w:sz w:val="21"/>
                <w:szCs w:val="21"/>
              </w:rPr>
              <w:t>定期喷洒减少氨释放和保氮的复合菌剂，</w:t>
            </w:r>
            <w:r>
              <w:rPr>
                <w:rFonts w:hint="default" w:ascii="Times New Roman" w:hAnsi="Times New Roman" w:eastAsia="宋体" w:cs="Times New Roman"/>
                <w:color w:val="auto"/>
                <w:sz w:val="21"/>
                <w:szCs w:val="21"/>
              </w:rPr>
              <w:t>通过菌类自身繁殖达到去除臭气的目的</w:t>
            </w:r>
            <w:r>
              <w:rPr>
                <w:rFonts w:hint="eastAsia"/>
                <w:color w:val="auto"/>
                <w:sz w:val="21"/>
                <w:szCs w:val="21"/>
              </w:rPr>
              <w:t>，同时场区内加强绿化</w:t>
            </w:r>
            <w:r>
              <w:rPr>
                <w:rFonts w:hint="eastAsia"/>
                <w:color w:val="auto"/>
                <w:sz w:val="21"/>
                <w:szCs w:val="21"/>
                <w:lang w:eastAsia="zh-CN"/>
              </w:rPr>
              <w:t>；</w:t>
            </w:r>
          </w:p>
        </w:tc>
        <w:tc>
          <w:tcPr>
            <w:tcW w:w="894"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3"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氧化塘</w:t>
            </w:r>
            <w:r>
              <w:rPr>
                <w:rFonts w:hint="eastAsia" w:ascii="宋体" w:hAnsi="宋体" w:eastAsia="宋体" w:cs="宋体"/>
                <w:color w:val="auto"/>
                <w:kern w:val="0"/>
                <w:sz w:val="21"/>
                <w:szCs w:val="21"/>
                <w:lang w:val="en-US" w:eastAsia="zh-CN" w:bidi="ar"/>
              </w:rPr>
              <w:t>恶臭</w:t>
            </w:r>
          </w:p>
        </w:tc>
        <w:tc>
          <w:tcPr>
            <w:tcW w:w="419"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9"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2275" w:type="pct"/>
            <w:gridSpan w:val="2"/>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sz w:val="21"/>
                <w:szCs w:val="21"/>
              </w:rPr>
              <w:t xml:space="preserve"> </w:t>
            </w:r>
            <w:r>
              <w:rPr>
                <w:rFonts w:hint="eastAsia"/>
                <w:color w:val="auto"/>
                <w:sz w:val="21"/>
                <w:szCs w:val="21"/>
              </w:rPr>
              <w:t>氧化塘定期喷洒减少氨释放和保氮的复合菌剂，</w:t>
            </w:r>
            <w:r>
              <w:rPr>
                <w:rFonts w:hint="default" w:ascii="Times New Roman" w:hAnsi="Times New Roman" w:eastAsia="宋体" w:cs="Times New Roman"/>
                <w:color w:val="auto"/>
                <w:sz w:val="21"/>
                <w:szCs w:val="21"/>
              </w:rPr>
              <w:t>通过菌类自身繁殖达到去除臭气的目的</w:t>
            </w:r>
            <w:r>
              <w:rPr>
                <w:rFonts w:hint="eastAsia"/>
                <w:color w:val="auto"/>
                <w:sz w:val="21"/>
                <w:szCs w:val="21"/>
              </w:rPr>
              <w:t>，同时场区内加强绿化</w:t>
            </w:r>
            <w:r>
              <w:rPr>
                <w:rFonts w:hint="eastAsia"/>
                <w:color w:val="auto"/>
                <w:sz w:val="21"/>
                <w:szCs w:val="21"/>
                <w:lang w:eastAsia="zh-CN"/>
              </w:rPr>
              <w:t>；</w:t>
            </w:r>
          </w:p>
        </w:tc>
        <w:tc>
          <w:tcPr>
            <w:tcW w:w="894"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3"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eastAsia"/>
                <w:color w:val="auto"/>
                <w:kern w:val="0"/>
                <w:sz w:val="21"/>
                <w:szCs w:val="21"/>
                <w:lang w:eastAsia="zh-CN"/>
              </w:rPr>
              <w:t>猪</w:t>
            </w:r>
            <w:r>
              <w:rPr>
                <w:rFonts w:hint="eastAsia"/>
                <w:color w:val="auto"/>
                <w:kern w:val="0"/>
                <w:sz w:val="21"/>
                <w:szCs w:val="21"/>
              </w:rPr>
              <w:t>尿</w:t>
            </w:r>
          </w:p>
        </w:tc>
        <w:tc>
          <w:tcPr>
            <w:tcW w:w="419"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氧化塘出肥口</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149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sz w:val="21"/>
                <w:szCs w:val="21"/>
              </w:rPr>
              <w:t>猪舍地面采用漏缝地板，猪粪和猪尿依靠重力作用落到</w:t>
            </w:r>
            <w:r>
              <w:rPr>
                <w:rFonts w:hint="eastAsia" w:cs="Times New Roman"/>
                <w:color w:val="auto"/>
                <w:spacing w:val="-4"/>
                <w:sz w:val="21"/>
                <w:szCs w:val="21"/>
                <w:lang w:val="en-US" w:eastAsia="zh-CN"/>
              </w:rPr>
              <w:t>化</w:t>
            </w:r>
            <w:r>
              <w:rPr>
                <w:rFonts w:hint="default" w:ascii="Times New Roman" w:hAnsi="Times New Roman" w:eastAsia="宋体" w:cs="Times New Roman"/>
                <w:color w:val="auto"/>
                <w:spacing w:val="-4"/>
                <w:sz w:val="21"/>
                <w:szCs w:val="21"/>
              </w:rPr>
              <w:t>粪池内，</w:t>
            </w:r>
            <w:r>
              <w:rPr>
                <w:rFonts w:hint="eastAsia" w:cs="Times New Roman"/>
                <w:color w:val="auto"/>
                <w:spacing w:val="-4"/>
                <w:sz w:val="21"/>
                <w:szCs w:val="21"/>
                <w:lang w:val="en-US" w:eastAsia="zh-CN"/>
              </w:rPr>
              <w:t>经固液分离器将猪粪分离后</w:t>
            </w:r>
            <w:r>
              <w:rPr>
                <w:rFonts w:hint="default" w:ascii="Times New Roman" w:hAnsi="Times New Roman" w:eastAsia="宋体" w:cs="Times New Roman"/>
                <w:color w:val="auto"/>
                <w:spacing w:val="-4"/>
                <w:sz w:val="21"/>
                <w:szCs w:val="21"/>
              </w:rPr>
              <w:t>，猪尿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c>
          <w:tcPr>
            <w:tcW w:w="785"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项目设置</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座氧化塘，总容积</w:t>
            </w:r>
            <w:r>
              <w:rPr>
                <w:rFonts w:hint="eastAsia" w:cs="Times New Roman"/>
                <w:color w:val="auto"/>
                <w:sz w:val="21"/>
                <w:szCs w:val="21"/>
                <w:highlight w:val="none"/>
                <w:lang w:val="en-US" w:eastAsia="zh-CN"/>
              </w:rPr>
              <w:t>17000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，满足6个月的存储要求，2座氧化塘独立轮换运作。</w:t>
            </w:r>
          </w:p>
        </w:tc>
        <w:tc>
          <w:tcPr>
            <w:tcW w:w="894"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资源化利用，满足《畜禽养殖业污染物排放标准》（GB18596-2001）</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eastAsia" w:ascii="Times New Roman" w:hAnsi="Times New Roman" w:eastAsia="宋体" w:cs="Times New Roman"/>
                <w:color w:val="auto"/>
                <w:kern w:val="0"/>
                <w:sz w:val="21"/>
                <w:szCs w:val="21"/>
                <w:lang w:val="en-US" w:eastAsia="zh-CN" w:bidi="ar-SA"/>
              </w:rPr>
            </w:pPr>
            <w:r>
              <w:rPr>
                <w:rFonts w:hint="eastAsia" w:cs="Times New Roman"/>
                <w:color w:val="auto"/>
                <w:sz w:val="21"/>
                <w:szCs w:val="21"/>
                <w:lang w:eastAsia="zh-CN"/>
              </w:rPr>
              <w:t>猪舍粪污管道冲洗废水</w:t>
            </w:r>
          </w:p>
        </w:tc>
        <w:tc>
          <w:tcPr>
            <w:tcW w:w="419"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149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sz w:val="21"/>
                <w:szCs w:val="21"/>
              </w:rPr>
              <w:t>猪舍地面采用漏缝地板，</w:t>
            </w:r>
            <w:r>
              <w:rPr>
                <w:rFonts w:hint="eastAsia" w:cs="Times New Roman"/>
                <w:color w:val="auto"/>
                <w:spacing w:val="-4"/>
                <w:sz w:val="21"/>
                <w:szCs w:val="21"/>
                <w:lang w:eastAsia="zh-CN"/>
              </w:rPr>
              <w:t>猪舍粪污管道冲洗废水</w:t>
            </w:r>
            <w:r>
              <w:rPr>
                <w:rFonts w:hint="default" w:ascii="Times New Roman" w:hAnsi="Times New Roman" w:eastAsia="宋体" w:cs="Times New Roman"/>
                <w:color w:val="auto"/>
                <w:spacing w:val="-4"/>
                <w:sz w:val="21"/>
                <w:szCs w:val="21"/>
              </w:rPr>
              <w:t>由猪舍内的地漏落到</w:t>
            </w:r>
            <w:r>
              <w:rPr>
                <w:rFonts w:hint="eastAsia" w:cs="Times New Roman"/>
                <w:color w:val="auto"/>
                <w:spacing w:val="-4"/>
                <w:sz w:val="21"/>
                <w:szCs w:val="21"/>
                <w:lang w:val="en-US" w:eastAsia="zh-CN"/>
              </w:rPr>
              <w:t>化</w:t>
            </w:r>
            <w:r>
              <w:rPr>
                <w:rFonts w:hint="default" w:ascii="Times New Roman" w:hAnsi="Times New Roman" w:eastAsia="宋体" w:cs="Times New Roman"/>
                <w:color w:val="auto"/>
                <w:spacing w:val="-4"/>
                <w:sz w:val="21"/>
                <w:szCs w:val="21"/>
              </w:rPr>
              <w:t>粪池内，</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c>
          <w:tcPr>
            <w:tcW w:w="785"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894"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生活污水</w:t>
            </w:r>
          </w:p>
        </w:tc>
        <w:tc>
          <w:tcPr>
            <w:tcW w:w="419"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COD、BOD、氨氮、总氮、总磷、PH</w:t>
            </w:r>
          </w:p>
        </w:tc>
        <w:tc>
          <w:tcPr>
            <w:tcW w:w="1490"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spacing w:val="-4"/>
                <w:sz w:val="21"/>
                <w:szCs w:val="21"/>
                <w:lang w:val="en-US" w:eastAsia="zh-CN"/>
              </w:rPr>
              <w:t>排入</w:t>
            </w:r>
            <w:r>
              <w:rPr>
                <w:rFonts w:hint="default" w:ascii="Times New Roman" w:hAnsi="Times New Roman" w:eastAsia="宋体" w:cs="Times New Roman"/>
                <w:color w:val="auto"/>
                <w:spacing w:val="-4"/>
                <w:sz w:val="21"/>
                <w:szCs w:val="21"/>
              </w:rPr>
              <w:t>化粪池</w:t>
            </w:r>
            <w:r>
              <w:rPr>
                <w:rFonts w:hint="eastAsia" w:cs="Times New Roman"/>
                <w:color w:val="auto"/>
                <w:spacing w:val="-4"/>
                <w:sz w:val="21"/>
                <w:szCs w:val="21"/>
                <w:lang w:eastAsia="zh-CN"/>
              </w:rPr>
              <w:t>，</w:t>
            </w:r>
            <w:r>
              <w:rPr>
                <w:rFonts w:hint="eastAsia" w:cs="Times New Roman"/>
                <w:color w:val="auto"/>
                <w:spacing w:val="-4"/>
                <w:sz w:val="21"/>
                <w:szCs w:val="21"/>
                <w:lang w:val="en-US" w:eastAsia="zh-CN"/>
              </w:rPr>
              <w:t>经固液分离器分离后，</w:t>
            </w:r>
            <w:r>
              <w:rPr>
                <w:rFonts w:hint="default" w:ascii="Times New Roman" w:hAnsi="Times New Roman" w:eastAsia="宋体" w:cs="Times New Roman"/>
                <w:color w:val="auto"/>
                <w:spacing w:val="-4"/>
                <w:sz w:val="21"/>
                <w:szCs w:val="21"/>
              </w:rPr>
              <w:t>与猪尿</w:t>
            </w: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p>
        </w:tc>
        <w:tc>
          <w:tcPr>
            <w:tcW w:w="785"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894"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锅炉排污水</w:t>
            </w:r>
          </w:p>
        </w:tc>
        <w:tc>
          <w:tcPr>
            <w:tcW w:w="419" w:type="pct"/>
            <w:vAlign w:val="center"/>
          </w:tcPr>
          <w:p>
            <w:pPr>
              <w:keepNext w:val="0"/>
              <w:keepLines w:val="0"/>
              <w:pageBreakBefore w:val="0"/>
              <w:widowControl w:val="0"/>
              <w:kinsoku/>
              <w:wordWrap/>
              <w:overflowPunct/>
              <w:topLinePunct/>
              <w:autoSpaceDE w:val="0"/>
              <w:autoSpaceDN/>
              <w:bidi w:val="0"/>
              <w:adjustRightInd/>
              <w:snapToGrid/>
              <w:ind w:firstLine="420" w:firstLineChars="200"/>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清净下水</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电锅炉排水用于场区洒水抑尘，不外排。</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eastAsia" w:cs="Times New Roman"/>
                <w:color w:val="FF0000"/>
                <w:spacing w:val="-4"/>
                <w:sz w:val="21"/>
                <w:szCs w:val="21"/>
                <w:lang w:eastAsia="zh-CN"/>
              </w:rPr>
              <w:t>猪舍</w:t>
            </w:r>
            <w:r>
              <w:rPr>
                <w:rFonts w:hint="default" w:ascii="Times New Roman" w:hAnsi="Times New Roman" w:eastAsia="宋体" w:cs="Times New Roman"/>
                <w:color w:val="FF0000"/>
                <w:spacing w:val="-4"/>
                <w:sz w:val="21"/>
                <w:szCs w:val="21"/>
              </w:rPr>
              <w:t>降温水帘系统用水</w:t>
            </w:r>
          </w:p>
        </w:tc>
        <w:tc>
          <w:tcPr>
            <w:tcW w:w="419"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spacing w:val="-4"/>
                <w:kern w:val="2"/>
                <w:sz w:val="21"/>
                <w:szCs w:val="21"/>
                <w:lang w:val="en-US" w:eastAsia="zh-CN" w:bidi="ar-SA"/>
              </w:rPr>
            </w:pPr>
            <w:r>
              <w:rPr>
                <w:rFonts w:hint="default" w:ascii="Times New Roman" w:hAnsi="Times New Roman" w:eastAsia="宋体" w:cs="Times New Roman"/>
                <w:color w:val="auto"/>
                <w:sz w:val="21"/>
                <w:szCs w:val="21"/>
              </w:rPr>
              <w:t>/</w:t>
            </w:r>
          </w:p>
        </w:tc>
        <w:tc>
          <w:tcPr>
            <w:tcW w:w="419" w:type="pct"/>
            <w:vAlign w:val="center"/>
          </w:tcPr>
          <w:p>
            <w:pPr>
              <w:pStyle w:val="58"/>
              <w:keepNext w:val="0"/>
              <w:keepLines w:val="0"/>
              <w:pageBreakBefore w:val="0"/>
              <w:kinsoku/>
              <w:wordWrap/>
              <w:overflowPunct/>
              <w:topLinePunct/>
              <w:autoSpaceDE w:val="0"/>
              <w:autoSpaceDN/>
              <w:bidi w:val="0"/>
              <w:adjustRightInd/>
              <w:snapToGrid/>
              <w:spacing w:line="360" w:lineRule="exact"/>
              <w:ind w:firstLine="420" w:firstLineChars="200"/>
              <w:jc w:val="left"/>
              <w:rPr>
                <w:rFonts w:hint="default" w:ascii="Times New Roman" w:hAnsi="Times New Roman" w:eastAsia="宋体" w:cs="Times New Roman"/>
                <w:color w:val="auto"/>
                <w:spacing w:val="-4"/>
                <w:kern w:val="2"/>
                <w:sz w:val="21"/>
                <w:szCs w:val="21"/>
                <w:lang w:val="en-US" w:eastAsia="zh-CN" w:bidi="ar-SA"/>
              </w:rPr>
            </w:pPr>
            <w:r>
              <w:rPr>
                <w:rFonts w:hint="default" w:ascii="Times New Roman" w:hAnsi="Times New Roman" w:eastAsia="宋体" w:cs="Times New Roman"/>
                <w:color w:val="auto"/>
                <w:sz w:val="21"/>
                <w:szCs w:val="21"/>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pacing w:val="-4"/>
                <w:sz w:val="21"/>
                <w:szCs w:val="21"/>
              </w:rPr>
              <w:t>循环使用，无废水排放</w:t>
            </w:r>
            <w:r>
              <w:rPr>
                <w:rFonts w:hint="eastAsia" w:ascii="Times New Roman" w:hAnsi="Times New Roman" w:cs="Times New Roman"/>
                <w:color w:val="FF0000"/>
                <w:spacing w:val="-4"/>
                <w:sz w:val="21"/>
                <w:szCs w:val="21"/>
                <w:lang w:eastAsia="zh-CN"/>
              </w:rPr>
              <w:t>；</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洗消中心洗车废水、消毒废水</w:t>
            </w:r>
          </w:p>
        </w:tc>
        <w:tc>
          <w:tcPr>
            <w:tcW w:w="41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41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SS</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sz w:val="21"/>
                <w:szCs w:val="21"/>
              </w:rPr>
              <w:t>经沉淀池处理后，上清液循环使用，不外排</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场区雨水</w:t>
            </w:r>
          </w:p>
        </w:tc>
        <w:tc>
          <w:tcPr>
            <w:tcW w:w="419" w:type="pct"/>
            <w:vAlign w:val="center"/>
          </w:tcPr>
          <w:p>
            <w:pPr>
              <w:keepNext w:val="0"/>
              <w:keepLines w:val="0"/>
              <w:pageBreakBefore w:val="0"/>
              <w:widowControl w:val="0"/>
              <w:kinsoku/>
              <w:wordWrap/>
              <w:overflowPunct/>
              <w:topLinePunct/>
              <w:autoSpaceDE w:val="0"/>
              <w:autoSpaceDN/>
              <w:bidi w:val="0"/>
              <w:adjustRightInd/>
              <w:snapToGrid/>
              <w:ind w:firstLine="420" w:firstLineChars="20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w:t>
            </w:r>
            <w:r>
              <w:rPr>
                <w:rFonts w:hint="eastAsia" w:cs="Times New Roman"/>
                <w:color w:val="auto"/>
                <w:sz w:val="21"/>
                <w:szCs w:val="21"/>
                <w:lang w:eastAsia="zh-CN"/>
              </w:rPr>
              <w:t>猪舍</w:t>
            </w:r>
            <w:r>
              <w:rPr>
                <w:rFonts w:hint="default" w:ascii="Times New Roman" w:hAnsi="Times New Roman" w:eastAsia="宋体" w:cs="Times New Roman"/>
                <w:color w:val="auto"/>
                <w:sz w:val="21"/>
                <w:szCs w:val="21"/>
              </w:rPr>
              <w:t>屋面设置合适坡度并在屋檐设置导流槽，将雨水导出不排入运动场内，屋面雨水采用自流式排水，经过雨水管道排入场区排水沟排出。</w:t>
            </w:r>
          </w:p>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②氧化塘四周设置挡水墙以及雨水导流渠，可有效防止雨水倒灌，避免存储塘因雨水进入而溢流</w:t>
            </w:r>
            <w:r>
              <w:rPr>
                <w:rFonts w:hint="default" w:ascii="Times New Roman" w:hAnsi="Times New Roman" w:eastAsia="宋体" w:cs="Times New Roman"/>
                <w:color w:val="auto"/>
                <w:sz w:val="21"/>
                <w:szCs w:val="21"/>
                <w:lang w:val="en-US" w:eastAsia="zh-CN"/>
              </w:rPr>
              <w:t>.</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土壤</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运营过程</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对通过垂直下渗可能造成土壤污染的污染物建设单位应严格落实本次评价提出的地下水防治措施，并加强土壤环境的监测和管理。</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《土壤环境质量 农用地土壤污染风险管控标准（试行）》（GB15618-2018）表1中农用地土壤污染风险筛选值（基本项目）</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地下水</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地下水质量</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地下水监控井</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eastAsia="zh-CN"/>
              </w:rPr>
              <w:t>场区内</w:t>
            </w:r>
            <w:r>
              <w:rPr>
                <w:rFonts w:hint="default" w:ascii="Times New Roman" w:hAnsi="Times New Roman" w:eastAsia="宋体" w:cs="Times New Roman"/>
                <w:bCs/>
                <w:color w:val="auto"/>
                <w:sz w:val="21"/>
                <w:szCs w:val="21"/>
              </w:rPr>
              <w:t>设置地下水监控井1眼，设置标示等</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《地下水质量标准》（GB/T14848-2017）中Ⅲ类标准</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工程防渗要求</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1、重点防渗区</w:t>
            </w:r>
            <w:r>
              <w:rPr>
                <w:rFonts w:hint="eastAsia" w:cs="Times New Roman"/>
                <w:color w:val="auto"/>
                <w:sz w:val="21"/>
                <w:szCs w:val="21"/>
                <w:lang w:eastAsia="zh-CN"/>
              </w:rPr>
              <w:t>包括</w:t>
            </w:r>
            <w:r>
              <w:rPr>
                <w:rFonts w:hint="default" w:ascii="Times New Roman" w:hAnsi="Times New Roman" w:eastAsia="宋体" w:cs="Times New Roman"/>
                <w:color w:val="auto"/>
                <w:sz w:val="21"/>
                <w:szCs w:val="21"/>
                <w:lang w:val="zh-CN"/>
              </w:rPr>
              <w:t>危险废物暂存间</w:t>
            </w:r>
            <w:r>
              <w:rPr>
                <w:rFonts w:hint="eastAsia" w:cs="Times New Roman"/>
                <w:color w:val="auto"/>
                <w:sz w:val="21"/>
                <w:szCs w:val="21"/>
                <w:lang w:val="zh-CN"/>
              </w:rPr>
              <w:t>、安全填埋井</w:t>
            </w:r>
            <w:r>
              <w:rPr>
                <w:rFonts w:hint="default" w:ascii="Times New Roman" w:hAnsi="Times New Roman" w:eastAsia="宋体" w:cs="Times New Roman"/>
                <w:color w:val="auto"/>
                <w:sz w:val="21"/>
                <w:szCs w:val="21"/>
              </w:rPr>
              <w:t>渗透系数要求小于1.0×10</w:t>
            </w:r>
            <w:r>
              <w:rPr>
                <w:rFonts w:hint="default" w:ascii="Times New Roman" w:hAnsi="Times New Roman" w:eastAsia="宋体" w:cs="Times New Roman"/>
                <w:color w:val="auto"/>
                <w:sz w:val="21"/>
                <w:szCs w:val="21"/>
                <w:vertAlign w:val="superscript"/>
              </w:rPr>
              <w:t>-10</w:t>
            </w:r>
            <w:r>
              <w:rPr>
                <w:rFonts w:hint="default" w:ascii="Times New Roman" w:hAnsi="Times New Roman" w:eastAsia="宋体" w:cs="Times New Roman"/>
                <w:color w:val="auto"/>
                <w:sz w:val="21"/>
                <w:szCs w:val="21"/>
              </w:rPr>
              <w:t>cm/s；</w:t>
            </w:r>
          </w:p>
          <w:p>
            <w:pPr>
              <w:pStyle w:val="58"/>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2、一般防渗区：</w:t>
            </w:r>
          </w:p>
          <w:p>
            <w:pPr>
              <w:pStyle w:val="58"/>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1）对</w:t>
            </w:r>
            <w:r>
              <w:rPr>
                <w:rFonts w:hint="eastAsia" w:cs="Times New Roman"/>
                <w:color w:val="auto"/>
                <w:sz w:val="21"/>
                <w:szCs w:val="21"/>
                <w:lang w:eastAsia="zh-CN"/>
              </w:rPr>
              <w:t>沉淀池</w:t>
            </w:r>
            <w:r>
              <w:rPr>
                <w:rFonts w:hint="default" w:ascii="Times New Roman" w:hAnsi="Times New Roman" w:eastAsia="宋体" w:cs="Times New Roman"/>
                <w:color w:val="auto"/>
                <w:sz w:val="21"/>
                <w:szCs w:val="21"/>
              </w:rPr>
              <w:t>、</w:t>
            </w:r>
            <w:r>
              <w:rPr>
                <w:rFonts w:hint="eastAsia" w:cs="Times New Roman"/>
                <w:color w:val="auto"/>
                <w:sz w:val="21"/>
                <w:szCs w:val="21"/>
                <w:lang w:eastAsia="zh-CN"/>
              </w:rPr>
              <w:t>化粪池</w:t>
            </w:r>
            <w:r>
              <w:rPr>
                <w:rFonts w:hint="default" w:ascii="Times New Roman" w:hAnsi="Times New Roman" w:eastAsia="宋体" w:cs="Times New Roman"/>
                <w:color w:val="auto"/>
                <w:sz w:val="21"/>
                <w:szCs w:val="21"/>
              </w:rPr>
              <w:t>、</w:t>
            </w:r>
            <w:r>
              <w:rPr>
                <w:rFonts w:hint="eastAsia" w:cs="Times New Roman"/>
                <w:color w:val="auto"/>
                <w:sz w:val="21"/>
                <w:szCs w:val="21"/>
                <w:lang w:eastAsia="zh-CN"/>
              </w:rPr>
              <w:t>猪舍</w:t>
            </w:r>
            <w:r>
              <w:rPr>
                <w:rFonts w:hint="default" w:ascii="Times New Roman" w:hAnsi="Times New Roman" w:eastAsia="宋体" w:cs="Times New Roman"/>
                <w:color w:val="auto"/>
                <w:sz w:val="21"/>
                <w:szCs w:val="21"/>
              </w:rPr>
              <w:t>粪污通道、</w:t>
            </w:r>
            <w:r>
              <w:rPr>
                <w:rFonts w:hint="eastAsia" w:cs="Times New Roman"/>
                <w:color w:val="auto"/>
                <w:sz w:val="21"/>
                <w:szCs w:val="21"/>
                <w:lang w:eastAsia="zh-CN"/>
              </w:rPr>
              <w:t>晾粪台</w:t>
            </w:r>
            <w:r>
              <w:rPr>
                <w:rFonts w:hint="default" w:ascii="Times New Roman" w:hAnsi="Times New Roman" w:eastAsia="宋体" w:cs="Times New Roman"/>
                <w:color w:val="auto"/>
                <w:sz w:val="21"/>
                <w:szCs w:val="21"/>
              </w:rPr>
              <w:t>底部基础防渗具体做法为：防渗层为敷设不小于2mm的高密度聚氯乙烯（HDPE）人工防渗膜，膜上、膜下设置“长丝无纺土工布”保护层，并铺设不小于100mm的混凝土保护层，或其他材料可满足渗透系数小于1.0×10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p>
          <w:p>
            <w:pPr>
              <w:pStyle w:val="58"/>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2）对氧化塘采取以下防渗措施：</w:t>
            </w:r>
          </w:p>
          <w:p>
            <w:pPr>
              <w:pStyle w:val="58"/>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池底及坡道采用粘土找平，底部素土夯实，夯实层以上设20mm厚1:3水泥砂浆找平层，防渗层为敷设不小于2mm的高密度聚氯乙烯（HDPE）人工防渗膜，膜上、膜下设置“长丝无纺土工布”保护层，并铺设不小于100mm的混凝土保护层，或其他材料可满足渗透系数小于1.0×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p>
          <w:p>
            <w:pPr>
              <w:pStyle w:val="58"/>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rPr>
              <w:t>3、对于消毒室、场区道路、</w:t>
            </w:r>
            <w:r>
              <w:rPr>
                <w:rFonts w:hint="eastAsia" w:cs="Times New Roman"/>
                <w:color w:val="auto"/>
                <w:sz w:val="21"/>
                <w:szCs w:val="21"/>
                <w:lang w:eastAsia="zh-CN"/>
              </w:rPr>
              <w:t>猪舍</w:t>
            </w:r>
            <w:r>
              <w:rPr>
                <w:rFonts w:hint="default" w:ascii="Times New Roman" w:hAnsi="Times New Roman" w:eastAsia="宋体" w:cs="Times New Roman"/>
                <w:color w:val="auto"/>
                <w:sz w:val="21"/>
                <w:szCs w:val="21"/>
              </w:rPr>
              <w:t>饲料通道等生产区，铺设防渗混凝土地面进行防渗。</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《畜禽养殖业污染物排放标（GB18596-2001）》，《危险废物贮存污染控制标准》（GB18597-2001）</w:t>
            </w:r>
          </w:p>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参照《一般工业固体废物贮存、处置场污染控制标准》（GB18599-2001）</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固体废物</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危险废物</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设危险废物暂存间1座，建筑面积10m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，暂存运营过程产生的医疗废弃物，暂存后交由有资质单位处理；</w:t>
            </w:r>
          </w:p>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贮存场所地面须作硬化处理，以混凝土、砖、或经过防止腐化处理的钢材料进行建设，地面敷设2mm厚HDPE膜进行防渗处理，以防止渗漏和腐蚀。存放液体性危险废物的贮存场所必须设计导流槽和收集井，场所需要密闭且有通风口。</w:t>
            </w:r>
          </w:p>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2）危废暂存间的地面与裙脚要用坚固、防渗的材料建造，建筑材料必须与危险废物相容。</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《危险废物贮存污染控制标准》（GB18597-2001）</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猪粪</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猪舍地面采用漏缝地板，猪粪和猪尿依靠重力作用落到化粪池内，经固液分离器将猪粪分离后，猪粪储存于晾粪台，出售有机肥生产厂家进行资源化利用</w:t>
            </w:r>
            <w:r>
              <w:rPr>
                <w:rFonts w:hint="default" w:ascii="Times New Roman" w:hAnsi="Times New Roman" w:eastAsia="宋体" w:cs="Times New Roman"/>
                <w:color w:val="auto"/>
                <w:sz w:val="21"/>
                <w:szCs w:val="21"/>
              </w:rPr>
              <w:t>。</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资源化利用，满足《畜禽养殖业污染物排放标准》（GB18596-2001）</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病死猪</w:t>
            </w:r>
          </w:p>
        </w:tc>
        <w:tc>
          <w:tcPr>
            <w:tcW w:w="419" w:type="pct"/>
            <w:vAlign w:val="center"/>
          </w:tcPr>
          <w:p>
            <w:pPr>
              <w:keepNext w:val="0"/>
              <w:keepLines w:val="0"/>
              <w:pageBreakBefore w:val="0"/>
              <w:widowControl w:val="0"/>
              <w:kinsoku/>
              <w:wordWrap/>
              <w:overflowPunct/>
              <w:topLinePunct/>
              <w:autoSpaceDE w:val="0"/>
              <w:autoSpaceDN/>
              <w:bidi w:val="0"/>
              <w:adjustRightInd/>
              <w:snapToGrid/>
              <w:ind w:firstLine="420" w:firstLineChars="20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GB"/>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设置2个填埋井进行无害化处理</w:t>
            </w:r>
            <w:r>
              <w:rPr>
                <w:rFonts w:hint="default" w:ascii="Times New Roman" w:hAnsi="Times New Roman" w:eastAsia="宋体" w:cs="Times New Roman"/>
                <w:color w:val="auto"/>
                <w:sz w:val="21"/>
                <w:szCs w:val="21"/>
              </w:rPr>
              <w:t>。</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《畜禽养殖业污染治理工程技术规范》（HJ497-2009）、《畜禽养殖业污染防治技术规范》（HJ/T81-2001）、《病死及病害动物无害化处理技术规范》（农医发[2017]25号）</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锅炉</w:t>
            </w:r>
          </w:p>
        </w:tc>
        <w:tc>
          <w:tcPr>
            <w:tcW w:w="419" w:type="pct"/>
            <w:vAlign w:val="center"/>
          </w:tcPr>
          <w:p>
            <w:pPr>
              <w:keepNext w:val="0"/>
              <w:keepLines w:val="0"/>
              <w:pageBreakBefore w:val="0"/>
              <w:widowControl w:val="0"/>
              <w:kinsoku/>
              <w:wordWrap/>
              <w:overflowPunct/>
              <w:topLinePunct/>
              <w:autoSpaceDE w:val="0"/>
              <w:autoSpaceDN/>
              <w:bidi w:val="0"/>
              <w:adjustRightInd/>
              <w:snapToGrid/>
              <w:ind w:firstLine="420" w:firstLineChars="20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GB"/>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废离子交换树脂</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由厂家回收</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人员</w:t>
            </w:r>
          </w:p>
        </w:tc>
        <w:tc>
          <w:tcPr>
            <w:tcW w:w="419" w:type="pct"/>
            <w:vAlign w:val="center"/>
          </w:tcPr>
          <w:p>
            <w:pPr>
              <w:keepNext w:val="0"/>
              <w:keepLines w:val="0"/>
              <w:pageBreakBefore w:val="0"/>
              <w:widowControl w:val="0"/>
              <w:kinsoku/>
              <w:wordWrap/>
              <w:overflowPunct/>
              <w:topLinePunct/>
              <w:autoSpaceDE w:val="0"/>
              <w:autoSpaceDN/>
              <w:bidi w:val="0"/>
              <w:adjustRightInd/>
              <w:snapToGrid/>
              <w:ind w:firstLine="420" w:firstLineChars="20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GB"/>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生活垃圾</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场区设置垃圾桶分类收集，交由环卫部门处理</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风机和泵类</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val="en-GB" w:eastAsia="zh-CN"/>
              </w:rPr>
            </w:pPr>
            <w:r>
              <w:rPr>
                <w:rFonts w:hint="default" w:ascii="Times New Roman" w:hAnsi="Times New Roman" w:eastAsia="宋体" w:cs="Times New Roman"/>
                <w:color w:val="auto"/>
                <w:sz w:val="21"/>
                <w:szCs w:val="21"/>
                <w:lang w:val="en-GB" w:eastAsia="zh-CN"/>
              </w:rPr>
              <w:t>厂界四周</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等效噪声A声级</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基础减振、全封闭厂房等措施</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《工业企业厂界环境噪声排放标准》（GB12348-2008）2类标准值</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农肥</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eastAsia" w:cs="Times New Roman"/>
                <w:color w:val="auto"/>
                <w:sz w:val="21"/>
                <w:szCs w:val="21"/>
                <w:lang w:eastAsia="zh-CN"/>
              </w:rPr>
              <w:t>猪粪</w:t>
            </w:r>
          </w:p>
        </w:tc>
        <w:tc>
          <w:tcPr>
            <w:tcW w:w="419" w:type="pct"/>
            <w:vAlign w:val="center"/>
          </w:tcPr>
          <w:p>
            <w:pPr>
              <w:keepNext w:val="0"/>
              <w:keepLines w:val="0"/>
              <w:pageBreakBefore w:val="0"/>
              <w:widowControl w:val="0"/>
              <w:kinsoku/>
              <w:wordWrap/>
              <w:overflowPunct/>
              <w:topLinePunct/>
              <w:autoSpaceDE w:val="0"/>
              <w:autoSpaceDN/>
              <w:bidi w:val="0"/>
              <w:adjustRightInd/>
              <w:snapToGrid/>
              <w:ind w:firstLine="420" w:firstLineChars="200"/>
              <w:textAlignment w:val="center"/>
              <w:rPr>
                <w:rFonts w:hint="default" w:ascii="Times New Roman" w:hAnsi="Times New Roman" w:eastAsia="宋体" w:cs="Times New Roman"/>
                <w:color w:val="auto"/>
                <w:sz w:val="21"/>
                <w:szCs w:val="21"/>
                <w:lang w:val="en-GB"/>
              </w:rPr>
            </w:pPr>
            <w:r>
              <w:rPr>
                <w:rFonts w:hint="default" w:ascii="Times New Roman" w:hAnsi="Times New Roman" w:eastAsia="宋体" w:cs="Times New Roman"/>
                <w:color w:val="auto"/>
                <w:sz w:val="21"/>
                <w:szCs w:val="21"/>
                <w:lang w:val="en-GB"/>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val="en-GB"/>
              </w:rPr>
            </w:pPr>
            <w:r>
              <w:rPr>
                <w:rFonts w:hint="default" w:ascii="Times New Roman" w:hAnsi="Times New Roman" w:eastAsia="宋体" w:cs="Times New Roman"/>
                <w:color w:val="auto"/>
                <w:sz w:val="21"/>
                <w:szCs w:val="21"/>
                <w:lang w:val="en-GB"/>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粪储存于晾粪台，出售有机肥生产厂家进行资源化利用</w:t>
            </w:r>
          </w:p>
        </w:tc>
        <w:tc>
          <w:tcPr>
            <w:tcW w:w="894"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满足《畜禽规模养殖污染防治条例》（第643号）有关畜禽粪便综合利用与治理相关要求及《畜禽养殖业污染物排放标准》（GB18596-2001）中表6畜禽养殖业废渣无害化环境标准关于无害化的要求，</w:t>
            </w:r>
          </w:p>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进行资源化还田</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eastAsia" w:cs="Times New Roman"/>
                <w:color w:val="auto"/>
                <w:sz w:val="21"/>
                <w:szCs w:val="21"/>
                <w:lang w:eastAsia="zh-CN"/>
              </w:rPr>
              <w:t>猪尿</w:t>
            </w:r>
          </w:p>
        </w:tc>
        <w:tc>
          <w:tcPr>
            <w:tcW w:w="419" w:type="pct"/>
            <w:vAlign w:val="center"/>
          </w:tcPr>
          <w:p>
            <w:pPr>
              <w:keepNext w:val="0"/>
              <w:keepLines w:val="0"/>
              <w:pageBreakBefore w:val="0"/>
              <w:widowControl w:val="0"/>
              <w:kinsoku/>
              <w:wordWrap/>
              <w:overflowPunct/>
              <w:topLinePunct/>
              <w:autoSpaceDE w:val="0"/>
              <w:autoSpaceDN/>
              <w:bidi w:val="0"/>
              <w:adjustRightInd/>
              <w:snapToGrid/>
              <w:ind w:firstLine="420" w:firstLineChars="200"/>
              <w:textAlignment w:val="center"/>
              <w:rPr>
                <w:rFonts w:hint="default" w:ascii="Times New Roman" w:hAnsi="Times New Roman" w:eastAsia="宋体" w:cs="Times New Roman"/>
                <w:color w:val="auto"/>
                <w:sz w:val="21"/>
                <w:szCs w:val="21"/>
                <w:lang w:val="en-GB"/>
              </w:rPr>
            </w:pPr>
            <w:r>
              <w:rPr>
                <w:rFonts w:hint="default" w:ascii="Times New Roman" w:hAnsi="Times New Roman" w:eastAsia="宋体" w:cs="Times New Roman"/>
                <w:color w:val="auto"/>
                <w:sz w:val="21"/>
                <w:szCs w:val="21"/>
                <w:lang w:val="en-GB"/>
              </w:rPr>
              <w:t>/</w:t>
            </w:r>
          </w:p>
        </w:tc>
        <w:tc>
          <w:tcPr>
            <w:tcW w:w="419"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val="en-GB"/>
              </w:rPr>
            </w:pPr>
            <w:r>
              <w:rPr>
                <w:rFonts w:hint="default" w:ascii="Times New Roman" w:hAnsi="Times New Roman" w:eastAsia="宋体" w:cs="Times New Roman"/>
                <w:color w:val="auto"/>
                <w:sz w:val="21"/>
                <w:szCs w:val="21"/>
                <w:lang w:val="en-GB"/>
              </w:rPr>
              <w:t>/</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eastAsia" w:cs="Times New Roman"/>
                <w:color w:val="auto"/>
                <w:spacing w:val="-4"/>
                <w:sz w:val="21"/>
                <w:szCs w:val="21"/>
                <w:lang w:val="en-US" w:eastAsia="zh-CN"/>
              </w:rPr>
              <w:t>排入氧化塘</w:t>
            </w:r>
            <w:r>
              <w:rPr>
                <w:rFonts w:hint="default" w:ascii="Times New Roman" w:hAnsi="Times New Roman" w:eastAsia="宋体" w:cs="Times New Roman"/>
                <w:color w:val="auto"/>
                <w:spacing w:val="-4"/>
                <w:sz w:val="21"/>
                <w:szCs w:val="21"/>
              </w:rPr>
              <w:t>内发酵6个月，处理后的液肥用于还田</w:t>
            </w:r>
            <w:r>
              <w:rPr>
                <w:rFonts w:hint="eastAsia" w:ascii="Times New Roman" w:hAnsi="Times New Roman" w:cs="Times New Roman"/>
                <w:color w:val="auto"/>
                <w:spacing w:val="-4"/>
                <w:sz w:val="21"/>
                <w:szCs w:val="21"/>
                <w:lang w:eastAsia="zh-CN"/>
              </w:rPr>
              <w:t>，</w:t>
            </w:r>
            <w:r>
              <w:rPr>
                <w:rFonts w:hint="default" w:ascii="Times New Roman" w:hAnsi="Times New Roman" w:eastAsia="宋体" w:cs="Times New Roman"/>
                <w:color w:val="auto"/>
                <w:sz w:val="21"/>
                <w:szCs w:val="21"/>
              </w:rPr>
              <w:t>配套有效消纳土地不少于</w:t>
            </w:r>
            <w:r>
              <w:rPr>
                <w:rFonts w:hint="eastAsia" w:cs="Times New Roman"/>
                <w:color w:val="auto"/>
                <w:sz w:val="21"/>
                <w:szCs w:val="21"/>
                <w:lang w:eastAsia="zh-CN"/>
              </w:rPr>
              <w:t>1000</w:t>
            </w:r>
            <w:r>
              <w:rPr>
                <w:rFonts w:hint="default" w:ascii="Times New Roman" w:hAnsi="Times New Roman" w:eastAsia="宋体" w:cs="Times New Roman"/>
                <w:color w:val="auto"/>
                <w:sz w:val="21"/>
                <w:szCs w:val="21"/>
                <w:lang w:eastAsia="zh-CN"/>
              </w:rPr>
              <w:t>亩</w:t>
            </w:r>
            <w:r>
              <w:rPr>
                <w:rFonts w:hint="default" w:ascii="Times New Roman" w:hAnsi="Times New Roman" w:eastAsia="宋体" w:cs="Times New Roman"/>
                <w:color w:val="auto"/>
                <w:sz w:val="21"/>
                <w:szCs w:val="21"/>
              </w:rPr>
              <w:t>。</w:t>
            </w:r>
          </w:p>
        </w:tc>
        <w:tc>
          <w:tcPr>
            <w:tcW w:w="894"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绿化</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val="en-GB"/>
              </w:rPr>
            </w:pPr>
          </w:p>
        </w:tc>
        <w:tc>
          <w:tcPr>
            <w:tcW w:w="838"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lang w:val="en-GB"/>
              </w:rPr>
            </w:pPr>
            <w:r>
              <w:rPr>
                <w:rFonts w:hint="default" w:ascii="Times New Roman" w:hAnsi="Times New Roman" w:eastAsia="宋体" w:cs="Times New Roman"/>
                <w:color w:val="auto"/>
                <w:sz w:val="21"/>
                <w:szCs w:val="21"/>
                <w:lang w:val="en-GB"/>
              </w:rPr>
              <w:t>绿化工程</w:t>
            </w:r>
          </w:p>
        </w:tc>
        <w:tc>
          <w:tcPr>
            <w:tcW w:w="2275" w:type="pct"/>
            <w:gridSpan w:val="2"/>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在场区四周、建筑物及道路两侧要种植乔灌相间的常青树，尤其应对</w:t>
            </w:r>
            <w:r>
              <w:rPr>
                <w:rFonts w:hint="eastAsia" w:cs="Times New Roman"/>
                <w:color w:val="auto"/>
                <w:sz w:val="21"/>
                <w:szCs w:val="21"/>
                <w:lang w:eastAsia="zh-CN"/>
              </w:rPr>
              <w:t>猪场</w:t>
            </w:r>
            <w:r>
              <w:rPr>
                <w:rFonts w:hint="default" w:ascii="Times New Roman" w:hAnsi="Times New Roman" w:eastAsia="宋体" w:cs="Times New Roman"/>
                <w:color w:val="auto"/>
                <w:sz w:val="21"/>
                <w:szCs w:val="21"/>
              </w:rPr>
              <w:t>进行重点绿化，选择适宜的树种和草本植物，结合地区气候条件进行绿化美化工作环境，绿化面积为</w:t>
            </w:r>
            <w:r>
              <w:rPr>
                <w:rFonts w:hint="eastAsia" w:cs="Times New Roman"/>
                <w:color w:val="auto"/>
                <w:sz w:val="21"/>
                <w:szCs w:val="21"/>
                <w:lang w:val="en-US" w:eastAsia="zh-CN"/>
              </w:rPr>
              <w:t>1</w:t>
            </w:r>
            <w:r>
              <w:rPr>
                <w:rFonts w:hint="default" w:ascii="Times New Roman" w:hAnsi="Times New Roman" w:eastAsia="宋体" w:cs="Times New Roman"/>
                <w:color w:val="auto"/>
                <w:sz w:val="21"/>
                <w:szCs w:val="21"/>
              </w:rPr>
              <w:t>000m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p>
        </w:tc>
        <w:tc>
          <w:tcPr>
            <w:tcW w:w="894"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413"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管理</w:t>
            </w: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环境监测</w:t>
            </w:r>
          </w:p>
        </w:tc>
        <w:tc>
          <w:tcPr>
            <w:tcW w:w="41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GB"/>
              </w:rPr>
              <w:t>/</w:t>
            </w:r>
          </w:p>
        </w:tc>
        <w:tc>
          <w:tcPr>
            <w:tcW w:w="2695" w:type="pct"/>
            <w:gridSpan w:val="3"/>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委托有资质的监测单位每年进行例行监测。</w:t>
            </w:r>
          </w:p>
        </w:tc>
        <w:tc>
          <w:tcPr>
            <w:tcW w:w="894"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按相关操作规程进行</w:t>
            </w:r>
          </w:p>
        </w:tc>
        <w:tc>
          <w:tcPr>
            <w:tcW w:w="413" w:type="pct"/>
            <w:vMerge w:val="restar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6"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1" w:type="pct"/>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环境管理</w:t>
            </w:r>
          </w:p>
        </w:tc>
        <w:tc>
          <w:tcPr>
            <w:tcW w:w="41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GB"/>
              </w:rPr>
              <w:t>/</w:t>
            </w:r>
          </w:p>
        </w:tc>
        <w:tc>
          <w:tcPr>
            <w:tcW w:w="2695" w:type="pct"/>
            <w:gridSpan w:val="3"/>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设置环保机构，建立健全各项环境管理制度，制定工作计划，提出管理要求。</w:t>
            </w:r>
          </w:p>
        </w:tc>
        <w:tc>
          <w:tcPr>
            <w:tcW w:w="894"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c>
          <w:tcPr>
            <w:tcW w:w="413" w:type="pct"/>
            <w:vMerge w:val="continue"/>
            <w:vAlign w:val="center"/>
          </w:tcPr>
          <w:p>
            <w:pPr>
              <w:pStyle w:val="58"/>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Times New Roman" w:hAnsi="Times New Roman" w:eastAsia="宋体" w:cs="Times New Roman"/>
                <w:color w:val="auto"/>
                <w:sz w:val="21"/>
                <w:szCs w:val="21"/>
              </w:rPr>
            </w:pPr>
          </w:p>
        </w:tc>
      </w:tr>
      <w:bookmarkEnd w:id="587"/>
    </w:tbl>
    <w:p>
      <w:pPr>
        <w:ind w:firstLine="480"/>
        <w:rPr>
          <w:rFonts w:hint="default" w:ascii="Times New Roman" w:hAnsi="Times New Roman" w:eastAsia="宋体" w:cs="Times New Roman"/>
          <w:color w:val="auto"/>
        </w:rPr>
      </w:pPr>
    </w:p>
    <w:p>
      <w:pPr>
        <w:ind w:firstLine="480"/>
        <w:rPr>
          <w:rFonts w:hint="default" w:ascii="Times New Roman" w:hAnsi="Times New Roman" w:eastAsia="宋体" w:cs="Times New Roman"/>
          <w:color w:val="auto"/>
          <w:szCs w:val="20"/>
          <w:lang w:val="en-GB"/>
        </w:rPr>
        <w:sectPr>
          <w:pgSz w:w="16838" w:h="11906" w:orient="landscape"/>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4"/>
        <w:rPr>
          <w:rFonts w:hint="default" w:ascii="Times New Roman" w:hAnsi="Times New Roman" w:eastAsia="宋体" w:cs="Times New Roman"/>
          <w:color w:val="auto"/>
        </w:rPr>
      </w:pPr>
      <w:bookmarkStart w:id="588" w:name="_Toc523322410"/>
      <w:bookmarkStart w:id="589" w:name="_Toc28371"/>
      <w:r>
        <w:rPr>
          <w:rFonts w:hint="default" w:ascii="Times New Roman" w:hAnsi="Times New Roman" w:eastAsia="宋体" w:cs="Times New Roman"/>
          <w:color w:val="auto"/>
        </w:rPr>
        <w:t>10结论及建议</w:t>
      </w:r>
      <w:bookmarkEnd w:id="588"/>
      <w:bookmarkEnd w:id="589"/>
    </w:p>
    <w:p>
      <w:pPr>
        <w:pStyle w:val="5"/>
        <w:rPr>
          <w:rFonts w:hint="default" w:ascii="Times New Roman" w:hAnsi="Times New Roman" w:eastAsia="宋体" w:cs="Times New Roman"/>
          <w:color w:val="auto"/>
        </w:rPr>
      </w:pPr>
      <w:bookmarkStart w:id="590" w:name="_Toc494206411"/>
      <w:bookmarkStart w:id="591" w:name="_Toc487188689"/>
      <w:bookmarkStart w:id="592" w:name="_Toc523322411"/>
      <w:bookmarkStart w:id="593" w:name="_Toc19894"/>
      <w:r>
        <w:rPr>
          <w:rFonts w:hint="default" w:ascii="Times New Roman" w:hAnsi="Times New Roman" w:eastAsia="宋体" w:cs="Times New Roman"/>
          <w:color w:val="auto"/>
        </w:rPr>
        <w:t>10.1建设项目概况</w:t>
      </w:r>
      <w:bookmarkEnd w:id="590"/>
      <w:bookmarkEnd w:id="591"/>
      <w:bookmarkEnd w:id="592"/>
      <w:bookmarkEnd w:id="593"/>
    </w:p>
    <w:p>
      <w:pPr>
        <w:ind w:firstLine="480"/>
        <w:rPr>
          <w:rFonts w:hint="default" w:ascii="Times New Roman" w:hAnsi="Times New Roman" w:eastAsia="宋体" w:cs="Times New Roman"/>
          <w:color w:val="auto"/>
          <w:szCs w:val="24"/>
        </w:rPr>
      </w:pPr>
      <w:r>
        <w:rPr>
          <w:rFonts w:hint="eastAsia" w:cs="Times New Roman"/>
          <w:color w:val="auto"/>
          <w:szCs w:val="24"/>
          <w:lang w:eastAsia="zh-CN"/>
        </w:rPr>
        <w:t>巴彦淖尔市亨泰农牧业有限责任公司育肥猪养殖产业化项目</w:t>
      </w:r>
      <w:r>
        <w:rPr>
          <w:rFonts w:hint="default" w:ascii="Times New Roman" w:hAnsi="Times New Roman" w:eastAsia="宋体" w:cs="Times New Roman"/>
          <w:color w:val="auto"/>
          <w:szCs w:val="24"/>
        </w:rPr>
        <w:t>位于</w:t>
      </w:r>
      <w:r>
        <w:rPr>
          <w:rFonts w:hint="eastAsia" w:cs="Times New Roman"/>
          <w:color w:val="auto"/>
          <w:szCs w:val="24"/>
          <w:lang w:eastAsia="zh-CN"/>
        </w:rPr>
        <w:t>巴彦淖尔市五原县天吉泰镇二合永村一组</w:t>
      </w:r>
      <w:r>
        <w:rPr>
          <w:rFonts w:hint="default" w:ascii="Times New Roman" w:hAnsi="Times New Roman" w:eastAsia="宋体" w:cs="Times New Roman"/>
          <w:color w:val="auto"/>
          <w:szCs w:val="24"/>
        </w:rPr>
        <w:t>，项目总投资</w:t>
      </w:r>
      <w:r>
        <w:rPr>
          <w:rFonts w:hint="eastAsia" w:cs="Times New Roman"/>
          <w:color w:val="auto"/>
          <w:szCs w:val="24"/>
          <w:lang w:val="en-US" w:eastAsia="zh-CN"/>
        </w:rPr>
        <w:t>2100</w:t>
      </w:r>
      <w:r>
        <w:rPr>
          <w:rFonts w:hint="default" w:ascii="Times New Roman" w:hAnsi="Times New Roman" w:eastAsia="宋体" w:cs="Times New Roman"/>
          <w:color w:val="auto"/>
          <w:szCs w:val="24"/>
        </w:rPr>
        <w:t>万元，占地面积</w:t>
      </w:r>
      <w:r>
        <w:rPr>
          <w:rFonts w:hint="eastAsia"/>
          <w:color w:val="auto"/>
          <w:lang w:val="en-US" w:eastAsia="zh-CN"/>
        </w:rPr>
        <w:t>86.28</w:t>
      </w:r>
      <w:r>
        <w:rPr>
          <w:rFonts w:hint="default" w:ascii="Times New Roman" w:hAnsi="Times New Roman" w:eastAsia="宋体" w:cs="Times New Roman"/>
          <w:color w:val="auto"/>
          <w:lang w:eastAsia="zh-CN"/>
        </w:rPr>
        <w:t>亩</w:t>
      </w:r>
      <w:r>
        <w:rPr>
          <w:rFonts w:hint="default" w:ascii="Times New Roman" w:hAnsi="Times New Roman" w:eastAsia="宋体" w:cs="Times New Roman"/>
          <w:color w:val="auto"/>
          <w:szCs w:val="24"/>
        </w:rPr>
        <w:t>，</w:t>
      </w:r>
      <w:r>
        <w:rPr>
          <w:rFonts w:hint="eastAsia"/>
          <w:color w:val="auto"/>
        </w:rPr>
        <w:t>主要建设</w:t>
      </w:r>
      <w:r>
        <w:rPr>
          <w:rFonts w:hint="eastAsia"/>
          <w:color w:val="auto"/>
          <w:lang w:val="en-US" w:eastAsia="zh-CN"/>
        </w:rPr>
        <w:t>8</w:t>
      </w:r>
      <w:r>
        <w:rPr>
          <w:rFonts w:hint="eastAsia"/>
          <w:color w:val="auto"/>
        </w:rPr>
        <w:t>栋1100头育肥猪舍</w:t>
      </w:r>
      <w:r>
        <w:rPr>
          <w:rFonts w:hint="default" w:ascii="Times New Roman" w:hAnsi="Times New Roman" w:eastAsia="宋体" w:cs="Times New Roman"/>
          <w:color w:val="auto"/>
          <w:szCs w:val="24"/>
        </w:rPr>
        <w:t>并配相应的公辅工程、环保工程，项目投产后</w:t>
      </w:r>
      <w:r>
        <w:rPr>
          <w:rFonts w:hint="eastAsia"/>
          <w:color w:val="auto"/>
        </w:rPr>
        <w:t>年存栏猪</w:t>
      </w:r>
      <w:r>
        <w:rPr>
          <w:rFonts w:hint="eastAsia"/>
          <w:color w:val="auto"/>
          <w:lang w:val="en-US" w:eastAsia="zh-CN"/>
        </w:rPr>
        <w:t>8800</w:t>
      </w:r>
      <w:r>
        <w:rPr>
          <w:rFonts w:hint="eastAsia"/>
          <w:color w:val="auto"/>
        </w:rPr>
        <w:t>头，年出栏</w:t>
      </w:r>
      <w:r>
        <w:rPr>
          <w:rFonts w:hint="eastAsia"/>
          <w:color w:val="auto"/>
          <w:lang w:eastAsia="zh-CN"/>
        </w:rPr>
        <w:t>20000</w:t>
      </w:r>
      <w:r>
        <w:rPr>
          <w:rFonts w:hint="eastAsia"/>
          <w:color w:val="auto"/>
        </w:rPr>
        <w:t>头育肥猪</w:t>
      </w:r>
      <w:r>
        <w:rPr>
          <w:rFonts w:hint="default" w:ascii="Times New Roman" w:hAnsi="Times New Roman" w:eastAsia="宋体" w:cs="Times New Roman"/>
          <w:color w:val="auto"/>
          <w:szCs w:val="24"/>
        </w:rPr>
        <w:t>。</w:t>
      </w:r>
    </w:p>
    <w:p>
      <w:pPr>
        <w:pStyle w:val="5"/>
        <w:rPr>
          <w:rFonts w:hint="default" w:ascii="Times New Roman" w:hAnsi="Times New Roman" w:eastAsia="宋体" w:cs="Times New Roman"/>
          <w:color w:val="auto"/>
        </w:rPr>
      </w:pPr>
      <w:bookmarkStart w:id="594" w:name="_Toc371696638"/>
      <w:bookmarkStart w:id="595" w:name="_Toc7273"/>
      <w:bookmarkStart w:id="596" w:name="_Toc487188690"/>
      <w:bookmarkStart w:id="597" w:name="_Toc523322412"/>
      <w:bookmarkStart w:id="598" w:name="_Toc494206412"/>
      <w:r>
        <w:rPr>
          <w:rFonts w:hint="default" w:ascii="Times New Roman" w:hAnsi="Times New Roman" w:eastAsia="宋体" w:cs="Times New Roman"/>
          <w:color w:val="auto"/>
        </w:rPr>
        <w:t>10.2</w:t>
      </w:r>
      <w:bookmarkEnd w:id="594"/>
      <w:r>
        <w:rPr>
          <w:rFonts w:hint="default" w:ascii="Times New Roman" w:hAnsi="Times New Roman" w:eastAsia="宋体" w:cs="Times New Roman"/>
          <w:color w:val="auto"/>
        </w:rPr>
        <w:t>环境可行性结论</w:t>
      </w:r>
      <w:bookmarkEnd w:id="595"/>
    </w:p>
    <w:p>
      <w:pPr>
        <w:pStyle w:val="6"/>
        <w:rPr>
          <w:rFonts w:hint="default" w:ascii="Times New Roman" w:hAnsi="Times New Roman" w:eastAsia="宋体" w:cs="Times New Roman"/>
          <w:color w:val="auto"/>
        </w:rPr>
      </w:pPr>
      <w:bookmarkStart w:id="599" w:name="_Toc17451"/>
      <w:r>
        <w:rPr>
          <w:rFonts w:hint="default" w:ascii="Times New Roman" w:hAnsi="Times New Roman" w:eastAsia="宋体" w:cs="Times New Roman"/>
          <w:color w:val="auto"/>
        </w:rPr>
        <w:t>10.2.1产业政策符合性分析</w:t>
      </w:r>
      <w:bookmarkEnd w:id="596"/>
      <w:bookmarkEnd w:id="597"/>
      <w:bookmarkEnd w:id="598"/>
      <w:bookmarkEnd w:id="599"/>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项目为</w:t>
      </w:r>
      <w:r>
        <w:rPr>
          <w:rFonts w:hint="eastAsia"/>
          <w:color w:val="auto"/>
          <w:lang w:val="en-US" w:eastAsia="zh-CN"/>
        </w:rPr>
        <w:t>规模化养猪场项目</w:t>
      </w:r>
      <w:r>
        <w:rPr>
          <w:rFonts w:hint="default" w:ascii="Times New Roman" w:hAnsi="Times New Roman" w:eastAsia="宋体" w:cs="Times New Roman"/>
          <w:color w:val="auto"/>
        </w:rPr>
        <w:t>，根据《产业结构调整指导目录（2019年本）》（国家发改委令2019年第29号），项目属于“鼓励类”第一项“农林业”中第4条“畜禽标准化规模养殖技术开发与应用”。</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项目于20</w:t>
      </w:r>
      <w:r>
        <w:rPr>
          <w:rFonts w:hint="default" w:ascii="Times New Roman" w:hAnsi="Times New Roman" w:eastAsia="宋体" w:cs="Times New Roman"/>
          <w:color w:val="auto"/>
          <w:lang w:val="en-US" w:eastAsia="zh-CN"/>
        </w:rPr>
        <w:t>2</w:t>
      </w:r>
      <w:r>
        <w:rPr>
          <w:rFonts w:hint="eastAsia" w:cs="Times New Roman"/>
          <w:color w:val="auto"/>
          <w:lang w:val="en-US" w:eastAsia="zh-CN"/>
        </w:rPr>
        <w:t>1</w:t>
      </w:r>
      <w:r>
        <w:rPr>
          <w:rFonts w:hint="default" w:ascii="Times New Roman" w:hAnsi="Times New Roman" w:eastAsia="宋体" w:cs="Times New Roman"/>
          <w:color w:val="auto"/>
        </w:rPr>
        <w:t>年</w:t>
      </w:r>
      <w:r>
        <w:rPr>
          <w:rFonts w:hint="eastAsia" w:cs="Times New Roman"/>
          <w:color w:val="auto"/>
          <w:lang w:val="en-US" w:eastAsia="zh-CN"/>
        </w:rPr>
        <w:t>4</w:t>
      </w:r>
      <w:r>
        <w:rPr>
          <w:rFonts w:hint="default" w:ascii="Times New Roman" w:hAnsi="Times New Roman" w:eastAsia="宋体" w:cs="Times New Roman"/>
          <w:color w:val="auto"/>
        </w:rPr>
        <w:t>月</w:t>
      </w:r>
      <w:r>
        <w:rPr>
          <w:rFonts w:hint="eastAsia" w:cs="Times New Roman"/>
          <w:color w:val="auto"/>
          <w:lang w:val="en-US" w:eastAsia="zh-CN"/>
        </w:rPr>
        <w:t>8</w:t>
      </w:r>
      <w:r>
        <w:rPr>
          <w:rFonts w:hint="default" w:ascii="Times New Roman" w:hAnsi="Times New Roman" w:eastAsia="宋体" w:cs="Times New Roman"/>
          <w:color w:val="auto"/>
          <w:lang w:val="en-US" w:eastAsia="zh-CN"/>
        </w:rPr>
        <w:t>日</w:t>
      </w:r>
      <w:r>
        <w:rPr>
          <w:rFonts w:hint="default" w:ascii="Times New Roman" w:hAnsi="Times New Roman" w:eastAsia="宋体" w:cs="Times New Roman"/>
          <w:color w:val="auto"/>
        </w:rPr>
        <w:t>取得</w:t>
      </w:r>
      <w:r>
        <w:rPr>
          <w:rFonts w:hint="eastAsia" w:cs="Times New Roman"/>
          <w:color w:val="auto"/>
          <w:lang w:val="en-US" w:eastAsia="zh-CN"/>
        </w:rPr>
        <w:t>五原</w:t>
      </w:r>
      <w:r>
        <w:rPr>
          <w:rFonts w:hint="default" w:ascii="Times New Roman" w:hAnsi="Times New Roman" w:eastAsia="宋体" w:cs="Times New Roman"/>
          <w:color w:val="auto"/>
        </w:rPr>
        <w:t>县发展和改革委员会</w:t>
      </w:r>
      <w:r>
        <w:rPr>
          <w:rFonts w:hint="eastAsia" w:cs="Times New Roman"/>
          <w:color w:val="auto"/>
          <w:lang w:val="en-US" w:eastAsia="zh-CN"/>
        </w:rPr>
        <w:t>出具的</w:t>
      </w:r>
      <w:r>
        <w:rPr>
          <w:rFonts w:hint="eastAsia"/>
          <w:color w:val="auto"/>
        </w:rPr>
        <w:t>《巴彦淖尔市亨泰农牧业有限责任公司育肥猪养殖产业化项目》的</w:t>
      </w:r>
      <w:r>
        <w:rPr>
          <w:rFonts w:hint="eastAsia"/>
          <w:color w:val="auto"/>
          <w:lang w:val="en-US" w:eastAsia="zh-CN"/>
        </w:rPr>
        <w:t>项目</w:t>
      </w:r>
      <w:r>
        <w:rPr>
          <w:rFonts w:hint="eastAsia"/>
          <w:color w:val="auto"/>
        </w:rPr>
        <w:t>备案告知书，项目代码：2104-150</w:t>
      </w:r>
      <w:r>
        <w:rPr>
          <w:rFonts w:hint="eastAsia"/>
          <w:color w:val="auto"/>
          <w:lang w:val="en-US" w:eastAsia="zh-CN"/>
        </w:rPr>
        <w:t>821</w:t>
      </w:r>
      <w:r>
        <w:rPr>
          <w:rFonts w:hint="eastAsia"/>
          <w:color w:val="auto"/>
        </w:rPr>
        <w:t>-04-01-</w:t>
      </w:r>
      <w:r>
        <w:rPr>
          <w:rFonts w:hint="eastAsia"/>
          <w:color w:val="auto"/>
          <w:lang w:val="en-US" w:eastAsia="zh-CN"/>
        </w:rPr>
        <w:t>742338，符合产业政策和市场准入标准</w:t>
      </w:r>
      <w:r>
        <w:rPr>
          <w:rFonts w:hint="default" w:ascii="Times New Roman" w:hAnsi="Times New Roman" w:eastAsia="宋体" w:cs="Times New Roman"/>
          <w:color w:val="auto"/>
        </w:rPr>
        <w:t>。</w:t>
      </w:r>
    </w:p>
    <w:p>
      <w:pPr>
        <w:pStyle w:val="6"/>
        <w:rPr>
          <w:rFonts w:hint="default" w:ascii="Times New Roman" w:hAnsi="Times New Roman" w:eastAsia="宋体" w:cs="Times New Roman"/>
          <w:color w:val="auto"/>
        </w:rPr>
      </w:pPr>
      <w:bookmarkStart w:id="600" w:name="_Toc20360"/>
      <w:r>
        <w:rPr>
          <w:rFonts w:hint="default" w:ascii="Times New Roman" w:hAnsi="Times New Roman" w:eastAsia="宋体" w:cs="Times New Roman"/>
          <w:color w:val="auto"/>
        </w:rPr>
        <w:t>10.2.2选址与相关规划符合性分析结论</w:t>
      </w:r>
      <w:bookmarkEnd w:id="600"/>
    </w:p>
    <w:p>
      <w:pPr>
        <w:pageBreakBefore w:val="0"/>
        <w:widowControl w:val="0"/>
        <w:kinsoku/>
        <w:wordWrap/>
        <w:topLinePunct/>
        <w:autoSpaceDN/>
        <w:bidi w:val="0"/>
        <w:spacing w:line="480" w:lineRule="exact"/>
        <w:ind w:firstLine="480"/>
        <w:textAlignment w:val="auto"/>
        <w:rPr>
          <w:rFonts w:hint="eastAsia"/>
          <w:color w:val="auto"/>
        </w:rPr>
      </w:pPr>
      <w:r>
        <w:rPr>
          <w:rFonts w:hint="eastAsia"/>
          <w:color w:val="auto"/>
        </w:rP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pPr>
        <w:pageBreakBefore w:val="0"/>
        <w:widowControl w:val="0"/>
        <w:kinsoku/>
        <w:wordWrap/>
        <w:topLinePunct/>
        <w:autoSpaceDN/>
        <w:bidi w:val="0"/>
        <w:spacing w:line="480" w:lineRule="exact"/>
        <w:ind w:firstLine="480"/>
        <w:textAlignment w:val="auto"/>
        <w:rPr>
          <w:rFonts w:hint="default" w:ascii="Times New Roman" w:hAnsi="Times New Roman" w:eastAsia="宋体" w:cs="Times New Roman"/>
          <w:color w:val="auto"/>
        </w:rPr>
      </w:pPr>
      <w:r>
        <w:rPr>
          <w:rFonts w:hint="eastAsia"/>
          <w:color w:val="auto"/>
        </w:rPr>
        <w:t>本项目</w:t>
      </w:r>
      <w:r>
        <w:rPr>
          <w:rFonts w:hint="eastAsia"/>
          <w:color w:val="auto"/>
          <w:lang w:val="en-US" w:eastAsia="zh-CN"/>
        </w:rPr>
        <w:t>的建设地点位于</w:t>
      </w:r>
      <w:r>
        <w:rPr>
          <w:rFonts w:hint="eastAsia"/>
          <w:color w:val="auto"/>
          <w:lang w:eastAsia="zh-CN"/>
        </w:rPr>
        <w:t>巴彦淖尔市五原县天吉泰镇二合永村一组</w:t>
      </w:r>
      <w:r>
        <w:rPr>
          <w:rFonts w:hint="eastAsia"/>
          <w:color w:val="auto"/>
        </w:rPr>
        <w:t>，不属于五原县禁养区范围内</w:t>
      </w:r>
      <w:r>
        <w:rPr>
          <w:rFonts w:hint="eastAsia"/>
          <w:color w:val="auto"/>
          <w:lang w:eastAsia="zh-CN"/>
        </w:rPr>
        <w:t>；</w:t>
      </w:r>
      <w:r>
        <w:rPr>
          <w:rFonts w:hint="eastAsia"/>
          <w:color w:val="auto"/>
          <w:lang w:val="en-US" w:eastAsia="zh-CN"/>
        </w:rPr>
        <w:t>根据天吉泰镇土地利用总体规划图可知，本项目用地性质为沙地和内陆滩涂</w:t>
      </w:r>
      <w:r>
        <w:rPr>
          <w:rFonts w:hint="eastAsia"/>
          <w:color w:val="auto"/>
        </w:rPr>
        <w:t>，符合五原县土地利用总体规划。</w:t>
      </w:r>
    </w:p>
    <w:p>
      <w:pPr>
        <w:ind w:firstLine="480"/>
        <w:rPr>
          <w:rFonts w:hint="default" w:ascii="Times New Roman" w:hAnsi="Times New Roman" w:eastAsia="宋体" w:cs="Times New Roman"/>
          <w:color w:val="auto"/>
          <w:szCs w:val="24"/>
        </w:rPr>
      </w:pPr>
      <w:r>
        <w:rPr>
          <w:rFonts w:hint="eastAsia"/>
          <w:color w:val="auto"/>
        </w:rPr>
        <w:t>根据调查，项目周边主要为</w:t>
      </w:r>
      <w:r>
        <w:rPr>
          <w:rFonts w:hint="eastAsia"/>
          <w:color w:val="FF0000"/>
          <w:lang w:val="en-US" w:eastAsia="zh-CN"/>
        </w:rPr>
        <w:t>沙地和内陆滩涂</w:t>
      </w:r>
      <w:r>
        <w:rPr>
          <w:rFonts w:hint="eastAsia"/>
          <w:color w:val="auto"/>
        </w:rPr>
        <w:t>，常年主导下风向</w:t>
      </w:r>
      <w:r>
        <w:rPr>
          <w:rFonts w:hint="eastAsia"/>
          <w:color w:val="auto"/>
          <w:lang w:val="en-US" w:eastAsia="zh-CN"/>
        </w:rPr>
        <w:t>5</w:t>
      </w:r>
      <w:r>
        <w:rPr>
          <w:rFonts w:hint="eastAsia"/>
          <w:color w:val="auto"/>
        </w:rPr>
        <w:t>00m范围内无学校、医院、部队及农牧民居民区等敏感目标。项目选址符合《关于做好畜禽规模养殖项目环境影响评价管理工作的通知》（环办环评〔2018〕31号）、《畜禽规模养殖污染防治条例》国务院令第643号、《畜禽养殖业污染防治技术规范》（HJ-T81-2001）、《畜禽场场区设计技术规范》（NY-T682-2003）等法律法规和行业规范的选址要求</w:t>
      </w:r>
      <w:r>
        <w:rPr>
          <w:rFonts w:hint="default" w:ascii="Times New Roman" w:hAnsi="Times New Roman" w:eastAsia="宋体" w:cs="Times New Roman"/>
          <w:color w:val="auto"/>
          <w:szCs w:val="24"/>
        </w:rPr>
        <w:t>。</w:t>
      </w:r>
    </w:p>
    <w:p>
      <w:pPr>
        <w:pStyle w:val="6"/>
        <w:rPr>
          <w:rFonts w:hint="default" w:ascii="Times New Roman" w:hAnsi="Times New Roman" w:eastAsia="宋体" w:cs="Times New Roman"/>
          <w:color w:val="auto"/>
        </w:rPr>
      </w:pPr>
      <w:bookmarkStart w:id="601" w:name="_Toc11000"/>
      <w:r>
        <w:rPr>
          <w:rFonts w:hint="default" w:ascii="Times New Roman" w:hAnsi="Times New Roman" w:eastAsia="宋体" w:cs="Times New Roman"/>
          <w:color w:val="auto"/>
        </w:rPr>
        <w:t>10.2.3平面布局合理性分析结论</w:t>
      </w:r>
      <w:bookmarkEnd w:id="601"/>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本项目养殖区和生活办公区功能分区布置相对独立，通过合理组织功能分区，合理布置养殖区及粪污处理单元，合理组织交通运输使物料运输方便快捷；保证生产工艺流程畅通。场界四周及养殖区四周种植高大乔木，尽可能减轻恶臭气体对居民的影响因素。保证场区平面布置符合环境保护、安全生产、卫生防疫、绿化与工业企业卫生要求。</w:t>
      </w:r>
    </w:p>
    <w:p>
      <w:pPr>
        <w:pStyle w:val="5"/>
        <w:rPr>
          <w:rFonts w:hint="default" w:ascii="Times New Roman" w:hAnsi="Times New Roman" w:eastAsia="宋体" w:cs="Times New Roman"/>
          <w:color w:val="auto"/>
        </w:rPr>
      </w:pPr>
      <w:bookmarkStart w:id="602" w:name="_Toc487188694"/>
      <w:bookmarkStart w:id="603" w:name="_Toc494206416"/>
      <w:bookmarkStart w:id="604" w:name="_Toc523322413"/>
      <w:bookmarkStart w:id="605" w:name="_Toc20417"/>
      <w:r>
        <w:rPr>
          <w:rFonts w:hint="default" w:ascii="Times New Roman" w:hAnsi="Times New Roman" w:eastAsia="宋体" w:cs="Times New Roman"/>
          <w:color w:val="auto"/>
        </w:rPr>
        <w:t>10.3环境质量现状</w:t>
      </w:r>
      <w:bookmarkEnd w:id="602"/>
      <w:bookmarkEnd w:id="603"/>
      <w:bookmarkEnd w:id="604"/>
      <w:bookmarkEnd w:id="605"/>
    </w:p>
    <w:p>
      <w:pPr>
        <w:ind w:firstLine="480"/>
        <w:rPr>
          <w:rFonts w:hint="default" w:ascii="Times New Roman" w:hAnsi="Times New Roman" w:eastAsia="宋体" w:cs="Times New Roman"/>
          <w:color w:val="auto"/>
        </w:rPr>
      </w:pPr>
      <w:bookmarkStart w:id="606" w:name="_Toc487188695"/>
      <w:bookmarkStart w:id="607" w:name="_Toc494206417"/>
      <w:r>
        <w:rPr>
          <w:rFonts w:hint="default" w:ascii="Times New Roman" w:hAnsi="Times New Roman" w:eastAsia="宋体" w:cs="Times New Roman"/>
          <w:color w:val="auto"/>
        </w:rPr>
        <w:t>（1）环境空气</w:t>
      </w:r>
    </w:p>
    <w:p>
      <w:pPr>
        <w:ind w:firstLine="480"/>
        <w:rPr>
          <w:rFonts w:hint="default" w:ascii="Times New Roman" w:hAnsi="Times New Roman" w:eastAsia="宋体" w:cs="Times New Roman"/>
          <w:color w:val="auto"/>
        </w:rPr>
      </w:pPr>
      <w:r>
        <w:rPr>
          <w:color w:val="auto"/>
        </w:rPr>
        <w:t>根据2019年</w:t>
      </w:r>
      <w:r>
        <w:rPr>
          <w:rFonts w:hint="eastAsia"/>
          <w:color w:val="auto"/>
        </w:rPr>
        <w:t>巴彦</w:t>
      </w:r>
      <w:r>
        <w:rPr>
          <w:color w:val="auto"/>
        </w:rPr>
        <w:t>淖尔市</w:t>
      </w:r>
      <w:r>
        <w:rPr>
          <w:rFonts w:hint="eastAsia"/>
          <w:color w:val="auto"/>
        </w:rPr>
        <w:t>大气公报</w:t>
      </w:r>
      <w:r>
        <w:rPr>
          <w:color w:val="auto"/>
        </w:rPr>
        <w:t>，2019年</w:t>
      </w:r>
      <w:r>
        <w:rPr>
          <w:rFonts w:hint="eastAsia"/>
          <w:color w:val="auto"/>
        </w:rPr>
        <w:t>五原县隆兴昌镇</w:t>
      </w:r>
      <w:r>
        <w:rPr>
          <w:color w:val="auto"/>
        </w:rPr>
        <w:t>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年均浓度、CO</w:t>
      </w:r>
      <w:r>
        <w:rPr>
          <w:rFonts w:hint="eastAsia"/>
          <w:color w:val="auto"/>
        </w:rPr>
        <w:t>（</w:t>
      </w:r>
      <w:r>
        <w:rPr>
          <w:color w:val="auto"/>
        </w:rPr>
        <w:t>第95百分位浓度</w:t>
      </w:r>
      <w:r>
        <w:rPr>
          <w:rFonts w:hint="eastAsia"/>
          <w:color w:val="auto"/>
        </w:rPr>
        <w:t>）</w:t>
      </w:r>
      <w:r>
        <w:rPr>
          <w:color w:val="auto"/>
        </w:rPr>
        <w:t>、O</w:t>
      </w:r>
      <w:r>
        <w:rPr>
          <w:color w:val="auto"/>
          <w:vertAlign w:val="subscript"/>
        </w:rPr>
        <w:t>3</w:t>
      </w:r>
      <w:r>
        <w:rPr>
          <w:color w:val="auto"/>
        </w:rPr>
        <w:t>（日最大8小时，第90百分位浓度）分别为20μg/m</w:t>
      </w:r>
      <w:r>
        <w:rPr>
          <w:color w:val="auto"/>
          <w:vertAlign w:val="superscript"/>
        </w:rPr>
        <w:t>3</w:t>
      </w:r>
      <w:r>
        <w:rPr>
          <w:color w:val="auto"/>
        </w:rPr>
        <w:t>、20μg/m</w:t>
      </w:r>
      <w:r>
        <w:rPr>
          <w:color w:val="auto"/>
          <w:vertAlign w:val="superscript"/>
        </w:rPr>
        <w:t>3</w:t>
      </w:r>
      <w:r>
        <w:rPr>
          <w:color w:val="auto"/>
        </w:rPr>
        <w:t>、72μg/m</w:t>
      </w:r>
      <w:r>
        <w:rPr>
          <w:color w:val="auto"/>
          <w:vertAlign w:val="superscript"/>
        </w:rPr>
        <w:t>3</w:t>
      </w:r>
      <w:r>
        <w:rPr>
          <w:color w:val="auto"/>
        </w:rPr>
        <w:t>、33μg/m</w:t>
      </w:r>
      <w:r>
        <w:rPr>
          <w:color w:val="auto"/>
          <w:vertAlign w:val="superscript"/>
        </w:rPr>
        <w:t>3</w:t>
      </w:r>
      <w:r>
        <w:rPr>
          <w:color w:val="auto"/>
        </w:rPr>
        <w:t>、1.7mg/m</w:t>
      </w:r>
      <w:r>
        <w:rPr>
          <w:color w:val="auto"/>
          <w:vertAlign w:val="superscript"/>
        </w:rPr>
        <w:t>3</w:t>
      </w:r>
      <w:r>
        <w:rPr>
          <w:color w:val="auto"/>
        </w:rPr>
        <w:t>、156μg/m</w:t>
      </w:r>
      <w:r>
        <w:rPr>
          <w:color w:val="auto"/>
          <w:vertAlign w:val="superscript"/>
        </w:rPr>
        <w:t>3</w:t>
      </w:r>
      <w:r>
        <w:rPr>
          <w:color w:val="auto"/>
        </w:rPr>
        <w:t>，</w:t>
      </w:r>
      <w:r>
        <w:rPr>
          <w:rFonts w:hint="eastAsia"/>
          <w:color w:val="auto"/>
        </w:rPr>
        <w:t>除PM10外，各污染物平均浓度均满足《环境空气质量标准》（GB3095-2012）中二级标准限值</w:t>
      </w:r>
      <w:r>
        <w:rPr>
          <w:color w:val="auto"/>
        </w:rPr>
        <w:t>，因此项目所在地为</w:t>
      </w:r>
      <w:r>
        <w:rPr>
          <w:rFonts w:hint="eastAsia"/>
          <w:color w:val="auto"/>
        </w:rPr>
        <w:t>不</w:t>
      </w:r>
      <w:r>
        <w:rPr>
          <w:color w:val="auto"/>
        </w:rPr>
        <w:t>达标区</w:t>
      </w:r>
      <w:r>
        <w:rPr>
          <w:rFonts w:hint="eastAsia"/>
          <w:color w:val="auto"/>
        </w:rPr>
        <w:t>；</w:t>
      </w:r>
      <w:r>
        <w:rPr>
          <w:color w:val="auto"/>
        </w:rPr>
        <w:t>H</w:t>
      </w:r>
      <w:r>
        <w:rPr>
          <w:color w:val="auto"/>
          <w:vertAlign w:val="subscript"/>
        </w:rPr>
        <w:t>2</w:t>
      </w:r>
      <w:r>
        <w:rPr>
          <w:color w:val="auto"/>
        </w:rPr>
        <w:t>S、NH</w:t>
      </w:r>
      <w:r>
        <w:rPr>
          <w:color w:val="auto"/>
          <w:vertAlign w:val="subscript"/>
        </w:rPr>
        <w:t>3</w:t>
      </w:r>
      <w:r>
        <w:rPr>
          <w:rFonts w:hint="eastAsia"/>
          <w:color w:val="auto"/>
        </w:rPr>
        <w:t>检测</w:t>
      </w:r>
      <w:r>
        <w:rPr>
          <w:color w:val="auto"/>
        </w:rPr>
        <w:t>浓度</w:t>
      </w:r>
      <w:r>
        <w:rPr>
          <w:rFonts w:hint="eastAsia"/>
          <w:color w:val="auto"/>
        </w:rPr>
        <w:t>均</w:t>
      </w:r>
      <w:r>
        <w:rPr>
          <w:color w:val="auto"/>
        </w:rPr>
        <w:t>符合《环境影响评价技术导则 大气环境》（HJ2.2－2018）附录D其他污染物空气质量浓度参考限值</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（2）地下水环境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根据检测结果，</w:t>
      </w:r>
      <w:r>
        <w:rPr>
          <w:rFonts w:hint="default" w:ascii="Times New Roman" w:hAnsi="Times New Roman" w:eastAsia="宋体" w:cs="Times New Roman"/>
          <w:color w:val="auto"/>
          <w:sz w:val="24"/>
          <w:szCs w:val="24"/>
        </w:rPr>
        <w:t>由上表可知：评价区各监测点</w:t>
      </w:r>
      <w:r>
        <w:rPr>
          <w:rFonts w:hint="eastAsia" w:cs="Times New Roman"/>
          <w:color w:val="auto"/>
          <w:sz w:val="24"/>
          <w:szCs w:val="24"/>
          <w:lang w:eastAsia="zh-CN"/>
        </w:rPr>
        <w:t>除</w:t>
      </w:r>
      <w:r>
        <w:rPr>
          <w:rFonts w:hint="default" w:ascii="Times New Roman" w:hAnsi="Times New Roman" w:eastAsia="宋体" w:cs="Times New Roman"/>
          <w:color w:val="auto"/>
          <w:sz w:val="24"/>
          <w:szCs w:val="24"/>
        </w:rPr>
        <w:t>溶解</w:t>
      </w:r>
      <w:r>
        <w:rPr>
          <w:rFonts w:hint="default" w:ascii="Times New Roman" w:hAnsi="Times New Roman"/>
          <w:color w:val="auto"/>
          <w:sz w:val="24"/>
          <w:szCs w:val="24"/>
        </w:rPr>
        <w:t>性总</w:t>
      </w:r>
      <w:r>
        <w:rPr>
          <w:rFonts w:hint="default" w:ascii="Times New Roman" w:hAnsi="Times New Roman" w:eastAsia="宋体" w:cs="Times New Roman"/>
          <w:color w:val="auto"/>
          <w:sz w:val="24"/>
          <w:szCs w:val="24"/>
        </w:rPr>
        <w:t>固体</w:t>
      </w:r>
      <w:r>
        <w:rPr>
          <w:rFonts w:hint="eastAsia" w:ascii="Times New Roman" w:hAnsi="Times New Roman" w:cs="Times New Roman"/>
          <w:color w:val="auto"/>
          <w:sz w:val="24"/>
          <w:szCs w:val="24"/>
          <w:lang w:eastAsia="zh-CN"/>
        </w:rPr>
        <w:t>、</w:t>
      </w:r>
      <w:r>
        <w:rPr>
          <w:rFonts w:hint="default" w:ascii="Times New Roman" w:hAnsi="Times New Roman"/>
          <w:color w:val="auto"/>
          <w:sz w:val="24"/>
          <w:szCs w:val="24"/>
        </w:rPr>
        <w:t>总硬度</w:t>
      </w:r>
      <w:r>
        <w:rPr>
          <w:rFonts w:hint="eastAsia" w:ascii="Times New Roman" w:hAnsi="Times New Roman"/>
          <w:color w:val="auto"/>
          <w:sz w:val="24"/>
          <w:szCs w:val="24"/>
          <w:lang w:eastAsia="zh-CN"/>
        </w:rPr>
        <w:t>和</w:t>
      </w:r>
      <w:r>
        <w:rPr>
          <w:rFonts w:hint="default" w:ascii="Times New Roman" w:hAnsi="Times New Roman"/>
          <w:color w:val="auto"/>
          <w:sz w:val="24"/>
          <w:szCs w:val="24"/>
          <w:lang w:eastAsia="zh-CN"/>
        </w:rPr>
        <w:t>硫酸盐</w:t>
      </w:r>
      <w:r>
        <w:rPr>
          <w:rFonts w:hint="eastAsia" w:ascii="Times New Roman" w:hAnsi="Times New Roman"/>
          <w:color w:val="auto"/>
          <w:sz w:val="24"/>
          <w:szCs w:val="24"/>
          <w:lang w:eastAsia="zh-CN"/>
        </w:rPr>
        <w:t>超标，其他</w:t>
      </w:r>
      <w:r>
        <w:rPr>
          <w:rFonts w:hint="default" w:ascii="Times New Roman" w:hAnsi="Times New Roman" w:eastAsia="宋体" w:cs="Times New Roman"/>
          <w:color w:val="auto"/>
          <w:sz w:val="24"/>
          <w:szCs w:val="24"/>
        </w:rPr>
        <w:t>监测因子均满足《地下水质量标准》（GB/T14848-2017）Ⅲ类标准的要求，地下水环境质量现状较好</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cs="Times New Roman"/>
          <w:color w:val="auto"/>
          <w:lang w:val="en-US" w:eastAsia="zh-CN"/>
        </w:rPr>
        <w:t>3</w:t>
      </w:r>
      <w:r>
        <w:rPr>
          <w:rFonts w:hint="default" w:ascii="Times New Roman" w:hAnsi="Times New Roman" w:eastAsia="宋体" w:cs="Times New Roman"/>
          <w:color w:val="auto"/>
        </w:rPr>
        <w:t>）声环境</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根据本次噪声现状监测结果，项目</w:t>
      </w:r>
      <w:r>
        <w:rPr>
          <w:rFonts w:hint="eastAsia" w:cs="Times New Roman"/>
          <w:color w:val="auto"/>
          <w:lang w:eastAsia="zh-CN"/>
        </w:rPr>
        <w:t>场区</w:t>
      </w:r>
      <w:r>
        <w:rPr>
          <w:rFonts w:hint="default" w:ascii="Times New Roman" w:hAnsi="Times New Roman" w:eastAsia="宋体" w:cs="Times New Roman"/>
          <w:color w:val="auto"/>
        </w:rPr>
        <w:t>周围厂界各监测点昼间、夜间噪声值均满足《声环境质量标准》（GB3096-2008）2类标准，项目区</w:t>
      </w:r>
      <w:r>
        <w:rPr>
          <w:rFonts w:hint="eastAsia" w:cs="Times New Roman"/>
          <w:color w:val="auto"/>
          <w:lang w:eastAsia="zh-CN"/>
        </w:rPr>
        <w:t>域</w:t>
      </w:r>
      <w:r>
        <w:rPr>
          <w:rFonts w:hint="default" w:ascii="Times New Roman" w:hAnsi="Times New Roman" w:eastAsia="宋体" w:cs="Times New Roman"/>
          <w:color w:val="auto"/>
        </w:rPr>
        <w:t>声环境质量较好。</w:t>
      </w:r>
      <w:bookmarkEnd w:id="606"/>
      <w:bookmarkEnd w:id="607"/>
    </w:p>
    <w:p>
      <w:pPr>
        <w:pStyle w:val="5"/>
        <w:rPr>
          <w:rFonts w:hint="default" w:ascii="Times New Roman" w:hAnsi="Times New Roman" w:eastAsia="宋体" w:cs="Times New Roman"/>
          <w:color w:val="auto"/>
        </w:rPr>
      </w:pPr>
      <w:bookmarkStart w:id="608" w:name="_Toc523322414"/>
      <w:bookmarkStart w:id="609" w:name="_Toc8022"/>
      <w:r>
        <w:rPr>
          <w:rFonts w:hint="default" w:ascii="Times New Roman" w:hAnsi="Times New Roman" w:eastAsia="宋体" w:cs="Times New Roman"/>
          <w:color w:val="auto"/>
        </w:rPr>
        <w:t>10.4环境影响分析结论</w:t>
      </w:r>
      <w:bookmarkEnd w:id="608"/>
      <w:bookmarkEnd w:id="609"/>
    </w:p>
    <w:p>
      <w:pPr>
        <w:pStyle w:val="6"/>
        <w:rPr>
          <w:rFonts w:hint="default" w:ascii="Times New Roman" w:hAnsi="Times New Roman" w:eastAsia="宋体" w:cs="Times New Roman"/>
          <w:color w:val="auto"/>
        </w:rPr>
      </w:pPr>
      <w:bookmarkStart w:id="610" w:name="_Toc471227933"/>
      <w:bookmarkStart w:id="611" w:name="_Toc523322415"/>
      <w:bookmarkStart w:id="612" w:name="_Toc8792"/>
      <w:r>
        <w:rPr>
          <w:rFonts w:hint="default" w:ascii="Times New Roman" w:hAnsi="Times New Roman" w:eastAsia="宋体" w:cs="Times New Roman"/>
          <w:color w:val="auto"/>
        </w:rPr>
        <w:t>10.4.1施工期环境影响</w:t>
      </w:r>
      <w:bookmarkEnd w:id="610"/>
      <w:bookmarkEnd w:id="611"/>
      <w:bookmarkEnd w:id="61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项目施工期间各项施工活动产生噪声、废水、扬尘和固体废弃物，有可能对周围环境产生短期的、局部的影响。项目方对产生噪声的机械设备采取减振、隔声措施，施工期生活废水依托旱厕，施工场地及运输道路定期洒水抑尘，材料堆放及运输粉状材料是采取遮盖等措施，产生建筑垃圾部分全部利用，生活垃圾运至环卫部门指定地点等措施后，本项目施工期对周围环境的影响可以接受。</w:t>
      </w:r>
    </w:p>
    <w:p>
      <w:pPr>
        <w:pStyle w:val="6"/>
        <w:rPr>
          <w:rFonts w:hint="default" w:ascii="Times New Roman" w:hAnsi="Times New Roman" w:eastAsia="宋体" w:cs="Times New Roman"/>
          <w:color w:val="auto"/>
        </w:rPr>
      </w:pPr>
      <w:bookmarkStart w:id="613" w:name="_Toc523322416"/>
      <w:bookmarkStart w:id="614" w:name="_Toc25217"/>
      <w:r>
        <w:rPr>
          <w:rFonts w:hint="default" w:ascii="Times New Roman" w:hAnsi="Times New Roman" w:eastAsia="宋体" w:cs="Times New Roman"/>
          <w:color w:val="auto"/>
        </w:rPr>
        <w:t>10.4.2运营期环境影响</w:t>
      </w:r>
      <w:bookmarkEnd w:id="613"/>
      <w:bookmarkEnd w:id="614"/>
    </w:p>
    <w:p>
      <w:pPr>
        <w:ind w:firstLine="480"/>
        <w:rPr>
          <w:rFonts w:hint="default" w:ascii="Times New Roman" w:hAnsi="Times New Roman" w:eastAsia="宋体" w:cs="Times New Roman"/>
          <w:color w:val="auto"/>
        </w:rPr>
      </w:pPr>
      <w:bookmarkStart w:id="615" w:name="_Toc371696644"/>
      <w:bookmarkStart w:id="616" w:name="_Toc487188701"/>
      <w:bookmarkStart w:id="617" w:name="_Toc494206423"/>
      <w:r>
        <w:rPr>
          <w:rFonts w:hint="default" w:ascii="Times New Roman" w:hAnsi="Times New Roman" w:eastAsia="宋体" w:cs="Times New Roman"/>
          <w:color w:val="auto"/>
        </w:rPr>
        <w:t>（1）大气环境影响评价</w:t>
      </w:r>
      <w:bookmarkEnd w:id="615"/>
      <w:bookmarkEnd w:id="616"/>
      <w:bookmarkEnd w:id="617"/>
    </w:p>
    <w:p>
      <w:pPr>
        <w:ind w:firstLine="480"/>
        <w:rPr>
          <w:rFonts w:hint="default" w:ascii="Times New Roman" w:hAnsi="Times New Roman" w:eastAsia="宋体" w:cs="Times New Roman"/>
          <w:color w:val="auto"/>
        </w:rPr>
      </w:pPr>
      <w:bookmarkStart w:id="618" w:name="_Toc487188702"/>
      <w:bookmarkStart w:id="619" w:name="_Toc494206424"/>
      <w:bookmarkStart w:id="620" w:name="_Toc371696645"/>
      <w:r>
        <w:rPr>
          <w:rFonts w:hint="default" w:ascii="Times New Roman" w:hAnsi="Times New Roman" w:eastAsia="宋体" w:cs="Times New Roman"/>
          <w:color w:val="auto"/>
        </w:rPr>
        <w:t>根据估算模式计算可知，本项目所产生的污染物的最大落地浓度的占标率均未超过10%，其中占标率相对较大的H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占标率分别为</w:t>
      </w:r>
      <w:r>
        <w:rPr>
          <w:rFonts w:hint="default" w:ascii="Times New Roman" w:hAnsi="Times New Roman" w:eastAsia="宋体" w:cs="Times New Roman"/>
          <w:color w:val="auto"/>
          <w:highlight w:val="none"/>
        </w:rPr>
        <w:t>8.87</w:t>
      </w:r>
      <w:r>
        <w:rPr>
          <w:rFonts w:hint="default" w:ascii="Times New Roman" w:hAnsi="Times New Roman" w:eastAsia="宋体" w:cs="Times New Roman"/>
          <w:color w:val="auto"/>
        </w:rPr>
        <w:t>%、4.84%，其它的均相对较低，因此本项目产生的污染对周围环境产生的影响不大。</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（2）地表水环境影响评价</w:t>
      </w:r>
      <w:bookmarkEnd w:id="618"/>
      <w:bookmarkEnd w:id="619"/>
      <w:bookmarkEnd w:id="62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项目运营期产生的废水主要有</w:t>
      </w:r>
      <w:r>
        <w:rPr>
          <w:rFonts w:hint="eastAsia" w:cs="Times New Roman"/>
          <w:color w:val="auto"/>
          <w:lang w:eastAsia="zh-CN"/>
        </w:rPr>
        <w:t>猪尿、猪舍粪污管道冲洗废水</w:t>
      </w:r>
      <w:r>
        <w:rPr>
          <w:rFonts w:hint="default" w:ascii="Times New Roman" w:hAnsi="Times New Roman" w:eastAsia="宋体" w:cs="Times New Roman"/>
          <w:color w:val="auto"/>
        </w:rPr>
        <w:t>、职工生活污水。场区运营期实行严格的雨污分流制度；</w:t>
      </w:r>
      <w:r>
        <w:rPr>
          <w:rFonts w:hint="default" w:ascii="Times New Roman" w:hAnsi="Times New Roman" w:eastAsia="宋体" w:cs="Times New Roman"/>
          <w:color w:val="auto"/>
          <w:lang w:eastAsia="zh-CN"/>
        </w:rPr>
        <w:t>以上</w:t>
      </w:r>
      <w:r>
        <w:rPr>
          <w:rFonts w:hint="default" w:ascii="Times New Roman" w:hAnsi="Times New Roman" w:eastAsia="宋体" w:cs="Times New Roman"/>
          <w:color w:val="auto"/>
        </w:rPr>
        <w:t>废水</w:t>
      </w:r>
      <w:r>
        <w:rPr>
          <w:rFonts w:hint="default" w:ascii="Times New Roman" w:hAnsi="Times New Roman" w:eastAsia="宋体" w:cs="Times New Roman"/>
          <w:color w:val="auto"/>
          <w:lang w:eastAsia="zh-CN"/>
        </w:rPr>
        <w:t>排入</w:t>
      </w:r>
      <w:r>
        <w:rPr>
          <w:rFonts w:hint="default" w:ascii="Times New Roman" w:hAnsi="Times New Roman" w:eastAsia="宋体" w:cs="Times New Roman"/>
          <w:color w:val="auto"/>
        </w:rPr>
        <w:t>氧化塘</w:t>
      </w:r>
      <w:r>
        <w:rPr>
          <w:rFonts w:hint="default" w:ascii="Times New Roman" w:hAnsi="Times New Roman" w:eastAsia="宋体" w:cs="Times New Roman"/>
          <w:color w:val="auto"/>
          <w:lang w:eastAsia="zh-CN"/>
        </w:rPr>
        <w:t>内进行</w:t>
      </w:r>
      <w:r>
        <w:rPr>
          <w:rFonts w:hint="default" w:ascii="Times New Roman" w:hAnsi="Times New Roman" w:eastAsia="宋体" w:cs="Times New Roman"/>
          <w:color w:val="auto"/>
        </w:rPr>
        <w:t>厌氧发酵处理后</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作为液肥还田。废水零排放，因此对区域水环境影响很小。</w:t>
      </w:r>
    </w:p>
    <w:p>
      <w:pPr>
        <w:ind w:firstLine="480"/>
        <w:rPr>
          <w:rFonts w:hint="default" w:ascii="Times New Roman" w:hAnsi="Times New Roman" w:eastAsia="宋体" w:cs="Times New Roman"/>
          <w:color w:val="auto"/>
        </w:rPr>
      </w:pPr>
      <w:bookmarkStart w:id="621" w:name="_Toc494206425"/>
      <w:bookmarkStart w:id="622" w:name="_Toc487188703"/>
      <w:bookmarkStart w:id="623" w:name="_Toc371696646"/>
      <w:r>
        <w:rPr>
          <w:rFonts w:hint="default" w:ascii="Times New Roman" w:hAnsi="Times New Roman" w:eastAsia="宋体" w:cs="Times New Roman"/>
          <w:color w:val="auto"/>
        </w:rPr>
        <w:t>（3）地下水环境影响评价</w:t>
      </w:r>
      <w:bookmarkEnd w:id="621"/>
      <w:bookmarkEnd w:id="622"/>
      <w:bookmarkEnd w:id="623"/>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危险废物暂存间等场区重点防渗区渗透系数要求小于1.0×10</w:t>
      </w:r>
      <w:r>
        <w:rPr>
          <w:rFonts w:hint="default" w:ascii="Times New Roman" w:hAnsi="Times New Roman" w:eastAsia="宋体" w:cs="Times New Roman"/>
          <w:color w:val="auto"/>
          <w:vertAlign w:val="superscript"/>
        </w:rPr>
        <w:t>-10</w:t>
      </w:r>
      <w:r>
        <w:rPr>
          <w:rFonts w:hint="default" w:ascii="Times New Roman" w:hAnsi="Times New Roman" w:eastAsia="宋体" w:cs="Times New Roman"/>
          <w:color w:val="auto"/>
        </w:rPr>
        <w:t>cm/s；</w:t>
      </w:r>
      <w:r>
        <w:rPr>
          <w:rFonts w:hint="eastAsia" w:cs="Times New Roman"/>
          <w:color w:val="auto"/>
          <w:lang w:eastAsia="zh-CN"/>
        </w:rPr>
        <w:t>沉淀池</w:t>
      </w:r>
      <w:r>
        <w:rPr>
          <w:rFonts w:hint="default" w:ascii="Times New Roman" w:hAnsi="Times New Roman" w:eastAsia="宋体" w:cs="Times New Roman"/>
          <w:color w:val="auto"/>
        </w:rPr>
        <w:t>、</w:t>
      </w:r>
      <w:r>
        <w:rPr>
          <w:rFonts w:hint="eastAsia" w:cs="Times New Roman"/>
          <w:color w:val="auto"/>
          <w:lang w:eastAsia="zh-CN"/>
        </w:rPr>
        <w:t>化粪池</w:t>
      </w:r>
      <w:r>
        <w:rPr>
          <w:rFonts w:hint="default" w:ascii="Times New Roman" w:hAnsi="Times New Roman" w:eastAsia="宋体" w:cs="Times New Roman"/>
          <w:color w:val="auto"/>
        </w:rPr>
        <w:t>、</w:t>
      </w:r>
      <w:r>
        <w:rPr>
          <w:rFonts w:hint="eastAsia" w:cs="Times New Roman"/>
          <w:color w:val="auto"/>
          <w:lang w:eastAsia="zh-CN"/>
        </w:rPr>
        <w:t>猪舍</w:t>
      </w:r>
      <w:r>
        <w:rPr>
          <w:rFonts w:hint="default" w:ascii="Times New Roman" w:hAnsi="Times New Roman" w:eastAsia="宋体" w:cs="Times New Roman"/>
          <w:color w:val="auto"/>
        </w:rPr>
        <w:t>粪污通道、</w:t>
      </w:r>
      <w:r>
        <w:rPr>
          <w:rFonts w:hint="eastAsia" w:cs="Times New Roman"/>
          <w:color w:val="auto"/>
          <w:lang w:eastAsia="zh-CN"/>
        </w:rPr>
        <w:t>晾粪台</w:t>
      </w:r>
      <w:r>
        <w:rPr>
          <w:rFonts w:hint="default" w:ascii="Times New Roman" w:hAnsi="Times New Roman" w:eastAsia="宋体" w:cs="Times New Roman"/>
          <w:color w:val="auto"/>
          <w:lang w:eastAsia="zh-CN"/>
        </w:rPr>
        <w:t>、氧化塘</w:t>
      </w:r>
      <w:r>
        <w:rPr>
          <w:rFonts w:hint="default" w:ascii="Times New Roman" w:hAnsi="Times New Roman" w:eastAsia="宋体" w:cs="Times New Roman"/>
          <w:color w:val="auto"/>
        </w:rPr>
        <w:t>等一般防渗区渗透系数要求小于1.0×10</w:t>
      </w:r>
      <w:r>
        <w:rPr>
          <w:rFonts w:hint="default" w:ascii="Times New Roman" w:hAnsi="Times New Roman" w:eastAsia="宋体" w:cs="Times New Roman"/>
          <w:color w:val="auto"/>
          <w:vertAlign w:val="superscript"/>
        </w:rPr>
        <w:t>-7</w:t>
      </w:r>
      <w:r>
        <w:rPr>
          <w:rFonts w:hint="default" w:ascii="Times New Roman" w:hAnsi="Times New Roman" w:eastAsia="宋体" w:cs="Times New Roman"/>
          <w:color w:val="auto"/>
        </w:rPr>
        <w:t>cm/s，对于消毒室、场区道路、</w:t>
      </w:r>
      <w:r>
        <w:rPr>
          <w:rFonts w:hint="eastAsia" w:cs="Times New Roman"/>
          <w:color w:val="auto"/>
          <w:lang w:eastAsia="zh-CN"/>
        </w:rPr>
        <w:t>猪舍</w:t>
      </w:r>
      <w:r>
        <w:rPr>
          <w:rFonts w:hint="default" w:ascii="Times New Roman" w:hAnsi="Times New Roman" w:eastAsia="宋体" w:cs="Times New Roman"/>
          <w:color w:val="auto"/>
        </w:rPr>
        <w:t>饲料通道等生产区，铺设防渗混凝土地面进行防渗。经防渗措施处理后该项目不会对附近地下水造成不良影响。</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综上所述，项目在采用相应的措施后，对区域地下水产生的影响较小。</w:t>
      </w:r>
    </w:p>
    <w:p>
      <w:pPr>
        <w:ind w:firstLine="480"/>
        <w:rPr>
          <w:rFonts w:hint="default" w:ascii="Times New Roman" w:hAnsi="Times New Roman" w:eastAsia="宋体" w:cs="Times New Roman"/>
          <w:color w:val="auto"/>
        </w:rPr>
      </w:pPr>
      <w:bookmarkStart w:id="624" w:name="_Toc371696647"/>
      <w:bookmarkStart w:id="625" w:name="_Toc487188704"/>
      <w:bookmarkStart w:id="626" w:name="_Toc494206426"/>
      <w:r>
        <w:rPr>
          <w:rFonts w:hint="default" w:ascii="Times New Roman" w:hAnsi="Times New Roman" w:eastAsia="宋体" w:cs="Times New Roman"/>
          <w:color w:val="auto"/>
        </w:rPr>
        <w:t>（4）声环境影响评价</w:t>
      </w:r>
      <w:bookmarkEnd w:id="624"/>
      <w:bookmarkEnd w:id="625"/>
      <w:bookmarkEnd w:id="62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由预测结果可见，采取措施后，本项目厂界噪声昼夜间均可满足《工业企业厂界环境噪声排放标准》（GB12348-2008）对应的2类区标准限值，</w:t>
      </w:r>
      <w:r>
        <w:rPr>
          <w:rFonts w:hint="default" w:ascii="Times New Roman" w:hAnsi="Times New Roman" w:eastAsia="宋体" w:cs="Times New Roman"/>
          <w:color w:val="auto"/>
          <w:lang w:eastAsia="zh-CN"/>
        </w:rPr>
        <w:t>对周围</w:t>
      </w:r>
      <w:r>
        <w:rPr>
          <w:rFonts w:hint="default" w:ascii="Times New Roman" w:hAnsi="Times New Roman" w:eastAsia="宋体" w:cs="Times New Roman"/>
          <w:color w:val="auto"/>
        </w:rPr>
        <w:t>声环境影响</w:t>
      </w:r>
      <w:r>
        <w:rPr>
          <w:rFonts w:hint="default" w:ascii="Times New Roman" w:hAnsi="Times New Roman" w:eastAsia="宋体" w:cs="Times New Roman"/>
          <w:color w:val="auto"/>
          <w:lang w:eastAsia="zh-CN"/>
        </w:rPr>
        <w:t>较小</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bookmarkStart w:id="627" w:name="_Toc487188705"/>
      <w:bookmarkStart w:id="628" w:name="_Toc494206427"/>
      <w:r>
        <w:rPr>
          <w:rFonts w:hint="default" w:ascii="Times New Roman" w:hAnsi="Times New Roman" w:eastAsia="宋体" w:cs="Times New Roman"/>
          <w:color w:val="auto"/>
        </w:rPr>
        <w:t>（5）固体废物影响评价</w:t>
      </w:r>
      <w:bookmarkEnd w:id="627"/>
      <w:bookmarkEnd w:id="62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项目产生的养殖过程由于疾病等原因产生的</w:t>
      </w:r>
      <w:r>
        <w:rPr>
          <w:rFonts w:hint="eastAsia" w:cs="Times New Roman"/>
          <w:color w:val="auto"/>
          <w:lang w:eastAsia="zh-CN"/>
        </w:rPr>
        <w:t>病死猪</w:t>
      </w:r>
      <w:r>
        <w:rPr>
          <w:rFonts w:hint="default" w:ascii="Times New Roman" w:hAnsi="Times New Roman" w:eastAsia="宋体" w:cs="Times New Roman"/>
          <w:color w:val="auto"/>
        </w:rPr>
        <w:t>等应按照当地兽医局的相关文件规定处理，</w:t>
      </w:r>
      <w:r>
        <w:rPr>
          <w:rFonts w:hint="eastAsia" w:cs="Times New Roman"/>
          <w:color w:val="auto"/>
          <w:lang w:eastAsia="zh-CN"/>
        </w:rPr>
        <w:t>设置安全填埋井</w:t>
      </w:r>
      <w:r>
        <w:rPr>
          <w:rFonts w:hint="default" w:ascii="Times New Roman" w:hAnsi="Times New Roman" w:eastAsia="宋体" w:cs="Times New Roman"/>
          <w:color w:val="auto"/>
        </w:rPr>
        <w:t>进行无害化处理；运营过程产生的医疗废弃物，暂存</w:t>
      </w:r>
      <w:r>
        <w:rPr>
          <w:rFonts w:hint="default" w:ascii="Times New Roman" w:hAnsi="Times New Roman" w:eastAsia="宋体" w:cs="Times New Roman"/>
          <w:color w:val="auto"/>
          <w:lang w:eastAsia="zh-CN"/>
        </w:rPr>
        <w:t>于危废暂存间定期</w:t>
      </w:r>
      <w:r>
        <w:rPr>
          <w:rFonts w:hint="default" w:ascii="Times New Roman" w:hAnsi="Times New Roman" w:eastAsia="宋体" w:cs="Times New Roman"/>
          <w:color w:val="auto"/>
        </w:rPr>
        <w:t>交由有资质单位处理；</w:t>
      </w:r>
      <w:r>
        <w:rPr>
          <w:rFonts w:hint="eastAsia" w:cs="Times New Roman"/>
          <w:color w:val="auto"/>
          <w:lang w:eastAsia="zh-CN"/>
        </w:rPr>
        <w:t>猪粪</w:t>
      </w:r>
      <w:r>
        <w:rPr>
          <w:rFonts w:hint="default" w:ascii="Times New Roman" w:hAnsi="Times New Roman" w:eastAsia="宋体" w:cs="Times New Roman"/>
          <w:color w:val="auto"/>
        </w:rPr>
        <w:t>清运至</w:t>
      </w:r>
      <w:r>
        <w:rPr>
          <w:rFonts w:hint="eastAsia" w:cs="Times New Roman"/>
          <w:color w:val="auto"/>
          <w:lang w:eastAsia="zh-CN"/>
        </w:rPr>
        <w:t>晾粪台</w:t>
      </w:r>
      <w:r>
        <w:rPr>
          <w:rFonts w:hint="default" w:ascii="Times New Roman" w:hAnsi="Times New Roman" w:eastAsia="宋体" w:cs="Times New Roman"/>
          <w:color w:val="auto"/>
        </w:rPr>
        <w:t>，粪便出售有机肥生产厂家进行资源化利用；</w:t>
      </w:r>
      <w:r>
        <w:rPr>
          <w:rFonts w:hint="default" w:ascii="Times New Roman" w:hAnsi="Times New Roman" w:eastAsia="宋体" w:cs="Times New Roman"/>
          <w:color w:val="auto"/>
          <w:highlight w:val="none"/>
        </w:rPr>
        <w:t>生活垃圾</w:t>
      </w:r>
      <w:r>
        <w:rPr>
          <w:rFonts w:hint="default" w:ascii="Times New Roman" w:hAnsi="Times New Roman" w:eastAsia="宋体" w:cs="Times New Roman"/>
          <w:color w:val="auto"/>
          <w:highlight w:val="none"/>
          <w:lang w:eastAsia="zh-CN"/>
        </w:rPr>
        <w:t>和</w:t>
      </w:r>
      <w:r>
        <w:rPr>
          <w:rFonts w:hint="default" w:ascii="Times New Roman" w:hAnsi="Times New Roman" w:eastAsia="宋体" w:cs="Times New Roman"/>
          <w:color w:val="auto"/>
          <w:highlight w:val="none"/>
        </w:rPr>
        <w:t>废离子交换树脂统一收集后</w:t>
      </w:r>
      <w:r>
        <w:rPr>
          <w:rFonts w:hint="default" w:ascii="Times New Roman" w:hAnsi="Times New Roman" w:eastAsia="宋体" w:cs="Times New Roman"/>
          <w:color w:val="auto"/>
          <w:lang w:bidi="zh-CN"/>
        </w:rPr>
        <w:t>清运到环卫部门指定的地点集中处理</w:t>
      </w:r>
      <w:r>
        <w:rPr>
          <w:rFonts w:hint="default" w:ascii="Times New Roman" w:hAnsi="Times New Roman" w:eastAsia="宋体" w:cs="Times New Roman"/>
          <w:color w:val="auto"/>
        </w:rPr>
        <w:t>。</w:t>
      </w:r>
    </w:p>
    <w:p>
      <w:pPr>
        <w:ind w:firstLine="480"/>
        <w:rPr>
          <w:rFonts w:hint="default" w:ascii="Times New Roman" w:hAnsi="Times New Roman" w:eastAsia="宋体" w:cs="Times New Roman"/>
          <w:color w:val="auto"/>
        </w:rPr>
      </w:pPr>
      <w:bookmarkStart w:id="629" w:name="_Toc371696648"/>
      <w:bookmarkStart w:id="630" w:name="_Toc523322418"/>
      <w:bookmarkStart w:id="631" w:name="_Toc494206429"/>
      <w:bookmarkStart w:id="632" w:name="_Toc487188707"/>
      <w:r>
        <w:rPr>
          <w:rFonts w:hint="default" w:ascii="Times New Roman" w:hAnsi="Times New Roman" w:eastAsia="宋体" w:cs="Times New Roman"/>
          <w:color w:val="auto"/>
        </w:rPr>
        <w:t>本项目根据固体废物的不同性质采取了不同的处理措施，能利用的废物均被有效利用，不能利用的固废也均能得到妥善处置，因此本项目固体废物处置合理，基本不会对周围环境产生影响。</w:t>
      </w:r>
    </w:p>
    <w:p>
      <w:pPr>
        <w:pStyle w:val="5"/>
        <w:rPr>
          <w:rFonts w:hint="default" w:ascii="Times New Roman" w:hAnsi="Times New Roman" w:eastAsia="宋体" w:cs="Times New Roman"/>
          <w:color w:val="auto"/>
        </w:rPr>
      </w:pPr>
      <w:bookmarkStart w:id="633" w:name="_Toc17002"/>
      <w:r>
        <w:rPr>
          <w:rFonts w:hint="default" w:ascii="Times New Roman" w:hAnsi="Times New Roman" w:eastAsia="宋体" w:cs="Times New Roman"/>
          <w:color w:val="auto"/>
        </w:rPr>
        <w:t>10.5污染防治措施</w:t>
      </w:r>
      <w:bookmarkEnd w:id="629"/>
      <w:bookmarkEnd w:id="630"/>
      <w:bookmarkEnd w:id="631"/>
      <w:bookmarkEnd w:id="632"/>
      <w:bookmarkEnd w:id="633"/>
    </w:p>
    <w:p>
      <w:pPr>
        <w:ind w:firstLine="480"/>
        <w:rPr>
          <w:rFonts w:hint="default" w:ascii="Times New Roman" w:hAnsi="Times New Roman" w:eastAsia="宋体" w:cs="Times New Roman"/>
          <w:color w:val="auto"/>
        </w:rPr>
      </w:pPr>
      <w:bookmarkStart w:id="634" w:name="_Toc371696649"/>
      <w:bookmarkStart w:id="635" w:name="_Toc494206430"/>
      <w:bookmarkStart w:id="636" w:name="_Toc487188708"/>
      <w:bookmarkStart w:id="637" w:name="_Toc523322419"/>
      <w:r>
        <w:rPr>
          <w:rFonts w:hint="default" w:ascii="Times New Roman" w:hAnsi="Times New Roman" w:eastAsia="宋体" w:cs="Times New Roman"/>
          <w:color w:val="auto"/>
        </w:rPr>
        <w:t>（1）大气污染防治措施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本项目对养殖过程产生的无组织恶臭采用科学喂养、通风换气、粪污日产日清、控制圈养密度、饲料添加EM剂益生菌等治理措施；氧化塘内添加生物除臭菌等措施抑制恶臭污染物扩散，并对</w:t>
      </w:r>
      <w:r>
        <w:rPr>
          <w:rFonts w:hint="eastAsia" w:cs="Times New Roman"/>
          <w:color w:val="auto"/>
          <w:lang w:eastAsia="zh-CN"/>
        </w:rPr>
        <w:t>场区</w:t>
      </w:r>
      <w:r>
        <w:rPr>
          <w:rFonts w:hint="default" w:ascii="Times New Roman" w:hAnsi="Times New Roman" w:eastAsia="宋体" w:cs="Times New Roman"/>
          <w:color w:val="auto"/>
        </w:rPr>
        <w:t>进行绿化，使企业厂界无组织</w:t>
      </w:r>
      <w:r>
        <w:rPr>
          <w:rFonts w:hint="default" w:ascii="Times New Roman" w:hAnsi="Times New Roman" w:eastAsia="宋体" w:cs="Times New Roman"/>
          <w:color w:val="auto"/>
          <w:lang w:eastAsia="zh-CN"/>
        </w:rPr>
        <w:t>硫化氢和氨气</w:t>
      </w:r>
      <w:r>
        <w:rPr>
          <w:rFonts w:hint="default" w:ascii="Times New Roman" w:hAnsi="Times New Roman" w:eastAsia="宋体" w:cs="Times New Roman"/>
          <w:color w:val="auto"/>
        </w:rPr>
        <w:t>排放满足《恶臭污染物排放标准》（GB14554-93）厂界二级标准</w:t>
      </w:r>
      <w:r>
        <w:rPr>
          <w:rFonts w:hint="default" w:ascii="Times New Roman" w:hAnsi="Times New Roman" w:eastAsia="宋体" w:cs="Times New Roman"/>
          <w:color w:val="auto"/>
          <w:lang w:eastAsia="zh-CN"/>
        </w:rPr>
        <w:t>、臭气浓度排放满足</w:t>
      </w:r>
      <w:r>
        <w:rPr>
          <w:rFonts w:hint="default" w:ascii="Times New Roman" w:hAnsi="Times New Roman" w:eastAsia="宋体" w:cs="Times New Roman"/>
          <w:color w:val="auto"/>
        </w:rPr>
        <w:t>《畜禽养殖业污染物排放标准》（GB18596-2001）中臭气浓度的限值要求。</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default" w:ascii="Times New Roman" w:hAnsi="Times New Roman" w:eastAsia="宋体" w:cs="Times New Roman"/>
          <w:color w:val="auto"/>
          <w:lang w:eastAsia="zh-CN"/>
        </w:rPr>
        <w:t>废</w:t>
      </w:r>
      <w:r>
        <w:rPr>
          <w:rFonts w:hint="default" w:ascii="Times New Roman" w:hAnsi="Times New Roman" w:eastAsia="宋体" w:cs="Times New Roman"/>
          <w:color w:val="auto"/>
        </w:rPr>
        <w:t>水污染防治措施</w:t>
      </w:r>
    </w:p>
    <w:p>
      <w:pPr>
        <w:ind w:firstLine="480"/>
        <w:rPr>
          <w:rFonts w:hint="default" w:ascii="Times New Roman" w:hAnsi="Times New Roman" w:eastAsia="宋体" w:cs="Times New Roman"/>
          <w:color w:val="auto"/>
        </w:rPr>
      </w:pPr>
      <w:r>
        <w:rPr>
          <w:rFonts w:hint="eastAsia" w:cs="Times New Roman"/>
          <w:color w:val="auto"/>
          <w:lang w:eastAsia="zh-CN"/>
        </w:rPr>
        <w:t>猪尿、猪舍粪污管道冲洗废水</w:t>
      </w:r>
      <w:r>
        <w:rPr>
          <w:rFonts w:hint="default" w:ascii="Times New Roman" w:hAnsi="Times New Roman" w:eastAsia="宋体" w:cs="Times New Roman"/>
          <w:color w:val="auto"/>
        </w:rPr>
        <w:t>、员工生活污水实现资源化利用，场区严格实行雨污分流制度，粪污废水采用“厌氧发酵处理+农肥还田利用”的处理方式，经处理后全部用于周边农田施肥，不外排。同时项目设置严格的分区防渗措施并在场地</w:t>
      </w:r>
      <w:r>
        <w:rPr>
          <w:rFonts w:hint="default" w:ascii="Times New Roman" w:hAnsi="Times New Roman" w:eastAsia="宋体" w:cs="Times New Roman"/>
          <w:color w:val="auto"/>
          <w:lang w:eastAsia="zh-CN"/>
        </w:rPr>
        <w:t>内</w:t>
      </w:r>
      <w:r>
        <w:rPr>
          <w:rFonts w:hint="default" w:ascii="Times New Roman" w:hAnsi="Times New Roman" w:eastAsia="宋体" w:cs="Times New Roman"/>
          <w:color w:val="auto"/>
        </w:rPr>
        <w:t>设置1眼地下水监控井，综上项目水污染防治措施是可行的。</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（3）噪声污染防治措施</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主要通过合理布局、优先选择低噪声设备，将设备置于室内，并进行基础减振</w:t>
      </w:r>
      <w:r>
        <w:rPr>
          <w:rFonts w:hint="eastAsia" w:cs="Times New Roman"/>
          <w:color w:val="auto"/>
          <w:lang w:eastAsia="zh-CN"/>
        </w:rPr>
        <w:t>；</w:t>
      </w:r>
      <w:r>
        <w:rPr>
          <w:rFonts w:hint="default" w:ascii="Times New Roman" w:hAnsi="Times New Roman" w:eastAsia="宋体" w:cs="Times New Roman"/>
          <w:color w:val="auto"/>
        </w:rPr>
        <w:t>对于水泵，在水泵底部安装减震垫、使用软性接头，设置于独立的泵房内；将噪声大的噪声源远离厂界和敏感点，通过距离衰减降噪。同时可在</w:t>
      </w:r>
      <w:r>
        <w:rPr>
          <w:rFonts w:hint="eastAsia" w:cs="Times New Roman"/>
          <w:color w:val="auto"/>
          <w:lang w:eastAsia="zh-CN"/>
        </w:rPr>
        <w:t>猪场</w:t>
      </w:r>
      <w:r>
        <w:rPr>
          <w:rFonts w:hint="default" w:ascii="Times New Roman" w:hAnsi="Times New Roman" w:eastAsia="宋体" w:cs="Times New Roman"/>
          <w:color w:val="auto"/>
        </w:rPr>
        <w:t>周围种植高大树木，起到吸声降噪的效果。</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（4）固体废物污染防治措施</w:t>
      </w:r>
      <w:bookmarkEnd w:id="634"/>
      <w:bookmarkEnd w:id="635"/>
      <w:bookmarkEnd w:id="636"/>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固废按照“无害化、资源化、减量化”原则实行管理，</w:t>
      </w:r>
      <w:r>
        <w:rPr>
          <w:rFonts w:hint="eastAsia" w:cs="Times New Roman"/>
          <w:color w:val="auto"/>
          <w:lang w:eastAsia="zh-CN"/>
        </w:rPr>
        <w:t>1000</w:t>
      </w:r>
      <w:r>
        <w:rPr>
          <w:rFonts w:hint="default" w:ascii="Times New Roman" w:hAnsi="Times New Roman" w:eastAsia="宋体" w:cs="Times New Roman"/>
          <w:color w:val="auto"/>
        </w:rPr>
        <w:t>经好氧堆肥后用于农肥；</w:t>
      </w:r>
      <w:r>
        <w:rPr>
          <w:rFonts w:hint="eastAsia" w:cs="Times New Roman"/>
          <w:color w:val="auto"/>
          <w:lang w:eastAsia="zh-CN"/>
        </w:rPr>
        <w:t>病死猪设置安全填埋井</w:t>
      </w:r>
      <w:r>
        <w:rPr>
          <w:rFonts w:hint="default" w:ascii="Times New Roman" w:hAnsi="Times New Roman" w:eastAsia="宋体" w:cs="Times New Roman"/>
          <w:color w:val="auto"/>
        </w:rPr>
        <w:t>进行无害化处理；危险废物委托有资质单位进行处理。本项目根据固体废物的性质采取了不同的处理措施，能利用的废物均被有效利用，不能利用的固废也均能得到妥善处置，不会产生二次污染。</w:t>
      </w:r>
    </w:p>
    <w:p>
      <w:pPr>
        <w:pStyle w:val="5"/>
        <w:rPr>
          <w:rFonts w:hint="default" w:ascii="Times New Roman" w:hAnsi="Times New Roman" w:eastAsia="宋体" w:cs="Times New Roman"/>
          <w:color w:val="auto"/>
        </w:rPr>
      </w:pPr>
      <w:bookmarkStart w:id="638" w:name="_Toc3503"/>
      <w:r>
        <w:rPr>
          <w:rFonts w:hint="default" w:ascii="Times New Roman" w:hAnsi="Times New Roman" w:eastAsia="宋体" w:cs="Times New Roman"/>
          <w:color w:val="auto"/>
        </w:rPr>
        <w:t>10.6总量控制指标</w:t>
      </w:r>
      <w:bookmarkEnd w:id="637"/>
      <w:bookmarkEnd w:id="638"/>
    </w:p>
    <w:p>
      <w:pPr>
        <w:overflowPunct w:val="0"/>
        <w:autoSpaceDE/>
        <w:ind w:firstLine="480"/>
        <w:rPr>
          <w:rFonts w:hint="default" w:ascii="Times New Roman" w:hAnsi="Times New Roman" w:eastAsia="宋体" w:cs="Times New Roman"/>
          <w:color w:val="auto"/>
          <w:szCs w:val="20"/>
        </w:rPr>
      </w:pPr>
      <w:bookmarkStart w:id="639" w:name="_Toc523322420"/>
      <w:r>
        <w:rPr>
          <w:rFonts w:hint="default" w:ascii="Times New Roman" w:hAnsi="Times New Roman" w:eastAsia="宋体" w:cs="Times New Roman"/>
          <w:color w:val="auto"/>
          <w:szCs w:val="20"/>
          <w:lang w:eastAsia="zh-CN"/>
        </w:rPr>
        <w:t>无</w:t>
      </w:r>
      <w:r>
        <w:rPr>
          <w:rFonts w:hint="default" w:ascii="Times New Roman" w:hAnsi="Times New Roman" w:eastAsia="宋体" w:cs="Times New Roman"/>
          <w:color w:val="auto"/>
          <w:szCs w:val="20"/>
        </w:rPr>
        <w:t>。</w:t>
      </w:r>
    </w:p>
    <w:p>
      <w:pPr>
        <w:pStyle w:val="5"/>
        <w:rPr>
          <w:rFonts w:hint="default" w:ascii="Times New Roman" w:hAnsi="Times New Roman" w:eastAsia="宋体" w:cs="Times New Roman"/>
          <w:color w:val="auto"/>
        </w:rPr>
      </w:pPr>
      <w:bookmarkStart w:id="640" w:name="_Toc18001"/>
      <w:r>
        <w:rPr>
          <w:rFonts w:hint="default" w:ascii="Times New Roman" w:hAnsi="Times New Roman" w:eastAsia="宋体" w:cs="Times New Roman"/>
          <w:color w:val="auto"/>
        </w:rPr>
        <w:t>10.7环境影响经济损益分析</w:t>
      </w:r>
      <w:bookmarkEnd w:id="639"/>
      <w:bookmarkEnd w:id="640"/>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本项目总投资</w:t>
      </w:r>
      <w:r>
        <w:rPr>
          <w:rFonts w:hint="eastAsia" w:cs="Times New Roman"/>
          <w:color w:val="auto"/>
          <w:lang w:val="en-US" w:eastAsia="zh-CN"/>
        </w:rPr>
        <w:t>2100</w:t>
      </w:r>
      <w:r>
        <w:rPr>
          <w:rFonts w:hint="default" w:ascii="Times New Roman" w:hAnsi="Times New Roman" w:eastAsia="宋体" w:cs="Times New Roman"/>
          <w:color w:val="auto"/>
        </w:rPr>
        <w:t>万元，其中环保投资</w:t>
      </w:r>
      <w:r>
        <w:rPr>
          <w:rFonts w:hint="eastAsia" w:cs="Times New Roman"/>
          <w:color w:val="auto"/>
          <w:lang w:val="en-US" w:eastAsia="zh-CN"/>
        </w:rPr>
        <w:t>171.8</w:t>
      </w:r>
      <w:r>
        <w:rPr>
          <w:rFonts w:hint="default" w:ascii="Times New Roman" w:hAnsi="Times New Roman" w:eastAsia="宋体" w:cs="Times New Roman"/>
          <w:color w:val="auto"/>
        </w:rPr>
        <w:t>万元，占总投资比例为</w:t>
      </w:r>
      <w:r>
        <w:rPr>
          <w:rFonts w:hint="eastAsia" w:cs="Times New Roman"/>
          <w:color w:val="auto"/>
          <w:lang w:val="en-US" w:eastAsia="zh-CN"/>
        </w:rPr>
        <w:t>8.18</w:t>
      </w:r>
      <w:r>
        <w:rPr>
          <w:rFonts w:hint="default" w:ascii="Times New Roman" w:hAnsi="Times New Roman" w:eastAsia="宋体" w:cs="Times New Roman"/>
          <w:color w:val="auto"/>
        </w:rPr>
        <w:t>%。项目建设具有良好的经济效益和社会效益，但对环境的损害是存在的。建设单位要加强污染防治的投资与环境管理，把污染控制在最低限度，保证项目经济效益、社会效益和环境效益的同步发展。</w:t>
      </w:r>
    </w:p>
    <w:p>
      <w:pPr>
        <w:pStyle w:val="5"/>
        <w:rPr>
          <w:rFonts w:hint="default" w:ascii="Times New Roman" w:hAnsi="Times New Roman" w:eastAsia="宋体" w:cs="Times New Roman"/>
          <w:color w:val="auto"/>
        </w:rPr>
      </w:pPr>
      <w:bookmarkStart w:id="641" w:name="_Toc523322422"/>
      <w:bookmarkStart w:id="642" w:name="_Toc31436"/>
      <w:r>
        <w:rPr>
          <w:rFonts w:hint="default" w:ascii="Times New Roman" w:hAnsi="Times New Roman" w:eastAsia="宋体" w:cs="Times New Roman"/>
          <w:color w:val="auto"/>
        </w:rPr>
        <w:t>10.8环境管理和监测计划</w:t>
      </w:r>
      <w:bookmarkEnd w:id="641"/>
      <w:bookmarkEnd w:id="642"/>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企业应配置环保管理机构、监测人员等。按环境影响报告书的要求严格落实环保要求，明确职责，专人管理，切实搞好环境管理和监测、验收工作，保证环保设施的正常运行，规范各排污口。</w:t>
      </w:r>
    </w:p>
    <w:p>
      <w:pPr>
        <w:pStyle w:val="5"/>
        <w:rPr>
          <w:rFonts w:hint="default" w:ascii="Times New Roman" w:hAnsi="Times New Roman" w:eastAsia="宋体" w:cs="Times New Roman"/>
          <w:color w:val="auto"/>
        </w:rPr>
      </w:pPr>
      <w:bookmarkStart w:id="643" w:name="_Toc31015"/>
      <w:r>
        <w:rPr>
          <w:rFonts w:hint="default" w:ascii="Times New Roman" w:hAnsi="Times New Roman" w:eastAsia="宋体" w:cs="Times New Roman"/>
          <w:color w:val="auto"/>
        </w:rPr>
        <w:t>10.9公众参与情况</w:t>
      </w:r>
      <w:bookmarkEnd w:id="643"/>
    </w:p>
    <w:p>
      <w:pPr>
        <w:ind w:firstLine="480"/>
        <w:rPr>
          <w:rFonts w:hint="default" w:ascii="Times New Roman" w:hAnsi="Times New Roman" w:eastAsia="宋体" w:cs="Times New Roman"/>
          <w:color w:val="auto"/>
        </w:rPr>
      </w:pPr>
      <w:bookmarkStart w:id="644" w:name="_Toc371696657"/>
      <w:bookmarkStart w:id="645" w:name="_Toc494206436"/>
      <w:bookmarkStart w:id="646" w:name="_Toc523322423"/>
      <w:bookmarkStart w:id="647" w:name="_Toc487188715"/>
      <w:r>
        <w:rPr>
          <w:rFonts w:hint="default" w:ascii="Times New Roman" w:hAnsi="Times New Roman" w:eastAsia="宋体" w:cs="Times New Roman"/>
          <w:color w:val="auto"/>
        </w:rPr>
        <w:t>建设单位按照《环境影响评价公众参与办法》要求，在本项目环境影响评价报告书编制阶段开展了公众参与工作，根据建设单位提供的公众参与调查说明，202</w:t>
      </w:r>
      <w:r>
        <w:rPr>
          <w:rFonts w:hint="eastAsia" w:cs="Times New Roman"/>
          <w:color w:val="auto"/>
          <w:lang w:val="en-US" w:eastAsia="zh-CN"/>
        </w:rPr>
        <w:t>1</w:t>
      </w:r>
      <w:r>
        <w:rPr>
          <w:rFonts w:hint="default" w:ascii="Times New Roman" w:hAnsi="Times New Roman" w:eastAsia="宋体" w:cs="Times New Roman"/>
          <w:color w:val="auto"/>
        </w:rPr>
        <w:t>年</w:t>
      </w:r>
      <w:r>
        <w:rPr>
          <w:rFonts w:hint="eastAsia" w:cs="Times New Roman"/>
          <w:color w:val="auto"/>
          <w:lang w:val="en-US" w:eastAsia="zh-CN"/>
        </w:rPr>
        <w:t>4</w:t>
      </w:r>
      <w:r>
        <w:rPr>
          <w:rFonts w:hint="default" w:ascii="Times New Roman" w:hAnsi="Times New Roman" w:eastAsia="宋体" w:cs="Times New Roman"/>
          <w:color w:val="auto"/>
        </w:rPr>
        <w:t>月</w:t>
      </w:r>
      <w:r>
        <w:rPr>
          <w:rFonts w:hint="default" w:ascii="Times New Roman" w:hAnsi="Times New Roman" w:eastAsia="宋体" w:cs="Times New Roman"/>
          <w:color w:val="auto"/>
          <w:lang w:val="en-US" w:eastAsia="zh-CN"/>
        </w:rPr>
        <w:t>1</w:t>
      </w:r>
      <w:r>
        <w:rPr>
          <w:rFonts w:hint="eastAsia" w:cs="Times New Roman"/>
          <w:color w:val="auto"/>
          <w:lang w:val="en-US" w:eastAsia="zh-CN"/>
        </w:rPr>
        <w:t>2</w:t>
      </w:r>
      <w:r>
        <w:rPr>
          <w:rFonts w:hint="default" w:ascii="Times New Roman" w:hAnsi="Times New Roman" w:eastAsia="宋体" w:cs="Times New Roman"/>
          <w:color w:val="auto"/>
        </w:rPr>
        <w:t>日</w:t>
      </w:r>
      <w:r>
        <w:rPr>
          <w:rFonts w:hint="eastAsia" w:cs="Times New Roman"/>
          <w:color w:val="auto"/>
          <w:lang w:eastAsia="zh-CN"/>
        </w:rPr>
        <w:t>巴彦淖尔市亨泰农牧业有限责任公司</w:t>
      </w:r>
      <w:r>
        <w:rPr>
          <w:rFonts w:hint="default" w:ascii="Times New Roman" w:hAnsi="Times New Roman" w:eastAsia="宋体" w:cs="Times New Roman"/>
          <w:color w:val="auto"/>
        </w:rPr>
        <w:t>在</w:t>
      </w:r>
      <w:r>
        <w:rPr>
          <w:rFonts w:hint="eastAsia" w:cs="Times New Roman"/>
          <w:color w:val="auto"/>
          <w:lang w:eastAsia="zh-CN"/>
        </w:rPr>
        <w:t>五原</w:t>
      </w:r>
      <w:r>
        <w:rPr>
          <w:rFonts w:hint="default" w:ascii="Times New Roman" w:hAnsi="Times New Roman" w:eastAsia="宋体" w:cs="Times New Roman"/>
          <w:color w:val="auto"/>
        </w:rPr>
        <w:t>县人民政府网进行了第一次公众参与公告，20</w:t>
      </w:r>
      <w:r>
        <w:rPr>
          <w:rFonts w:hint="default" w:ascii="Times New Roman" w:hAnsi="Times New Roman" w:eastAsia="宋体" w:cs="Times New Roman"/>
          <w:color w:val="auto"/>
          <w:lang w:val="en-US" w:eastAsia="zh-CN"/>
        </w:rPr>
        <w:t>21</w:t>
      </w:r>
      <w:r>
        <w:rPr>
          <w:rFonts w:hint="default" w:ascii="Times New Roman" w:hAnsi="Times New Roman" w:eastAsia="宋体" w:cs="Times New Roman"/>
          <w:color w:val="auto"/>
        </w:rPr>
        <w:t>年</w:t>
      </w:r>
      <w:r>
        <w:rPr>
          <w:rFonts w:hint="eastAsia" w:cs="Times New Roman"/>
          <w:color w:val="auto"/>
          <w:lang w:val="en-US" w:eastAsia="zh-CN"/>
        </w:rPr>
        <w:t>5</w:t>
      </w:r>
      <w:r>
        <w:rPr>
          <w:rFonts w:hint="default" w:ascii="Times New Roman" w:hAnsi="Times New Roman" w:eastAsia="宋体" w:cs="Times New Roman"/>
          <w:color w:val="auto"/>
        </w:rPr>
        <w:t>月</w:t>
      </w:r>
      <w:r>
        <w:rPr>
          <w:rFonts w:hint="default" w:ascii="Times New Roman" w:hAnsi="Times New Roman" w:eastAsia="宋体" w:cs="Times New Roman"/>
          <w:color w:val="auto"/>
          <w:lang w:val="en-US" w:eastAsia="zh-CN"/>
        </w:rPr>
        <w:t>1</w:t>
      </w:r>
      <w:r>
        <w:rPr>
          <w:rFonts w:hint="eastAsia" w:cs="Times New Roman"/>
          <w:color w:val="auto"/>
          <w:lang w:val="en-US" w:eastAsia="zh-CN"/>
        </w:rPr>
        <w:t>2</w:t>
      </w:r>
      <w:r>
        <w:rPr>
          <w:rFonts w:hint="default" w:ascii="Times New Roman" w:hAnsi="Times New Roman" w:eastAsia="宋体" w:cs="Times New Roman"/>
          <w:color w:val="auto"/>
        </w:rPr>
        <w:t>日在</w:t>
      </w:r>
      <w:r>
        <w:rPr>
          <w:rFonts w:hint="eastAsia" w:cs="Times New Roman"/>
          <w:color w:val="auto"/>
          <w:lang w:eastAsia="zh-CN"/>
        </w:rPr>
        <w:t>五原</w:t>
      </w:r>
      <w:r>
        <w:rPr>
          <w:rFonts w:hint="default" w:ascii="Times New Roman" w:hAnsi="Times New Roman" w:eastAsia="宋体" w:cs="Times New Roman"/>
          <w:color w:val="auto"/>
        </w:rPr>
        <w:t>县人民政府网进行了环境影响评价征求意见稿网上公示，公示时间为公布之日起起十个工作日，同期进行了登报公示，并在项目区</w:t>
      </w:r>
      <w:r>
        <w:rPr>
          <w:rFonts w:hint="eastAsia" w:cs="Times New Roman"/>
          <w:color w:val="auto"/>
          <w:lang w:eastAsia="zh-CN"/>
        </w:rPr>
        <w:t>域</w:t>
      </w:r>
      <w:r>
        <w:rPr>
          <w:rFonts w:hint="default" w:ascii="Times New Roman" w:hAnsi="Times New Roman" w:eastAsia="宋体" w:cs="Times New Roman"/>
          <w:color w:val="auto"/>
        </w:rPr>
        <w:t>附近张贴了公示信息。</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对于本项目的建设，无公众不赞同项目建设，无公众提出文字性意见和建议。建设单位已编制公众参与说明书，其相关内容详见说明书。</w:t>
      </w:r>
    </w:p>
    <w:p>
      <w:pPr>
        <w:pStyle w:val="5"/>
        <w:rPr>
          <w:rFonts w:hint="default" w:ascii="Times New Roman" w:hAnsi="Times New Roman" w:eastAsia="宋体" w:cs="Times New Roman"/>
          <w:color w:val="auto"/>
        </w:rPr>
      </w:pPr>
      <w:bookmarkStart w:id="648" w:name="_Toc17889"/>
      <w:r>
        <w:rPr>
          <w:rFonts w:hint="default" w:ascii="Times New Roman" w:hAnsi="Times New Roman" w:eastAsia="宋体" w:cs="Times New Roman"/>
          <w:color w:val="auto"/>
        </w:rPr>
        <w:t>10.10总结论</w:t>
      </w:r>
      <w:bookmarkEnd w:id="644"/>
      <w:bookmarkEnd w:id="645"/>
      <w:bookmarkEnd w:id="646"/>
      <w:bookmarkEnd w:id="647"/>
      <w:bookmarkEnd w:id="648"/>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（1）结论</w:t>
      </w:r>
    </w:p>
    <w:p>
      <w:pPr>
        <w:ind w:firstLine="480"/>
        <w:rPr>
          <w:rFonts w:hint="default" w:ascii="Times New Roman" w:hAnsi="Times New Roman" w:eastAsia="宋体" w:cs="Times New Roman"/>
          <w:color w:val="auto"/>
        </w:rPr>
      </w:pPr>
      <w:r>
        <w:rPr>
          <w:rFonts w:hint="eastAsia" w:cs="Times New Roman"/>
          <w:color w:val="auto"/>
          <w:lang w:eastAsia="zh-CN"/>
        </w:rPr>
        <w:t>巴彦淖尔市亨泰农牧业有限责任公司育肥猪养殖产业化项目</w:t>
      </w:r>
      <w:r>
        <w:rPr>
          <w:rFonts w:hint="default" w:ascii="Times New Roman" w:hAnsi="Times New Roman" w:eastAsia="宋体" w:cs="Times New Roman"/>
          <w:color w:val="auto"/>
        </w:rPr>
        <w:t>采用农业循环经济发展模式进行</w:t>
      </w:r>
      <w:r>
        <w:rPr>
          <w:rFonts w:hint="eastAsia" w:cs="Times New Roman"/>
          <w:color w:val="auto"/>
          <w:lang w:eastAsia="zh-CN"/>
        </w:rPr>
        <w:t>生猪</w:t>
      </w:r>
      <w:r>
        <w:rPr>
          <w:rFonts w:hint="default" w:ascii="Times New Roman" w:hAnsi="Times New Roman" w:eastAsia="宋体" w:cs="Times New Roman"/>
          <w:color w:val="auto"/>
        </w:rPr>
        <w:t>养殖并配套消纳土地实现粪污资源化利用，符合国家当前产业政策及内蒙古自治区农业发展规划的要求，其选址符合</w:t>
      </w:r>
      <w:r>
        <w:rPr>
          <w:rFonts w:hint="eastAsia" w:cs="Times New Roman"/>
          <w:color w:val="auto"/>
          <w:lang w:eastAsia="zh-CN"/>
        </w:rPr>
        <w:t>五原</w:t>
      </w:r>
      <w:r>
        <w:rPr>
          <w:rFonts w:hint="default" w:ascii="Times New Roman" w:hAnsi="Times New Roman" w:eastAsia="宋体" w:cs="Times New Roman"/>
          <w:color w:val="auto"/>
        </w:rPr>
        <w:t>县农业发展规划，不属于禁养区和限养区范围内，场址选址可行，具有良好的社会经济效益。</w:t>
      </w:r>
    </w:p>
    <w:p>
      <w:pPr>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项目的建设符合国家“三线一单”的管控原则，拟定的各项环保措施可行有效，项目所产生的污染物均能合规利用或达标排放并满足总量控制要求，对周边环境影响较小；项目发生环境风险事故的概率较低，其潜在的风险水平可以接受。因此，只要该项目在下一步的建设和运行中，认真落实本报告提出的各项环保措施，并严格执行环保“三同时”制度，本次评价认为：从环境保护的角度分析，该项目建设是可行的。</w:t>
      </w:r>
    </w:p>
    <w:p>
      <w:pPr>
        <w:ind w:firstLine="480"/>
        <w:rPr>
          <w:rFonts w:hint="default" w:ascii="Times New Roman" w:hAnsi="Times New Roman" w:eastAsia="宋体" w:cs="Times New Roman"/>
          <w:color w:val="auto"/>
        </w:rPr>
      </w:pPr>
      <w:bookmarkStart w:id="649" w:name="_Toc19199707"/>
      <w:r>
        <w:rPr>
          <w:rFonts w:hint="default" w:ascii="Times New Roman" w:hAnsi="Times New Roman" w:eastAsia="宋体" w:cs="Times New Roman"/>
          <w:color w:val="auto"/>
        </w:rPr>
        <w:t>（2）建议</w:t>
      </w:r>
      <w:bookmarkEnd w:id="649"/>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1）污染</w:t>
      </w:r>
      <w:r>
        <w:rPr>
          <w:rFonts w:hint="default" w:ascii="Times New Roman" w:hAnsi="Times New Roman" w:eastAsia="宋体" w:cs="Times New Roman"/>
          <w:color w:val="auto"/>
          <w:szCs w:val="16"/>
        </w:rPr>
        <w:t>防治措施必须与项目主体工程同时设计、同时施工、同时投产使用。</w:t>
      </w:r>
      <w:r>
        <w:rPr>
          <w:rFonts w:hint="default" w:ascii="Times New Roman" w:hAnsi="Times New Roman" w:eastAsia="宋体" w:cs="Times New Roman"/>
          <w:color w:val="auto"/>
          <w:szCs w:val="24"/>
        </w:rPr>
        <w:t>项目运行期间，需加强环保设施的维护及管理，保证环保设施的正常运行，提高其运行效率，确保污染物达标排放或合规利用，减少对环境的影响。</w:t>
      </w:r>
    </w:p>
    <w:p>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2）全面实施场区除臭方案，加强场区边界恶臭污染因子浓度监测，保证项目场区边界及周围各敏感点恶臭污染因子浓度达标。</w:t>
      </w:r>
    </w:p>
    <w:p>
      <w:pPr>
        <w:ind w:firstLine="480"/>
        <w:rPr>
          <w:rFonts w:hint="default" w:ascii="Times New Roman" w:hAnsi="Times New Roman" w:eastAsia="宋体" w:cs="Times New Roman"/>
          <w:b/>
          <w:color w:val="auto"/>
          <w:kern w:val="0"/>
          <w:sz w:val="32"/>
          <w:szCs w:val="32"/>
        </w:rPr>
      </w:pPr>
      <w:r>
        <w:rPr>
          <w:rFonts w:hint="default" w:ascii="Times New Roman" w:hAnsi="Times New Roman" w:eastAsia="宋体" w:cs="Times New Roman"/>
          <w:color w:val="auto"/>
        </w:rPr>
        <w:t>3）企业应建立健全的环保规章制度，配备专职环保人员，加强管理，杜绝生产过程中的跑、冒、滴、漏。加强设备、管道、各项治污措施的定期检修和维护工作。做好病死畜、危险废物管理制度。</w:t>
      </w:r>
    </w:p>
    <w:p>
      <w:pPr>
        <w:ind w:firstLine="641"/>
        <w:rPr>
          <w:rFonts w:hint="default" w:ascii="Times New Roman" w:hAnsi="Times New Roman" w:eastAsia="宋体" w:cs="Times New Roman"/>
          <w:b/>
          <w:color w:val="auto"/>
          <w:kern w:val="0"/>
          <w:sz w:val="32"/>
          <w:szCs w:val="32"/>
        </w:rPr>
      </w:pPr>
    </w:p>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auto"/>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0"/>
    </w:sdtPr>
    <w:sdtContent>
      <w:p>
        <w:pPr>
          <w:pStyle w:val="24"/>
          <w:ind w:firstLine="480"/>
          <w:jc w:val="center"/>
        </w:pPr>
        <w:r>
          <w:fldChar w:fldCharType="begin"/>
        </w:r>
        <w:r>
          <w:instrText xml:space="preserve">PAGE   \* MERGEFORMAT</w:instrText>
        </w:r>
        <w:r>
          <w:fldChar w:fldCharType="separate"/>
        </w:r>
        <w:r>
          <w:rPr>
            <w:lang w:val="zh-CN"/>
          </w:rPr>
          <w:t>X</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firstLine="4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0"/>
    </w:sdtPr>
    <w:sdtContent>
      <w:p>
        <w:pPr>
          <w:pStyle w:val="24"/>
          <w:ind w:firstLine="480"/>
          <w:jc w:val="center"/>
        </w:pPr>
        <w:r>
          <w:fldChar w:fldCharType="begin"/>
        </w:r>
        <w:r>
          <w:instrText xml:space="preserve">PAGE   \* MERGEFORMAT</w:instrText>
        </w:r>
        <w:r>
          <w:fldChar w:fldCharType="separate"/>
        </w:r>
        <w:r>
          <w:rPr>
            <w:lang w:val="zh-CN"/>
          </w:rPr>
          <w:t>X</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420"/>
      <w:rPr>
        <w:rFonts w:hint="eastAsia" w:eastAsia="宋体"/>
        <w:lang w:eastAsia="zh-CN"/>
      </w:rPr>
    </w:pPr>
    <w:r>
      <w:rPr>
        <w:rFonts w:hint="eastAsia" w:ascii="华文楷体" w:hAnsi="华文楷体" w:eastAsia="华文楷体"/>
        <w:sz w:val="21"/>
        <w:szCs w:val="21"/>
        <w:lang w:eastAsia="zh-CN"/>
      </w:rPr>
      <w:t>巴彦淖尔市亨泰农牧业有限责任公司育肥猪养殖产业化项目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gutterAtTop/>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4A2"/>
    <w:rsid w:val="00000098"/>
    <w:rsid w:val="000003C2"/>
    <w:rsid w:val="00000777"/>
    <w:rsid w:val="00000CF0"/>
    <w:rsid w:val="00000E94"/>
    <w:rsid w:val="000013D6"/>
    <w:rsid w:val="00001AD7"/>
    <w:rsid w:val="00002925"/>
    <w:rsid w:val="0000311E"/>
    <w:rsid w:val="0000317A"/>
    <w:rsid w:val="00003189"/>
    <w:rsid w:val="0000366E"/>
    <w:rsid w:val="0000427E"/>
    <w:rsid w:val="00004647"/>
    <w:rsid w:val="000047A0"/>
    <w:rsid w:val="00005A39"/>
    <w:rsid w:val="00006083"/>
    <w:rsid w:val="00006412"/>
    <w:rsid w:val="00006AA7"/>
    <w:rsid w:val="000076FD"/>
    <w:rsid w:val="00007B11"/>
    <w:rsid w:val="00010750"/>
    <w:rsid w:val="00010C6E"/>
    <w:rsid w:val="00011584"/>
    <w:rsid w:val="00011A62"/>
    <w:rsid w:val="00012557"/>
    <w:rsid w:val="00013D16"/>
    <w:rsid w:val="00014005"/>
    <w:rsid w:val="00014184"/>
    <w:rsid w:val="0001450A"/>
    <w:rsid w:val="00014A6E"/>
    <w:rsid w:val="0001515A"/>
    <w:rsid w:val="0001554D"/>
    <w:rsid w:val="00015A18"/>
    <w:rsid w:val="0001616B"/>
    <w:rsid w:val="000162E2"/>
    <w:rsid w:val="000168CD"/>
    <w:rsid w:val="000170D7"/>
    <w:rsid w:val="000177D4"/>
    <w:rsid w:val="000217FE"/>
    <w:rsid w:val="0002217B"/>
    <w:rsid w:val="000238F3"/>
    <w:rsid w:val="00024180"/>
    <w:rsid w:val="00024287"/>
    <w:rsid w:val="00026AB5"/>
    <w:rsid w:val="00026D25"/>
    <w:rsid w:val="00026E3B"/>
    <w:rsid w:val="0002798E"/>
    <w:rsid w:val="0003053F"/>
    <w:rsid w:val="000307C0"/>
    <w:rsid w:val="00030C18"/>
    <w:rsid w:val="00032F70"/>
    <w:rsid w:val="00033205"/>
    <w:rsid w:val="00033359"/>
    <w:rsid w:val="00033493"/>
    <w:rsid w:val="000336FD"/>
    <w:rsid w:val="00033F2F"/>
    <w:rsid w:val="000344E3"/>
    <w:rsid w:val="00034D6A"/>
    <w:rsid w:val="000351D9"/>
    <w:rsid w:val="00035B43"/>
    <w:rsid w:val="00036850"/>
    <w:rsid w:val="00040C00"/>
    <w:rsid w:val="00041391"/>
    <w:rsid w:val="0004205A"/>
    <w:rsid w:val="0004254E"/>
    <w:rsid w:val="00042A80"/>
    <w:rsid w:val="00042D03"/>
    <w:rsid w:val="0004313F"/>
    <w:rsid w:val="00044BDB"/>
    <w:rsid w:val="00045214"/>
    <w:rsid w:val="00045A93"/>
    <w:rsid w:val="00046007"/>
    <w:rsid w:val="00046B35"/>
    <w:rsid w:val="000478C8"/>
    <w:rsid w:val="00047A49"/>
    <w:rsid w:val="000503AC"/>
    <w:rsid w:val="00050759"/>
    <w:rsid w:val="0005101D"/>
    <w:rsid w:val="000524D8"/>
    <w:rsid w:val="00052E7B"/>
    <w:rsid w:val="00053CBF"/>
    <w:rsid w:val="00053E2E"/>
    <w:rsid w:val="00054E57"/>
    <w:rsid w:val="00055E05"/>
    <w:rsid w:val="00055F31"/>
    <w:rsid w:val="00057443"/>
    <w:rsid w:val="00057678"/>
    <w:rsid w:val="000577C1"/>
    <w:rsid w:val="00057A23"/>
    <w:rsid w:val="00060DE1"/>
    <w:rsid w:val="000619DE"/>
    <w:rsid w:val="000619F6"/>
    <w:rsid w:val="00062317"/>
    <w:rsid w:val="00064572"/>
    <w:rsid w:val="00066AD7"/>
    <w:rsid w:val="000672CB"/>
    <w:rsid w:val="0006733E"/>
    <w:rsid w:val="000702FC"/>
    <w:rsid w:val="00070403"/>
    <w:rsid w:val="0007103F"/>
    <w:rsid w:val="0007189F"/>
    <w:rsid w:val="00071FC2"/>
    <w:rsid w:val="00073B60"/>
    <w:rsid w:val="00074460"/>
    <w:rsid w:val="00075C74"/>
    <w:rsid w:val="00076227"/>
    <w:rsid w:val="00076470"/>
    <w:rsid w:val="00076FF3"/>
    <w:rsid w:val="00077768"/>
    <w:rsid w:val="00077821"/>
    <w:rsid w:val="00077AB6"/>
    <w:rsid w:val="000801E8"/>
    <w:rsid w:val="0008043C"/>
    <w:rsid w:val="00080B32"/>
    <w:rsid w:val="000818C5"/>
    <w:rsid w:val="00081AB3"/>
    <w:rsid w:val="0008202C"/>
    <w:rsid w:val="000820A3"/>
    <w:rsid w:val="00083E1E"/>
    <w:rsid w:val="0008647B"/>
    <w:rsid w:val="00086A86"/>
    <w:rsid w:val="00086F18"/>
    <w:rsid w:val="00087841"/>
    <w:rsid w:val="000907D0"/>
    <w:rsid w:val="00090D2D"/>
    <w:rsid w:val="00091083"/>
    <w:rsid w:val="0009201D"/>
    <w:rsid w:val="00092035"/>
    <w:rsid w:val="0009241E"/>
    <w:rsid w:val="000936CB"/>
    <w:rsid w:val="00093A9D"/>
    <w:rsid w:val="00093DE8"/>
    <w:rsid w:val="00095722"/>
    <w:rsid w:val="0009574C"/>
    <w:rsid w:val="000962DC"/>
    <w:rsid w:val="00097530"/>
    <w:rsid w:val="000A0049"/>
    <w:rsid w:val="000A0A8B"/>
    <w:rsid w:val="000A0B28"/>
    <w:rsid w:val="000A1749"/>
    <w:rsid w:val="000A1A2E"/>
    <w:rsid w:val="000A2966"/>
    <w:rsid w:val="000A33EE"/>
    <w:rsid w:val="000A36EF"/>
    <w:rsid w:val="000A43F9"/>
    <w:rsid w:val="000A676C"/>
    <w:rsid w:val="000A6C8A"/>
    <w:rsid w:val="000A6D2B"/>
    <w:rsid w:val="000B0153"/>
    <w:rsid w:val="000B094D"/>
    <w:rsid w:val="000B0B9D"/>
    <w:rsid w:val="000B114F"/>
    <w:rsid w:val="000B16B9"/>
    <w:rsid w:val="000B19FA"/>
    <w:rsid w:val="000B1E16"/>
    <w:rsid w:val="000B4222"/>
    <w:rsid w:val="000B44C0"/>
    <w:rsid w:val="000B4A72"/>
    <w:rsid w:val="000B502A"/>
    <w:rsid w:val="000B548D"/>
    <w:rsid w:val="000B69A6"/>
    <w:rsid w:val="000B7C29"/>
    <w:rsid w:val="000C0252"/>
    <w:rsid w:val="000C08D1"/>
    <w:rsid w:val="000C16A3"/>
    <w:rsid w:val="000C192C"/>
    <w:rsid w:val="000C1B14"/>
    <w:rsid w:val="000C1CDC"/>
    <w:rsid w:val="000C28E9"/>
    <w:rsid w:val="000C2B7F"/>
    <w:rsid w:val="000C2BDF"/>
    <w:rsid w:val="000C378E"/>
    <w:rsid w:val="000C39B0"/>
    <w:rsid w:val="000C4411"/>
    <w:rsid w:val="000C552E"/>
    <w:rsid w:val="000C6155"/>
    <w:rsid w:val="000C68FF"/>
    <w:rsid w:val="000C73C4"/>
    <w:rsid w:val="000C7DA2"/>
    <w:rsid w:val="000D01E1"/>
    <w:rsid w:val="000D063B"/>
    <w:rsid w:val="000D216F"/>
    <w:rsid w:val="000D21F5"/>
    <w:rsid w:val="000D314F"/>
    <w:rsid w:val="000D4057"/>
    <w:rsid w:val="000D4932"/>
    <w:rsid w:val="000D4BF4"/>
    <w:rsid w:val="000D57FE"/>
    <w:rsid w:val="000D63CB"/>
    <w:rsid w:val="000D6F41"/>
    <w:rsid w:val="000D71BD"/>
    <w:rsid w:val="000E0A89"/>
    <w:rsid w:val="000E0EEA"/>
    <w:rsid w:val="000E149A"/>
    <w:rsid w:val="000E2107"/>
    <w:rsid w:val="000E22B4"/>
    <w:rsid w:val="000E257A"/>
    <w:rsid w:val="000E2968"/>
    <w:rsid w:val="000E2A00"/>
    <w:rsid w:val="000E2D85"/>
    <w:rsid w:val="000E4A5C"/>
    <w:rsid w:val="000E5E01"/>
    <w:rsid w:val="000E7AB8"/>
    <w:rsid w:val="000F0AE5"/>
    <w:rsid w:val="000F15C5"/>
    <w:rsid w:val="000F1648"/>
    <w:rsid w:val="000F2401"/>
    <w:rsid w:val="000F2E79"/>
    <w:rsid w:val="000F4EEF"/>
    <w:rsid w:val="000F5ED7"/>
    <w:rsid w:val="000F5FEF"/>
    <w:rsid w:val="000F6FDF"/>
    <w:rsid w:val="000F7456"/>
    <w:rsid w:val="000F7C5F"/>
    <w:rsid w:val="00100672"/>
    <w:rsid w:val="001009A2"/>
    <w:rsid w:val="00100B30"/>
    <w:rsid w:val="00103A7C"/>
    <w:rsid w:val="0010415D"/>
    <w:rsid w:val="00104447"/>
    <w:rsid w:val="001057F8"/>
    <w:rsid w:val="001060FC"/>
    <w:rsid w:val="00106169"/>
    <w:rsid w:val="00107078"/>
    <w:rsid w:val="00107443"/>
    <w:rsid w:val="001077B3"/>
    <w:rsid w:val="00111754"/>
    <w:rsid w:val="001117CA"/>
    <w:rsid w:val="00111A4D"/>
    <w:rsid w:val="00112B62"/>
    <w:rsid w:val="00113313"/>
    <w:rsid w:val="0011331B"/>
    <w:rsid w:val="001138BA"/>
    <w:rsid w:val="00113EEF"/>
    <w:rsid w:val="00113F9F"/>
    <w:rsid w:val="00114020"/>
    <w:rsid w:val="00114D22"/>
    <w:rsid w:val="0011671C"/>
    <w:rsid w:val="00116A0A"/>
    <w:rsid w:val="0012040F"/>
    <w:rsid w:val="00124239"/>
    <w:rsid w:val="0012477A"/>
    <w:rsid w:val="00124FAC"/>
    <w:rsid w:val="00124FCE"/>
    <w:rsid w:val="00125FCF"/>
    <w:rsid w:val="0012685A"/>
    <w:rsid w:val="00126B5D"/>
    <w:rsid w:val="001279AB"/>
    <w:rsid w:val="00127A0C"/>
    <w:rsid w:val="001301AD"/>
    <w:rsid w:val="001301BB"/>
    <w:rsid w:val="0013058D"/>
    <w:rsid w:val="001311B8"/>
    <w:rsid w:val="001312CE"/>
    <w:rsid w:val="0013164A"/>
    <w:rsid w:val="00131741"/>
    <w:rsid w:val="00132310"/>
    <w:rsid w:val="00133AF3"/>
    <w:rsid w:val="00133F47"/>
    <w:rsid w:val="0013567A"/>
    <w:rsid w:val="00135B20"/>
    <w:rsid w:val="00135D32"/>
    <w:rsid w:val="00136279"/>
    <w:rsid w:val="001369DE"/>
    <w:rsid w:val="00137243"/>
    <w:rsid w:val="0013745F"/>
    <w:rsid w:val="001375C6"/>
    <w:rsid w:val="00142B86"/>
    <w:rsid w:val="00143F0A"/>
    <w:rsid w:val="001445F0"/>
    <w:rsid w:val="0014493A"/>
    <w:rsid w:val="0014615A"/>
    <w:rsid w:val="001478EC"/>
    <w:rsid w:val="001500F6"/>
    <w:rsid w:val="00150345"/>
    <w:rsid w:val="00150F25"/>
    <w:rsid w:val="001512B8"/>
    <w:rsid w:val="00153828"/>
    <w:rsid w:val="00154BFF"/>
    <w:rsid w:val="00154E02"/>
    <w:rsid w:val="001555EB"/>
    <w:rsid w:val="00156292"/>
    <w:rsid w:val="001569A5"/>
    <w:rsid w:val="00156A6A"/>
    <w:rsid w:val="001573C5"/>
    <w:rsid w:val="001573F7"/>
    <w:rsid w:val="00160362"/>
    <w:rsid w:val="00161328"/>
    <w:rsid w:val="00161ADE"/>
    <w:rsid w:val="00161C5C"/>
    <w:rsid w:val="00162B8F"/>
    <w:rsid w:val="00162BB4"/>
    <w:rsid w:val="00163A0B"/>
    <w:rsid w:val="00164B74"/>
    <w:rsid w:val="00164CCC"/>
    <w:rsid w:val="00166635"/>
    <w:rsid w:val="00167D0E"/>
    <w:rsid w:val="00170998"/>
    <w:rsid w:val="001711D9"/>
    <w:rsid w:val="00171D3B"/>
    <w:rsid w:val="00171F45"/>
    <w:rsid w:val="00171FF3"/>
    <w:rsid w:val="001746DE"/>
    <w:rsid w:val="001748CE"/>
    <w:rsid w:val="00174ABA"/>
    <w:rsid w:val="00174F22"/>
    <w:rsid w:val="00175978"/>
    <w:rsid w:val="00175B9B"/>
    <w:rsid w:val="00175C16"/>
    <w:rsid w:val="0017716C"/>
    <w:rsid w:val="0017767F"/>
    <w:rsid w:val="00180885"/>
    <w:rsid w:val="0018105E"/>
    <w:rsid w:val="00181F74"/>
    <w:rsid w:val="00182285"/>
    <w:rsid w:val="00182C63"/>
    <w:rsid w:val="00182CA8"/>
    <w:rsid w:val="00182D53"/>
    <w:rsid w:val="00183095"/>
    <w:rsid w:val="001842BC"/>
    <w:rsid w:val="00184B2B"/>
    <w:rsid w:val="00184E43"/>
    <w:rsid w:val="0018522D"/>
    <w:rsid w:val="00185553"/>
    <w:rsid w:val="00185DB6"/>
    <w:rsid w:val="001872F3"/>
    <w:rsid w:val="00191434"/>
    <w:rsid w:val="001922C9"/>
    <w:rsid w:val="001933EB"/>
    <w:rsid w:val="00193EB1"/>
    <w:rsid w:val="00194230"/>
    <w:rsid w:val="00194C5A"/>
    <w:rsid w:val="00196338"/>
    <w:rsid w:val="00196659"/>
    <w:rsid w:val="00196C0F"/>
    <w:rsid w:val="0019735E"/>
    <w:rsid w:val="00197424"/>
    <w:rsid w:val="00197D41"/>
    <w:rsid w:val="001A05AE"/>
    <w:rsid w:val="001A1354"/>
    <w:rsid w:val="001A1C43"/>
    <w:rsid w:val="001A1DC1"/>
    <w:rsid w:val="001A320E"/>
    <w:rsid w:val="001A3A81"/>
    <w:rsid w:val="001A4625"/>
    <w:rsid w:val="001A495F"/>
    <w:rsid w:val="001A53F2"/>
    <w:rsid w:val="001A6F40"/>
    <w:rsid w:val="001A7E21"/>
    <w:rsid w:val="001A7F92"/>
    <w:rsid w:val="001B08E7"/>
    <w:rsid w:val="001B0CF4"/>
    <w:rsid w:val="001B13E2"/>
    <w:rsid w:val="001B15D2"/>
    <w:rsid w:val="001B2145"/>
    <w:rsid w:val="001B5452"/>
    <w:rsid w:val="001B55C5"/>
    <w:rsid w:val="001B5F4A"/>
    <w:rsid w:val="001B614F"/>
    <w:rsid w:val="001B68C4"/>
    <w:rsid w:val="001B7229"/>
    <w:rsid w:val="001B75A9"/>
    <w:rsid w:val="001B7835"/>
    <w:rsid w:val="001B7928"/>
    <w:rsid w:val="001C037B"/>
    <w:rsid w:val="001C0A0D"/>
    <w:rsid w:val="001C0B7F"/>
    <w:rsid w:val="001C1884"/>
    <w:rsid w:val="001C1B7C"/>
    <w:rsid w:val="001C275B"/>
    <w:rsid w:val="001C3AB9"/>
    <w:rsid w:val="001C430F"/>
    <w:rsid w:val="001C495C"/>
    <w:rsid w:val="001C5483"/>
    <w:rsid w:val="001C5846"/>
    <w:rsid w:val="001C5B53"/>
    <w:rsid w:val="001C75BF"/>
    <w:rsid w:val="001D0321"/>
    <w:rsid w:val="001D05AF"/>
    <w:rsid w:val="001D09C6"/>
    <w:rsid w:val="001D0A06"/>
    <w:rsid w:val="001D1174"/>
    <w:rsid w:val="001D16E7"/>
    <w:rsid w:val="001D24C1"/>
    <w:rsid w:val="001D3710"/>
    <w:rsid w:val="001D3EAA"/>
    <w:rsid w:val="001D4BEF"/>
    <w:rsid w:val="001D6061"/>
    <w:rsid w:val="001D723F"/>
    <w:rsid w:val="001D7C24"/>
    <w:rsid w:val="001D7DD2"/>
    <w:rsid w:val="001E01D4"/>
    <w:rsid w:val="001E1132"/>
    <w:rsid w:val="001E13DE"/>
    <w:rsid w:val="001E1999"/>
    <w:rsid w:val="001E1BFD"/>
    <w:rsid w:val="001E1D68"/>
    <w:rsid w:val="001E23F4"/>
    <w:rsid w:val="001E2AC1"/>
    <w:rsid w:val="001E3218"/>
    <w:rsid w:val="001E388D"/>
    <w:rsid w:val="001E4028"/>
    <w:rsid w:val="001E4204"/>
    <w:rsid w:val="001E4B72"/>
    <w:rsid w:val="001E5950"/>
    <w:rsid w:val="001E5D11"/>
    <w:rsid w:val="001E68FC"/>
    <w:rsid w:val="001E71D5"/>
    <w:rsid w:val="001E7919"/>
    <w:rsid w:val="001E7E63"/>
    <w:rsid w:val="001F0437"/>
    <w:rsid w:val="001F0F5B"/>
    <w:rsid w:val="001F1541"/>
    <w:rsid w:val="001F22AA"/>
    <w:rsid w:val="001F2401"/>
    <w:rsid w:val="001F2605"/>
    <w:rsid w:val="001F296A"/>
    <w:rsid w:val="001F2A8B"/>
    <w:rsid w:val="001F3580"/>
    <w:rsid w:val="001F459E"/>
    <w:rsid w:val="001F4FBB"/>
    <w:rsid w:val="001F4FE8"/>
    <w:rsid w:val="001F5002"/>
    <w:rsid w:val="001F5830"/>
    <w:rsid w:val="001F5949"/>
    <w:rsid w:val="001F692C"/>
    <w:rsid w:val="001F6965"/>
    <w:rsid w:val="001F6A43"/>
    <w:rsid w:val="001F6E90"/>
    <w:rsid w:val="001F7528"/>
    <w:rsid w:val="001F7A5D"/>
    <w:rsid w:val="001F7B46"/>
    <w:rsid w:val="001F7DC7"/>
    <w:rsid w:val="001F7EFF"/>
    <w:rsid w:val="0020081A"/>
    <w:rsid w:val="00200A3D"/>
    <w:rsid w:val="00201526"/>
    <w:rsid w:val="00202282"/>
    <w:rsid w:val="00202D8E"/>
    <w:rsid w:val="00202E81"/>
    <w:rsid w:val="002037F3"/>
    <w:rsid w:val="00203939"/>
    <w:rsid w:val="00203BF3"/>
    <w:rsid w:val="00204ACF"/>
    <w:rsid w:val="00204E0B"/>
    <w:rsid w:val="00205673"/>
    <w:rsid w:val="00205F32"/>
    <w:rsid w:val="002065DA"/>
    <w:rsid w:val="002073C0"/>
    <w:rsid w:val="00207A22"/>
    <w:rsid w:val="00210A54"/>
    <w:rsid w:val="00210D94"/>
    <w:rsid w:val="00211408"/>
    <w:rsid w:val="00211BD7"/>
    <w:rsid w:val="002120B0"/>
    <w:rsid w:val="002126B4"/>
    <w:rsid w:val="00212975"/>
    <w:rsid w:val="00212BB0"/>
    <w:rsid w:val="00213D58"/>
    <w:rsid w:val="00213F5E"/>
    <w:rsid w:val="00215AC7"/>
    <w:rsid w:val="002160BC"/>
    <w:rsid w:val="00217D38"/>
    <w:rsid w:val="00220C32"/>
    <w:rsid w:val="00221386"/>
    <w:rsid w:val="00221918"/>
    <w:rsid w:val="00221F35"/>
    <w:rsid w:val="00222262"/>
    <w:rsid w:val="0022241D"/>
    <w:rsid w:val="002226CF"/>
    <w:rsid w:val="00222BBC"/>
    <w:rsid w:val="00222FD8"/>
    <w:rsid w:val="002236BB"/>
    <w:rsid w:val="0022492C"/>
    <w:rsid w:val="00224AE2"/>
    <w:rsid w:val="00225642"/>
    <w:rsid w:val="0022578D"/>
    <w:rsid w:val="0022593F"/>
    <w:rsid w:val="00225A76"/>
    <w:rsid w:val="00225B1B"/>
    <w:rsid w:val="00226427"/>
    <w:rsid w:val="002266FD"/>
    <w:rsid w:val="00226DBC"/>
    <w:rsid w:val="002272F8"/>
    <w:rsid w:val="00227309"/>
    <w:rsid w:val="00227AA7"/>
    <w:rsid w:val="002305CF"/>
    <w:rsid w:val="002309EE"/>
    <w:rsid w:val="00232211"/>
    <w:rsid w:val="0023238D"/>
    <w:rsid w:val="00232828"/>
    <w:rsid w:val="00232948"/>
    <w:rsid w:val="00232F15"/>
    <w:rsid w:val="00234FEA"/>
    <w:rsid w:val="0023509A"/>
    <w:rsid w:val="0023541F"/>
    <w:rsid w:val="002358C1"/>
    <w:rsid w:val="00236930"/>
    <w:rsid w:val="00236D19"/>
    <w:rsid w:val="0023720A"/>
    <w:rsid w:val="00237DDD"/>
    <w:rsid w:val="0024098F"/>
    <w:rsid w:val="00240A60"/>
    <w:rsid w:val="00240D4C"/>
    <w:rsid w:val="00241F3D"/>
    <w:rsid w:val="0024218B"/>
    <w:rsid w:val="0024322A"/>
    <w:rsid w:val="0024555A"/>
    <w:rsid w:val="00246171"/>
    <w:rsid w:val="00246559"/>
    <w:rsid w:val="00246A54"/>
    <w:rsid w:val="00246B35"/>
    <w:rsid w:val="002472A6"/>
    <w:rsid w:val="0024740B"/>
    <w:rsid w:val="002478F3"/>
    <w:rsid w:val="00247F91"/>
    <w:rsid w:val="00252C8F"/>
    <w:rsid w:val="002533EE"/>
    <w:rsid w:val="00253951"/>
    <w:rsid w:val="002555E3"/>
    <w:rsid w:val="00255ECE"/>
    <w:rsid w:val="002569DD"/>
    <w:rsid w:val="00256CA5"/>
    <w:rsid w:val="00260681"/>
    <w:rsid w:val="00262968"/>
    <w:rsid w:val="00263E96"/>
    <w:rsid w:val="00264812"/>
    <w:rsid w:val="00265838"/>
    <w:rsid w:val="00265EF1"/>
    <w:rsid w:val="00266693"/>
    <w:rsid w:val="002670A4"/>
    <w:rsid w:val="00267BBF"/>
    <w:rsid w:val="00267BD7"/>
    <w:rsid w:val="00270418"/>
    <w:rsid w:val="002709DD"/>
    <w:rsid w:val="002718F3"/>
    <w:rsid w:val="00272090"/>
    <w:rsid w:val="00272F2C"/>
    <w:rsid w:val="00273143"/>
    <w:rsid w:val="00273400"/>
    <w:rsid w:val="002743D1"/>
    <w:rsid w:val="00274E35"/>
    <w:rsid w:val="002753E6"/>
    <w:rsid w:val="00276562"/>
    <w:rsid w:val="00276694"/>
    <w:rsid w:val="00276DF5"/>
    <w:rsid w:val="00276F1A"/>
    <w:rsid w:val="002771F3"/>
    <w:rsid w:val="0028064C"/>
    <w:rsid w:val="00280A22"/>
    <w:rsid w:val="00281605"/>
    <w:rsid w:val="00281CBC"/>
    <w:rsid w:val="002831C8"/>
    <w:rsid w:val="00284247"/>
    <w:rsid w:val="002842D9"/>
    <w:rsid w:val="00284D6B"/>
    <w:rsid w:val="00286036"/>
    <w:rsid w:val="00286262"/>
    <w:rsid w:val="002864F7"/>
    <w:rsid w:val="00286B8F"/>
    <w:rsid w:val="00287F54"/>
    <w:rsid w:val="0029030D"/>
    <w:rsid w:val="0029089F"/>
    <w:rsid w:val="0029157B"/>
    <w:rsid w:val="00293B2C"/>
    <w:rsid w:val="00293F8A"/>
    <w:rsid w:val="002942C6"/>
    <w:rsid w:val="002942D1"/>
    <w:rsid w:val="0029456B"/>
    <w:rsid w:val="00295E08"/>
    <w:rsid w:val="00296155"/>
    <w:rsid w:val="00296B1A"/>
    <w:rsid w:val="002A0841"/>
    <w:rsid w:val="002A0B3D"/>
    <w:rsid w:val="002A0D34"/>
    <w:rsid w:val="002A0F92"/>
    <w:rsid w:val="002A1454"/>
    <w:rsid w:val="002A1847"/>
    <w:rsid w:val="002A2092"/>
    <w:rsid w:val="002A30D9"/>
    <w:rsid w:val="002A3606"/>
    <w:rsid w:val="002A5254"/>
    <w:rsid w:val="002A527F"/>
    <w:rsid w:val="002A6817"/>
    <w:rsid w:val="002A697B"/>
    <w:rsid w:val="002A6B37"/>
    <w:rsid w:val="002A7AF0"/>
    <w:rsid w:val="002A7FA3"/>
    <w:rsid w:val="002B00E0"/>
    <w:rsid w:val="002B0525"/>
    <w:rsid w:val="002B05C6"/>
    <w:rsid w:val="002B1098"/>
    <w:rsid w:val="002B1259"/>
    <w:rsid w:val="002B1642"/>
    <w:rsid w:val="002B1CEC"/>
    <w:rsid w:val="002B1E8B"/>
    <w:rsid w:val="002B240D"/>
    <w:rsid w:val="002B3462"/>
    <w:rsid w:val="002B3534"/>
    <w:rsid w:val="002B367C"/>
    <w:rsid w:val="002B47FD"/>
    <w:rsid w:val="002B4D42"/>
    <w:rsid w:val="002B5C88"/>
    <w:rsid w:val="002B6088"/>
    <w:rsid w:val="002C014F"/>
    <w:rsid w:val="002C12FC"/>
    <w:rsid w:val="002C134C"/>
    <w:rsid w:val="002C2A5B"/>
    <w:rsid w:val="002C2AD8"/>
    <w:rsid w:val="002C2B97"/>
    <w:rsid w:val="002C3022"/>
    <w:rsid w:val="002C383B"/>
    <w:rsid w:val="002C3C47"/>
    <w:rsid w:val="002C579E"/>
    <w:rsid w:val="002C6122"/>
    <w:rsid w:val="002C6BF8"/>
    <w:rsid w:val="002D03DD"/>
    <w:rsid w:val="002D1796"/>
    <w:rsid w:val="002D21A6"/>
    <w:rsid w:val="002D23D9"/>
    <w:rsid w:val="002D2775"/>
    <w:rsid w:val="002D2979"/>
    <w:rsid w:val="002D2CBB"/>
    <w:rsid w:val="002D39E1"/>
    <w:rsid w:val="002D41F6"/>
    <w:rsid w:val="002D43AA"/>
    <w:rsid w:val="002D45CC"/>
    <w:rsid w:val="002D5446"/>
    <w:rsid w:val="002D5A70"/>
    <w:rsid w:val="002D5AA8"/>
    <w:rsid w:val="002D6545"/>
    <w:rsid w:val="002D6AB7"/>
    <w:rsid w:val="002D7D19"/>
    <w:rsid w:val="002E06AF"/>
    <w:rsid w:val="002E18A2"/>
    <w:rsid w:val="002E36E7"/>
    <w:rsid w:val="002E5967"/>
    <w:rsid w:val="002E5ED6"/>
    <w:rsid w:val="002E6683"/>
    <w:rsid w:val="002E7A61"/>
    <w:rsid w:val="002E7C3E"/>
    <w:rsid w:val="002E7EAB"/>
    <w:rsid w:val="002F04C3"/>
    <w:rsid w:val="002F070A"/>
    <w:rsid w:val="002F07DB"/>
    <w:rsid w:val="002F0B0F"/>
    <w:rsid w:val="002F0EDC"/>
    <w:rsid w:val="002F1614"/>
    <w:rsid w:val="002F193E"/>
    <w:rsid w:val="002F22BE"/>
    <w:rsid w:val="002F28DA"/>
    <w:rsid w:val="002F2EB7"/>
    <w:rsid w:val="002F3757"/>
    <w:rsid w:val="002F39EC"/>
    <w:rsid w:val="002F4085"/>
    <w:rsid w:val="002F40BD"/>
    <w:rsid w:val="002F516D"/>
    <w:rsid w:val="002F7086"/>
    <w:rsid w:val="002F79AF"/>
    <w:rsid w:val="003007D6"/>
    <w:rsid w:val="00300E12"/>
    <w:rsid w:val="00301A8C"/>
    <w:rsid w:val="00301C26"/>
    <w:rsid w:val="00301F53"/>
    <w:rsid w:val="00303137"/>
    <w:rsid w:val="0030367C"/>
    <w:rsid w:val="00303E89"/>
    <w:rsid w:val="0030473A"/>
    <w:rsid w:val="00304C1A"/>
    <w:rsid w:val="00304F6E"/>
    <w:rsid w:val="00305383"/>
    <w:rsid w:val="003073EF"/>
    <w:rsid w:val="00307DEF"/>
    <w:rsid w:val="0031004D"/>
    <w:rsid w:val="00310365"/>
    <w:rsid w:val="00310EE8"/>
    <w:rsid w:val="00310F00"/>
    <w:rsid w:val="003114D1"/>
    <w:rsid w:val="00311E43"/>
    <w:rsid w:val="0031236E"/>
    <w:rsid w:val="0031259B"/>
    <w:rsid w:val="00313B3A"/>
    <w:rsid w:val="003148A3"/>
    <w:rsid w:val="00314BA0"/>
    <w:rsid w:val="00314D98"/>
    <w:rsid w:val="0031539B"/>
    <w:rsid w:val="00315BBA"/>
    <w:rsid w:val="00316395"/>
    <w:rsid w:val="0031686A"/>
    <w:rsid w:val="00316B9F"/>
    <w:rsid w:val="0031731B"/>
    <w:rsid w:val="00317878"/>
    <w:rsid w:val="003223B4"/>
    <w:rsid w:val="00322EE9"/>
    <w:rsid w:val="00322F4D"/>
    <w:rsid w:val="0032430F"/>
    <w:rsid w:val="003246B6"/>
    <w:rsid w:val="00324A39"/>
    <w:rsid w:val="00325539"/>
    <w:rsid w:val="00325D73"/>
    <w:rsid w:val="00326BC8"/>
    <w:rsid w:val="00327255"/>
    <w:rsid w:val="00327C77"/>
    <w:rsid w:val="00331E37"/>
    <w:rsid w:val="0033226C"/>
    <w:rsid w:val="00332312"/>
    <w:rsid w:val="003324CB"/>
    <w:rsid w:val="00332D41"/>
    <w:rsid w:val="0033339E"/>
    <w:rsid w:val="00336A63"/>
    <w:rsid w:val="00336E61"/>
    <w:rsid w:val="0033763C"/>
    <w:rsid w:val="00340906"/>
    <w:rsid w:val="00340C31"/>
    <w:rsid w:val="00341A57"/>
    <w:rsid w:val="0034259C"/>
    <w:rsid w:val="00342D0D"/>
    <w:rsid w:val="00342E89"/>
    <w:rsid w:val="00344639"/>
    <w:rsid w:val="003446CF"/>
    <w:rsid w:val="003455D3"/>
    <w:rsid w:val="0034586B"/>
    <w:rsid w:val="0034597E"/>
    <w:rsid w:val="00345A9A"/>
    <w:rsid w:val="00345C36"/>
    <w:rsid w:val="00346C47"/>
    <w:rsid w:val="00346F4C"/>
    <w:rsid w:val="0034712E"/>
    <w:rsid w:val="0034773A"/>
    <w:rsid w:val="003508AB"/>
    <w:rsid w:val="003508C6"/>
    <w:rsid w:val="0035235B"/>
    <w:rsid w:val="003523D9"/>
    <w:rsid w:val="00352EBC"/>
    <w:rsid w:val="00353B46"/>
    <w:rsid w:val="003544FB"/>
    <w:rsid w:val="003546CE"/>
    <w:rsid w:val="00354888"/>
    <w:rsid w:val="00354EC0"/>
    <w:rsid w:val="003559A7"/>
    <w:rsid w:val="003563FA"/>
    <w:rsid w:val="003571CB"/>
    <w:rsid w:val="003576AF"/>
    <w:rsid w:val="00360083"/>
    <w:rsid w:val="00360727"/>
    <w:rsid w:val="00360D25"/>
    <w:rsid w:val="00360FBA"/>
    <w:rsid w:val="00361784"/>
    <w:rsid w:val="00361802"/>
    <w:rsid w:val="00361DA5"/>
    <w:rsid w:val="0036214B"/>
    <w:rsid w:val="003624C1"/>
    <w:rsid w:val="00362F10"/>
    <w:rsid w:val="003633BA"/>
    <w:rsid w:val="00363818"/>
    <w:rsid w:val="003638BC"/>
    <w:rsid w:val="00363F4C"/>
    <w:rsid w:val="0036417A"/>
    <w:rsid w:val="00364195"/>
    <w:rsid w:val="003646A1"/>
    <w:rsid w:val="00365E1E"/>
    <w:rsid w:val="00367371"/>
    <w:rsid w:val="003674AC"/>
    <w:rsid w:val="0036763B"/>
    <w:rsid w:val="003705D5"/>
    <w:rsid w:val="00370869"/>
    <w:rsid w:val="00371AEE"/>
    <w:rsid w:val="00372365"/>
    <w:rsid w:val="00372C61"/>
    <w:rsid w:val="003740BB"/>
    <w:rsid w:val="0037529B"/>
    <w:rsid w:val="00375664"/>
    <w:rsid w:val="00375C16"/>
    <w:rsid w:val="00376445"/>
    <w:rsid w:val="0037714E"/>
    <w:rsid w:val="0037722B"/>
    <w:rsid w:val="00377496"/>
    <w:rsid w:val="003775D7"/>
    <w:rsid w:val="0037779B"/>
    <w:rsid w:val="0038029E"/>
    <w:rsid w:val="00380423"/>
    <w:rsid w:val="00380457"/>
    <w:rsid w:val="003807AF"/>
    <w:rsid w:val="00381E63"/>
    <w:rsid w:val="00384242"/>
    <w:rsid w:val="003844BD"/>
    <w:rsid w:val="00384D48"/>
    <w:rsid w:val="003850C1"/>
    <w:rsid w:val="003852AB"/>
    <w:rsid w:val="0038780B"/>
    <w:rsid w:val="00387C9B"/>
    <w:rsid w:val="00387DFC"/>
    <w:rsid w:val="00387FB3"/>
    <w:rsid w:val="003910E1"/>
    <w:rsid w:val="00391D3B"/>
    <w:rsid w:val="00392CE0"/>
    <w:rsid w:val="003940EF"/>
    <w:rsid w:val="003970AD"/>
    <w:rsid w:val="003971BB"/>
    <w:rsid w:val="003971D8"/>
    <w:rsid w:val="003A05F9"/>
    <w:rsid w:val="003A0C0D"/>
    <w:rsid w:val="003A0F18"/>
    <w:rsid w:val="003A1A98"/>
    <w:rsid w:val="003A1E00"/>
    <w:rsid w:val="003A3595"/>
    <w:rsid w:val="003A35DC"/>
    <w:rsid w:val="003A3CFB"/>
    <w:rsid w:val="003A4060"/>
    <w:rsid w:val="003A40BA"/>
    <w:rsid w:val="003A4E66"/>
    <w:rsid w:val="003A60B9"/>
    <w:rsid w:val="003A690E"/>
    <w:rsid w:val="003A7049"/>
    <w:rsid w:val="003B033E"/>
    <w:rsid w:val="003B0473"/>
    <w:rsid w:val="003B1F99"/>
    <w:rsid w:val="003B23F5"/>
    <w:rsid w:val="003B4601"/>
    <w:rsid w:val="003B4668"/>
    <w:rsid w:val="003B648B"/>
    <w:rsid w:val="003B64CC"/>
    <w:rsid w:val="003B78C6"/>
    <w:rsid w:val="003C07DB"/>
    <w:rsid w:val="003C0A28"/>
    <w:rsid w:val="003C19EC"/>
    <w:rsid w:val="003C1C45"/>
    <w:rsid w:val="003C1CF7"/>
    <w:rsid w:val="003C1D2E"/>
    <w:rsid w:val="003C1F5F"/>
    <w:rsid w:val="003C2E08"/>
    <w:rsid w:val="003C6772"/>
    <w:rsid w:val="003C79E9"/>
    <w:rsid w:val="003C7B5F"/>
    <w:rsid w:val="003D003C"/>
    <w:rsid w:val="003D0283"/>
    <w:rsid w:val="003D032C"/>
    <w:rsid w:val="003D1640"/>
    <w:rsid w:val="003D2194"/>
    <w:rsid w:val="003D25ED"/>
    <w:rsid w:val="003D304B"/>
    <w:rsid w:val="003D308F"/>
    <w:rsid w:val="003D3E89"/>
    <w:rsid w:val="003D3FDE"/>
    <w:rsid w:val="003D6513"/>
    <w:rsid w:val="003D6C00"/>
    <w:rsid w:val="003E3DB9"/>
    <w:rsid w:val="003E5B45"/>
    <w:rsid w:val="003E5CDF"/>
    <w:rsid w:val="003E6AE5"/>
    <w:rsid w:val="003F0332"/>
    <w:rsid w:val="003F0FEC"/>
    <w:rsid w:val="003F17E6"/>
    <w:rsid w:val="003F1FAC"/>
    <w:rsid w:val="003F224C"/>
    <w:rsid w:val="003F26E8"/>
    <w:rsid w:val="003F2A3E"/>
    <w:rsid w:val="003F2FF5"/>
    <w:rsid w:val="003F4339"/>
    <w:rsid w:val="003F4E9E"/>
    <w:rsid w:val="003F51BA"/>
    <w:rsid w:val="003F5745"/>
    <w:rsid w:val="003F707C"/>
    <w:rsid w:val="003F7446"/>
    <w:rsid w:val="003F7872"/>
    <w:rsid w:val="003F7A43"/>
    <w:rsid w:val="004004A2"/>
    <w:rsid w:val="00400E72"/>
    <w:rsid w:val="004016FA"/>
    <w:rsid w:val="00402296"/>
    <w:rsid w:val="00403581"/>
    <w:rsid w:val="004037F5"/>
    <w:rsid w:val="004045E0"/>
    <w:rsid w:val="0040532C"/>
    <w:rsid w:val="004057EA"/>
    <w:rsid w:val="0040661D"/>
    <w:rsid w:val="00411327"/>
    <w:rsid w:val="00412176"/>
    <w:rsid w:val="004124F5"/>
    <w:rsid w:val="00412DF2"/>
    <w:rsid w:val="00412EB4"/>
    <w:rsid w:val="004133DC"/>
    <w:rsid w:val="0041489B"/>
    <w:rsid w:val="00414D55"/>
    <w:rsid w:val="00416785"/>
    <w:rsid w:val="00416B4E"/>
    <w:rsid w:val="00417267"/>
    <w:rsid w:val="00417497"/>
    <w:rsid w:val="0042072D"/>
    <w:rsid w:val="00420DBD"/>
    <w:rsid w:val="00421812"/>
    <w:rsid w:val="0042212E"/>
    <w:rsid w:val="00422C5F"/>
    <w:rsid w:val="004232D6"/>
    <w:rsid w:val="00423525"/>
    <w:rsid w:val="0042366C"/>
    <w:rsid w:val="00423FD9"/>
    <w:rsid w:val="004242F4"/>
    <w:rsid w:val="00424586"/>
    <w:rsid w:val="00424AFE"/>
    <w:rsid w:val="004251A1"/>
    <w:rsid w:val="00425227"/>
    <w:rsid w:val="0042547F"/>
    <w:rsid w:val="00426651"/>
    <w:rsid w:val="00427314"/>
    <w:rsid w:val="004300DD"/>
    <w:rsid w:val="0043050D"/>
    <w:rsid w:val="004334C1"/>
    <w:rsid w:val="00434400"/>
    <w:rsid w:val="00434E65"/>
    <w:rsid w:val="00434E98"/>
    <w:rsid w:val="00435354"/>
    <w:rsid w:val="00437725"/>
    <w:rsid w:val="004401A6"/>
    <w:rsid w:val="00441B76"/>
    <w:rsid w:val="00442392"/>
    <w:rsid w:val="004423CE"/>
    <w:rsid w:val="004433BF"/>
    <w:rsid w:val="0044373E"/>
    <w:rsid w:val="00443AD2"/>
    <w:rsid w:val="00444791"/>
    <w:rsid w:val="00444842"/>
    <w:rsid w:val="004449D5"/>
    <w:rsid w:val="00444AB2"/>
    <w:rsid w:val="00444F17"/>
    <w:rsid w:val="0044605F"/>
    <w:rsid w:val="0045026D"/>
    <w:rsid w:val="00450C67"/>
    <w:rsid w:val="00450D24"/>
    <w:rsid w:val="00450EF3"/>
    <w:rsid w:val="004520E1"/>
    <w:rsid w:val="0045250D"/>
    <w:rsid w:val="00452B67"/>
    <w:rsid w:val="00452C1D"/>
    <w:rsid w:val="00452FDC"/>
    <w:rsid w:val="00455097"/>
    <w:rsid w:val="00455309"/>
    <w:rsid w:val="00455747"/>
    <w:rsid w:val="00455BAF"/>
    <w:rsid w:val="00456EE4"/>
    <w:rsid w:val="0045743F"/>
    <w:rsid w:val="0046069A"/>
    <w:rsid w:val="00460BB0"/>
    <w:rsid w:val="00460D69"/>
    <w:rsid w:val="0046147C"/>
    <w:rsid w:val="0046147E"/>
    <w:rsid w:val="00461A15"/>
    <w:rsid w:val="00462396"/>
    <w:rsid w:val="004639DF"/>
    <w:rsid w:val="00463DB2"/>
    <w:rsid w:val="00463FB8"/>
    <w:rsid w:val="00464760"/>
    <w:rsid w:val="00464761"/>
    <w:rsid w:val="0046543D"/>
    <w:rsid w:val="0046603E"/>
    <w:rsid w:val="004670AB"/>
    <w:rsid w:val="00471142"/>
    <w:rsid w:val="004711AF"/>
    <w:rsid w:val="00471491"/>
    <w:rsid w:val="0047176D"/>
    <w:rsid w:val="004718BB"/>
    <w:rsid w:val="004722A2"/>
    <w:rsid w:val="00472B75"/>
    <w:rsid w:val="0047382A"/>
    <w:rsid w:val="00473AE6"/>
    <w:rsid w:val="00473AF8"/>
    <w:rsid w:val="00473C1C"/>
    <w:rsid w:val="004744E3"/>
    <w:rsid w:val="0047492B"/>
    <w:rsid w:val="00474A16"/>
    <w:rsid w:val="00476170"/>
    <w:rsid w:val="0047665B"/>
    <w:rsid w:val="00476D35"/>
    <w:rsid w:val="0048116A"/>
    <w:rsid w:val="004811E4"/>
    <w:rsid w:val="00481F2B"/>
    <w:rsid w:val="00481FEC"/>
    <w:rsid w:val="00482B43"/>
    <w:rsid w:val="00483C8B"/>
    <w:rsid w:val="00483E1B"/>
    <w:rsid w:val="004840EC"/>
    <w:rsid w:val="004840F7"/>
    <w:rsid w:val="004847DF"/>
    <w:rsid w:val="00484DCF"/>
    <w:rsid w:val="00485674"/>
    <w:rsid w:val="00485C55"/>
    <w:rsid w:val="00485DC6"/>
    <w:rsid w:val="004861EA"/>
    <w:rsid w:val="004876C8"/>
    <w:rsid w:val="00490036"/>
    <w:rsid w:val="00491082"/>
    <w:rsid w:val="00491181"/>
    <w:rsid w:val="00491B48"/>
    <w:rsid w:val="004933FE"/>
    <w:rsid w:val="00493D29"/>
    <w:rsid w:val="00493E74"/>
    <w:rsid w:val="00493EB1"/>
    <w:rsid w:val="0049492E"/>
    <w:rsid w:val="00495525"/>
    <w:rsid w:val="00495C6B"/>
    <w:rsid w:val="004971E0"/>
    <w:rsid w:val="004A0926"/>
    <w:rsid w:val="004A1DA2"/>
    <w:rsid w:val="004A2B24"/>
    <w:rsid w:val="004A2F08"/>
    <w:rsid w:val="004A2F78"/>
    <w:rsid w:val="004A3186"/>
    <w:rsid w:val="004A3E37"/>
    <w:rsid w:val="004A5B80"/>
    <w:rsid w:val="004A628E"/>
    <w:rsid w:val="004A6ACE"/>
    <w:rsid w:val="004A6EDE"/>
    <w:rsid w:val="004B0537"/>
    <w:rsid w:val="004B1371"/>
    <w:rsid w:val="004B138B"/>
    <w:rsid w:val="004B13D9"/>
    <w:rsid w:val="004B1BCA"/>
    <w:rsid w:val="004B1C79"/>
    <w:rsid w:val="004B1FC1"/>
    <w:rsid w:val="004B2078"/>
    <w:rsid w:val="004B2C99"/>
    <w:rsid w:val="004B3D3E"/>
    <w:rsid w:val="004B41C4"/>
    <w:rsid w:val="004B4F06"/>
    <w:rsid w:val="004B4FF4"/>
    <w:rsid w:val="004B5028"/>
    <w:rsid w:val="004B5E1B"/>
    <w:rsid w:val="004B71F2"/>
    <w:rsid w:val="004C14AC"/>
    <w:rsid w:val="004C1508"/>
    <w:rsid w:val="004C1892"/>
    <w:rsid w:val="004C1D06"/>
    <w:rsid w:val="004C1F4F"/>
    <w:rsid w:val="004C2706"/>
    <w:rsid w:val="004C2A44"/>
    <w:rsid w:val="004C2B24"/>
    <w:rsid w:val="004C3772"/>
    <w:rsid w:val="004C3A5D"/>
    <w:rsid w:val="004C40BE"/>
    <w:rsid w:val="004C43B0"/>
    <w:rsid w:val="004C45D1"/>
    <w:rsid w:val="004C681F"/>
    <w:rsid w:val="004C6AAB"/>
    <w:rsid w:val="004C6F65"/>
    <w:rsid w:val="004C7296"/>
    <w:rsid w:val="004C72C9"/>
    <w:rsid w:val="004C7859"/>
    <w:rsid w:val="004C7EE8"/>
    <w:rsid w:val="004D081C"/>
    <w:rsid w:val="004D08CF"/>
    <w:rsid w:val="004D1269"/>
    <w:rsid w:val="004D1393"/>
    <w:rsid w:val="004D1815"/>
    <w:rsid w:val="004D1856"/>
    <w:rsid w:val="004D195E"/>
    <w:rsid w:val="004D2488"/>
    <w:rsid w:val="004D3210"/>
    <w:rsid w:val="004D3963"/>
    <w:rsid w:val="004D4066"/>
    <w:rsid w:val="004D43C4"/>
    <w:rsid w:val="004D5274"/>
    <w:rsid w:val="004D5CA0"/>
    <w:rsid w:val="004D70BF"/>
    <w:rsid w:val="004D7A3A"/>
    <w:rsid w:val="004E006D"/>
    <w:rsid w:val="004E01BA"/>
    <w:rsid w:val="004E0A2B"/>
    <w:rsid w:val="004E1BC9"/>
    <w:rsid w:val="004E202C"/>
    <w:rsid w:val="004E2160"/>
    <w:rsid w:val="004E286B"/>
    <w:rsid w:val="004E2FBF"/>
    <w:rsid w:val="004E34F9"/>
    <w:rsid w:val="004E474D"/>
    <w:rsid w:val="004E5760"/>
    <w:rsid w:val="004E680D"/>
    <w:rsid w:val="004F145D"/>
    <w:rsid w:val="004F1FB0"/>
    <w:rsid w:val="004F2F51"/>
    <w:rsid w:val="004F34E3"/>
    <w:rsid w:val="004F41F9"/>
    <w:rsid w:val="004F4566"/>
    <w:rsid w:val="004F53EE"/>
    <w:rsid w:val="004F54EC"/>
    <w:rsid w:val="004F58C8"/>
    <w:rsid w:val="004F619A"/>
    <w:rsid w:val="004F666C"/>
    <w:rsid w:val="00500E5D"/>
    <w:rsid w:val="00500F08"/>
    <w:rsid w:val="0050189B"/>
    <w:rsid w:val="00501AE3"/>
    <w:rsid w:val="00501BFB"/>
    <w:rsid w:val="00501C05"/>
    <w:rsid w:val="00502A9C"/>
    <w:rsid w:val="005035AD"/>
    <w:rsid w:val="0050421B"/>
    <w:rsid w:val="00505664"/>
    <w:rsid w:val="005067B4"/>
    <w:rsid w:val="00506F6E"/>
    <w:rsid w:val="00506FC5"/>
    <w:rsid w:val="00507549"/>
    <w:rsid w:val="00507EEC"/>
    <w:rsid w:val="0051065C"/>
    <w:rsid w:val="00510AC9"/>
    <w:rsid w:val="005112C7"/>
    <w:rsid w:val="00511827"/>
    <w:rsid w:val="00512A93"/>
    <w:rsid w:val="005133A2"/>
    <w:rsid w:val="00513BAA"/>
    <w:rsid w:val="00513DB6"/>
    <w:rsid w:val="005144A0"/>
    <w:rsid w:val="00514A11"/>
    <w:rsid w:val="00514A71"/>
    <w:rsid w:val="005159DB"/>
    <w:rsid w:val="00515CCB"/>
    <w:rsid w:val="00516BB5"/>
    <w:rsid w:val="00520478"/>
    <w:rsid w:val="00520DD4"/>
    <w:rsid w:val="0052114F"/>
    <w:rsid w:val="00521607"/>
    <w:rsid w:val="0052192F"/>
    <w:rsid w:val="0052225C"/>
    <w:rsid w:val="0052255A"/>
    <w:rsid w:val="005226AE"/>
    <w:rsid w:val="00522EA5"/>
    <w:rsid w:val="00522F9A"/>
    <w:rsid w:val="00523068"/>
    <w:rsid w:val="005234A7"/>
    <w:rsid w:val="00523F63"/>
    <w:rsid w:val="005241D6"/>
    <w:rsid w:val="005247AD"/>
    <w:rsid w:val="00524EF9"/>
    <w:rsid w:val="0052688A"/>
    <w:rsid w:val="00526F49"/>
    <w:rsid w:val="005276E1"/>
    <w:rsid w:val="00530B6F"/>
    <w:rsid w:val="0053105A"/>
    <w:rsid w:val="00531FAB"/>
    <w:rsid w:val="005326E2"/>
    <w:rsid w:val="00532BAE"/>
    <w:rsid w:val="005336F2"/>
    <w:rsid w:val="00533AA9"/>
    <w:rsid w:val="00533FCB"/>
    <w:rsid w:val="005340B4"/>
    <w:rsid w:val="00534285"/>
    <w:rsid w:val="005343BD"/>
    <w:rsid w:val="005343F3"/>
    <w:rsid w:val="0053591D"/>
    <w:rsid w:val="00535D72"/>
    <w:rsid w:val="00535E29"/>
    <w:rsid w:val="005372B8"/>
    <w:rsid w:val="00537428"/>
    <w:rsid w:val="00537F8C"/>
    <w:rsid w:val="00540353"/>
    <w:rsid w:val="00542460"/>
    <w:rsid w:val="00542B3D"/>
    <w:rsid w:val="00542DF5"/>
    <w:rsid w:val="00543036"/>
    <w:rsid w:val="00543D05"/>
    <w:rsid w:val="00544B2F"/>
    <w:rsid w:val="00544DD8"/>
    <w:rsid w:val="00545425"/>
    <w:rsid w:val="00546303"/>
    <w:rsid w:val="0054639F"/>
    <w:rsid w:val="00546F11"/>
    <w:rsid w:val="0055017E"/>
    <w:rsid w:val="00550430"/>
    <w:rsid w:val="005543BB"/>
    <w:rsid w:val="00554A3D"/>
    <w:rsid w:val="00554A90"/>
    <w:rsid w:val="00555153"/>
    <w:rsid w:val="0055525A"/>
    <w:rsid w:val="00555B37"/>
    <w:rsid w:val="0055631B"/>
    <w:rsid w:val="00556901"/>
    <w:rsid w:val="0055695D"/>
    <w:rsid w:val="005569F2"/>
    <w:rsid w:val="00556AB8"/>
    <w:rsid w:val="0055748E"/>
    <w:rsid w:val="00557CF8"/>
    <w:rsid w:val="00561479"/>
    <w:rsid w:val="00561DE6"/>
    <w:rsid w:val="00562410"/>
    <w:rsid w:val="00562517"/>
    <w:rsid w:val="00564225"/>
    <w:rsid w:val="00564BAB"/>
    <w:rsid w:val="005653BC"/>
    <w:rsid w:val="00565A54"/>
    <w:rsid w:val="00565AD4"/>
    <w:rsid w:val="0056663A"/>
    <w:rsid w:val="00566C96"/>
    <w:rsid w:val="005701B7"/>
    <w:rsid w:val="00570A7D"/>
    <w:rsid w:val="00570CF3"/>
    <w:rsid w:val="00571180"/>
    <w:rsid w:val="00571BF8"/>
    <w:rsid w:val="00571C27"/>
    <w:rsid w:val="00571FA2"/>
    <w:rsid w:val="0057357E"/>
    <w:rsid w:val="00573FFC"/>
    <w:rsid w:val="005748F1"/>
    <w:rsid w:val="00574F2B"/>
    <w:rsid w:val="00575397"/>
    <w:rsid w:val="0057628E"/>
    <w:rsid w:val="005770D8"/>
    <w:rsid w:val="005778FF"/>
    <w:rsid w:val="005807B2"/>
    <w:rsid w:val="00580B2E"/>
    <w:rsid w:val="00581977"/>
    <w:rsid w:val="0058213D"/>
    <w:rsid w:val="0058492C"/>
    <w:rsid w:val="00584D71"/>
    <w:rsid w:val="00584D9A"/>
    <w:rsid w:val="00584FE1"/>
    <w:rsid w:val="00585BCE"/>
    <w:rsid w:val="00586F5A"/>
    <w:rsid w:val="0058763D"/>
    <w:rsid w:val="005902B3"/>
    <w:rsid w:val="00590463"/>
    <w:rsid w:val="005908C3"/>
    <w:rsid w:val="00590E92"/>
    <w:rsid w:val="005913EB"/>
    <w:rsid w:val="005916C7"/>
    <w:rsid w:val="0059171A"/>
    <w:rsid w:val="00591C76"/>
    <w:rsid w:val="00595B63"/>
    <w:rsid w:val="005965B2"/>
    <w:rsid w:val="00596A26"/>
    <w:rsid w:val="00596EDE"/>
    <w:rsid w:val="00597375"/>
    <w:rsid w:val="00597869"/>
    <w:rsid w:val="00597B29"/>
    <w:rsid w:val="00597EDF"/>
    <w:rsid w:val="005A0034"/>
    <w:rsid w:val="005A100A"/>
    <w:rsid w:val="005A1469"/>
    <w:rsid w:val="005A18FD"/>
    <w:rsid w:val="005A1B7B"/>
    <w:rsid w:val="005A2BB2"/>
    <w:rsid w:val="005A2E47"/>
    <w:rsid w:val="005A5108"/>
    <w:rsid w:val="005A5724"/>
    <w:rsid w:val="005A6166"/>
    <w:rsid w:val="005A6C1A"/>
    <w:rsid w:val="005A7A34"/>
    <w:rsid w:val="005A7FAE"/>
    <w:rsid w:val="005B092D"/>
    <w:rsid w:val="005B0B4E"/>
    <w:rsid w:val="005B0CD9"/>
    <w:rsid w:val="005B0F8E"/>
    <w:rsid w:val="005B184C"/>
    <w:rsid w:val="005B2278"/>
    <w:rsid w:val="005B2434"/>
    <w:rsid w:val="005B3E98"/>
    <w:rsid w:val="005B4483"/>
    <w:rsid w:val="005B4513"/>
    <w:rsid w:val="005B4982"/>
    <w:rsid w:val="005B4F2E"/>
    <w:rsid w:val="005B523B"/>
    <w:rsid w:val="005B5DB8"/>
    <w:rsid w:val="005B6DEB"/>
    <w:rsid w:val="005B7B55"/>
    <w:rsid w:val="005C05F6"/>
    <w:rsid w:val="005C0F65"/>
    <w:rsid w:val="005C175C"/>
    <w:rsid w:val="005C2439"/>
    <w:rsid w:val="005C271F"/>
    <w:rsid w:val="005C2C49"/>
    <w:rsid w:val="005C2D7E"/>
    <w:rsid w:val="005C3BD2"/>
    <w:rsid w:val="005C4263"/>
    <w:rsid w:val="005C42AF"/>
    <w:rsid w:val="005C441B"/>
    <w:rsid w:val="005C4A43"/>
    <w:rsid w:val="005C4C60"/>
    <w:rsid w:val="005C4EC3"/>
    <w:rsid w:val="005C632A"/>
    <w:rsid w:val="005C6437"/>
    <w:rsid w:val="005C6657"/>
    <w:rsid w:val="005D04D8"/>
    <w:rsid w:val="005D07D8"/>
    <w:rsid w:val="005D1149"/>
    <w:rsid w:val="005D1200"/>
    <w:rsid w:val="005D1BDC"/>
    <w:rsid w:val="005D22EB"/>
    <w:rsid w:val="005D266C"/>
    <w:rsid w:val="005D2CFF"/>
    <w:rsid w:val="005D37C1"/>
    <w:rsid w:val="005D4287"/>
    <w:rsid w:val="005D4885"/>
    <w:rsid w:val="005D498F"/>
    <w:rsid w:val="005D5CDD"/>
    <w:rsid w:val="005D6E30"/>
    <w:rsid w:val="005D7D2F"/>
    <w:rsid w:val="005E0FCC"/>
    <w:rsid w:val="005E1437"/>
    <w:rsid w:val="005E1D57"/>
    <w:rsid w:val="005E1E8B"/>
    <w:rsid w:val="005E333B"/>
    <w:rsid w:val="005E407A"/>
    <w:rsid w:val="005E6AAB"/>
    <w:rsid w:val="005E7BCC"/>
    <w:rsid w:val="005E7C8A"/>
    <w:rsid w:val="005F06AE"/>
    <w:rsid w:val="005F1968"/>
    <w:rsid w:val="005F1C06"/>
    <w:rsid w:val="005F35F6"/>
    <w:rsid w:val="005F3A09"/>
    <w:rsid w:val="005F4D95"/>
    <w:rsid w:val="005F59E4"/>
    <w:rsid w:val="005F6693"/>
    <w:rsid w:val="005F766F"/>
    <w:rsid w:val="005F7B5D"/>
    <w:rsid w:val="006019AF"/>
    <w:rsid w:val="00601F72"/>
    <w:rsid w:val="00602822"/>
    <w:rsid w:val="00602856"/>
    <w:rsid w:val="00602CA1"/>
    <w:rsid w:val="00605591"/>
    <w:rsid w:val="00605976"/>
    <w:rsid w:val="00605A95"/>
    <w:rsid w:val="00605AD5"/>
    <w:rsid w:val="00606E2C"/>
    <w:rsid w:val="00606FF3"/>
    <w:rsid w:val="00611041"/>
    <w:rsid w:val="00611BDE"/>
    <w:rsid w:val="00611CF7"/>
    <w:rsid w:val="0061269B"/>
    <w:rsid w:val="0061292F"/>
    <w:rsid w:val="00612B35"/>
    <w:rsid w:val="00613831"/>
    <w:rsid w:val="00615C38"/>
    <w:rsid w:val="00615ECE"/>
    <w:rsid w:val="006162B8"/>
    <w:rsid w:val="00616826"/>
    <w:rsid w:val="00616A6B"/>
    <w:rsid w:val="00616AB8"/>
    <w:rsid w:val="00616FA6"/>
    <w:rsid w:val="00617688"/>
    <w:rsid w:val="00617D5C"/>
    <w:rsid w:val="0062216F"/>
    <w:rsid w:val="00622AAD"/>
    <w:rsid w:val="0062446E"/>
    <w:rsid w:val="00624615"/>
    <w:rsid w:val="00624C73"/>
    <w:rsid w:val="0062584A"/>
    <w:rsid w:val="00626414"/>
    <w:rsid w:val="006272BF"/>
    <w:rsid w:val="00627D8B"/>
    <w:rsid w:val="00627E0D"/>
    <w:rsid w:val="006302A4"/>
    <w:rsid w:val="00630DA3"/>
    <w:rsid w:val="006317D6"/>
    <w:rsid w:val="00631AB7"/>
    <w:rsid w:val="00632BE4"/>
    <w:rsid w:val="0063482B"/>
    <w:rsid w:val="006360BC"/>
    <w:rsid w:val="0063697D"/>
    <w:rsid w:val="00637021"/>
    <w:rsid w:val="00637395"/>
    <w:rsid w:val="0063755D"/>
    <w:rsid w:val="0063779E"/>
    <w:rsid w:val="006377CA"/>
    <w:rsid w:val="0064253B"/>
    <w:rsid w:val="006435E7"/>
    <w:rsid w:val="00643900"/>
    <w:rsid w:val="006446CD"/>
    <w:rsid w:val="006452F0"/>
    <w:rsid w:val="00645BAF"/>
    <w:rsid w:val="00645BE4"/>
    <w:rsid w:val="006460DC"/>
    <w:rsid w:val="00646941"/>
    <w:rsid w:val="00646B0E"/>
    <w:rsid w:val="00647415"/>
    <w:rsid w:val="00647D9E"/>
    <w:rsid w:val="006503CA"/>
    <w:rsid w:val="006506AB"/>
    <w:rsid w:val="006509F6"/>
    <w:rsid w:val="006511CD"/>
    <w:rsid w:val="00652410"/>
    <w:rsid w:val="00652C15"/>
    <w:rsid w:val="00653CB9"/>
    <w:rsid w:val="006545B2"/>
    <w:rsid w:val="006547D8"/>
    <w:rsid w:val="00655874"/>
    <w:rsid w:val="00656144"/>
    <w:rsid w:val="00656760"/>
    <w:rsid w:val="00660416"/>
    <w:rsid w:val="006608BA"/>
    <w:rsid w:val="00660A73"/>
    <w:rsid w:val="00660B98"/>
    <w:rsid w:val="006623E8"/>
    <w:rsid w:val="00663850"/>
    <w:rsid w:val="00663B2F"/>
    <w:rsid w:val="00663E32"/>
    <w:rsid w:val="00664551"/>
    <w:rsid w:val="00664BBE"/>
    <w:rsid w:val="006656A7"/>
    <w:rsid w:val="0066616D"/>
    <w:rsid w:val="00666478"/>
    <w:rsid w:val="00666AC5"/>
    <w:rsid w:val="00666C51"/>
    <w:rsid w:val="00667209"/>
    <w:rsid w:val="00667DF7"/>
    <w:rsid w:val="006740A8"/>
    <w:rsid w:val="00674AF5"/>
    <w:rsid w:val="00675050"/>
    <w:rsid w:val="00675154"/>
    <w:rsid w:val="0067674E"/>
    <w:rsid w:val="006772D8"/>
    <w:rsid w:val="00677667"/>
    <w:rsid w:val="00680622"/>
    <w:rsid w:val="00681919"/>
    <w:rsid w:val="00682356"/>
    <w:rsid w:val="006823DC"/>
    <w:rsid w:val="00682689"/>
    <w:rsid w:val="00682F79"/>
    <w:rsid w:val="00682FC7"/>
    <w:rsid w:val="00683532"/>
    <w:rsid w:val="00683969"/>
    <w:rsid w:val="00684573"/>
    <w:rsid w:val="00685013"/>
    <w:rsid w:val="00686125"/>
    <w:rsid w:val="00686185"/>
    <w:rsid w:val="0068675C"/>
    <w:rsid w:val="00686D48"/>
    <w:rsid w:val="00690B1B"/>
    <w:rsid w:val="00690D48"/>
    <w:rsid w:val="00692A7F"/>
    <w:rsid w:val="00693997"/>
    <w:rsid w:val="00694074"/>
    <w:rsid w:val="00694696"/>
    <w:rsid w:val="006948F4"/>
    <w:rsid w:val="00696532"/>
    <w:rsid w:val="00696C49"/>
    <w:rsid w:val="00697057"/>
    <w:rsid w:val="006970C3"/>
    <w:rsid w:val="006972CA"/>
    <w:rsid w:val="00697B40"/>
    <w:rsid w:val="006A0426"/>
    <w:rsid w:val="006A1BEB"/>
    <w:rsid w:val="006A2724"/>
    <w:rsid w:val="006A34DE"/>
    <w:rsid w:val="006A4CAF"/>
    <w:rsid w:val="006A4D24"/>
    <w:rsid w:val="006A4FE9"/>
    <w:rsid w:val="006A5137"/>
    <w:rsid w:val="006A5D26"/>
    <w:rsid w:val="006A622D"/>
    <w:rsid w:val="006A6764"/>
    <w:rsid w:val="006A6E0F"/>
    <w:rsid w:val="006A7912"/>
    <w:rsid w:val="006A7DE0"/>
    <w:rsid w:val="006A7E40"/>
    <w:rsid w:val="006B0030"/>
    <w:rsid w:val="006B01F9"/>
    <w:rsid w:val="006B0407"/>
    <w:rsid w:val="006B0439"/>
    <w:rsid w:val="006B1957"/>
    <w:rsid w:val="006B248B"/>
    <w:rsid w:val="006B36A0"/>
    <w:rsid w:val="006B52B8"/>
    <w:rsid w:val="006B5F62"/>
    <w:rsid w:val="006B7436"/>
    <w:rsid w:val="006C0648"/>
    <w:rsid w:val="006C17F0"/>
    <w:rsid w:val="006C1EA0"/>
    <w:rsid w:val="006C21D0"/>
    <w:rsid w:val="006C3C71"/>
    <w:rsid w:val="006C4139"/>
    <w:rsid w:val="006C447B"/>
    <w:rsid w:val="006C54D4"/>
    <w:rsid w:val="006C5737"/>
    <w:rsid w:val="006C5D1E"/>
    <w:rsid w:val="006C5F3E"/>
    <w:rsid w:val="006C7191"/>
    <w:rsid w:val="006D1703"/>
    <w:rsid w:val="006D2903"/>
    <w:rsid w:val="006D301B"/>
    <w:rsid w:val="006D315E"/>
    <w:rsid w:val="006D4033"/>
    <w:rsid w:val="006D454D"/>
    <w:rsid w:val="006D4CAA"/>
    <w:rsid w:val="006D511C"/>
    <w:rsid w:val="006D5433"/>
    <w:rsid w:val="006D5969"/>
    <w:rsid w:val="006D5DAC"/>
    <w:rsid w:val="006D6551"/>
    <w:rsid w:val="006D6D4F"/>
    <w:rsid w:val="006D7C76"/>
    <w:rsid w:val="006E0CB4"/>
    <w:rsid w:val="006E1213"/>
    <w:rsid w:val="006E2C04"/>
    <w:rsid w:val="006E32C0"/>
    <w:rsid w:val="006E37D2"/>
    <w:rsid w:val="006E3E4F"/>
    <w:rsid w:val="006E429B"/>
    <w:rsid w:val="006E62AD"/>
    <w:rsid w:val="006E6701"/>
    <w:rsid w:val="006E72A1"/>
    <w:rsid w:val="006F0A68"/>
    <w:rsid w:val="006F0B07"/>
    <w:rsid w:val="006F175D"/>
    <w:rsid w:val="006F1985"/>
    <w:rsid w:val="006F1D7A"/>
    <w:rsid w:val="006F225C"/>
    <w:rsid w:val="006F317A"/>
    <w:rsid w:val="006F34A5"/>
    <w:rsid w:val="006F39EF"/>
    <w:rsid w:val="006F3A78"/>
    <w:rsid w:val="006F4061"/>
    <w:rsid w:val="006F4B1D"/>
    <w:rsid w:val="006F4F13"/>
    <w:rsid w:val="006F5CFB"/>
    <w:rsid w:val="006F6354"/>
    <w:rsid w:val="006F6543"/>
    <w:rsid w:val="006F6630"/>
    <w:rsid w:val="006F730E"/>
    <w:rsid w:val="006F73A3"/>
    <w:rsid w:val="00700759"/>
    <w:rsid w:val="00700D88"/>
    <w:rsid w:val="00701815"/>
    <w:rsid w:val="007019CF"/>
    <w:rsid w:val="0070230E"/>
    <w:rsid w:val="007027EF"/>
    <w:rsid w:val="00702882"/>
    <w:rsid w:val="007035D6"/>
    <w:rsid w:val="007065FE"/>
    <w:rsid w:val="00707873"/>
    <w:rsid w:val="00711130"/>
    <w:rsid w:val="00712A32"/>
    <w:rsid w:val="00712A8B"/>
    <w:rsid w:val="00713D48"/>
    <w:rsid w:val="00714209"/>
    <w:rsid w:val="0071465E"/>
    <w:rsid w:val="00715FC6"/>
    <w:rsid w:val="007169AE"/>
    <w:rsid w:val="00716D16"/>
    <w:rsid w:val="00716EB2"/>
    <w:rsid w:val="00717233"/>
    <w:rsid w:val="00717C44"/>
    <w:rsid w:val="007206E0"/>
    <w:rsid w:val="00720F19"/>
    <w:rsid w:val="00721302"/>
    <w:rsid w:val="007231BB"/>
    <w:rsid w:val="0072367D"/>
    <w:rsid w:val="0072368F"/>
    <w:rsid w:val="00724BBD"/>
    <w:rsid w:val="00724E7D"/>
    <w:rsid w:val="007254E4"/>
    <w:rsid w:val="00725DC3"/>
    <w:rsid w:val="00726272"/>
    <w:rsid w:val="00726A64"/>
    <w:rsid w:val="007270F7"/>
    <w:rsid w:val="007316DE"/>
    <w:rsid w:val="00731D02"/>
    <w:rsid w:val="00732697"/>
    <w:rsid w:val="00732C7E"/>
    <w:rsid w:val="00732ED9"/>
    <w:rsid w:val="00733785"/>
    <w:rsid w:val="00733E51"/>
    <w:rsid w:val="007343F8"/>
    <w:rsid w:val="00735BBA"/>
    <w:rsid w:val="007363EA"/>
    <w:rsid w:val="0073697C"/>
    <w:rsid w:val="00736EF7"/>
    <w:rsid w:val="00737D53"/>
    <w:rsid w:val="00741A82"/>
    <w:rsid w:val="00743886"/>
    <w:rsid w:val="00743A37"/>
    <w:rsid w:val="007446A6"/>
    <w:rsid w:val="0074546B"/>
    <w:rsid w:val="00745E25"/>
    <w:rsid w:val="00746623"/>
    <w:rsid w:val="007466B6"/>
    <w:rsid w:val="00746704"/>
    <w:rsid w:val="0074706D"/>
    <w:rsid w:val="00747A47"/>
    <w:rsid w:val="007510B0"/>
    <w:rsid w:val="00751E38"/>
    <w:rsid w:val="007522EB"/>
    <w:rsid w:val="00753C6B"/>
    <w:rsid w:val="00753D46"/>
    <w:rsid w:val="007542E6"/>
    <w:rsid w:val="007547EC"/>
    <w:rsid w:val="007552FC"/>
    <w:rsid w:val="00756C86"/>
    <w:rsid w:val="00756D63"/>
    <w:rsid w:val="0076052C"/>
    <w:rsid w:val="00760A90"/>
    <w:rsid w:val="00761413"/>
    <w:rsid w:val="007637E0"/>
    <w:rsid w:val="0076643A"/>
    <w:rsid w:val="00766C18"/>
    <w:rsid w:val="007676F9"/>
    <w:rsid w:val="00770CE0"/>
    <w:rsid w:val="0077336E"/>
    <w:rsid w:val="007735B7"/>
    <w:rsid w:val="00773B1B"/>
    <w:rsid w:val="00773B5B"/>
    <w:rsid w:val="007744A5"/>
    <w:rsid w:val="00775000"/>
    <w:rsid w:val="0077552B"/>
    <w:rsid w:val="00775CE3"/>
    <w:rsid w:val="00776DBB"/>
    <w:rsid w:val="00777462"/>
    <w:rsid w:val="00777642"/>
    <w:rsid w:val="0078034D"/>
    <w:rsid w:val="00780F83"/>
    <w:rsid w:val="00781372"/>
    <w:rsid w:val="00781ABB"/>
    <w:rsid w:val="00782ECF"/>
    <w:rsid w:val="00783026"/>
    <w:rsid w:val="00784589"/>
    <w:rsid w:val="0078472E"/>
    <w:rsid w:val="0078497A"/>
    <w:rsid w:val="00784FD8"/>
    <w:rsid w:val="00785A09"/>
    <w:rsid w:val="007867E0"/>
    <w:rsid w:val="00790D60"/>
    <w:rsid w:val="0079255F"/>
    <w:rsid w:val="00792ABF"/>
    <w:rsid w:val="00792CB3"/>
    <w:rsid w:val="00792E29"/>
    <w:rsid w:val="007930FD"/>
    <w:rsid w:val="007936E8"/>
    <w:rsid w:val="00794528"/>
    <w:rsid w:val="007954AC"/>
    <w:rsid w:val="0079593C"/>
    <w:rsid w:val="00795BD1"/>
    <w:rsid w:val="007964C3"/>
    <w:rsid w:val="00796D52"/>
    <w:rsid w:val="00796D9A"/>
    <w:rsid w:val="00796ECA"/>
    <w:rsid w:val="007A02CF"/>
    <w:rsid w:val="007A0609"/>
    <w:rsid w:val="007A2387"/>
    <w:rsid w:val="007A3104"/>
    <w:rsid w:val="007A3900"/>
    <w:rsid w:val="007A3A2C"/>
    <w:rsid w:val="007A3B6F"/>
    <w:rsid w:val="007A4F3F"/>
    <w:rsid w:val="007A63CA"/>
    <w:rsid w:val="007A63D9"/>
    <w:rsid w:val="007A7867"/>
    <w:rsid w:val="007A7B33"/>
    <w:rsid w:val="007A7D79"/>
    <w:rsid w:val="007B0500"/>
    <w:rsid w:val="007B1475"/>
    <w:rsid w:val="007B18A7"/>
    <w:rsid w:val="007B2F45"/>
    <w:rsid w:val="007B3FA0"/>
    <w:rsid w:val="007B459D"/>
    <w:rsid w:val="007B49E9"/>
    <w:rsid w:val="007B4FE0"/>
    <w:rsid w:val="007B530C"/>
    <w:rsid w:val="007B644B"/>
    <w:rsid w:val="007B6B4C"/>
    <w:rsid w:val="007B795B"/>
    <w:rsid w:val="007C07AC"/>
    <w:rsid w:val="007C08FD"/>
    <w:rsid w:val="007C1CA3"/>
    <w:rsid w:val="007C3041"/>
    <w:rsid w:val="007C3132"/>
    <w:rsid w:val="007C448E"/>
    <w:rsid w:val="007C44A9"/>
    <w:rsid w:val="007C4EB5"/>
    <w:rsid w:val="007C5BE6"/>
    <w:rsid w:val="007C60BB"/>
    <w:rsid w:val="007C6375"/>
    <w:rsid w:val="007C64C3"/>
    <w:rsid w:val="007C7032"/>
    <w:rsid w:val="007C77E7"/>
    <w:rsid w:val="007D0FA4"/>
    <w:rsid w:val="007D10AF"/>
    <w:rsid w:val="007D14EE"/>
    <w:rsid w:val="007D1871"/>
    <w:rsid w:val="007D239D"/>
    <w:rsid w:val="007D2985"/>
    <w:rsid w:val="007D2A8D"/>
    <w:rsid w:val="007D2BFE"/>
    <w:rsid w:val="007D2CC0"/>
    <w:rsid w:val="007D30A9"/>
    <w:rsid w:val="007D46AC"/>
    <w:rsid w:val="007D4EF9"/>
    <w:rsid w:val="007D523C"/>
    <w:rsid w:val="007D536F"/>
    <w:rsid w:val="007D57FE"/>
    <w:rsid w:val="007D6ADA"/>
    <w:rsid w:val="007D7479"/>
    <w:rsid w:val="007D79CD"/>
    <w:rsid w:val="007D7D73"/>
    <w:rsid w:val="007E0591"/>
    <w:rsid w:val="007E0A7C"/>
    <w:rsid w:val="007E0C9F"/>
    <w:rsid w:val="007E0F18"/>
    <w:rsid w:val="007E0F5F"/>
    <w:rsid w:val="007E44AD"/>
    <w:rsid w:val="007E552D"/>
    <w:rsid w:val="007E6F96"/>
    <w:rsid w:val="007E7B86"/>
    <w:rsid w:val="007E7C77"/>
    <w:rsid w:val="007E7D05"/>
    <w:rsid w:val="007F13E8"/>
    <w:rsid w:val="007F1484"/>
    <w:rsid w:val="007F1719"/>
    <w:rsid w:val="007F2860"/>
    <w:rsid w:val="007F31F6"/>
    <w:rsid w:val="007F335C"/>
    <w:rsid w:val="007F4D25"/>
    <w:rsid w:val="007F51A8"/>
    <w:rsid w:val="007F51F3"/>
    <w:rsid w:val="007F5487"/>
    <w:rsid w:val="007F6402"/>
    <w:rsid w:val="007F6A23"/>
    <w:rsid w:val="007F7A5F"/>
    <w:rsid w:val="0080034A"/>
    <w:rsid w:val="00800E85"/>
    <w:rsid w:val="00801168"/>
    <w:rsid w:val="0080126E"/>
    <w:rsid w:val="008014F7"/>
    <w:rsid w:val="00802254"/>
    <w:rsid w:val="0080249A"/>
    <w:rsid w:val="008026ED"/>
    <w:rsid w:val="00804429"/>
    <w:rsid w:val="0080470F"/>
    <w:rsid w:val="0080482C"/>
    <w:rsid w:val="00805474"/>
    <w:rsid w:val="00807C3D"/>
    <w:rsid w:val="00807D00"/>
    <w:rsid w:val="00810002"/>
    <w:rsid w:val="0081080B"/>
    <w:rsid w:val="00810B7B"/>
    <w:rsid w:val="008111D3"/>
    <w:rsid w:val="00812269"/>
    <w:rsid w:val="008145B5"/>
    <w:rsid w:val="00814637"/>
    <w:rsid w:val="008154CD"/>
    <w:rsid w:val="008162CB"/>
    <w:rsid w:val="00816EAB"/>
    <w:rsid w:val="00817E3D"/>
    <w:rsid w:val="008202A7"/>
    <w:rsid w:val="00820BB3"/>
    <w:rsid w:val="00821317"/>
    <w:rsid w:val="00821A96"/>
    <w:rsid w:val="00822317"/>
    <w:rsid w:val="0082285F"/>
    <w:rsid w:val="00822B8A"/>
    <w:rsid w:val="008233AA"/>
    <w:rsid w:val="008239ED"/>
    <w:rsid w:val="00824078"/>
    <w:rsid w:val="0082485E"/>
    <w:rsid w:val="00824E12"/>
    <w:rsid w:val="008250D4"/>
    <w:rsid w:val="00826191"/>
    <w:rsid w:val="00826CE0"/>
    <w:rsid w:val="00827028"/>
    <w:rsid w:val="008272FF"/>
    <w:rsid w:val="00830E9A"/>
    <w:rsid w:val="00831164"/>
    <w:rsid w:val="00832776"/>
    <w:rsid w:val="00832A4E"/>
    <w:rsid w:val="0083329B"/>
    <w:rsid w:val="008335B2"/>
    <w:rsid w:val="0083373A"/>
    <w:rsid w:val="008342AD"/>
    <w:rsid w:val="00834FA6"/>
    <w:rsid w:val="00835553"/>
    <w:rsid w:val="00835870"/>
    <w:rsid w:val="00835B48"/>
    <w:rsid w:val="00835D90"/>
    <w:rsid w:val="00836FD3"/>
    <w:rsid w:val="00837067"/>
    <w:rsid w:val="00837948"/>
    <w:rsid w:val="00840330"/>
    <w:rsid w:val="00841064"/>
    <w:rsid w:val="00841477"/>
    <w:rsid w:val="00842C1E"/>
    <w:rsid w:val="00844385"/>
    <w:rsid w:val="00844CDF"/>
    <w:rsid w:val="00844DDA"/>
    <w:rsid w:val="008450A3"/>
    <w:rsid w:val="00845BC5"/>
    <w:rsid w:val="008461FB"/>
    <w:rsid w:val="0084672F"/>
    <w:rsid w:val="00846892"/>
    <w:rsid w:val="00847294"/>
    <w:rsid w:val="00847B03"/>
    <w:rsid w:val="00850506"/>
    <w:rsid w:val="008508A9"/>
    <w:rsid w:val="0085105A"/>
    <w:rsid w:val="00851C00"/>
    <w:rsid w:val="00852834"/>
    <w:rsid w:val="008529C0"/>
    <w:rsid w:val="00852B83"/>
    <w:rsid w:val="00853148"/>
    <w:rsid w:val="0085319C"/>
    <w:rsid w:val="0085358E"/>
    <w:rsid w:val="00854616"/>
    <w:rsid w:val="00854FD5"/>
    <w:rsid w:val="00854FD7"/>
    <w:rsid w:val="008556CB"/>
    <w:rsid w:val="008557E2"/>
    <w:rsid w:val="00855A66"/>
    <w:rsid w:val="00855BAB"/>
    <w:rsid w:val="0085653E"/>
    <w:rsid w:val="00857394"/>
    <w:rsid w:val="008575D4"/>
    <w:rsid w:val="008602E4"/>
    <w:rsid w:val="00862BE6"/>
    <w:rsid w:val="00863539"/>
    <w:rsid w:val="00863646"/>
    <w:rsid w:val="00865278"/>
    <w:rsid w:val="00866139"/>
    <w:rsid w:val="008661FA"/>
    <w:rsid w:val="008666AC"/>
    <w:rsid w:val="00866A75"/>
    <w:rsid w:val="00866C8D"/>
    <w:rsid w:val="00866E40"/>
    <w:rsid w:val="00867C75"/>
    <w:rsid w:val="00870343"/>
    <w:rsid w:val="008730B6"/>
    <w:rsid w:val="0087313F"/>
    <w:rsid w:val="00873222"/>
    <w:rsid w:val="008745D6"/>
    <w:rsid w:val="00874BE4"/>
    <w:rsid w:val="00874FC4"/>
    <w:rsid w:val="008755C2"/>
    <w:rsid w:val="00875613"/>
    <w:rsid w:val="008757C6"/>
    <w:rsid w:val="0087696E"/>
    <w:rsid w:val="00876AD4"/>
    <w:rsid w:val="00877FF5"/>
    <w:rsid w:val="00880F4F"/>
    <w:rsid w:val="00882964"/>
    <w:rsid w:val="00883642"/>
    <w:rsid w:val="00884596"/>
    <w:rsid w:val="00885388"/>
    <w:rsid w:val="00886F22"/>
    <w:rsid w:val="00887748"/>
    <w:rsid w:val="00890EF2"/>
    <w:rsid w:val="00891817"/>
    <w:rsid w:val="00891DCB"/>
    <w:rsid w:val="00893C5C"/>
    <w:rsid w:val="00893D71"/>
    <w:rsid w:val="00894048"/>
    <w:rsid w:val="0089511F"/>
    <w:rsid w:val="008954D1"/>
    <w:rsid w:val="00895D9A"/>
    <w:rsid w:val="00895F6C"/>
    <w:rsid w:val="00896324"/>
    <w:rsid w:val="0089693B"/>
    <w:rsid w:val="00897D17"/>
    <w:rsid w:val="008A0346"/>
    <w:rsid w:val="008A10CD"/>
    <w:rsid w:val="008A23F7"/>
    <w:rsid w:val="008A2765"/>
    <w:rsid w:val="008A481F"/>
    <w:rsid w:val="008A4A61"/>
    <w:rsid w:val="008A4FC8"/>
    <w:rsid w:val="008A5BC3"/>
    <w:rsid w:val="008A61A9"/>
    <w:rsid w:val="008A6ED6"/>
    <w:rsid w:val="008A716E"/>
    <w:rsid w:val="008B0B53"/>
    <w:rsid w:val="008B1277"/>
    <w:rsid w:val="008B130D"/>
    <w:rsid w:val="008B1B7E"/>
    <w:rsid w:val="008B1C21"/>
    <w:rsid w:val="008B1F9B"/>
    <w:rsid w:val="008B2C73"/>
    <w:rsid w:val="008B43DF"/>
    <w:rsid w:val="008B5DAE"/>
    <w:rsid w:val="008B6AE4"/>
    <w:rsid w:val="008B70AB"/>
    <w:rsid w:val="008B79CC"/>
    <w:rsid w:val="008C0734"/>
    <w:rsid w:val="008C0E4F"/>
    <w:rsid w:val="008C0EF9"/>
    <w:rsid w:val="008C0FD1"/>
    <w:rsid w:val="008C107D"/>
    <w:rsid w:val="008C1809"/>
    <w:rsid w:val="008C193B"/>
    <w:rsid w:val="008C277E"/>
    <w:rsid w:val="008C3E3B"/>
    <w:rsid w:val="008C58FA"/>
    <w:rsid w:val="008C5E62"/>
    <w:rsid w:val="008C6255"/>
    <w:rsid w:val="008C641E"/>
    <w:rsid w:val="008C6425"/>
    <w:rsid w:val="008C7403"/>
    <w:rsid w:val="008C7960"/>
    <w:rsid w:val="008D11BE"/>
    <w:rsid w:val="008D1F9F"/>
    <w:rsid w:val="008D214E"/>
    <w:rsid w:val="008D32E8"/>
    <w:rsid w:val="008D37B5"/>
    <w:rsid w:val="008D51BC"/>
    <w:rsid w:val="008D54C4"/>
    <w:rsid w:val="008D60C5"/>
    <w:rsid w:val="008E0041"/>
    <w:rsid w:val="008E0584"/>
    <w:rsid w:val="008E10FF"/>
    <w:rsid w:val="008E1424"/>
    <w:rsid w:val="008E14A2"/>
    <w:rsid w:val="008E2338"/>
    <w:rsid w:val="008E24F5"/>
    <w:rsid w:val="008E24F6"/>
    <w:rsid w:val="008E2605"/>
    <w:rsid w:val="008E2640"/>
    <w:rsid w:val="008E34EF"/>
    <w:rsid w:val="008E3E89"/>
    <w:rsid w:val="008E3ED5"/>
    <w:rsid w:val="008E50CA"/>
    <w:rsid w:val="008E6256"/>
    <w:rsid w:val="008E69D3"/>
    <w:rsid w:val="008E6C19"/>
    <w:rsid w:val="008E753F"/>
    <w:rsid w:val="008E7B58"/>
    <w:rsid w:val="008F175F"/>
    <w:rsid w:val="008F1AAF"/>
    <w:rsid w:val="008F1E00"/>
    <w:rsid w:val="008F281B"/>
    <w:rsid w:val="008F2A87"/>
    <w:rsid w:val="008F2FA3"/>
    <w:rsid w:val="008F3262"/>
    <w:rsid w:val="008F3658"/>
    <w:rsid w:val="008F373D"/>
    <w:rsid w:val="008F37D5"/>
    <w:rsid w:val="008F42DA"/>
    <w:rsid w:val="008F522B"/>
    <w:rsid w:val="008F59D9"/>
    <w:rsid w:val="008F6119"/>
    <w:rsid w:val="008F6369"/>
    <w:rsid w:val="008F63BB"/>
    <w:rsid w:val="008F6832"/>
    <w:rsid w:val="008F6D75"/>
    <w:rsid w:val="008F6D8A"/>
    <w:rsid w:val="008F7C16"/>
    <w:rsid w:val="00901065"/>
    <w:rsid w:val="009015D9"/>
    <w:rsid w:val="00901B76"/>
    <w:rsid w:val="00901C14"/>
    <w:rsid w:val="00901DA3"/>
    <w:rsid w:val="00902708"/>
    <w:rsid w:val="0090303E"/>
    <w:rsid w:val="00903942"/>
    <w:rsid w:val="009053DE"/>
    <w:rsid w:val="00905410"/>
    <w:rsid w:val="00905494"/>
    <w:rsid w:val="00905D4C"/>
    <w:rsid w:val="00906333"/>
    <w:rsid w:val="0090677C"/>
    <w:rsid w:val="00906AC8"/>
    <w:rsid w:val="00906E9D"/>
    <w:rsid w:val="00907234"/>
    <w:rsid w:val="00910A98"/>
    <w:rsid w:val="00910E4F"/>
    <w:rsid w:val="00911409"/>
    <w:rsid w:val="009121E6"/>
    <w:rsid w:val="00912202"/>
    <w:rsid w:val="00912D3E"/>
    <w:rsid w:val="00915ADE"/>
    <w:rsid w:val="00915C13"/>
    <w:rsid w:val="009174AA"/>
    <w:rsid w:val="00917608"/>
    <w:rsid w:val="00920C21"/>
    <w:rsid w:val="0092148D"/>
    <w:rsid w:val="00921548"/>
    <w:rsid w:val="0092332B"/>
    <w:rsid w:val="00924556"/>
    <w:rsid w:val="00924A17"/>
    <w:rsid w:val="00924A9E"/>
    <w:rsid w:val="00924DE7"/>
    <w:rsid w:val="00925762"/>
    <w:rsid w:val="00926507"/>
    <w:rsid w:val="00927444"/>
    <w:rsid w:val="0092780E"/>
    <w:rsid w:val="00930064"/>
    <w:rsid w:val="00931DAC"/>
    <w:rsid w:val="0093246F"/>
    <w:rsid w:val="00933827"/>
    <w:rsid w:val="00933EB9"/>
    <w:rsid w:val="009347F3"/>
    <w:rsid w:val="009359FC"/>
    <w:rsid w:val="0093750B"/>
    <w:rsid w:val="00937A68"/>
    <w:rsid w:val="00940770"/>
    <w:rsid w:val="0094172C"/>
    <w:rsid w:val="009419E4"/>
    <w:rsid w:val="00941A4B"/>
    <w:rsid w:val="00942526"/>
    <w:rsid w:val="00943715"/>
    <w:rsid w:val="0094461F"/>
    <w:rsid w:val="00944B03"/>
    <w:rsid w:val="00945A7B"/>
    <w:rsid w:val="00946B8D"/>
    <w:rsid w:val="00947521"/>
    <w:rsid w:val="009522A7"/>
    <w:rsid w:val="00952763"/>
    <w:rsid w:val="00952D55"/>
    <w:rsid w:val="00953802"/>
    <w:rsid w:val="00954480"/>
    <w:rsid w:val="009548AF"/>
    <w:rsid w:val="009557F5"/>
    <w:rsid w:val="00955B54"/>
    <w:rsid w:val="00957289"/>
    <w:rsid w:val="00960DEF"/>
    <w:rsid w:val="009628BB"/>
    <w:rsid w:val="00963809"/>
    <w:rsid w:val="00964ED0"/>
    <w:rsid w:val="00965A46"/>
    <w:rsid w:val="009669E0"/>
    <w:rsid w:val="009673CE"/>
    <w:rsid w:val="00967B2F"/>
    <w:rsid w:val="00970F96"/>
    <w:rsid w:val="00971B4B"/>
    <w:rsid w:val="00971FDB"/>
    <w:rsid w:val="00972CBC"/>
    <w:rsid w:val="0097359D"/>
    <w:rsid w:val="00973633"/>
    <w:rsid w:val="009739DA"/>
    <w:rsid w:val="00973AAF"/>
    <w:rsid w:val="00973C21"/>
    <w:rsid w:val="00974FD8"/>
    <w:rsid w:val="009761B8"/>
    <w:rsid w:val="009763D6"/>
    <w:rsid w:val="0097744C"/>
    <w:rsid w:val="00977746"/>
    <w:rsid w:val="0097795E"/>
    <w:rsid w:val="00977D91"/>
    <w:rsid w:val="00980603"/>
    <w:rsid w:val="0098163D"/>
    <w:rsid w:val="00982025"/>
    <w:rsid w:val="00982832"/>
    <w:rsid w:val="00983FD0"/>
    <w:rsid w:val="009842F4"/>
    <w:rsid w:val="0098443B"/>
    <w:rsid w:val="00984C61"/>
    <w:rsid w:val="009865D1"/>
    <w:rsid w:val="00986E16"/>
    <w:rsid w:val="00987266"/>
    <w:rsid w:val="00990394"/>
    <w:rsid w:val="00990621"/>
    <w:rsid w:val="00990BBC"/>
    <w:rsid w:val="00990DFF"/>
    <w:rsid w:val="009919EC"/>
    <w:rsid w:val="00991BD7"/>
    <w:rsid w:val="009930B4"/>
    <w:rsid w:val="00993179"/>
    <w:rsid w:val="00993AFB"/>
    <w:rsid w:val="00994F1D"/>
    <w:rsid w:val="00994F32"/>
    <w:rsid w:val="00996012"/>
    <w:rsid w:val="0099612A"/>
    <w:rsid w:val="00996490"/>
    <w:rsid w:val="00996B55"/>
    <w:rsid w:val="00997EE8"/>
    <w:rsid w:val="009A0633"/>
    <w:rsid w:val="009A1458"/>
    <w:rsid w:val="009A1483"/>
    <w:rsid w:val="009A16B2"/>
    <w:rsid w:val="009A180C"/>
    <w:rsid w:val="009A2864"/>
    <w:rsid w:val="009A2BF2"/>
    <w:rsid w:val="009A46B3"/>
    <w:rsid w:val="009A4BE8"/>
    <w:rsid w:val="009A4EDD"/>
    <w:rsid w:val="009A568F"/>
    <w:rsid w:val="009A6128"/>
    <w:rsid w:val="009A66B1"/>
    <w:rsid w:val="009A696D"/>
    <w:rsid w:val="009A733B"/>
    <w:rsid w:val="009B06DC"/>
    <w:rsid w:val="009B12DF"/>
    <w:rsid w:val="009B2F1B"/>
    <w:rsid w:val="009B3A3D"/>
    <w:rsid w:val="009B4152"/>
    <w:rsid w:val="009B47A8"/>
    <w:rsid w:val="009B484A"/>
    <w:rsid w:val="009B55F9"/>
    <w:rsid w:val="009B5FD5"/>
    <w:rsid w:val="009B616E"/>
    <w:rsid w:val="009B67F6"/>
    <w:rsid w:val="009B6F41"/>
    <w:rsid w:val="009B7295"/>
    <w:rsid w:val="009B7839"/>
    <w:rsid w:val="009C07C7"/>
    <w:rsid w:val="009C1328"/>
    <w:rsid w:val="009C141F"/>
    <w:rsid w:val="009C21D8"/>
    <w:rsid w:val="009C2ED1"/>
    <w:rsid w:val="009C3474"/>
    <w:rsid w:val="009C46B0"/>
    <w:rsid w:val="009C4809"/>
    <w:rsid w:val="009C6743"/>
    <w:rsid w:val="009C7FA8"/>
    <w:rsid w:val="009D000B"/>
    <w:rsid w:val="009D4A08"/>
    <w:rsid w:val="009D4C26"/>
    <w:rsid w:val="009E087D"/>
    <w:rsid w:val="009E14FA"/>
    <w:rsid w:val="009E1A24"/>
    <w:rsid w:val="009E1C05"/>
    <w:rsid w:val="009E3AD8"/>
    <w:rsid w:val="009E3DD8"/>
    <w:rsid w:val="009E5411"/>
    <w:rsid w:val="009E5854"/>
    <w:rsid w:val="009E799E"/>
    <w:rsid w:val="009E7B9A"/>
    <w:rsid w:val="009F1364"/>
    <w:rsid w:val="009F2AA9"/>
    <w:rsid w:val="009F2D09"/>
    <w:rsid w:val="009F3188"/>
    <w:rsid w:val="009F32D3"/>
    <w:rsid w:val="009F4109"/>
    <w:rsid w:val="009F4679"/>
    <w:rsid w:val="009F4725"/>
    <w:rsid w:val="009F4D83"/>
    <w:rsid w:val="009F5A98"/>
    <w:rsid w:val="009F5BC2"/>
    <w:rsid w:val="009F5E48"/>
    <w:rsid w:val="009F664D"/>
    <w:rsid w:val="009F6885"/>
    <w:rsid w:val="009F78AA"/>
    <w:rsid w:val="00A00657"/>
    <w:rsid w:val="00A00A8E"/>
    <w:rsid w:val="00A01456"/>
    <w:rsid w:val="00A016E6"/>
    <w:rsid w:val="00A0184A"/>
    <w:rsid w:val="00A02F83"/>
    <w:rsid w:val="00A0314D"/>
    <w:rsid w:val="00A03F6A"/>
    <w:rsid w:val="00A0427C"/>
    <w:rsid w:val="00A04772"/>
    <w:rsid w:val="00A0528B"/>
    <w:rsid w:val="00A0596D"/>
    <w:rsid w:val="00A10010"/>
    <w:rsid w:val="00A10579"/>
    <w:rsid w:val="00A10DF3"/>
    <w:rsid w:val="00A11027"/>
    <w:rsid w:val="00A110CD"/>
    <w:rsid w:val="00A146A9"/>
    <w:rsid w:val="00A15D67"/>
    <w:rsid w:val="00A1606A"/>
    <w:rsid w:val="00A161EE"/>
    <w:rsid w:val="00A162C8"/>
    <w:rsid w:val="00A16BAF"/>
    <w:rsid w:val="00A17585"/>
    <w:rsid w:val="00A20121"/>
    <w:rsid w:val="00A20F37"/>
    <w:rsid w:val="00A20FBA"/>
    <w:rsid w:val="00A2183E"/>
    <w:rsid w:val="00A23681"/>
    <w:rsid w:val="00A23783"/>
    <w:rsid w:val="00A253BF"/>
    <w:rsid w:val="00A260CD"/>
    <w:rsid w:val="00A27548"/>
    <w:rsid w:val="00A27C07"/>
    <w:rsid w:val="00A31E21"/>
    <w:rsid w:val="00A32682"/>
    <w:rsid w:val="00A327EE"/>
    <w:rsid w:val="00A329C4"/>
    <w:rsid w:val="00A32A5C"/>
    <w:rsid w:val="00A330D7"/>
    <w:rsid w:val="00A341AD"/>
    <w:rsid w:val="00A346D0"/>
    <w:rsid w:val="00A34EDF"/>
    <w:rsid w:val="00A35E5B"/>
    <w:rsid w:val="00A374AB"/>
    <w:rsid w:val="00A40251"/>
    <w:rsid w:val="00A40618"/>
    <w:rsid w:val="00A40C6E"/>
    <w:rsid w:val="00A414BC"/>
    <w:rsid w:val="00A4154B"/>
    <w:rsid w:val="00A4165B"/>
    <w:rsid w:val="00A441F9"/>
    <w:rsid w:val="00A442FD"/>
    <w:rsid w:val="00A45518"/>
    <w:rsid w:val="00A4578D"/>
    <w:rsid w:val="00A464FD"/>
    <w:rsid w:val="00A46814"/>
    <w:rsid w:val="00A502EE"/>
    <w:rsid w:val="00A50D6F"/>
    <w:rsid w:val="00A50ED3"/>
    <w:rsid w:val="00A50EE0"/>
    <w:rsid w:val="00A51112"/>
    <w:rsid w:val="00A51385"/>
    <w:rsid w:val="00A515AB"/>
    <w:rsid w:val="00A51FAC"/>
    <w:rsid w:val="00A54B02"/>
    <w:rsid w:val="00A54FF2"/>
    <w:rsid w:val="00A558C8"/>
    <w:rsid w:val="00A566EB"/>
    <w:rsid w:val="00A57028"/>
    <w:rsid w:val="00A5738A"/>
    <w:rsid w:val="00A574C6"/>
    <w:rsid w:val="00A5784B"/>
    <w:rsid w:val="00A60AEB"/>
    <w:rsid w:val="00A61A70"/>
    <w:rsid w:val="00A61D72"/>
    <w:rsid w:val="00A6344A"/>
    <w:rsid w:val="00A636CA"/>
    <w:rsid w:val="00A64A1D"/>
    <w:rsid w:val="00A64C5F"/>
    <w:rsid w:val="00A64E0E"/>
    <w:rsid w:val="00A651C5"/>
    <w:rsid w:val="00A65265"/>
    <w:rsid w:val="00A6526C"/>
    <w:rsid w:val="00A652FD"/>
    <w:rsid w:val="00A65540"/>
    <w:rsid w:val="00A65EFF"/>
    <w:rsid w:val="00A67186"/>
    <w:rsid w:val="00A67BA8"/>
    <w:rsid w:val="00A70958"/>
    <w:rsid w:val="00A712CB"/>
    <w:rsid w:val="00A713FE"/>
    <w:rsid w:val="00A71736"/>
    <w:rsid w:val="00A7237B"/>
    <w:rsid w:val="00A72821"/>
    <w:rsid w:val="00A72A56"/>
    <w:rsid w:val="00A736FD"/>
    <w:rsid w:val="00A73AC4"/>
    <w:rsid w:val="00A7464A"/>
    <w:rsid w:val="00A74F26"/>
    <w:rsid w:val="00A75DED"/>
    <w:rsid w:val="00A7646B"/>
    <w:rsid w:val="00A76C86"/>
    <w:rsid w:val="00A770AA"/>
    <w:rsid w:val="00A773B1"/>
    <w:rsid w:val="00A776AD"/>
    <w:rsid w:val="00A77A70"/>
    <w:rsid w:val="00A77E2B"/>
    <w:rsid w:val="00A81A6C"/>
    <w:rsid w:val="00A82140"/>
    <w:rsid w:val="00A823E6"/>
    <w:rsid w:val="00A8314F"/>
    <w:rsid w:val="00A844E8"/>
    <w:rsid w:val="00A85477"/>
    <w:rsid w:val="00A854B7"/>
    <w:rsid w:val="00A85ADC"/>
    <w:rsid w:val="00A85DF4"/>
    <w:rsid w:val="00A902CF"/>
    <w:rsid w:val="00A90804"/>
    <w:rsid w:val="00A932AB"/>
    <w:rsid w:val="00A932E1"/>
    <w:rsid w:val="00A93FCF"/>
    <w:rsid w:val="00A94BFE"/>
    <w:rsid w:val="00A958A2"/>
    <w:rsid w:val="00A95C5E"/>
    <w:rsid w:val="00A968B0"/>
    <w:rsid w:val="00A96AA9"/>
    <w:rsid w:val="00A9708E"/>
    <w:rsid w:val="00A973DF"/>
    <w:rsid w:val="00A974C6"/>
    <w:rsid w:val="00AA0F49"/>
    <w:rsid w:val="00AA2C91"/>
    <w:rsid w:val="00AA3B59"/>
    <w:rsid w:val="00AA3F56"/>
    <w:rsid w:val="00AA4E3E"/>
    <w:rsid w:val="00AA60BE"/>
    <w:rsid w:val="00AB0671"/>
    <w:rsid w:val="00AB155E"/>
    <w:rsid w:val="00AB2E62"/>
    <w:rsid w:val="00AB523B"/>
    <w:rsid w:val="00AB5E3D"/>
    <w:rsid w:val="00AB6D40"/>
    <w:rsid w:val="00AB751A"/>
    <w:rsid w:val="00AB787F"/>
    <w:rsid w:val="00AC075A"/>
    <w:rsid w:val="00AC2477"/>
    <w:rsid w:val="00AC26BC"/>
    <w:rsid w:val="00AC29A7"/>
    <w:rsid w:val="00AC4BFE"/>
    <w:rsid w:val="00AC64EC"/>
    <w:rsid w:val="00AC7909"/>
    <w:rsid w:val="00AD00A0"/>
    <w:rsid w:val="00AD01F0"/>
    <w:rsid w:val="00AD0826"/>
    <w:rsid w:val="00AD1392"/>
    <w:rsid w:val="00AD1B1A"/>
    <w:rsid w:val="00AD1ECC"/>
    <w:rsid w:val="00AD223A"/>
    <w:rsid w:val="00AD33FB"/>
    <w:rsid w:val="00AD394E"/>
    <w:rsid w:val="00AD5285"/>
    <w:rsid w:val="00AD6C4B"/>
    <w:rsid w:val="00AE0240"/>
    <w:rsid w:val="00AE1715"/>
    <w:rsid w:val="00AE1AC9"/>
    <w:rsid w:val="00AE1E7F"/>
    <w:rsid w:val="00AE2F48"/>
    <w:rsid w:val="00AE314B"/>
    <w:rsid w:val="00AE3348"/>
    <w:rsid w:val="00AE3DD7"/>
    <w:rsid w:val="00AE4316"/>
    <w:rsid w:val="00AE4F79"/>
    <w:rsid w:val="00AE5043"/>
    <w:rsid w:val="00AE63FB"/>
    <w:rsid w:val="00AE7142"/>
    <w:rsid w:val="00AF28FD"/>
    <w:rsid w:val="00AF2C1E"/>
    <w:rsid w:val="00AF2DFA"/>
    <w:rsid w:val="00AF2FA7"/>
    <w:rsid w:val="00AF349D"/>
    <w:rsid w:val="00AF397A"/>
    <w:rsid w:val="00AF3A87"/>
    <w:rsid w:val="00AF44F1"/>
    <w:rsid w:val="00AF452F"/>
    <w:rsid w:val="00AF46C1"/>
    <w:rsid w:val="00AF4D7C"/>
    <w:rsid w:val="00AF5B02"/>
    <w:rsid w:val="00AF6056"/>
    <w:rsid w:val="00AF6E95"/>
    <w:rsid w:val="00AF74A4"/>
    <w:rsid w:val="00AF7E97"/>
    <w:rsid w:val="00B00FEC"/>
    <w:rsid w:val="00B02563"/>
    <w:rsid w:val="00B02AF7"/>
    <w:rsid w:val="00B031A8"/>
    <w:rsid w:val="00B044C5"/>
    <w:rsid w:val="00B04BCE"/>
    <w:rsid w:val="00B05309"/>
    <w:rsid w:val="00B053F6"/>
    <w:rsid w:val="00B056C1"/>
    <w:rsid w:val="00B05781"/>
    <w:rsid w:val="00B06421"/>
    <w:rsid w:val="00B068EB"/>
    <w:rsid w:val="00B06A7E"/>
    <w:rsid w:val="00B06A93"/>
    <w:rsid w:val="00B07721"/>
    <w:rsid w:val="00B07D45"/>
    <w:rsid w:val="00B10194"/>
    <w:rsid w:val="00B104D0"/>
    <w:rsid w:val="00B12EDF"/>
    <w:rsid w:val="00B13B24"/>
    <w:rsid w:val="00B13C5D"/>
    <w:rsid w:val="00B1518D"/>
    <w:rsid w:val="00B163F8"/>
    <w:rsid w:val="00B16452"/>
    <w:rsid w:val="00B16FE3"/>
    <w:rsid w:val="00B17C1C"/>
    <w:rsid w:val="00B201E0"/>
    <w:rsid w:val="00B20386"/>
    <w:rsid w:val="00B20AB8"/>
    <w:rsid w:val="00B20B4B"/>
    <w:rsid w:val="00B20D95"/>
    <w:rsid w:val="00B21FEF"/>
    <w:rsid w:val="00B23544"/>
    <w:rsid w:val="00B24B1F"/>
    <w:rsid w:val="00B24CF7"/>
    <w:rsid w:val="00B253E5"/>
    <w:rsid w:val="00B27FF0"/>
    <w:rsid w:val="00B30146"/>
    <w:rsid w:val="00B30711"/>
    <w:rsid w:val="00B30AD8"/>
    <w:rsid w:val="00B3145D"/>
    <w:rsid w:val="00B31491"/>
    <w:rsid w:val="00B31FF2"/>
    <w:rsid w:val="00B329AA"/>
    <w:rsid w:val="00B32B63"/>
    <w:rsid w:val="00B3340B"/>
    <w:rsid w:val="00B3366A"/>
    <w:rsid w:val="00B3477C"/>
    <w:rsid w:val="00B34C59"/>
    <w:rsid w:val="00B34D3E"/>
    <w:rsid w:val="00B34D48"/>
    <w:rsid w:val="00B350FD"/>
    <w:rsid w:val="00B3541B"/>
    <w:rsid w:val="00B35A94"/>
    <w:rsid w:val="00B361C7"/>
    <w:rsid w:val="00B3721E"/>
    <w:rsid w:val="00B376E2"/>
    <w:rsid w:val="00B37948"/>
    <w:rsid w:val="00B40068"/>
    <w:rsid w:val="00B40490"/>
    <w:rsid w:val="00B404B6"/>
    <w:rsid w:val="00B40B30"/>
    <w:rsid w:val="00B40CA4"/>
    <w:rsid w:val="00B418CC"/>
    <w:rsid w:val="00B41E88"/>
    <w:rsid w:val="00B422A6"/>
    <w:rsid w:val="00B444A6"/>
    <w:rsid w:val="00B4564D"/>
    <w:rsid w:val="00B456BD"/>
    <w:rsid w:val="00B45E4C"/>
    <w:rsid w:val="00B46F15"/>
    <w:rsid w:val="00B476C1"/>
    <w:rsid w:val="00B47EE9"/>
    <w:rsid w:val="00B534DB"/>
    <w:rsid w:val="00B5505F"/>
    <w:rsid w:val="00B55B15"/>
    <w:rsid w:val="00B55F58"/>
    <w:rsid w:val="00B55F7C"/>
    <w:rsid w:val="00B56985"/>
    <w:rsid w:val="00B57A69"/>
    <w:rsid w:val="00B57DFA"/>
    <w:rsid w:val="00B604A0"/>
    <w:rsid w:val="00B604AD"/>
    <w:rsid w:val="00B60662"/>
    <w:rsid w:val="00B60AFF"/>
    <w:rsid w:val="00B61027"/>
    <w:rsid w:val="00B61B80"/>
    <w:rsid w:val="00B63719"/>
    <w:rsid w:val="00B6371F"/>
    <w:rsid w:val="00B63DED"/>
    <w:rsid w:val="00B6470A"/>
    <w:rsid w:val="00B64F4F"/>
    <w:rsid w:val="00B65071"/>
    <w:rsid w:val="00B65434"/>
    <w:rsid w:val="00B67993"/>
    <w:rsid w:val="00B67CE6"/>
    <w:rsid w:val="00B70983"/>
    <w:rsid w:val="00B7143D"/>
    <w:rsid w:val="00B72C59"/>
    <w:rsid w:val="00B739CD"/>
    <w:rsid w:val="00B74077"/>
    <w:rsid w:val="00B7531E"/>
    <w:rsid w:val="00B7569A"/>
    <w:rsid w:val="00B764A3"/>
    <w:rsid w:val="00B80F09"/>
    <w:rsid w:val="00B80FB8"/>
    <w:rsid w:val="00B80FCD"/>
    <w:rsid w:val="00B81154"/>
    <w:rsid w:val="00B81758"/>
    <w:rsid w:val="00B8282A"/>
    <w:rsid w:val="00B8487F"/>
    <w:rsid w:val="00B85F1C"/>
    <w:rsid w:val="00B86196"/>
    <w:rsid w:val="00B87558"/>
    <w:rsid w:val="00B87D89"/>
    <w:rsid w:val="00B87EFA"/>
    <w:rsid w:val="00B90010"/>
    <w:rsid w:val="00B90C38"/>
    <w:rsid w:val="00B90E15"/>
    <w:rsid w:val="00B90EDD"/>
    <w:rsid w:val="00B910EC"/>
    <w:rsid w:val="00B9287D"/>
    <w:rsid w:val="00B935AE"/>
    <w:rsid w:val="00B93774"/>
    <w:rsid w:val="00B94923"/>
    <w:rsid w:val="00B94F37"/>
    <w:rsid w:val="00B96436"/>
    <w:rsid w:val="00B9752B"/>
    <w:rsid w:val="00BA0F9F"/>
    <w:rsid w:val="00BA14F4"/>
    <w:rsid w:val="00BA1953"/>
    <w:rsid w:val="00BA1A03"/>
    <w:rsid w:val="00BA1A3E"/>
    <w:rsid w:val="00BA3CE6"/>
    <w:rsid w:val="00BA5388"/>
    <w:rsid w:val="00BA53AB"/>
    <w:rsid w:val="00BA5D37"/>
    <w:rsid w:val="00BA6CD6"/>
    <w:rsid w:val="00BA6D6D"/>
    <w:rsid w:val="00BA6E88"/>
    <w:rsid w:val="00BA7322"/>
    <w:rsid w:val="00BB0865"/>
    <w:rsid w:val="00BB0B8D"/>
    <w:rsid w:val="00BB0B94"/>
    <w:rsid w:val="00BB0BEB"/>
    <w:rsid w:val="00BB1BFB"/>
    <w:rsid w:val="00BB1CDF"/>
    <w:rsid w:val="00BB2473"/>
    <w:rsid w:val="00BB2E27"/>
    <w:rsid w:val="00BB313C"/>
    <w:rsid w:val="00BB33E7"/>
    <w:rsid w:val="00BB34BF"/>
    <w:rsid w:val="00BB536D"/>
    <w:rsid w:val="00BB53EC"/>
    <w:rsid w:val="00BB543E"/>
    <w:rsid w:val="00BB60A8"/>
    <w:rsid w:val="00BB6E95"/>
    <w:rsid w:val="00BC068D"/>
    <w:rsid w:val="00BC0716"/>
    <w:rsid w:val="00BC0DD6"/>
    <w:rsid w:val="00BC30FB"/>
    <w:rsid w:val="00BC31DF"/>
    <w:rsid w:val="00BC4940"/>
    <w:rsid w:val="00BC57CD"/>
    <w:rsid w:val="00BC5A77"/>
    <w:rsid w:val="00BC5CF5"/>
    <w:rsid w:val="00BC6C2F"/>
    <w:rsid w:val="00BC7110"/>
    <w:rsid w:val="00BD001E"/>
    <w:rsid w:val="00BD074D"/>
    <w:rsid w:val="00BD1276"/>
    <w:rsid w:val="00BD1915"/>
    <w:rsid w:val="00BD1C0F"/>
    <w:rsid w:val="00BD1CEB"/>
    <w:rsid w:val="00BD2A46"/>
    <w:rsid w:val="00BD346B"/>
    <w:rsid w:val="00BD3501"/>
    <w:rsid w:val="00BD38A0"/>
    <w:rsid w:val="00BD3FEE"/>
    <w:rsid w:val="00BD4DA7"/>
    <w:rsid w:val="00BD510B"/>
    <w:rsid w:val="00BD5890"/>
    <w:rsid w:val="00BD6423"/>
    <w:rsid w:val="00BD73CE"/>
    <w:rsid w:val="00BD75E2"/>
    <w:rsid w:val="00BD77E2"/>
    <w:rsid w:val="00BD7C81"/>
    <w:rsid w:val="00BD7CEA"/>
    <w:rsid w:val="00BE0659"/>
    <w:rsid w:val="00BE0E40"/>
    <w:rsid w:val="00BE106B"/>
    <w:rsid w:val="00BE125A"/>
    <w:rsid w:val="00BE1414"/>
    <w:rsid w:val="00BE1A4D"/>
    <w:rsid w:val="00BE1DC7"/>
    <w:rsid w:val="00BE2240"/>
    <w:rsid w:val="00BE26CC"/>
    <w:rsid w:val="00BE31C3"/>
    <w:rsid w:val="00BE3606"/>
    <w:rsid w:val="00BE362E"/>
    <w:rsid w:val="00BE46C6"/>
    <w:rsid w:val="00BE4B1D"/>
    <w:rsid w:val="00BE75E0"/>
    <w:rsid w:val="00BE7D67"/>
    <w:rsid w:val="00BE7E4A"/>
    <w:rsid w:val="00BF0324"/>
    <w:rsid w:val="00BF0B2B"/>
    <w:rsid w:val="00BF1AF3"/>
    <w:rsid w:val="00BF1AFF"/>
    <w:rsid w:val="00BF1B56"/>
    <w:rsid w:val="00BF2695"/>
    <w:rsid w:val="00BF3095"/>
    <w:rsid w:val="00BF33A7"/>
    <w:rsid w:val="00BF3B07"/>
    <w:rsid w:val="00BF3D95"/>
    <w:rsid w:val="00BF48D5"/>
    <w:rsid w:val="00BF5123"/>
    <w:rsid w:val="00BF6423"/>
    <w:rsid w:val="00BF6556"/>
    <w:rsid w:val="00BF6AC3"/>
    <w:rsid w:val="00BF74A4"/>
    <w:rsid w:val="00BF7976"/>
    <w:rsid w:val="00BF79D9"/>
    <w:rsid w:val="00C009E4"/>
    <w:rsid w:val="00C00BD4"/>
    <w:rsid w:val="00C00EB5"/>
    <w:rsid w:val="00C027FC"/>
    <w:rsid w:val="00C03013"/>
    <w:rsid w:val="00C04AF1"/>
    <w:rsid w:val="00C04CE6"/>
    <w:rsid w:val="00C04D1C"/>
    <w:rsid w:val="00C05CF0"/>
    <w:rsid w:val="00C0686E"/>
    <w:rsid w:val="00C06967"/>
    <w:rsid w:val="00C07D54"/>
    <w:rsid w:val="00C101A8"/>
    <w:rsid w:val="00C11417"/>
    <w:rsid w:val="00C119A7"/>
    <w:rsid w:val="00C11B4F"/>
    <w:rsid w:val="00C132BC"/>
    <w:rsid w:val="00C13803"/>
    <w:rsid w:val="00C13ADE"/>
    <w:rsid w:val="00C14650"/>
    <w:rsid w:val="00C147B6"/>
    <w:rsid w:val="00C14823"/>
    <w:rsid w:val="00C14C57"/>
    <w:rsid w:val="00C14EA0"/>
    <w:rsid w:val="00C156A9"/>
    <w:rsid w:val="00C17102"/>
    <w:rsid w:val="00C17919"/>
    <w:rsid w:val="00C17F2D"/>
    <w:rsid w:val="00C17FB9"/>
    <w:rsid w:val="00C203D5"/>
    <w:rsid w:val="00C20DA6"/>
    <w:rsid w:val="00C24191"/>
    <w:rsid w:val="00C24B2A"/>
    <w:rsid w:val="00C26642"/>
    <w:rsid w:val="00C269E3"/>
    <w:rsid w:val="00C3040C"/>
    <w:rsid w:val="00C310DF"/>
    <w:rsid w:val="00C3162D"/>
    <w:rsid w:val="00C31884"/>
    <w:rsid w:val="00C31994"/>
    <w:rsid w:val="00C32765"/>
    <w:rsid w:val="00C32EBB"/>
    <w:rsid w:val="00C32ED8"/>
    <w:rsid w:val="00C33314"/>
    <w:rsid w:val="00C3358A"/>
    <w:rsid w:val="00C335BC"/>
    <w:rsid w:val="00C33D45"/>
    <w:rsid w:val="00C34183"/>
    <w:rsid w:val="00C35ABC"/>
    <w:rsid w:val="00C3716B"/>
    <w:rsid w:val="00C402A9"/>
    <w:rsid w:val="00C40896"/>
    <w:rsid w:val="00C40BEA"/>
    <w:rsid w:val="00C40C25"/>
    <w:rsid w:val="00C40C3B"/>
    <w:rsid w:val="00C41153"/>
    <w:rsid w:val="00C41BB4"/>
    <w:rsid w:val="00C41C19"/>
    <w:rsid w:val="00C43A47"/>
    <w:rsid w:val="00C43EE9"/>
    <w:rsid w:val="00C45D2F"/>
    <w:rsid w:val="00C46E29"/>
    <w:rsid w:val="00C4781E"/>
    <w:rsid w:val="00C514D4"/>
    <w:rsid w:val="00C516D7"/>
    <w:rsid w:val="00C538A8"/>
    <w:rsid w:val="00C5496C"/>
    <w:rsid w:val="00C54E0A"/>
    <w:rsid w:val="00C555B2"/>
    <w:rsid w:val="00C56A62"/>
    <w:rsid w:val="00C579F6"/>
    <w:rsid w:val="00C57FB8"/>
    <w:rsid w:val="00C602A1"/>
    <w:rsid w:val="00C607B0"/>
    <w:rsid w:val="00C61339"/>
    <w:rsid w:val="00C618BB"/>
    <w:rsid w:val="00C61B1A"/>
    <w:rsid w:val="00C628AF"/>
    <w:rsid w:val="00C63022"/>
    <w:rsid w:val="00C642AF"/>
    <w:rsid w:val="00C6642A"/>
    <w:rsid w:val="00C675FE"/>
    <w:rsid w:val="00C67E49"/>
    <w:rsid w:val="00C700A2"/>
    <w:rsid w:val="00C703C7"/>
    <w:rsid w:val="00C705A5"/>
    <w:rsid w:val="00C705DE"/>
    <w:rsid w:val="00C70881"/>
    <w:rsid w:val="00C70984"/>
    <w:rsid w:val="00C71107"/>
    <w:rsid w:val="00C715DB"/>
    <w:rsid w:val="00C71643"/>
    <w:rsid w:val="00C72B72"/>
    <w:rsid w:val="00C72FE5"/>
    <w:rsid w:val="00C7362D"/>
    <w:rsid w:val="00C73FF3"/>
    <w:rsid w:val="00C761DC"/>
    <w:rsid w:val="00C76266"/>
    <w:rsid w:val="00C812CA"/>
    <w:rsid w:val="00C817E7"/>
    <w:rsid w:val="00C81D8B"/>
    <w:rsid w:val="00C826AB"/>
    <w:rsid w:val="00C82CB2"/>
    <w:rsid w:val="00C85312"/>
    <w:rsid w:val="00C853EC"/>
    <w:rsid w:val="00C85D09"/>
    <w:rsid w:val="00C87123"/>
    <w:rsid w:val="00C8715B"/>
    <w:rsid w:val="00C87BB2"/>
    <w:rsid w:val="00C90654"/>
    <w:rsid w:val="00C9069A"/>
    <w:rsid w:val="00C906C5"/>
    <w:rsid w:val="00C90FDB"/>
    <w:rsid w:val="00C913E5"/>
    <w:rsid w:val="00C931D1"/>
    <w:rsid w:val="00C93C9A"/>
    <w:rsid w:val="00C93D36"/>
    <w:rsid w:val="00C93EC3"/>
    <w:rsid w:val="00C94198"/>
    <w:rsid w:val="00C96DF7"/>
    <w:rsid w:val="00C9726E"/>
    <w:rsid w:val="00C973F9"/>
    <w:rsid w:val="00C97894"/>
    <w:rsid w:val="00C97E02"/>
    <w:rsid w:val="00CA08D8"/>
    <w:rsid w:val="00CA16FF"/>
    <w:rsid w:val="00CA176E"/>
    <w:rsid w:val="00CA1948"/>
    <w:rsid w:val="00CA3859"/>
    <w:rsid w:val="00CA3B74"/>
    <w:rsid w:val="00CA3E4F"/>
    <w:rsid w:val="00CA5508"/>
    <w:rsid w:val="00CA55BB"/>
    <w:rsid w:val="00CA5E2D"/>
    <w:rsid w:val="00CA6425"/>
    <w:rsid w:val="00CA6658"/>
    <w:rsid w:val="00CA7BF2"/>
    <w:rsid w:val="00CA7C96"/>
    <w:rsid w:val="00CB127F"/>
    <w:rsid w:val="00CB1E41"/>
    <w:rsid w:val="00CB3F8D"/>
    <w:rsid w:val="00CB4362"/>
    <w:rsid w:val="00CB44CE"/>
    <w:rsid w:val="00CB4B9D"/>
    <w:rsid w:val="00CB5D2A"/>
    <w:rsid w:val="00CB6397"/>
    <w:rsid w:val="00CB6500"/>
    <w:rsid w:val="00CB6A17"/>
    <w:rsid w:val="00CB6AE5"/>
    <w:rsid w:val="00CB77AA"/>
    <w:rsid w:val="00CB7D7A"/>
    <w:rsid w:val="00CB7FF8"/>
    <w:rsid w:val="00CC0373"/>
    <w:rsid w:val="00CC195F"/>
    <w:rsid w:val="00CC1CF3"/>
    <w:rsid w:val="00CC5833"/>
    <w:rsid w:val="00CC63F0"/>
    <w:rsid w:val="00CC6D8B"/>
    <w:rsid w:val="00CC78A9"/>
    <w:rsid w:val="00CD0887"/>
    <w:rsid w:val="00CD1403"/>
    <w:rsid w:val="00CD170D"/>
    <w:rsid w:val="00CD1FE9"/>
    <w:rsid w:val="00CD23FE"/>
    <w:rsid w:val="00CD25C7"/>
    <w:rsid w:val="00CD29D9"/>
    <w:rsid w:val="00CD2BFF"/>
    <w:rsid w:val="00CD32E5"/>
    <w:rsid w:val="00CD4217"/>
    <w:rsid w:val="00CD485D"/>
    <w:rsid w:val="00CD6CD3"/>
    <w:rsid w:val="00CD7A12"/>
    <w:rsid w:val="00CE019B"/>
    <w:rsid w:val="00CE1DF7"/>
    <w:rsid w:val="00CE23CD"/>
    <w:rsid w:val="00CE29FD"/>
    <w:rsid w:val="00CE2DE4"/>
    <w:rsid w:val="00CE317C"/>
    <w:rsid w:val="00CE365C"/>
    <w:rsid w:val="00CE43E0"/>
    <w:rsid w:val="00CE45D7"/>
    <w:rsid w:val="00CE4CDF"/>
    <w:rsid w:val="00CE50D8"/>
    <w:rsid w:val="00CE515A"/>
    <w:rsid w:val="00CE522E"/>
    <w:rsid w:val="00CE68DF"/>
    <w:rsid w:val="00CF071D"/>
    <w:rsid w:val="00CF0813"/>
    <w:rsid w:val="00CF133E"/>
    <w:rsid w:val="00CF149E"/>
    <w:rsid w:val="00CF21D9"/>
    <w:rsid w:val="00CF228F"/>
    <w:rsid w:val="00CF42E2"/>
    <w:rsid w:val="00CF5580"/>
    <w:rsid w:val="00CF57F3"/>
    <w:rsid w:val="00CF6695"/>
    <w:rsid w:val="00CF7695"/>
    <w:rsid w:val="00D00B8B"/>
    <w:rsid w:val="00D00DCE"/>
    <w:rsid w:val="00D01247"/>
    <w:rsid w:val="00D01D9B"/>
    <w:rsid w:val="00D01E8E"/>
    <w:rsid w:val="00D038D1"/>
    <w:rsid w:val="00D03932"/>
    <w:rsid w:val="00D03B20"/>
    <w:rsid w:val="00D044E6"/>
    <w:rsid w:val="00D05A78"/>
    <w:rsid w:val="00D07CC2"/>
    <w:rsid w:val="00D07D29"/>
    <w:rsid w:val="00D1039A"/>
    <w:rsid w:val="00D107C5"/>
    <w:rsid w:val="00D12176"/>
    <w:rsid w:val="00D135EC"/>
    <w:rsid w:val="00D139FF"/>
    <w:rsid w:val="00D13B89"/>
    <w:rsid w:val="00D14522"/>
    <w:rsid w:val="00D14A54"/>
    <w:rsid w:val="00D14FD0"/>
    <w:rsid w:val="00D15E62"/>
    <w:rsid w:val="00D15EB8"/>
    <w:rsid w:val="00D16823"/>
    <w:rsid w:val="00D1686F"/>
    <w:rsid w:val="00D169E2"/>
    <w:rsid w:val="00D16EF3"/>
    <w:rsid w:val="00D211C7"/>
    <w:rsid w:val="00D2235B"/>
    <w:rsid w:val="00D22A1E"/>
    <w:rsid w:val="00D23041"/>
    <w:rsid w:val="00D23266"/>
    <w:rsid w:val="00D23415"/>
    <w:rsid w:val="00D2379B"/>
    <w:rsid w:val="00D257A1"/>
    <w:rsid w:val="00D26B97"/>
    <w:rsid w:val="00D276FF"/>
    <w:rsid w:val="00D27B7A"/>
    <w:rsid w:val="00D27CDA"/>
    <w:rsid w:val="00D30275"/>
    <w:rsid w:val="00D315DC"/>
    <w:rsid w:val="00D31CDF"/>
    <w:rsid w:val="00D32B14"/>
    <w:rsid w:val="00D32B90"/>
    <w:rsid w:val="00D3416E"/>
    <w:rsid w:val="00D35AA0"/>
    <w:rsid w:val="00D35F67"/>
    <w:rsid w:val="00D37AD3"/>
    <w:rsid w:val="00D40940"/>
    <w:rsid w:val="00D40AD7"/>
    <w:rsid w:val="00D4156B"/>
    <w:rsid w:val="00D42AB7"/>
    <w:rsid w:val="00D43169"/>
    <w:rsid w:val="00D44A2E"/>
    <w:rsid w:val="00D44DEA"/>
    <w:rsid w:val="00D45170"/>
    <w:rsid w:val="00D456F6"/>
    <w:rsid w:val="00D45D5C"/>
    <w:rsid w:val="00D47F3A"/>
    <w:rsid w:val="00D50024"/>
    <w:rsid w:val="00D518A5"/>
    <w:rsid w:val="00D518DE"/>
    <w:rsid w:val="00D51FBC"/>
    <w:rsid w:val="00D521D8"/>
    <w:rsid w:val="00D53041"/>
    <w:rsid w:val="00D53185"/>
    <w:rsid w:val="00D53805"/>
    <w:rsid w:val="00D54787"/>
    <w:rsid w:val="00D5757D"/>
    <w:rsid w:val="00D60C06"/>
    <w:rsid w:val="00D60CB8"/>
    <w:rsid w:val="00D60EDB"/>
    <w:rsid w:val="00D61BC6"/>
    <w:rsid w:val="00D62CE2"/>
    <w:rsid w:val="00D64F35"/>
    <w:rsid w:val="00D656AF"/>
    <w:rsid w:val="00D66223"/>
    <w:rsid w:val="00D6710D"/>
    <w:rsid w:val="00D6799C"/>
    <w:rsid w:val="00D71B25"/>
    <w:rsid w:val="00D725A9"/>
    <w:rsid w:val="00D72E41"/>
    <w:rsid w:val="00D739D0"/>
    <w:rsid w:val="00D7482B"/>
    <w:rsid w:val="00D74B33"/>
    <w:rsid w:val="00D7516A"/>
    <w:rsid w:val="00D75744"/>
    <w:rsid w:val="00D76161"/>
    <w:rsid w:val="00D762FA"/>
    <w:rsid w:val="00D7650A"/>
    <w:rsid w:val="00D76548"/>
    <w:rsid w:val="00D77B54"/>
    <w:rsid w:val="00D77B55"/>
    <w:rsid w:val="00D77F08"/>
    <w:rsid w:val="00D80016"/>
    <w:rsid w:val="00D80A91"/>
    <w:rsid w:val="00D812CC"/>
    <w:rsid w:val="00D831C9"/>
    <w:rsid w:val="00D83FE0"/>
    <w:rsid w:val="00D84471"/>
    <w:rsid w:val="00D84CA4"/>
    <w:rsid w:val="00D86CD1"/>
    <w:rsid w:val="00D86E52"/>
    <w:rsid w:val="00D86EB1"/>
    <w:rsid w:val="00D8706F"/>
    <w:rsid w:val="00D874C0"/>
    <w:rsid w:val="00D87CD4"/>
    <w:rsid w:val="00D90AEC"/>
    <w:rsid w:val="00D90D3E"/>
    <w:rsid w:val="00D914BE"/>
    <w:rsid w:val="00D91BD8"/>
    <w:rsid w:val="00D92622"/>
    <w:rsid w:val="00D93371"/>
    <w:rsid w:val="00D93D89"/>
    <w:rsid w:val="00D94623"/>
    <w:rsid w:val="00D94B6D"/>
    <w:rsid w:val="00D9587D"/>
    <w:rsid w:val="00D96F82"/>
    <w:rsid w:val="00D971F5"/>
    <w:rsid w:val="00D97431"/>
    <w:rsid w:val="00D97566"/>
    <w:rsid w:val="00D97B92"/>
    <w:rsid w:val="00D97BF7"/>
    <w:rsid w:val="00DA00D8"/>
    <w:rsid w:val="00DA04B3"/>
    <w:rsid w:val="00DA0C82"/>
    <w:rsid w:val="00DA1958"/>
    <w:rsid w:val="00DA2022"/>
    <w:rsid w:val="00DA3224"/>
    <w:rsid w:val="00DA37E6"/>
    <w:rsid w:val="00DA3A70"/>
    <w:rsid w:val="00DA409D"/>
    <w:rsid w:val="00DA42C1"/>
    <w:rsid w:val="00DA4322"/>
    <w:rsid w:val="00DA57F3"/>
    <w:rsid w:val="00DA5944"/>
    <w:rsid w:val="00DA614D"/>
    <w:rsid w:val="00DA6E2E"/>
    <w:rsid w:val="00DA76FB"/>
    <w:rsid w:val="00DA7C7A"/>
    <w:rsid w:val="00DB01DB"/>
    <w:rsid w:val="00DB07DF"/>
    <w:rsid w:val="00DB0B38"/>
    <w:rsid w:val="00DB0DAF"/>
    <w:rsid w:val="00DB2645"/>
    <w:rsid w:val="00DB2FE4"/>
    <w:rsid w:val="00DB363E"/>
    <w:rsid w:val="00DB39AC"/>
    <w:rsid w:val="00DB4BED"/>
    <w:rsid w:val="00DB4D38"/>
    <w:rsid w:val="00DB549A"/>
    <w:rsid w:val="00DB5940"/>
    <w:rsid w:val="00DB5DF8"/>
    <w:rsid w:val="00DB673D"/>
    <w:rsid w:val="00DB6E65"/>
    <w:rsid w:val="00DB7335"/>
    <w:rsid w:val="00DC002C"/>
    <w:rsid w:val="00DC017B"/>
    <w:rsid w:val="00DC0ADE"/>
    <w:rsid w:val="00DC218B"/>
    <w:rsid w:val="00DC2DD7"/>
    <w:rsid w:val="00DC4C08"/>
    <w:rsid w:val="00DC518F"/>
    <w:rsid w:val="00DC53B0"/>
    <w:rsid w:val="00DC552A"/>
    <w:rsid w:val="00DC56F2"/>
    <w:rsid w:val="00DC5D2A"/>
    <w:rsid w:val="00DC657C"/>
    <w:rsid w:val="00DC6B24"/>
    <w:rsid w:val="00DC71A0"/>
    <w:rsid w:val="00DD088B"/>
    <w:rsid w:val="00DD15F5"/>
    <w:rsid w:val="00DD2B73"/>
    <w:rsid w:val="00DD3B29"/>
    <w:rsid w:val="00DD44F3"/>
    <w:rsid w:val="00DD44F7"/>
    <w:rsid w:val="00DD456C"/>
    <w:rsid w:val="00DD5189"/>
    <w:rsid w:val="00DD599A"/>
    <w:rsid w:val="00DD5C58"/>
    <w:rsid w:val="00DD6285"/>
    <w:rsid w:val="00DD65A2"/>
    <w:rsid w:val="00DD698E"/>
    <w:rsid w:val="00DD6B4C"/>
    <w:rsid w:val="00DD7C85"/>
    <w:rsid w:val="00DE10C7"/>
    <w:rsid w:val="00DE1399"/>
    <w:rsid w:val="00DE1606"/>
    <w:rsid w:val="00DE1805"/>
    <w:rsid w:val="00DE1DC6"/>
    <w:rsid w:val="00DE20A0"/>
    <w:rsid w:val="00DE25D8"/>
    <w:rsid w:val="00DE2E07"/>
    <w:rsid w:val="00DE365D"/>
    <w:rsid w:val="00DE4096"/>
    <w:rsid w:val="00DE4776"/>
    <w:rsid w:val="00DE5A7F"/>
    <w:rsid w:val="00DE61F9"/>
    <w:rsid w:val="00DE6A6E"/>
    <w:rsid w:val="00DE75D1"/>
    <w:rsid w:val="00DE760C"/>
    <w:rsid w:val="00DE7C65"/>
    <w:rsid w:val="00DF0147"/>
    <w:rsid w:val="00DF14FB"/>
    <w:rsid w:val="00DF396C"/>
    <w:rsid w:val="00DF44DC"/>
    <w:rsid w:val="00DF5807"/>
    <w:rsid w:val="00DF5D80"/>
    <w:rsid w:val="00DF6648"/>
    <w:rsid w:val="00DF7860"/>
    <w:rsid w:val="00DF7C12"/>
    <w:rsid w:val="00E02752"/>
    <w:rsid w:val="00E02BBE"/>
    <w:rsid w:val="00E03598"/>
    <w:rsid w:val="00E053CB"/>
    <w:rsid w:val="00E0644A"/>
    <w:rsid w:val="00E06F91"/>
    <w:rsid w:val="00E10223"/>
    <w:rsid w:val="00E10B04"/>
    <w:rsid w:val="00E10B5F"/>
    <w:rsid w:val="00E127E7"/>
    <w:rsid w:val="00E145DA"/>
    <w:rsid w:val="00E14D1D"/>
    <w:rsid w:val="00E16044"/>
    <w:rsid w:val="00E161E8"/>
    <w:rsid w:val="00E167BF"/>
    <w:rsid w:val="00E16847"/>
    <w:rsid w:val="00E1699D"/>
    <w:rsid w:val="00E173D6"/>
    <w:rsid w:val="00E1742B"/>
    <w:rsid w:val="00E17910"/>
    <w:rsid w:val="00E17D2B"/>
    <w:rsid w:val="00E2023F"/>
    <w:rsid w:val="00E221D1"/>
    <w:rsid w:val="00E2264C"/>
    <w:rsid w:val="00E22F5D"/>
    <w:rsid w:val="00E237E2"/>
    <w:rsid w:val="00E24083"/>
    <w:rsid w:val="00E241E2"/>
    <w:rsid w:val="00E242E1"/>
    <w:rsid w:val="00E242EB"/>
    <w:rsid w:val="00E247B9"/>
    <w:rsid w:val="00E24897"/>
    <w:rsid w:val="00E2550D"/>
    <w:rsid w:val="00E25D1B"/>
    <w:rsid w:val="00E25F99"/>
    <w:rsid w:val="00E27C42"/>
    <w:rsid w:val="00E3022B"/>
    <w:rsid w:val="00E313F6"/>
    <w:rsid w:val="00E3271E"/>
    <w:rsid w:val="00E33201"/>
    <w:rsid w:val="00E3391E"/>
    <w:rsid w:val="00E33B8F"/>
    <w:rsid w:val="00E34B6A"/>
    <w:rsid w:val="00E3618A"/>
    <w:rsid w:val="00E37FDC"/>
    <w:rsid w:val="00E40371"/>
    <w:rsid w:val="00E40F2A"/>
    <w:rsid w:val="00E41115"/>
    <w:rsid w:val="00E42252"/>
    <w:rsid w:val="00E422BF"/>
    <w:rsid w:val="00E456F3"/>
    <w:rsid w:val="00E45A95"/>
    <w:rsid w:val="00E467B1"/>
    <w:rsid w:val="00E469B0"/>
    <w:rsid w:val="00E474EE"/>
    <w:rsid w:val="00E5040D"/>
    <w:rsid w:val="00E5116C"/>
    <w:rsid w:val="00E51796"/>
    <w:rsid w:val="00E51987"/>
    <w:rsid w:val="00E522B9"/>
    <w:rsid w:val="00E52C34"/>
    <w:rsid w:val="00E53342"/>
    <w:rsid w:val="00E53897"/>
    <w:rsid w:val="00E539DF"/>
    <w:rsid w:val="00E53EEA"/>
    <w:rsid w:val="00E53F45"/>
    <w:rsid w:val="00E56246"/>
    <w:rsid w:val="00E568F7"/>
    <w:rsid w:val="00E57108"/>
    <w:rsid w:val="00E604AC"/>
    <w:rsid w:val="00E60502"/>
    <w:rsid w:val="00E60DAF"/>
    <w:rsid w:val="00E61937"/>
    <w:rsid w:val="00E6202C"/>
    <w:rsid w:val="00E622D1"/>
    <w:rsid w:val="00E6282E"/>
    <w:rsid w:val="00E62F52"/>
    <w:rsid w:val="00E631A3"/>
    <w:rsid w:val="00E632FE"/>
    <w:rsid w:val="00E63653"/>
    <w:rsid w:val="00E63A13"/>
    <w:rsid w:val="00E63E60"/>
    <w:rsid w:val="00E641B9"/>
    <w:rsid w:val="00E6455E"/>
    <w:rsid w:val="00E67539"/>
    <w:rsid w:val="00E701C4"/>
    <w:rsid w:val="00E7075A"/>
    <w:rsid w:val="00E70E80"/>
    <w:rsid w:val="00E70F64"/>
    <w:rsid w:val="00E712E8"/>
    <w:rsid w:val="00E717E5"/>
    <w:rsid w:val="00E71FF3"/>
    <w:rsid w:val="00E72968"/>
    <w:rsid w:val="00E72B53"/>
    <w:rsid w:val="00E72F52"/>
    <w:rsid w:val="00E738DC"/>
    <w:rsid w:val="00E738F9"/>
    <w:rsid w:val="00E73C94"/>
    <w:rsid w:val="00E7602B"/>
    <w:rsid w:val="00E764D2"/>
    <w:rsid w:val="00E76B7A"/>
    <w:rsid w:val="00E776E2"/>
    <w:rsid w:val="00E80D76"/>
    <w:rsid w:val="00E81A5A"/>
    <w:rsid w:val="00E82712"/>
    <w:rsid w:val="00E82C63"/>
    <w:rsid w:val="00E83C42"/>
    <w:rsid w:val="00E856F0"/>
    <w:rsid w:val="00E859C0"/>
    <w:rsid w:val="00E863DF"/>
    <w:rsid w:val="00E86D82"/>
    <w:rsid w:val="00E86F97"/>
    <w:rsid w:val="00E8743D"/>
    <w:rsid w:val="00E8748A"/>
    <w:rsid w:val="00E87893"/>
    <w:rsid w:val="00E87906"/>
    <w:rsid w:val="00E9071E"/>
    <w:rsid w:val="00E91382"/>
    <w:rsid w:val="00E91CF0"/>
    <w:rsid w:val="00E929F5"/>
    <w:rsid w:val="00E92ECA"/>
    <w:rsid w:val="00E936D9"/>
    <w:rsid w:val="00E93D41"/>
    <w:rsid w:val="00E93F41"/>
    <w:rsid w:val="00E9630A"/>
    <w:rsid w:val="00E9632B"/>
    <w:rsid w:val="00E96678"/>
    <w:rsid w:val="00E96F99"/>
    <w:rsid w:val="00E97873"/>
    <w:rsid w:val="00EA0220"/>
    <w:rsid w:val="00EA071C"/>
    <w:rsid w:val="00EA0DE3"/>
    <w:rsid w:val="00EA1000"/>
    <w:rsid w:val="00EA2359"/>
    <w:rsid w:val="00EA2EEA"/>
    <w:rsid w:val="00EA34AE"/>
    <w:rsid w:val="00EA3598"/>
    <w:rsid w:val="00EA3AD0"/>
    <w:rsid w:val="00EA5D1F"/>
    <w:rsid w:val="00EA6DEA"/>
    <w:rsid w:val="00EA7041"/>
    <w:rsid w:val="00EB03F1"/>
    <w:rsid w:val="00EB0AD5"/>
    <w:rsid w:val="00EB1C82"/>
    <w:rsid w:val="00EB26DC"/>
    <w:rsid w:val="00EB2715"/>
    <w:rsid w:val="00EB2AE3"/>
    <w:rsid w:val="00EB32DC"/>
    <w:rsid w:val="00EB34D7"/>
    <w:rsid w:val="00EB3D0A"/>
    <w:rsid w:val="00EB4DCF"/>
    <w:rsid w:val="00EB56CE"/>
    <w:rsid w:val="00EB6BE4"/>
    <w:rsid w:val="00EC00B2"/>
    <w:rsid w:val="00EC0DCF"/>
    <w:rsid w:val="00EC269A"/>
    <w:rsid w:val="00EC2E3A"/>
    <w:rsid w:val="00EC2F87"/>
    <w:rsid w:val="00EC30B8"/>
    <w:rsid w:val="00EC32A1"/>
    <w:rsid w:val="00EC4569"/>
    <w:rsid w:val="00EC4CB9"/>
    <w:rsid w:val="00EC53DE"/>
    <w:rsid w:val="00EC56CA"/>
    <w:rsid w:val="00EC65F9"/>
    <w:rsid w:val="00EC7263"/>
    <w:rsid w:val="00ED0815"/>
    <w:rsid w:val="00ED1BD3"/>
    <w:rsid w:val="00ED6538"/>
    <w:rsid w:val="00ED7568"/>
    <w:rsid w:val="00EE076C"/>
    <w:rsid w:val="00EE1767"/>
    <w:rsid w:val="00EE47D2"/>
    <w:rsid w:val="00EE4F91"/>
    <w:rsid w:val="00EE4FE6"/>
    <w:rsid w:val="00EE5122"/>
    <w:rsid w:val="00EE5270"/>
    <w:rsid w:val="00EE568E"/>
    <w:rsid w:val="00EE59F1"/>
    <w:rsid w:val="00EE5DC0"/>
    <w:rsid w:val="00EE5DD1"/>
    <w:rsid w:val="00EE5F96"/>
    <w:rsid w:val="00EE6704"/>
    <w:rsid w:val="00EE7587"/>
    <w:rsid w:val="00EF109B"/>
    <w:rsid w:val="00EF2525"/>
    <w:rsid w:val="00EF346A"/>
    <w:rsid w:val="00EF3C67"/>
    <w:rsid w:val="00EF6143"/>
    <w:rsid w:val="00EF6410"/>
    <w:rsid w:val="00EF67FF"/>
    <w:rsid w:val="00EF6B5B"/>
    <w:rsid w:val="00EF6F4F"/>
    <w:rsid w:val="00F00753"/>
    <w:rsid w:val="00F007E5"/>
    <w:rsid w:val="00F009D1"/>
    <w:rsid w:val="00F0245A"/>
    <w:rsid w:val="00F036D1"/>
    <w:rsid w:val="00F04088"/>
    <w:rsid w:val="00F043DA"/>
    <w:rsid w:val="00F05FC4"/>
    <w:rsid w:val="00F0658E"/>
    <w:rsid w:val="00F06753"/>
    <w:rsid w:val="00F0727D"/>
    <w:rsid w:val="00F10C75"/>
    <w:rsid w:val="00F110A1"/>
    <w:rsid w:val="00F11A54"/>
    <w:rsid w:val="00F146CC"/>
    <w:rsid w:val="00F15361"/>
    <w:rsid w:val="00F156F3"/>
    <w:rsid w:val="00F157CA"/>
    <w:rsid w:val="00F15934"/>
    <w:rsid w:val="00F16252"/>
    <w:rsid w:val="00F16A7C"/>
    <w:rsid w:val="00F16C40"/>
    <w:rsid w:val="00F170AB"/>
    <w:rsid w:val="00F177D4"/>
    <w:rsid w:val="00F203FB"/>
    <w:rsid w:val="00F20D6D"/>
    <w:rsid w:val="00F21401"/>
    <w:rsid w:val="00F22158"/>
    <w:rsid w:val="00F22478"/>
    <w:rsid w:val="00F22FAC"/>
    <w:rsid w:val="00F231DE"/>
    <w:rsid w:val="00F235A6"/>
    <w:rsid w:val="00F24489"/>
    <w:rsid w:val="00F244AD"/>
    <w:rsid w:val="00F259FC"/>
    <w:rsid w:val="00F25C93"/>
    <w:rsid w:val="00F263BB"/>
    <w:rsid w:val="00F26E45"/>
    <w:rsid w:val="00F31ADF"/>
    <w:rsid w:val="00F31FB1"/>
    <w:rsid w:val="00F323D9"/>
    <w:rsid w:val="00F32D18"/>
    <w:rsid w:val="00F33DF6"/>
    <w:rsid w:val="00F33F5B"/>
    <w:rsid w:val="00F34196"/>
    <w:rsid w:val="00F35520"/>
    <w:rsid w:val="00F35644"/>
    <w:rsid w:val="00F35903"/>
    <w:rsid w:val="00F36156"/>
    <w:rsid w:val="00F3662A"/>
    <w:rsid w:val="00F36FCA"/>
    <w:rsid w:val="00F3706E"/>
    <w:rsid w:val="00F40298"/>
    <w:rsid w:val="00F40A5B"/>
    <w:rsid w:val="00F4249E"/>
    <w:rsid w:val="00F42880"/>
    <w:rsid w:val="00F43085"/>
    <w:rsid w:val="00F4399F"/>
    <w:rsid w:val="00F45000"/>
    <w:rsid w:val="00F45495"/>
    <w:rsid w:val="00F47A8B"/>
    <w:rsid w:val="00F506A9"/>
    <w:rsid w:val="00F50C26"/>
    <w:rsid w:val="00F50C71"/>
    <w:rsid w:val="00F5132A"/>
    <w:rsid w:val="00F51DD0"/>
    <w:rsid w:val="00F52BCC"/>
    <w:rsid w:val="00F537AC"/>
    <w:rsid w:val="00F53D1E"/>
    <w:rsid w:val="00F53DB8"/>
    <w:rsid w:val="00F54771"/>
    <w:rsid w:val="00F54B50"/>
    <w:rsid w:val="00F55684"/>
    <w:rsid w:val="00F55ECE"/>
    <w:rsid w:val="00F55F4D"/>
    <w:rsid w:val="00F55F69"/>
    <w:rsid w:val="00F5657C"/>
    <w:rsid w:val="00F56B6E"/>
    <w:rsid w:val="00F56DB4"/>
    <w:rsid w:val="00F573E1"/>
    <w:rsid w:val="00F579D9"/>
    <w:rsid w:val="00F57DAB"/>
    <w:rsid w:val="00F602DF"/>
    <w:rsid w:val="00F6093B"/>
    <w:rsid w:val="00F609A2"/>
    <w:rsid w:val="00F60F9C"/>
    <w:rsid w:val="00F61463"/>
    <w:rsid w:val="00F6176F"/>
    <w:rsid w:val="00F61CF3"/>
    <w:rsid w:val="00F61D6F"/>
    <w:rsid w:val="00F61E54"/>
    <w:rsid w:val="00F6210B"/>
    <w:rsid w:val="00F63CFA"/>
    <w:rsid w:val="00F64016"/>
    <w:rsid w:val="00F641D2"/>
    <w:rsid w:val="00F64418"/>
    <w:rsid w:val="00F6582E"/>
    <w:rsid w:val="00F65AD0"/>
    <w:rsid w:val="00F66815"/>
    <w:rsid w:val="00F66E5A"/>
    <w:rsid w:val="00F6739D"/>
    <w:rsid w:val="00F706DE"/>
    <w:rsid w:val="00F70FA2"/>
    <w:rsid w:val="00F71289"/>
    <w:rsid w:val="00F717BF"/>
    <w:rsid w:val="00F72C60"/>
    <w:rsid w:val="00F7397F"/>
    <w:rsid w:val="00F73A10"/>
    <w:rsid w:val="00F74A25"/>
    <w:rsid w:val="00F74AFC"/>
    <w:rsid w:val="00F74B20"/>
    <w:rsid w:val="00F76EC0"/>
    <w:rsid w:val="00F8034E"/>
    <w:rsid w:val="00F80D6A"/>
    <w:rsid w:val="00F81750"/>
    <w:rsid w:val="00F817DF"/>
    <w:rsid w:val="00F82674"/>
    <w:rsid w:val="00F82D8A"/>
    <w:rsid w:val="00F83E49"/>
    <w:rsid w:val="00F83F3E"/>
    <w:rsid w:val="00F858D0"/>
    <w:rsid w:val="00F85D66"/>
    <w:rsid w:val="00F875AF"/>
    <w:rsid w:val="00F8798E"/>
    <w:rsid w:val="00F87F5B"/>
    <w:rsid w:val="00F90334"/>
    <w:rsid w:val="00F907AC"/>
    <w:rsid w:val="00F90E4D"/>
    <w:rsid w:val="00F91EE9"/>
    <w:rsid w:val="00F91F9D"/>
    <w:rsid w:val="00F920E8"/>
    <w:rsid w:val="00F92327"/>
    <w:rsid w:val="00F931F0"/>
    <w:rsid w:val="00F944E9"/>
    <w:rsid w:val="00F957CE"/>
    <w:rsid w:val="00F95CFC"/>
    <w:rsid w:val="00F95FE9"/>
    <w:rsid w:val="00F96380"/>
    <w:rsid w:val="00FA004F"/>
    <w:rsid w:val="00FA0DC0"/>
    <w:rsid w:val="00FA2C59"/>
    <w:rsid w:val="00FA3761"/>
    <w:rsid w:val="00FA3AD6"/>
    <w:rsid w:val="00FA4847"/>
    <w:rsid w:val="00FA5A4F"/>
    <w:rsid w:val="00FA6147"/>
    <w:rsid w:val="00FA68A9"/>
    <w:rsid w:val="00FA6E4F"/>
    <w:rsid w:val="00FA78A3"/>
    <w:rsid w:val="00FB159D"/>
    <w:rsid w:val="00FB244F"/>
    <w:rsid w:val="00FB3E13"/>
    <w:rsid w:val="00FB58C4"/>
    <w:rsid w:val="00FC0C43"/>
    <w:rsid w:val="00FC1465"/>
    <w:rsid w:val="00FC17DC"/>
    <w:rsid w:val="00FC2781"/>
    <w:rsid w:val="00FC3929"/>
    <w:rsid w:val="00FC603A"/>
    <w:rsid w:val="00FC6150"/>
    <w:rsid w:val="00FC7510"/>
    <w:rsid w:val="00FC778C"/>
    <w:rsid w:val="00FC7E25"/>
    <w:rsid w:val="00FD0D14"/>
    <w:rsid w:val="00FD15FB"/>
    <w:rsid w:val="00FD1C4B"/>
    <w:rsid w:val="00FD252C"/>
    <w:rsid w:val="00FD43B6"/>
    <w:rsid w:val="00FD544C"/>
    <w:rsid w:val="00FD571D"/>
    <w:rsid w:val="00FD5DBE"/>
    <w:rsid w:val="00FD5F32"/>
    <w:rsid w:val="00FD6C1E"/>
    <w:rsid w:val="00FD6F1E"/>
    <w:rsid w:val="00FE048F"/>
    <w:rsid w:val="00FE0AFB"/>
    <w:rsid w:val="00FE2B8F"/>
    <w:rsid w:val="00FE2DF3"/>
    <w:rsid w:val="00FE2FEB"/>
    <w:rsid w:val="00FE31D9"/>
    <w:rsid w:val="00FE36F5"/>
    <w:rsid w:val="00FE4572"/>
    <w:rsid w:val="00FE495E"/>
    <w:rsid w:val="00FE550F"/>
    <w:rsid w:val="00FE64FC"/>
    <w:rsid w:val="00FF09FD"/>
    <w:rsid w:val="00FF26EC"/>
    <w:rsid w:val="00FF492D"/>
    <w:rsid w:val="00FF61D3"/>
    <w:rsid w:val="00FF6625"/>
    <w:rsid w:val="00FF6F2A"/>
    <w:rsid w:val="00FF7235"/>
    <w:rsid w:val="01362FF1"/>
    <w:rsid w:val="0429486F"/>
    <w:rsid w:val="0896662D"/>
    <w:rsid w:val="0A0E0016"/>
    <w:rsid w:val="0AFB6D53"/>
    <w:rsid w:val="0E9D4FA9"/>
    <w:rsid w:val="0F3A3DFF"/>
    <w:rsid w:val="120A298A"/>
    <w:rsid w:val="12150E7B"/>
    <w:rsid w:val="125B57AE"/>
    <w:rsid w:val="13234267"/>
    <w:rsid w:val="13540B2C"/>
    <w:rsid w:val="13FC0C0A"/>
    <w:rsid w:val="16164F06"/>
    <w:rsid w:val="175D0E91"/>
    <w:rsid w:val="18AA5C05"/>
    <w:rsid w:val="18C7324C"/>
    <w:rsid w:val="194F626A"/>
    <w:rsid w:val="1A1E53E8"/>
    <w:rsid w:val="1BEC2362"/>
    <w:rsid w:val="1C807E00"/>
    <w:rsid w:val="204865C1"/>
    <w:rsid w:val="20524108"/>
    <w:rsid w:val="237D3342"/>
    <w:rsid w:val="25601B15"/>
    <w:rsid w:val="264E738F"/>
    <w:rsid w:val="27FD20CF"/>
    <w:rsid w:val="28FC1734"/>
    <w:rsid w:val="2931397C"/>
    <w:rsid w:val="2934438A"/>
    <w:rsid w:val="29977076"/>
    <w:rsid w:val="29DE0C5C"/>
    <w:rsid w:val="2A1342CA"/>
    <w:rsid w:val="2A634E0E"/>
    <w:rsid w:val="2A7B3912"/>
    <w:rsid w:val="2BE94E51"/>
    <w:rsid w:val="2E9F420D"/>
    <w:rsid w:val="31C1529D"/>
    <w:rsid w:val="3208793B"/>
    <w:rsid w:val="32EC6346"/>
    <w:rsid w:val="33DA2602"/>
    <w:rsid w:val="348F0E6B"/>
    <w:rsid w:val="35250630"/>
    <w:rsid w:val="36121FC0"/>
    <w:rsid w:val="36296B4C"/>
    <w:rsid w:val="36411288"/>
    <w:rsid w:val="3768731A"/>
    <w:rsid w:val="38204EE7"/>
    <w:rsid w:val="38DF017A"/>
    <w:rsid w:val="3A3A7DDC"/>
    <w:rsid w:val="3B92363A"/>
    <w:rsid w:val="3BD2098E"/>
    <w:rsid w:val="3C066C96"/>
    <w:rsid w:val="3CEA2F2E"/>
    <w:rsid w:val="3DEE7E73"/>
    <w:rsid w:val="3F3A0B72"/>
    <w:rsid w:val="3F7A29EF"/>
    <w:rsid w:val="3FB11EEB"/>
    <w:rsid w:val="40872690"/>
    <w:rsid w:val="418970A4"/>
    <w:rsid w:val="41AB4620"/>
    <w:rsid w:val="43B90274"/>
    <w:rsid w:val="43C75965"/>
    <w:rsid w:val="448E4269"/>
    <w:rsid w:val="466A09FA"/>
    <w:rsid w:val="46E279C6"/>
    <w:rsid w:val="4BAD0ABB"/>
    <w:rsid w:val="4C350FA0"/>
    <w:rsid w:val="4DE83669"/>
    <w:rsid w:val="4E7379CD"/>
    <w:rsid w:val="4F235B89"/>
    <w:rsid w:val="4FB320B4"/>
    <w:rsid w:val="4FE31373"/>
    <w:rsid w:val="525865A6"/>
    <w:rsid w:val="537E6BA1"/>
    <w:rsid w:val="55861EDB"/>
    <w:rsid w:val="57935995"/>
    <w:rsid w:val="58D566F0"/>
    <w:rsid w:val="58FB077F"/>
    <w:rsid w:val="594C0736"/>
    <w:rsid w:val="5A763E02"/>
    <w:rsid w:val="5B6C41F6"/>
    <w:rsid w:val="5B862967"/>
    <w:rsid w:val="5BFB04BD"/>
    <w:rsid w:val="5C355706"/>
    <w:rsid w:val="5CFF5414"/>
    <w:rsid w:val="5E870F4B"/>
    <w:rsid w:val="60077037"/>
    <w:rsid w:val="60326108"/>
    <w:rsid w:val="60562171"/>
    <w:rsid w:val="63F24FCD"/>
    <w:rsid w:val="65833F84"/>
    <w:rsid w:val="66472344"/>
    <w:rsid w:val="67595369"/>
    <w:rsid w:val="68FF436A"/>
    <w:rsid w:val="721946B6"/>
    <w:rsid w:val="74653A93"/>
    <w:rsid w:val="75E12096"/>
    <w:rsid w:val="76823664"/>
    <w:rsid w:val="76831D5B"/>
    <w:rsid w:val="76861B45"/>
    <w:rsid w:val="774827EC"/>
    <w:rsid w:val="799478DC"/>
    <w:rsid w:val="79C02A63"/>
    <w:rsid w:val="79EF0469"/>
    <w:rsid w:val="7A2E6882"/>
    <w:rsid w:val="7B393714"/>
    <w:rsid w:val="7C7E31A1"/>
    <w:rsid w:val="7D42046A"/>
    <w:rsid w:val="7EA30B1B"/>
    <w:rsid w:val="7F7DF7A8"/>
    <w:rsid w:val="FE7F2D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9" w:semiHidden="0" w:name="heading 6"/>
    <w:lsdException w:qFormat="1" w:uiPriority="9"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qFormat="1" w:uiPriority="99" w:semiHidden="0" w:name="Body Text First Indent 2"/>
    <w:lsdException w:uiPriority="0"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iPriority="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topLinePunct/>
      <w:autoSpaceDE w:val="0"/>
      <w:spacing w:line="480" w:lineRule="exact"/>
      <w:ind w:firstLine="200" w:firstLineChars="200"/>
      <w:jc w:val="both"/>
    </w:pPr>
    <w:rPr>
      <w:rFonts w:ascii="Times New Roman" w:hAnsi="Times New Roman" w:eastAsia="宋体" w:cs="Times New Roman"/>
      <w:kern w:val="2"/>
      <w:sz w:val="24"/>
      <w:szCs w:val="22"/>
      <w:lang w:val="en-US" w:eastAsia="zh-CN" w:bidi="ar-SA"/>
    </w:rPr>
  </w:style>
  <w:style w:type="paragraph" w:styleId="4">
    <w:name w:val="heading 1"/>
    <w:basedOn w:val="1"/>
    <w:next w:val="1"/>
    <w:link w:val="43"/>
    <w:qFormat/>
    <w:uiPriority w:val="9"/>
    <w:pPr>
      <w:keepNext/>
      <w:keepLines/>
      <w:spacing w:before="180" w:after="180"/>
      <w:ind w:firstLine="0" w:firstLineChars="0"/>
      <w:outlineLvl w:val="0"/>
    </w:pPr>
    <w:rPr>
      <w:rFonts w:eastAsiaTheme="majorEastAsia" w:cstheme="minorBidi"/>
      <w:b/>
      <w:bCs/>
      <w:kern w:val="44"/>
      <w:sz w:val="30"/>
      <w:szCs w:val="44"/>
    </w:rPr>
  </w:style>
  <w:style w:type="paragraph" w:styleId="5">
    <w:name w:val="heading 2"/>
    <w:basedOn w:val="1"/>
    <w:next w:val="1"/>
    <w:link w:val="44"/>
    <w:unhideWhenUsed/>
    <w:qFormat/>
    <w:uiPriority w:val="9"/>
    <w:pPr>
      <w:keepNext/>
      <w:keepLines/>
      <w:spacing w:before="120" w:after="120"/>
      <w:ind w:firstLine="0" w:firstLineChars="0"/>
      <w:outlineLvl w:val="1"/>
    </w:pPr>
    <w:rPr>
      <w:rFonts w:cstheme="majorBidi"/>
      <w:b/>
      <w:bCs/>
      <w:sz w:val="28"/>
      <w:szCs w:val="32"/>
    </w:rPr>
  </w:style>
  <w:style w:type="paragraph" w:styleId="6">
    <w:name w:val="heading 3"/>
    <w:basedOn w:val="1"/>
    <w:next w:val="1"/>
    <w:link w:val="45"/>
    <w:unhideWhenUsed/>
    <w:qFormat/>
    <w:uiPriority w:val="9"/>
    <w:pPr>
      <w:keepNext/>
      <w:keepLines/>
      <w:spacing w:before="120" w:after="120"/>
      <w:ind w:firstLine="0" w:firstLineChars="0"/>
      <w:outlineLvl w:val="2"/>
    </w:pPr>
    <w:rPr>
      <w:b/>
      <w:bCs/>
      <w:szCs w:val="32"/>
    </w:rPr>
  </w:style>
  <w:style w:type="paragraph" w:styleId="7">
    <w:name w:val="heading 4"/>
    <w:basedOn w:val="1"/>
    <w:next w:val="1"/>
    <w:link w:val="46"/>
    <w:unhideWhenUsed/>
    <w:qFormat/>
    <w:uiPriority w:val="9"/>
    <w:pPr>
      <w:keepNext/>
      <w:keepLines/>
      <w:spacing w:before="120" w:after="120"/>
      <w:ind w:firstLine="0" w:firstLineChars="0"/>
      <w:jc w:val="left"/>
      <w:outlineLvl w:val="3"/>
    </w:pPr>
    <w:rPr>
      <w:rFonts w:cstheme="majorBidi"/>
      <w:b/>
      <w:bCs/>
      <w:szCs w:val="28"/>
    </w:rPr>
  </w:style>
  <w:style w:type="paragraph" w:styleId="8">
    <w:name w:val="heading 5"/>
    <w:basedOn w:val="1"/>
    <w:next w:val="1"/>
    <w:link w:val="47"/>
    <w:unhideWhenUsed/>
    <w:qFormat/>
    <w:uiPriority w:val="0"/>
    <w:pPr>
      <w:keepNext/>
      <w:keepLines/>
      <w:ind w:firstLine="0" w:firstLineChars="0"/>
      <w:jc w:val="center"/>
      <w:outlineLvl w:val="4"/>
    </w:pPr>
    <w:rPr>
      <w:b/>
      <w:bCs/>
      <w:szCs w:val="28"/>
    </w:rPr>
  </w:style>
  <w:style w:type="paragraph" w:styleId="9">
    <w:name w:val="heading 6"/>
    <w:basedOn w:val="1"/>
    <w:next w:val="1"/>
    <w:link w:val="48"/>
    <w:unhideWhenUsed/>
    <w:qFormat/>
    <w:uiPriority w:val="9"/>
    <w:pPr>
      <w:keepNext/>
      <w:keepLines/>
      <w:spacing w:before="240" w:after="64" w:line="320" w:lineRule="auto"/>
      <w:outlineLvl w:val="5"/>
    </w:pPr>
    <w:rPr>
      <w:rFonts w:asciiTheme="majorHAnsi" w:hAnsiTheme="majorHAnsi" w:eastAsiaTheme="majorEastAsia" w:cstheme="majorBidi"/>
      <w:b/>
      <w:bCs/>
      <w:szCs w:val="24"/>
    </w:rPr>
  </w:style>
  <w:style w:type="paragraph" w:styleId="10">
    <w:name w:val="heading 7"/>
    <w:basedOn w:val="1"/>
    <w:next w:val="1"/>
    <w:link w:val="49"/>
    <w:unhideWhenUsed/>
    <w:qFormat/>
    <w:uiPriority w:val="9"/>
    <w:pPr>
      <w:keepNext/>
      <w:keepLines/>
      <w:spacing w:before="240" w:after="64" w:line="320" w:lineRule="auto"/>
      <w:outlineLvl w:val="6"/>
    </w:pPr>
    <w:rPr>
      <w:b/>
      <w:bCs/>
      <w:szCs w:val="24"/>
    </w:rPr>
  </w:style>
  <w:style w:type="paragraph" w:styleId="11">
    <w:name w:val="heading 8"/>
    <w:basedOn w:val="1"/>
    <w:next w:val="1"/>
    <w:link w:val="50"/>
    <w:unhideWhenUsed/>
    <w:qFormat/>
    <w:uiPriority w:val="0"/>
    <w:pPr>
      <w:keepNext/>
      <w:keepLines/>
      <w:spacing w:before="240" w:after="64" w:line="320" w:lineRule="auto"/>
      <w:outlineLvl w:val="7"/>
    </w:pPr>
    <w:rPr>
      <w:rFonts w:asciiTheme="majorHAnsi" w:hAnsiTheme="majorHAnsi" w:eastAsiaTheme="majorEastAsia" w:cstheme="majorBidi"/>
      <w:szCs w:val="24"/>
    </w:rPr>
  </w:style>
  <w:style w:type="paragraph" w:styleId="12">
    <w:name w:val="heading 9"/>
    <w:basedOn w:val="1"/>
    <w:next w:val="1"/>
    <w:link w:val="51"/>
    <w:unhideWhenUsed/>
    <w:qFormat/>
    <w:uiPriority w:val="0"/>
    <w:pPr>
      <w:keepNext/>
      <w:keepLines/>
      <w:spacing w:before="240" w:after="64" w:line="320" w:lineRule="auto"/>
      <w:outlineLvl w:val="8"/>
    </w:pPr>
    <w:rPr>
      <w:rFonts w:asciiTheme="majorHAnsi" w:hAnsiTheme="majorHAnsi" w:eastAsiaTheme="majorEastAsia" w:cstheme="majorBidi"/>
    </w:rPr>
  </w:style>
  <w:style w:type="character" w:default="1" w:styleId="36">
    <w:name w:val="Default Paragraph Font"/>
    <w:unhideWhenUsed/>
    <w:qFormat/>
    <w:uiPriority w:val="1"/>
  </w:style>
  <w:style w:type="table" w:default="1" w:styleId="34">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link w:val="83"/>
    <w:unhideWhenUsed/>
    <w:qFormat/>
    <w:uiPriority w:val="99"/>
    <w:pPr>
      <w:spacing w:after="120"/>
      <w:ind w:left="420" w:leftChars="200" w:firstLine="420"/>
    </w:pPr>
    <w:rPr>
      <w:rFonts w:ascii="宋体" w:cs="宋体" w:hAnsiTheme="minorHAnsi"/>
      <w:kern w:val="0"/>
      <w:szCs w:val="24"/>
    </w:rPr>
  </w:style>
  <w:style w:type="paragraph" w:styleId="3">
    <w:name w:val="Body Text Indent"/>
    <w:basedOn w:val="1"/>
    <w:next w:val="1"/>
    <w:link w:val="115"/>
    <w:unhideWhenUsed/>
    <w:qFormat/>
    <w:uiPriority w:val="99"/>
    <w:pPr>
      <w:spacing w:after="120"/>
      <w:ind w:left="420" w:leftChars="200"/>
    </w:pPr>
  </w:style>
  <w:style w:type="paragraph" w:styleId="13">
    <w:name w:val="toc 7"/>
    <w:basedOn w:val="1"/>
    <w:next w:val="1"/>
    <w:unhideWhenUsed/>
    <w:qFormat/>
    <w:uiPriority w:val="39"/>
    <w:pPr>
      <w:topLinePunct w:val="0"/>
      <w:autoSpaceDE/>
      <w:spacing w:line="240" w:lineRule="auto"/>
      <w:ind w:left="2520" w:leftChars="1200" w:firstLine="0" w:firstLineChars="0"/>
    </w:pPr>
    <w:rPr>
      <w:rFonts w:asciiTheme="minorHAnsi" w:hAnsiTheme="minorHAnsi" w:eastAsiaTheme="minorEastAsia" w:cstheme="minorBidi"/>
      <w:sz w:val="21"/>
    </w:rPr>
  </w:style>
  <w:style w:type="paragraph" w:styleId="14">
    <w:name w:val="Normal Indent"/>
    <w:basedOn w:val="1"/>
    <w:next w:val="2"/>
    <w:qFormat/>
    <w:uiPriority w:val="0"/>
    <w:pPr>
      <w:adjustRightInd w:val="0"/>
      <w:spacing w:line="360" w:lineRule="auto"/>
      <w:ind w:firstLine="420"/>
      <w:textAlignment w:val="baseline"/>
    </w:pPr>
    <w:rPr>
      <w:rFonts w:ascii="Times New Roman" w:hAnsi="Times New Roman"/>
      <w:kern w:val="0"/>
      <w:sz w:val="28"/>
    </w:rPr>
  </w:style>
  <w:style w:type="paragraph" w:styleId="15">
    <w:name w:val="Document Map"/>
    <w:basedOn w:val="1"/>
    <w:link w:val="52"/>
    <w:unhideWhenUsed/>
    <w:qFormat/>
    <w:uiPriority w:val="99"/>
    <w:rPr>
      <w:rFonts w:ascii="宋体"/>
      <w:sz w:val="18"/>
      <w:szCs w:val="18"/>
    </w:rPr>
  </w:style>
  <w:style w:type="paragraph" w:styleId="16">
    <w:name w:val="annotation text"/>
    <w:basedOn w:val="1"/>
    <w:link w:val="124"/>
    <w:unhideWhenUsed/>
    <w:qFormat/>
    <w:uiPriority w:val="0"/>
    <w:pPr>
      <w:jc w:val="left"/>
    </w:pPr>
  </w:style>
  <w:style w:type="paragraph" w:styleId="17">
    <w:name w:val="Body Text"/>
    <w:basedOn w:val="1"/>
    <w:link w:val="117"/>
    <w:unhideWhenUsed/>
    <w:qFormat/>
    <w:uiPriority w:val="99"/>
    <w:pPr>
      <w:spacing w:after="120"/>
    </w:pPr>
  </w:style>
  <w:style w:type="paragraph" w:styleId="18">
    <w:name w:val="toc 5"/>
    <w:basedOn w:val="1"/>
    <w:next w:val="1"/>
    <w:unhideWhenUsed/>
    <w:qFormat/>
    <w:uiPriority w:val="39"/>
    <w:pPr>
      <w:topLinePunct w:val="0"/>
      <w:autoSpaceDE/>
      <w:spacing w:line="240" w:lineRule="auto"/>
      <w:ind w:left="1680" w:leftChars="800" w:firstLine="0" w:firstLineChars="0"/>
    </w:pPr>
    <w:rPr>
      <w:rFonts w:asciiTheme="minorHAnsi" w:hAnsiTheme="minorHAnsi" w:eastAsiaTheme="minorEastAsia" w:cstheme="minorBidi"/>
      <w:sz w:val="21"/>
    </w:rPr>
  </w:style>
  <w:style w:type="paragraph" w:styleId="19">
    <w:name w:val="toc 3"/>
    <w:basedOn w:val="1"/>
    <w:next w:val="1"/>
    <w:unhideWhenUsed/>
    <w:qFormat/>
    <w:uiPriority w:val="39"/>
    <w:pPr>
      <w:ind w:left="840" w:leftChars="400"/>
    </w:pPr>
  </w:style>
  <w:style w:type="paragraph" w:styleId="20">
    <w:name w:val="toc 8"/>
    <w:basedOn w:val="1"/>
    <w:next w:val="1"/>
    <w:unhideWhenUsed/>
    <w:qFormat/>
    <w:uiPriority w:val="39"/>
    <w:pPr>
      <w:topLinePunct w:val="0"/>
      <w:autoSpaceDE/>
      <w:spacing w:line="240" w:lineRule="auto"/>
      <w:ind w:left="2940" w:leftChars="1400" w:firstLine="0" w:firstLineChars="0"/>
    </w:pPr>
    <w:rPr>
      <w:rFonts w:asciiTheme="minorHAnsi" w:hAnsiTheme="minorHAnsi" w:eastAsiaTheme="minorEastAsia" w:cstheme="minorBidi"/>
      <w:sz w:val="21"/>
    </w:rPr>
  </w:style>
  <w:style w:type="paragraph" w:styleId="21">
    <w:name w:val="Date"/>
    <w:basedOn w:val="1"/>
    <w:next w:val="1"/>
    <w:link w:val="53"/>
    <w:unhideWhenUsed/>
    <w:qFormat/>
    <w:uiPriority w:val="99"/>
    <w:pPr>
      <w:ind w:left="100" w:leftChars="2500"/>
    </w:pPr>
  </w:style>
  <w:style w:type="paragraph" w:styleId="22">
    <w:name w:val="Body Text Indent 2"/>
    <w:basedOn w:val="1"/>
    <w:link w:val="116"/>
    <w:unhideWhenUsed/>
    <w:qFormat/>
    <w:uiPriority w:val="99"/>
    <w:pPr>
      <w:spacing w:after="120" w:line="480" w:lineRule="auto"/>
      <w:ind w:left="420" w:leftChars="200"/>
    </w:pPr>
  </w:style>
  <w:style w:type="paragraph" w:styleId="23">
    <w:name w:val="Balloon Text"/>
    <w:basedOn w:val="1"/>
    <w:link w:val="118"/>
    <w:unhideWhenUsed/>
    <w:qFormat/>
    <w:uiPriority w:val="99"/>
    <w:pPr>
      <w:spacing w:line="240" w:lineRule="auto"/>
    </w:pPr>
    <w:rPr>
      <w:sz w:val="18"/>
      <w:szCs w:val="18"/>
    </w:rPr>
  </w:style>
  <w:style w:type="paragraph" w:styleId="24">
    <w:name w:val="footer"/>
    <w:basedOn w:val="1"/>
    <w:link w:val="54"/>
    <w:unhideWhenUsed/>
    <w:qFormat/>
    <w:uiPriority w:val="99"/>
    <w:pPr>
      <w:widowControl/>
      <w:tabs>
        <w:tab w:val="center" w:pos="4680"/>
        <w:tab w:val="right" w:pos="9360"/>
      </w:tabs>
      <w:topLinePunct w:val="0"/>
      <w:autoSpaceDE/>
      <w:spacing w:line="240" w:lineRule="auto"/>
      <w:ind w:firstLine="0" w:firstLineChars="0"/>
      <w:jc w:val="left"/>
    </w:pPr>
    <w:rPr>
      <w:rFonts w:asciiTheme="minorHAnsi" w:hAnsiTheme="minorHAnsi" w:eastAsiaTheme="minorHAnsi" w:cstheme="minorBidi"/>
      <w:kern w:val="0"/>
      <w:sz w:val="21"/>
      <w:szCs w:val="21"/>
    </w:rPr>
  </w:style>
  <w:style w:type="paragraph" w:styleId="25">
    <w:name w:val="header"/>
    <w:basedOn w:val="1"/>
    <w:link w:val="5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6">
    <w:name w:val="toc 1"/>
    <w:basedOn w:val="1"/>
    <w:next w:val="1"/>
    <w:unhideWhenUsed/>
    <w:qFormat/>
    <w:uiPriority w:val="39"/>
  </w:style>
  <w:style w:type="paragraph" w:styleId="27">
    <w:name w:val="toc 4"/>
    <w:basedOn w:val="1"/>
    <w:next w:val="1"/>
    <w:unhideWhenUsed/>
    <w:qFormat/>
    <w:uiPriority w:val="39"/>
    <w:pPr>
      <w:topLinePunct w:val="0"/>
      <w:autoSpaceDE/>
      <w:spacing w:line="240" w:lineRule="auto"/>
      <w:ind w:left="1260" w:leftChars="600" w:firstLine="0" w:firstLineChars="0"/>
    </w:pPr>
    <w:rPr>
      <w:rFonts w:asciiTheme="minorHAnsi" w:hAnsiTheme="minorHAnsi" w:eastAsiaTheme="minorEastAsia" w:cstheme="minorBidi"/>
      <w:sz w:val="21"/>
    </w:rPr>
  </w:style>
  <w:style w:type="paragraph" w:styleId="28">
    <w:name w:val="toc 6"/>
    <w:basedOn w:val="1"/>
    <w:next w:val="1"/>
    <w:unhideWhenUsed/>
    <w:qFormat/>
    <w:uiPriority w:val="39"/>
    <w:pPr>
      <w:topLinePunct w:val="0"/>
      <w:autoSpaceDE/>
      <w:spacing w:line="240" w:lineRule="auto"/>
      <w:ind w:left="2100" w:leftChars="1000" w:firstLine="0" w:firstLineChars="0"/>
    </w:pPr>
    <w:rPr>
      <w:rFonts w:asciiTheme="minorHAnsi" w:hAnsiTheme="minorHAnsi" w:eastAsiaTheme="minorEastAsia" w:cstheme="minorBidi"/>
      <w:sz w:val="21"/>
    </w:rPr>
  </w:style>
  <w:style w:type="paragraph" w:styleId="29">
    <w:name w:val="toc 2"/>
    <w:basedOn w:val="1"/>
    <w:next w:val="1"/>
    <w:unhideWhenUsed/>
    <w:qFormat/>
    <w:uiPriority w:val="39"/>
    <w:pPr>
      <w:ind w:left="420" w:leftChars="200"/>
    </w:pPr>
  </w:style>
  <w:style w:type="paragraph" w:styleId="30">
    <w:name w:val="toc 9"/>
    <w:basedOn w:val="1"/>
    <w:next w:val="1"/>
    <w:unhideWhenUsed/>
    <w:qFormat/>
    <w:uiPriority w:val="39"/>
    <w:pPr>
      <w:topLinePunct w:val="0"/>
      <w:autoSpaceDE/>
      <w:spacing w:line="240" w:lineRule="auto"/>
      <w:ind w:left="3360" w:leftChars="1600" w:firstLine="0" w:firstLineChars="0"/>
    </w:pPr>
    <w:rPr>
      <w:rFonts w:asciiTheme="minorHAnsi" w:hAnsiTheme="minorHAnsi" w:eastAsiaTheme="minorEastAsia" w:cstheme="minorBidi"/>
      <w:sz w:val="21"/>
    </w:rPr>
  </w:style>
  <w:style w:type="paragraph" w:styleId="31">
    <w:name w:val="Title"/>
    <w:basedOn w:val="1"/>
    <w:next w:val="1"/>
    <w:link w:val="99"/>
    <w:qFormat/>
    <w:uiPriority w:val="10"/>
    <w:pPr>
      <w:topLinePunct w:val="0"/>
      <w:autoSpaceDE/>
      <w:spacing w:before="240" w:after="60" w:line="240" w:lineRule="auto"/>
      <w:ind w:firstLine="0" w:firstLineChars="0"/>
      <w:jc w:val="center"/>
      <w:outlineLvl w:val="0"/>
    </w:pPr>
    <w:rPr>
      <w:rFonts w:ascii="Cambria" w:hAnsi="Cambria" w:eastAsiaTheme="minorEastAsia"/>
      <w:b/>
      <w:bCs/>
      <w:kern w:val="0"/>
      <w:sz w:val="32"/>
      <w:szCs w:val="32"/>
    </w:rPr>
  </w:style>
  <w:style w:type="paragraph" w:styleId="32">
    <w:name w:val="annotation subject"/>
    <w:basedOn w:val="1"/>
    <w:next w:val="1"/>
    <w:link w:val="113"/>
    <w:unhideWhenUsed/>
    <w:qFormat/>
    <w:uiPriority w:val="99"/>
    <w:rPr>
      <w:b/>
      <w:bCs/>
    </w:rPr>
  </w:style>
  <w:style w:type="paragraph" w:styleId="33">
    <w:name w:val="Body Text First Indent"/>
    <w:basedOn w:val="1"/>
    <w:link w:val="96"/>
    <w:unhideWhenUsed/>
    <w:qFormat/>
    <w:uiPriority w:val="99"/>
    <w:pPr>
      <w:spacing w:after="120"/>
      <w:ind w:firstLine="420" w:firstLineChars="100"/>
    </w:pPr>
    <w:rPr>
      <w:rFonts w:cs="Calibri" w:asciiTheme="minorHAnsi" w:hAnsiTheme="minorHAnsi" w:eastAsiaTheme="minorEastAsia"/>
      <w:kern w:val="0"/>
      <w:sz w:val="20"/>
      <w:szCs w:val="20"/>
    </w:rPr>
  </w:style>
  <w:style w:type="table" w:styleId="35">
    <w:name w:val="Table Grid"/>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page number"/>
    <w:qFormat/>
    <w:uiPriority w:val="0"/>
    <w:rPr>
      <w:rFonts w:cs="Times New Roman"/>
    </w:rPr>
  </w:style>
  <w:style w:type="character" w:styleId="38">
    <w:name w:val="FollowedHyperlink"/>
    <w:basedOn w:val="36"/>
    <w:unhideWhenUsed/>
    <w:qFormat/>
    <w:uiPriority w:val="99"/>
    <w:rPr>
      <w:color w:val="800080"/>
      <w:u w:val="single"/>
    </w:rPr>
  </w:style>
  <w:style w:type="character" w:styleId="39">
    <w:name w:val="Hyperlink"/>
    <w:basedOn w:val="36"/>
    <w:unhideWhenUsed/>
    <w:qFormat/>
    <w:uiPriority w:val="99"/>
    <w:rPr>
      <w:color w:val="0000FF" w:themeColor="hyperlink"/>
      <w:u w:val="single"/>
      <w14:textFill>
        <w14:solidFill>
          <w14:schemeClr w14:val="hlink"/>
        </w14:solidFill>
      </w14:textFill>
    </w:rPr>
  </w:style>
  <w:style w:type="character" w:styleId="40">
    <w:name w:val="annotation reference"/>
    <w:basedOn w:val="36"/>
    <w:unhideWhenUsed/>
    <w:qFormat/>
    <w:uiPriority w:val="99"/>
    <w:rPr>
      <w:sz w:val="21"/>
      <w:szCs w:val="21"/>
    </w:rPr>
  </w:style>
  <w:style w:type="paragraph" w:customStyle="1" w:styleId="41">
    <w:name w:val="[1]正文"/>
    <w:basedOn w:val="1"/>
    <w:qFormat/>
    <w:uiPriority w:val="0"/>
    <w:pPr>
      <w:autoSpaceDE w:val="0"/>
      <w:autoSpaceDN w:val="0"/>
      <w:ind w:left="0" w:leftChars="0" w:firstLine="200" w:firstLineChars="200"/>
    </w:pPr>
    <w:rPr>
      <w:rFonts w:ascii="Times New Roman" w:hAnsi="Times New Roman"/>
      <w:color w:val="000000"/>
      <w:kern w:val="0"/>
      <w:szCs w:val="24"/>
      <w:lang w:val="zh-CN"/>
    </w:rPr>
  </w:style>
  <w:style w:type="paragraph" w:customStyle="1" w:styleId="4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43">
    <w:name w:val="标题 1 Char"/>
    <w:basedOn w:val="36"/>
    <w:link w:val="4"/>
    <w:qFormat/>
    <w:uiPriority w:val="9"/>
    <w:rPr>
      <w:rFonts w:ascii="Times New Roman" w:hAnsi="Times New Roman" w:eastAsiaTheme="majorEastAsia"/>
      <w:b/>
      <w:bCs/>
      <w:kern w:val="44"/>
      <w:sz w:val="30"/>
      <w:szCs w:val="44"/>
    </w:rPr>
  </w:style>
  <w:style w:type="character" w:customStyle="1" w:styleId="44">
    <w:name w:val="标题 2 Char1"/>
    <w:basedOn w:val="36"/>
    <w:link w:val="5"/>
    <w:qFormat/>
    <w:uiPriority w:val="0"/>
    <w:rPr>
      <w:rFonts w:ascii="Times New Roman" w:hAnsi="Times New Roman" w:eastAsia="宋体" w:cstheme="majorBidi"/>
      <w:b/>
      <w:bCs/>
      <w:sz w:val="28"/>
      <w:szCs w:val="32"/>
    </w:rPr>
  </w:style>
  <w:style w:type="character" w:customStyle="1" w:styleId="45">
    <w:name w:val="标题 3 Char1"/>
    <w:basedOn w:val="36"/>
    <w:link w:val="6"/>
    <w:qFormat/>
    <w:uiPriority w:val="9"/>
    <w:rPr>
      <w:rFonts w:ascii="Times New Roman" w:hAnsi="Times New Roman" w:eastAsia="宋体" w:cs="Times New Roman"/>
      <w:b/>
      <w:bCs/>
      <w:sz w:val="24"/>
      <w:szCs w:val="32"/>
    </w:rPr>
  </w:style>
  <w:style w:type="character" w:customStyle="1" w:styleId="46">
    <w:name w:val="标题 4 Char"/>
    <w:basedOn w:val="36"/>
    <w:link w:val="7"/>
    <w:qFormat/>
    <w:uiPriority w:val="99"/>
    <w:rPr>
      <w:rFonts w:ascii="Times New Roman" w:hAnsi="Times New Roman" w:eastAsia="宋体" w:cstheme="majorBidi"/>
      <w:b/>
      <w:bCs/>
      <w:sz w:val="24"/>
      <w:szCs w:val="28"/>
    </w:rPr>
  </w:style>
  <w:style w:type="character" w:customStyle="1" w:styleId="47">
    <w:name w:val="标题 5 Char"/>
    <w:basedOn w:val="36"/>
    <w:link w:val="8"/>
    <w:qFormat/>
    <w:uiPriority w:val="0"/>
    <w:rPr>
      <w:rFonts w:ascii="Times New Roman" w:hAnsi="Times New Roman" w:eastAsia="宋体" w:cs="Times New Roman"/>
      <w:b/>
      <w:bCs/>
      <w:kern w:val="2"/>
      <w:sz w:val="24"/>
      <w:szCs w:val="28"/>
    </w:rPr>
  </w:style>
  <w:style w:type="character" w:customStyle="1" w:styleId="48">
    <w:name w:val="标题 6 Char1"/>
    <w:basedOn w:val="36"/>
    <w:link w:val="9"/>
    <w:qFormat/>
    <w:uiPriority w:val="0"/>
    <w:rPr>
      <w:rFonts w:asciiTheme="majorHAnsi" w:hAnsiTheme="majorHAnsi" w:eastAsiaTheme="majorEastAsia" w:cstheme="majorBidi"/>
      <w:b/>
      <w:bCs/>
      <w:sz w:val="24"/>
      <w:szCs w:val="24"/>
    </w:rPr>
  </w:style>
  <w:style w:type="character" w:customStyle="1" w:styleId="49">
    <w:name w:val="标题 7 Char1"/>
    <w:basedOn w:val="36"/>
    <w:link w:val="10"/>
    <w:qFormat/>
    <w:uiPriority w:val="9"/>
    <w:rPr>
      <w:b/>
      <w:bCs/>
      <w:sz w:val="24"/>
      <w:szCs w:val="24"/>
    </w:rPr>
  </w:style>
  <w:style w:type="character" w:customStyle="1" w:styleId="50">
    <w:name w:val="标题 8 Char"/>
    <w:basedOn w:val="36"/>
    <w:link w:val="11"/>
    <w:qFormat/>
    <w:uiPriority w:val="0"/>
    <w:rPr>
      <w:rFonts w:asciiTheme="majorHAnsi" w:hAnsiTheme="majorHAnsi" w:eastAsiaTheme="majorEastAsia" w:cstheme="majorBidi"/>
      <w:sz w:val="24"/>
      <w:szCs w:val="24"/>
    </w:rPr>
  </w:style>
  <w:style w:type="character" w:customStyle="1" w:styleId="51">
    <w:name w:val="标题 9 Char"/>
    <w:basedOn w:val="36"/>
    <w:link w:val="12"/>
    <w:qFormat/>
    <w:uiPriority w:val="0"/>
    <w:rPr>
      <w:rFonts w:asciiTheme="majorHAnsi" w:hAnsiTheme="majorHAnsi" w:eastAsiaTheme="majorEastAsia" w:cstheme="majorBidi"/>
    </w:rPr>
  </w:style>
  <w:style w:type="character" w:customStyle="1" w:styleId="52">
    <w:name w:val="文档结构图 Char1"/>
    <w:basedOn w:val="36"/>
    <w:link w:val="15"/>
    <w:semiHidden/>
    <w:qFormat/>
    <w:uiPriority w:val="0"/>
    <w:rPr>
      <w:rFonts w:ascii="宋体" w:eastAsia="宋体"/>
      <w:sz w:val="18"/>
      <w:szCs w:val="18"/>
    </w:rPr>
  </w:style>
  <w:style w:type="character" w:customStyle="1" w:styleId="53">
    <w:name w:val="日期 Char1"/>
    <w:basedOn w:val="36"/>
    <w:link w:val="21"/>
    <w:semiHidden/>
    <w:qFormat/>
    <w:uiPriority w:val="0"/>
  </w:style>
  <w:style w:type="character" w:customStyle="1" w:styleId="54">
    <w:name w:val="页脚 Char1"/>
    <w:basedOn w:val="36"/>
    <w:link w:val="24"/>
    <w:qFormat/>
    <w:uiPriority w:val="99"/>
    <w:rPr>
      <w:rFonts w:eastAsiaTheme="minorHAnsi"/>
      <w:kern w:val="0"/>
    </w:rPr>
  </w:style>
  <w:style w:type="character" w:customStyle="1" w:styleId="55">
    <w:name w:val="页眉 Char1"/>
    <w:basedOn w:val="36"/>
    <w:link w:val="25"/>
    <w:qFormat/>
    <w:uiPriority w:val="0"/>
    <w:rPr>
      <w:rFonts w:ascii="Times New Roman" w:hAnsi="Times New Roman" w:eastAsia="宋体" w:cs="Times New Roman"/>
      <w:sz w:val="18"/>
      <w:szCs w:val="18"/>
    </w:rPr>
  </w:style>
  <w:style w:type="paragraph" w:customStyle="1" w:styleId="56">
    <w:name w:val="Char Char2 Char Char"/>
    <w:basedOn w:val="1"/>
    <w:semiHidden/>
    <w:qFormat/>
    <w:uiPriority w:val="0"/>
    <w:pPr>
      <w:spacing w:after="160" w:line="240" w:lineRule="exact"/>
      <w:jc w:val="left"/>
    </w:pPr>
    <w:rPr>
      <w:rFonts w:ascii="Verdana" w:hAnsi="Verdana"/>
      <w:kern w:val="0"/>
      <w:sz w:val="20"/>
      <w:szCs w:val="20"/>
      <w:lang w:eastAsia="en-US"/>
    </w:rPr>
  </w:style>
  <w:style w:type="character" w:customStyle="1" w:styleId="57">
    <w:name w:val="HTML 预设格式 Char1"/>
    <w:basedOn w:val="36"/>
    <w:semiHidden/>
    <w:qFormat/>
    <w:uiPriority w:val="99"/>
    <w:rPr>
      <w:rFonts w:ascii="Courier New" w:hAnsi="Courier New" w:eastAsia="宋体" w:cs="Courier New"/>
      <w:sz w:val="20"/>
      <w:szCs w:val="20"/>
    </w:rPr>
  </w:style>
  <w:style w:type="paragraph" w:customStyle="1" w:styleId="58">
    <w:name w:val="TIE-表格内容"/>
    <w:basedOn w:val="1"/>
    <w:qFormat/>
    <w:uiPriority w:val="0"/>
    <w:pPr>
      <w:spacing w:line="360" w:lineRule="exact"/>
      <w:ind w:firstLine="0" w:firstLineChars="0"/>
      <w:jc w:val="center"/>
      <w:textAlignment w:val="center"/>
    </w:pPr>
    <w:rPr>
      <w:sz w:val="21"/>
    </w:rPr>
  </w:style>
  <w:style w:type="paragraph" w:customStyle="1" w:styleId="59">
    <w:name w:val="TOC 标题1"/>
    <w:basedOn w:val="4"/>
    <w:next w:val="1"/>
    <w:unhideWhenUsed/>
    <w:qFormat/>
    <w:uiPriority w:val="39"/>
    <w:pPr>
      <w:outlineLvl w:val="9"/>
    </w:pPr>
  </w:style>
  <w:style w:type="table" w:customStyle="1" w:styleId="60">
    <w:name w:val="wenya"/>
    <w:basedOn w:val="34"/>
    <w:qFormat/>
    <w:uiPriority w:val="0"/>
    <w:rPr>
      <w:rFonts w:ascii="Times New Roman" w:hAnsi="Times New Roman" w:eastAsia="宋体" w:cs="Times New Roman"/>
    </w:rPr>
    <w:tblPr>
      <w:tblBorders>
        <w:top w:val="thinThickSmallGap" w:color="auto" w:sz="12" w:space="0"/>
        <w:bottom w:val="thinThickSmallGap" w:color="auto" w:sz="12" w:space="0"/>
        <w:insideH w:val="single" w:color="auto" w:sz="4" w:space="0"/>
        <w:insideV w:val="single" w:color="auto" w:sz="4" w:space="0"/>
      </w:tblBorders>
      <w:tblCellMar>
        <w:top w:w="0" w:type="dxa"/>
        <w:left w:w="28" w:type="dxa"/>
        <w:bottom w:w="0" w:type="dxa"/>
        <w:right w:w="28" w:type="dxa"/>
      </w:tblCellMar>
    </w:tblPr>
    <w:tcPr>
      <w:shd w:val="clear" w:color="auto" w:fill="auto"/>
      <w:vAlign w:val="center"/>
    </w:tcPr>
  </w:style>
  <w:style w:type="table" w:customStyle="1" w:styleId="61">
    <w:name w:val="wenya1"/>
    <w:basedOn w:val="34"/>
    <w:qFormat/>
    <w:uiPriority w:val="0"/>
    <w:rPr>
      <w:rFonts w:ascii="Times New Roman" w:hAnsi="Times New Roman" w:eastAsia="宋体" w:cs="Times New Roman"/>
    </w:rPr>
    <w:tblPr>
      <w:tblBorders>
        <w:top w:val="thinThickSmallGap" w:color="auto" w:sz="12" w:space="0"/>
        <w:bottom w:val="thinThickSmallGap" w:color="auto" w:sz="12" w:space="0"/>
        <w:insideH w:val="single" w:color="auto" w:sz="4" w:space="0"/>
        <w:insideV w:val="single" w:color="auto" w:sz="4" w:space="0"/>
      </w:tblBorders>
      <w:tblCellMar>
        <w:top w:w="0" w:type="dxa"/>
        <w:left w:w="28" w:type="dxa"/>
        <w:bottom w:w="0" w:type="dxa"/>
        <w:right w:w="28" w:type="dxa"/>
      </w:tblCellMar>
    </w:tblPr>
    <w:tcPr>
      <w:shd w:val="clear" w:color="auto" w:fill="auto"/>
      <w:vAlign w:val="center"/>
    </w:tcPr>
  </w:style>
  <w:style w:type="table" w:customStyle="1" w:styleId="62">
    <w:name w:val="表格类型2"/>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3">
    <w:name w:val="表格类型3"/>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4">
    <w:name w:val="表格类型4"/>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5">
    <w:name w:val="网格型4"/>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6">
    <w:name w:val="网格型1"/>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7">
    <w:name w:val="样式3"/>
    <w:basedOn w:val="34"/>
    <w:qFormat/>
    <w:uiPriority w:val="99"/>
    <w:rPr>
      <w:rFonts w:ascii="Times New Roman" w:hAnsi="Times New Roman" w:eastAsia="宋体" w:cs="Times New Roman"/>
    </w:rPr>
    <w:tblPr>
      <w:tblBorders>
        <w:top w:val="single" w:color="000000" w:sz="12" w:space="0"/>
        <w:bottom w:val="single" w:color="000000" w:sz="12" w:space="0"/>
        <w:insideH w:val="single" w:color="000000" w:sz="4" w:space="0"/>
        <w:insideV w:val="single" w:color="000000" w:sz="4" w:space="0"/>
      </w:tblBorders>
      <w:tblCellMar>
        <w:top w:w="0" w:type="dxa"/>
        <w:left w:w="108" w:type="dxa"/>
        <w:bottom w:w="0" w:type="dxa"/>
        <w:right w:w="108" w:type="dxa"/>
      </w:tblCellMar>
    </w:tblPr>
  </w:style>
  <w:style w:type="character" w:customStyle="1" w:styleId="68">
    <w:name w:val="Placeholder Text"/>
    <w:semiHidden/>
    <w:qFormat/>
    <w:uiPriority w:val="99"/>
    <w:rPr>
      <w:color w:val="808080"/>
    </w:rPr>
  </w:style>
  <w:style w:type="character" w:customStyle="1" w:styleId="69">
    <w:name w:val="正文文本 2 Char1"/>
    <w:basedOn w:val="36"/>
    <w:semiHidden/>
    <w:qFormat/>
    <w:uiPriority w:val="99"/>
    <w:rPr>
      <w:rFonts w:ascii="Times New Roman" w:hAnsi="Times New Roman" w:eastAsia="宋体" w:cs="Times New Roman"/>
      <w:sz w:val="24"/>
    </w:rPr>
  </w:style>
  <w:style w:type="character" w:customStyle="1" w:styleId="70">
    <w:name w:val="正文文本缩进 3 Char1"/>
    <w:basedOn w:val="36"/>
    <w:semiHidden/>
    <w:qFormat/>
    <w:uiPriority w:val="99"/>
    <w:rPr>
      <w:rFonts w:ascii="Times New Roman" w:hAnsi="Times New Roman" w:eastAsia="宋体" w:cs="Times New Roman"/>
      <w:sz w:val="16"/>
      <w:szCs w:val="16"/>
    </w:rPr>
  </w:style>
  <w:style w:type="character" w:customStyle="1" w:styleId="71">
    <w:name w:val="正文文本缩进 Char"/>
    <w:basedOn w:val="36"/>
    <w:semiHidden/>
    <w:qFormat/>
    <w:uiPriority w:val="99"/>
    <w:rPr>
      <w:rFonts w:ascii="Times New Roman" w:hAnsi="Times New Roman" w:eastAsia="宋体" w:cs="Times New Roman"/>
      <w:sz w:val="24"/>
    </w:rPr>
  </w:style>
  <w:style w:type="character" w:customStyle="1" w:styleId="72">
    <w:name w:val="正文文本 Char1"/>
    <w:semiHidden/>
    <w:qFormat/>
    <w:uiPriority w:val="0"/>
    <w:rPr>
      <w:kern w:val="2"/>
      <w:sz w:val="24"/>
      <w:szCs w:val="22"/>
    </w:rPr>
  </w:style>
  <w:style w:type="table" w:customStyle="1" w:styleId="73">
    <w:name w:val="网格型2"/>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
    <w:name w:val="网格型3"/>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
    <w:name w:val="网格型5"/>
    <w:basedOn w:val="34"/>
    <w:qFormat/>
    <w:uiPriority w:val="9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76">
    <w:name w:val="网格型6"/>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
    <w:name w:val="网格型7"/>
    <w:basedOn w:val="34"/>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8">
    <w:name w:val="网格型8"/>
    <w:basedOn w:val="34"/>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79">
    <w:name w:val="Table Normal"/>
    <w:semiHidden/>
    <w:qFormat/>
    <w:uiPriority w:val="2"/>
    <w:pPr>
      <w:widowControl w:val="0"/>
      <w:autoSpaceDE w:val="0"/>
      <w:autoSpaceDN w:val="0"/>
    </w:pPr>
    <w:rPr>
      <w:rFonts w:eastAsia="Times New Roman"/>
      <w:sz w:val="22"/>
      <w:szCs w:val="22"/>
      <w:lang w:eastAsia="en-US"/>
    </w:rPr>
    <w:tblPr>
      <w:tblCellMar>
        <w:top w:w="0" w:type="dxa"/>
        <w:left w:w="0" w:type="dxa"/>
        <w:bottom w:w="0" w:type="dxa"/>
        <w:right w:w="0" w:type="dxa"/>
      </w:tblCellMar>
    </w:tblPr>
  </w:style>
  <w:style w:type="table" w:customStyle="1" w:styleId="80">
    <w:name w:val="网格型9"/>
    <w:basedOn w:val="34"/>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1">
    <w:name w:val="xpp"/>
    <w:basedOn w:val="34"/>
    <w:qFormat/>
    <w:uiPriority w:val="0"/>
    <w:rPr>
      <w:rFonts w:ascii="Times New Roman" w:hAnsi="Times New Roman" w:eastAsia="宋体" w:cs="Times New Roman"/>
    </w:r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style>
  <w:style w:type="table" w:customStyle="1" w:styleId="82">
    <w:name w:val="灰度表格1"/>
    <w:basedOn w:val="34"/>
    <w:qFormat/>
    <w:uiPriority w:val="0"/>
    <w:rPr>
      <w:rFonts w:ascii="Calibri" w:hAnsi="Calibri" w:eastAsia="宋体" w:cs="Times New Roman"/>
    </w:rPr>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
  </w:style>
  <w:style w:type="character" w:customStyle="1" w:styleId="83">
    <w:name w:val="正文首行缩进 2 Char"/>
    <w:link w:val="2"/>
    <w:qFormat/>
    <w:locked/>
    <w:uiPriority w:val="99"/>
    <w:rPr>
      <w:rFonts w:ascii="宋体" w:eastAsia="宋体" w:cs="宋体"/>
      <w:sz w:val="24"/>
      <w:szCs w:val="24"/>
    </w:rPr>
  </w:style>
  <w:style w:type="character" w:customStyle="1" w:styleId="84">
    <w:name w:val="注释标题 Char"/>
    <w:basedOn w:val="36"/>
    <w:semiHidden/>
    <w:qFormat/>
    <w:uiPriority w:val="99"/>
    <w:rPr>
      <w:rFonts w:ascii="Times New Roman" w:hAnsi="Times New Roman" w:eastAsia="宋体" w:cs="Times New Roman"/>
      <w:kern w:val="2"/>
      <w:sz w:val="24"/>
      <w:szCs w:val="22"/>
    </w:rPr>
  </w:style>
  <w:style w:type="table" w:customStyle="1" w:styleId="85">
    <w:name w:val="灰度表格2"/>
    <w:basedOn w:val="34"/>
    <w:qFormat/>
    <w:uiPriority w:val="0"/>
    <w:rPr>
      <w:rFonts w:ascii="Calibri" w:hAnsi="Calibri" w:eastAsia="宋体" w:cs="Times New Roman"/>
    </w:rPr>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
  </w:style>
  <w:style w:type="paragraph" w:customStyle="1" w:styleId="86">
    <w:name w:val="_Style 63"/>
    <w:basedOn w:val="1"/>
    <w:next w:val="2"/>
    <w:qFormat/>
    <w:uiPriority w:val="99"/>
    <w:pPr>
      <w:topLinePunct w:val="0"/>
      <w:autoSpaceDE/>
      <w:adjustRightInd w:val="0"/>
      <w:snapToGrid w:val="0"/>
      <w:spacing w:line="360" w:lineRule="auto"/>
      <w:ind w:firstLine="420"/>
    </w:pPr>
    <w:rPr>
      <w:rFonts w:ascii="Calibri" w:hAnsi="Calibri"/>
      <w:kern w:val="0"/>
      <w:sz w:val="20"/>
      <w:szCs w:val="21"/>
      <w:lang w:val="zh-CN" w:eastAsia="zh-CN"/>
    </w:rPr>
  </w:style>
  <w:style w:type="character" w:customStyle="1" w:styleId="87">
    <w:name w:val="正文文本首行缩进 2 字符"/>
    <w:basedOn w:val="36"/>
    <w:semiHidden/>
    <w:qFormat/>
    <w:uiPriority w:val="99"/>
    <w:rPr>
      <w:rFonts w:ascii="Times New Roman" w:hAnsi="Times New Roman" w:eastAsia="宋体" w:cs="Times New Roman"/>
      <w:kern w:val="2"/>
      <w:sz w:val="24"/>
      <w:szCs w:val="22"/>
    </w:rPr>
  </w:style>
  <w:style w:type="character" w:customStyle="1" w:styleId="88">
    <w:name w:val="页眉 Char"/>
    <w:qFormat/>
    <w:uiPriority w:val="99"/>
    <w:rPr>
      <w:rFonts w:cs="Calibri"/>
      <w:sz w:val="18"/>
      <w:szCs w:val="18"/>
    </w:rPr>
  </w:style>
  <w:style w:type="character" w:customStyle="1" w:styleId="89">
    <w:name w:val="正文首行缩进 2 Char1"/>
    <w:link w:val="90"/>
    <w:qFormat/>
    <w:locked/>
    <w:uiPriority w:val="99"/>
    <w:rPr>
      <w:rFonts w:ascii="宋体" w:eastAsia="宋体" w:cs="宋体"/>
      <w:sz w:val="24"/>
      <w:szCs w:val="24"/>
    </w:rPr>
  </w:style>
  <w:style w:type="paragraph" w:customStyle="1" w:styleId="90">
    <w:name w:val="_Style 67"/>
    <w:basedOn w:val="1"/>
    <w:next w:val="1"/>
    <w:link w:val="89"/>
    <w:qFormat/>
    <w:uiPriority w:val="99"/>
    <w:pPr>
      <w:topLinePunct w:val="0"/>
      <w:autoSpaceDN w:val="0"/>
      <w:spacing w:line="240" w:lineRule="auto"/>
      <w:ind w:left="1319" w:hanging="601" w:firstLineChars="0"/>
      <w:jc w:val="left"/>
    </w:pPr>
    <w:rPr>
      <w:rFonts w:ascii="宋体" w:cs="宋体" w:hAnsiTheme="minorHAnsi"/>
      <w:kern w:val="0"/>
      <w:szCs w:val="24"/>
    </w:rPr>
  </w:style>
  <w:style w:type="character" w:customStyle="1" w:styleId="91">
    <w:name w:val="Heading 4 Char"/>
    <w:semiHidden/>
    <w:qFormat/>
    <w:uiPriority w:val="9"/>
    <w:rPr>
      <w:rFonts w:ascii="Cambria" w:hAnsi="Cambria" w:eastAsia="宋体" w:cs="Times New Roman"/>
      <w:b/>
      <w:bCs/>
      <w:sz w:val="28"/>
      <w:szCs w:val="28"/>
    </w:rPr>
  </w:style>
  <w:style w:type="character" w:customStyle="1" w:styleId="92">
    <w:name w:val="Body Text Char"/>
    <w:semiHidden/>
    <w:qFormat/>
    <w:uiPriority w:val="99"/>
    <w:rPr>
      <w:rFonts w:cs="Calibri"/>
      <w:szCs w:val="21"/>
    </w:rPr>
  </w:style>
  <w:style w:type="character" w:customStyle="1" w:styleId="93">
    <w:name w:val="Balloon Text Char"/>
    <w:semiHidden/>
    <w:qFormat/>
    <w:uiPriority w:val="99"/>
    <w:rPr>
      <w:rFonts w:cs="Calibri"/>
      <w:sz w:val="16"/>
      <w:szCs w:val="0"/>
    </w:rPr>
  </w:style>
  <w:style w:type="character" w:customStyle="1" w:styleId="94">
    <w:name w:val="标题 6 Char"/>
    <w:semiHidden/>
    <w:qFormat/>
    <w:uiPriority w:val="9"/>
    <w:rPr>
      <w:rFonts w:ascii="Cambria" w:hAnsi="Cambria" w:eastAsia="宋体" w:cs="Times New Roman"/>
      <w:b/>
      <w:bCs/>
      <w:sz w:val="24"/>
      <w:szCs w:val="24"/>
    </w:rPr>
  </w:style>
  <w:style w:type="character" w:customStyle="1" w:styleId="95">
    <w:name w:val="Comment Text Char"/>
    <w:semiHidden/>
    <w:qFormat/>
    <w:uiPriority w:val="99"/>
    <w:rPr>
      <w:rFonts w:cs="Calibri"/>
      <w:szCs w:val="21"/>
    </w:rPr>
  </w:style>
  <w:style w:type="character" w:customStyle="1" w:styleId="96">
    <w:name w:val="正文首行缩进 Char"/>
    <w:link w:val="33"/>
    <w:semiHidden/>
    <w:qFormat/>
    <w:uiPriority w:val="99"/>
    <w:rPr>
      <w:rFonts w:cs="Calibri"/>
      <w:szCs w:val="21"/>
    </w:rPr>
  </w:style>
  <w:style w:type="character" w:customStyle="1" w:styleId="97">
    <w:name w:val="页脚 Char"/>
    <w:semiHidden/>
    <w:qFormat/>
    <w:uiPriority w:val="99"/>
    <w:rPr>
      <w:rFonts w:cs="Calibri"/>
      <w:sz w:val="18"/>
      <w:szCs w:val="18"/>
    </w:rPr>
  </w:style>
  <w:style w:type="character" w:customStyle="1" w:styleId="98">
    <w:name w:val="文档结构图 Char"/>
    <w:semiHidden/>
    <w:qFormat/>
    <w:uiPriority w:val="99"/>
    <w:rPr>
      <w:rFonts w:ascii="Times New Roman" w:hAnsi="Times New Roman" w:cs="Calibri"/>
      <w:sz w:val="16"/>
      <w:szCs w:val="0"/>
    </w:rPr>
  </w:style>
  <w:style w:type="character" w:customStyle="1" w:styleId="99">
    <w:name w:val="标题 Char"/>
    <w:link w:val="31"/>
    <w:qFormat/>
    <w:uiPriority w:val="10"/>
    <w:rPr>
      <w:rFonts w:ascii="Cambria" w:hAnsi="Cambria" w:cs="Times New Roman"/>
      <w:b/>
      <w:bCs/>
      <w:sz w:val="32"/>
      <w:szCs w:val="32"/>
    </w:rPr>
  </w:style>
  <w:style w:type="paragraph" w:customStyle="1" w:styleId="100">
    <w:name w:val="List Paragraph"/>
    <w:basedOn w:val="1"/>
    <w:qFormat/>
    <w:uiPriority w:val="34"/>
    <w:pPr>
      <w:topLinePunct w:val="0"/>
      <w:autoSpaceDE/>
      <w:ind w:firstLine="420"/>
    </w:pPr>
    <w:rPr>
      <w:szCs w:val="24"/>
    </w:rPr>
  </w:style>
  <w:style w:type="character" w:customStyle="1" w:styleId="101">
    <w:name w:val="标题 7 Char"/>
    <w:semiHidden/>
    <w:qFormat/>
    <w:uiPriority w:val="9"/>
    <w:rPr>
      <w:rFonts w:cs="Calibri"/>
      <w:b/>
      <w:bCs/>
      <w:sz w:val="24"/>
      <w:szCs w:val="24"/>
    </w:rPr>
  </w:style>
  <w:style w:type="character" w:customStyle="1" w:styleId="102">
    <w:name w:val="Body Text First Indent 2 Char"/>
    <w:basedOn w:val="71"/>
    <w:semiHidden/>
    <w:qFormat/>
    <w:uiPriority w:val="99"/>
    <w:rPr>
      <w:rFonts w:ascii="Times New Roman" w:hAnsi="Times New Roman" w:eastAsia="宋体" w:cs="Calibri"/>
      <w:sz w:val="24"/>
      <w:szCs w:val="21"/>
    </w:rPr>
  </w:style>
  <w:style w:type="table" w:customStyle="1" w:styleId="103">
    <w:name w:val="网格型10"/>
    <w:basedOn w:val="34"/>
    <w:unhideWhenUsed/>
    <w:qFormat/>
    <w:uiPriority w:val="9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4">
    <w:name w:val="批注主题 Char"/>
    <w:semiHidden/>
    <w:qFormat/>
    <w:uiPriority w:val="99"/>
    <w:rPr>
      <w:rFonts w:cs="Calibri"/>
      <w:b/>
      <w:bCs/>
      <w:szCs w:val="21"/>
    </w:rPr>
  </w:style>
  <w:style w:type="character" w:customStyle="1" w:styleId="105">
    <w:name w:val="标题 2 Char"/>
    <w:semiHidden/>
    <w:qFormat/>
    <w:uiPriority w:val="9"/>
    <w:rPr>
      <w:rFonts w:ascii="Cambria" w:hAnsi="Cambria" w:eastAsia="宋体" w:cs="Times New Roman"/>
      <w:b/>
      <w:bCs/>
      <w:sz w:val="32"/>
      <w:szCs w:val="32"/>
    </w:rPr>
  </w:style>
  <w:style w:type="character" w:customStyle="1" w:styleId="106">
    <w:name w:val="标题 3 Char"/>
    <w:semiHidden/>
    <w:qFormat/>
    <w:uiPriority w:val="9"/>
    <w:rPr>
      <w:rFonts w:cs="Calibri"/>
      <w:b/>
      <w:bCs/>
      <w:sz w:val="32"/>
      <w:szCs w:val="32"/>
    </w:rPr>
  </w:style>
  <w:style w:type="character" w:customStyle="1" w:styleId="107">
    <w:name w:val="日期 Char"/>
    <w:semiHidden/>
    <w:qFormat/>
    <w:uiPriority w:val="99"/>
    <w:rPr>
      <w:rFonts w:cs="Calibri"/>
      <w:szCs w:val="21"/>
    </w:rPr>
  </w:style>
  <w:style w:type="paragraph" w:customStyle="1" w:styleId="108">
    <w:name w:val="二级标题 Char Char Char"/>
    <w:basedOn w:val="1"/>
    <w:next w:val="1"/>
    <w:semiHidden/>
    <w:qFormat/>
    <w:uiPriority w:val="99"/>
    <w:pPr>
      <w:topLinePunct w:val="0"/>
      <w:autoSpaceDE/>
      <w:spacing w:line="529" w:lineRule="exact"/>
    </w:pPr>
    <w:rPr>
      <w:rFonts w:ascii="宋体" w:hAnsi="宋体" w:cs="宋体"/>
      <w:szCs w:val="24"/>
    </w:rPr>
  </w:style>
  <w:style w:type="character" w:customStyle="1" w:styleId="109">
    <w:name w:val="正文文本 字符"/>
    <w:basedOn w:val="36"/>
    <w:semiHidden/>
    <w:qFormat/>
    <w:uiPriority w:val="1"/>
    <w:rPr>
      <w:rFonts w:ascii="Times New Roman" w:hAnsi="Times New Roman" w:eastAsia="宋体" w:cs="Times New Roman"/>
      <w:kern w:val="2"/>
      <w:sz w:val="24"/>
      <w:szCs w:val="22"/>
    </w:rPr>
  </w:style>
  <w:style w:type="character" w:customStyle="1" w:styleId="110">
    <w:name w:val="正文文本缩进 2 字符"/>
    <w:basedOn w:val="36"/>
    <w:semiHidden/>
    <w:qFormat/>
    <w:uiPriority w:val="99"/>
    <w:rPr>
      <w:rFonts w:ascii="Times New Roman" w:hAnsi="Times New Roman" w:eastAsia="宋体" w:cs="Times New Roman"/>
      <w:kern w:val="2"/>
      <w:sz w:val="24"/>
      <w:szCs w:val="22"/>
    </w:rPr>
  </w:style>
  <w:style w:type="character" w:customStyle="1" w:styleId="111">
    <w:name w:val="纯文本 字符"/>
    <w:basedOn w:val="36"/>
    <w:semiHidden/>
    <w:qFormat/>
    <w:uiPriority w:val="99"/>
    <w:rPr>
      <w:rFonts w:hAnsi="Courier New" w:cs="Courier New" w:asciiTheme="minorEastAsia"/>
      <w:kern w:val="2"/>
      <w:sz w:val="24"/>
      <w:szCs w:val="22"/>
    </w:rPr>
  </w:style>
  <w:style w:type="character" w:customStyle="1" w:styleId="112">
    <w:name w:val="正文文本首行缩进 字符"/>
    <w:basedOn w:val="109"/>
    <w:semiHidden/>
    <w:qFormat/>
    <w:uiPriority w:val="99"/>
    <w:rPr>
      <w:rFonts w:ascii="Times New Roman" w:hAnsi="Times New Roman" w:eastAsia="宋体" w:cs="Times New Roman"/>
      <w:kern w:val="2"/>
      <w:sz w:val="24"/>
      <w:szCs w:val="22"/>
    </w:rPr>
  </w:style>
  <w:style w:type="character" w:customStyle="1" w:styleId="113">
    <w:name w:val="批注主题 Char1"/>
    <w:basedOn w:val="36"/>
    <w:link w:val="32"/>
    <w:semiHidden/>
    <w:qFormat/>
    <w:uiPriority w:val="99"/>
    <w:rPr>
      <w:rFonts w:ascii="Times New Roman" w:hAnsi="Times New Roman" w:eastAsia="宋体" w:cs="Times New Roman"/>
      <w:b/>
      <w:bCs/>
      <w:kern w:val="2"/>
      <w:sz w:val="24"/>
      <w:szCs w:val="22"/>
    </w:rPr>
  </w:style>
  <w:style w:type="table" w:customStyle="1" w:styleId="114">
    <w:name w:val="灰度表格3"/>
    <w:basedOn w:val="34"/>
    <w:qFormat/>
    <w:uiPriority w:val="0"/>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5">
    <w:name w:val="正文文本缩进 Char1"/>
    <w:basedOn w:val="36"/>
    <w:link w:val="3"/>
    <w:semiHidden/>
    <w:qFormat/>
    <w:uiPriority w:val="99"/>
    <w:rPr>
      <w:rFonts w:ascii="Times New Roman" w:hAnsi="Times New Roman" w:eastAsia="宋体" w:cs="Times New Roman"/>
      <w:kern w:val="2"/>
      <w:sz w:val="24"/>
      <w:szCs w:val="22"/>
    </w:rPr>
  </w:style>
  <w:style w:type="character" w:customStyle="1" w:styleId="116">
    <w:name w:val="正文文本缩进 2 Char"/>
    <w:basedOn w:val="36"/>
    <w:link w:val="22"/>
    <w:qFormat/>
    <w:uiPriority w:val="99"/>
    <w:rPr>
      <w:rFonts w:ascii="Times New Roman" w:hAnsi="Times New Roman" w:eastAsia="宋体" w:cs="Times New Roman"/>
      <w:kern w:val="2"/>
      <w:sz w:val="24"/>
      <w:szCs w:val="22"/>
    </w:rPr>
  </w:style>
  <w:style w:type="character" w:customStyle="1" w:styleId="117">
    <w:name w:val="正文文本 Char"/>
    <w:basedOn w:val="36"/>
    <w:link w:val="17"/>
    <w:semiHidden/>
    <w:qFormat/>
    <w:uiPriority w:val="99"/>
    <w:rPr>
      <w:rFonts w:ascii="Times New Roman" w:hAnsi="Times New Roman" w:eastAsia="宋体" w:cs="Times New Roman"/>
      <w:kern w:val="2"/>
      <w:sz w:val="24"/>
      <w:szCs w:val="22"/>
    </w:rPr>
  </w:style>
  <w:style w:type="character" w:customStyle="1" w:styleId="118">
    <w:name w:val="批注框文本 Char"/>
    <w:basedOn w:val="36"/>
    <w:link w:val="23"/>
    <w:qFormat/>
    <w:uiPriority w:val="99"/>
    <w:rPr>
      <w:rFonts w:ascii="Times New Roman" w:hAnsi="Times New Roman" w:eastAsia="宋体" w:cs="Times New Roman"/>
      <w:kern w:val="2"/>
      <w:sz w:val="18"/>
      <w:szCs w:val="18"/>
    </w:rPr>
  </w:style>
  <w:style w:type="character" w:customStyle="1" w:styleId="119">
    <w:name w:val="页脚 Char2"/>
    <w:semiHidden/>
    <w:qFormat/>
    <w:uiPriority w:val="99"/>
    <w:rPr>
      <w:rFonts w:ascii="Times New Roman" w:hAnsi="Times New Roman" w:eastAsia="宋体" w:cs="Times New Roman"/>
      <w:sz w:val="18"/>
      <w:szCs w:val="18"/>
    </w:rPr>
  </w:style>
  <w:style w:type="character" w:customStyle="1" w:styleId="120">
    <w:name w:val="纯文本 Char5"/>
    <w:semiHidden/>
    <w:qFormat/>
    <w:uiPriority w:val="0"/>
    <w:rPr>
      <w:rFonts w:ascii="宋体" w:hAnsi="Courier New" w:cs="Courier New"/>
      <w:kern w:val="2"/>
      <w:sz w:val="21"/>
      <w:szCs w:val="21"/>
    </w:rPr>
  </w:style>
  <w:style w:type="character" w:customStyle="1" w:styleId="121">
    <w:name w:val="正文首行缩进 2 Char2"/>
    <w:link w:val="122"/>
    <w:semiHidden/>
    <w:qFormat/>
    <w:uiPriority w:val="99"/>
    <w:rPr>
      <w:rFonts w:ascii="Times New Roman" w:hAnsi="Times New Roman" w:eastAsia="宋体" w:cs="Times New Roman"/>
      <w:sz w:val="32"/>
      <w:szCs w:val="20"/>
    </w:rPr>
  </w:style>
  <w:style w:type="paragraph" w:customStyle="1" w:styleId="122">
    <w:name w:val="_Style 111"/>
    <w:basedOn w:val="3"/>
    <w:next w:val="1"/>
    <w:link w:val="121"/>
    <w:qFormat/>
    <w:uiPriority w:val="99"/>
    <w:pPr>
      <w:topLinePunct w:val="0"/>
      <w:autoSpaceDE/>
      <w:spacing w:line="240" w:lineRule="auto"/>
      <w:ind w:firstLine="420"/>
    </w:pPr>
    <w:rPr>
      <w:kern w:val="0"/>
      <w:sz w:val="32"/>
      <w:szCs w:val="20"/>
    </w:rPr>
  </w:style>
  <w:style w:type="character" w:customStyle="1" w:styleId="123">
    <w:name w:val="纯文本 字符1"/>
    <w:basedOn w:val="36"/>
    <w:semiHidden/>
    <w:qFormat/>
    <w:uiPriority w:val="0"/>
    <w:rPr>
      <w:rFonts w:hAnsi="Courier New" w:cs="Courier New" w:asciiTheme="minorEastAsia"/>
      <w:kern w:val="2"/>
      <w:sz w:val="24"/>
      <w:szCs w:val="22"/>
    </w:rPr>
  </w:style>
  <w:style w:type="character" w:customStyle="1" w:styleId="124">
    <w:name w:val="批注文字 Char"/>
    <w:basedOn w:val="36"/>
    <w:link w:val="16"/>
    <w:semiHidden/>
    <w:qFormat/>
    <w:uiPriority w:val="0"/>
    <w:rPr>
      <w:rFonts w:ascii="Times New Roman" w:hAnsi="Times New Roman" w:eastAsia="宋体" w:cs="Times New Roman"/>
      <w:kern w:val="2"/>
      <w:sz w:val="24"/>
      <w:szCs w:val="22"/>
    </w:rPr>
  </w:style>
  <w:style w:type="paragraph" w:customStyle="1" w:styleId="125">
    <w:name w:val="表格内容"/>
    <w:basedOn w:val="1"/>
    <w:qFormat/>
    <w:uiPriority w:val="0"/>
    <w:pPr>
      <w:topLinePunct w:val="0"/>
      <w:autoSpaceDE/>
      <w:adjustRightInd w:val="0"/>
      <w:spacing w:line="240" w:lineRule="auto"/>
      <w:ind w:firstLine="0" w:firstLineChars="0"/>
      <w:jc w:val="center"/>
      <w:textAlignment w:val="baseline"/>
    </w:pPr>
    <w:rPr>
      <w:sz w:val="21"/>
    </w:rPr>
  </w:style>
  <w:style w:type="character" w:customStyle="1" w:styleId="126">
    <w:name w:val="表头—高 Char"/>
    <w:link w:val="127"/>
    <w:qFormat/>
    <w:uiPriority w:val="0"/>
    <w:rPr>
      <w:rFonts w:ascii="Times New Roman" w:hAnsi="Times New Roman" w:eastAsia="宋体"/>
      <w:b/>
      <w:sz w:val="24"/>
    </w:rPr>
  </w:style>
  <w:style w:type="paragraph" w:customStyle="1" w:styleId="127">
    <w:name w:val="表头—高"/>
    <w:basedOn w:val="1"/>
    <w:link w:val="126"/>
    <w:qFormat/>
    <w:uiPriority w:val="0"/>
    <w:pPr>
      <w:topLinePunct w:val="0"/>
      <w:autoSpaceDE/>
      <w:adjustRightInd w:val="0"/>
      <w:snapToGrid w:val="0"/>
      <w:spacing w:before="120" w:after="40" w:line="360" w:lineRule="auto"/>
      <w:ind w:firstLine="0" w:firstLineChars="0"/>
      <w:jc w:val="center"/>
    </w:pPr>
    <w:rPr>
      <w:rFonts w:cstheme="minorBidi"/>
      <w:b/>
      <w:kern w:val="0"/>
      <w:szCs w:val="20"/>
    </w:rPr>
  </w:style>
  <w:style w:type="character" w:customStyle="1" w:styleId="128">
    <w:name w:val="表格内容--高 Char"/>
    <w:link w:val="129"/>
    <w:qFormat/>
    <w:uiPriority w:val="0"/>
    <w:rPr>
      <w:rFonts w:ascii="Times New Roman" w:hAnsi="Times New Roman" w:eastAsia="宋体" w:cs="宋体"/>
      <w:szCs w:val="21"/>
    </w:rPr>
  </w:style>
  <w:style w:type="paragraph" w:customStyle="1" w:styleId="129">
    <w:name w:val="表格内容--高"/>
    <w:basedOn w:val="1"/>
    <w:link w:val="128"/>
    <w:qFormat/>
    <w:uiPriority w:val="0"/>
    <w:pPr>
      <w:topLinePunct w:val="0"/>
      <w:autoSpaceDE/>
      <w:spacing w:line="240" w:lineRule="auto"/>
      <w:ind w:firstLine="0" w:firstLineChars="0"/>
      <w:jc w:val="center"/>
    </w:pPr>
    <w:rPr>
      <w:rFonts w:cs="宋体"/>
      <w:kern w:val="0"/>
      <w:sz w:val="20"/>
      <w:szCs w:val="21"/>
    </w:rPr>
  </w:style>
  <w:style w:type="character" w:customStyle="1" w:styleId="130">
    <w:name w:val="高-正文 Char"/>
    <w:link w:val="131"/>
    <w:qFormat/>
    <w:uiPriority w:val="0"/>
    <w:rPr>
      <w:rFonts w:ascii="Times New Roman" w:hAnsi="Times New Roman" w:eastAsia="宋体"/>
      <w:snapToGrid w:val="0"/>
      <w:sz w:val="24"/>
    </w:rPr>
  </w:style>
  <w:style w:type="paragraph" w:customStyle="1" w:styleId="131">
    <w:name w:val="高-正文"/>
    <w:basedOn w:val="1"/>
    <w:link w:val="130"/>
    <w:qFormat/>
    <w:uiPriority w:val="0"/>
    <w:pPr>
      <w:autoSpaceDE/>
      <w:adjustRightInd w:val="0"/>
      <w:snapToGrid w:val="0"/>
      <w:spacing w:line="360" w:lineRule="auto"/>
      <w:ind w:firstLine="600"/>
      <w:jc w:val="left"/>
    </w:pPr>
    <w:rPr>
      <w:rFonts w:cstheme="minorBidi"/>
      <w:snapToGrid w:val="0"/>
      <w:kern w:val="0"/>
      <w:szCs w:val="20"/>
    </w:rPr>
  </w:style>
  <w:style w:type="character" w:customStyle="1" w:styleId="132">
    <w:name w:val="正文样式 Char"/>
    <w:link w:val="133"/>
    <w:qFormat/>
    <w:uiPriority w:val="0"/>
    <w:rPr>
      <w:rFonts w:ascii="宋体" w:hAnsi="宋体" w:eastAsia="宋体"/>
      <w:kern w:val="2"/>
      <w:sz w:val="24"/>
      <w:szCs w:val="24"/>
    </w:rPr>
  </w:style>
  <w:style w:type="paragraph" w:customStyle="1" w:styleId="133">
    <w:name w:val="正文样式"/>
    <w:basedOn w:val="1"/>
    <w:link w:val="132"/>
    <w:qFormat/>
    <w:uiPriority w:val="0"/>
    <w:pPr>
      <w:topLinePunct w:val="0"/>
      <w:autoSpaceDE/>
      <w:adjustRightInd w:val="0"/>
      <w:snapToGrid w:val="0"/>
      <w:spacing w:line="360" w:lineRule="auto"/>
      <w:ind w:firstLine="480"/>
    </w:pPr>
    <w:rPr>
      <w:rFonts w:ascii="宋体" w:hAnsi="宋体" w:cstheme="minorBidi"/>
      <w:szCs w:val="24"/>
    </w:rPr>
  </w:style>
  <w:style w:type="paragraph" w:customStyle="1" w:styleId="134">
    <w:name w:val="默认段落字体 Para Char"/>
    <w:basedOn w:val="1"/>
    <w:next w:val="1"/>
    <w:qFormat/>
    <w:uiPriority w:val="0"/>
    <w:pPr>
      <w:topLinePunct w:val="0"/>
      <w:autoSpaceDE/>
      <w:adjustRightInd w:val="0"/>
      <w:snapToGrid w:val="0"/>
      <w:spacing w:line="360" w:lineRule="auto"/>
    </w:pPr>
    <w:rPr>
      <w:rFonts w:ascii="宋体" w:hAnsi="宋体" w:cs="宋体"/>
      <w:szCs w:val="24"/>
    </w:rPr>
  </w:style>
  <w:style w:type="character" w:customStyle="1" w:styleId="135">
    <w:name w:val="【表中文字】 Char"/>
    <w:link w:val="136"/>
    <w:qFormat/>
    <w:uiPriority w:val="0"/>
    <w:rPr>
      <w:kern w:val="2"/>
      <w:sz w:val="21"/>
    </w:rPr>
  </w:style>
  <w:style w:type="paragraph" w:customStyle="1" w:styleId="136">
    <w:name w:val="【表中文字】"/>
    <w:basedOn w:val="1"/>
    <w:link w:val="135"/>
    <w:qFormat/>
    <w:uiPriority w:val="0"/>
    <w:pPr>
      <w:topLinePunct w:val="0"/>
      <w:autoSpaceDE/>
      <w:spacing w:line="240" w:lineRule="auto"/>
      <w:ind w:firstLine="0" w:firstLineChars="0"/>
      <w:jc w:val="center"/>
    </w:pPr>
    <w:rPr>
      <w:rFonts w:asciiTheme="minorHAnsi" w:hAnsiTheme="minorHAnsi" w:eastAsiaTheme="minorEastAsia" w:cstheme="minorBidi"/>
      <w:sz w:val="21"/>
      <w:szCs w:val="20"/>
    </w:rPr>
  </w:style>
  <w:style w:type="paragraph" w:customStyle="1" w:styleId="137">
    <w:name w:val="表格"/>
    <w:basedOn w:val="1"/>
    <w:next w:val="1"/>
    <w:qFormat/>
    <w:uiPriority w:val="0"/>
    <w:pPr>
      <w:spacing w:line="240" w:lineRule="auto"/>
      <w:ind w:firstLine="0" w:firstLineChars="0"/>
      <w:jc w:val="center"/>
    </w:pPr>
    <w:rPr>
      <w:rFonts w:ascii="Times New Roman" w:hAnsi="Times New Roman"/>
      <w:sz w:val="21"/>
    </w:rPr>
  </w:style>
  <w:style w:type="paragraph" w:customStyle="1" w:styleId="138">
    <w:name w:val="表头"/>
    <w:basedOn w:val="139"/>
    <w:qFormat/>
    <w:uiPriority w:val="0"/>
    <w:pPr>
      <w:tabs>
        <w:tab w:val="left" w:pos="6300"/>
      </w:tabs>
      <w:spacing w:after="93" w:afterLines="30" w:line="440" w:lineRule="exact"/>
      <w:ind w:firstLine="0" w:firstLineChars="0"/>
      <w:jc w:val="center"/>
    </w:pPr>
    <w:rPr>
      <w:rFonts w:ascii="黑体" w:eastAsia="黑体"/>
      <w:sz w:val="24"/>
    </w:rPr>
  </w:style>
  <w:style w:type="paragraph" w:customStyle="1" w:styleId="139">
    <w:name w:val="样式1"/>
    <w:basedOn w:val="1"/>
    <w:qFormat/>
    <w:uiPriority w:val="0"/>
    <w:pPr>
      <w:spacing w:line="500" w:lineRule="exact"/>
      <w:ind w:firstLine="560" w:firstLineChars="200"/>
    </w:pPr>
    <w:rPr>
      <w:rFonts w:ascii="仿宋_GB2312" w:eastAsia="仿宋_GB2312"/>
      <w:color w:val="000000"/>
      <w:sz w:val="28"/>
    </w:rPr>
  </w:style>
  <w:style w:type="paragraph" w:customStyle="1" w:styleId="140">
    <w:name w:val="家具报告正文"/>
    <w:basedOn w:val="141"/>
    <w:qFormat/>
    <w:uiPriority w:val="0"/>
  </w:style>
  <w:style w:type="paragraph" w:customStyle="1" w:styleId="141">
    <w:name w:val="报告书正文"/>
    <w:basedOn w:val="1"/>
    <w:qFormat/>
    <w:uiPriority w:val="0"/>
    <w:pPr>
      <w:spacing w:line="360" w:lineRule="auto"/>
      <w:ind w:firstLine="480" w:firstLineChars="200"/>
    </w:pPr>
    <w:rPr>
      <w:sz w:val="24"/>
    </w:rPr>
  </w:style>
  <w:style w:type="paragraph" w:customStyle="1" w:styleId="142">
    <w:name w:val="养猪报告正文"/>
    <w:basedOn w:val="141"/>
    <w:qFormat/>
    <w:uiPriority w:val="0"/>
    <w:rPr>
      <w:rFonts w:ascii="Calibri" w:hAnsi="Calibri"/>
    </w:rPr>
  </w:style>
  <w:style w:type="paragraph" w:customStyle="1" w:styleId="143">
    <w:name w:val="家具表头"/>
    <w:basedOn w:val="1"/>
    <w:qFormat/>
    <w:uiPriority w:val="0"/>
    <w:pPr>
      <w:jc w:val="center"/>
    </w:pPr>
    <w:rPr>
      <w:b/>
      <w:bCs/>
      <w:szCs w:val="21"/>
    </w:rPr>
  </w:style>
  <w:style w:type="paragraph" w:customStyle="1" w:styleId="144">
    <w:name w:val="家具表格内文字"/>
    <w:basedOn w:val="1"/>
    <w:qFormat/>
    <w:uiPriority w:val="0"/>
    <w:pPr>
      <w:jc w:val="center"/>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8" Type="http://schemas.openxmlformats.org/officeDocument/2006/relationships/fontTable" Target="fontTable.xml"/><Relationship Id="rId67" Type="http://schemas.openxmlformats.org/officeDocument/2006/relationships/customXml" Target="../customXml/item1.xml"/><Relationship Id="rId66" Type="http://schemas.openxmlformats.org/officeDocument/2006/relationships/image" Target="media/image42.png"/><Relationship Id="rId65" Type="http://schemas.openxmlformats.org/officeDocument/2006/relationships/image" Target="media/image41.jpeg"/><Relationship Id="rId64" Type="http://schemas.openxmlformats.org/officeDocument/2006/relationships/image" Target="media/image40.jpeg"/><Relationship Id="rId63" Type="http://schemas.openxmlformats.org/officeDocument/2006/relationships/image" Target="media/image39.png"/><Relationship Id="rId62" Type="http://schemas.openxmlformats.org/officeDocument/2006/relationships/image" Target="media/image38.png"/><Relationship Id="rId61" Type="http://schemas.openxmlformats.org/officeDocument/2006/relationships/image" Target="media/image37.png"/><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2.bin"/><Relationship Id="rId57" Type="http://schemas.openxmlformats.org/officeDocument/2006/relationships/image" Target="media/image34.wmf"/><Relationship Id="rId56" Type="http://schemas.openxmlformats.org/officeDocument/2006/relationships/oleObject" Target="embeddings/oleObject11.bin"/><Relationship Id="rId55" Type="http://schemas.openxmlformats.org/officeDocument/2006/relationships/image" Target="media/image33.wmf"/><Relationship Id="rId54" Type="http://schemas.openxmlformats.org/officeDocument/2006/relationships/oleObject" Target="embeddings/oleObject10.bin"/><Relationship Id="rId53" Type="http://schemas.openxmlformats.org/officeDocument/2006/relationships/image" Target="media/image32.wmf"/><Relationship Id="rId52" Type="http://schemas.openxmlformats.org/officeDocument/2006/relationships/oleObject" Target="embeddings/oleObject9.bin"/><Relationship Id="rId51" Type="http://schemas.openxmlformats.org/officeDocument/2006/relationships/image" Target="media/image31.wmf"/><Relationship Id="rId50" Type="http://schemas.openxmlformats.org/officeDocument/2006/relationships/oleObject" Target="embeddings/oleObject8.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7.bin"/><Relationship Id="rId47" Type="http://schemas.openxmlformats.org/officeDocument/2006/relationships/image" Target="media/image29.wmf"/><Relationship Id="rId46" Type="http://schemas.openxmlformats.org/officeDocument/2006/relationships/oleObject" Target="embeddings/oleObject6.bin"/><Relationship Id="rId45" Type="http://schemas.openxmlformats.org/officeDocument/2006/relationships/image" Target="media/image28.wmf"/><Relationship Id="rId44" Type="http://schemas.openxmlformats.org/officeDocument/2006/relationships/oleObject" Target="embeddings/oleObject5.bin"/><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wmf"/><Relationship Id="rId34" Type="http://schemas.openxmlformats.org/officeDocument/2006/relationships/oleObject" Target="embeddings/oleObject4.bin"/><Relationship Id="rId33" Type="http://schemas.openxmlformats.org/officeDocument/2006/relationships/image" Target="media/image18.png"/><Relationship Id="rId32" Type="http://schemas.openxmlformats.org/officeDocument/2006/relationships/image" Target="media/image17.jpeg"/><Relationship Id="rId31" Type="http://schemas.openxmlformats.org/officeDocument/2006/relationships/image" Target="media/image16.e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5.emf"/><Relationship Id="rId28" Type="http://schemas.openxmlformats.org/officeDocument/2006/relationships/oleObject" Target="embeddings/oleObject2.bin"/><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jpeg"/><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wmf"/><Relationship Id="rId14" Type="http://schemas.openxmlformats.org/officeDocument/2006/relationships/oleObject" Target="embeddings/oleObject1.bin"/><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Www.SangSan.Cn</Company>
  <Pages>231</Pages>
  <Words>27555</Words>
  <Characters>157064</Characters>
  <Lines>1308</Lines>
  <Paragraphs>368</Paragraphs>
  <TotalTime>1</TotalTime>
  <ScaleCrop>false</ScaleCrop>
  <LinksUpToDate>false</LinksUpToDate>
  <CharactersWithSpaces>184251</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2019-02-21T09:54:00Z</dcterms:created>
  <dc:creator>tie</dc:creator>
  <cp:lastModifiedBy>旭昶</cp:lastModifiedBy>
  <dcterms:modified xsi:type="dcterms:W3CDTF">2021-06-04T01:02:29Z</dcterms:modified>
  <cp:revision>1078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A534C13243FB43BC95418D6C077E2F0A</vt:lpwstr>
  </property>
</Properties>
</file>