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5387" w:type="dxa"/>
        <w:tblInd w:w="0" w:type="dxa"/>
        <w:tblLayout w:type="fixed"/>
        <w:tblCellMar>
          <w:top w:w="0" w:type="dxa"/>
          <w:left w:w="0" w:type="dxa"/>
          <w:bottom w:w="0" w:type="dxa"/>
          <w:right w:w="0" w:type="dxa"/>
        </w:tblCellMar>
      </w:tblPr>
      <w:tblGrid>
        <w:gridCol w:w="480"/>
        <w:gridCol w:w="1002"/>
        <w:gridCol w:w="960"/>
        <w:gridCol w:w="2190"/>
        <w:gridCol w:w="1440"/>
        <w:gridCol w:w="1290"/>
        <w:gridCol w:w="1440"/>
        <w:gridCol w:w="2565"/>
        <w:gridCol w:w="840"/>
        <w:gridCol w:w="585"/>
        <w:gridCol w:w="495"/>
        <w:gridCol w:w="705"/>
        <w:gridCol w:w="675"/>
        <w:gridCol w:w="720"/>
      </w:tblGrid>
      <w:tr>
        <w:tblPrEx>
          <w:tblCellMar>
            <w:top w:w="0" w:type="dxa"/>
            <w:left w:w="0" w:type="dxa"/>
            <w:bottom w:w="0" w:type="dxa"/>
            <w:right w:w="0" w:type="dxa"/>
          </w:tblCellMar>
        </w:tblPrEx>
        <w:trPr>
          <w:trHeight w:val="375" w:hRule="atLeast"/>
        </w:trPr>
        <w:tc>
          <w:tcPr>
            <w:tcW w:w="15387" w:type="dxa"/>
            <w:gridSpan w:val="14"/>
            <w:tcBorders>
              <w:top w:val="nil"/>
              <w:left w:val="nil"/>
              <w:bottom w:val="nil"/>
              <w:right w:val="nil"/>
            </w:tcBorders>
            <w:noWrap/>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8"/>
                <w:szCs w:val="28"/>
                <w:u w:val="none"/>
              </w:rPr>
            </w:pPr>
            <w:r>
              <w:rPr>
                <w:rFonts w:hint="eastAsia" w:ascii="方正小标宋_GBK" w:hAnsi="方正小标宋_GBK" w:eastAsia="方正小标宋_GBK" w:cs="方正小标宋_GBK"/>
                <w:i w:val="0"/>
                <w:color w:val="000000"/>
                <w:kern w:val="0"/>
                <w:sz w:val="44"/>
                <w:szCs w:val="44"/>
                <w:u w:val="none"/>
                <w:lang w:val="en-US" w:eastAsia="zh-CN" w:bidi="ar"/>
              </w:rPr>
              <w:t>（十八）城市综合执法领域基层政务公开标准目录</w:t>
            </w:r>
          </w:p>
        </w:tc>
      </w:tr>
      <w:tr>
        <w:tblPrEx>
          <w:tblCellMar>
            <w:top w:w="0" w:type="dxa"/>
            <w:left w:w="0" w:type="dxa"/>
            <w:bottom w:w="0" w:type="dxa"/>
            <w:right w:w="0" w:type="dxa"/>
          </w:tblCellMar>
        </w:tblPrEx>
        <w:trPr>
          <w:trHeight w:val="225" w:hRule="atLeast"/>
        </w:trPr>
        <w:tc>
          <w:tcPr>
            <w:tcW w:w="4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序号</w:t>
            </w:r>
          </w:p>
        </w:tc>
        <w:tc>
          <w:tcPr>
            <w:tcW w:w="1962"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公开事项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公开内容</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公开依据</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公开时限</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公开主体</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公开渠道和载体（“■”表示必选项，“□”表示可选项）</w:t>
            </w:r>
          </w:p>
        </w:tc>
        <w:tc>
          <w:tcPr>
            <w:tcW w:w="142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公开对象</w:t>
            </w:r>
          </w:p>
        </w:tc>
        <w:tc>
          <w:tcPr>
            <w:tcW w:w="12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公开方式</w:t>
            </w:r>
          </w:p>
        </w:tc>
        <w:tc>
          <w:tcPr>
            <w:tcW w:w="139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公开层级</w:t>
            </w:r>
          </w:p>
        </w:tc>
      </w:tr>
      <w:tr>
        <w:tblPrEx>
          <w:tblCellMar>
            <w:top w:w="0" w:type="dxa"/>
            <w:left w:w="0" w:type="dxa"/>
            <w:bottom w:w="0" w:type="dxa"/>
            <w:right w:w="0" w:type="dxa"/>
          </w:tblCellMar>
        </w:tblPrEx>
        <w:trPr>
          <w:trHeight w:val="450" w:hRule="atLeast"/>
        </w:trPr>
        <w:tc>
          <w:tcPr>
            <w:tcW w:w="4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一级事项</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二级事项</w:t>
            </w:r>
          </w:p>
        </w:tc>
        <w:tc>
          <w:tcPr>
            <w:tcW w:w="2190"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14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1290"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1440"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2565" w:type="dxa"/>
            <w:tcBorders>
              <w:top w:val="single" w:color="000000" w:sz="4" w:space="0"/>
              <w:left w:val="single" w:color="000000" w:sz="4" w:space="0"/>
              <w:right w:val="single" w:color="000000" w:sz="4" w:space="0"/>
            </w:tcBorders>
            <w:noWrap w:val="0"/>
            <w:tcMar>
              <w:top w:w="15" w:type="dxa"/>
              <w:left w:w="15" w:type="dxa"/>
              <w:right w:w="15" w:type="dxa"/>
            </w:tcMar>
            <w:vAlign w:val="center"/>
          </w:tcPr>
          <w:p>
            <w:pPr>
              <w:jc w:val="center"/>
              <w:rPr>
                <w:rFonts w:hint="eastAsia" w:ascii="黑体" w:hAnsi="黑体" w:eastAsia="黑体" w:cs="黑体"/>
                <w:b w:val="0"/>
                <w:bCs/>
                <w:i w:val="0"/>
                <w:color w:val="000000"/>
                <w:sz w:val="22"/>
                <w:szCs w:val="22"/>
                <w:u w:val="none"/>
              </w:rPr>
            </w:pP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全社会</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特定群体</w:t>
            </w: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主动</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依申请</w:t>
            </w: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市级</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i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县级</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未取得施工许可证或者开工报告未经批准擅自施工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发包单位将工程发包给不具有相应资质条件的承包单位的，或者违反本法规定将建筑工程肢解发包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spacing w:after="180" w:afterAutospacing="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超越本单位资质等级承揽工程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以欺骗手段取得资质证书承揽工程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建筑施工企业转让、出借资质证书或者以其他方式允许他人以本企业的名义承揽工程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未取得资质证书承揽工程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承包单位将承包的工程转包，或者违法分包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建设单位将建设工程发包给不具有相应资质等级的勘察、设计、施工单位或者委托给不具有相应资质等级的工程监理单位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009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将建筑工程肢解发包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建设项目必须实行工程监理而未实行工程监理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建设单位未按照国家规定将竣工验收报告、有关认可文件或者准许使用文件报送备案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未组织竣工验收，建设单位擅自交付使用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建设工程竣工验收后，建设单位未向建设行政主管部门或者其他有关部门移交建设项目档案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未取得施工许可证或者为规避办理施工许可证将工程项目分解后擅自施工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《建筑工程施工许可管理办法》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建设单位采用欺骗、贿赂等不正当手段取得施工许可证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《建筑工程施工许可管理办法》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建设单位隐瞒有关情况或者提供虚假材料申请施工许可证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《建筑工程施工许可管理办法》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建设单位伪造或者涂改施工许可证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《建筑工程施工许可管理办法》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建设单位将备案机关决定重新组织竣工验收的工程，在重新组织竣工验收前，擅自使用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《房屋建筑和市政基础设施工程竣工验收备案管理办法》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019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建设单位采用虚假证明文件办理工程竣工验收备案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《房屋建筑和市政基础设施工程竣工验收备案管理办法》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建设单位在工程竣工验收合格之日起15日内未办理工程竣工验收备案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《房屋建筑和市政基础设施工程竣工验收备案管理办法》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施工单位未按照本规定组织危大工程验收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发生险情或者事故时，施工单位未采取应急处置措施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施工单位未按照本规定建立危大工程安全管理档案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监理单位的总监理工程师未按照本规定审查危大工程专项施工方案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发现施工单位未按照专项施工方案实施，监理单位未要求其整改或者停工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施工单位拒不整改或者不停止施工时，监理单位未向建设单位和工程所在地住房城乡建设主管部门报告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监理单位未按规定编制监理实施细则</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监理单位未对危大工程施工实施专项巡视检查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029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监理单位未按规定参与组织危大工程验收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监理单位未按规定建立危大工程安全管理档案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《危险性较大的分部分项工程安全管理规定》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建筑施工企业未按规定开展“安管人员”安全生产教育培训考核，或者未按规定如实将考核情况记入安全生产教育培训档案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建筑施工企业未按规定设立安全生产管理机构</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建筑施工企业未按规定配备专职安全生产管理人员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危险性较大的分部分项工程施工时建筑施工企业未安排专职安全生产管理人员现场监督</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“安管人员”未取得安全生产考核合格证书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“安管人员”未按规定办理证书变更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主要负责人、项目负责人未按规定履行安全生产管理职责</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专职安全生产管理人员未按规定履行安全生产管理职责</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《建筑施工企业主要负责人、项目负责人和专职安全生产管理人员安全生产管理规定》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039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出租单位、自购建筑起重机械的使用单位未按照规定办理备案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出租单位、自购建筑起重机械的使用单位未按照规定办理注销手续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出租单位、自购建筑起重机械的使用单位未按照规定建立建筑起重机械安全技术档案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安装单位未按照安全技术标准及安装使用说明书等检查建筑起重机械及现场施工条件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安装单位未制定建筑起重机械安装、拆卸工程生产安全事故应急救援预案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安装单位未将建筑起重机械安装、拆卸工程专项施工方案，安装、拆卸人员名单，安装、拆卸时间等材料报施工总承包单位和监理单位审核后，告知工程所在地县级以上地方人民政府建设主管部门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安装单位未按照规定建立建筑起重机械安装、拆卸工程档案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安装单位未按照建筑起重机械安装、拆卸工程专项施工方案及安全操作规程组织安装、拆卸作业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使用单位未根据不同施工阶段、周围环境以及季节、气候的变化，对建筑起重机械采取相应的安全防护措施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使用单位未制定建筑起重机械生产安全事故应急救援预案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049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使用单位未设置相应的设备管理机构或者配备专职的设备管理人员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建筑起重机械出现故障或者发生异常情况时，使用单位未立即停止使用，或未待消除故障和事故隐患后，再重新投入使用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使用单位未指定专职设备管理人员进行现场监督检查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使用单位擅自在建筑起重机械上安装非原制造厂制造的标准节和附着装置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施工总承包单位未向安装单位提供拟安装设备位置的基础施工资料，确保建筑起重机械进场安装、拆卸所需的施工条件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施工总承包单位未审核安装单位、使用单位的资质证书、安全生产许可证和特种作业人员的特种作业操作资格证书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施工总承包单位未审核安装单位制定的建筑起重机械安装、拆卸工程专项施工方案和生产安全事故应急救援预案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施工总承包单位未审核使用单位制定的建筑起重机械生产安全事故应急救援预案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施工现场有多台塔式起重机作业时，施工单位未组织制定并实施防止塔式起重机相互碰撞的安全措施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监理单位未审核建筑起重机械特种设备制造许可证、产品合格证、制造监督检验证明、备案证明等文件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059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监理单位未审核建筑起重机械安装单位、使用单位的资质证书、安全生产许可证和特种作业人员的特种作业操作资格证书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监理单位未监督安装单位执行建筑起重机械安装、拆卸工程专项施工方案情况</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监理单位未监督检查建筑起重机械的使用情况</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建设单位未按照规定协调组织制定防止多台塔式起重机相互碰撞的安全措施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接到监理单位报告后，建设单位未责令安装单位、使用单位立即停工整改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《建筑起重机械安全监督管理规定》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取得安全生产许可证的建筑施工企业，发生重大安全事故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《建筑施工企业安全生产许可证管理规定》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建筑施工企业未取得安全生产许可证擅自从事建筑施工活动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《建筑施工企业安全生产许可证管理规定》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安全生产许可证有效期满未办理延期手续，继续从事建筑施工活动；逾期仍不办理延期手续，继续从事建筑施工活动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《建筑施工企业安全生产许可证管理规定》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建筑施工企业冒用安全生产许可证或使用伪造的安全生产许可证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《建筑施工企业安全生产许可证管理规定》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外资建筑业企业超越资质许可的业务范围承包工程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《外商投资建筑业企业管理规定》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069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施工工地未设置硬质密闭围挡，或者未采取覆盖、分段作业、择时施工、洒水抑尘、冲洗地面和车辆等有效防尘降尘措施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《中华人民共和国大气污染防治法》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建筑土方、工程渣土、建筑垃圾未及时清运，或者未采用密闭式防尘网遮盖</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《中华人民共和国大气污染防治法》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工程施工单位不及时清运施工过程中产生的固体废物，造成环境污染</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《中华人民共和国固体废物污染环境防治法》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工程施工单位不按照环境卫生行政主管部门的规定对施工过程中产生的固体废物进行利用或者处置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《中华人民共和国固体废物污染环境防治法》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未取得施工许可证或者开工报告未经批准擅自施工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超越本单位资质等级承揽工程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工程监理单位与建设单位或者建筑施工企业串通，弄虚作假、降低工程质量</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涉及建筑主体或者承重结构变动的装修工程擅自施工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建设单位要求建筑设计单位或者建筑施工企业违反建筑工程质量、安全标准，降低工程质量</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建筑施工企业在施工中偷工减料，使用不合格的建筑材料、建筑构配件和设备，或者有其他不按照工程设计图纸或者施工技术标准施工的行为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079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建筑施工企业不履行保修义务或者拖延履行保修义务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《中华人民共和国建筑法》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建设单位将建设工程发包给不具有相应资质等级的勘察、设计、施工单位或者委托给不具有相应资质等级的工程监理单位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建设单位任意压缩合理工期</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建设单位明示或者暗示设计单位或者施工单位违反工程建设强制性标准，降低工程质量</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《实施工程建设强制性标准监督规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建设单位施工图设计文件未经审查或者审查不合格，擅自施工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建设单位未按照国家规定办理工程质量监督手续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建设单位明示或者暗示施工单位使用不合格的建筑材料、建筑构配件和设备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《实施工程建设强制性标准监督规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建设单位未按照国家规定将竣工验收报告、有关认可文件或者准许使用文件报送备案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未组织竣工验收，建设单位擅自交付使用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验收不合格，建设单位擅自交付使用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089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建设单位对不合格的建设工程按照合格工程验收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建设工程竣工验收后，建设单位未向建设行政主管部门或者其他有关部门移交建设项目档案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勘察、设计、施工、工程监理单位允许其他单位或者个人以本单位名义承揽工程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工程监理单位转让工程监理业务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勘察单位未按照工程建设强制性标准进行勘察</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设计单位未根据勘察成果文件进行工程设计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设计单位指定建筑材料、建筑构配件的生产厂、供应商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设计单位未按照工程建设强制性标准进行设计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施工单位在施工中偷工减料；使用不合格的建筑材料、建筑构配件和设备；或者有不按照工程设计图纸或者施工技术标准施工的其他行为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施工单位未对建筑材料、建筑构配件、设备和商品混凝土进行检验，或者未对涉及结构安全的试块、试件以及有关材料取样检测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099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工程监理单位与建设单位或者施工单位串通，弄虚作假、降低工程质量</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工程监理单位将不合格的工程、建筑材料、构配件和设备按照合格签字</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工程监理单位与被监理工程的施工承包单位以及建筑材料、建筑构配件和设备供应单位有隶属关系或者其他利害关系承担该项建设工程的监理业务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涉及建筑主体或者承重结构变动的装修工程，没有设计方案擅自施工；房屋建筑使用者在装修过程中擅自变动房屋建筑主体和承重结构</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注册建筑师、注册结构工程师、监理工程师等注册执业人员因过错造成质量事故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0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建设工程勘察、设计单位超越其资质等级许可的范围或者以其他建设工程勘察、设计单位的名义承揽建设工程勘察、设计业务；允许其他单位或者个人以本单位的名义承揽建设工程勘察、设计业务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《建设工程勘察设计管理条例》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建设单位未为勘察工作提供必要的现场工作条件或者未提供真实、可靠原始资料</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《建设工程勘察质量管理办法》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工程勘察企业未按照工程建设强制性标准进行勘察、弄虚作假、提供虚假成果资料</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《建设工程勘察质量管理办法》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工程勘察企业勘察文件没有责任人签字或者签字不全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《建设工程勘察质量管理办法》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工程勘察企业原始记录不按照规定记录或者记录不完整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《建设工程勘察质量管理办法》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109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擅自使用没有国家技术标准又未经审定的新技术、新材料</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《房屋建筑工程抗震设防管理规定》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擅自变动或者破坏房屋建筑抗震构件、隔震装置、减震部件或者地震反应观测系统等抗震设施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《房屋建筑工程抗震设防管理规定》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未对抗震能力受损、荷载增加或者需提高抗震设防类别的房屋建筑工程，进行抗震验算、修复和加固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《房屋建筑工程抗震设防管理规定》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鉴定需抗震加固的房屋建筑工程在进行装修改造时未进行抗震加固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《房屋建筑工程抗震设防管理规定》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未取得相应的资质，擅自承担本办法规定的检测业务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检测机构隐瞒有关情况或者提供虚假材料申请资质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以欺骗、贿赂等不正当手段取得资质证书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检测机构超出资质范围从事检测活动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检测机构涂改、倒卖、出租、出借、转让资质证书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检测机构使用不符合条件的检测人员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119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检测机构未按规定上报发现的违法违规行为和检测不合格事项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检测机构未按规定在检测报告上签字盖章</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检测机构未按照国家有关工程建设强制性标准进行检测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检测机构档案资料管理混乱，造成检测数据无法追溯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检测机构转包检测业务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检测机构伪造检测数据，出具虚假检测报告或鉴定结论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委托方委托未取得相应资质的检测机构进行检测</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委托方明示或暗示检测机构出具虚假检测报告，篡改或伪造检测报告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委托方弄虚作假送检试样</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《建设工程质量检测管理办法》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施工图设计文件未经审查或者审查不合格，建设单位擅自施工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《超限高层建筑工程抗震设防管理规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129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勘察、设计单位未按照抗震设防专项审查意见进行超限高层建筑工程勘察、设计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《超限高层建筑工程抗震设防管理规</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勘察、设计单位违反工程建设强制性标准进行勘察、设计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《实施工程建设强制性标准监督规定》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施工单位违反工程建设强制性标准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《实施工程建设强制性标准监督规定》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工程监理单位违反强制性标准规定，将不合格的建设工程以及建筑材料、建筑构配件和设备按照合格签字的</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《实施工程建设强制性标准监督规定》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施工单位在工程竣工验收后，不向建设单位出具质量保修书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《房屋建筑工程质量保修办法》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施工单位关于质量保修的内容、期限违反规定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《房屋建筑工程质量保修办法》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施工单位不履行保修义务或者拖延履行保修义务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《房屋建筑工程质量保修办法》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6"/>
                <w:rFonts w:hint="eastAsia" w:ascii="仿宋" w:hAnsi="仿宋" w:eastAsia="仿宋" w:cs="仿宋"/>
                <w:sz w:val="18"/>
                <w:szCs w:val="18"/>
                <w:lang w:val="en-US" w:eastAsia="zh-CN" w:bidi="ar"/>
              </w:rPr>
              <w:t>■政府网站□政府公报</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□两微一端□发布会/听证会</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□广播电视□纸质媒体</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■公开查阅点□政务服务中心</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□便民服务站□入户/现场</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□社区/企事业单位/村公示栏（电子屏）</w:t>
            </w:r>
            <w:r>
              <w:rPr>
                <w:rStyle w:val="6"/>
                <w:rFonts w:hint="eastAsia" w:ascii="仿宋" w:hAnsi="仿宋" w:eastAsia="仿宋" w:cs="仿宋"/>
                <w:sz w:val="18"/>
                <w:szCs w:val="18"/>
                <w:lang w:val="en-US" w:eastAsia="zh-CN" w:bidi="ar"/>
              </w:rPr>
              <w:br w:type="textWrapping"/>
            </w:r>
            <w:r>
              <w:rPr>
                <w:rStyle w:val="6"/>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必须进行招标的项目不招标；将必须进行招标的项目化整为零或者以其他任何方式规避招标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招标代理机构泄露应当保密的与招标投标活动有关的情况和资料；或者与招标人、投标人串通损害国家利益、社会公共利益或者他人合法权益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招标人以不合理的条件限制或者排斥潜在投标人；对潜在投标人实行歧视待遇；强制要求投标人组成联合体共同投标；或者限制投标人之间竞争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139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依法必须进行招标的项目的招标人向他人透露已获取招标文件的潜在投标人的名称、数量或者可能影响公平竞争的有关招标投标的其他情况；或者泄露标底</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投标人相互串通投标或者与招标人串通投标；投标人以向招标人或者评标委员会成员行贿的手段谋取中标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投标人以他人名义投标或者以其他方式弄虚作假，骗取中标，且尚未构成犯罪</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依法必须进行招标的项目，招标人与投标人就投标价格、投标方案等实质性内容进行谈判</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评标委员会成员收受投标人的财物或者其他好处，评标委员会成员或者参加评标的有关工作人员向他人透露对投标文件的评审和比较、中标候选人的推荐以及与评标有关的其他情况</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招标人在评标委员会依法推荐的中标候选人以外确定中标人；依法必须进行招标的项目在所有投标被评标委员会否决后自行确定中标人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中标人将中标项目转让给他人；将中标项目肢解后分别转让给他人；违反招标投标法和招标投标法实施条例规定将中标项目的部分主体、关键性工作分包给他人；或者分包人再次分包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招标人与中标人不按照招标文件和中标人的投标文件订立合同，或者招标人、中标人订立背离合同实质性内容的协议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中标人不按照与招标人订立的合同履行义务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依法应当公开招标的项目招标人不按照规定在指定媒介发布资格预审公告或者招标公告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149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招标人在不同媒介发布的同一招标项目的资格预审公告或者招标公告的内容不一致，影响潜在投标人申请资格预审或者投标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依法必须进行招标的项目的招标人不按照规定发布资格预审公告或者招标公告，构成规避招标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依法应当公开招标而招标人采用邀请招标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招标文件、资格预审文件的发售、澄清、修改的时限，或者确定的提交资格预审申请文件、投标文件的时限不符合招标投标法和本条例规定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招标人接受未通过资格预审的单位或者个人参加投标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招标人接受应当拒收的投标文件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招标代理机构在所代理的招标项目中投标、代理投标或者向该项目投标人提供咨询，接受委托编制标底的中介机构参加受托编制标底项目的投标或者为该项目的投标人编制投标文件、提供咨询</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招标人超过规定的比例收取投标保证金、履约保证金或者不按照规定退还投标保证金及银行同期存款利息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出让或者出租资格、资质证书供他人投标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依法必须进行招标的项目的招标人不按照规定组建评标委员会，或者确定、更换评标委员会成员违反招标投标法和招标投标法实施条例规定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159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评标委员会成员应当回避而不回避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评标委员会成员擅离职守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评标委员会成员不按照招标文件规定的评标标准和方法评标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评标委员会成员私下接触投标人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评标委员会成员向招标人征询确定中标人的意向或者接受任何单位或者个人明示或者暗示提出的倾向或者排斥特定投标人的要求</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评标委员会成员对依法应当否决的投标不提出否决意见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评标委员会成员暗示或者诱导投标人作出澄清、说明或者接受投标人主动提出的澄清、说明</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评标委员会成员有其他不客观、不公正履行职务的行为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评标委员会成员收受投标人的财物或者其他好处</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依法必须进行招标的项目的招标人无正当理由不发出中标通知书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169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依法必须进行招标的项目的招标人不按照规定确定中标人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依法必须进行招标的项目的招标人中标通知书发出后无正当理由改变中标结果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依法必须进行招标的项目的招标人无正当理由不与中标人订立合同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依法必须进行招标的项目的招标人在订立合同时向中标人提出附加条件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中标人无正当理由不与招标人订立合同，在签订合同时向招标人提出附加条件，或者不按照招标文件要求提交履约保证金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招标人和中标人不按照招标文件和中标人的投标文件订立合同，合同的主要条款与招标文件、中标人的投标文件的内容不一致，或者招标人、中标人订立背离合同实质性内容的协议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招标人不按照规定对异议作出答复，继续进行招标投标活动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《中华人民共和国招标投标法实施条</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招标人澄清、修改招标文件的时限，或者确定的提交投标文件的时限不符合规定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招标人不按照规定组建评标委员会，或者评标委员会成员的确定违反规定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招标人无正当理由未按规定发出中标通知书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179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招标人不按照规定确定中标人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中标通知书发出后招标人无正当理由改变中标结果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招标人无正当理由未按规定与中标人订立合同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招标人在订立合同时向中标人提出附加条件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投标人以他人名义投标或者以其他方式弄虚作假，骗取中标，且尚未构成犯罪</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评标委员会成员违反规定，对应当否决的投标不提出否决意见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《建筑工程设计招标投标管理办法》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依法必须公开招标的项目招标人不按照规定在指定媒介发布资格预审公告或者招标公告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招标文件、资格预审文件的发售、澄清、修改的时限，或者确定的提交资格预审申请文件、投标文件的时限不符合招标投标法和招标投标法实施条例规定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依法必须进行招标的项目的投标人以他人名义投标，利用伪造、转让、租借、无效的资质证书参加投标，或者请其他单位在自己编制的投标文件上代为签字盖章，弄虚作假，骗取中标，且未构成犯罪</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招标人以抽签、摇号等不合理的条件限制或者排斥资格预审合格的潜在投标人参加投标，对潜在投标人实行歧视待遇的，强制要求投标人组成联合体共同投标，或者限制投标人之间竞争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189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招标人与中标人不按照招标文件和中标人的投标文件订立合同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招标人在不同媒介发布的同一招标项目的资格预审公告或者招标公告内容不一致，影响潜在投标人申请资格预审或者投标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《工程建设项目勘察设计招标投标办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招标人无正当理由不发出中标通知书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招标人无正当理由不与中标人订立合同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在订立合同时招标人向中标人提出附加条件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《工程建设项目货物招标投标办法》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中标通知书发出后，中标人放弃中标项目的，无正当理由不与招标人签订合同的，在签订合同时向招标人提出附加条件或者更改合同实质性内容的，或者拒不提交所要求的履约保证金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《工程建设项目货物招标投标办法》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依法必须进行招标的项目而不招标的，将必须进行招标的项目化整为零或者以其他任何方式规避招标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招标代理机构违法泄露应当保密的与招标投标活动有关的情况和资料，或者与招标人、投标人串通损害国家利益、社会公共利益或者他人合法权益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招标人以不合理的条件限制或者排斥潜在投标人，对潜在投标人实行歧视待遇，强制要求投标人组成联合体共同投标，或者限制投标人之间竞争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依法必须进行招标项目的招标人向他人透露已获取招标文件的潜在投标人的名称、数量或者可能影响公平竞争的有关招标投标的其他情况，或者泄露标底</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199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招标人依法应当公开招标而采用邀请招标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投标人相互串通投标或者与招标人串通投标，投标人以向招标人或者评标委员会成员行贿的手段谋取中标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投标人以他人名义投标或者以其他方式弄虚作假，骗取中标的，尚未构成犯罪</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依法必须进行招标的项目，招标人违法与投标人就投标价格、投标方案等实质性内容进行谈判</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9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中标通知书发出后，中标人放弃中标项目；无正当理由不与招标人签订合同；在签订合同时向招标人提出附加条件或者更改合同实质性内容；或者拒不提交所要求的履约保证金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中标人将中标项目转让给他人，将中标项目肢解后分别转让给他人，违法将中标项目的部分主体、关键性工作分包给他人，或者分包人再次分包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1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招标人与中标人不按照招标文件和中标人的投标文件订立合同；合同的主要条款与招标文件、中标人的投标文件的内容不一致，或者招标人、中标人订立背离合同实质性内容的协议；或者招标人擅自提高履约保证金或强制要求中标人垫付中标项目建设资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工程招标投标管理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中标人不按照与招标人订立的合同履行义务，情节严重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《工程建设项目施工招标投标办法》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逾期仍不移交有关资料</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209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物业服务企业将一个物业管理区域内的全部物业管理一并委托给他人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未经业主大会同意，物业服务企业擅自改变物业管理用房的用途</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擅自改变物业管理区域内按照规划建设的公共建筑和共用设施用途</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擅自占用、挖掘物业管理区域内道路、场地，损害业主共同利益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擅自利用物业共用部位、共用设施设备进行经营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《物业管理条例》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不符合城市容貌标准、环境卫生标准的建筑物或者设施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损坏各类环境卫生设施及其附属设施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单位和个人未按规定缴纳城市生活垃圾处理费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未按照城市生活垃圾治理规划和环境卫生设施标准配套建设城市生活垃圾收集设施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城市生活垃圾处置设施未经验收或者验收不合格投入使用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219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未经批准擅自关闭、闲置或者拆除城市生活垃圾处置设施、场所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随意倾倒、抛洒、堆放城市生活垃圾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未经批准从事城市生活垃圾经营性清扫、收集、运输或者处置活动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从事城市生活垃圾经营性清扫、收集、运输的企业在运输过程中沿途丢弃、遗撒生活垃圾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从事生活垃圾经营性清扫、收集、运输的企业不按照环境卫生作业标准和作业规范，在规定的时间内及时清扫、收运城市生活垃圾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从事生活垃圾经营性清扫、收集、运输的企业未将收集的城市生活垃圾运到直辖市、市、县人民政府建设（环境卫生）主管部门认可的处置场所</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从事生活垃圾经营性清扫、收集、运输的企业清扫、收运城市生活垃圾后，未对生活垃圾收集设施及时保洁、复位，清理作业场地，保持生活垃圾收集设施和周边环境的干净整洁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从事生活垃圾经营性清扫、收集、运输的企业用于收集、运输城市生活垃圾的车辆、船舶未做到密闭、完好和整洁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从事生活垃圾经营性清扫、收集、运输的企业未严格按照国家有关规定和技术标准，处置城市生活垃圾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从事生活垃圾经营性清扫、收集、运输的企业未按照规定处理处置过程中产生的污水、废气、废渣、粉尘等，防止二次污染</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229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从事生活垃圾经营性清扫、收集、运输的企业未按照所在地建设（环境卫生）主管部门规定的时间和要求接收生活垃圾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从事生活垃圾经营性清扫、收集、运输的企业未按照要求配备城市生活垃圾处置设备、设施，保证设施、设备运行良好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从事生活垃圾经营性清扫、收集、运输的企业未保证城市生活垃圾处置站、场（厂）环境整洁</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从事生活垃圾经营性清扫、收集、运输的企业未按照要求配备合格的管理人员及操作人员</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从事生活垃圾经营性清扫、收集、运输的企业未对每日收运、进出场站、处置的生活垃圾进行计量，或未按照要求将统计数据和报表报送所在地建设（环境卫生）主管部门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2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生活垃圾经营性清扫、收集、运输的企业未按照要求定期进行水、气、土壤等环境影响监测，或未对生活垃圾处理设施的性能和环保指标进行检测、评价，或未向所在地建设（环境卫生）主管部门报告检测、评价结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从事城市生活垃圾经营性清扫、收集、运输的企业，未经批准擅自停业、歇业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从事城市生活垃圾经营性处置的企业，未经批准擅自停业、歇业</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《城市生活垃圾管理办法》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擅自占用城市公厕规划用地或者改变其性质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建设单位经批准使用的土地含有城市公厕规划用地的，建设单位未按照城市公厕规划和城市人民政府环境卫生行政主管部门的要求修建公厕，并向社会开放使用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239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未按分工负责城市公厕的建设和维修管理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影剧院、商店、饭店、车站等公共建筑没有附设公厕或者原有公厕及其卫生设施不足的，未按照城市人民政府环境卫生行政主管部门的要求进行新建、扩建或者改造</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公共建筑附设的公厕及其卫生设施的设计和安装，不符合国家和地方的有关标准</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对于损坏严重或者年久失修的公厕，有关单位未按照分工负责建设和维修管理，或在拆除重建时未先建临时公厕</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独立设置的城市公厕竣工时，建设单位未通知城市人民政府环境卫生主管部门或者其指定的部门参加验收；将验收不合格的独立设置的城市公厕交付使用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在公厕内乱丢垃圾、污物，随地吐痰，乱涂乱画</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破坏公厕设施、设备</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未经批准擅自占用或者改变公厕使用性质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《城市公厕管理办法》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市容环境卫生管理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在运输过程中沿途丢弃、遗撒生活垃圾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《中华人民共和国固体废物污染环境防治法》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排水户未取得污水排入排水管网许可证向城镇排水设施排放污水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249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排水户不按照污水排入排水管网许可证的要求排放污水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排水单位或者个人不缴纳污水处理费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城镇排水与污水处理设施维护运营单位未按照国家有关规定履行日常巡查、维修和养护责任，保障设施安全运行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城镇排水与污水处理设施维护运营单位未及时采取防护措施、组织事故抢修</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城镇排水与污水处理设施维护运营单位因巡查、维护不到位，导致窨井盖丢失、损毁，造成人员伤亡和财产损失</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擅自拆除、改动城镇排水与污水处理设施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《城镇排水与污水处理条例》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在城镇排水与污水处理设施覆盖范围内，未按照国家有关规定将污水排入城镇排水设施，或者在雨水、污水分流地区将污水排入雨水管网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排水户未取得排水许可，向城镇排水设施排放污水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排水户未按照排水许可证的要求，向城镇排水设施排放污水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排水户名称、法定代表人等其他事项变更，未按规定及时向城镇排水主管部门申请办理变更</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259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排水户以欺骗、贿赂等不正当手段取得排水许可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排水户因发生事故或者其他突发事件，排放的污水可能危及城镇排水与污水处理设施安全运行，没有立即停止排放，未采取措施消除危害，或者并未按规定及时向城镇排水主管部门等有关部门报告</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从事危及城镇排水设施安全的活动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未对设在城市道路上的各种管线的检查井、箱盖或者城市道路附属设施的缺损及时补缺或者修复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未在城市道路施工现场设置明显标志和安全防围设施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占用城市道路期满或者挖掘城市道路后，不及时清理现场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依附于城市道路建设各种管线、杆线等设施，不按照规定办理批准手续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紧急抢修埋设在城市道路下的管线，不按照规定补办批准手续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未按照批准的位置、面积、期限占用或者挖掘城市道路，或者需要移动位置、扩大面积、延长时间，未提前办理变更审批手续</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擅自占用或者挖掘城市道路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269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履带车、铁轮车或者超重、超高、超长车辆擅自在城市道路上行驶</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机动车在桥梁或者非指定的城市道路上试刹车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其他损害、侵占城市道路的行为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《城市道路管理条例》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272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市政公用管理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排水户违反规定，拒不接受水质、水量监测或者妨碍、阻挠城镇排水主管部门依法监督检查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《城镇污水排入排水管网许可管理办</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损坏城市树木花草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擅自砍伐城市树木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砍伐、擅自迁移古树名木或者因养护不善致使古树名木受到损伤或者死亡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损坏城市绿化设施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未经同意擅自占用城市绿化用地</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不服从公共绿地管理单位管理的商业、服务摊点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《城市绿化条例》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279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绿化管理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在城市绿地范围内进行拦河截溪、取土采石、设置垃圾堆场、排放污水以及其他对城市生态环境造成破坏活动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《城市绿线管理办法》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7"/>
                <w:rFonts w:hint="eastAsia" w:ascii="仿宋" w:hAnsi="仿宋" w:eastAsia="仿宋" w:cs="仿宋"/>
                <w:color w:val="000000"/>
                <w:sz w:val="18"/>
                <w:szCs w:val="18"/>
                <w:highlight w:val="none"/>
                <w:lang w:val="en-US" w:eastAsia="zh-CN" w:bidi="ar"/>
              </w:rPr>
              <w:t>■政府网站□政府公报</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□两微一端□发布会/听证会</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□广播电视□纸质媒体</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■公开查阅点□政务服务中心</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□便民服务站□入户/现场</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□社区/企事业单位/村公示栏（电子屏）</w:t>
            </w:r>
            <w:r>
              <w:rPr>
                <w:rStyle w:val="7"/>
                <w:rFonts w:hint="eastAsia" w:ascii="仿宋" w:hAnsi="仿宋" w:eastAsia="仿宋" w:cs="仿宋"/>
                <w:color w:val="000000"/>
                <w:sz w:val="18"/>
                <w:szCs w:val="18"/>
                <w:highlight w:val="none"/>
                <w:lang w:val="en-US" w:eastAsia="zh-CN" w:bidi="ar"/>
              </w:rPr>
              <w:br w:type="textWrapping"/>
            </w:r>
            <w:r>
              <w:rPr>
                <w:rStyle w:val="7"/>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FF0000"/>
                <w:sz w:val="18"/>
                <w:szCs w:val="18"/>
                <w:u w:val="none"/>
              </w:rPr>
            </w:pPr>
            <w:r>
              <w:rPr>
                <w:rFonts w:hint="eastAsia" w:ascii="仿宋" w:hAnsi="仿宋" w:eastAsia="仿宋" w:cs="仿宋"/>
                <w:i w:val="0"/>
                <w:color w:val="FF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280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开山、采石、开矿等破坏传统格局和历史风貌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5"/>
                <w:rFonts w:hint="eastAsia" w:ascii="仿宋" w:hAnsi="仿宋" w:eastAsia="仿宋" w:cs="仿宋"/>
                <w:color w:val="000000"/>
                <w:sz w:val="18"/>
                <w:szCs w:val="18"/>
                <w:highlight w:val="none"/>
                <w:lang w:val="en-US" w:eastAsia="zh-CN" w:bidi="ar"/>
              </w:rPr>
              <w:t>■政府网站□政府公报</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□两微一端□发布会/听证会</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□广播电视□纸质媒体</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■公开查阅点□政务服务中心</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□便民服务站□入户/现场</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□社区/企事业单位/村公示栏（电子屏）</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281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占用保护规划确定保留的园林绿地、河湖水系、道路等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5"/>
                <w:rFonts w:hint="eastAsia" w:ascii="仿宋" w:hAnsi="仿宋" w:eastAsia="仿宋" w:cs="仿宋"/>
                <w:color w:val="000000"/>
                <w:sz w:val="18"/>
                <w:szCs w:val="18"/>
                <w:highlight w:val="none"/>
                <w:lang w:val="en-US" w:eastAsia="zh-CN" w:bidi="ar"/>
              </w:rPr>
              <w:t>■政府网站□政府公报</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□两微一端□发布会/听证会</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□广播电视□纸质媒体</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■公开查阅点□政务服务中心</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□便民服务站□入户/现场</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□社区/企事业单位/村公示栏（电子屏）</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282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修建生产、储存爆炸性、易燃性、放射性、毒害性、腐蚀性物品的工厂、仓库等</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1.机构职能、权责清单、执法人员名单；</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2.执法程序或行政强制流程图；</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3.执法依据；</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4.行政处罚自由裁量基准；</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5.咨询、监督投诉方式；</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6.处罚决定；</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1.除处罚决定外其他内容：长期公开（动态调整）；</w:t>
            </w:r>
            <w:r>
              <w:rPr>
                <w:rFonts w:hint="eastAsia" w:ascii="仿宋" w:hAnsi="仿宋" w:eastAsia="仿宋" w:cs="仿宋"/>
                <w:i w:val="0"/>
                <w:color w:val="000000"/>
                <w:kern w:val="0"/>
                <w:sz w:val="18"/>
                <w:szCs w:val="18"/>
                <w:highlight w:val="none"/>
                <w:u w:val="none"/>
                <w:lang w:val="en-US" w:eastAsia="zh-CN" w:bidi="ar"/>
              </w:rPr>
              <w:br w:type="textWrapping"/>
            </w:r>
            <w:r>
              <w:rPr>
                <w:rFonts w:hint="eastAsia" w:ascii="仿宋" w:hAnsi="仿宋" w:eastAsia="仿宋" w:cs="仿宋"/>
                <w:i w:val="0"/>
                <w:color w:val="000000"/>
                <w:kern w:val="0"/>
                <w:sz w:val="18"/>
                <w:szCs w:val="18"/>
                <w:highlight w:val="none"/>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Style w:val="5"/>
                <w:rFonts w:hint="eastAsia" w:ascii="仿宋" w:hAnsi="仿宋" w:eastAsia="仿宋" w:cs="仿宋"/>
                <w:color w:val="000000"/>
                <w:sz w:val="18"/>
                <w:szCs w:val="18"/>
                <w:highlight w:val="none"/>
                <w:lang w:val="en-US" w:eastAsia="zh-CN" w:bidi="ar"/>
              </w:rPr>
              <w:t>■政府网站□政府公报</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□两微一端□发布会/听证会</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□广播电视□纸质媒体</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■公开查阅点□政务服务中心</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□便民服务站□入户/现场</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□社区/企事业单位/村公示栏（电子屏）</w:t>
            </w:r>
            <w:r>
              <w:rPr>
                <w:rStyle w:val="5"/>
                <w:rFonts w:hint="eastAsia" w:ascii="仿宋" w:hAnsi="仿宋" w:eastAsia="仿宋" w:cs="仿宋"/>
                <w:color w:val="000000"/>
                <w:sz w:val="18"/>
                <w:szCs w:val="18"/>
                <w:highlight w:val="none"/>
                <w:lang w:val="en-US" w:eastAsia="zh-CN" w:bidi="ar"/>
              </w:rPr>
              <w:br w:type="textWrapping"/>
            </w:r>
            <w:r>
              <w:rPr>
                <w:rStyle w:val="5"/>
                <w:rFonts w:hint="eastAsia" w:ascii="仿宋" w:hAnsi="仿宋" w:eastAsia="仿宋" w:cs="仿宋"/>
                <w:color w:val="000000"/>
                <w:sz w:val="18"/>
                <w:szCs w:val="18"/>
                <w:highlight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highlight w:val="none"/>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highlight w:val="none"/>
                <w:u w:val="none"/>
              </w:rPr>
            </w:pPr>
            <w:r>
              <w:rPr>
                <w:rFonts w:hint="eastAsia" w:ascii="仿宋" w:hAnsi="仿宋" w:eastAsia="仿宋" w:cs="仿宋"/>
                <w:i w:val="0"/>
                <w:color w:val="000000"/>
                <w:kern w:val="0"/>
                <w:sz w:val="18"/>
                <w:szCs w:val="18"/>
                <w:highlight w:val="none"/>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在历史建筑上刻划、涂污</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4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未经城乡规划主管部门会同同级文物主管部门批准拆除历史建筑以外的建筑物、构筑物或者其他设施；或者经批准但是在活动过程中对传统格局、历史风貌或者历史建筑构成破坏性影响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70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城乡规划主管部门会同同级文物主管部门批准对历史建筑进行外部修缮装饰、添加设施以及改变历史建筑的结构或者使用性质；或者经批准但是在活动过程中对传统格局、历史风貌或者历史建筑构成破坏性影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在改变园林绿地、河湖水系等自然状态的活动中，对传统格局、历史风貌或者历史建筑构成破坏性影响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在核心保护范围内进行影视摄制、举办大型群众性活动中，对传统格局、历史风貌或者历史建筑构成破坏性影响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在其他影响传统格局、历史风貌或者历史建筑的活动中，构成破坏性影响</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289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损坏或者擅自迁移、拆除历史建筑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擅自设置、移动、涂改或者损毁历史文化街区、名镇、名村标志牌</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3375"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历史文化名城、名镇、名村保护范围内，开山、采石、开矿等破坏传统格局和历史风貌，占用保护规划确定保留的园林绿地、河湖水系、道路等，修建生产、储存爆炸性、易燃性、放射性、毒害性、腐蚀性物品的工厂、仓库等，逾期不恢复原状或者不采取其他补救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5.强制决定；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1.除强制决定外其他内容：长期公开（动态调整）；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2.强制决定：20个工作日内。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450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经城乡规划主管部门会同同级文物主管部门批准，改变园林绿地、河湖水系等自然状态，进行影视摄制、举办大型群众性活动，拆除历史建筑以外的建筑物、构筑物或者其他设施，对历史建筑进行外部修缮装饰、添加设施以及改变历史建筑的结构或者使用性质，其他影响传统格局、历史风貌或者历史建筑，逾期不恢复原状或者不采取其他补救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5.强制决定；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1.除强制决定外其他内容：长期公开（动态调整）；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2.强制决定：20个工作日内。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损坏或者擅自迁移、拆除历史建筑，逾期不恢复原状或者不采取其他补救措施</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5.强制决定；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《历史文化名城名镇名村保护条例》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1.除强制决定外其他内容：长期公开（动态调整）；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2.强制决定：20个工作日内。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违法建设</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未按设计图纸施工或者擅自修改设计图纸</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《村庄和集镇规划建设管理条例》</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《建制镇规划建设管理办法》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违法建设</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建设单位或者个人未经批准进行临时建设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《中华人民共和国城乡规划法》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违法建设</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建设单位或者个人未按照批准内容进行临时建设</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《中华人民共和国城乡规划法》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违法建设</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临时建筑物、构筑物超过批准期限建设单位或者个人不拆除</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《中华人民共和国城乡规划法》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违法建设</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凡不符合城市容貌标准、环境卫生标准的建筑物或者设施，逾期未改造或者未拆除</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5.强制决定；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《城市市容和环境卫生管理条例》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1.除强制决定外其他内容：长期公开（动态调整）；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2.强制决定：20个工作日内。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299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不符合预售条件预售商品房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《城市房地产管理法》</w:t>
            </w:r>
            <w:r>
              <w:rPr>
                <w:rFonts w:hint="eastAsia" w:ascii="仿宋" w:hAnsi="仿宋" w:eastAsia="仿宋" w:cs="仿宋"/>
                <w:i w:val="0"/>
                <w:color w:val="000000"/>
                <w:kern w:val="0"/>
                <w:sz w:val="18"/>
                <w:szCs w:val="18"/>
                <w:u w:val="none"/>
                <w:lang w:val="en-US" w:eastAsia="zh-CN" w:bidi="ar"/>
              </w:rPr>
              <w:br w:type="textWrapping"/>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未取得资质等级证书或者超越资质等级从事房地产开发经营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《城市房地产开发经营管理条例》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擅自预售商品房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《城市房地产开发经营管理条例》《商品房销售管理办法》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开发企业未取得《商品房预售许可证》预售商品房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《城市商品房预售管理办法》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《城市房地产开发经营管理条例》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开发企业不按规定使用商品房预售款项</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《城市商品房预售管理办法》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开发企业隐瞒有关情况、提供虚假材料，或者采用欺骗、贿赂等不正当手段取得商品房预售许可</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《城市商品房预售管理办法》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在未解除商品房买卖合同前，将作为合同标的物的商品房再行销售给他人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房地产开发企业将未组织竣工验收、验收不合格或者对不合格按合格验收的商品房擅自交付使用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《建设工程质量管理条例》</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房地产开发企业在销售商品房中未按照规定在商品房现售前将房地产开发项目手册及符合商品房现售条件的有关证明文件报送房地产开发主管部门备案</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房地产开发企业在销售商品房中返本销售或者变相返本销售商品房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309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房地产开发企业在销售商品房中在销售商品房中采取售后包租或者变相售后包租方式销售未竣工商品房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房地产开发企业在销售商品房中分割拆零销售商品住宅</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房地产开发企业在销售商品房中不符合商品房销售条件，向买受人收取预订款性质费用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房地产开发企业在销售商品房中未按照规定向买受人明示《商品房销售管理办法》、《商品房买卖合同示范文本》、《城市商品房预售管理办法》</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房地产开发企业在销售商品房中委托没有资格的机构代理销售商品房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房地产中介服务机构代理销售不符合销售条件的商品房</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《商品房销售管理办法》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企业未取得资质证书从事房地产开发经营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《房地产开发企业资质管理规定》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企业超越资质等级从事房地产开发经营</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《房地产开发企业资质管理规定》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企业隐瞒真实情况、弄虚作假骗取资质证书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《房地产开发企业资质管理规定》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318</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企业涂改、出租、出借、转让、出卖资质证书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《房地产开发企业资质管理规定》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97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319</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开发企业在商品住宅销售中不按照规定发放《住宅质量保证书》和《住宅使用说明书》</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《房地产开发企业资质管理规定》</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■政府网站□政府公报</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□两微一端□发布会/听证会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□广播电视□纸质媒体</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■公开查阅点□政务服务中心</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□便民服务站□入户/现场</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□社区/企事业单位/村公示栏（电子屏）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320</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公有住房售房单位未按规定交存首期住宅专项维修资金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321</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未按规定交存首期住宅专项维修资金，公有住房售房单位将房屋交付买受人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322</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公有住房售房单位未按规定分摊维修、更新、改造费用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323</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未按规定交存首期住宅专项维修资金，开发建设单位将房屋交付买受人</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324</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开发建设单位未按规定分摊维修、更新和改造费用</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325</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挪用住宅专项维修资金</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《住宅专项维修资金管理办法》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326</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城市低收入住房困难家庭隐瞒有关情况或者提供虚假材料申请廉租住房保障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《廉租住房保障办法》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r>
        <w:tblPrEx>
          <w:tblCellMar>
            <w:top w:w="0" w:type="dxa"/>
            <w:left w:w="0" w:type="dxa"/>
            <w:bottom w:w="0" w:type="dxa"/>
            <w:right w:w="0" w:type="dxa"/>
          </w:tblCellMar>
        </w:tblPrEx>
        <w:trPr>
          <w:trHeight w:val="2250" w:hRule="atLeast"/>
        </w:trPr>
        <w:tc>
          <w:tcPr>
            <w:tcW w:w="4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327</w:t>
            </w:r>
          </w:p>
        </w:tc>
        <w:tc>
          <w:tcPr>
            <w:tcW w:w="100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房地产管理</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对以欺骗等不正当手段，取得审核同意或者获得廉租住房保障</w:t>
            </w:r>
          </w:p>
        </w:tc>
        <w:tc>
          <w:tcPr>
            <w:tcW w:w="21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1.机构职能、权责清单、执法人员名单；</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2.执法程序或行政强制流程图；</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3.执法依据；</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4.行政处罚自由裁量基准；</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5.咨询、监督投诉方式；</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6.处罚决定；</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7.救济渠道。</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《廉租住房保障办法》</w:t>
            </w:r>
          </w:p>
        </w:tc>
        <w:tc>
          <w:tcPr>
            <w:tcW w:w="12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1.除处罚决定外其他内容：长期公开（动态调整）；</w:t>
            </w:r>
            <w:r>
              <w:rPr>
                <w:rFonts w:hint="eastAsia" w:ascii="仿宋" w:hAnsi="仿宋" w:eastAsia="仿宋" w:cs="仿宋"/>
                <w:i w:val="0"/>
                <w:color w:val="000000"/>
                <w:kern w:val="0"/>
                <w:sz w:val="18"/>
                <w:szCs w:val="18"/>
                <w:u w:val="none"/>
                <w:lang w:val="en-US" w:eastAsia="zh-CN" w:bidi="ar"/>
              </w:rPr>
              <w:br w:type="textWrapping"/>
            </w:r>
            <w:r>
              <w:rPr>
                <w:rFonts w:hint="eastAsia" w:ascii="仿宋" w:hAnsi="仿宋" w:eastAsia="仿宋" w:cs="仿宋"/>
                <w:i w:val="0"/>
                <w:color w:val="000000"/>
                <w:kern w:val="0"/>
                <w:sz w:val="18"/>
                <w:szCs w:val="18"/>
                <w:u w:val="none"/>
                <w:lang w:val="en-US" w:eastAsia="zh-CN" w:bidi="ar"/>
              </w:rPr>
              <w:t>2.处罚决定：20个工作日内。</w:t>
            </w:r>
          </w:p>
        </w:tc>
        <w:tc>
          <w:tcPr>
            <w:tcW w:w="14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城市管理行政执法部门或相关行政主管部门</w:t>
            </w:r>
          </w:p>
        </w:tc>
        <w:tc>
          <w:tcPr>
            <w:tcW w:w="256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Style w:val="5"/>
                <w:rFonts w:hint="eastAsia" w:ascii="仿宋" w:hAnsi="仿宋" w:eastAsia="仿宋" w:cs="仿宋"/>
                <w:sz w:val="18"/>
                <w:szCs w:val="18"/>
                <w:lang w:val="en-US" w:eastAsia="zh-CN" w:bidi="ar"/>
              </w:rPr>
              <w:t>■政府网站□政府公报</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□两微一端□发布会/听证会</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□广播电视□纸质媒体</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■公开查阅点□政务服务中心</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□便民服务站□入户/现场</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□社区/企事业单位/村公示栏（电子屏）</w:t>
            </w:r>
            <w:r>
              <w:rPr>
                <w:rStyle w:val="5"/>
                <w:rFonts w:hint="eastAsia" w:ascii="仿宋" w:hAnsi="仿宋" w:eastAsia="仿宋" w:cs="仿宋"/>
                <w:sz w:val="18"/>
                <w:szCs w:val="18"/>
                <w:lang w:val="en-US" w:eastAsia="zh-CN" w:bidi="ar"/>
              </w:rPr>
              <w:br w:type="textWrapping"/>
            </w:r>
            <w:r>
              <w:rPr>
                <w:rStyle w:val="5"/>
                <w:rFonts w:hint="eastAsia" w:ascii="仿宋" w:hAnsi="仿宋" w:eastAsia="仿宋" w:cs="仿宋"/>
                <w:sz w:val="18"/>
                <w:szCs w:val="18"/>
                <w:lang w:val="en-US" w:eastAsia="zh-CN" w:bidi="ar"/>
              </w:rPr>
              <w:t>□精准推送□其他</w:t>
            </w:r>
          </w:p>
        </w:tc>
        <w:tc>
          <w:tcPr>
            <w:tcW w:w="84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5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4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0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both"/>
              <w:rPr>
                <w:rFonts w:hint="eastAsia" w:ascii="仿宋" w:hAnsi="仿宋" w:eastAsia="仿宋" w:cs="仿宋"/>
                <w:i w:val="0"/>
                <w:color w:val="000000"/>
                <w:sz w:val="18"/>
                <w:szCs w:val="18"/>
                <w:u w:val="none"/>
              </w:rPr>
            </w:pPr>
          </w:p>
        </w:tc>
        <w:tc>
          <w:tcPr>
            <w:tcW w:w="6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c>
          <w:tcPr>
            <w:tcW w:w="7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both"/>
              <w:textAlignment w:val="center"/>
              <w:rPr>
                <w:rFonts w:hint="eastAsia" w:ascii="仿宋" w:hAnsi="仿宋" w:eastAsia="仿宋" w:cs="仿宋"/>
                <w:i w:val="0"/>
                <w:color w:val="000000"/>
                <w:sz w:val="18"/>
                <w:szCs w:val="18"/>
                <w:u w:val="none"/>
              </w:rPr>
            </w:pPr>
            <w:r>
              <w:rPr>
                <w:rFonts w:hint="eastAsia" w:ascii="仿宋" w:hAnsi="仿宋" w:eastAsia="仿宋" w:cs="仿宋"/>
                <w:i w:val="0"/>
                <w:color w:val="000000"/>
                <w:kern w:val="0"/>
                <w:sz w:val="18"/>
                <w:szCs w:val="18"/>
                <w:u w:val="none"/>
                <w:lang w:val="en-US" w:eastAsia="zh-CN" w:bidi="ar"/>
              </w:rPr>
              <w:t>√</w:t>
            </w:r>
          </w:p>
        </w:tc>
      </w:tr>
    </w:tbl>
    <w:p>
      <w:bookmarkStart w:id="0" w:name="_GoBack"/>
      <w:bookmarkEnd w:id="0"/>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3E1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99"/>
    <w:pPr>
      <w:jc w:val="center"/>
    </w:pPr>
    <w:rPr>
      <w:b/>
      <w:sz w:val="32"/>
      <w:szCs w:val="32"/>
    </w:rPr>
  </w:style>
  <w:style w:type="character" w:customStyle="1" w:styleId="5">
    <w:name w:val="font61"/>
    <w:basedOn w:val="4"/>
    <w:qFormat/>
    <w:uiPriority w:val="0"/>
    <w:rPr>
      <w:rFonts w:hint="eastAsia" w:ascii="仿宋_GB2312" w:eastAsia="仿宋_GB2312" w:cs="仿宋_GB2312"/>
      <w:color w:val="000000"/>
      <w:sz w:val="18"/>
      <w:szCs w:val="18"/>
      <w:u w:val="none"/>
    </w:rPr>
  </w:style>
  <w:style w:type="character" w:customStyle="1" w:styleId="6">
    <w:name w:val="font121"/>
    <w:basedOn w:val="4"/>
    <w:qFormat/>
    <w:uiPriority w:val="0"/>
    <w:rPr>
      <w:rFonts w:hint="eastAsia" w:ascii="宋体" w:hAnsi="宋体" w:eastAsia="宋体" w:cs="宋体"/>
      <w:color w:val="000000"/>
      <w:sz w:val="22"/>
      <w:szCs w:val="22"/>
      <w:u w:val="none"/>
    </w:rPr>
  </w:style>
  <w:style w:type="character" w:customStyle="1" w:styleId="7">
    <w:name w:val="font141"/>
    <w:basedOn w:val="4"/>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2022-10-18T07:37:53Z</dcterms:created>
  <dc:creator>HP</dc:creator>
  <cp:lastModifiedBy>亓远</cp:lastModifiedBy>
  <dcterms:modified xsi:type="dcterms:W3CDTF">2022-10-18T07:38:40Z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