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B11E6">
      <w:pPr>
        <w:keepNext w:val="0"/>
        <w:keepLines w:val="0"/>
        <w:pageBreakBefore w:val="0"/>
        <w:widowControl/>
        <w:suppressLineNumbers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bookmarkStart w:id="0" w:name="_GoBack"/>
      <w:bookmarkEnd w:id="0"/>
      <w:r>
        <w:rPr>
          <w:rFonts w:hint="eastAsia" w:ascii="方正小标宋简体" w:hAnsi="方正小标宋简体" w:eastAsia="方正小标宋简体" w:cs="方正小标宋简体"/>
          <w:b w:val="0"/>
          <w:bCs w:val="0"/>
          <w:color w:val="000000"/>
          <w:kern w:val="0"/>
          <w:sz w:val="44"/>
          <w:szCs w:val="44"/>
          <w:lang w:val="en-US" w:eastAsia="zh-CN" w:bidi="ar"/>
        </w:rPr>
        <w:t>关于五原县公平竞争审查政策</w:t>
      </w:r>
    </w:p>
    <w:p w14:paraId="170BA405">
      <w:pPr>
        <w:keepNext w:val="0"/>
        <w:keepLines w:val="0"/>
        <w:pageBreakBefore w:val="0"/>
        <w:widowControl/>
        <w:suppressLineNumbers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措施抽查检查情况的通报</w:t>
      </w:r>
    </w:p>
    <w:p w14:paraId="39A9E54C">
      <w:pPr>
        <w:jc w:val="center"/>
        <w:rPr>
          <w:rFonts w:ascii="仿宋" w:hAnsi="仿宋" w:eastAsia="仿宋" w:cs="Times New Roman"/>
          <w:color w:val="000000"/>
          <w:kern w:val="0"/>
          <w:sz w:val="32"/>
          <w:szCs w:val="32"/>
        </w:rPr>
      </w:pPr>
    </w:p>
    <w:p w14:paraId="37DF58F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县公平竞争审查局际联席会议各成员单位：</w:t>
      </w:r>
    </w:p>
    <w:p w14:paraId="655ADAE0">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按照全县公平竞争审查工作局际联席会议精神和《关于开展公平竞争审查工作政策措施专项抽查的通知》要求，</w:t>
      </w:r>
    </w:p>
    <w:p w14:paraId="7D19786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县公平竞争审查局际联席会议办公室组织开展了公平竞争审查工作落实情况的抽查检查，现将抽查检查情况通报如下：</w:t>
      </w:r>
    </w:p>
    <w:p w14:paraId="67517499">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一、基本情况</w:t>
      </w:r>
    </w:p>
    <w:p w14:paraId="69C9FF9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2024年10月10日始至2024年10月24日，抽查检查</w:t>
      </w:r>
    </w:p>
    <w:p w14:paraId="7582B6F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工作组对政府办、市场监管局、自然资源局、应急管理局、财政局、发改委等9个部门和单位的公平竞争审查工作推进情况进行了抽查检查。从总体情况看，各成员单位能够按照巴政发〔2017〕106号文件和全县公平竞争审查局际联席会议精神落实公平竞争审查各项工作，如市场监管局领导高度重视公平竞争审查工作，将公平竞争审查工作列入党组议事日程亲自抓；各成员单位均制定了方案、成立了组织机构、建立了内部审查机制，将公平竞争审查纳入单位考核体系，开始对存量政策进行清理，对增量政策措施开展审查；县政府办、发改委、自然资源局、住建局等成员单位公平竞争审查制度健全、审查流程规范、工作机制较为完善。</w:t>
      </w:r>
    </w:p>
    <w:p w14:paraId="26916A6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二、存在问题</w:t>
      </w:r>
    </w:p>
    <w:p w14:paraId="4AA2362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一是个别成员单位认识不到位，工作主动性不强。个别</w:t>
      </w:r>
    </w:p>
    <w:p w14:paraId="461DEFA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成员单位对公平竞争审查工作重视程度不够，内部审查</w:t>
      </w:r>
    </w:p>
    <w:p w14:paraId="274C987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机制不完善，甚至个别成员单位公平竞争审查人员对公平竞争审查的概念模糊不清，思路不清晰，影响公平竞争审查的效果；</w:t>
      </w:r>
    </w:p>
    <w:p w14:paraId="44AA3DB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 二是增量政策审查不够严格。个别成员单位存在应审未审、应审漏审、审查不规范、审查程序空转、工作形式化问题；</w:t>
      </w:r>
    </w:p>
    <w:p w14:paraId="75CCA519">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三是审查方式滞后，考核评价机制不健全。个别成员单位未健全考核评价机制，未将公平竞争审查工作纳入本部门实绩考核范围。</w:t>
      </w:r>
    </w:p>
    <w:p w14:paraId="3FED8629">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三、 下一步工作要求</w:t>
      </w:r>
    </w:p>
    <w:p w14:paraId="34BF75E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是提高认识，加强领导。各成员单位要深刻领会在社会主义市场体系建设中建立公平竞争审查制度的重要意义，结合自身业务，准确把握公平竞争审查工作实质，重新审视公平竞争审查制度与本单位业务工作的关系，确保责任落实，应审尽审。同时，进一步推进审查队伍建设，明确公平竞争审查主体责任，确定具体负责公平竞争审查的部门及人员，配齐配强审查工作力量，切实抓好本单位和本部门的公平竞争审查各项工作；</w:t>
      </w:r>
    </w:p>
    <w:p w14:paraId="38FC4EB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二是摸清底数，继续清理存量政策。尽快摸清底数，掌</w:t>
      </w:r>
    </w:p>
    <w:p w14:paraId="6FC96FD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握全部政策存量的具体情况，按照“谁制定、 谁清理”的原则，全面清理和废止妨碍统一市场和公平竞争的各种规定和做法。在清理过程中对含有排除、限制竞争内容的政策根据具体情况予以废止或修订；</w:t>
      </w:r>
    </w:p>
    <w:p w14:paraId="1EA1D25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三是严格审查增量政策，提升审查质量。各成员单位</w:t>
      </w:r>
    </w:p>
    <w:p w14:paraId="5B5C1B2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要将公平竞争审查工作作为常态化任务常抓不懈，针对新出台的政策措施，务必对照《实施细则》中的四大类18条审查标准进行公平竞争审查并规范填写《公平竞争审查表》，确保不出台不经公平竞争审查的政策措施；同时要加强公平竞争审查业务培训，提升审查人员业务素养和审查水平，进一步提高审查质量和效率。</w:t>
      </w:r>
    </w:p>
    <w:p w14:paraId="0DD8C133">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四是优化审查方式，完善考核评价制度。强化定量评估，提升审查专业化、精细化水平。研究制定公平竞争审查制度</w:t>
      </w:r>
    </w:p>
    <w:p w14:paraId="1994917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落实情况评价指标，并纳入工作实绩考核评价体系。</w:t>
      </w:r>
    </w:p>
    <w:p w14:paraId="73D716E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五是加强政策宣传解读，营造公平竞争审查氛围。各成员单位要结合各自工作职责，强化政策宣传，营造良好的舆论环境，推进公平竞争审查工作上台阶。</w:t>
      </w:r>
    </w:p>
    <w:p w14:paraId="0ADB9EEA">
      <w:pPr>
        <w:keepNext w:val="0"/>
        <w:keepLines w:val="0"/>
        <w:pageBreakBefore w:val="0"/>
        <w:widowControl/>
        <w:suppressLineNumbers w:val="0"/>
        <w:kinsoku/>
        <w:wordWrap/>
        <w:overflowPunct/>
        <w:topLinePunct w:val="0"/>
        <w:autoSpaceDE/>
        <w:autoSpaceDN/>
        <w:bidi w:val="0"/>
        <w:adjustRightInd/>
        <w:snapToGrid/>
        <w:spacing w:line="560" w:lineRule="exact"/>
        <w:ind w:firstLine="3200" w:firstLineChars="1000"/>
        <w:jc w:val="left"/>
        <w:textAlignment w:val="auto"/>
        <w:rPr>
          <w:rFonts w:hint="eastAsia" w:ascii="仿宋_GB2312" w:hAnsi="仿宋_GB2312" w:eastAsia="仿宋_GB2312" w:cs="仿宋_GB2312"/>
          <w:color w:val="000000"/>
          <w:kern w:val="0"/>
          <w:sz w:val="32"/>
          <w:szCs w:val="32"/>
          <w:lang w:val="en-US" w:eastAsia="zh-CN" w:bidi="ar"/>
        </w:rPr>
      </w:pPr>
    </w:p>
    <w:p w14:paraId="192D754D">
      <w:pPr>
        <w:keepNext w:val="0"/>
        <w:keepLines w:val="0"/>
        <w:pageBreakBefore w:val="0"/>
        <w:widowControl/>
        <w:suppressLineNumbers w:val="0"/>
        <w:kinsoku/>
        <w:wordWrap/>
        <w:overflowPunct/>
        <w:topLinePunct w:val="0"/>
        <w:autoSpaceDE/>
        <w:autoSpaceDN/>
        <w:bidi w:val="0"/>
        <w:adjustRightInd/>
        <w:snapToGrid/>
        <w:spacing w:line="560" w:lineRule="exact"/>
        <w:ind w:firstLine="3200" w:firstLineChars="10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五原县公平竞争审查工作局际</w:t>
      </w:r>
    </w:p>
    <w:p w14:paraId="61E49636">
      <w:pPr>
        <w:keepNext w:val="0"/>
        <w:keepLines w:val="0"/>
        <w:pageBreakBefore w:val="0"/>
        <w:widowControl/>
        <w:suppressLineNumbers w:val="0"/>
        <w:kinsoku/>
        <w:wordWrap/>
        <w:overflowPunct/>
        <w:topLinePunct w:val="0"/>
        <w:autoSpaceDE/>
        <w:autoSpaceDN/>
        <w:bidi w:val="0"/>
        <w:adjustRightInd/>
        <w:snapToGrid/>
        <w:spacing w:line="560" w:lineRule="exact"/>
        <w:ind w:left="0" w:firstLine="3840" w:firstLineChars="1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联席会议办公室（代章）</w:t>
      </w:r>
    </w:p>
    <w:p w14:paraId="7ECB1A48">
      <w:pPr>
        <w:keepNext w:val="0"/>
        <w:keepLines w:val="0"/>
        <w:pageBreakBefore w:val="0"/>
        <w:widowControl/>
        <w:suppressLineNumbers w:val="0"/>
        <w:kinsoku/>
        <w:wordWrap/>
        <w:overflowPunct/>
        <w:topLinePunct w:val="0"/>
        <w:autoSpaceDE/>
        <w:autoSpaceDN/>
        <w:bidi w:val="0"/>
        <w:adjustRightInd/>
        <w:snapToGrid/>
        <w:spacing w:line="560" w:lineRule="exact"/>
        <w:ind w:left="0" w:firstLine="3840" w:firstLineChars="1200"/>
        <w:jc w:val="left"/>
        <w:textAlignment w:val="auto"/>
        <w:rPr>
          <w:rFonts w:ascii="仿宋" w:hAnsi="仿宋" w:eastAsia="仿宋" w:cs="仿宋_GB2312"/>
          <w:sz w:val="32"/>
          <w:szCs w:val="32"/>
        </w:rPr>
      </w:pPr>
      <w:r>
        <w:rPr>
          <w:rFonts w:hint="eastAsia" w:ascii="仿宋_GB2312" w:hAnsi="仿宋_GB2312" w:eastAsia="仿宋_GB2312" w:cs="仿宋_GB2312"/>
          <w:color w:val="000000"/>
          <w:kern w:val="0"/>
          <w:sz w:val="32"/>
          <w:szCs w:val="32"/>
          <w:lang w:val="en-US" w:eastAsia="zh-CN" w:bidi="ar"/>
        </w:rPr>
        <w:t>2024年11月28日</w:t>
      </w:r>
    </w:p>
    <w:p w14:paraId="55561FC8">
      <w:r>
        <w:rPr>
          <w:rFonts w:hint="eastAsia" w:ascii="仿宋" w:hAnsi="仿宋" w:eastAsia="仿宋" w:cs="仿宋"/>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A76DC3"/>
    <w:rsid w:val="16A76DC3"/>
    <w:rsid w:val="1E3B459C"/>
    <w:rsid w:val="2DD04B23"/>
    <w:rsid w:val="772B56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首行缩进 21"/>
    <w:basedOn w:val="1"/>
    <w:qFormat/>
    <w:uiPriority w:val="0"/>
    <w:pPr>
      <w:ind w:firstLine="4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1315</Words>
  <Characters>1336</Characters>
  <Lines>0</Lines>
  <Paragraphs>0</Paragraphs>
  <TotalTime>4</TotalTime>
  <ScaleCrop>false</ScaleCrop>
  <LinksUpToDate>false</LinksUpToDate>
  <CharactersWithSpaces>1356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2024-12-12T00:42:00Z</dcterms:created>
  <dc:creator>仓颉</dc:creator>
  <cp:lastModifiedBy>仓颉</cp:lastModifiedBy>
  <cp:lastPrinted>2024-12-12T00:48:00Z</cp:lastPrinted>
  <dcterms:modified xsi:type="dcterms:W3CDTF">2024-12-12T00:57:45Z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B4797757F0B74799B2340CA9A31E17D0_11</vt:lpwstr>
  </property>
</Properties>
</file>