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Toc2262257"/>
      <w:bookmarkStart w:id="1" w:name="_Toc489432939"/>
      <w:bookmarkStart w:id="2" w:name="_Toc139636726"/>
      <w:bookmarkStart w:id="3" w:name="_Toc139636542"/>
      <w:bookmarkStart w:id="4" w:name="_Toc138044896"/>
      <w:bookmarkStart w:id="5" w:name="_Toc138055265"/>
      <w:bookmarkStart w:id="6" w:name="_Toc139636640"/>
      <w:bookmarkStart w:id="7" w:name="_Toc139636794"/>
    </w:p>
    <w:p>
      <w:pPr>
        <w:jc w:val="center"/>
        <w:rPr>
          <w:rFonts w:eastAsia="黑体"/>
          <w:sz w:val="32"/>
          <w:szCs w:val="32"/>
        </w:rPr>
      </w:pPr>
    </w:p>
    <w:p>
      <w:pPr>
        <w:jc w:val="center"/>
        <w:rPr>
          <w:rFonts w:eastAsia="黑体"/>
          <w:sz w:val="32"/>
          <w:szCs w:val="32"/>
        </w:rPr>
      </w:pPr>
    </w:p>
    <w:p>
      <w:pPr>
        <w:jc w:val="center"/>
        <w:rPr>
          <w:rFonts w:eastAsia="黑体"/>
          <w:sz w:val="32"/>
          <w:szCs w:val="32"/>
        </w:rPr>
      </w:pPr>
    </w:p>
    <w:p>
      <w:pPr>
        <w:spacing w:after="312" w:afterLines="100"/>
        <w:jc w:val="center"/>
        <w:rPr>
          <w:b/>
          <w:sz w:val="44"/>
          <w:szCs w:val="44"/>
        </w:rPr>
      </w:pPr>
      <w:r>
        <w:rPr>
          <w:rFonts w:hint="eastAsia"/>
          <w:b/>
          <w:sz w:val="44"/>
          <w:szCs w:val="44"/>
        </w:rPr>
        <w:t>五原县复兴镇生活垃圾无害化处理项目</w:t>
      </w:r>
    </w:p>
    <w:p>
      <w:pPr>
        <w:spacing w:after="312" w:afterLines="100"/>
        <w:jc w:val="center"/>
        <w:rPr>
          <w:rFonts w:eastAsia="黑体"/>
          <w:sz w:val="72"/>
          <w:szCs w:val="72"/>
        </w:rPr>
      </w:pPr>
      <w:r>
        <w:rPr>
          <w:rFonts w:eastAsia="黑体"/>
          <w:sz w:val="72"/>
          <w:szCs w:val="72"/>
        </w:rPr>
        <w:t>环境影响报告书</w:t>
      </w:r>
      <w:bookmarkStart w:id="902" w:name="_GoBack"/>
      <w:bookmarkEnd w:id="902"/>
    </w:p>
    <w:p>
      <w:pPr>
        <w:ind w:firstLine="480"/>
      </w:pPr>
    </w:p>
    <w:p>
      <w:pPr>
        <w:ind w:firstLine="480"/>
      </w:pPr>
    </w:p>
    <w:p>
      <w:pPr>
        <w:ind w:firstLine="480"/>
      </w:pPr>
    </w:p>
    <w:p>
      <w:pPr>
        <w:jc w:val="center"/>
        <w:rPr>
          <w:rFonts w:eastAsia="黑体"/>
          <w:sz w:val="32"/>
          <w:szCs w:val="32"/>
        </w:rPr>
      </w:pPr>
    </w:p>
    <w:p>
      <w:pPr>
        <w:jc w:val="center"/>
        <w:rPr>
          <w:rFonts w:eastAsia="黑体"/>
          <w:sz w:val="32"/>
          <w:szCs w:val="32"/>
        </w:rPr>
      </w:pPr>
    </w:p>
    <w:p>
      <w:pPr>
        <w:jc w:val="center"/>
        <w:rPr>
          <w:rFonts w:eastAsia="黑体"/>
          <w:sz w:val="32"/>
          <w:szCs w:val="32"/>
        </w:rPr>
      </w:pPr>
    </w:p>
    <w:p>
      <w:pPr>
        <w:rPr>
          <w:rFonts w:eastAsia="黑体"/>
          <w:sz w:val="32"/>
          <w:szCs w:val="32"/>
        </w:rPr>
      </w:pPr>
    </w:p>
    <w:p>
      <w:pPr>
        <w:rPr>
          <w:rFonts w:eastAsia="黑体"/>
          <w:sz w:val="32"/>
          <w:szCs w:val="32"/>
        </w:rPr>
      </w:pPr>
    </w:p>
    <w:p>
      <w:pPr>
        <w:rPr>
          <w:rFonts w:eastAsia="黑体"/>
          <w:sz w:val="32"/>
          <w:szCs w:val="32"/>
        </w:rPr>
      </w:pPr>
    </w:p>
    <w:p>
      <w:pPr>
        <w:rPr>
          <w:rFonts w:eastAsia="黑体"/>
          <w:sz w:val="32"/>
          <w:szCs w:val="32"/>
        </w:rPr>
      </w:pPr>
    </w:p>
    <w:p>
      <w:pPr>
        <w:spacing w:line="360" w:lineRule="auto"/>
        <w:ind w:firstLine="1484" w:firstLineChars="528"/>
        <w:rPr>
          <w:b/>
          <w:sz w:val="28"/>
          <w:szCs w:val="28"/>
        </w:rPr>
      </w:pPr>
      <w:r>
        <w:rPr>
          <w:b/>
          <w:sz w:val="28"/>
          <w:szCs w:val="28"/>
        </w:rPr>
        <w:t>建设单位：</w:t>
      </w:r>
      <w:r>
        <w:rPr>
          <w:rFonts w:hint="eastAsia"/>
          <w:b/>
          <w:sz w:val="28"/>
          <w:szCs w:val="28"/>
        </w:rPr>
        <w:t>五原县环境卫生服务中心</w:t>
      </w:r>
    </w:p>
    <w:p>
      <w:pPr>
        <w:ind w:firstLine="1484" w:firstLineChars="528"/>
        <w:rPr>
          <w:b/>
          <w:sz w:val="28"/>
          <w:szCs w:val="28"/>
        </w:rPr>
      </w:pPr>
      <w:r>
        <w:rPr>
          <w:b/>
          <w:sz w:val="28"/>
          <w:szCs w:val="28"/>
        </w:rPr>
        <w:t>评价单位：</w:t>
      </w:r>
      <w:r>
        <w:rPr>
          <w:rFonts w:hint="eastAsia"/>
          <w:b/>
          <w:sz w:val="28"/>
          <w:szCs w:val="28"/>
        </w:rPr>
        <w:t>内蒙古众成环境工程有限公司</w:t>
      </w:r>
    </w:p>
    <w:p>
      <w:pPr>
        <w:pStyle w:val="939"/>
        <w:ind w:firstLine="562"/>
        <w:jc w:val="center"/>
        <w:rPr>
          <w:b/>
          <w:sz w:val="28"/>
          <w:szCs w:val="28"/>
        </w:rPr>
        <w:sectPr>
          <w:headerReference r:id="rId3" w:type="default"/>
          <w:headerReference r:id="rId4" w:type="even"/>
          <w:pgSz w:w="11906" w:h="16838"/>
          <w:pgMar w:top="1440" w:right="1800" w:bottom="1440" w:left="1800" w:header="851" w:footer="992" w:gutter="0"/>
          <w:pgNumType w:fmt="upperRoman" w:start="1"/>
          <w:cols w:space="720" w:num="1"/>
          <w:docGrid w:type="lines" w:linePitch="312" w:charSpace="0"/>
        </w:sectPr>
      </w:pPr>
      <w:r>
        <w:rPr>
          <w:b/>
          <w:sz w:val="28"/>
          <w:szCs w:val="28"/>
        </w:rPr>
        <w:t>二〇二三年</w:t>
      </w:r>
      <w:r>
        <w:rPr>
          <w:rFonts w:hint="eastAsia"/>
          <w:b/>
          <w:sz w:val="28"/>
          <w:szCs w:val="28"/>
        </w:rPr>
        <w:t>八</w:t>
      </w:r>
      <w:r>
        <w:rPr>
          <w:b/>
          <w:sz w:val="28"/>
          <w:szCs w:val="28"/>
        </w:rPr>
        <w:t>月</w:t>
      </w:r>
    </w:p>
    <w:p>
      <w:pPr>
        <w:widowControl/>
        <w:jc w:val="left"/>
        <w:rPr>
          <w:b/>
        </w:rPr>
        <w:sectPr>
          <w:headerReference r:id="rId5" w:type="default"/>
          <w:footerReference r:id="rId6" w:type="default"/>
          <w:type w:val="continuous"/>
          <w:pgSz w:w="11906" w:h="16838"/>
          <w:pgMar w:top="1440" w:right="1800" w:bottom="1440" w:left="1800" w:header="851" w:footer="992" w:gutter="0"/>
          <w:pgNumType w:fmt="upperRoman" w:start="1"/>
          <w:cols w:space="720" w:num="1"/>
          <w:docGrid w:type="lines" w:linePitch="312" w:charSpace="0"/>
        </w:sectPr>
      </w:pPr>
    </w:p>
    <w:p>
      <w:pPr>
        <w:pStyle w:val="823"/>
        <w:pageBreakBefore w:val="0"/>
        <w:adjustRightInd/>
        <w:spacing w:before="156" w:beforeLines="50" w:after="156" w:afterLines="50" w:line="360" w:lineRule="auto"/>
        <w:jc w:val="center"/>
        <w:rPr>
          <w:rFonts w:cs="Times New Roman"/>
          <w:b w:val="0"/>
        </w:rPr>
      </w:pPr>
      <w:bookmarkStart w:id="8" w:name="_Toc143762272"/>
      <w:r>
        <w:rPr>
          <w:rFonts w:cs="Times New Roman"/>
          <w:b w:val="0"/>
        </w:rPr>
        <w:t>目录</w:t>
      </w:r>
      <w:bookmarkEnd w:id="0"/>
      <w:bookmarkEnd w:id="8"/>
    </w:p>
    <w:sdt>
      <w:sdtPr>
        <w:rPr>
          <w:b w:val="0"/>
          <w:bCs w:val="0"/>
          <w:kern w:val="2"/>
          <w:lang w:val="zh-CN"/>
        </w:rPr>
        <w:id w:val="1083106824"/>
        <w:docPartObj>
          <w:docPartGallery w:val="Table of Contents"/>
          <w:docPartUnique/>
        </w:docPartObj>
      </w:sdtPr>
      <w:sdtEndPr>
        <w:rPr>
          <w:b w:val="0"/>
          <w:bCs w:val="0"/>
          <w:kern w:val="2"/>
          <w:lang w:val="zh-CN"/>
        </w:rPr>
      </w:sdtEndPr>
      <w:sdtContent>
        <w:p>
          <w:pPr>
            <w:pStyle w:val="58"/>
            <w:rPr>
              <w:rFonts w:asciiTheme="minorHAnsi" w:hAnsiTheme="minorHAnsi" w:eastAsiaTheme="minorEastAsia" w:cstheme="minorBidi"/>
              <w:b w:val="0"/>
              <w:bCs w:val="0"/>
              <w:kern w:val="2"/>
              <w:szCs w:val="22"/>
            </w:rPr>
          </w:pPr>
          <w:r>
            <w:rPr>
              <w:b w:val="0"/>
            </w:rPr>
            <w:fldChar w:fldCharType="begin"/>
          </w:r>
          <w:r>
            <w:rPr>
              <w:b w:val="0"/>
            </w:rPr>
            <w:instrText xml:space="preserve"> TOC \o "1-3" \h \z \u </w:instrText>
          </w:r>
          <w:r>
            <w:rPr>
              <w:b w:val="0"/>
            </w:rPr>
            <w:fldChar w:fldCharType="separate"/>
          </w:r>
          <w:r>
            <w:fldChar w:fldCharType="begin"/>
          </w:r>
          <w:r>
            <w:instrText xml:space="preserve"> HYPERLINK \l "_Toc143762272" </w:instrText>
          </w:r>
          <w:r>
            <w:fldChar w:fldCharType="separate"/>
          </w:r>
          <w:r>
            <w:rPr>
              <w:rStyle w:val="142"/>
              <w:b w:val="0"/>
            </w:rPr>
            <w:t>目录</w:t>
          </w:r>
          <w:r>
            <w:rPr>
              <w:b w:val="0"/>
            </w:rPr>
            <w:tab/>
          </w:r>
          <w:r>
            <w:rPr>
              <w:b w:val="0"/>
            </w:rPr>
            <w:fldChar w:fldCharType="begin"/>
          </w:r>
          <w:r>
            <w:rPr>
              <w:b w:val="0"/>
            </w:rPr>
            <w:instrText xml:space="preserve"> PAGEREF _Toc143762272 \h </w:instrText>
          </w:r>
          <w:r>
            <w:rPr>
              <w:b w:val="0"/>
            </w:rPr>
            <w:fldChar w:fldCharType="separate"/>
          </w:r>
          <w:r>
            <w:rPr>
              <w:b w:val="0"/>
            </w:rPr>
            <w:t>I</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"_Toc143762273" </w:instrText>
          </w:r>
          <w:r>
            <w:fldChar w:fldCharType="separate"/>
          </w:r>
          <w:r>
            <w:rPr>
              <w:rStyle w:val="142"/>
              <w:b w:val="0"/>
            </w:rPr>
            <w:t>1概述</w:t>
          </w:r>
          <w:r>
            <w:rPr>
              <w:b w:val="0"/>
            </w:rPr>
            <w:tab/>
          </w:r>
          <w:r>
            <w:rPr>
              <w:b w:val="0"/>
            </w:rPr>
            <w:fldChar w:fldCharType="begin"/>
          </w:r>
          <w:r>
            <w:rPr>
              <w:b w:val="0"/>
            </w:rPr>
            <w:instrText xml:space="preserve"> PAGEREF _Toc143762273 \h </w:instrText>
          </w:r>
          <w:r>
            <w:rPr>
              <w:b w:val="0"/>
            </w:rPr>
            <w:fldChar w:fldCharType="separate"/>
          </w:r>
          <w:r>
            <w:rPr>
              <w:b w:val="0"/>
            </w:rPr>
            <w:t>5</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"_Toc143762274" </w:instrText>
          </w:r>
          <w:r>
            <w:fldChar w:fldCharType="separate"/>
          </w:r>
          <w:r>
            <w:rPr>
              <w:rStyle w:val="142"/>
            </w:rPr>
            <w:t>1.1建设项目特点</w:t>
          </w:r>
          <w:r>
            <w:tab/>
          </w:r>
          <w:r>
            <w:fldChar w:fldCharType="begin"/>
          </w:r>
          <w:r>
            <w:instrText xml:space="preserve"> PAGEREF _Toc143762274 \h </w:instrText>
          </w:r>
          <w:r>
            <w:fldChar w:fldCharType="separate"/>
          </w:r>
          <w:r>
            <w:t>5</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"_Toc143762275" </w:instrText>
          </w:r>
          <w:r>
            <w:fldChar w:fldCharType="separate"/>
          </w:r>
          <w:r>
            <w:rPr>
              <w:rStyle w:val="142"/>
            </w:rPr>
            <w:t>1.2环境影响评价过程</w:t>
          </w:r>
          <w:r>
            <w:tab/>
          </w:r>
          <w:r>
            <w:fldChar w:fldCharType="begin"/>
          </w:r>
          <w:r>
            <w:instrText xml:space="preserve"> PAGEREF _Toc143762275 \h </w:instrText>
          </w:r>
          <w:r>
            <w:fldChar w:fldCharType="separate"/>
          </w:r>
          <w:r>
            <w:t>5</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"_Toc143762276" </w:instrText>
          </w:r>
          <w:r>
            <w:fldChar w:fldCharType="separate"/>
          </w:r>
          <w:r>
            <w:rPr>
              <w:rStyle w:val="142"/>
            </w:rPr>
            <w:t>1.3 分析判定相关情况</w:t>
          </w:r>
          <w:r>
            <w:tab/>
          </w:r>
          <w:r>
            <w:fldChar w:fldCharType="begin"/>
          </w:r>
          <w:r>
            <w:instrText xml:space="preserve"> PAGEREF _Toc143762276 \h </w:instrText>
          </w:r>
          <w:r>
            <w:fldChar w:fldCharType="separate"/>
          </w:r>
          <w:r>
            <w:t>6</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"_Toc143762277" </w:instrText>
          </w:r>
          <w:r>
            <w:fldChar w:fldCharType="separate"/>
          </w:r>
          <w:r>
            <w:rPr>
              <w:rStyle w:val="142"/>
            </w:rPr>
            <w:t>1.4关注的主要环境问题</w:t>
          </w:r>
          <w:r>
            <w:tab/>
          </w:r>
          <w:r>
            <w:fldChar w:fldCharType="begin"/>
          </w:r>
          <w:r>
            <w:instrText xml:space="preserve"> PAGEREF _Toc143762277 \h </w:instrText>
          </w:r>
          <w:r>
            <w:fldChar w:fldCharType="separate"/>
          </w:r>
          <w:r>
            <w:t>13</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"_Toc143762278" </w:instrText>
          </w:r>
          <w:r>
            <w:fldChar w:fldCharType="separate"/>
          </w:r>
          <w:r>
            <w:rPr>
              <w:rStyle w:val="142"/>
            </w:rPr>
            <w:t>1.5 环境影响评价主要结论</w:t>
          </w:r>
          <w:r>
            <w:tab/>
          </w:r>
          <w:r>
            <w:fldChar w:fldCharType="begin"/>
          </w:r>
          <w:r>
            <w:instrText xml:space="preserve"> PAGEREF _Toc143762278 \h </w:instrText>
          </w:r>
          <w:r>
            <w:fldChar w:fldCharType="separate"/>
          </w:r>
          <w:r>
            <w:t>13</w:t>
          </w:r>
          <w:r>
            <w:fldChar w:fldCharType="end"/>
          </w:r>
          <w: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"_Toc143762279" </w:instrText>
          </w:r>
          <w:r>
            <w:fldChar w:fldCharType="separate"/>
          </w:r>
          <w:r>
            <w:rPr>
              <w:rStyle w:val="142"/>
              <w:b w:val="0"/>
            </w:rPr>
            <w:t>2总则</w:t>
          </w:r>
          <w:r>
            <w:rPr>
              <w:b w:val="0"/>
            </w:rPr>
            <w:tab/>
          </w:r>
          <w:r>
            <w:rPr>
              <w:b w:val="0"/>
            </w:rPr>
            <w:fldChar w:fldCharType="begin"/>
          </w:r>
          <w:r>
            <w:rPr>
              <w:b w:val="0"/>
            </w:rPr>
            <w:instrText xml:space="preserve"> PAGEREF _Toc143762279 \h </w:instrText>
          </w:r>
          <w:r>
            <w:rPr>
              <w:b w:val="0"/>
            </w:rPr>
            <w:fldChar w:fldCharType="separate"/>
          </w:r>
          <w:r>
            <w:rPr>
              <w:b w:val="0"/>
            </w:rPr>
            <w:t>14</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"_Toc143762280" </w:instrText>
          </w:r>
          <w:r>
            <w:fldChar w:fldCharType="separate"/>
          </w:r>
          <w:r>
            <w:rPr>
              <w:rStyle w:val="142"/>
            </w:rPr>
            <w:t>2.1编制依据</w:t>
          </w:r>
          <w:r>
            <w:tab/>
          </w:r>
          <w:r>
            <w:fldChar w:fldCharType="begin"/>
          </w:r>
          <w:r>
            <w:instrText xml:space="preserve"> PAGEREF _Toc143762280 \h </w:instrText>
          </w:r>
          <w:r>
            <w:fldChar w:fldCharType="separate"/>
          </w:r>
          <w:r>
            <w:t>14</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"_Toc143762281" </w:instrText>
          </w:r>
          <w:r>
            <w:fldChar w:fldCharType="separate"/>
          </w:r>
          <w:r>
            <w:rPr>
              <w:rStyle w:val="142"/>
              <w:b w:val="0"/>
            </w:rPr>
            <w:t>2.1.1法律、法规</w:t>
          </w:r>
          <w:r>
            <w:rPr>
              <w:b w:val="0"/>
            </w:rPr>
            <w:tab/>
          </w:r>
          <w:r>
            <w:rPr>
              <w:b w:val="0"/>
            </w:rPr>
            <w:fldChar w:fldCharType="begin"/>
          </w:r>
          <w:r>
            <w:rPr>
              <w:b w:val="0"/>
            </w:rPr>
            <w:instrText xml:space="preserve"> PAGEREF _Toc143762281 \h </w:instrText>
          </w:r>
          <w:r>
            <w:rPr>
              <w:b w:val="0"/>
            </w:rPr>
            <w:fldChar w:fldCharType="separate"/>
          </w:r>
          <w:r>
            <w:rPr>
              <w:b w:val="0"/>
            </w:rPr>
            <w:t>14</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"_Toc143762282" </w:instrText>
          </w:r>
          <w:r>
            <w:fldChar w:fldCharType="separate"/>
          </w:r>
          <w:r>
            <w:rPr>
              <w:rStyle w:val="142"/>
              <w:b w:val="0"/>
            </w:rPr>
            <w:t>2.1.2技术导则、规范与标准</w:t>
          </w:r>
          <w:r>
            <w:rPr>
              <w:b w:val="0"/>
            </w:rPr>
            <w:tab/>
          </w:r>
          <w:r>
            <w:rPr>
              <w:b w:val="0"/>
            </w:rPr>
            <w:fldChar w:fldCharType="begin"/>
          </w:r>
          <w:r>
            <w:rPr>
              <w:b w:val="0"/>
            </w:rPr>
            <w:instrText xml:space="preserve"> PAGEREF _Toc143762282 \h </w:instrText>
          </w:r>
          <w:r>
            <w:rPr>
              <w:b w:val="0"/>
            </w:rPr>
            <w:fldChar w:fldCharType="separate"/>
          </w:r>
          <w:r>
            <w:rPr>
              <w:b w:val="0"/>
            </w:rPr>
            <w:t>15</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"_Toc143762283" </w:instrText>
          </w:r>
          <w:r>
            <w:fldChar w:fldCharType="separate"/>
          </w:r>
          <w:r>
            <w:rPr>
              <w:rStyle w:val="142"/>
              <w:b w:val="0"/>
            </w:rPr>
            <w:t>2.1.3地方有关法规及规范</w:t>
          </w:r>
          <w:r>
            <w:rPr>
              <w:b w:val="0"/>
            </w:rPr>
            <w:tab/>
          </w:r>
          <w:r>
            <w:rPr>
              <w:b w:val="0"/>
            </w:rPr>
            <w:fldChar w:fldCharType="begin"/>
          </w:r>
          <w:r>
            <w:rPr>
              <w:b w:val="0"/>
            </w:rPr>
            <w:instrText xml:space="preserve"> PAGEREF _Toc143762283 \h </w:instrText>
          </w:r>
          <w:r>
            <w:rPr>
              <w:b w:val="0"/>
            </w:rPr>
            <w:fldChar w:fldCharType="separate"/>
          </w:r>
          <w:r>
            <w:rPr>
              <w:b w:val="0"/>
            </w:rPr>
            <w:t>15</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"_Toc143762284" </w:instrText>
          </w:r>
          <w:r>
            <w:fldChar w:fldCharType="separate"/>
          </w:r>
          <w:r>
            <w:rPr>
              <w:rStyle w:val="142"/>
              <w:b w:val="0"/>
            </w:rPr>
            <w:t>2.1.4技术参考依据及其他</w:t>
          </w:r>
          <w:r>
            <w:rPr>
              <w:b w:val="0"/>
            </w:rPr>
            <w:tab/>
          </w:r>
          <w:r>
            <w:rPr>
              <w:b w:val="0"/>
            </w:rPr>
            <w:fldChar w:fldCharType="begin"/>
          </w:r>
          <w:r>
            <w:rPr>
              <w:b w:val="0"/>
            </w:rPr>
            <w:instrText xml:space="preserve"> PAGEREF _Toc143762284 \h </w:instrText>
          </w:r>
          <w:r>
            <w:rPr>
              <w:b w:val="0"/>
            </w:rPr>
            <w:fldChar w:fldCharType="separate"/>
          </w:r>
          <w:r>
            <w:rPr>
              <w:b w:val="0"/>
            </w:rPr>
            <w:t>16</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"_Toc143762285" </w:instrText>
          </w:r>
          <w:r>
            <w:fldChar w:fldCharType="separate"/>
          </w:r>
          <w:r>
            <w:rPr>
              <w:rStyle w:val="142"/>
            </w:rPr>
            <w:t>2.2评价因子与评价标准</w:t>
          </w:r>
          <w:r>
            <w:tab/>
          </w:r>
          <w:r>
            <w:fldChar w:fldCharType="begin"/>
          </w:r>
          <w:r>
            <w:instrText xml:space="preserve"> PAGEREF _Toc143762285 \h </w:instrText>
          </w:r>
          <w:r>
            <w:fldChar w:fldCharType="separate"/>
          </w:r>
          <w:r>
            <w:t>16</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"_Toc143762286" </w:instrText>
          </w:r>
          <w:r>
            <w:fldChar w:fldCharType="separate"/>
          </w:r>
          <w:r>
            <w:rPr>
              <w:rStyle w:val="142"/>
              <w:b w:val="0"/>
            </w:rPr>
            <w:t>2.2.1评价因子</w:t>
          </w:r>
          <w:r>
            <w:rPr>
              <w:b w:val="0"/>
            </w:rPr>
            <w:tab/>
          </w:r>
          <w:r>
            <w:rPr>
              <w:b w:val="0"/>
            </w:rPr>
            <w:fldChar w:fldCharType="begin"/>
          </w:r>
          <w:r>
            <w:rPr>
              <w:b w:val="0"/>
            </w:rPr>
            <w:instrText xml:space="preserve"> PAGEREF _Toc143762286 \h </w:instrText>
          </w:r>
          <w:r>
            <w:rPr>
              <w:b w:val="0"/>
            </w:rPr>
            <w:fldChar w:fldCharType="separate"/>
          </w:r>
          <w:r>
            <w:rPr>
              <w:b w:val="0"/>
            </w:rPr>
            <w:t>16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"_Toc143762287" </w:instrText>
          </w:r>
          <w:r>
            <w:fldChar w:fldCharType="separate"/>
          </w:r>
          <w:r>
            <w:rPr>
              <w:rStyle w:val="142"/>
              <w:b w:val="0"/>
            </w:rPr>
            <w:t>2.2.2评价标准</w:t>
          </w:r>
          <w:r>
            <w:rPr>
              <w:b w:val="0"/>
            </w:rPr>
            <w:tab/>
          </w:r>
          <w:r>
            <w:rPr>
              <w:b w:val="0"/>
            </w:rPr>
            <w:fldChar w:fldCharType="begin"/>
          </w:r>
          <w:r>
            <w:rPr>
              <w:b w:val="0"/>
            </w:rPr>
            <w:instrText xml:space="preserve"> PAGEREF _Toc143762287 \h </w:instrText>
          </w:r>
          <w:r>
            <w:rPr>
              <w:b w:val="0"/>
            </w:rPr>
            <w:fldChar w:fldCharType="separate"/>
          </w:r>
          <w:r>
            <w:rPr>
              <w:b w:val="0"/>
            </w:rPr>
            <w:t>17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"_Toc143762288" </w:instrText>
          </w:r>
          <w:r>
            <w:fldChar w:fldCharType="separate"/>
          </w:r>
          <w:r>
            <w:rPr>
              <w:rStyle w:val="142"/>
              <w:b w:val="0"/>
            </w:rPr>
            <w:t>2.2.2.1环境质量标准</w:t>
          </w:r>
          <w:r>
            <w:rPr>
              <w:b w:val="0"/>
            </w:rPr>
            <w:tab/>
          </w:r>
          <w:r>
            <w:rPr>
              <w:b w:val="0"/>
            </w:rPr>
            <w:fldChar w:fldCharType="begin"/>
          </w:r>
          <w:r>
            <w:rPr>
              <w:b w:val="0"/>
            </w:rPr>
            <w:instrText xml:space="preserve"> PAGEREF _Toc143762288 \h </w:instrText>
          </w:r>
          <w:r>
            <w:rPr>
              <w:b w:val="0"/>
            </w:rPr>
            <w:fldChar w:fldCharType="separate"/>
          </w:r>
          <w:r>
            <w:rPr>
              <w:b w:val="0"/>
            </w:rPr>
            <w:t>17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"_Toc143762289" </w:instrText>
          </w:r>
          <w:r>
            <w:fldChar w:fldCharType="separate"/>
          </w:r>
          <w:r>
            <w:rPr>
              <w:rStyle w:val="142"/>
              <w:b w:val="0"/>
            </w:rPr>
            <w:t>2.2.2.2污染物排放标准</w:t>
          </w:r>
          <w:r>
            <w:rPr>
              <w:b w:val="0"/>
            </w:rPr>
            <w:tab/>
          </w:r>
          <w:r>
            <w:rPr>
              <w:b w:val="0"/>
            </w:rPr>
            <w:fldChar w:fldCharType="begin"/>
          </w:r>
          <w:r>
            <w:rPr>
              <w:b w:val="0"/>
            </w:rPr>
            <w:instrText xml:space="preserve"> PAGEREF _Toc143762289 \h </w:instrText>
          </w:r>
          <w:r>
            <w:rPr>
              <w:b w:val="0"/>
            </w:rPr>
            <w:fldChar w:fldCharType="separate"/>
          </w:r>
          <w:r>
            <w:rPr>
              <w:b w:val="0"/>
            </w:rPr>
            <w:t>21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"_Toc143762290" </w:instrText>
          </w:r>
          <w:r>
            <w:fldChar w:fldCharType="separate"/>
          </w:r>
          <w:r>
            <w:rPr>
              <w:rStyle w:val="142"/>
              <w:b w:val="0"/>
            </w:rPr>
            <w:t>2.2.3区域环境功能区划及评价标准</w:t>
          </w:r>
          <w:r>
            <w:rPr>
              <w:b w:val="0"/>
            </w:rPr>
            <w:tab/>
          </w:r>
          <w:r>
            <w:rPr>
              <w:b w:val="0"/>
            </w:rPr>
            <w:fldChar w:fldCharType="begin"/>
          </w:r>
          <w:r>
            <w:rPr>
              <w:b w:val="0"/>
            </w:rPr>
            <w:instrText xml:space="preserve"> PAGEREF _Toc143762290 \h </w:instrText>
          </w:r>
          <w:r>
            <w:rPr>
              <w:b w:val="0"/>
            </w:rPr>
            <w:fldChar w:fldCharType="separate"/>
          </w:r>
          <w:r>
            <w:rPr>
              <w:b w:val="0"/>
            </w:rPr>
            <w:t>23</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"_Toc143762291" </w:instrText>
          </w:r>
          <w:r>
            <w:fldChar w:fldCharType="separate"/>
          </w:r>
          <w:r>
            <w:rPr>
              <w:rStyle w:val="142"/>
            </w:rPr>
            <w:t>2.3评价工作等级及评价范围</w:t>
          </w:r>
          <w:r>
            <w:tab/>
          </w:r>
          <w:r>
            <w:fldChar w:fldCharType="begin"/>
          </w:r>
          <w:r>
            <w:instrText xml:space="preserve"> PAGEREF _Toc143762291 \h </w:instrText>
          </w:r>
          <w:r>
            <w:fldChar w:fldCharType="separate"/>
          </w:r>
          <w:r>
            <w:t>23</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"_Toc143762292" </w:instrText>
          </w:r>
          <w:r>
            <w:fldChar w:fldCharType="separate"/>
          </w:r>
          <w:r>
            <w:rPr>
              <w:rStyle w:val="142"/>
              <w:b w:val="0"/>
            </w:rPr>
            <w:t>2.3.1评价等级</w:t>
          </w:r>
          <w:r>
            <w:rPr>
              <w:b w:val="0"/>
            </w:rPr>
            <w:tab/>
          </w:r>
          <w:r>
            <w:rPr>
              <w:b w:val="0"/>
            </w:rPr>
            <w:fldChar w:fldCharType="begin"/>
          </w:r>
          <w:r>
            <w:rPr>
              <w:b w:val="0"/>
            </w:rPr>
            <w:instrText xml:space="preserve"> PAGEREF _Toc143762292 \h </w:instrText>
          </w:r>
          <w:r>
            <w:rPr>
              <w:b w:val="0"/>
            </w:rPr>
            <w:fldChar w:fldCharType="separate"/>
          </w:r>
          <w:r>
            <w:rPr>
              <w:b w:val="0"/>
            </w:rPr>
            <w:t>23</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"_Toc143762293" </w:instrText>
          </w:r>
          <w:r>
            <w:fldChar w:fldCharType="separate"/>
          </w:r>
          <w:r>
            <w:rPr>
              <w:rStyle w:val="142"/>
              <w:b w:val="0"/>
            </w:rPr>
            <w:t>2.3.2评价范围</w:t>
          </w:r>
          <w:r>
            <w:rPr>
              <w:b w:val="0"/>
            </w:rPr>
            <w:tab/>
          </w:r>
          <w:r>
            <w:rPr>
              <w:b w:val="0"/>
            </w:rPr>
            <w:fldChar w:fldCharType="begin"/>
          </w:r>
          <w:r>
            <w:rPr>
              <w:b w:val="0"/>
            </w:rPr>
            <w:instrText xml:space="preserve"> PAGEREF _Toc143762293 \h </w:instrText>
          </w:r>
          <w:r>
            <w:rPr>
              <w:b w:val="0"/>
            </w:rPr>
            <w:fldChar w:fldCharType="separate"/>
          </w:r>
          <w:r>
            <w:rPr>
              <w:b w:val="0"/>
            </w:rPr>
            <w:t>27</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"_Toc143762294" </w:instrText>
          </w:r>
          <w:r>
            <w:fldChar w:fldCharType="separate"/>
          </w:r>
          <w:r>
            <w:rPr>
              <w:rStyle w:val="142"/>
            </w:rPr>
            <w:t>2.4主要环境保护目标</w:t>
          </w:r>
          <w:r>
            <w:tab/>
          </w:r>
          <w:r>
            <w:fldChar w:fldCharType="begin"/>
          </w:r>
          <w:r>
            <w:instrText xml:space="preserve"> PAGEREF _Toc143762294 \h </w:instrText>
          </w:r>
          <w:r>
            <w:fldChar w:fldCharType="separate"/>
          </w:r>
          <w:r>
            <w:t>27</w:t>
          </w:r>
          <w:r>
            <w:fldChar w:fldCharType="end"/>
          </w:r>
          <w: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"_Toc143762295" </w:instrText>
          </w:r>
          <w:r>
            <w:fldChar w:fldCharType="separate"/>
          </w:r>
          <w:r>
            <w:rPr>
              <w:rStyle w:val="142"/>
              <w:b w:val="0"/>
            </w:rPr>
            <w:t>3项目概况及工程分析</w:t>
          </w:r>
          <w:r>
            <w:rPr>
              <w:b w:val="0"/>
            </w:rPr>
            <w:tab/>
          </w:r>
          <w:r>
            <w:rPr>
              <w:b w:val="0"/>
            </w:rPr>
            <w:fldChar w:fldCharType="begin"/>
          </w:r>
          <w:r>
            <w:rPr>
              <w:b w:val="0"/>
            </w:rPr>
            <w:instrText xml:space="preserve"> PAGEREF _Toc143762295 \h </w:instrText>
          </w:r>
          <w:r>
            <w:rPr>
              <w:b w:val="0"/>
            </w:rPr>
            <w:fldChar w:fldCharType="separate"/>
          </w:r>
          <w:r>
            <w:rPr>
              <w:b w:val="0"/>
            </w:rPr>
            <w:t>33</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"_Toc143762296" </w:instrText>
          </w:r>
          <w:r>
            <w:fldChar w:fldCharType="separate"/>
          </w:r>
          <w:r>
            <w:rPr>
              <w:rStyle w:val="142"/>
            </w:rPr>
            <w:t>3.1项目概况</w:t>
          </w:r>
          <w:r>
            <w:tab/>
          </w:r>
          <w:r>
            <w:fldChar w:fldCharType="begin"/>
          </w:r>
          <w:r>
            <w:instrText xml:space="preserve"> PAGEREF _Toc143762296 \h </w:instrText>
          </w:r>
          <w:r>
            <w:fldChar w:fldCharType="separate"/>
          </w:r>
          <w:r>
            <w:t>33</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"_Toc143762297" </w:instrText>
          </w:r>
          <w:r>
            <w:fldChar w:fldCharType="separate"/>
          </w:r>
          <w:r>
            <w:rPr>
              <w:rStyle w:val="142"/>
              <w:b w:val="0"/>
            </w:rPr>
            <w:t>3.1.1项目名称、地点及建设性质</w:t>
          </w:r>
          <w:r>
            <w:rPr>
              <w:b w:val="0"/>
            </w:rPr>
            <w:tab/>
          </w:r>
          <w:r>
            <w:rPr>
              <w:b w:val="0"/>
            </w:rPr>
            <w:fldChar w:fldCharType="begin"/>
          </w:r>
          <w:r>
            <w:rPr>
              <w:b w:val="0"/>
            </w:rPr>
            <w:instrText xml:space="preserve"> PAGEREF _Toc143762297 \h </w:instrText>
          </w:r>
          <w:r>
            <w:rPr>
              <w:b w:val="0"/>
            </w:rPr>
            <w:fldChar w:fldCharType="separate"/>
          </w:r>
          <w:r>
            <w:rPr>
              <w:b w:val="0"/>
            </w:rPr>
            <w:t>33</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"_Toc143762298" </w:instrText>
          </w:r>
          <w:r>
            <w:fldChar w:fldCharType="separate"/>
          </w:r>
          <w:r>
            <w:rPr>
              <w:rStyle w:val="142"/>
              <w:b w:val="0"/>
            </w:rPr>
            <w:t>3.1.2项目地理位置</w:t>
          </w:r>
          <w:r>
            <w:rPr>
              <w:b w:val="0"/>
            </w:rPr>
            <w:tab/>
          </w:r>
          <w:r>
            <w:rPr>
              <w:b w:val="0"/>
            </w:rPr>
            <w:fldChar w:fldCharType="begin"/>
          </w:r>
          <w:r>
            <w:rPr>
              <w:b w:val="0"/>
            </w:rPr>
            <w:instrText xml:space="preserve"> PAGEREF _Toc143762298 \h </w:instrText>
          </w:r>
          <w:r>
            <w:rPr>
              <w:b w:val="0"/>
            </w:rPr>
            <w:fldChar w:fldCharType="separate"/>
          </w:r>
          <w:r>
            <w:rPr>
              <w:b w:val="0"/>
            </w:rPr>
            <w:t>33</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"_Toc143762299" </w:instrText>
          </w:r>
          <w:r>
            <w:fldChar w:fldCharType="separate"/>
          </w:r>
          <w:r>
            <w:rPr>
              <w:rStyle w:val="142"/>
              <w:b w:val="0"/>
            </w:rPr>
            <w:t>3.1.3工程组成及建设规模</w:t>
          </w:r>
          <w:r>
            <w:rPr>
              <w:b w:val="0"/>
            </w:rPr>
            <w:tab/>
          </w:r>
          <w:r>
            <w:rPr>
              <w:b w:val="0"/>
            </w:rPr>
            <w:fldChar w:fldCharType="begin"/>
          </w:r>
          <w:r>
            <w:rPr>
              <w:b w:val="0"/>
            </w:rPr>
            <w:instrText xml:space="preserve"> PAGEREF _Toc143762299 \h </w:instrText>
          </w:r>
          <w:r>
            <w:rPr>
              <w:b w:val="0"/>
            </w:rPr>
            <w:fldChar w:fldCharType="separate"/>
          </w:r>
          <w:r>
            <w:rPr>
              <w:b w:val="0"/>
            </w:rPr>
            <w:t>36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"_Toc143762300" </w:instrText>
          </w:r>
          <w:r>
            <w:fldChar w:fldCharType="separate"/>
          </w:r>
          <w:r>
            <w:rPr>
              <w:rStyle w:val="142"/>
              <w:b w:val="0"/>
            </w:rPr>
            <w:t>3.1.4服务范围及现状填埋情况</w:t>
          </w:r>
          <w:r>
            <w:rPr>
              <w:b w:val="0"/>
            </w:rPr>
            <w:tab/>
          </w:r>
          <w:r>
            <w:rPr>
              <w:b w:val="0"/>
            </w:rPr>
            <w:fldChar w:fldCharType="begin"/>
          </w:r>
          <w:r>
            <w:rPr>
              <w:b w:val="0"/>
            </w:rPr>
            <w:instrText xml:space="preserve"> PAGEREF _Toc143762300 \h </w:instrText>
          </w:r>
          <w:r>
            <w:rPr>
              <w:b w:val="0"/>
            </w:rPr>
            <w:fldChar w:fldCharType="separate"/>
          </w:r>
          <w:r>
            <w:rPr>
              <w:b w:val="0"/>
            </w:rPr>
            <w:t>41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"_Toc143762301" </w:instrText>
          </w:r>
          <w:r>
            <w:fldChar w:fldCharType="separate"/>
          </w:r>
          <w:r>
            <w:rPr>
              <w:rStyle w:val="142"/>
              <w:b w:val="0"/>
            </w:rPr>
            <w:t>3.1.5垃圾处理工艺</w:t>
          </w:r>
          <w:r>
            <w:rPr>
              <w:b w:val="0"/>
            </w:rPr>
            <w:tab/>
          </w:r>
          <w:r>
            <w:rPr>
              <w:b w:val="0"/>
            </w:rPr>
            <w:fldChar w:fldCharType="begin"/>
          </w:r>
          <w:r>
            <w:rPr>
              <w:b w:val="0"/>
            </w:rPr>
            <w:instrText xml:space="preserve"> PAGEREF _Toc143762301 \h </w:instrText>
          </w:r>
          <w:r>
            <w:rPr>
              <w:b w:val="0"/>
            </w:rPr>
            <w:fldChar w:fldCharType="separate"/>
          </w:r>
          <w:r>
            <w:rPr>
              <w:b w:val="0"/>
            </w:rPr>
            <w:t>42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"_Toc143762302" </w:instrText>
          </w:r>
          <w:r>
            <w:fldChar w:fldCharType="separate"/>
          </w:r>
          <w:r>
            <w:rPr>
              <w:rStyle w:val="142"/>
              <w:b w:val="0"/>
            </w:rPr>
            <w:t>3.1.6防渗工程</w:t>
          </w:r>
          <w:r>
            <w:rPr>
              <w:b w:val="0"/>
            </w:rPr>
            <w:tab/>
          </w:r>
          <w:r>
            <w:rPr>
              <w:b w:val="0"/>
            </w:rPr>
            <w:fldChar w:fldCharType="begin"/>
          </w:r>
          <w:r>
            <w:rPr>
              <w:b w:val="0"/>
            </w:rPr>
            <w:instrText xml:space="preserve"> PAGEREF _Toc143762302 \h </w:instrText>
          </w:r>
          <w:r>
            <w:rPr>
              <w:b w:val="0"/>
            </w:rPr>
            <w:fldChar w:fldCharType="separate"/>
          </w:r>
          <w:r>
            <w:rPr>
              <w:b w:val="0"/>
            </w:rPr>
            <w:t>43</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"_Toc143762303" </w:instrText>
          </w:r>
          <w:r>
            <w:fldChar w:fldCharType="separate"/>
          </w:r>
          <w:r>
            <w:rPr>
              <w:rStyle w:val="142"/>
              <w:b w:val="0"/>
            </w:rPr>
            <w:t>3.1.7渗滤液收集和导排系统</w:t>
          </w:r>
          <w:r>
            <w:rPr>
              <w:b w:val="0"/>
            </w:rPr>
            <w:tab/>
          </w:r>
          <w:r>
            <w:rPr>
              <w:b w:val="0"/>
            </w:rPr>
            <w:fldChar w:fldCharType="begin"/>
          </w:r>
          <w:r>
            <w:rPr>
              <w:b w:val="0"/>
            </w:rPr>
            <w:instrText xml:space="preserve"> PAGEREF _Toc143762303 \h </w:instrText>
          </w:r>
          <w:r>
            <w:rPr>
              <w:b w:val="0"/>
            </w:rPr>
            <w:fldChar w:fldCharType="separate"/>
          </w:r>
          <w:r>
            <w:rPr>
              <w:b w:val="0"/>
            </w:rPr>
            <w:t>44</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"_Toc143762304" </w:instrText>
          </w:r>
          <w:r>
            <w:fldChar w:fldCharType="separate"/>
          </w:r>
          <w:r>
            <w:rPr>
              <w:rStyle w:val="142"/>
              <w:b w:val="0"/>
            </w:rPr>
            <w:t>3.1.8填埋气导排系统</w:t>
          </w:r>
          <w:r>
            <w:rPr>
              <w:b w:val="0"/>
            </w:rPr>
            <w:tab/>
          </w:r>
          <w:r>
            <w:rPr>
              <w:b w:val="0"/>
            </w:rPr>
            <w:fldChar w:fldCharType="begin"/>
          </w:r>
          <w:r>
            <w:rPr>
              <w:b w:val="0"/>
            </w:rPr>
            <w:instrText xml:space="preserve"> PAGEREF _Toc143762304 \h </w:instrText>
          </w:r>
          <w:r>
            <w:rPr>
              <w:b w:val="0"/>
            </w:rPr>
            <w:fldChar w:fldCharType="separate"/>
          </w:r>
          <w:r>
            <w:rPr>
              <w:b w:val="0"/>
            </w:rPr>
            <w:t>45</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"_Toc143762305" </w:instrText>
          </w:r>
          <w:r>
            <w:fldChar w:fldCharType="separate"/>
          </w:r>
          <w:r>
            <w:rPr>
              <w:rStyle w:val="142"/>
              <w:b w:val="0"/>
            </w:rPr>
            <w:t>3.1.9场区排水工程</w:t>
          </w:r>
          <w:r>
            <w:rPr>
              <w:b w:val="0"/>
            </w:rPr>
            <w:tab/>
          </w:r>
          <w:r>
            <w:rPr>
              <w:b w:val="0"/>
            </w:rPr>
            <w:fldChar w:fldCharType="begin"/>
          </w:r>
          <w:r>
            <w:rPr>
              <w:b w:val="0"/>
            </w:rPr>
            <w:instrText xml:space="preserve"> PAGEREF _Toc143762305 \h </w:instrText>
          </w:r>
          <w:r>
            <w:rPr>
              <w:b w:val="0"/>
            </w:rPr>
            <w:fldChar w:fldCharType="separate"/>
          </w:r>
          <w:r>
            <w:rPr>
              <w:b w:val="0"/>
            </w:rPr>
            <w:t>46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"_Toc143762306" </w:instrText>
          </w:r>
          <w:r>
            <w:fldChar w:fldCharType="separate"/>
          </w:r>
          <w:r>
            <w:rPr>
              <w:rStyle w:val="142"/>
              <w:b w:val="0"/>
            </w:rPr>
            <w:t>3.1.10地下水导排系统</w:t>
          </w:r>
          <w:r>
            <w:rPr>
              <w:b w:val="0"/>
            </w:rPr>
            <w:tab/>
          </w:r>
          <w:r>
            <w:rPr>
              <w:b w:val="0"/>
            </w:rPr>
            <w:fldChar w:fldCharType="begin"/>
          </w:r>
          <w:r>
            <w:rPr>
              <w:b w:val="0"/>
            </w:rPr>
            <w:instrText xml:space="preserve"> PAGEREF _Toc143762306 \h </w:instrText>
          </w:r>
          <w:r>
            <w:rPr>
              <w:b w:val="0"/>
            </w:rPr>
            <w:fldChar w:fldCharType="separate"/>
          </w:r>
          <w:r>
            <w:rPr>
              <w:b w:val="0"/>
            </w:rPr>
            <w:t>46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"_Toc143762307" </w:instrText>
          </w:r>
          <w:r>
            <w:fldChar w:fldCharType="separate"/>
          </w:r>
          <w:r>
            <w:rPr>
              <w:rStyle w:val="142"/>
              <w:b w:val="0"/>
            </w:rPr>
            <w:t>3.1.11填埋场封场工程</w:t>
          </w:r>
          <w:r>
            <w:rPr>
              <w:b w:val="0"/>
            </w:rPr>
            <w:tab/>
          </w:r>
          <w:r>
            <w:rPr>
              <w:b w:val="0"/>
            </w:rPr>
            <w:fldChar w:fldCharType="begin"/>
          </w:r>
          <w:r>
            <w:rPr>
              <w:b w:val="0"/>
            </w:rPr>
            <w:instrText xml:space="preserve"> PAGEREF _Toc143762307 \h </w:instrText>
          </w:r>
          <w:r>
            <w:rPr>
              <w:b w:val="0"/>
            </w:rPr>
            <w:fldChar w:fldCharType="separate"/>
          </w:r>
          <w:r>
            <w:rPr>
              <w:b w:val="0"/>
            </w:rPr>
            <w:t>46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"_Toc143762308" </w:instrText>
          </w:r>
          <w:r>
            <w:fldChar w:fldCharType="separate"/>
          </w:r>
          <w:r>
            <w:rPr>
              <w:rStyle w:val="142"/>
              <w:b w:val="0"/>
            </w:rPr>
            <w:t>3.1.12机械设备</w:t>
          </w:r>
          <w:r>
            <w:rPr>
              <w:b w:val="0"/>
            </w:rPr>
            <w:tab/>
          </w:r>
          <w:r>
            <w:rPr>
              <w:b w:val="0"/>
            </w:rPr>
            <w:fldChar w:fldCharType="begin"/>
          </w:r>
          <w:r>
            <w:rPr>
              <w:b w:val="0"/>
            </w:rPr>
            <w:instrText xml:space="preserve"> PAGEREF _Toc143762308 \h </w:instrText>
          </w:r>
          <w:r>
            <w:rPr>
              <w:b w:val="0"/>
            </w:rPr>
            <w:fldChar w:fldCharType="separate"/>
          </w:r>
          <w:r>
            <w:rPr>
              <w:b w:val="0"/>
            </w:rPr>
            <w:t>47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"_Toc143762309" </w:instrText>
          </w:r>
          <w:r>
            <w:fldChar w:fldCharType="separate"/>
          </w:r>
          <w:r>
            <w:rPr>
              <w:rStyle w:val="142"/>
              <w:b w:val="0"/>
            </w:rPr>
            <w:t>3.1.13辅助及公用工程</w:t>
          </w:r>
          <w:r>
            <w:rPr>
              <w:b w:val="0"/>
            </w:rPr>
            <w:tab/>
          </w:r>
          <w:r>
            <w:rPr>
              <w:b w:val="0"/>
            </w:rPr>
            <w:fldChar w:fldCharType="begin"/>
          </w:r>
          <w:r>
            <w:rPr>
              <w:b w:val="0"/>
            </w:rPr>
            <w:instrText xml:space="preserve"> PAGEREF _Toc143762309 \h </w:instrText>
          </w:r>
          <w:r>
            <w:rPr>
              <w:b w:val="0"/>
            </w:rPr>
            <w:fldChar w:fldCharType="separate"/>
          </w:r>
          <w:r>
            <w:rPr>
              <w:b w:val="0"/>
            </w:rPr>
            <w:t>48</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"_Toc143762310" </w:instrText>
          </w:r>
          <w:r>
            <w:fldChar w:fldCharType="separate"/>
          </w:r>
          <w:r>
            <w:rPr>
              <w:rStyle w:val="142"/>
              <w:b w:val="0"/>
            </w:rPr>
            <w:t>3.1.14劳动定员与工作制度</w:t>
          </w:r>
          <w:r>
            <w:rPr>
              <w:b w:val="0"/>
            </w:rPr>
            <w:tab/>
          </w:r>
          <w:r>
            <w:rPr>
              <w:b w:val="0"/>
            </w:rPr>
            <w:fldChar w:fldCharType="begin"/>
          </w:r>
          <w:r>
            <w:rPr>
              <w:b w:val="0"/>
            </w:rPr>
            <w:instrText xml:space="preserve"> PAGEREF _Toc143762310 \h </w:instrText>
          </w:r>
          <w:r>
            <w:rPr>
              <w:b w:val="0"/>
            </w:rPr>
            <w:fldChar w:fldCharType="separate"/>
          </w:r>
          <w:r>
            <w:rPr>
              <w:b w:val="0"/>
            </w:rPr>
            <w:t>48</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"_Toc143762311" </w:instrText>
          </w:r>
          <w:r>
            <w:fldChar w:fldCharType="separate"/>
          </w:r>
          <w:r>
            <w:rPr>
              <w:rStyle w:val="142"/>
              <w:b w:val="0"/>
            </w:rPr>
            <w:t>3.1.15项目主要技术经济指标</w:t>
          </w:r>
          <w:r>
            <w:rPr>
              <w:b w:val="0"/>
            </w:rPr>
            <w:tab/>
          </w:r>
          <w:r>
            <w:rPr>
              <w:b w:val="0"/>
            </w:rPr>
            <w:fldChar w:fldCharType="begin"/>
          </w:r>
          <w:r>
            <w:rPr>
              <w:b w:val="0"/>
            </w:rPr>
            <w:instrText xml:space="preserve"> PAGEREF _Toc143762311 \h </w:instrText>
          </w:r>
          <w:r>
            <w:rPr>
              <w:b w:val="0"/>
            </w:rPr>
            <w:fldChar w:fldCharType="separate"/>
          </w:r>
          <w:r>
            <w:rPr>
              <w:b w:val="0"/>
            </w:rPr>
            <w:t>48</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"_Toc143762312" </w:instrText>
          </w:r>
          <w:r>
            <w:fldChar w:fldCharType="separate"/>
          </w:r>
          <w:r>
            <w:rPr>
              <w:rStyle w:val="142"/>
              <w:b w:val="0"/>
            </w:rPr>
            <w:t>3.1.16现有项目存在环境问题</w:t>
          </w:r>
          <w:r>
            <w:rPr>
              <w:b w:val="0"/>
            </w:rPr>
            <w:tab/>
          </w:r>
          <w:r>
            <w:rPr>
              <w:b w:val="0"/>
            </w:rPr>
            <w:fldChar w:fldCharType="begin"/>
          </w:r>
          <w:r>
            <w:rPr>
              <w:b w:val="0"/>
            </w:rPr>
            <w:instrText xml:space="preserve"> PAGEREF _Toc143762312 \h </w:instrText>
          </w:r>
          <w:r>
            <w:rPr>
              <w:b w:val="0"/>
            </w:rPr>
            <w:fldChar w:fldCharType="separate"/>
          </w:r>
          <w:r>
            <w:rPr>
              <w:b w:val="0"/>
            </w:rPr>
            <w:t>49</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"_Toc143762313" </w:instrText>
          </w:r>
          <w:r>
            <w:fldChar w:fldCharType="separate"/>
          </w:r>
          <w:r>
            <w:rPr>
              <w:rStyle w:val="142"/>
            </w:rPr>
            <w:t>3.2 工程分析</w:t>
          </w:r>
          <w:r>
            <w:tab/>
          </w:r>
          <w:r>
            <w:fldChar w:fldCharType="begin"/>
          </w:r>
          <w:r>
            <w:instrText xml:space="preserve"> PAGEREF _Toc143762313 \h </w:instrText>
          </w:r>
          <w:r>
            <w:fldChar w:fldCharType="separate"/>
          </w:r>
          <w:r>
            <w:t>51</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"_Toc143762314" </w:instrText>
          </w:r>
          <w:r>
            <w:fldChar w:fldCharType="separate"/>
          </w:r>
          <w:r>
            <w:rPr>
              <w:rStyle w:val="142"/>
              <w:b w:val="0"/>
            </w:rPr>
            <w:t>3.2.1工艺流程</w:t>
          </w:r>
          <w:r>
            <w:rPr>
              <w:b w:val="0"/>
            </w:rPr>
            <w:tab/>
          </w:r>
          <w:r>
            <w:rPr>
              <w:b w:val="0"/>
            </w:rPr>
            <w:fldChar w:fldCharType="begin"/>
          </w:r>
          <w:r>
            <w:rPr>
              <w:b w:val="0"/>
            </w:rPr>
            <w:instrText xml:space="preserve"> PAGEREF _Toc143762314 \h </w:instrText>
          </w:r>
          <w:r>
            <w:rPr>
              <w:b w:val="0"/>
            </w:rPr>
            <w:fldChar w:fldCharType="separate"/>
          </w:r>
          <w:r>
            <w:rPr>
              <w:b w:val="0"/>
            </w:rPr>
            <w:t>51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"_Toc143762315" </w:instrText>
          </w:r>
          <w:r>
            <w:fldChar w:fldCharType="separate"/>
          </w:r>
          <w:r>
            <w:rPr>
              <w:rStyle w:val="142"/>
              <w:b w:val="0"/>
            </w:rPr>
            <w:t>3.2.2水平衡分析</w:t>
          </w:r>
          <w:r>
            <w:rPr>
              <w:b w:val="0"/>
            </w:rPr>
            <w:tab/>
          </w:r>
          <w:r>
            <w:rPr>
              <w:b w:val="0"/>
            </w:rPr>
            <w:fldChar w:fldCharType="begin"/>
          </w:r>
          <w:r>
            <w:rPr>
              <w:b w:val="0"/>
            </w:rPr>
            <w:instrText xml:space="preserve"> PAGEREF _Toc143762315 \h </w:instrText>
          </w:r>
          <w:r>
            <w:rPr>
              <w:b w:val="0"/>
            </w:rPr>
            <w:fldChar w:fldCharType="separate"/>
          </w:r>
          <w:r>
            <w:rPr>
              <w:b w:val="0"/>
            </w:rPr>
            <w:t>54</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"_Toc143762316" </w:instrText>
          </w:r>
          <w:r>
            <w:fldChar w:fldCharType="separate"/>
          </w:r>
          <w:r>
            <w:rPr>
              <w:rStyle w:val="142"/>
              <w:b w:val="0"/>
            </w:rPr>
            <w:t>3.2.3污染物来源及治理措施</w:t>
          </w:r>
          <w:r>
            <w:rPr>
              <w:b w:val="0"/>
            </w:rPr>
            <w:tab/>
          </w:r>
          <w:r>
            <w:rPr>
              <w:b w:val="0"/>
            </w:rPr>
            <w:fldChar w:fldCharType="begin"/>
          </w:r>
          <w:r>
            <w:rPr>
              <w:b w:val="0"/>
            </w:rPr>
            <w:instrText xml:space="preserve"> PAGEREF _Toc143762316 \h </w:instrText>
          </w:r>
          <w:r>
            <w:rPr>
              <w:b w:val="0"/>
            </w:rPr>
            <w:fldChar w:fldCharType="separate"/>
          </w:r>
          <w:r>
            <w:rPr>
              <w:b w:val="0"/>
            </w:rPr>
            <w:t>56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"_Toc143762317" </w:instrText>
          </w:r>
          <w:r>
            <w:fldChar w:fldCharType="separate"/>
          </w:r>
          <w:r>
            <w:rPr>
              <w:rStyle w:val="142"/>
              <w:b w:val="0"/>
            </w:rPr>
            <w:t>3.2.4项目污染物排放分析</w:t>
          </w:r>
          <w:r>
            <w:rPr>
              <w:b w:val="0"/>
            </w:rPr>
            <w:tab/>
          </w:r>
          <w:r>
            <w:rPr>
              <w:b w:val="0"/>
            </w:rPr>
            <w:fldChar w:fldCharType="begin"/>
          </w:r>
          <w:r>
            <w:rPr>
              <w:b w:val="0"/>
            </w:rPr>
            <w:instrText xml:space="preserve"> PAGEREF _Toc143762317 \h </w:instrText>
          </w:r>
          <w:r>
            <w:rPr>
              <w:b w:val="0"/>
            </w:rPr>
            <w:fldChar w:fldCharType="separate"/>
          </w:r>
          <w:r>
            <w:rPr>
              <w:b w:val="0"/>
            </w:rPr>
            <w:t>57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"_Toc143762318" </w:instrText>
          </w:r>
          <w:r>
            <w:fldChar w:fldCharType="separate"/>
          </w:r>
          <w:r>
            <w:rPr>
              <w:rStyle w:val="142"/>
              <w:b w:val="0"/>
            </w:rPr>
            <w:t>3.2.5 封场后污染分析</w:t>
          </w:r>
          <w:r>
            <w:rPr>
              <w:b w:val="0"/>
            </w:rPr>
            <w:tab/>
          </w:r>
          <w:r>
            <w:rPr>
              <w:b w:val="0"/>
            </w:rPr>
            <w:fldChar w:fldCharType="begin"/>
          </w:r>
          <w:r>
            <w:rPr>
              <w:b w:val="0"/>
            </w:rPr>
            <w:instrText xml:space="preserve"> PAGEREF _Toc143762318 \h </w:instrText>
          </w:r>
          <w:r>
            <w:rPr>
              <w:b w:val="0"/>
            </w:rPr>
            <w:fldChar w:fldCharType="separate"/>
          </w:r>
          <w:r>
            <w:rPr>
              <w:b w:val="0"/>
            </w:rPr>
            <w:t>69</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"_Toc143762319" </w:instrText>
          </w:r>
          <w:r>
            <w:fldChar w:fldCharType="separate"/>
          </w:r>
          <w:r>
            <w:rPr>
              <w:rStyle w:val="142"/>
              <w:b w:val="0"/>
            </w:rPr>
            <w:t>3.2.6排放总量</w:t>
          </w:r>
          <w:r>
            <w:rPr>
              <w:b w:val="0"/>
            </w:rPr>
            <w:tab/>
          </w:r>
          <w:r>
            <w:rPr>
              <w:b w:val="0"/>
            </w:rPr>
            <w:fldChar w:fldCharType="begin"/>
          </w:r>
          <w:r>
            <w:rPr>
              <w:b w:val="0"/>
            </w:rPr>
            <w:instrText xml:space="preserve"> PAGEREF _Toc143762319 \h </w:instrText>
          </w:r>
          <w:r>
            <w:rPr>
              <w:b w:val="0"/>
            </w:rPr>
            <w:fldChar w:fldCharType="separate"/>
          </w:r>
          <w:r>
            <w:rPr>
              <w:b w:val="0"/>
            </w:rPr>
            <w:t>70</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"_Toc143762320" </w:instrText>
          </w:r>
          <w:r>
            <w:fldChar w:fldCharType="separate"/>
          </w:r>
          <w:r>
            <w:rPr>
              <w:rStyle w:val="142"/>
              <w:b w:val="0"/>
            </w:rPr>
            <w:t>4环境现状调查与评价</w:t>
          </w:r>
          <w:r>
            <w:rPr>
              <w:b w:val="0"/>
            </w:rPr>
            <w:tab/>
          </w:r>
          <w:r>
            <w:rPr>
              <w:b w:val="0"/>
            </w:rPr>
            <w:fldChar w:fldCharType="begin"/>
          </w:r>
          <w:r>
            <w:rPr>
              <w:b w:val="0"/>
            </w:rPr>
            <w:instrText xml:space="preserve"> PAGEREF _Toc143762320 \h </w:instrText>
          </w:r>
          <w:r>
            <w:rPr>
              <w:b w:val="0"/>
            </w:rPr>
            <w:fldChar w:fldCharType="separate"/>
          </w:r>
          <w:r>
            <w:rPr>
              <w:b w:val="0"/>
            </w:rPr>
            <w:t>71</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"_Toc143762321" </w:instrText>
          </w:r>
          <w:r>
            <w:fldChar w:fldCharType="separate"/>
          </w:r>
          <w:r>
            <w:rPr>
              <w:rStyle w:val="142"/>
            </w:rPr>
            <w:t>4.1自然环境</w:t>
          </w:r>
          <w:r>
            <w:tab/>
          </w:r>
          <w:r>
            <w:fldChar w:fldCharType="begin"/>
          </w:r>
          <w:r>
            <w:instrText xml:space="preserve"> PAGEREF _Toc143762321 \h </w:instrText>
          </w:r>
          <w:r>
            <w:fldChar w:fldCharType="separate"/>
          </w:r>
          <w:r>
            <w:t>71</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"_Toc143762322" </w:instrText>
          </w:r>
          <w:r>
            <w:fldChar w:fldCharType="separate"/>
          </w:r>
          <w:r>
            <w:rPr>
              <w:rStyle w:val="142"/>
              <w:b w:val="0"/>
            </w:rPr>
            <w:t>4.1.1地理位置</w:t>
          </w:r>
          <w:r>
            <w:rPr>
              <w:b w:val="0"/>
            </w:rPr>
            <w:tab/>
          </w:r>
          <w:r>
            <w:rPr>
              <w:b w:val="0"/>
            </w:rPr>
            <w:fldChar w:fldCharType="begin"/>
          </w:r>
          <w:r>
            <w:rPr>
              <w:b w:val="0"/>
            </w:rPr>
            <w:instrText xml:space="preserve"> PAGEREF _Toc143762322 \h </w:instrText>
          </w:r>
          <w:r>
            <w:rPr>
              <w:b w:val="0"/>
            </w:rPr>
            <w:fldChar w:fldCharType="separate"/>
          </w:r>
          <w:r>
            <w:rPr>
              <w:b w:val="0"/>
            </w:rPr>
            <w:t>71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"_Toc143762323" </w:instrText>
          </w:r>
          <w:r>
            <w:fldChar w:fldCharType="separate"/>
          </w:r>
          <w:r>
            <w:rPr>
              <w:rStyle w:val="142"/>
              <w:b w:val="0"/>
            </w:rPr>
            <w:t>4.1.2地形和地貌</w:t>
          </w:r>
          <w:r>
            <w:rPr>
              <w:b w:val="0"/>
            </w:rPr>
            <w:tab/>
          </w:r>
          <w:r>
            <w:rPr>
              <w:b w:val="0"/>
            </w:rPr>
            <w:fldChar w:fldCharType="begin"/>
          </w:r>
          <w:r>
            <w:rPr>
              <w:b w:val="0"/>
            </w:rPr>
            <w:instrText xml:space="preserve"> PAGEREF _Toc143762323 \h </w:instrText>
          </w:r>
          <w:r>
            <w:rPr>
              <w:b w:val="0"/>
            </w:rPr>
            <w:fldChar w:fldCharType="separate"/>
          </w:r>
          <w:r>
            <w:rPr>
              <w:b w:val="0"/>
            </w:rPr>
            <w:t>71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"_Toc143762324" </w:instrText>
          </w:r>
          <w:r>
            <w:fldChar w:fldCharType="separate"/>
          </w:r>
          <w:r>
            <w:rPr>
              <w:rStyle w:val="142"/>
              <w:b w:val="0"/>
            </w:rPr>
            <w:t>4.1.3气候概况</w:t>
          </w:r>
          <w:r>
            <w:rPr>
              <w:b w:val="0"/>
            </w:rPr>
            <w:tab/>
          </w:r>
          <w:r>
            <w:rPr>
              <w:b w:val="0"/>
            </w:rPr>
            <w:fldChar w:fldCharType="begin"/>
          </w:r>
          <w:r>
            <w:rPr>
              <w:b w:val="0"/>
            </w:rPr>
            <w:instrText xml:space="preserve"> PAGEREF _Toc143762324 \h </w:instrText>
          </w:r>
          <w:r>
            <w:rPr>
              <w:b w:val="0"/>
            </w:rPr>
            <w:fldChar w:fldCharType="separate"/>
          </w:r>
          <w:r>
            <w:rPr>
              <w:b w:val="0"/>
            </w:rPr>
            <w:t>72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"_Toc143762325" </w:instrText>
          </w:r>
          <w:r>
            <w:fldChar w:fldCharType="separate"/>
          </w:r>
          <w:r>
            <w:rPr>
              <w:rStyle w:val="142"/>
              <w:b w:val="0"/>
            </w:rPr>
            <w:t>4.1.4动植物及土壤</w:t>
          </w:r>
          <w:r>
            <w:rPr>
              <w:b w:val="0"/>
            </w:rPr>
            <w:tab/>
          </w:r>
          <w:r>
            <w:rPr>
              <w:b w:val="0"/>
            </w:rPr>
            <w:fldChar w:fldCharType="begin"/>
          </w:r>
          <w:r>
            <w:rPr>
              <w:b w:val="0"/>
            </w:rPr>
            <w:instrText xml:space="preserve"> PAGEREF _Toc143762325 \h </w:instrText>
          </w:r>
          <w:r>
            <w:rPr>
              <w:b w:val="0"/>
            </w:rPr>
            <w:fldChar w:fldCharType="separate"/>
          </w:r>
          <w:r>
            <w:rPr>
              <w:b w:val="0"/>
            </w:rPr>
            <w:t>72</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"_Toc143762326" </w:instrText>
          </w:r>
          <w:r>
            <w:fldChar w:fldCharType="separate"/>
          </w:r>
          <w:r>
            <w:rPr>
              <w:rStyle w:val="142"/>
            </w:rPr>
            <w:t>4.2环境质量现状评价</w:t>
          </w:r>
          <w:r>
            <w:tab/>
          </w:r>
          <w:r>
            <w:fldChar w:fldCharType="begin"/>
          </w:r>
          <w:r>
            <w:instrText xml:space="preserve"> PAGEREF _Toc143762326 \h </w:instrText>
          </w:r>
          <w:r>
            <w:fldChar w:fldCharType="separate"/>
          </w:r>
          <w:r>
            <w:t>73</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"_Toc143762327" </w:instrText>
          </w:r>
          <w:r>
            <w:fldChar w:fldCharType="separate"/>
          </w:r>
          <w:r>
            <w:rPr>
              <w:rStyle w:val="142"/>
              <w:b w:val="0"/>
            </w:rPr>
            <w:t>4.2.1大气环境现状监测与评价</w:t>
          </w:r>
          <w:r>
            <w:rPr>
              <w:b w:val="0"/>
            </w:rPr>
            <w:tab/>
          </w:r>
          <w:r>
            <w:rPr>
              <w:b w:val="0"/>
            </w:rPr>
            <w:fldChar w:fldCharType="begin"/>
          </w:r>
          <w:r>
            <w:rPr>
              <w:b w:val="0"/>
            </w:rPr>
            <w:instrText xml:space="preserve"> PAGEREF _Toc143762327 \h </w:instrText>
          </w:r>
          <w:r>
            <w:rPr>
              <w:b w:val="0"/>
            </w:rPr>
            <w:fldChar w:fldCharType="separate"/>
          </w:r>
          <w:r>
            <w:rPr>
              <w:b w:val="0"/>
            </w:rPr>
            <w:t>73</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"_Toc143762328" </w:instrText>
          </w:r>
          <w:r>
            <w:fldChar w:fldCharType="separate"/>
          </w:r>
          <w:r>
            <w:rPr>
              <w:rStyle w:val="142"/>
              <w:b w:val="0"/>
            </w:rPr>
            <w:t>4.2.2地下水环境质量现状调查及评价</w:t>
          </w:r>
          <w:r>
            <w:rPr>
              <w:b w:val="0"/>
            </w:rPr>
            <w:tab/>
          </w:r>
          <w:r>
            <w:rPr>
              <w:b w:val="0"/>
            </w:rPr>
            <w:fldChar w:fldCharType="begin"/>
          </w:r>
          <w:r>
            <w:rPr>
              <w:b w:val="0"/>
            </w:rPr>
            <w:instrText xml:space="preserve"> PAGEREF _Toc143762328 \h </w:instrText>
          </w:r>
          <w:r>
            <w:rPr>
              <w:b w:val="0"/>
            </w:rPr>
            <w:fldChar w:fldCharType="separate"/>
          </w:r>
          <w:r>
            <w:rPr>
              <w:b w:val="0"/>
            </w:rPr>
            <w:t>75</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"_Toc143762329" </w:instrText>
          </w:r>
          <w:r>
            <w:fldChar w:fldCharType="separate"/>
          </w:r>
          <w:r>
            <w:rPr>
              <w:rStyle w:val="142"/>
              <w:b w:val="0"/>
            </w:rPr>
            <w:t>4.2.3土壤环境质量现状调查及评价</w:t>
          </w:r>
          <w:r>
            <w:rPr>
              <w:b w:val="0"/>
            </w:rPr>
            <w:tab/>
          </w:r>
          <w:r>
            <w:rPr>
              <w:b w:val="0"/>
            </w:rPr>
            <w:fldChar w:fldCharType="begin"/>
          </w:r>
          <w:r>
            <w:rPr>
              <w:b w:val="0"/>
            </w:rPr>
            <w:instrText xml:space="preserve"> PAGEREF _Toc143762329 \h </w:instrText>
          </w:r>
          <w:r>
            <w:rPr>
              <w:b w:val="0"/>
            </w:rPr>
            <w:fldChar w:fldCharType="separate"/>
          </w:r>
          <w:r>
            <w:rPr>
              <w:b w:val="0"/>
            </w:rPr>
            <w:t>85</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"_Toc143762330" </w:instrText>
          </w:r>
          <w:r>
            <w:fldChar w:fldCharType="separate"/>
          </w:r>
          <w:r>
            <w:rPr>
              <w:rStyle w:val="142"/>
              <w:b w:val="0"/>
            </w:rPr>
            <w:t>4.2.4声环境质量现状调查及评价</w:t>
          </w:r>
          <w:r>
            <w:rPr>
              <w:b w:val="0"/>
            </w:rPr>
            <w:tab/>
          </w:r>
          <w:r>
            <w:rPr>
              <w:b w:val="0"/>
            </w:rPr>
            <w:fldChar w:fldCharType="begin"/>
          </w:r>
          <w:r>
            <w:rPr>
              <w:b w:val="0"/>
            </w:rPr>
            <w:instrText xml:space="preserve"> PAGEREF _Toc143762330 \h </w:instrText>
          </w:r>
          <w:r>
            <w:rPr>
              <w:b w:val="0"/>
            </w:rPr>
            <w:fldChar w:fldCharType="separate"/>
          </w:r>
          <w:r>
            <w:rPr>
              <w:b w:val="0"/>
            </w:rPr>
            <w:t>92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"_Toc143762331" </w:instrText>
          </w:r>
          <w:r>
            <w:fldChar w:fldCharType="separate"/>
          </w:r>
          <w:r>
            <w:rPr>
              <w:rStyle w:val="142"/>
              <w:b w:val="0"/>
            </w:rPr>
            <w:t>4.2.5生态环境质量现状调查及评价</w:t>
          </w:r>
          <w:r>
            <w:rPr>
              <w:b w:val="0"/>
            </w:rPr>
            <w:tab/>
          </w:r>
          <w:r>
            <w:rPr>
              <w:b w:val="0"/>
            </w:rPr>
            <w:fldChar w:fldCharType="begin"/>
          </w:r>
          <w:r>
            <w:rPr>
              <w:b w:val="0"/>
            </w:rPr>
            <w:instrText xml:space="preserve"> PAGEREF _Toc143762331 \h </w:instrText>
          </w:r>
          <w:r>
            <w:rPr>
              <w:b w:val="0"/>
            </w:rPr>
            <w:fldChar w:fldCharType="separate"/>
          </w:r>
          <w:r>
            <w:rPr>
              <w:b w:val="0"/>
            </w:rPr>
            <w:t>93</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"_Toc143762332" </w:instrText>
          </w:r>
          <w:r>
            <w:fldChar w:fldCharType="separate"/>
          </w:r>
          <w:r>
            <w:rPr>
              <w:rStyle w:val="142"/>
              <w:b w:val="0"/>
            </w:rPr>
            <w:t>5施工期环境影响回顾性分析</w:t>
          </w:r>
          <w:r>
            <w:rPr>
              <w:b w:val="0"/>
            </w:rPr>
            <w:tab/>
          </w:r>
          <w:r>
            <w:rPr>
              <w:b w:val="0"/>
            </w:rPr>
            <w:fldChar w:fldCharType="begin"/>
          </w:r>
          <w:r>
            <w:rPr>
              <w:b w:val="0"/>
            </w:rPr>
            <w:instrText xml:space="preserve"> PAGEREF _Toc143762332 \h </w:instrText>
          </w:r>
          <w:r>
            <w:rPr>
              <w:b w:val="0"/>
            </w:rPr>
            <w:fldChar w:fldCharType="separate"/>
          </w:r>
          <w:r>
            <w:rPr>
              <w:b w:val="0"/>
            </w:rPr>
            <w:t>100</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"_Toc143762333" </w:instrText>
          </w:r>
          <w:r>
            <w:fldChar w:fldCharType="separate"/>
          </w:r>
          <w:r>
            <w:rPr>
              <w:rStyle w:val="142"/>
              <w:b w:val="0"/>
            </w:rPr>
            <w:t>6运营期环境影响预测与分析</w:t>
          </w:r>
          <w:r>
            <w:rPr>
              <w:b w:val="0"/>
            </w:rPr>
            <w:tab/>
          </w:r>
          <w:r>
            <w:rPr>
              <w:b w:val="0"/>
            </w:rPr>
            <w:fldChar w:fldCharType="begin"/>
          </w:r>
          <w:r>
            <w:rPr>
              <w:b w:val="0"/>
            </w:rPr>
            <w:instrText xml:space="preserve"> PAGEREF _Toc143762333 \h </w:instrText>
          </w:r>
          <w:r>
            <w:rPr>
              <w:b w:val="0"/>
            </w:rPr>
            <w:fldChar w:fldCharType="separate"/>
          </w:r>
          <w:r>
            <w:rPr>
              <w:b w:val="0"/>
            </w:rPr>
            <w:t>101</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"_Toc143762334" </w:instrText>
          </w:r>
          <w:r>
            <w:fldChar w:fldCharType="separate"/>
          </w:r>
          <w:r>
            <w:rPr>
              <w:rStyle w:val="142"/>
            </w:rPr>
            <w:t>6.1运营期环境空气影响预测与评价</w:t>
          </w:r>
          <w:r>
            <w:tab/>
          </w:r>
          <w:r>
            <w:fldChar w:fldCharType="begin"/>
          </w:r>
          <w:r>
            <w:instrText xml:space="preserve"> PAGEREF _Toc143762334 \h </w:instrText>
          </w:r>
          <w:r>
            <w:fldChar w:fldCharType="separate"/>
          </w:r>
          <w:r>
            <w:t>101</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"_Toc143762335" </w:instrText>
          </w:r>
          <w:r>
            <w:fldChar w:fldCharType="separate"/>
          </w:r>
          <w:r>
            <w:rPr>
              <w:rStyle w:val="142"/>
              <w:b w:val="0"/>
            </w:rPr>
            <w:t>6.1.1大气环境影响回顾性分析</w:t>
          </w:r>
          <w:r>
            <w:rPr>
              <w:b w:val="0"/>
            </w:rPr>
            <w:tab/>
          </w:r>
          <w:r>
            <w:rPr>
              <w:b w:val="0"/>
            </w:rPr>
            <w:fldChar w:fldCharType="begin"/>
          </w:r>
          <w:r>
            <w:rPr>
              <w:b w:val="0"/>
            </w:rPr>
            <w:instrText xml:space="preserve"> PAGEREF _Toc143762335 \h </w:instrText>
          </w:r>
          <w:r>
            <w:rPr>
              <w:b w:val="0"/>
            </w:rPr>
            <w:fldChar w:fldCharType="separate"/>
          </w:r>
          <w:r>
            <w:rPr>
              <w:b w:val="0"/>
            </w:rPr>
            <w:t>101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"_Toc143762336" </w:instrText>
          </w:r>
          <w:r>
            <w:fldChar w:fldCharType="separate"/>
          </w:r>
          <w:r>
            <w:rPr>
              <w:rStyle w:val="142"/>
              <w:b w:val="0"/>
            </w:rPr>
            <w:t>6.1.2大气环境影响预测与分析</w:t>
          </w:r>
          <w:r>
            <w:rPr>
              <w:b w:val="0"/>
            </w:rPr>
            <w:tab/>
          </w:r>
          <w:r>
            <w:rPr>
              <w:b w:val="0"/>
            </w:rPr>
            <w:fldChar w:fldCharType="begin"/>
          </w:r>
          <w:r>
            <w:rPr>
              <w:b w:val="0"/>
            </w:rPr>
            <w:instrText xml:space="preserve"> PAGEREF _Toc143762336 \h </w:instrText>
          </w:r>
          <w:r>
            <w:rPr>
              <w:b w:val="0"/>
            </w:rPr>
            <w:fldChar w:fldCharType="separate"/>
          </w:r>
          <w:r>
            <w:rPr>
              <w:b w:val="0"/>
            </w:rPr>
            <w:t>102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"_Toc143762337" </w:instrText>
          </w:r>
          <w:r>
            <w:fldChar w:fldCharType="separate"/>
          </w:r>
          <w:r>
            <w:rPr>
              <w:rStyle w:val="142"/>
              <w:b w:val="0"/>
            </w:rPr>
            <w:t>6.1.2.1常规气象资料</w:t>
          </w:r>
          <w:r>
            <w:rPr>
              <w:b w:val="0"/>
            </w:rPr>
            <w:tab/>
          </w:r>
          <w:r>
            <w:rPr>
              <w:b w:val="0"/>
            </w:rPr>
            <w:fldChar w:fldCharType="begin"/>
          </w:r>
          <w:r>
            <w:rPr>
              <w:b w:val="0"/>
            </w:rPr>
            <w:instrText xml:space="preserve"> PAGEREF _Toc143762337 \h </w:instrText>
          </w:r>
          <w:r>
            <w:rPr>
              <w:b w:val="0"/>
            </w:rPr>
            <w:fldChar w:fldCharType="separate"/>
          </w:r>
          <w:r>
            <w:rPr>
              <w:b w:val="0"/>
            </w:rPr>
            <w:t>102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"_Toc143762338" </w:instrText>
          </w:r>
          <w:r>
            <w:fldChar w:fldCharType="separate"/>
          </w:r>
          <w:r>
            <w:rPr>
              <w:rStyle w:val="142"/>
              <w:b w:val="0"/>
            </w:rPr>
            <w:t>6.1.2.2大气环境影响预测与分析</w:t>
          </w:r>
          <w:r>
            <w:rPr>
              <w:b w:val="0"/>
            </w:rPr>
            <w:tab/>
          </w:r>
          <w:r>
            <w:rPr>
              <w:b w:val="0"/>
            </w:rPr>
            <w:fldChar w:fldCharType="begin"/>
          </w:r>
          <w:r>
            <w:rPr>
              <w:b w:val="0"/>
            </w:rPr>
            <w:instrText xml:space="preserve"> PAGEREF _Toc143762338 \h </w:instrText>
          </w:r>
          <w:r>
            <w:rPr>
              <w:b w:val="0"/>
            </w:rPr>
            <w:fldChar w:fldCharType="separate"/>
          </w:r>
          <w:r>
            <w:rPr>
              <w:b w:val="0"/>
            </w:rPr>
            <w:t>104</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"_Toc143762339" </w:instrText>
          </w:r>
          <w:r>
            <w:fldChar w:fldCharType="separate"/>
          </w:r>
          <w:r>
            <w:rPr>
              <w:rStyle w:val="142"/>
              <w:b w:val="0"/>
            </w:rPr>
            <w:t>6.1.3 大气环境防护距离</w:t>
          </w:r>
          <w:r>
            <w:rPr>
              <w:b w:val="0"/>
            </w:rPr>
            <w:tab/>
          </w:r>
          <w:r>
            <w:rPr>
              <w:b w:val="0"/>
            </w:rPr>
            <w:fldChar w:fldCharType="begin"/>
          </w:r>
          <w:r>
            <w:rPr>
              <w:b w:val="0"/>
            </w:rPr>
            <w:instrText xml:space="preserve"> PAGEREF _Toc143762339 \h </w:instrText>
          </w:r>
          <w:r>
            <w:rPr>
              <w:b w:val="0"/>
            </w:rPr>
            <w:fldChar w:fldCharType="separate"/>
          </w:r>
          <w:r>
            <w:rPr>
              <w:b w:val="0"/>
            </w:rPr>
            <w:t>107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"_Toc143762340" </w:instrText>
          </w:r>
          <w:r>
            <w:fldChar w:fldCharType="separate"/>
          </w:r>
          <w:r>
            <w:rPr>
              <w:rStyle w:val="142"/>
              <w:b w:val="0"/>
            </w:rPr>
            <w:t>6.1.4 卫生防护距离</w:t>
          </w:r>
          <w:r>
            <w:rPr>
              <w:b w:val="0"/>
            </w:rPr>
            <w:tab/>
          </w:r>
          <w:r>
            <w:rPr>
              <w:b w:val="0"/>
            </w:rPr>
            <w:fldChar w:fldCharType="begin"/>
          </w:r>
          <w:r>
            <w:rPr>
              <w:b w:val="0"/>
            </w:rPr>
            <w:instrText xml:space="preserve"> PAGEREF _Toc143762340 \h </w:instrText>
          </w:r>
          <w:r>
            <w:rPr>
              <w:b w:val="0"/>
            </w:rPr>
            <w:fldChar w:fldCharType="separate"/>
          </w:r>
          <w:r>
            <w:rPr>
              <w:b w:val="0"/>
            </w:rPr>
            <w:t>107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"_Toc143762341" </w:instrText>
          </w:r>
          <w:r>
            <w:fldChar w:fldCharType="separate"/>
          </w:r>
          <w:r>
            <w:rPr>
              <w:rStyle w:val="142"/>
              <w:b w:val="0"/>
            </w:rPr>
            <w:t>6.1.5 大气环境影响自查表</w:t>
          </w:r>
          <w:r>
            <w:rPr>
              <w:b w:val="0"/>
            </w:rPr>
            <w:tab/>
          </w:r>
          <w:r>
            <w:rPr>
              <w:b w:val="0"/>
            </w:rPr>
            <w:fldChar w:fldCharType="begin"/>
          </w:r>
          <w:r>
            <w:rPr>
              <w:b w:val="0"/>
            </w:rPr>
            <w:instrText xml:space="preserve"> PAGEREF _Toc143762341 \h </w:instrText>
          </w:r>
          <w:r>
            <w:rPr>
              <w:b w:val="0"/>
            </w:rPr>
            <w:fldChar w:fldCharType="separate"/>
          </w:r>
          <w:r>
            <w:rPr>
              <w:b w:val="0"/>
            </w:rPr>
            <w:t>107</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"_Toc143762342" </w:instrText>
          </w:r>
          <w:r>
            <w:fldChar w:fldCharType="separate"/>
          </w:r>
          <w:r>
            <w:rPr>
              <w:rStyle w:val="142"/>
            </w:rPr>
            <w:t>6.2运营期地下水环境影响预测与评价</w:t>
          </w:r>
          <w:r>
            <w:tab/>
          </w:r>
          <w:r>
            <w:fldChar w:fldCharType="begin"/>
          </w:r>
          <w:r>
            <w:instrText xml:space="preserve"> PAGEREF _Toc143762342 \h </w:instrText>
          </w:r>
          <w:r>
            <w:fldChar w:fldCharType="separate"/>
          </w:r>
          <w:r>
            <w:t>109</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"_Toc143762343" </w:instrText>
          </w:r>
          <w:r>
            <w:fldChar w:fldCharType="separate"/>
          </w:r>
          <w:r>
            <w:rPr>
              <w:rStyle w:val="142"/>
              <w:b w:val="0"/>
            </w:rPr>
            <w:t>6.2.1环境水文地质条件</w:t>
          </w:r>
          <w:r>
            <w:rPr>
              <w:b w:val="0"/>
            </w:rPr>
            <w:tab/>
          </w:r>
          <w:r>
            <w:rPr>
              <w:b w:val="0"/>
            </w:rPr>
            <w:fldChar w:fldCharType="begin"/>
          </w:r>
          <w:r>
            <w:rPr>
              <w:b w:val="0"/>
            </w:rPr>
            <w:instrText xml:space="preserve"> PAGEREF _Toc143762343 \h </w:instrText>
          </w:r>
          <w:r>
            <w:rPr>
              <w:b w:val="0"/>
            </w:rPr>
            <w:fldChar w:fldCharType="separate"/>
          </w:r>
          <w:r>
            <w:rPr>
              <w:b w:val="0"/>
            </w:rPr>
            <w:t>109</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"_Toc143762344" </w:instrText>
          </w:r>
          <w:r>
            <w:fldChar w:fldCharType="separate"/>
          </w:r>
          <w:r>
            <w:rPr>
              <w:rStyle w:val="142"/>
              <w:b w:val="0"/>
            </w:rPr>
            <w:t>6.2.2地下水环境影响预测</w:t>
          </w:r>
          <w:r>
            <w:rPr>
              <w:b w:val="0"/>
            </w:rPr>
            <w:tab/>
          </w:r>
          <w:r>
            <w:rPr>
              <w:b w:val="0"/>
            </w:rPr>
            <w:fldChar w:fldCharType="begin"/>
          </w:r>
          <w:r>
            <w:rPr>
              <w:b w:val="0"/>
            </w:rPr>
            <w:instrText xml:space="preserve"> PAGEREF _Toc143762344 \h </w:instrText>
          </w:r>
          <w:r>
            <w:rPr>
              <w:b w:val="0"/>
            </w:rPr>
            <w:fldChar w:fldCharType="separate"/>
          </w:r>
          <w:r>
            <w:rPr>
              <w:b w:val="0"/>
            </w:rPr>
            <w:t>120</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"_Toc143762345" </w:instrText>
          </w:r>
          <w:r>
            <w:fldChar w:fldCharType="separate"/>
          </w:r>
          <w:r>
            <w:rPr>
              <w:rStyle w:val="142"/>
              <w:b w:val="0"/>
            </w:rPr>
            <w:t>6.2.3地下水环境影响回顾性分析</w:t>
          </w:r>
          <w:r>
            <w:rPr>
              <w:b w:val="0"/>
            </w:rPr>
            <w:tab/>
          </w:r>
          <w:r>
            <w:rPr>
              <w:b w:val="0"/>
            </w:rPr>
            <w:fldChar w:fldCharType="begin"/>
          </w:r>
          <w:r>
            <w:rPr>
              <w:b w:val="0"/>
            </w:rPr>
            <w:instrText xml:space="preserve"> PAGEREF _Toc143762345 \h </w:instrText>
          </w:r>
          <w:r>
            <w:rPr>
              <w:b w:val="0"/>
            </w:rPr>
            <w:fldChar w:fldCharType="separate"/>
          </w:r>
          <w:r>
            <w:rPr>
              <w:b w:val="0"/>
            </w:rPr>
            <w:t>141</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"_Toc143762346" </w:instrText>
          </w:r>
          <w:r>
            <w:fldChar w:fldCharType="separate"/>
          </w:r>
          <w:r>
            <w:rPr>
              <w:rStyle w:val="142"/>
            </w:rPr>
            <w:t>6.3运营期噪声环境影响分析</w:t>
          </w:r>
          <w:r>
            <w:tab/>
          </w:r>
          <w:r>
            <w:fldChar w:fldCharType="begin"/>
          </w:r>
          <w:r>
            <w:instrText xml:space="preserve"> PAGEREF _Toc143762346 \h </w:instrText>
          </w:r>
          <w:r>
            <w:fldChar w:fldCharType="separate"/>
          </w:r>
          <w:r>
            <w:t>144</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"_Toc143762347" </w:instrText>
          </w:r>
          <w:r>
            <w:fldChar w:fldCharType="separate"/>
          </w:r>
          <w:r>
            <w:rPr>
              <w:rStyle w:val="142"/>
              <w:b w:val="0"/>
            </w:rPr>
            <w:t>6.3.1声环境影响回顾性分析</w:t>
          </w:r>
          <w:r>
            <w:rPr>
              <w:b w:val="0"/>
            </w:rPr>
            <w:tab/>
          </w:r>
          <w:r>
            <w:rPr>
              <w:b w:val="0"/>
            </w:rPr>
            <w:fldChar w:fldCharType="begin"/>
          </w:r>
          <w:r>
            <w:rPr>
              <w:b w:val="0"/>
            </w:rPr>
            <w:instrText xml:space="preserve"> PAGEREF _Toc143762347 \h </w:instrText>
          </w:r>
          <w:r>
            <w:rPr>
              <w:b w:val="0"/>
            </w:rPr>
            <w:fldChar w:fldCharType="separate"/>
          </w:r>
          <w:r>
            <w:rPr>
              <w:b w:val="0"/>
            </w:rPr>
            <w:t>144</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"_Toc143762348" </w:instrText>
          </w:r>
          <w:r>
            <w:fldChar w:fldCharType="separate"/>
          </w:r>
          <w:r>
            <w:rPr>
              <w:rStyle w:val="142"/>
              <w:b w:val="0"/>
            </w:rPr>
            <w:t>6.3.2声环境影响预测</w:t>
          </w:r>
          <w:r>
            <w:rPr>
              <w:b w:val="0"/>
            </w:rPr>
            <w:tab/>
          </w:r>
          <w:r>
            <w:rPr>
              <w:b w:val="0"/>
            </w:rPr>
            <w:fldChar w:fldCharType="begin"/>
          </w:r>
          <w:r>
            <w:rPr>
              <w:b w:val="0"/>
            </w:rPr>
            <w:instrText xml:space="preserve"> PAGEREF _Toc143762348 \h </w:instrText>
          </w:r>
          <w:r>
            <w:rPr>
              <w:b w:val="0"/>
            </w:rPr>
            <w:fldChar w:fldCharType="separate"/>
          </w:r>
          <w:r>
            <w:rPr>
              <w:b w:val="0"/>
            </w:rPr>
            <w:t>144</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"_Toc143762349" </w:instrText>
          </w:r>
          <w:r>
            <w:fldChar w:fldCharType="separate"/>
          </w:r>
          <w:r>
            <w:rPr>
              <w:rStyle w:val="142"/>
              <w:b w:val="0"/>
            </w:rPr>
            <w:t>6.3.3</w:t>
          </w:r>
          <w:r>
            <w:rPr>
              <w:rStyle w:val="142"/>
              <w:rFonts w:ascii="宋体" w:hAnsi="宋体"/>
              <w:b w:val="0"/>
            </w:rPr>
            <w:t>声环境影响评价自查表</w:t>
          </w:r>
          <w:r>
            <w:rPr>
              <w:b w:val="0"/>
            </w:rPr>
            <w:tab/>
          </w:r>
          <w:r>
            <w:rPr>
              <w:b w:val="0"/>
            </w:rPr>
            <w:fldChar w:fldCharType="begin"/>
          </w:r>
          <w:r>
            <w:rPr>
              <w:b w:val="0"/>
            </w:rPr>
            <w:instrText xml:space="preserve"> PAGEREF _Toc143762349 \h </w:instrText>
          </w:r>
          <w:r>
            <w:rPr>
              <w:b w:val="0"/>
            </w:rPr>
            <w:fldChar w:fldCharType="separate"/>
          </w:r>
          <w:r>
            <w:rPr>
              <w:b w:val="0"/>
            </w:rPr>
            <w:t>146</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"_Toc143762350" </w:instrText>
          </w:r>
          <w:r>
            <w:fldChar w:fldCharType="separate"/>
          </w:r>
          <w:r>
            <w:rPr>
              <w:rStyle w:val="142"/>
            </w:rPr>
            <w:t>6.4运行期固废影响分析</w:t>
          </w:r>
          <w:r>
            <w:tab/>
          </w:r>
          <w:r>
            <w:fldChar w:fldCharType="begin"/>
          </w:r>
          <w:r>
            <w:instrText xml:space="preserve"> PAGEREF _Toc143762350 \h </w:instrText>
          </w:r>
          <w:r>
            <w:fldChar w:fldCharType="separate"/>
          </w:r>
          <w:r>
            <w:t>147</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"_Toc143762351" </w:instrText>
          </w:r>
          <w:r>
            <w:fldChar w:fldCharType="separate"/>
          </w:r>
          <w:r>
            <w:rPr>
              <w:rStyle w:val="142"/>
            </w:rPr>
            <w:t>6.5运行期土壤环境影响预测分析</w:t>
          </w:r>
          <w:r>
            <w:tab/>
          </w:r>
          <w:r>
            <w:fldChar w:fldCharType="begin"/>
          </w:r>
          <w:r>
            <w:instrText xml:space="preserve"> PAGEREF _Toc143762351 \h </w:instrText>
          </w:r>
          <w:r>
            <w:fldChar w:fldCharType="separate"/>
          </w:r>
          <w:r>
            <w:t>147</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"_Toc143762352" </w:instrText>
          </w:r>
          <w:r>
            <w:fldChar w:fldCharType="separate"/>
          </w:r>
          <w:r>
            <w:rPr>
              <w:rStyle w:val="142"/>
              <w:b w:val="0"/>
            </w:rPr>
            <w:t>6.5.1土壤环境影响类型与影响途径</w:t>
          </w:r>
          <w:r>
            <w:rPr>
              <w:b w:val="0"/>
            </w:rPr>
            <w:tab/>
          </w:r>
          <w:r>
            <w:rPr>
              <w:b w:val="0"/>
            </w:rPr>
            <w:fldChar w:fldCharType="begin"/>
          </w:r>
          <w:r>
            <w:rPr>
              <w:b w:val="0"/>
            </w:rPr>
            <w:instrText xml:space="preserve"> PAGEREF _Toc143762352 \h </w:instrText>
          </w:r>
          <w:r>
            <w:rPr>
              <w:b w:val="0"/>
            </w:rPr>
            <w:fldChar w:fldCharType="separate"/>
          </w:r>
          <w:r>
            <w:rPr>
              <w:b w:val="0"/>
            </w:rPr>
            <w:t>147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"_Toc143762353" </w:instrText>
          </w:r>
          <w:r>
            <w:fldChar w:fldCharType="separate"/>
          </w:r>
          <w:r>
            <w:rPr>
              <w:rStyle w:val="142"/>
              <w:b w:val="0"/>
            </w:rPr>
            <w:t>6.5.2土壤环境影响识别</w:t>
          </w:r>
          <w:r>
            <w:rPr>
              <w:b w:val="0"/>
            </w:rPr>
            <w:tab/>
          </w:r>
          <w:r>
            <w:rPr>
              <w:b w:val="0"/>
            </w:rPr>
            <w:fldChar w:fldCharType="begin"/>
          </w:r>
          <w:r>
            <w:rPr>
              <w:b w:val="0"/>
            </w:rPr>
            <w:instrText xml:space="preserve"> PAGEREF _Toc143762353 \h </w:instrText>
          </w:r>
          <w:r>
            <w:rPr>
              <w:b w:val="0"/>
            </w:rPr>
            <w:fldChar w:fldCharType="separate"/>
          </w:r>
          <w:r>
            <w:rPr>
              <w:b w:val="0"/>
            </w:rPr>
            <w:t>148</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"_Toc143762354" </w:instrText>
          </w:r>
          <w:r>
            <w:fldChar w:fldCharType="separate"/>
          </w:r>
          <w:r>
            <w:rPr>
              <w:rStyle w:val="142"/>
              <w:b w:val="0"/>
            </w:rPr>
            <w:t>6.5.3土壤影响预测与评价</w:t>
          </w:r>
          <w:r>
            <w:rPr>
              <w:b w:val="0"/>
            </w:rPr>
            <w:tab/>
          </w:r>
          <w:r>
            <w:rPr>
              <w:b w:val="0"/>
            </w:rPr>
            <w:fldChar w:fldCharType="begin"/>
          </w:r>
          <w:r>
            <w:rPr>
              <w:b w:val="0"/>
            </w:rPr>
            <w:instrText xml:space="preserve"> PAGEREF _Toc143762354 \h </w:instrText>
          </w:r>
          <w:r>
            <w:rPr>
              <w:b w:val="0"/>
            </w:rPr>
            <w:fldChar w:fldCharType="separate"/>
          </w:r>
          <w:r>
            <w:rPr>
              <w:b w:val="0"/>
            </w:rPr>
            <w:t>148</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"_Toc143762355" </w:instrText>
          </w:r>
          <w:r>
            <w:fldChar w:fldCharType="separate"/>
          </w:r>
          <w:r>
            <w:rPr>
              <w:rStyle w:val="142"/>
              <w:b w:val="0"/>
            </w:rPr>
            <w:t>6.5.4 土壤环境影响评价自查表</w:t>
          </w:r>
          <w:r>
            <w:rPr>
              <w:b w:val="0"/>
            </w:rPr>
            <w:tab/>
          </w:r>
          <w:r>
            <w:rPr>
              <w:b w:val="0"/>
            </w:rPr>
            <w:fldChar w:fldCharType="begin"/>
          </w:r>
          <w:r>
            <w:rPr>
              <w:b w:val="0"/>
            </w:rPr>
            <w:instrText xml:space="preserve"> PAGEREF _Toc143762355 \h </w:instrText>
          </w:r>
          <w:r>
            <w:rPr>
              <w:b w:val="0"/>
            </w:rPr>
            <w:fldChar w:fldCharType="separate"/>
          </w:r>
          <w:r>
            <w:rPr>
              <w:b w:val="0"/>
            </w:rPr>
            <w:t>150</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"_Toc143762356" </w:instrText>
          </w:r>
          <w:r>
            <w:fldChar w:fldCharType="separate"/>
          </w:r>
          <w:r>
            <w:rPr>
              <w:rStyle w:val="142"/>
            </w:rPr>
            <w:t>6.6生态环境影响分析</w:t>
          </w:r>
          <w:r>
            <w:tab/>
          </w:r>
          <w:r>
            <w:fldChar w:fldCharType="begin"/>
          </w:r>
          <w:r>
            <w:instrText xml:space="preserve"> PAGEREF _Toc143762356 \h </w:instrText>
          </w:r>
          <w:r>
            <w:fldChar w:fldCharType="separate"/>
          </w:r>
          <w:r>
            <w:t>151</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"_Toc143762357" </w:instrText>
          </w:r>
          <w:r>
            <w:fldChar w:fldCharType="separate"/>
          </w:r>
          <w:r>
            <w:rPr>
              <w:rStyle w:val="142"/>
            </w:rPr>
            <w:t>6.7封场后环境影响分析</w:t>
          </w:r>
          <w:r>
            <w:tab/>
          </w:r>
          <w:r>
            <w:fldChar w:fldCharType="begin"/>
          </w:r>
          <w:r>
            <w:instrText xml:space="preserve"> PAGEREF _Toc143762357 \h </w:instrText>
          </w:r>
          <w:r>
            <w:fldChar w:fldCharType="separate"/>
          </w:r>
          <w:r>
            <w:t>154</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"_Toc143762358" </w:instrText>
          </w:r>
          <w:r>
            <w:fldChar w:fldCharType="separate"/>
          </w:r>
          <w:r>
            <w:rPr>
              <w:rStyle w:val="142"/>
              <w:b w:val="0"/>
            </w:rPr>
            <w:t>6.7.1封场后垃圾渗滤液影响分析</w:t>
          </w:r>
          <w:r>
            <w:rPr>
              <w:b w:val="0"/>
            </w:rPr>
            <w:tab/>
          </w:r>
          <w:r>
            <w:rPr>
              <w:b w:val="0"/>
            </w:rPr>
            <w:fldChar w:fldCharType="begin"/>
          </w:r>
          <w:r>
            <w:rPr>
              <w:b w:val="0"/>
            </w:rPr>
            <w:instrText xml:space="preserve"> PAGEREF _Toc143762358 \h </w:instrText>
          </w:r>
          <w:r>
            <w:rPr>
              <w:b w:val="0"/>
            </w:rPr>
            <w:fldChar w:fldCharType="separate"/>
          </w:r>
          <w:r>
            <w:rPr>
              <w:b w:val="0"/>
            </w:rPr>
            <w:t>154</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"_Toc143762359" </w:instrText>
          </w:r>
          <w:r>
            <w:fldChar w:fldCharType="separate"/>
          </w:r>
          <w:r>
            <w:rPr>
              <w:rStyle w:val="142"/>
              <w:b w:val="0"/>
            </w:rPr>
            <w:t>6.7.2封场后填埋气体</w:t>
          </w:r>
          <w:r>
            <w:rPr>
              <w:b w:val="0"/>
            </w:rPr>
            <w:tab/>
          </w:r>
          <w:r>
            <w:rPr>
              <w:b w:val="0"/>
            </w:rPr>
            <w:fldChar w:fldCharType="begin"/>
          </w:r>
          <w:r>
            <w:rPr>
              <w:b w:val="0"/>
            </w:rPr>
            <w:instrText xml:space="preserve"> PAGEREF _Toc143762359 \h </w:instrText>
          </w:r>
          <w:r>
            <w:rPr>
              <w:b w:val="0"/>
            </w:rPr>
            <w:fldChar w:fldCharType="separate"/>
          </w:r>
          <w:r>
            <w:rPr>
              <w:b w:val="0"/>
            </w:rPr>
            <w:t>154</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"_Toc143762360" </w:instrText>
          </w:r>
          <w:r>
            <w:fldChar w:fldCharType="separate"/>
          </w:r>
          <w:r>
            <w:rPr>
              <w:rStyle w:val="142"/>
              <w:b w:val="0"/>
            </w:rPr>
            <w:t>7环境风险分析</w:t>
          </w:r>
          <w:r>
            <w:rPr>
              <w:b w:val="0"/>
            </w:rPr>
            <w:tab/>
          </w:r>
          <w:r>
            <w:rPr>
              <w:b w:val="0"/>
            </w:rPr>
            <w:fldChar w:fldCharType="begin"/>
          </w:r>
          <w:r>
            <w:rPr>
              <w:b w:val="0"/>
            </w:rPr>
            <w:instrText xml:space="preserve"> PAGEREF _Toc143762360 \h </w:instrText>
          </w:r>
          <w:r>
            <w:rPr>
              <w:b w:val="0"/>
            </w:rPr>
            <w:fldChar w:fldCharType="separate"/>
          </w:r>
          <w:r>
            <w:rPr>
              <w:b w:val="0"/>
            </w:rPr>
            <w:t>156</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"_Toc143762361" </w:instrText>
          </w:r>
          <w:r>
            <w:fldChar w:fldCharType="separate"/>
          </w:r>
          <w:r>
            <w:rPr>
              <w:rStyle w:val="142"/>
            </w:rPr>
            <w:t>7.1风险调查</w:t>
          </w:r>
          <w:r>
            <w:tab/>
          </w:r>
          <w:r>
            <w:fldChar w:fldCharType="begin"/>
          </w:r>
          <w:r>
            <w:instrText xml:space="preserve"> PAGEREF _Toc143762361 \h </w:instrText>
          </w:r>
          <w:r>
            <w:fldChar w:fldCharType="separate"/>
          </w:r>
          <w:r>
            <w:t>156</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"_Toc143762362" </w:instrText>
          </w:r>
          <w:r>
            <w:fldChar w:fldCharType="separate"/>
          </w:r>
          <w:r>
            <w:rPr>
              <w:rStyle w:val="142"/>
            </w:rPr>
            <w:t>7.2风险潜势及风险等级</w:t>
          </w:r>
          <w:r>
            <w:tab/>
          </w:r>
          <w:r>
            <w:fldChar w:fldCharType="begin"/>
          </w:r>
          <w:r>
            <w:instrText xml:space="preserve"> PAGEREF _Toc143762362 \h </w:instrText>
          </w:r>
          <w:r>
            <w:fldChar w:fldCharType="separate"/>
          </w:r>
          <w:r>
            <w:t>160</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"_Toc143762363" </w:instrText>
          </w:r>
          <w:r>
            <w:fldChar w:fldCharType="separate"/>
          </w:r>
          <w:r>
            <w:rPr>
              <w:rStyle w:val="142"/>
            </w:rPr>
            <w:t>7.3环境敏感目标概况</w:t>
          </w:r>
          <w:r>
            <w:tab/>
          </w:r>
          <w:r>
            <w:fldChar w:fldCharType="begin"/>
          </w:r>
          <w:r>
            <w:instrText xml:space="preserve"> PAGEREF _Toc143762363 \h </w:instrText>
          </w:r>
          <w:r>
            <w:fldChar w:fldCharType="separate"/>
          </w:r>
          <w:r>
            <w:t>160</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"_Toc143762364" </w:instrText>
          </w:r>
          <w:r>
            <w:fldChar w:fldCharType="separate"/>
          </w:r>
          <w:r>
            <w:rPr>
              <w:rStyle w:val="142"/>
            </w:rPr>
            <w:t>7.4环境风险识别</w:t>
          </w:r>
          <w:r>
            <w:tab/>
          </w:r>
          <w:r>
            <w:fldChar w:fldCharType="begin"/>
          </w:r>
          <w:r>
            <w:instrText xml:space="preserve"> PAGEREF _Toc143762364 \h </w:instrText>
          </w:r>
          <w:r>
            <w:fldChar w:fldCharType="separate"/>
          </w:r>
          <w:r>
            <w:t>160</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"_Toc143762365" </w:instrText>
          </w:r>
          <w:r>
            <w:fldChar w:fldCharType="separate"/>
          </w:r>
          <w:r>
            <w:rPr>
              <w:rStyle w:val="142"/>
            </w:rPr>
            <w:t>7.5环境风险分析</w:t>
          </w:r>
          <w:r>
            <w:tab/>
          </w:r>
          <w:r>
            <w:fldChar w:fldCharType="begin"/>
          </w:r>
          <w:r>
            <w:instrText xml:space="preserve"> PAGEREF _Toc143762365 \h </w:instrText>
          </w:r>
          <w:r>
            <w:fldChar w:fldCharType="separate"/>
          </w:r>
          <w:r>
            <w:t>161</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"_Toc143762366" </w:instrText>
          </w:r>
          <w:r>
            <w:fldChar w:fldCharType="separate"/>
          </w:r>
          <w:r>
            <w:rPr>
              <w:rStyle w:val="142"/>
              <w:b w:val="0"/>
            </w:rPr>
            <w:t>7.5.1垃圾气爆炸风险分析</w:t>
          </w:r>
          <w:r>
            <w:rPr>
              <w:b w:val="0"/>
            </w:rPr>
            <w:tab/>
          </w:r>
          <w:r>
            <w:rPr>
              <w:b w:val="0"/>
            </w:rPr>
            <w:fldChar w:fldCharType="begin"/>
          </w:r>
          <w:r>
            <w:rPr>
              <w:b w:val="0"/>
            </w:rPr>
            <w:instrText xml:space="preserve"> PAGEREF _Toc143762366 \h </w:instrText>
          </w:r>
          <w:r>
            <w:rPr>
              <w:b w:val="0"/>
            </w:rPr>
            <w:fldChar w:fldCharType="separate"/>
          </w:r>
          <w:r>
            <w:rPr>
              <w:b w:val="0"/>
            </w:rPr>
            <w:t>161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"_Toc143762367" </w:instrText>
          </w:r>
          <w:r>
            <w:fldChar w:fldCharType="separate"/>
          </w:r>
          <w:r>
            <w:rPr>
              <w:rStyle w:val="142"/>
              <w:b w:val="0"/>
            </w:rPr>
            <w:t>7.5.2渗滤液污染地下水的风险分析</w:t>
          </w:r>
          <w:r>
            <w:rPr>
              <w:b w:val="0"/>
            </w:rPr>
            <w:tab/>
          </w:r>
          <w:r>
            <w:rPr>
              <w:b w:val="0"/>
            </w:rPr>
            <w:fldChar w:fldCharType="begin"/>
          </w:r>
          <w:r>
            <w:rPr>
              <w:b w:val="0"/>
            </w:rPr>
            <w:instrText xml:space="preserve"> PAGEREF _Toc143762367 \h </w:instrText>
          </w:r>
          <w:r>
            <w:rPr>
              <w:b w:val="0"/>
            </w:rPr>
            <w:fldChar w:fldCharType="separate"/>
          </w:r>
          <w:r>
            <w:rPr>
              <w:b w:val="0"/>
            </w:rPr>
            <w:t>162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"_Toc143762368" </w:instrText>
          </w:r>
          <w:r>
            <w:fldChar w:fldCharType="separate"/>
          </w:r>
          <w:r>
            <w:rPr>
              <w:rStyle w:val="142"/>
              <w:b w:val="0"/>
            </w:rPr>
            <w:t>7.5.3渗滤液不经处理直接排放风险分析</w:t>
          </w:r>
          <w:r>
            <w:rPr>
              <w:b w:val="0"/>
            </w:rPr>
            <w:tab/>
          </w:r>
          <w:r>
            <w:rPr>
              <w:b w:val="0"/>
            </w:rPr>
            <w:fldChar w:fldCharType="begin"/>
          </w:r>
          <w:r>
            <w:rPr>
              <w:b w:val="0"/>
            </w:rPr>
            <w:instrText xml:space="preserve"> PAGEREF _Toc143762368 \h </w:instrText>
          </w:r>
          <w:r>
            <w:rPr>
              <w:b w:val="0"/>
            </w:rPr>
            <w:fldChar w:fldCharType="separate"/>
          </w:r>
          <w:r>
            <w:rPr>
              <w:b w:val="0"/>
            </w:rPr>
            <w:t>163</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"_Toc143762369" </w:instrText>
          </w:r>
          <w:r>
            <w:fldChar w:fldCharType="separate"/>
          </w:r>
          <w:r>
            <w:rPr>
              <w:rStyle w:val="142"/>
              <w:b w:val="0"/>
            </w:rPr>
            <w:t>7.5.4垃圾坝溃决风险分析</w:t>
          </w:r>
          <w:r>
            <w:rPr>
              <w:b w:val="0"/>
            </w:rPr>
            <w:tab/>
          </w:r>
          <w:r>
            <w:rPr>
              <w:b w:val="0"/>
            </w:rPr>
            <w:fldChar w:fldCharType="begin"/>
          </w:r>
          <w:r>
            <w:rPr>
              <w:b w:val="0"/>
            </w:rPr>
            <w:instrText xml:space="preserve"> PAGEREF _Toc143762369 \h </w:instrText>
          </w:r>
          <w:r>
            <w:rPr>
              <w:b w:val="0"/>
            </w:rPr>
            <w:fldChar w:fldCharType="separate"/>
          </w:r>
          <w:r>
            <w:rPr>
              <w:b w:val="0"/>
            </w:rPr>
            <w:t>164</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"_Toc143762370" </w:instrText>
          </w:r>
          <w:r>
            <w:fldChar w:fldCharType="separate"/>
          </w:r>
          <w:r>
            <w:rPr>
              <w:rStyle w:val="142"/>
              <w:b w:val="0"/>
            </w:rPr>
            <w:t>7.5.5危险性废物混入风险分析</w:t>
          </w:r>
          <w:r>
            <w:rPr>
              <w:b w:val="0"/>
            </w:rPr>
            <w:tab/>
          </w:r>
          <w:r>
            <w:rPr>
              <w:b w:val="0"/>
            </w:rPr>
            <w:fldChar w:fldCharType="begin"/>
          </w:r>
          <w:r>
            <w:rPr>
              <w:b w:val="0"/>
            </w:rPr>
            <w:instrText xml:space="preserve"> PAGEREF _Toc143762370 \h </w:instrText>
          </w:r>
          <w:r>
            <w:rPr>
              <w:b w:val="0"/>
            </w:rPr>
            <w:fldChar w:fldCharType="separate"/>
          </w:r>
          <w:r>
            <w:rPr>
              <w:b w:val="0"/>
            </w:rPr>
            <w:t>165</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"_Toc143762371" </w:instrText>
          </w:r>
          <w:r>
            <w:fldChar w:fldCharType="separate"/>
          </w:r>
          <w:r>
            <w:rPr>
              <w:rStyle w:val="142"/>
            </w:rPr>
            <w:t>7.6风险事故应急预案</w:t>
          </w:r>
          <w:r>
            <w:tab/>
          </w:r>
          <w:r>
            <w:fldChar w:fldCharType="begin"/>
          </w:r>
          <w:r>
            <w:instrText xml:space="preserve"> PAGEREF _Toc143762371 \h </w:instrText>
          </w:r>
          <w:r>
            <w:fldChar w:fldCharType="separate"/>
          </w:r>
          <w:r>
            <w:t>166</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"_Toc143762372" </w:instrText>
          </w:r>
          <w:r>
            <w:fldChar w:fldCharType="separate"/>
          </w:r>
          <w:r>
            <w:rPr>
              <w:rStyle w:val="142"/>
              <w:b w:val="0"/>
            </w:rPr>
            <w:t>7.6.1应急组织机构与职责</w:t>
          </w:r>
          <w:r>
            <w:rPr>
              <w:b w:val="0"/>
            </w:rPr>
            <w:tab/>
          </w:r>
          <w:r>
            <w:rPr>
              <w:b w:val="0"/>
            </w:rPr>
            <w:fldChar w:fldCharType="begin"/>
          </w:r>
          <w:r>
            <w:rPr>
              <w:b w:val="0"/>
            </w:rPr>
            <w:instrText xml:space="preserve"> PAGEREF _Toc143762372 \h </w:instrText>
          </w:r>
          <w:r>
            <w:rPr>
              <w:b w:val="0"/>
            </w:rPr>
            <w:fldChar w:fldCharType="separate"/>
          </w:r>
          <w:r>
            <w:rPr>
              <w:b w:val="0"/>
            </w:rPr>
            <w:t>166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"_Toc143762373" </w:instrText>
          </w:r>
          <w:r>
            <w:fldChar w:fldCharType="separate"/>
          </w:r>
          <w:r>
            <w:rPr>
              <w:rStyle w:val="142"/>
              <w:b w:val="0"/>
            </w:rPr>
            <w:t>7.6.2预案分级响应条件、报警及通讯联络方式</w:t>
          </w:r>
          <w:r>
            <w:rPr>
              <w:b w:val="0"/>
            </w:rPr>
            <w:tab/>
          </w:r>
          <w:r>
            <w:rPr>
              <w:b w:val="0"/>
            </w:rPr>
            <w:fldChar w:fldCharType="begin"/>
          </w:r>
          <w:r>
            <w:rPr>
              <w:b w:val="0"/>
            </w:rPr>
            <w:instrText xml:space="preserve"> PAGEREF _Toc143762373 \h </w:instrText>
          </w:r>
          <w:r>
            <w:rPr>
              <w:b w:val="0"/>
            </w:rPr>
            <w:fldChar w:fldCharType="separate"/>
          </w:r>
          <w:r>
            <w:rPr>
              <w:b w:val="0"/>
            </w:rPr>
            <w:t>166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"_Toc143762374" </w:instrText>
          </w:r>
          <w:r>
            <w:fldChar w:fldCharType="separate"/>
          </w:r>
          <w:r>
            <w:rPr>
              <w:rStyle w:val="142"/>
              <w:b w:val="0"/>
            </w:rPr>
            <w:t>7.6.3紧急救护措施</w:t>
          </w:r>
          <w:r>
            <w:rPr>
              <w:b w:val="0"/>
            </w:rPr>
            <w:tab/>
          </w:r>
          <w:r>
            <w:rPr>
              <w:b w:val="0"/>
            </w:rPr>
            <w:fldChar w:fldCharType="begin"/>
          </w:r>
          <w:r>
            <w:rPr>
              <w:b w:val="0"/>
            </w:rPr>
            <w:instrText xml:space="preserve"> PAGEREF _Toc143762374 \h </w:instrText>
          </w:r>
          <w:r>
            <w:rPr>
              <w:b w:val="0"/>
            </w:rPr>
            <w:fldChar w:fldCharType="separate"/>
          </w:r>
          <w:r>
            <w:rPr>
              <w:b w:val="0"/>
            </w:rPr>
            <w:t>166</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"_Toc143762375" </w:instrText>
          </w:r>
          <w:r>
            <w:fldChar w:fldCharType="separate"/>
          </w:r>
          <w:r>
            <w:rPr>
              <w:rStyle w:val="142"/>
              <w:b w:val="0"/>
            </w:rPr>
            <w:t>7.6.4应急能力建设</w:t>
          </w:r>
          <w:r>
            <w:rPr>
              <w:b w:val="0"/>
            </w:rPr>
            <w:tab/>
          </w:r>
          <w:r>
            <w:rPr>
              <w:b w:val="0"/>
            </w:rPr>
            <w:fldChar w:fldCharType="begin"/>
          </w:r>
          <w:r>
            <w:rPr>
              <w:b w:val="0"/>
            </w:rPr>
            <w:instrText xml:space="preserve"> PAGEREF _Toc143762375 \h </w:instrText>
          </w:r>
          <w:r>
            <w:rPr>
              <w:b w:val="0"/>
            </w:rPr>
            <w:fldChar w:fldCharType="separate"/>
          </w:r>
          <w:r>
            <w:rPr>
              <w:b w:val="0"/>
            </w:rPr>
            <w:t>167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"_Toc143762376" </w:instrText>
          </w:r>
          <w:r>
            <w:fldChar w:fldCharType="separate"/>
          </w:r>
          <w:r>
            <w:rPr>
              <w:rStyle w:val="142"/>
              <w:b w:val="0"/>
            </w:rPr>
            <w:t>7.6.5应急监测系统与实施计划</w:t>
          </w:r>
          <w:r>
            <w:rPr>
              <w:b w:val="0"/>
            </w:rPr>
            <w:tab/>
          </w:r>
          <w:r>
            <w:rPr>
              <w:b w:val="0"/>
            </w:rPr>
            <w:fldChar w:fldCharType="begin"/>
          </w:r>
          <w:r>
            <w:rPr>
              <w:b w:val="0"/>
            </w:rPr>
            <w:instrText xml:space="preserve"> PAGEREF _Toc143762376 \h </w:instrText>
          </w:r>
          <w:r>
            <w:rPr>
              <w:b w:val="0"/>
            </w:rPr>
            <w:fldChar w:fldCharType="separate"/>
          </w:r>
          <w:r>
            <w:rPr>
              <w:b w:val="0"/>
            </w:rPr>
            <w:t>167</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"_Toc143762377" </w:instrText>
          </w:r>
          <w:r>
            <w:fldChar w:fldCharType="separate"/>
          </w:r>
          <w:r>
            <w:rPr>
              <w:rStyle w:val="142"/>
              <w:b w:val="0"/>
            </w:rPr>
            <w:t>7.6.6应急预案的培训和演练</w:t>
          </w:r>
          <w:r>
            <w:rPr>
              <w:b w:val="0"/>
            </w:rPr>
            <w:tab/>
          </w:r>
          <w:r>
            <w:rPr>
              <w:b w:val="0"/>
            </w:rPr>
            <w:fldChar w:fldCharType="begin"/>
          </w:r>
          <w:r>
            <w:rPr>
              <w:b w:val="0"/>
            </w:rPr>
            <w:instrText xml:space="preserve"> PAGEREF _Toc143762377 \h </w:instrText>
          </w:r>
          <w:r>
            <w:rPr>
              <w:b w:val="0"/>
            </w:rPr>
            <w:fldChar w:fldCharType="separate"/>
          </w:r>
          <w:r>
            <w:rPr>
              <w:b w:val="0"/>
            </w:rPr>
            <w:t>167</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"_Toc143762378" </w:instrText>
          </w:r>
          <w:r>
            <w:fldChar w:fldCharType="separate"/>
          </w:r>
          <w:r>
            <w:rPr>
              <w:rStyle w:val="142"/>
            </w:rPr>
            <w:t>7.7环境风险评价结论与建议</w:t>
          </w:r>
          <w:r>
            <w:tab/>
          </w:r>
          <w:r>
            <w:fldChar w:fldCharType="begin"/>
          </w:r>
          <w:r>
            <w:instrText xml:space="preserve"> PAGEREF _Toc143762378 \h </w:instrText>
          </w:r>
          <w:r>
            <w:fldChar w:fldCharType="separate"/>
          </w:r>
          <w:r>
            <w:t>168</w:t>
          </w:r>
          <w:r>
            <w:fldChar w:fldCharType="end"/>
          </w:r>
          <w: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"_Toc143762379" </w:instrText>
          </w:r>
          <w:r>
            <w:fldChar w:fldCharType="separate"/>
          </w:r>
          <w:r>
            <w:rPr>
              <w:rStyle w:val="142"/>
              <w:b w:val="0"/>
            </w:rPr>
            <w:t>8环境保护措施可行性分析</w:t>
          </w:r>
          <w:r>
            <w:rPr>
              <w:b w:val="0"/>
            </w:rPr>
            <w:tab/>
          </w:r>
          <w:r>
            <w:rPr>
              <w:b w:val="0"/>
            </w:rPr>
            <w:fldChar w:fldCharType="begin"/>
          </w:r>
          <w:r>
            <w:rPr>
              <w:b w:val="0"/>
            </w:rPr>
            <w:instrText xml:space="preserve"> PAGEREF _Toc143762379 \h </w:instrText>
          </w:r>
          <w:r>
            <w:rPr>
              <w:b w:val="0"/>
            </w:rPr>
            <w:fldChar w:fldCharType="separate"/>
          </w:r>
          <w:r>
            <w:rPr>
              <w:b w:val="0"/>
            </w:rPr>
            <w:t>170</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"_Toc143762380" </w:instrText>
          </w:r>
          <w:r>
            <w:fldChar w:fldCharType="separate"/>
          </w:r>
          <w:r>
            <w:rPr>
              <w:rStyle w:val="142"/>
            </w:rPr>
            <w:t>8.1 大气污染防治措施可行性分析</w:t>
          </w:r>
          <w:r>
            <w:tab/>
          </w:r>
          <w:r>
            <w:fldChar w:fldCharType="begin"/>
          </w:r>
          <w:r>
            <w:instrText xml:space="preserve"> PAGEREF _Toc143762380 \h </w:instrText>
          </w:r>
          <w:r>
            <w:fldChar w:fldCharType="separate"/>
          </w:r>
          <w:r>
            <w:t>170</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"_Toc143762381" </w:instrText>
          </w:r>
          <w:r>
            <w:fldChar w:fldCharType="separate"/>
          </w:r>
          <w:r>
            <w:rPr>
              <w:rStyle w:val="142"/>
            </w:rPr>
            <w:t>8.2 水污染防治措施可行性分析</w:t>
          </w:r>
          <w:r>
            <w:tab/>
          </w:r>
          <w:r>
            <w:fldChar w:fldCharType="begin"/>
          </w:r>
          <w:r>
            <w:instrText xml:space="preserve"> PAGEREF _Toc143762381 \h </w:instrText>
          </w:r>
          <w:r>
            <w:fldChar w:fldCharType="separate"/>
          </w:r>
          <w:r>
            <w:t>171</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"_Toc143762382" </w:instrText>
          </w:r>
          <w:r>
            <w:fldChar w:fldCharType="separate"/>
          </w:r>
          <w:r>
            <w:rPr>
              <w:rStyle w:val="142"/>
              <w:b w:val="0"/>
            </w:rPr>
            <w:t>8.2.1 项目废水排放情况</w:t>
          </w:r>
          <w:r>
            <w:rPr>
              <w:b w:val="0"/>
            </w:rPr>
            <w:tab/>
          </w:r>
          <w:r>
            <w:rPr>
              <w:b w:val="0"/>
            </w:rPr>
            <w:fldChar w:fldCharType="begin"/>
          </w:r>
          <w:r>
            <w:rPr>
              <w:b w:val="0"/>
            </w:rPr>
            <w:instrText xml:space="preserve"> PAGEREF _Toc143762382 \h </w:instrText>
          </w:r>
          <w:r>
            <w:rPr>
              <w:b w:val="0"/>
            </w:rPr>
            <w:fldChar w:fldCharType="separate"/>
          </w:r>
          <w:r>
            <w:rPr>
              <w:b w:val="0"/>
            </w:rPr>
            <w:t>171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"_Toc143762383" </w:instrText>
          </w:r>
          <w:r>
            <w:fldChar w:fldCharType="separate"/>
          </w:r>
          <w:r>
            <w:rPr>
              <w:rStyle w:val="142"/>
              <w:b w:val="0"/>
            </w:rPr>
            <w:t>8.2.2 废水治理措施可行性分析</w:t>
          </w:r>
          <w:r>
            <w:rPr>
              <w:b w:val="0"/>
            </w:rPr>
            <w:tab/>
          </w:r>
          <w:r>
            <w:rPr>
              <w:b w:val="0"/>
            </w:rPr>
            <w:fldChar w:fldCharType="begin"/>
          </w:r>
          <w:r>
            <w:rPr>
              <w:b w:val="0"/>
            </w:rPr>
            <w:instrText xml:space="preserve"> PAGEREF _Toc143762383 \h </w:instrText>
          </w:r>
          <w:r>
            <w:rPr>
              <w:b w:val="0"/>
            </w:rPr>
            <w:fldChar w:fldCharType="separate"/>
          </w:r>
          <w:r>
            <w:rPr>
              <w:b w:val="0"/>
            </w:rPr>
            <w:t>172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"_Toc143762384" </w:instrText>
          </w:r>
          <w:r>
            <w:fldChar w:fldCharType="separate"/>
          </w:r>
          <w:r>
            <w:rPr>
              <w:rStyle w:val="142"/>
              <w:b w:val="0"/>
            </w:rPr>
            <w:t>8.2.3分区防渗措施</w:t>
          </w:r>
          <w:r>
            <w:rPr>
              <w:b w:val="0"/>
            </w:rPr>
            <w:tab/>
          </w:r>
          <w:r>
            <w:rPr>
              <w:b w:val="0"/>
            </w:rPr>
            <w:fldChar w:fldCharType="begin"/>
          </w:r>
          <w:r>
            <w:rPr>
              <w:b w:val="0"/>
            </w:rPr>
            <w:instrText xml:space="preserve"> PAGEREF _Toc143762384 \h </w:instrText>
          </w:r>
          <w:r>
            <w:rPr>
              <w:b w:val="0"/>
            </w:rPr>
            <w:fldChar w:fldCharType="separate"/>
          </w:r>
          <w:r>
            <w:rPr>
              <w:b w:val="0"/>
            </w:rPr>
            <w:t>172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"_Toc143762385" </w:instrText>
          </w:r>
          <w:r>
            <w:fldChar w:fldCharType="separate"/>
          </w:r>
          <w:r>
            <w:rPr>
              <w:rStyle w:val="142"/>
              <w:b w:val="0"/>
            </w:rPr>
            <w:t>8.2.4污染监控</w:t>
          </w:r>
          <w:r>
            <w:rPr>
              <w:b w:val="0"/>
            </w:rPr>
            <w:tab/>
          </w:r>
          <w:r>
            <w:rPr>
              <w:b w:val="0"/>
            </w:rPr>
            <w:fldChar w:fldCharType="begin"/>
          </w:r>
          <w:r>
            <w:rPr>
              <w:b w:val="0"/>
            </w:rPr>
            <w:instrText xml:space="preserve"> PAGEREF _Toc143762385 \h </w:instrText>
          </w:r>
          <w:r>
            <w:rPr>
              <w:b w:val="0"/>
            </w:rPr>
            <w:fldChar w:fldCharType="separate"/>
          </w:r>
          <w:r>
            <w:rPr>
              <w:b w:val="0"/>
            </w:rPr>
            <w:t>173</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"_Toc143762386" </w:instrText>
          </w:r>
          <w:r>
            <w:fldChar w:fldCharType="separate"/>
          </w:r>
          <w:r>
            <w:rPr>
              <w:rStyle w:val="142"/>
            </w:rPr>
            <w:t>8.3固体废物处置措施可行性分析</w:t>
          </w:r>
          <w:r>
            <w:tab/>
          </w:r>
          <w:r>
            <w:fldChar w:fldCharType="begin"/>
          </w:r>
          <w:r>
            <w:instrText xml:space="preserve"> PAGEREF _Toc143762386 \h </w:instrText>
          </w:r>
          <w:r>
            <w:fldChar w:fldCharType="separate"/>
          </w:r>
          <w:r>
            <w:t>175</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"_Toc143762387" </w:instrText>
          </w:r>
          <w:r>
            <w:fldChar w:fldCharType="separate"/>
          </w:r>
          <w:r>
            <w:rPr>
              <w:rStyle w:val="142"/>
            </w:rPr>
            <w:t>8.4噪声污染防治措施</w:t>
          </w:r>
          <w:r>
            <w:tab/>
          </w:r>
          <w:r>
            <w:fldChar w:fldCharType="begin"/>
          </w:r>
          <w:r>
            <w:instrText xml:space="preserve"> PAGEREF _Toc143762387 \h </w:instrText>
          </w:r>
          <w:r>
            <w:fldChar w:fldCharType="separate"/>
          </w:r>
          <w:r>
            <w:t>175</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"_Toc143762388" </w:instrText>
          </w:r>
          <w:r>
            <w:fldChar w:fldCharType="separate"/>
          </w:r>
          <w:r>
            <w:rPr>
              <w:rStyle w:val="142"/>
            </w:rPr>
            <w:t>8.5土壤污染防治措施</w:t>
          </w:r>
          <w:r>
            <w:tab/>
          </w:r>
          <w:r>
            <w:fldChar w:fldCharType="begin"/>
          </w:r>
          <w:r>
            <w:instrText xml:space="preserve"> PAGEREF _Toc143762388 \h </w:instrText>
          </w:r>
          <w:r>
            <w:fldChar w:fldCharType="separate"/>
          </w:r>
          <w:r>
            <w:t>175</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"_Toc143762389" </w:instrText>
          </w:r>
          <w:r>
            <w:fldChar w:fldCharType="separate"/>
          </w:r>
          <w:r>
            <w:rPr>
              <w:rStyle w:val="142"/>
            </w:rPr>
            <w:t>8.6封场期环保措施</w:t>
          </w:r>
          <w:r>
            <w:tab/>
          </w:r>
          <w:r>
            <w:fldChar w:fldCharType="begin"/>
          </w:r>
          <w:r>
            <w:instrText xml:space="preserve"> PAGEREF _Toc143762389 \h </w:instrText>
          </w:r>
          <w:r>
            <w:fldChar w:fldCharType="separate"/>
          </w:r>
          <w:r>
            <w:t>176</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"_Toc143762390" </w:instrText>
          </w:r>
          <w:r>
            <w:fldChar w:fldCharType="separate"/>
          </w:r>
          <w:r>
            <w:rPr>
              <w:rStyle w:val="142"/>
            </w:rPr>
            <w:t>8.7填埋废物入场要求</w:t>
          </w:r>
          <w:r>
            <w:tab/>
          </w:r>
          <w:r>
            <w:fldChar w:fldCharType="begin"/>
          </w:r>
          <w:r>
            <w:instrText xml:space="preserve"> PAGEREF _Toc143762390 \h </w:instrText>
          </w:r>
          <w:r>
            <w:fldChar w:fldCharType="separate"/>
          </w:r>
          <w:r>
            <w:t>177</w:t>
          </w:r>
          <w:r>
            <w:fldChar w:fldCharType="end"/>
          </w:r>
          <w: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"_Toc143762391" </w:instrText>
          </w:r>
          <w:r>
            <w:fldChar w:fldCharType="separate"/>
          </w:r>
          <w:r>
            <w:rPr>
              <w:rStyle w:val="142"/>
              <w:b w:val="0"/>
            </w:rPr>
            <w:t>9环境经济损益分析</w:t>
          </w:r>
          <w:r>
            <w:rPr>
              <w:b w:val="0"/>
            </w:rPr>
            <w:tab/>
          </w:r>
          <w:r>
            <w:rPr>
              <w:b w:val="0"/>
            </w:rPr>
            <w:fldChar w:fldCharType="begin"/>
          </w:r>
          <w:r>
            <w:rPr>
              <w:b w:val="0"/>
            </w:rPr>
            <w:instrText xml:space="preserve"> PAGEREF _Toc143762391 \h </w:instrText>
          </w:r>
          <w:r>
            <w:rPr>
              <w:b w:val="0"/>
            </w:rPr>
            <w:fldChar w:fldCharType="separate"/>
          </w:r>
          <w:r>
            <w:rPr>
              <w:b w:val="0"/>
            </w:rPr>
            <w:t>178</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"_Toc143762392" </w:instrText>
          </w:r>
          <w:r>
            <w:fldChar w:fldCharType="separate"/>
          </w:r>
          <w:r>
            <w:rPr>
              <w:rStyle w:val="142"/>
            </w:rPr>
            <w:t>9.1环境保护投资估算</w:t>
          </w:r>
          <w:r>
            <w:tab/>
          </w:r>
          <w:r>
            <w:fldChar w:fldCharType="begin"/>
          </w:r>
          <w:r>
            <w:instrText xml:space="preserve"> PAGEREF _Toc143762392 \h </w:instrText>
          </w:r>
          <w:r>
            <w:fldChar w:fldCharType="separate"/>
          </w:r>
          <w:r>
            <w:t>178</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"_Toc143762393" </w:instrText>
          </w:r>
          <w:r>
            <w:fldChar w:fldCharType="separate"/>
          </w:r>
          <w:r>
            <w:rPr>
              <w:rStyle w:val="142"/>
            </w:rPr>
            <w:t>9.2 环境经济损益分析</w:t>
          </w:r>
          <w:r>
            <w:tab/>
          </w:r>
          <w:r>
            <w:fldChar w:fldCharType="begin"/>
          </w:r>
          <w:r>
            <w:instrText xml:space="preserve"> PAGEREF _Toc143762393 \h </w:instrText>
          </w:r>
          <w:r>
            <w:fldChar w:fldCharType="separate"/>
          </w:r>
          <w:r>
            <w:t>179</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"_Toc143762394" </w:instrText>
          </w:r>
          <w:r>
            <w:fldChar w:fldCharType="separate"/>
          </w:r>
          <w:r>
            <w:rPr>
              <w:rStyle w:val="142"/>
              <w:b w:val="0"/>
            </w:rPr>
            <w:t>9.2.1 经济效益分析</w:t>
          </w:r>
          <w:r>
            <w:rPr>
              <w:b w:val="0"/>
            </w:rPr>
            <w:tab/>
          </w:r>
          <w:r>
            <w:rPr>
              <w:b w:val="0"/>
            </w:rPr>
            <w:fldChar w:fldCharType="begin"/>
          </w:r>
          <w:r>
            <w:rPr>
              <w:b w:val="0"/>
            </w:rPr>
            <w:instrText xml:space="preserve"> PAGEREF _Toc143762394 \h </w:instrText>
          </w:r>
          <w:r>
            <w:rPr>
              <w:b w:val="0"/>
            </w:rPr>
            <w:fldChar w:fldCharType="separate"/>
          </w:r>
          <w:r>
            <w:rPr>
              <w:b w:val="0"/>
            </w:rPr>
            <w:t>179</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"_Toc143762395" </w:instrText>
          </w:r>
          <w:r>
            <w:fldChar w:fldCharType="separate"/>
          </w:r>
          <w:r>
            <w:rPr>
              <w:rStyle w:val="142"/>
              <w:b w:val="0"/>
            </w:rPr>
            <w:t>9.2.2 社会效益分析</w:t>
          </w:r>
          <w:r>
            <w:rPr>
              <w:b w:val="0"/>
            </w:rPr>
            <w:tab/>
          </w:r>
          <w:r>
            <w:rPr>
              <w:b w:val="0"/>
            </w:rPr>
            <w:fldChar w:fldCharType="begin"/>
          </w:r>
          <w:r>
            <w:rPr>
              <w:b w:val="0"/>
            </w:rPr>
            <w:instrText xml:space="preserve"> PAGEREF _Toc143762395 \h </w:instrText>
          </w:r>
          <w:r>
            <w:rPr>
              <w:b w:val="0"/>
            </w:rPr>
            <w:fldChar w:fldCharType="separate"/>
          </w:r>
          <w:r>
            <w:rPr>
              <w:b w:val="0"/>
            </w:rPr>
            <w:t>179</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"_Toc143762396" </w:instrText>
          </w:r>
          <w:r>
            <w:fldChar w:fldCharType="separate"/>
          </w:r>
          <w:r>
            <w:rPr>
              <w:rStyle w:val="142"/>
              <w:b w:val="0"/>
            </w:rPr>
            <w:t>9.2.3 环境损益分析</w:t>
          </w:r>
          <w:r>
            <w:rPr>
              <w:b w:val="0"/>
            </w:rPr>
            <w:tab/>
          </w:r>
          <w:r>
            <w:rPr>
              <w:b w:val="0"/>
            </w:rPr>
            <w:fldChar w:fldCharType="begin"/>
          </w:r>
          <w:r>
            <w:rPr>
              <w:b w:val="0"/>
            </w:rPr>
            <w:instrText xml:space="preserve"> PAGEREF _Toc143762396 \h </w:instrText>
          </w:r>
          <w:r>
            <w:rPr>
              <w:b w:val="0"/>
            </w:rPr>
            <w:fldChar w:fldCharType="separate"/>
          </w:r>
          <w:r>
            <w:rPr>
              <w:b w:val="0"/>
            </w:rPr>
            <w:t>180</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"_Toc143762397" </w:instrText>
          </w:r>
          <w:r>
            <w:fldChar w:fldCharType="separate"/>
          </w:r>
          <w:r>
            <w:rPr>
              <w:rStyle w:val="142"/>
              <w:b w:val="0"/>
            </w:rPr>
            <w:t>10环境管理与环境监测计划</w:t>
          </w:r>
          <w:r>
            <w:rPr>
              <w:b w:val="0"/>
            </w:rPr>
            <w:tab/>
          </w:r>
          <w:r>
            <w:rPr>
              <w:b w:val="0"/>
            </w:rPr>
            <w:fldChar w:fldCharType="begin"/>
          </w:r>
          <w:r>
            <w:rPr>
              <w:b w:val="0"/>
            </w:rPr>
            <w:instrText xml:space="preserve"> PAGEREF _Toc143762397 \h </w:instrText>
          </w:r>
          <w:r>
            <w:rPr>
              <w:b w:val="0"/>
            </w:rPr>
            <w:fldChar w:fldCharType="separate"/>
          </w:r>
          <w:r>
            <w:rPr>
              <w:b w:val="0"/>
            </w:rPr>
            <w:t>181</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"_Toc143762398" </w:instrText>
          </w:r>
          <w:r>
            <w:fldChar w:fldCharType="separate"/>
          </w:r>
          <w:r>
            <w:rPr>
              <w:rStyle w:val="142"/>
            </w:rPr>
            <w:t>10.1 环境管理</w:t>
          </w:r>
          <w:r>
            <w:tab/>
          </w:r>
          <w:r>
            <w:fldChar w:fldCharType="begin"/>
          </w:r>
          <w:r>
            <w:instrText xml:space="preserve"> PAGEREF _Toc143762398 \h </w:instrText>
          </w:r>
          <w:r>
            <w:fldChar w:fldCharType="separate"/>
          </w:r>
          <w:r>
            <w:t>181</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"_Toc143762399" </w:instrText>
          </w:r>
          <w:r>
            <w:fldChar w:fldCharType="separate"/>
          </w:r>
          <w:r>
            <w:rPr>
              <w:rStyle w:val="142"/>
              <w:b w:val="0"/>
            </w:rPr>
            <w:t>10.1.1环境管理目的和意义</w:t>
          </w:r>
          <w:r>
            <w:rPr>
              <w:b w:val="0"/>
            </w:rPr>
            <w:tab/>
          </w:r>
          <w:r>
            <w:rPr>
              <w:b w:val="0"/>
            </w:rPr>
            <w:fldChar w:fldCharType="begin"/>
          </w:r>
          <w:r>
            <w:rPr>
              <w:b w:val="0"/>
            </w:rPr>
            <w:instrText xml:space="preserve"> PAGEREF _Toc143762399 \h </w:instrText>
          </w:r>
          <w:r>
            <w:rPr>
              <w:b w:val="0"/>
            </w:rPr>
            <w:fldChar w:fldCharType="separate"/>
          </w:r>
          <w:r>
            <w:rPr>
              <w:b w:val="0"/>
            </w:rPr>
            <w:t>181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"_Toc143762400" </w:instrText>
          </w:r>
          <w:r>
            <w:fldChar w:fldCharType="separate"/>
          </w:r>
          <w:r>
            <w:rPr>
              <w:rStyle w:val="142"/>
              <w:b w:val="0"/>
            </w:rPr>
            <w:t>10.1.2环境管理任务</w:t>
          </w:r>
          <w:r>
            <w:rPr>
              <w:b w:val="0"/>
            </w:rPr>
            <w:tab/>
          </w:r>
          <w:r>
            <w:rPr>
              <w:b w:val="0"/>
            </w:rPr>
            <w:fldChar w:fldCharType="begin"/>
          </w:r>
          <w:r>
            <w:rPr>
              <w:b w:val="0"/>
            </w:rPr>
            <w:instrText xml:space="preserve"> PAGEREF _Toc143762400 \h </w:instrText>
          </w:r>
          <w:r>
            <w:rPr>
              <w:b w:val="0"/>
            </w:rPr>
            <w:fldChar w:fldCharType="separate"/>
          </w:r>
          <w:r>
            <w:rPr>
              <w:b w:val="0"/>
            </w:rPr>
            <w:t>181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"_Toc143762401" </w:instrText>
          </w:r>
          <w:r>
            <w:fldChar w:fldCharType="separate"/>
          </w:r>
          <w:r>
            <w:rPr>
              <w:rStyle w:val="142"/>
              <w:b w:val="0"/>
            </w:rPr>
            <w:t>10.1.3环境管理机构</w:t>
          </w:r>
          <w:r>
            <w:rPr>
              <w:b w:val="0"/>
            </w:rPr>
            <w:tab/>
          </w:r>
          <w:r>
            <w:rPr>
              <w:b w:val="0"/>
            </w:rPr>
            <w:fldChar w:fldCharType="begin"/>
          </w:r>
          <w:r>
            <w:rPr>
              <w:b w:val="0"/>
            </w:rPr>
            <w:instrText xml:space="preserve"> PAGEREF _Toc143762401 \h </w:instrText>
          </w:r>
          <w:r>
            <w:rPr>
              <w:b w:val="0"/>
            </w:rPr>
            <w:fldChar w:fldCharType="separate"/>
          </w:r>
          <w:r>
            <w:rPr>
              <w:b w:val="0"/>
            </w:rPr>
            <w:t>181</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"_Toc143762402" </w:instrText>
          </w:r>
          <w:r>
            <w:fldChar w:fldCharType="separate"/>
          </w:r>
          <w:r>
            <w:rPr>
              <w:rStyle w:val="142"/>
            </w:rPr>
            <w:t>10.2 环境监测</w:t>
          </w:r>
          <w:r>
            <w:tab/>
          </w:r>
          <w:r>
            <w:fldChar w:fldCharType="begin"/>
          </w:r>
          <w:r>
            <w:instrText xml:space="preserve"> PAGEREF _Toc143762402 \h </w:instrText>
          </w:r>
          <w:r>
            <w:fldChar w:fldCharType="separate"/>
          </w:r>
          <w:r>
            <w:t>182</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"_Toc143762403" </w:instrText>
          </w:r>
          <w:r>
            <w:fldChar w:fldCharType="separate"/>
          </w:r>
          <w:r>
            <w:rPr>
              <w:rStyle w:val="142"/>
              <w:b w:val="0"/>
            </w:rPr>
            <w:t>10.2.1环境管理机构</w:t>
          </w:r>
          <w:r>
            <w:rPr>
              <w:b w:val="0"/>
            </w:rPr>
            <w:tab/>
          </w:r>
          <w:r>
            <w:rPr>
              <w:b w:val="0"/>
            </w:rPr>
            <w:fldChar w:fldCharType="begin"/>
          </w:r>
          <w:r>
            <w:rPr>
              <w:b w:val="0"/>
            </w:rPr>
            <w:instrText xml:space="preserve"> PAGEREF _Toc143762403 \h </w:instrText>
          </w:r>
          <w:r>
            <w:rPr>
              <w:b w:val="0"/>
            </w:rPr>
            <w:fldChar w:fldCharType="separate"/>
          </w:r>
          <w:r>
            <w:rPr>
              <w:b w:val="0"/>
            </w:rPr>
            <w:t>182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"_Toc143762404" </w:instrText>
          </w:r>
          <w:r>
            <w:fldChar w:fldCharType="separate"/>
          </w:r>
          <w:r>
            <w:rPr>
              <w:rStyle w:val="142"/>
              <w:b w:val="0"/>
            </w:rPr>
            <w:t>10.2.2监测计划</w:t>
          </w:r>
          <w:r>
            <w:rPr>
              <w:b w:val="0"/>
            </w:rPr>
            <w:tab/>
          </w:r>
          <w:r>
            <w:rPr>
              <w:b w:val="0"/>
            </w:rPr>
            <w:fldChar w:fldCharType="begin"/>
          </w:r>
          <w:r>
            <w:rPr>
              <w:b w:val="0"/>
            </w:rPr>
            <w:instrText xml:space="preserve"> PAGEREF _Toc143762404 \h </w:instrText>
          </w:r>
          <w:r>
            <w:rPr>
              <w:b w:val="0"/>
            </w:rPr>
            <w:fldChar w:fldCharType="separate"/>
          </w:r>
          <w:r>
            <w:rPr>
              <w:b w:val="0"/>
            </w:rPr>
            <w:t>182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"_Toc143762405" </w:instrText>
          </w:r>
          <w:r>
            <w:fldChar w:fldCharType="separate"/>
          </w:r>
          <w:r>
            <w:rPr>
              <w:rStyle w:val="142"/>
              <w:b w:val="0"/>
            </w:rPr>
            <w:t>10.2.3 监测资料管理</w:t>
          </w:r>
          <w:r>
            <w:rPr>
              <w:b w:val="0"/>
            </w:rPr>
            <w:tab/>
          </w:r>
          <w:r>
            <w:rPr>
              <w:b w:val="0"/>
            </w:rPr>
            <w:fldChar w:fldCharType="begin"/>
          </w:r>
          <w:r>
            <w:rPr>
              <w:b w:val="0"/>
            </w:rPr>
            <w:instrText xml:space="preserve"> PAGEREF _Toc143762405 \h </w:instrText>
          </w:r>
          <w:r>
            <w:rPr>
              <w:b w:val="0"/>
            </w:rPr>
            <w:fldChar w:fldCharType="separate"/>
          </w:r>
          <w:r>
            <w:rPr>
              <w:b w:val="0"/>
            </w:rPr>
            <w:t>184</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"_Toc143762406" </w:instrText>
          </w:r>
          <w:r>
            <w:fldChar w:fldCharType="separate"/>
          </w:r>
          <w:r>
            <w:rPr>
              <w:rStyle w:val="142"/>
            </w:rPr>
            <w:t>10.3建设项目竣工环境保护验收清单</w:t>
          </w:r>
          <w:r>
            <w:tab/>
          </w:r>
          <w:r>
            <w:fldChar w:fldCharType="begin"/>
          </w:r>
          <w:r>
            <w:instrText xml:space="preserve"> PAGEREF _Toc143762406 \h </w:instrText>
          </w:r>
          <w:r>
            <w:fldChar w:fldCharType="separate"/>
          </w:r>
          <w:r>
            <w:t>184</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"_Toc143762407" </w:instrText>
          </w:r>
          <w:r>
            <w:fldChar w:fldCharType="separate"/>
          </w:r>
          <w:r>
            <w:rPr>
              <w:rStyle w:val="142"/>
            </w:rPr>
            <w:t>10.4污染物排放清单</w:t>
          </w:r>
          <w:r>
            <w:tab/>
          </w:r>
          <w:r>
            <w:fldChar w:fldCharType="begin"/>
          </w:r>
          <w:r>
            <w:instrText xml:space="preserve"> PAGEREF _Toc143762407 \h </w:instrText>
          </w:r>
          <w:r>
            <w:fldChar w:fldCharType="separate"/>
          </w:r>
          <w:r>
            <w:t>185</w:t>
          </w:r>
          <w:r>
            <w:fldChar w:fldCharType="end"/>
          </w:r>
          <w: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"_Toc143762408" </w:instrText>
          </w:r>
          <w:r>
            <w:fldChar w:fldCharType="separate"/>
          </w:r>
          <w:r>
            <w:rPr>
              <w:rStyle w:val="142"/>
              <w:b w:val="0"/>
            </w:rPr>
            <w:t>11结论与建议</w:t>
          </w:r>
          <w:r>
            <w:rPr>
              <w:b w:val="0"/>
            </w:rPr>
            <w:tab/>
          </w:r>
          <w:r>
            <w:rPr>
              <w:b w:val="0"/>
            </w:rPr>
            <w:fldChar w:fldCharType="begin"/>
          </w:r>
          <w:r>
            <w:rPr>
              <w:b w:val="0"/>
            </w:rPr>
            <w:instrText xml:space="preserve"> PAGEREF _Toc143762408 \h </w:instrText>
          </w:r>
          <w:r>
            <w:rPr>
              <w:b w:val="0"/>
            </w:rPr>
            <w:fldChar w:fldCharType="separate"/>
          </w:r>
          <w:r>
            <w:rPr>
              <w:b w:val="0"/>
            </w:rPr>
            <w:t>188</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"_Toc143762409" </w:instrText>
          </w:r>
          <w:r>
            <w:fldChar w:fldCharType="separate"/>
          </w:r>
          <w:r>
            <w:rPr>
              <w:rStyle w:val="142"/>
            </w:rPr>
            <w:t>11.1项目概况</w:t>
          </w:r>
          <w:r>
            <w:tab/>
          </w:r>
          <w:r>
            <w:fldChar w:fldCharType="begin"/>
          </w:r>
          <w:r>
            <w:instrText xml:space="preserve"> PAGEREF _Toc143762409 \h </w:instrText>
          </w:r>
          <w:r>
            <w:fldChar w:fldCharType="separate"/>
          </w:r>
          <w:r>
            <w:t>188</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"_Toc143762410" </w:instrText>
          </w:r>
          <w:r>
            <w:fldChar w:fldCharType="separate"/>
          </w:r>
          <w:r>
            <w:rPr>
              <w:rStyle w:val="142"/>
            </w:rPr>
            <w:t>11.2 环境质量现状</w:t>
          </w:r>
          <w:r>
            <w:tab/>
          </w:r>
          <w:r>
            <w:fldChar w:fldCharType="begin"/>
          </w:r>
          <w:r>
            <w:instrText xml:space="preserve"> PAGEREF _Toc143762410 \h </w:instrText>
          </w:r>
          <w:r>
            <w:fldChar w:fldCharType="separate"/>
          </w:r>
          <w:r>
            <w:t>188</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"_Toc143762411" </w:instrText>
          </w:r>
          <w:r>
            <w:fldChar w:fldCharType="separate"/>
          </w:r>
          <w:r>
            <w:rPr>
              <w:rStyle w:val="142"/>
              <w:b w:val="0"/>
            </w:rPr>
            <w:t>11.2.1大气环境</w:t>
          </w:r>
          <w:r>
            <w:rPr>
              <w:b w:val="0"/>
            </w:rPr>
            <w:tab/>
          </w:r>
          <w:r>
            <w:rPr>
              <w:b w:val="0"/>
            </w:rPr>
            <w:fldChar w:fldCharType="begin"/>
          </w:r>
          <w:r>
            <w:rPr>
              <w:b w:val="0"/>
            </w:rPr>
            <w:instrText xml:space="preserve"> PAGEREF _Toc143762411 \h </w:instrText>
          </w:r>
          <w:r>
            <w:rPr>
              <w:b w:val="0"/>
            </w:rPr>
            <w:fldChar w:fldCharType="separate"/>
          </w:r>
          <w:r>
            <w:rPr>
              <w:b w:val="0"/>
            </w:rPr>
            <w:t>188</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"_Toc143762412" </w:instrText>
          </w:r>
          <w:r>
            <w:fldChar w:fldCharType="separate"/>
          </w:r>
          <w:r>
            <w:rPr>
              <w:rStyle w:val="142"/>
              <w:b w:val="0"/>
            </w:rPr>
            <w:t>11.2.2地下水</w:t>
          </w:r>
          <w:r>
            <w:rPr>
              <w:b w:val="0"/>
            </w:rPr>
            <w:tab/>
          </w:r>
          <w:r>
            <w:rPr>
              <w:b w:val="0"/>
            </w:rPr>
            <w:fldChar w:fldCharType="begin"/>
          </w:r>
          <w:r>
            <w:rPr>
              <w:b w:val="0"/>
            </w:rPr>
            <w:instrText xml:space="preserve"> PAGEREF _Toc143762412 \h </w:instrText>
          </w:r>
          <w:r>
            <w:rPr>
              <w:b w:val="0"/>
            </w:rPr>
            <w:fldChar w:fldCharType="separate"/>
          </w:r>
          <w:r>
            <w:rPr>
              <w:b w:val="0"/>
            </w:rPr>
            <w:t>188</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"_Toc143762413" </w:instrText>
          </w:r>
          <w:r>
            <w:fldChar w:fldCharType="separate"/>
          </w:r>
          <w:r>
            <w:rPr>
              <w:rStyle w:val="142"/>
              <w:b w:val="0"/>
            </w:rPr>
            <w:t>11.2.3土壤</w:t>
          </w:r>
          <w:r>
            <w:rPr>
              <w:b w:val="0"/>
            </w:rPr>
            <w:tab/>
          </w:r>
          <w:r>
            <w:rPr>
              <w:b w:val="0"/>
            </w:rPr>
            <w:fldChar w:fldCharType="begin"/>
          </w:r>
          <w:r>
            <w:rPr>
              <w:b w:val="0"/>
            </w:rPr>
            <w:instrText xml:space="preserve"> PAGEREF _Toc143762413 \h </w:instrText>
          </w:r>
          <w:r>
            <w:rPr>
              <w:b w:val="0"/>
            </w:rPr>
            <w:fldChar w:fldCharType="separate"/>
          </w:r>
          <w:r>
            <w:rPr>
              <w:b w:val="0"/>
            </w:rPr>
            <w:t>189</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"_Toc143762414" </w:instrText>
          </w:r>
          <w:r>
            <w:fldChar w:fldCharType="separate"/>
          </w:r>
          <w:r>
            <w:rPr>
              <w:rStyle w:val="142"/>
              <w:b w:val="0"/>
            </w:rPr>
            <w:t>11.2.4声环境</w:t>
          </w:r>
          <w:r>
            <w:rPr>
              <w:b w:val="0"/>
            </w:rPr>
            <w:tab/>
          </w:r>
          <w:r>
            <w:rPr>
              <w:b w:val="0"/>
            </w:rPr>
            <w:fldChar w:fldCharType="begin"/>
          </w:r>
          <w:r>
            <w:rPr>
              <w:b w:val="0"/>
            </w:rPr>
            <w:instrText xml:space="preserve"> PAGEREF _Toc143762414 \h </w:instrText>
          </w:r>
          <w:r>
            <w:rPr>
              <w:b w:val="0"/>
            </w:rPr>
            <w:fldChar w:fldCharType="separate"/>
          </w:r>
          <w:r>
            <w:rPr>
              <w:b w:val="0"/>
            </w:rPr>
            <w:t>189</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"_Toc143762415" </w:instrText>
          </w:r>
          <w:r>
            <w:fldChar w:fldCharType="separate"/>
          </w:r>
          <w:r>
            <w:rPr>
              <w:rStyle w:val="142"/>
            </w:rPr>
            <w:t>11.3污染防治措施</w:t>
          </w:r>
          <w:r>
            <w:tab/>
          </w:r>
          <w:r>
            <w:fldChar w:fldCharType="begin"/>
          </w:r>
          <w:r>
            <w:instrText xml:space="preserve"> PAGEREF _Toc143762415 \h </w:instrText>
          </w:r>
          <w:r>
            <w:fldChar w:fldCharType="separate"/>
          </w:r>
          <w:r>
            <w:t>190</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"_Toc143762416" </w:instrText>
          </w:r>
          <w:r>
            <w:fldChar w:fldCharType="separate"/>
          </w:r>
          <w:r>
            <w:rPr>
              <w:rStyle w:val="142"/>
              <w:b w:val="0"/>
            </w:rPr>
            <w:t>11.3.1环境空气污染防治措施</w:t>
          </w:r>
          <w:r>
            <w:rPr>
              <w:b w:val="0"/>
            </w:rPr>
            <w:tab/>
          </w:r>
          <w:r>
            <w:rPr>
              <w:b w:val="0"/>
            </w:rPr>
            <w:fldChar w:fldCharType="begin"/>
          </w:r>
          <w:r>
            <w:rPr>
              <w:b w:val="0"/>
            </w:rPr>
            <w:instrText xml:space="preserve"> PAGEREF _Toc143762416 \h </w:instrText>
          </w:r>
          <w:r>
            <w:rPr>
              <w:b w:val="0"/>
            </w:rPr>
            <w:fldChar w:fldCharType="separate"/>
          </w:r>
          <w:r>
            <w:rPr>
              <w:b w:val="0"/>
            </w:rPr>
            <w:t>190</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"_Toc143762417" </w:instrText>
          </w:r>
          <w:r>
            <w:fldChar w:fldCharType="separate"/>
          </w:r>
          <w:r>
            <w:rPr>
              <w:rStyle w:val="142"/>
              <w:b w:val="0"/>
            </w:rPr>
            <w:t>11.3.2水污染防治措施</w:t>
          </w:r>
          <w:r>
            <w:rPr>
              <w:b w:val="0"/>
            </w:rPr>
            <w:tab/>
          </w:r>
          <w:r>
            <w:rPr>
              <w:b w:val="0"/>
            </w:rPr>
            <w:fldChar w:fldCharType="begin"/>
          </w:r>
          <w:r>
            <w:rPr>
              <w:b w:val="0"/>
            </w:rPr>
            <w:instrText xml:space="preserve"> PAGEREF _Toc143762417 \h </w:instrText>
          </w:r>
          <w:r>
            <w:rPr>
              <w:b w:val="0"/>
            </w:rPr>
            <w:fldChar w:fldCharType="separate"/>
          </w:r>
          <w:r>
            <w:rPr>
              <w:b w:val="0"/>
            </w:rPr>
            <w:t>191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"_Toc143762418" </w:instrText>
          </w:r>
          <w:r>
            <w:fldChar w:fldCharType="separate"/>
          </w:r>
          <w:r>
            <w:rPr>
              <w:rStyle w:val="142"/>
              <w:b w:val="0"/>
            </w:rPr>
            <w:t>11.3.3 噪声污染防治措施</w:t>
          </w:r>
          <w:r>
            <w:rPr>
              <w:b w:val="0"/>
            </w:rPr>
            <w:tab/>
          </w:r>
          <w:r>
            <w:rPr>
              <w:b w:val="0"/>
            </w:rPr>
            <w:fldChar w:fldCharType="begin"/>
          </w:r>
          <w:r>
            <w:rPr>
              <w:b w:val="0"/>
            </w:rPr>
            <w:instrText xml:space="preserve"> PAGEREF _Toc143762418 \h </w:instrText>
          </w:r>
          <w:r>
            <w:rPr>
              <w:b w:val="0"/>
            </w:rPr>
            <w:fldChar w:fldCharType="separate"/>
          </w:r>
          <w:r>
            <w:rPr>
              <w:b w:val="0"/>
            </w:rPr>
            <w:t>191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"_Toc143762419" </w:instrText>
          </w:r>
          <w:r>
            <w:fldChar w:fldCharType="separate"/>
          </w:r>
          <w:r>
            <w:rPr>
              <w:rStyle w:val="142"/>
              <w:b w:val="0"/>
            </w:rPr>
            <w:t>11.3.4 固废污染防治措施</w:t>
          </w:r>
          <w:r>
            <w:rPr>
              <w:b w:val="0"/>
            </w:rPr>
            <w:tab/>
          </w:r>
          <w:r>
            <w:rPr>
              <w:b w:val="0"/>
            </w:rPr>
            <w:fldChar w:fldCharType="begin"/>
          </w:r>
          <w:r>
            <w:rPr>
              <w:b w:val="0"/>
            </w:rPr>
            <w:instrText xml:space="preserve"> PAGEREF _Toc143762419 \h </w:instrText>
          </w:r>
          <w:r>
            <w:rPr>
              <w:b w:val="0"/>
            </w:rPr>
            <w:fldChar w:fldCharType="separate"/>
          </w:r>
          <w:r>
            <w:rPr>
              <w:b w:val="0"/>
            </w:rPr>
            <w:t>191</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"_Toc143762420" </w:instrText>
          </w:r>
          <w:r>
            <w:fldChar w:fldCharType="separate"/>
          </w:r>
          <w:r>
            <w:rPr>
              <w:rStyle w:val="142"/>
            </w:rPr>
            <w:t>11.4环境影响预测评价</w:t>
          </w:r>
          <w:r>
            <w:tab/>
          </w:r>
          <w:r>
            <w:fldChar w:fldCharType="begin"/>
          </w:r>
          <w:r>
            <w:instrText xml:space="preserve"> PAGEREF _Toc143762420 \h </w:instrText>
          </w:r>
          <w:r>
            <w:fldChar w:fldCharType="separate"/>
          </w:r>
          <w:r>
            <w:t>191</w:t>
          </w:r>
          <w:r>
            <w:fldChar w:fldCharType="end"/>
          </w:r>
          <w: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"_Toc143762421" </w:instrText>
          </w:r>
          <w:r>
            <w:fldChar w:fldCharType="separate"/>
          </w:r>
          <w:r>
            <w:rPr>
              <w:rStyle w:val="142"/>
              <w:b w:val="0"/>
            </w:rPr>
            <w:t>11.4.1 环境空气影响评价结论</w:t>
          </w:r>
          <w:r>
            <w:rPr>
              <w:b w:val="0"/>
            </w:rPr>
            <w:tab/>
          </w:r>
          <w:r>
            <w:rPr>
              <w:b w:val="0"/>
            </w:rPr>
            <w:fldChar w:fldCharType="begin"/>
          </w:r>
          <w:r>
            <w:rPr>
              <w:b w:val="0"/>
            </w:rPr>
            <w:instrText xml:space="preserve"> PAGEREF _Toc143762421 \h </w:instrText>
          </w:r>
          <w:r>
            <w:rPr>
              <w:b w:val="0"/>
            </w:rPr>
            <w:fldChar w:fldCharType="separate"/>
          </w:r>
          <w:r>
            <w:rPr>
              <w:b w:val="0"/>
            </w:rPr>
            <w:t>191</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"_Toc143762422" </w:instrText>
          </w:r>
          <w:r>
            <w:fldChar w:fldCharType="separate"/>
          </w:r>
          <w:r>
            <w:rPr>
              <w:rStyle w:val="142"/>
              <w:b w:val="0"/>
            </w:rPr>
            <w:t>11.4.2 水环境影响分析结论</w:t>
          </w:r>
          <w:r>
            <w:rPr>
              <w:b w:val="0"/>
            </w:rPr>
            <w:tab/>
          </w:r>
          <w:r>
            <w:rPr>
              <w:b w:val="0"/>
            </w:rPr>
            <w:fldChar w:fldCharType="begin"/>
          </w:r>
          <w:r>
            <w:rPr>
              <w:b w:val="0"/>
            </w:rPr>
            <w:instrText xml:space="preserve"> PAGEREF _Toc143762422 \h </w:instrText>
          </w:r>
          <w:r>
            <w:rPr>
              <w:b w:val="0"/>
            </w:rPr>
            <w:fldChar w:fldCharType="separate"/>
          </w:r>
          <w:r>
            <w:rPr>
              <w:b w:val="0"/>
            </w:rPr>
            <w:t>192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"_Toc143762423" </w:instrText>
          </w:r>
          <w:r>
            <w:fldChar w:fldCharType="separate"/>
          </w:r>
          <w:r>
            <w:rPr>
              <w:rStyle w:val="142"/>
              <w:b w:val="0"/>
            </w:rPr>
            <w:t>11.4.3 固体废弃物</w:t>
          </w:r>
          <w:r>
            <w:rPr>
              <w:b w:val="0"/>
            </w:rPr>
            <w:tab/>
          </w:r>
          <w:r>
            <w:rPr>
              <w:b w:val="0"/>
            </w:rPr>
            <w:fldChar w:fldCharType="begin"/>
          </w:r>
          <w:r>
            <w:rPr>
              <w:b w:val="0"/>
            </w:rPr>
            <w:instrText xml:space="preserve"> PAGEREF _Toc143762423 \h </w:instrText>
          </w:r>
          <w:r>
            <w:rPr>
              <w:b w:val="0"/>
            </w:rPr>
            <w:fldChar w:fldCharType="separate"/>
          </w:r>
          <w:r>
            <w:rPr>
              <w:b w:val="0"/>
            </w:rPr>
            <w:t>192</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"_Toc143762424" </w:instrText>
          </w:r>
          <w:r>
            <w:fldChar w:fldCharType="separate"/>
          </w:r>
          <w:r>
            <w:rPr>
              <w:rStyle w:val="142"/>
              <w:b w:val="0"/>
            </w:rPr>
            <w:t>11.4.4 噪声</w:t>
          </w:r>
          <w:r>
            <w:rPr>
              <w:b w:val="0"/>
            </w:rPr>
            <w:tab/>
          </w:r>
          <w:r>
            <w:rPr>
              <w:b w:val="0"/>
            </w:rPr>
            <w:fldChar w:fldCharType="begin"/>
          </w:r>
          <w:r>
            <w:rPr>
              <w:b w:val="0"/>
            </w:rPr>
            <w:instrText xml:space="preserve"> PAGEREF _Toc143762424 \h </w:instrText>
          </w:r>
          <w:r>
            <w:rPr>
              <w:b w:val="0"/>
            </w:rPr>
            <w:fldChar w:fldCharType="separate"/>
          </w:r>
          <w:r>
            <w:rPr>
              <w:b w:val="0"/>
            </w:rPr>
            <w:t>193</w:t>
          </w:r>
          <w:r>
            <w:rPr>
              <w:b w:val="0"/>
            </w:rPr>
            <w:fldChar w:fldCharType="end"/>
          </w:r>
          <w:r>
            <w:rPr>
              <w:b w:val="0"/>
            </w:rPr>
            <w:fldChar w:fldCharType="end"/>
          </w:r>
        </w:p>
        <w:p>
          <w:pPr>
            <w:pStyle w:val="43"/>
            <w:rPr>
              <w:rFonts w:asciiTheme="minorHAnsi" w:hAnsiTheme="minorHAnsi" w:eastAsiaTheme="minorEastAsia" w:cstheme="minorBidi"/>
              <w:b w:val="0"/>
              <w:bCs w:val="0"/>
              <w:kern w:val="2"/>
              <w:szCs w:val="22"/>
            </w:rPr>
          </w:pPr>
          <w:r>
            <w:fldChar w:fldCharType="begin"/>
          </w:r>
          <w:r>
            <w:instrText xml:space="preserve"> HYPERLINK \l "_Toc143762425" </w:instrText>
          </w:r>
          <w:r>
            <w:fldChar w:fldCharType="separate"/>
          </w:r>
          <w:r>
            <w:rPr>
              <w:rStyle w:val="142"/>
              <w:b w:val="0"/>
            </w:rPr>
            <w:t>11.4.5 土壤环境</w:t>
          </w:r>
          <w:r>
            <w:rPr>
              <w:b w:val="0"/>
            </w:rPr>
            <w:tab/>
          </w:r>
          <w:r>
            <w:rPr>
              <w:b w:val="0"/>
            </w:rPr>
            <w:fldChar w:fldCharType="begin"/>
          </w:r>
          <w:r>
            <w:rPr>
              <w:b w:val="0"/>
            </w:rPr>
            <w:instrText xml:space="preserve"> PAGEREF _Toc143762425 \h </w:instrText>
          </w:r>
          <w:r>
            <w:rPr>
              <w:b w:val="0"/>
            </w:rPr>
            <w:fldChar w:fldCharType="separate"/>
          </w:r>
          <w:r>
            <w:rPr>
              <w:b w:val="0"/>
            </w:rPr>
            <w:t>193</w:t>
          </w:r>
          <w:r>
            <w:rPr>
              <w:b w:val="0"/>
            </w:rPr>
            <w:fldChar w:fldCharType="end"/>
          </w:r>
          <w:r>
            <w:rPr>
              <w:b w:val="0"/>
            </w:rP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"_Toc143762426" </w:instrText>
          </w:r>
          <w:r>
            <w:fldChar w:fldCharType="separate"/>
          </w:r>
          <w:r>
            <w:rPr>
              <w:rStyle w:val="142"/>
            </w:rPr>
            <w:t>11.5环境风险结论</w:t>
          </w:r>
          <w:r>
            <w:tab/>
          </w:r>
          <w:r>
            <w:fldChar w:fldCharType="begin"/>
          </w:r>
          <w:r>
            <w:instrText xml:space="preserve"> PAGEREF _Toc143762426 \h </w:instrText>
          </w:r>
          <w:r>
            <w:fldChar w:fldCharType="separate"/>
          </w:r>
          <w:r>
            <w:t>193</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"_Toc143762427" </w:instrText>
          </w:r>
          <w:r>
            <w:fldChar w:fldCharType="separate"/>
          </w:r>
          <w:r>
            <w:rPr>
              <w:rStyle w:val="142"/>
            </w:rPr>
            <w:t>11.6公众参与调查分析结论</w:t>
          </w:r>
          <w:r>
            <w:tab/>
          </w:r>
          <w:r>
            <w:fldChar w:fldCharType="begin"/>
          </w:r>
          <w:r>
            <w:instrText xml:space="preserve"> PAGEREF _Toc143762427 \h </w:instrText>
          </w:r>
          <w:r>
            <w:fldChar w:fldCharType="separate"/>
          </w:r>
          <w:r>
            <w:t>193</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"_Toc143762428" </w:instrText>
          </w:r>
          <w:r>
            <w:fldChar w:fldCharType="separate"/>
          </w:r>
          <w:r>
            <w:rPr>
              <w:rStyle w:val="142"/>
            </w:rPr>
            <w:t>11.7总结论</w:t>
          </w:r>
          <w:r>
            <w:tab/>
          </w:r>
          <w:r>
            <w:fldChar w:fldCharType="begin"/>
          </w:r>
          <w:r>
            <w:instrText xml:space="preserve"> PAGEREF _Toc143762428 \h </w:instrText>
          </w:r>
          <w:r>
            <w:fldChar w:fldCharType="separate"/>
          </w:r>
          <w:r>
            <w:t>194</w:t>
          </w:r>
          <w:r>
            <w:fldChar w:fldCharType="end"/>
          </w:r>
          <w:r>
            <w:fldChar w:fldCharType="end"/>
          </w:r>
        </w:p>
        <w:p>
          <w:pPr>
            <w:pStyle w:val="73"/>
            <w:tabs>
              <w:tab w:val="right" w:leader="middleDot" w:pos="8296"/>
            </w:tabs>
            <w:rPr>
              <w:rFonts w:asciiTheme="minorHAnsi" w:hAnsiTheme="minorHAnsi" w:eastAsiaTheme="minorEastAsia" w:cstheme="minorBidi"/>
              <w:szCs w:val="22"/>
            </w:rPr>
          </w:pPr>
          <w:r>
            <w:fldChar w:fldCharType="begin"/>
          </w:r>
          <w:r>
            <w:instrText xml:space="preserve"> HYPERLINK \l "_Toc143762429" </w:instrText>
          </w:r>
          <w:r>
            <w:fldChar w:fldCharType="separate"/>
          </w:r>
          <w:r>
            <w:rPr>
              <w:rStyle w:val="142"/>
            </w:rPr>
            <w:t>11.8 建议</w:t>
          </w:r>
          <w:r>
            <w:tab/>
          </w:r>
          <w:r>
            <w:fldChar w:fldCharType="begin"/>
          </w:r>
          <w:r>
            <w:instrText xml:space="preserve"> PAGEREF _Toc143762429 \h </w:instrText>
          </w:r>
          <w:r>
            <w:fldChar w:fldCharType="separate"/>
          </w:r>
          <w:r>
            <w:t>194</w:t>
          </w:r>
          <w:r>
            <w:fldChar w:fldCharType="end"/>
          </w:r>
          <w: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"_Toc143762430" </w:instrText>
          </w:r>
          <w:r>
            <w:fldChar w:fldCharType="separate"/>
          </w:r>
          <w:r>
            <w:rPr>
              <w:rStyle w:val="142"/>
              <w:b w:val="0"/>
            </w:rPr>
            <w:t>附件1 委托书</w:t>
          </w:r>
          <w:r>
            <w:rPr>
              <w:b w:val="0"/>
            </w:rPr>
            <w:tab/>
          </w:r>
          <w:r>
            <w:rPr>
              <w:b w:val="0"/>
            </w:rPr>
            <w:fldChar w:fldCharType="begin"/>
          </w:r>
          <w:r>
            <w:rPr>
              <w:b w:val="0"/>
            </w:rPr>
            <w:instrText xml:space="preserve"> PAGEREF _Toc143762430 \h </w:instrText>
          </w:r>
          <w:r>
            <w:rPr>
              <w:b w:val="0"/>
            </w:rPr>
            <w:fldChar w:fldCharType="separate"/>
          </w:r>
          <w:r>
            <w:rPr>
              <w:b w:val="0"/>
            </w:rPr>
            <w:t>195</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"_Toc143762431" </w:instrText>
          </w:r>
          <w:r>
            <w:fldChar w:fldCharType="separate"/>
          </w:r>
          <w:r>
            <w:rPr>
              <w:rStyle w:val="142"/>
              <w:b w:val="0"/>
            </w:rPr>
            <w:t>附件2 用地手续</w:t>
          </w:r>
          <w:r>
            <w:rPr>
              <w:b w:val="0"/>
            </w:rPr>
            <w:tab/>
          </w:r>
          <w:r>
            <w:rPr>
              <w:b w:val="0"/>
            </w:rPr>
            <w:fldChar w:fldCharType="begin"/>
          </w:r>
          <w:r>
            <w:rPr>
              <w:b w:val="0"/>
            </w:rPr>
            <w:instrText xml:space="preserve"> PAGEREF _Toc143762431 \h </w:instrText>
          </w:r>
          <w:r>
            <w:rPr>
              <w:b w:val="0"/>
            </w:rPr>
            <w:fldChar w:fldCharType="separate"/>
          </w:r>
          <w:r>
            <w:rPr>
              <w:b w:val="0"/>
            </w:rPr>
            <w:t>196</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"_Toc143762432" </w:instrText>
          </w:r>
          <w:r>
            <w:fldChar w:fldCharType="separate"/>
          </w:r>
          <w:r>
            <w:rPr>
              <w:rStyle w:val="142"/>
              <w:b w:val="0"/>
            </w:rPr>
            <w:t>附件3 备案表</w:t>
          </w:r>
          <w:r>
            <w:rPr>
              <w:b w:val="0"/>
            </w:rPr>
            <w:tab/>
          </w:r>
          <w:r>
            <w:rPr>
              <w:b w:val="0"/>
            </w:rPr>
            <w:fldChar w:fldCharType="begin"/>
          </w:r>
          <w:r>
            <w:rPr>
              <w:b w:val="0"/>
            </w:rPr>
            <w:instrText xml:space="preserve"> PAGEREF _Toc143762432 \h </w:instrText>
          </w:r>
          <w:r>
            <w:rPr>
              <w:b w:val="0"/>
            </w:rPr>
            <w:fldChar w:fldCharType="separate"/>
          </w:r>
          <w:r>
            <w:rPr>
              <w:b w:val="0"/>
            </w:rPr>
            <w:t>199</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"_Toc143762433" </w:instrText>
          </w:r>
          <w:r>
            <w:fldChar w:fldCharType="separate"/>
          </w:r>
          <w:r>
            <w:rPr>
              <w:rStyle w:val="142"/>
              <w:b w:val="0"/>
            </w:rPr>
            <w:t>附件4 立项文件</w:t>
          </w:r>
          <w:r>
            <w:rPr>
              <w:b w:val="0"/>
            </w:rPr>
            <w:tab/>
          </w:r>
          <w:r>
            <w:rPr>
              <w:b w:val="0"/>
            </w:rPr>
            <w:fldChar w:fldCharType="begin"/>
          </w:r>
          <w:r>
            <w:rPr>
              <w:b w:val="0"/>
            </w:rPr>
            <w:instrText xml:space="preserve"> PAGEREF _Toc143762433 \h </w:instrText>
          </w:r>
          <w:r>
            <w:rPr>
              <w:b w:val="0"/>
            </w:rPr>
            <w:fldChar w:fldCharType="separate"/>
          </w:r>
          <w:r>
            <w:rPr>
              <w:b w:val="0"/>
            </w:rPr>
            <w:t>200</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"_Toc143762434" </w:instrText>
          </w:r>
          <w:r>
            <w:fldChar w:fldCharType="separate"/>
          </w:r>
          <w:r>
            <w:rPr>
              <w:rStyle w:val="142"/>
              <w:b w:val="0"/>
            </w:rPr>
            <w:t>附件5 营业执照</w:t>
          </w:r>
          <w:r>
            <w:rPr>
              <w:b w:val="0"/>
            </w:rPr>
            <w:tab/>
          </w:r>
          <w:r>
            <w:rPr>
              <w:b w:val="0"/>
            </w:rPr>
            <w:fldChar w:fldCharType="begin"/>
          </w:r>
          <w:r>
            <w:rPr>
              <w:b w:val="0"/>
            </w:rPr>
            <w:instrText xml:space="preserve"> PAGEREF _Toc143762434 \h </w:instrText>
          </w:r>
          <w:r>
            <w:rPr>
              <w:b w:val="0"/>
            </w:rPr>
            <w:fldChar w:fldCharType="separate"/>
          </w:r>
          <w:r>
            <w:rPr>
              <w:b w:val="0"/>
            </w:rPr>
            <w:t>202</w:t>
          </w:r>
          <w:r>
            <w:rPr>
              <w:b w:val="0"/>
            </w:rPr>
            <w:fldChar w:fldCharType="end"/>
          </w:r>
          <w:r>
            <w:rPr>
              <w:b w:val="0"/>
            </w:rPr>
            <w:fldChar w:fldCharType="end"/>
          </w:r>
        </w:p>
        <w:p>
          <w:pPr>
            <w:pStyle w:val="58"/>
            <w:rPr>
              <w:rFonts w:asciiTheme="minorHAnsi" w:hAnsiTheme="minorHAnsi" w:eastAsiaTheme="minorEastAsia" w:cstheme="minorBidi"/>
              <w:b w:val="0"/>
              <w:bCs w:val="0"/>
              <w:kern w:val="2"/>
              <w:szCs w:val="22"/>
            </w:rPr>
          </w:pPr>
          <w:r>
            <w:fldChar w:fldCharType="begin"/>
          </w:r>
          <w:r>
            <w:instrText xml:space="preserve"> HYPERLINK \l "_Toc143762435" </w:instrText>
          </w:r>
          <w:r>
            <w:fldChar w:fldCharType="separate"/>
          </w:r>
          <w:r>
            <w:rPr>
              <w:rStyle w:val="142"/>
              <w:b w:val="0"/>
            </w:rPr>
            <w:t>附件6 未批先建处罚情况</w:t>
          </w:r>
          <w:r>
            <w:rPr>
              <w:b w:val="0"/>
            </w:rPr>
            <w:tab/>
          </w:r>
          <w:r>
            <w:rPr>
              <w:b w:val="0"/>
            </w:rPr>
            <w:fldChar w:fldCharType="begin"/>
          </w:r>
          <w:r>
            <w:rPr>
              <w:b w:val="0"/>
            </w:rPr>
            <w:instrText xml:space="preserve"> PAGEREF _Toc143762435 \h </w:instrText>
          </w:r>
          <w:r>
            <w:rPr>
              <w:b w:val="0"/>
            </w:rPr>
            <w:fldChar w:fldCharType="separate"/>
          </w:r>
          <w:r>
            <w:rPr>
              <w:b w:val="0"/>
            </w:rPr>
            <w:t>203</w:t>
          </w:r>
          <w:r>
            <w:rPr>
              <w:b w:val="0"/>
            </w:rPr>
            <w:fldChar w:fldCharType="end"/>
          </w:r>
          <w:r>
            <w:rPr>
              <w:b w:val="0"/>
            </w:rPr>
            <w:fldChar w:fldCharType="end"/>
          </w:r>
        </w:p>
        <w:p>
          <w:r>
            <w:rPr>
              <w:bCs/>
              <w:lang w:val="zh-CN"/>
            </w:rPr>
            <w:fldChar w:fldCharType="end"/>
          </w:r>
        </w:p>
      </w:sdtContent>
    </w:sdt>
    <w:p>
      <w:pPr>
        <w:pStyle w:val="823"/>
        <w:pageBreakBefore w:val="0"/>
        <w:adjustRightInd/>
        <w:spacing w:before="156" w:beforeLines="50" w:after="156" w:afterLines="50" w:line="360" w:lineRule="auto"/>
        <w:jc w:val="center"/>
        <w:outlineLvl w:val="9"/>
        <w:rPr>
          <w:rFonts w:cs="Times New Roman"/>
          <w:b w:val="0"/>
          <w:sz w:val="24"/>
          <w:szCs w:val="24"/>
        </w:rPr>
      </w:pPr>
    </w:p>
    <w:p>
      <w:pPr>
        <w:pStyle w:val="823"/>
        <w:adjustRightInd/>
        <w:spacing w:before="156" w:beforeLines="50" w:after="156" w:afterLines="50" w:line="360" w:lineRule="auto"/>
        <w:jc w:val="center"/>
        <w:rPr>
          <w:rFonts w:cs="Times New Roman"/>
          <w:b w:val="0"/>
        </w:rPr>
        <w:sectPr>
          <w:pgSz w:w="11906" w:h="16838"/>
          <w:pgMar w:top="1440" w:right="1800" w:bottom="1440" w:left="1800" w:header="851" w:footer="992" w:gutter="0"/>
          <w:pgNumType w:fmt="upperRoman" w:start="1"/>
          <w:cols w:space="720" w:num="1"/>
          <w:docGrid w:type="lines" w:linePitch="312" w:charSpace="0"/>
        </w:sectPr>
      </w:pPr>
    </w:p>
    <w:p>
      <w:pPr>
        <w:pStyle w:val="823"/>
        <w:adjustRightInd/>
        <w:spacing w:before="156" w:beforeLines="50" w:after="156" w:afterLines="50" w:line="360" w:lineRule="auto"/>
        <w:rPr>
          <w:rFonts w:cs="Times New Roman"/>
        </w:rPr>
      </w:pPr>
      <w:bookmarkStart w:id="9" w:name="_Toc143762273"/>
      <w:r>
        <w:rPr>
          <w:rFonts w:cs="Times New Roman"/>
        </w:rPr>
        <w:t>1</w:t>
      </w:r>
      <w:bookmarkEnd w:id="1"/>
      <w:r>
        <w:rPr>
          <w:rFonts w:hint="eastAsia" w:cs="Times New Roman"/>
        </w:rPr>
        <w:t>概述</w:t>
      </w:r>
      <w:bookmarkEnd w:id="9"/>
    </w:p>
    <w:p>
      <w:pPr>
        <w:pStyle w:val="347"/>
        <w:keepNext w:val="0"/>
        <w:topLinePunct w:val="0"/>
        <w:spacing w:before="156" w:beforeLines="50" w:after="156" w:afterLines="50" w:line="360" w:lineRule="auto"/>
        <w:rPr>
          <w:rFonts w:cs="Times New Roman"/>
        </w:rPr>
      </w:pPr>
      <w:bookmarkStart w:id="10" w:name="_Toc489432940"/>
      <w:bookmarkStart w:id="11" w:name="_Toc143762274"/>
      <w:r>
        <w:rPr>
          <w:rFonts w:cs="Times New Roman"/>
        </w:rPr>
        <w:t>1.1建设项目特点</w:t>
      </w:r>
      <w:bookmarkEnd w:id="10"/>
      <w:bookmarkEnd w:id="11"/>
    </w:p>
    <w:p>
      <w:pPr>
        <w:spacing w:line="360" w:lineRule="auto"/>
        <w:ind w:firstLine="480" w:firstLineChars="200"/>
        <w:rPr>
          <w:kern w:val="0"/>
          <w:sz w:val="24"/>
        </w:rPr>
      </w:pPr>
      <w:bookmarkStart w:id="12" w:name="_Toc144835024"/>
      <w:bookmarkStart w:id="13" w:name="_Toc148972421"/>
      <w:bookmarkStart w:id="14" w:name="_Toc184541531"/>
      <w:bookmarkStart w:id="15" w:name="_Toc177204347"/>
      <w:bookmarkStart w:id="16" w:name="_Toc144833686"/>
      <w:bookmarkStart w:id="17" w:name="_Toc144834420"/>
      <w:bookmarkStart w:id="18" w:name="_Toc145169395"/>
      <w:bookmarkStart w:id="19" w:name="_Toc205715478"/>
      <w:bookmarkStart w:id="20" w:name="_Toc195111559"/>
      <w:r>
        <w:rPr>
          <w:rFonts w:hint="eastAsia"/>
          <w:kern w:val="0"/>
          <w:sz w:val="24"/>
        </w:rPr>
        <w:t>五原县复兴镇生活垃圾无害化处理场由</w:t>
      </w:r>
      <w:r>
        <w:rPr>
          <w:rFonts w:hint="eastAsia"/>
          <w:bCs/>
          <w:kern w:val="0"/>
          <w:sz w:val="24"/>
        </w:rPr>
        <w:t>五原县环境卫生服务中心建设，项目</w:t>
      </w:r>
      <w:r>
        <w:rPr>
          <w:rFonts w:hint="eastAsia"/>
          <w:kern w:val="0"/>
          <w:sz w:val="24"/>
        </w:rPr>
        <w:t>位于县城西南32公里处，总投资2097万元，</w:t>
      </w:r>
      <w:r>
        <w:rPr>
          <w:rFonts w:hint="eastAsia"/>
          <w:sz w:val="24"/>
        </w:rPr>
        <w:t>填埋场库区占地面积41856平方米，</w:t>
      </w:r>
      <w:r>
        <w:rPr>
          <w:rFonts w:hint="eastAsia"/>
          <w:kern w:val="0"/>
          <w:sz w:val="24"/>
        </w:rPr>
        <w:t>库容30.5万立方米，设计规模为日处理生活垃圾50吨，已填埋量4.05万m</w:t>
      </w:r>
      <w:r>
        <w:rPr>
          <w:rFonts w:hint="eastAsia"/>
          <w:kern w:val="0"/>
          <w:sz w:val="24"/>
          <w:vertAlign w:val="superscript"/>
        </w:rPr>
        <w:t>3</w:t>
      </w:r>
      <w:r>
        <w:rPr>
          <w:rFonts w:hint="eastAsia"/>
          <w:kern w:val="0"/>
          <w:sz w:val="24"/>
        </w:rPr>
        <w:t>，设计剩余使用期限为12年。</w:t>
      </w:r>
    </w:p>
    <w:p>
      <w:pPr>
        <w:spacing w:line="360" w:lineRule="auto"/>
        <w:ind w:firstLine="480" w:firstLineChars="200"/>
        <w:rPr>
          <w:color w:val="FF0000"/>
          <w:kern w:val="0"/>
          <w:sz w:val="24"/>
        </w:rPr>
      </w:pPr>
      <w:r>
        <w:rPr>
          <w:color w:val="FF0000"/>
          <w:kern w:val="0"/>
          <w:sz w:val="24"/>
        </w:rPr>
        <w:t>填埋场于2015年4月16日取得五原县发展和改革局批复的立项批复（五发改字[2015]82号）。填埋场于2017年开工建设，2018年建成，2019年投入运行，运行状态正常。项目</w:t>
      </w:r>
      <w:r>
        <w:rPr>
          <w:bCs/>
          <w:color w:val="FF0000"/>
          <w:spacing w:val="11"/>
          <w:sz w:val="24"/>
        </w:rPr>
        <w:t>成立之初由内蒙古新创环境科技有限公司编制了环评报告，但由于双方资金问题，环评报告未进行审批，导致项目未取得环保部门批复，</w:t>
      </w:r>
      <w:r>
        <w:rPr>
          <w:color w:val="FF0000"/>
          <w:kern w:val="0"/>
          <w:sz w:val="24"/>
        </w:rPr>
        <w:t>属于“未批先建”项目，项目“未批先建”处罚情况见附件6</w:t>
      </w:r>
      <w:r>
        <w:rPr>
          <w:bCs/>
          <w:color w:val="FF0000"/>
          <w:spacing w:val="11"/>
          <w:sz w:val="24"/>
        </w:rPr>
        <w:t>。五原县环境卫生服务中心为完善本项目的环评手续，</w:t>
      </w:r>
      <w:r>
        <w:rPr>
          <w:color w:val="FF0000"/>
          <w:sz w:val="24"/>
        </w:rPr>
        <w:t>委托我公司承担该项目的环境影响评价工作。</w:t>
      </w:r>
    </w:p>
    <w:p>
      <w:pPr>
        <w:spacing w:line="360" w:lineRule="auto"/>
        <w:ind w:firstLine="480" w:firstLineChars="200"/>
        <w:rPr>
          <w:sz w:val="24"/>
        </w:rPr>
      </w:pPr>
      <w:r>
        <w:rPr>
          <w:sz w:val="24"/>
        </w:rPr>
        <w:t>根据</w:t>
      </w:r>
      <w:r>
        <w:rPr>
          <w:rFonts w:hint="eastAsia"/>
          <w:sz w:val="24"/>
        </w:rPr>
        <w:t>《建设项目环境影响评价分类管理名录》（2021年版），本项目属于“四十八、公共设施管理业 10</w:t>
      </w:r>
      <w:r>
        <w:rPr>
          <w:sz w:val="24"/>
        </w:rPr>
        <w:t>6</w:t>
      </w:r>
      <w:r>
        <w:rPr>
          <w:rFonts w:hint="eastAsia"/>
          <w:sz w:val="24"/>
        </w:rPr>
        <w:t>生活垃圾（含餐厨废弃物）集中处置（生活垃圾发电除外）—采取填埋方式的；其他处置方式日处理能力5</w:t>
      </w:r>
      <w:r>
        <w:rPr>
          <w:sz w:val="24"/>
        </w:rPr>
        <w:t>0</w:t>
      </w:r>
      <w:r>
        <w:rPr>
          <w:rFonts w:hint="eastAsia"/>
          <w:sz w:val="24"/>
        </w:rPr>
        <w:t>吨及以上的”，应编制环境影响报告书。</w:t>
      </w:r>
      <w:r>
        <w:rPr>
          <w:sz w:val="24"/>
        </w:rPr>
        <w:t>接受委托后，我单位即派技术人员进行现场踏勘，收集了场址地区的环境等基础资料。在调研与资料整理过程中，及时向当地环保行政主管部门了解地方环保法规并征询意见，在工程分析、环境质量现状监测的基础上，编制完成了本报告书，现呈报</w:t>
      </w:r>
      <w:r>
        <w:rPr>
          <w:rFonts w:hint="eastAsia"/>
          <w:sz w:val="24"/>
        </w:rPr>
        <w:t>贵</w:t>
      </w:r>
      <w:r>
        <w:rPr>
          <w:sz w:val="24"/>
        </w:rPr>
        <w:t>局审批。</w:t>
      </w:r>
    </w:p>
    <w:p>
      <w:pPr>
        <w:pStyle w:val="347"/>
        <w:keepNext w:val="0"/>
        <w:topLinePunct w:val="0"/>
        <w:spacing w:before="156" w:beforeLines="50" w:after="156" w:afterLines="50" w:line="360" w:lineRule="auto"/>
        <w:rPr>
          <w:rFonts w:cs="Times New Roman"/>
        </w:rPr>
      </w:pPr>
      <w:bookmarkStart w:id="21" w:name="_Toc489432941"/>
      <w:bookmarkStart w:id="22" w:name="_Toc143762275"/>
      <w:r>
        <w:rPr>
          <w:rFonts w:cs="Times New Roman"/>
        </w:rPr>
        <w:t>1.2环境影响评价过程</w:t>
      </w:r>
      <w:bookmarkEnd w:id="21"/>
      <w:bookmarkEnd w:id="22"/>
    </w:p>
    <w:p>
      <w:pPr>
        <w:spacing w:line="360" w:lineRule="auto"/>
        <w:ind w:firstLine="480" w:firstLineChars="200"/>
        <w:rPr>
          <w:sz w:val="24"/>
        </w:rPr>
      </w:pPr>
      <w:r>
        <w:rPr>
          <w:rFonts w:hint="eastAsia"/>
          <w:sz w:val="24"/>
        </w:rPr>
        <w:t>本次环评主要分为三个阶段，即调查分析和工作方案制定阶段，分析论证和预测评价阶段，环境影响评价报告书编制阶段</w:t>
      </w:r>
      <w:r>
        <w:rPr>
          <w:sz w:val="24"/>
        </w:rPr>
        <w:t>，工作程序见图1.2-1。</w:t>
      </w:r>
    </w:p>
    <w:p>
      <w:pPr>
        <w:spacing w:line="360" w:lineRule="auto"/>
        <w:ind w:firstLine="420" w:firstLineChars="200"/>
        <w:rPr>
          <w:szCs w:val="21"/>
        </w:rPr>
      </w:pPr>
    </w:p>
    <w:p>
      <w:pPr>
        <w:spacing w:line="360" w:lineRule="auto"/>
        <w:ind w:firstLine="420" w:firstLineChars="200"/>
        <w:rPr>
          <w:szCs w:val="21"/>
        </w:rPr>
      </w:pPr>
    </w:p>
    <w:p>
      <w:pPr>
        <w:spacing w:line="360" w:lineRule="auto"/>
        <w:ind w:firstLine="420" w:firstLineChars="200"/>
        <w:rPr>
          <w:szCs w:val="21"/>
        </w:rPr>
      </w:pPr>
    </w:p>
    <w:p>
      <w:pPr>
        <w:spacing w:line="360" w:lineRule="auto"/>
        <w:rPr>
          <w:szCs w:val="21"/>
        </w:rPr>
      </w:pPr>
      <w:r>
        <w:rPr>
          <w:szCs w:val="21"/>
        </w:rPr>
        <w:drawing>
          <wp:inline distT="0" distB="0" distL="0" distR="0">
            <wp:extent cx="5274310" cy="5032375"/>
            <wp:effectExtent l="19050" t="1905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74310" cy="5032375"/>
                    </a:xfrm>
                    <a:prstGeom prst="rect">
                      <a:avLst/>
                    </a:prstGeom>
                    <a:ln>
                      <a:solidFill>
                        <a:schemeClr val="tx1"/>
                      </a:solidFill>
                    </a:ln>
                  </pic:spPr>
                </pic:pic>
              </a:graphicData>
            </a:graphic>
          </wp:inline>
        </w:drawing>
      </w:r>
    </w:p>
    <w:p>
      <w:pPr>
        <w:spacing w:line="360" w:lineRule="auto"/>
        <w:jc w:val="center"/>
        <w:rPr>
          <w:b/>
          <w:szCs w:val="21"/>
        </w:rPr>
      </w:pPr>
      <w:r>
        <w:rPr>
          <w:b/>
          <w:sz w:val="24"/>
        </w:rPr>
        <w:t>图1.2-1 环境影响评价工作程序</w:t>
      </w:r>
    </w:p>
    <w:p>
      <w:pPr>
        <w:pStyle w:val="347"/>
        <w:keepNext w:val="0"/>
        <w:topLinePunct w:val="0"/>
        <w:spacing w:before="156" w:beforeLines="50" w:after="156" w:afterLines="50" w:line="360" w:lineRule="auto"/>
        <w:rPr>
          <w:rFonts w:cs="Times New Roman"/>
        </w:rPr>
      </w:pPr>
      <w:bookmarkStart w:id="23" w:name="_Toc143762276"/>
      <w:bookmarkStart w:id="24" w:name="_Toc489432942"/>
      <w:r>
        <w:rPr>
          <w:rFonts w:cs="Times New Roman"/>
        </w:rPr>
        <w:t>1.3 分析判定相关情况</w:t>
      </w:r>
      <w:bookmarkEnd w:id="23"/>
    </w:p>
    <w:p>
      <w:pPr>
        <w:pStyle w:val="347"/>
        <w:keepNext w:val="0"/>
        <w:topLinePunct w:val="0"/>
        <w:spacing w:before="0" w:after="0" w:line="360" w:lineRule="auto"/>
        <w:ind w:firstLine="480" w:firstLineChars="200"/>
        <w:outlineLvl w:val="9"/>
        <w:rPr>
          <w:rFonts w:cs="Times New Roman"/>
          <w:b w:val="0"/>
          <w:sz w:val="24"/>
          <w:szCs w:val="24"/>
        </w:rPr>
      </w:pPr>
      <w:r>
        <w:rPr>
          <w:rFonts w:hint="eastAsia" w:cs="Times New Roman"/>
          <w:b w:val="0"/>
          <w:sz w:val="24"/>
          <w:szCs w:val="24"/>
        </w:rPr>
        <w:t>1、与产业政策的符合性</w:t>
      </w:r>
    </w:p>
    <w:p>
      <w:pPr>
        <w:spacing w:line="360" w:lineRule="auto"/>
        <w:ind w:firstLine="480" w:firstLineChars="200"/>
        <w:rPr>
          <w:sz w:val="24"/>
        </w:rPr>
      </w:pPr>
      <w:r>
        <w:rPr>
          <w:rFonts w:hint="eastAsia"/>
          <w:sz w:val="24"/>
        </w:rPr>
        <w:t>根据中华人民共和国国家发展和改革委员《产业结构调整指导目录（2019年本）》及其2021年修改决定，本项目属于“鼓励类第四十三、环境保护与资源节约综合利用20.城镇垃圾、农村生活垃圾、农村生活污水、污泥及其他固体废弃物减量化、资源化、无害化处理和综合利用工程”，符合《产业结构调整指导目录（2019年本）》及其2021年修改要求。</w:t>
      </w:r>
    </w:p>
    <w:p>
      <w:pPr>
        <w:pStyle w:val="939"/>
        <w:ind w:firstLine="480"/>
      </w:pPr>
      <w:r>
        <w:t>2</w:t>
      </w:r>
      <w:r>
        <w:rPr>
          <w:rFonts w:hint="eastAsia"/>
        </w:rPr>
        <w:t>、选址合理性分析</w:t>
      </w:r>
    </w:p>
    <w:p>
      <w:pPr>
        <w:pStyle w:val="939"/>
        <w:ind w:firstLine="480"/>
        <w:rPr>
          <w:szCs w:val="32"/>
        </w:rPr>
      </w:pPr>
      <w:r>
        <w:rPr>
          <w:szCs w:val="32"/>
        </w:rPr>
        <w:fldChar w:fldCharType="begin"/>
      </w:r>
      <w:r>
        <w:rPr>
          <w:szCs w:val="32"/>
        </w:rPr>
        <w:instrText xml:space="preserve"> </w:instrText>
      </w:r>
      <w:r>
        <w:rPr>
          <w:rFonts w:hint="eastAsia"/>
          <w:szCs w:val="32"/>
        </w:rPr>
        <w:instrText xml:space="preserve">= 1 \* GB3</w:instrText>
      </w:r>
      <w:r>
        <w:rPr>
          <w:szCs w:val="32"/>
        </w:rPr>
        <w:instrText xml:space="preserve"> </w:instrText>
      </w:r>
      <w:r>
        <w:rPr>
          <w:szCs w:val="32"/>
        </w:rPr>
        <w:fldChar w:fldCharType="separate"/>
      </w:r>
      <w:r>
        <w:rPr>
          <w:rFonts w:hint="eastAsia"/>
          <w:szCs w:val="32"/>
        </w:rPr>
        <w:t>①</w:t>
      </w:r>
      <w:r>
        <w:rPr>
          <w:szCs w:val="32"/>
        </w:rPr>
        <w:fldChar w:fldCharType="end"/>
      </w:r>
      <w:r>
        <w:rPr>
          <w:rFonts w:hint="eastAsia"/>
          <w:szCs w:val="32"/>
        </w:rPr>
        <w:t>与</w:t>
      </w:r>
      <w:r>
        <w:t>《</w:t>
      </w:r>
      <w:r>
        <w:rPr>
          <w:rFonts w:hint="eastAsia"/>
        </w:rPr>
        <w:t>生活垃圾卫生</w:t>
      </w:r>
      <w:r>
        <w:t>填埋处理技术规范》</w:t>
      </w:r>
      <w:r>
        <w:rPr>
          <w:rFonts w:hint="eastAsia"/>
        </w:rPr>
        <w:t>符合性</w:t>
      </w:r>
    </w:p>
    <w:p>
      <w:pPr>
        <w:spacing w:line="360" w:lineRule="auto"/>
        <w:ind w:firstLine="480" w:firstLineChars="200"/>
        <w:rPr>
          <w:kern w:val="0"/>
          <w:sz w:val="24"/>
        </w:rPr>
      </w:pPr>
      <w:r>
        <w:rPr>
          <w:kern w:val="0"/>
          <w:sz w:val="24"/>
        </w:rPr>
        <w:t>根据《</w:t>
      </w:r>
      <w:r>
        <w:rPr>
          <w:rFonts w:hint="eastAsia"/>
          <w:kern w:val="0"/>
          <w:sz w:val="24"/>
        </w:rPr>
        <w:t>生活垃圾卫生</w:t>
      </w:r>
      <w:r>
        <w:rPr>
          <w:kern w:val="0"/>
          <w:sz w:val="24"/>
        </w:rPr>
        <w:t>填埋处理技术规范》（GB50869-2013）有关规定，填埋场的场址选择应符合下列规定：</w:t>
      </w:r>
    </w:p>
    <w:p>
      <w:pPr>
        <w:spacing w:line="500" w:lineRule="exact"/>
        <w:ind w:firstLine="482"/>
        <w:jc w:val="center"/>
        <w:rPr>
          <w:b/>
          <w:sz w:val="24"/>
        </w:rPr>
      </w:pPr>
      <w:r>
        <w:rPr>
          <w:b/>
          <w:sz w:val="24"/>
        </w:rPr>
        <w:t xml:space="preserve">表1.3-1 </w:t>
      </w:r>
      <w:r>
        <w:rPr>
          <w:b/>
          <w:kern w:val="0"/>
          <w:sz w:val="24"/>
        </w:rPr>
        <w:t>《</w:t>
      </w:r>
      <w:r>
        <w:rPr>
          <w:rFonts w:hint="eastAsia"/>
          <w:b/>
          <w:kern w:val="0"/>
          <w:sz w:val="24"/>
        </w:rPr>
        <w:t>生活垃圾卫生</w:t>
      </w:r>
      <w:r>
        <w:rPr>
          <w:b/>
          <w:kern w:val="0"/>
          <w:sz w:val="24"/>
        </w:rPr>
        <w:t>填埋处理技术规范》（GB50869-2013）</w:t>
      </w:r>
      <w:r>
        <w:rPr>
          <w:rFonts w:hint="eastAsia"/>
          <w:b/>
          <w:kern w:val="0"/>
          <w:sz w:val="24"/>
        </w:rPr>
        <w:t>选</w:t>
      </w:r>
      <w:r>
        <w:rPr>
          <w:b/>
          <w:sz w:val="24"/>
        </w:rPr>
        <w:t>址分析</w:t>
      </w:r>
    </w:p>
    <w:tbl>
      <w:tblPr>
        <w:tblStyle w:val="8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3402"/>
        <w:gridCol w:w="3389"/>
        <w:gridCol w:w="9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序号</w:t>
            </w:r>
          </w:p>
        </w:tc>
        <w:tc>
          <w:tcPr>
            <w:tcW w:w="3402" w:type="dxa"/>
            <w:vAlign w:val="center"/>
          </w:tcPr>
          <w:p>
            <w:pPr>
              <w:adjustRightInd w:val="0"/>
              <w:snapToGrid w:val="0"/>
              <w:jc w:val="center"/>
              <w:rPr>
                <w:kern w:val="0"/>
                <w:szCs w:val="21"/>
              </w:rPr>
            </w:pPr>
            <w:r>
              <w:rPr>
                <w:rFonts w:hint="eastAsia"/>
                <w:kern w:val="0"/>
                <w:szCs w:val="21"/>
              </w:rPr>
              <w:t>相关</w:t>
            </w:r>
            <w:r>
              <w:rPr>
                <w:kern w:val="0"/>
                <w:szCs w:val="21"/>
              </w:rPr>
              <w:t>选址要求</w:t>
            </w:r>
          </w:p>
        </w:tc>
        <w:tc>
          <w:tcPr>
            <w:tcW w:w="3389" w:type="dxa"/>
            <w:vAlign w:val="center"/>
          </w:tcPr>
          <w:p>
            <w:pPr>
              <w:adjustRightInd w:val="0"/>
              <w:snapToGrid w:val="0"/>
              <w:jc w:val="center"/>
              <w:rPr>
                <w:kern w:val="0"/>
                <w:szCs w:val="21"/>
              </w:rPr>
            </w:pPr>
            <w:r>
              <w:rPr>
                <w:kern w:val="0"/>
                <w:szCs w:val="21"/>
              </w:rPr>
              <w:t>本项目选址条件</w:t>
            </w:r>
          </w:p>
        </w:tc>
        <w:tc>
          <w:tcPr>
            <w:tcW w:w="914" w:type="dxa"/>
            <w:vAlign w:val="center"/>
          </w:tcPr>
          <w:p>
            <w:pPr>
              <w:adjustRightInd w:val="0"/>
              <w:snapToGrid w:val="0"/>
              <w:jc w:val="center"/>
              <w:rPr>
                <w:kern w:val="0"/>
                <w:szCs w:val="21"/>
              </w:rPr>
            </w:pPr>
            <w:r>
              <w:rPr>
                <w:kern w:val="0"/>
                <w:szCs w:val="21"/>
              </w:rPr>
              <w:t>符合性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1</w:t>
            </w:r>
          </w:p>
        </w:tc>
        <w:tc>
          <w:tcPr>
            <w:tcW w:w="3402" w:type="dxa"/>
            <w:vAlign w:val="center"/>
          </w:tcPr>
          <w:p>
            <w:pPr>
              <w:adjustRightInd w:val="0"/>
              <w:snapToGrid w:val="0"/>
              <w:jc w:val="center"/>
              <w:rPr>
                <w:kern w:val="0"/>
                <w:szCs w:val="21"/>
              </w:rPr>
            </w:pPr>
            <w:r>
              <w:rPr>
                <w:kern w:val="0"/>
                <w:szCs w:val="21"/>
              </w:rPr>
              <w:t>不应设在地下水集中供水水源地及补给区，水源保护区</w:t>
            </w:r>
          </w:p>
        </w:tc>
        <w:tc>
          <w:tcPr>
            <w:tcW w:w="3389" w:type="dxa"/>
            <w:vAlign w:val="center"/>
          </w:tcPr>
          <w:p>
            <w:pPr>
              <w:adjustRightInd w:val="0"/>
              <w:snapToGrid w:val="0"/>
              <w:jc w:val="center"/>
              <w:rPr>
                <w:kern w:val="0"/>
                <w:szCs w:val="21"/>
              </w:rPr>
            </w:pPr>
            <w:r>
              <w:rPr>
                <w:kern w:val="0"/>
                <w:szCs w:val="21"/>
              </w:rPr>
              <w:t>拟选场址区域</w:t>
            </w:r>
            <w:r>
              <w:rPr>
                <w:rFonts w:hint="eastAsia"/>
                <w:kern w:val="0"/>
                <w:szCs w:val="21"/>
              </w:rPr>
              <w:t>不在地下水集中供水水源地及补给区，水源保护区</w:t>
            </w:r>
          </w:p>
        </w:tc>
        <w:tc>
          <w:tcPr>
            <w:tcW w:w="914" w:type="dxa"/>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2</w:t>
            </w:r>
          </w:p>
        </w:tc>
        <w:tc>
          <w:tcPr>
            <w:tcW w:w="3402" w:type="dxa"/>
            <w:vAlign w:val="center"/>
          </w:tcPr>
          <w:p>
            <w:pPr>
              <w:adjustRightInd w:val="0"/>
              <w:snapToGrid w:val="0"/>
              <w:jc w:val="center"/>
              <w:rPr>
                <w:kern w:val="0"/>
                <w:szCs w:val="21"/>
              </w:rPr>
            </w:pPr>
            <w:r>
              <w:rPr>
                <w:kern w:val="0"/>
                <w:szCs w:val="21"/>
              </w:rPr>
              <w:t>不应设在泛洪区和泄洪道</w:t>
            </w:r>
          </w:p>
        </w:tc>
        <w:tc>
          <w:tcPr>
            <w:tcW w:w="3389" w:type="dxa"/>
            <w:vAlign w:val="center"/>
          </w:tcPr>
          <w:p>
            <w:pPr>
              <w:adjustRightInd w:val="0"/>
              <w:snapToGrid w:val="0"/>
              <w:jc w:val="center"/>
              <w:rPr>
                <w:kern w:val="0"/>
                <w:szCs w:val="21"/>
              </w:rPr>
            </w:pPr>
            <w:r>
              <w:rPr>
                <w:kern w:val="0"/>
                <w:szCs w:val="21"/>
              </w:rPr>
              <w:t>本项目位于河套平原，不在泄洪道和泛洪区内</w:t>
            </w:r>
          </w:p>
        </w:tc>
        <w:tc>
          <w:tcPr>
            <w:tcW w:w="914" w:type="dxa"/>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3</w:t>
            </w:r>
          </w:p>
        </w:tc>
        <w:tc>
          <w:tcPr>
            <w:tcW w:w="3402" w:type="dxa"/>
            <w:vAlign w:val="center"/>
          </w:tcPr>
          <w:p>
            <w:pPr>
              <w:adjustRightInd w:val="0"/>
              <w:snapToGrid w:val="0"/>
              <w:jc w:val="center"/>
              <w:rPr>
                <w:kern w:val="0"/>
                <w:szCs w:val="21"/>
              </w:rPr>
            </w:pPr>
            <w:r>
              <w:rPr>
                <w:kern w:val="0"/>
                <w:szCs w:val="21"/>
              </w:rPr>
              <w:t>不应设在填埋库区与敞开式渗沥液处理区边界距居民居住区或人畜供水点的卫生防护距离在500m以内的地区</w:t>
            </w:r>
          </w:p>
        </w:tc>
        <w:tc>
          <w:tcPr>
            <w:tcW w:w="3389" w:type="dxa"/>
            <w:vAlign w:val="center"/>
          </w:tcPr>
          <w:p>
            <w:pPr>
              <w:adjustRightInd w:val="0"/>
              <w:snapToGrid w:val="0"/>
              <w:jc w:val="center"/>
              <w:rPr>
                <w:kern w:val="0"/>
                <w:szCs w:val="21"/>
              </w:rPr>
            </w:pPr>
            <w:r>
              <w:rPr>
                <w:color w:val="FF0000"/>
                <w:kern w:val="0"/>
                <w:szCs w:val="21"/>
              </w:rPr>
              <w:t>本项目</w:t>
            </w:r>
            <w:r>
              <w:rPr>
                <w:rFonts w:hint="eastAsia"/>
                <w:color w:val="FF0000"/>
                <w:kern w:val="0"/>
                <w:szCs w:val="21"/>
              </w:rPr>
              <w:t>库区边界</w:t>
            </w:r>
            <w:r>
              <w:rPr>
                <w:color w:val="FF0000"/>
                <w:kern w:val="0"/>
                <w:szCs w:val="21"/>
              </w:rPr>
              <w:t>距最近的</w:t>
            </w:r>
            <w:r>
              <w:rPr>
                <w:rFonts w:hint="eastAsia"/>
                <w:color w:val="FF0000"/>
                <w:kern w:val="0"/>
                <w:szCs w:val="21"/>
              </w:rPr>
              <w:t>住户</w:t>
            </w:r>
            <w:r>
              <w:rPr>
                <w:color w:val="FF0000"/>
                <w:kern w:val="0"/>
                <w:szCs w:val="21"/>
              </w:rPr>
              <w:t>580m</w:t>
            </w:r>
            <w:r>
              <w:rPr>
                <w:rFonts w:hint="eastAsia"/>
                <w:color w:val="FF0000"/>
                <w:kern w:val="0"/>
                <w:szCs w:val="21"/>
              </w:rPr>
              <w:t>（该居民为临时住户，租用场地进行养殖）</w:t>
            </w:r>
          </w:p>
        </w:tc>
        <w:tc>
          <w:tcPr>
            <w:tcW w:w="914" w:type="dxa"/>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4</w:t>
            </w:r>
          </w:p>
        </w:tc>
        <w:tc>
          <w:tcPr>
            <w:tcW w:w="3402" w:type="dxa"/>
            <w:vAlign w:val="center"/>
          </w:tcPr>
          <w:p>
            <w:pPr>
              <w:adjustRightInd w:val="0"/>
              <w:snapToGrid w:val="0"/>
              <w:jc w:val="center"/>
              <w:rPr>
                <w:kern w:val="0"/>
                <w:szCs w:val="21"/>
              </w:rPr>
            </w:pPr>
            <w:r>
              <w:rPr>
                <w:kern w:val="0"/>
                <w:szCs w:val="21"/>
              </w:rPr>
              <w:t>不应设在填埋库区与渗沥液处理区边界距河流和湖泊50m以内的地区</w:t>
            </w:r>
          </w:p>
        </w:tc>
        <w:tc>
          <w:tcPr>
            <w:tcW w:w="3389" w:type="dxa"/>
            <w:vAlign w:val="center"/>
          </w:tcPr>
          <w:p>
            <w:pPr>
              <w:adjustRightInd w:val="0"/>
              <w:snapToGrid w:val="0"/>
              <w:jc w:val="center"/>
              <w:rPr>
                <w:kern w:val="0"/>
                <w:szCs w:val="21"/>
              </w:rPr>
            </w:pPr>
            <w:r>
              <w:rPr>
                <w:rFonts w:hint="eastAsia"/>
                <w:kern w:val="0"/>
                <w:szCs w:val="21"/>
              </w:rPr>
              <w:t>本项目50m 以内的地区无地表河流，无新建水库等人工蓄水设施</w:t>
            </w:r>
          </w:p>
        </w:tc>
        <w:tc>
          <w:tcPr>
            <w:tcW w:w="914" w:type="dxa"/>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5</w:t>
            </w:r>
          </w:p>
        </w:tc>
        <w:tc>
          <w:tcPr>
            <w:tcW w:w="3402" w:type="dxa"/>
            <w:vAlign w:val="center"/>
          </w:tcPr>
          <w:p>
            <w:pPr>
              <w:adjustRightInd w:val="0"/>
              <w:snapToGrid w:val="0"/>
              <w:jc w:val="center"/>
              <w:rPr>
                <w:kern w:val="0"/>
                <w:szCs w:val="21"/>
              </w:rPr>
            </w:pPr>
            <w:r>
              <w:rPr>
                <w:kern w:val="0"/>
                <w:szCs w:val="21"/>
              </w:rPr>
              <w:t>不应设在填埋库区与渗沥液处理区边界距民用机场3km以内的地区</w:t>
            </w:r>
          </w:p>
        </w:tc>
        <w:tc>
          <w:tcPr>
            <w:tcW w:w="3389" w:type="dxa"/>
            <w:vAlign w:val="center"/>
          </w:tcPr>
          <w:p>
            <w:pPr>
              <w:adjustRightInd w:val="0"/>
              <w:snapToGrid w:val="0"/>
              <w:jc w:val="center"/>
              <w:rPr>
                <w:kern w:val="0"/>
                <w:szCs w:val="21"/>
              </w:rPr>
            </w:pPr>
            <w:r>
              <w:rPr>
                <w:rFonts w:hint="eastAsia"/>
                <w:kern w:val="0"/>
                <w:szCs w:val="21"/>
              </w:rPr>
              <w:t>周边无机场分布</w:t>
            </w:r>
          </w:p>
        </w:tc>
        <w:tc>
          <w:tcPr>
            <w:tcW w:w="914" w:type="dxa"/>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6</w:t>
            </w:r>
          </w:p>
        </w:tc>
        <w:tc>
          <w:tcPr>
            <w:tcW w:w="3402" w:type="dxa"/>
            <w:vAlign w:val="center"/>
          </w:tcPr>
          <w:p>
            <w:pPr>
              <w:adjustRightInd w:val="0"/>
              <w:snapToGrid w:val="0"/>
              <w:jc w:val="center"/>
              <w:rPr>
                <w:kern w:val="0"/>
                <w:szCs w:val="21"/>
              </w:rPr>
            </w:pPr>
            <w:r>
              <w:rPr>
                <w:kern w:val="0"/>
                <w:szCs w:val="21"/>
              </w:rPr>
              <w:t>不应设在尚未开采的地下蕴矿区</w:t>
            </w:r>
          </w:p>
        </w:tc>
        <w:tc>
          <w:tcPr>
            <w:tcW w:w="3389" w:type="dxa"/>
            <w:vAlign w:val="center"/>
          </w:tcPr>
          <w:p>
            <w:pPr>
              <w:adjustRightInd w:val="0"/>
              <w:snapToGrid w:val="0"/>
              <w:jc w:val="center"/>
              <w:rPr>
                <w:kern w:val="0"/>
                <w:szCs w:val="21"/>
              </w:rPr>
            </w:pPr>
            <w:r>
              <w:rPr>
                <w:kern w:val="0"/>
                <w:szCs w:val="21"/>
              </w:rPr>
              <w:t>经地质调查本场址地下无矿藏</w:t>
            </w:r>
          </w:p>
        </w:tc>
        <w:tc>
          <w:tcPr>
            <w:tcW w:w="914" w:type="dxa"/>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7</w:t>
            </w:r>
          </w:p>
        </w:tc>
        <w:tc>
          <w:tcPr>
            <w:tcW w:w="3402" w:type="dxa"/>
            <w:vAlign w:val="center"/>
          </w:tcPr>
          <w:p>
            <w:pPr>
              <w:adjustRightInd w:val="0"/>
              <w:snapToGrid w:val="0"/>
              <w:jc w:val="center"/>
              <w:rPr>
                <w:kern w:val="0"/>
                <w:szCs w:val="21"/>
              </w:rPr>
            </w:pPr>
            <w:r>
              <w:rPr>
                <w:kern w:val="0"/>
                <w:szCs w:val="21"/>
              </w:rPr>
              <w:t>不应设在珍贵动植物保护区和国家、地方自然保护区</w:t>
            </w:r>
          </w:p>
        </w:tc>
        <w:tc>
          <w:tcPr>
            <w:tcW w:w="3389" w:type="dxa"/>
            <w:vAlign w:val="center"/>
          </w:tcPr>
          <w:p>
            <w:pPr>
              <w:adjustRightInd w:val="0"/>
              <w:snapToGrid w:val="0"/>
              <w:jc w:val="center"/>
              <w:rPr>
                <w:kern w:val="0"/>
                <w:szCs w:val="21"/>
              </w:rPr>
            </w:pPr>
            <w:r>
              <w:rPr>
                <w:kern w:val="0"/>
                <w:szCs w:val="21"/>
              </w:rPr>
              <w:t>本项目选址不涉及珍贵动植物保护、国家地方自然保护区</w:t>
            </w:r>
          </w:p>
        </w:tc>
        <w:tc>
          <w:tcPr>
            <w:tcW w:w="914" w:type="dxa"/>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8</w:t>
            </w:r>
          </w:p>
        </w:tc>
        <w:tc>
          <w:tcPr>
            <w:tcW w:w="3402" w:type="dxa"/>
            <w:vAlign w:val="center"/>
          </w:tcPr>
          <w:p>
            <w:pPr>
              <w:adjustRightInd w:val="0"/>
              <w:snapToGrid w:val="0"/>
              <w:jc w:val="center"/>
              <w:rPr>
                <w:b/>
                <w:kern w:val="0"/>
                <w:szCs w:val="21"/>
              </w:rPr>
            </w:pPr>
            <w:r>
              <w:rPr>
                <w:kern w:val="0"/>
                <w:szCs w:val="21"/>
              </w:rPr>
              <w:t>不应设在公园、风景、游览区，文物古迹区，考古学、历史学、生物学研究考察区</w:t>
            </w:r>
          </w:p>
        </w:tc>
        <w:tc>
          <w:tcPr>
            <w:tcW w:w="3389" w:type="dxa"/>
            <w:vAlign w:val="center"/>
          </w:tcPr>
          <w:p>
            <w:pPr>
              <w:adjustRightInd w:val="0"/>
              <w:snapToGrid w:val="0"/>
              <w:jc w:val="center"/>
              <w:rPr>
                <w:kern w:val="0"/>
                <w:szCs w:val="21"/>
              </w:rPr>
            </w:pPr>
            <w:r>
              <w:rPr>
                <w:kern w:val="0"/>
                <w:szCs w:val="21"/>
              </w:rPr>
              <w:t>本项目选址无公园、风景、游览区、文物古迹区、考古学、历史学、生物学研究考察区</w:t>
            </w:r>
          </w:p>
        </w:tc>
        <w:tc>
          <w:tcPr>
            <w:tcW w:w="914" w:type="dxa"/>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adjustRightInd w:val="0"/>
              <w:snapToGrid w:val="0"/>
              <w:jc w:val="center"/>
              <w:rPr>
                <w:kern w:val="0"/>
                <w:szCs w:val="21"/>
              </w:rPr>
            </w:pPr>
            <w:r>
              <w:rPr>
                <w:rFonts w:hint="eastAsia"/>
                <w:kern w:val="0"/>
                <w:szCs w:val="21"/>
              </w:rPr>
              <w:t>9</w:t>
            </w:r>
          </w:p>
        </w:tc>
        <w:tc>
          <w:tcPr>
            <w:tcW w:w="3402" w:type="dxa"/>
            <w:vAlign w:val="center"/>
          </w:tcPr>
          <w:p>
            <w:pPr>
              <w:adjustRightInd w:val="0"/>
              <w:snapToGrid w:val="0"/>
              <w:jc w:val="center"/>
              <w:rPr>
                <w:kern w:val="0"/>
                <w:szCs w:val="21"/>
              </w:rPr>
            </w:pPr>
            <w:r>
              <w:rPr>
                <w:kern w:val="0"/>
                <w:szCs w:val="21"/>
              </w:rPr>
              <w:t>不应设在军事要地、军事基地和国家保密地区</w:t>
            </w:r>
          </w:p>
        </w:tc>
        <w:tc>
          <w:tcPr>
            <w:tcW w:w="3389" w:type="dxa"/>
            <w:vAlign w:val="center"/>
          </w:tcPr>
          <w:p>
            <w:pPr>
              <w:adjustRightInd w:val="0"/>
              <w:snapToGrid w:val="0"/>
              <w:jc w:val="center"/>
              <w:rPr>
                <w:kern w:val="0"/>
                <w:szCs w:val="21"/>
              </w:rPr>
            </w:pPr>
            <w:r>
              <w:rPr>
                <w:kern w:val="0"/>
                <w:szCs w:val="21"/>
              </w:rPr>
              <w:t>项目选址不涉及军事要地、军事基地和国家保密地区</w:t>
            </w:r>
          </w:p>
        </w:tc>
        <w:tc>
          <w:tcPr>
            <w:tcW w:w="914" w:type="dxa"/>
            <w:vAlign w:val="center"/>
          </w:tcPr>
          <w:p>
            <w:pPr>
              <w:adjustRightInd w:val="0"/>
              <w:snapToGrid w:val="0"/>
              <w:jc w:val="center"/>
              <w:rPr>
                <w:kern w:val="0"/>
                <w:szCs w:val="21"/>
              </w:rPr>
            </w:pPr>
            <w:r>
              <w:rPr>
                <w:kern w:val="0"/>
                <w:szCs w:val="21"/>
              </w:rPr>
              <w:t>符合</w:t>
            </w:r>
          </w:p>
        </w:tc>
      </w:tr>
    </w:tbl>
    <w:p>
      <w:pPr>
        <w:pStyle w:val="939"/>
        <w:ind w:firstLine="480"/>
        <w:rPr>
          <w:kern w:val="0"/>
          <w:szCs w:val="32"/>
        </w:rPr>
      </w:pPr>
      <w:r>
        <w:rPr>
          <w:kern w:val="0"/>
          <w:szCs w:val="32"/>
        </w:rPr>
        <w:fldChar w:fldCharType="begin"/>
      </w:r>
      <w:r>
        <w:rPr>
          <w:kern w:val="0"/>
          <w:szCs w:val="32"/>
        </w:rPr>
        <w:instrText xml:space="preserve"> </w:instrText>
      </w:r>
      <w:r>
        <w:rPr>
          <w:rFonts w:hint="eastAsia"/>
          <w:kern w:val="0"/>
          <w:szCs w:val="32"/>
        </w:rPr>
        <w:instrText xml:space="preserve">= 2 \* GB3</w:instrText>
      </w:r>
      <w:r>
        <w:rPr>
          <w:kern w:val="0"/>
          <w:szCs w:val="32"/>
        </w:rPr>
        <w:instrText xml:space="preserve"> </w:instrText>
      </w:r>
      <w:r>
        <w:rPr>
          <w:kern w:val="0"/>
          <w:szCs w:val="32"/>
        </w:rPr>
        <w:fldChar w:fldCharType="separate"/>
      </w:r>
      <w:r>
        <w:rPr>
          <w:rFonts w:hint="eastAsia"/>
          <w:kern w:val="0"/>
          <w:szCs w:val="32"/>
        </w:rPr>
        <w:t>②</w:t>
      </w:r>
      <w:r>
        <w:rPr>
          <w:kern w:val="0"/>
          <w:szCs w:val="32"/>
        </w:rPr>
        <w:fldChar w:fldCharType="end"/>
      </w:r>
      <w:r>
        <w:rPr>
          <w:rFonts w:hint="eastAsia"/>
          <w:kern w:val="0"/>
          <w:szCs w:val="32"/>
        </w:rPr>
        <w:t>与</w:t>
      </w:r>
      <w:r>
        <w:t>《生活垃圾填埋场污染控制标准》</w:t>
      </w:r>
      <w:r>
        <w:rPr>
          <w:rFonts w:hint="eastAsia"/>
        </w:rPr>
        <w:t>符合性</w:t>
      </w:r>
    </w:p>
    <w:p>
      <w:pPr>
        <w:spacing w:line="360" w:lineRule="auto"/>
        <w:ind w:firstLine="480" w:firstLineChars="200"/>
        <w:rPr>
          <w:sz w:val="24"/>
        </w:rPr>
      </w:pPr>
      <w:r>
        <w:rPr>
          <w:sz w:val="24"/>
        </w:rPr>
        <w:t>本场址合理性分析依据《生活垃圾填埋场污染控制标准》（GB16889-2008）中有关要求，对比情况见表1.3-2。</w:t>
      </w:r>
    </w:p>
    <w:p>
      <w:pPr>
        <w:spacing w:line="500" w:lineRule="exact"/>
        <w:ind w:firstLine="482"/>
        <w:jc w:val="center"/>
        <w:rPr>
          <w:b/>
          <w:sz w:val="24"/>
        </w:rPr>
      </w:pPr>
      <w:r>
        <w:rPr>
          <w:b/>
          <w:sz w:val="24"/>
        </w:rPr>
        <w:t xml:space="preserve">表1.3-2  </w:t>
      </w:r>
      <w:r>
        <w:rPr>
          <w:rFonts w:hint="eastAsia"/>
          <w:b/>
          <w:sz w:val="24"/>
        </w:rPr>
        <w:t>《生活垃圾填埋场污染控制标准》（GB16889-2008）</w:t>
      </w:r>
      <w:r>
        <w:rPr>
          <w:b/>
          <w:sz w:val="24"/>
        </w:rPr>
        <w:t>选址分析</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38"/>
        <w:gridCol w:w="4091"/>
        <w:gridCol w:w="2691"/>
        <w:gridCol w:w="9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2" w:type="pct"/>
            <w:vAlign w:val="center"/>
          </w:tcPr>
          <w:p>
            <w:pPr>
              <w:adjustRightInd w:val="0"/>
              <w:snapToGrid w:val="0"/>
              <w:jc w:val="center"/>
              <w:rPr>
                <w:kern w:val="0"/>
                <w:szCs w:val="21"/>
              </w:rPr>
            </w:pPr>
            <w:r>
              <w:rPr>
                <w:rFonts w:hint="eastAsia"/>
                <w:kern w:val="0"/>
                <w:szCs w:val="21"/>
              </w:rPr>
              <w:t>序号</w:t>
            </w:r>
          </w:p>
        </w:tc>
        <w:tc>
          <w:tcPr>
            <w:tcW w:w="2400" w:type="pct"/>
            <w:vAlign w:val="center"/>
          </w:tcPr>
          <w:p>
            <w:pPr>
              <w:adjustRightInd w:val="0"/>
              <w:snapToGrid w:val="0"/>
              <w:jc w:val="center"/>
              <w:rPr>
                <w:kern w:val="0"/>
                <w:szCs w:val="21"/>
              </w:rPr>
            </w:pPr>
            <w:r>
              <w:rPr>
                <w:rFonts w:hint="eastAsia"/>
                <w:kern w:val="0"/>
                <w:szCs w:val="21"/>
              </w:rPr>
              <w:t>相关选址要求</w:t>
            </w:r>
          </w:p>
        </w:tc>
        <w:tc>
          <w:tcPr>
            <w:tcW w:w="1579" w:type="pct"/>
          </w:tcPr>
          <w:p>
            <w:pPr>
              <w:adjustRightInd w:val="0"/>
              <w:snapToGrid w:val="0"/>
              <w:jc w:val="center"/>
              <w:rPr>
                <w:kern w:val="0"/>
                <w:szCs w:val="21"/>
              </w:rPr>
            </w:pPr>
            <w:r>
              <w:rPr>
                <w:rFonts w:hint="eastAsia"/>
                <w:kern w:val="0"/>
                <w:szCs w:val="21"/>
              </w:rPr>
              <w:t>本项目选址条件</w:t>
            </w:r>
          </w:p>
        </w:tc>
        <w:tc>
          <w:tcPr>
            <w:tcW w:w="529" w:type="pct"/>
            <w:vAlign w:val="center"/>
          </w:tcPr>
          <w:p>
            <w:pPr>
              <w:adjustRightInd w:val="0"/>
              <w:snapToGrid w:val="0"/>
              <w:jc w:val="center"/>
              <w:rPr>
                <w:kern w:val="0"/>
                <w:szCs w:val="21"/>
              </w:rPr>
            </w:pPr>
            <w:r>
              <w:rPr>
                <w:rFonts w:hint="eastAsia"/>
                <w:kern w:val="0"/>
                <w:szCs w:val="21"/>
              </w:rPr>
              <w:t>符合性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8" w:hRule="atLeast"/>
        </w:trPr>
        <w:tc>
          <w:tcPr>
            <w:tcW w:w="492" w:type="pct"/>
            <w:vAlign w:val="center"/>
          </w:tcPr>
          <w:p>
            <w:pPr>
              <w:adjustRightInd w:val="0"/>
              <w:snapToGrid w:val="0"/>
              <w:jc w:val="center"/>
              <w:rPr>
                <w:kern w:val="0"/>
                <w:szCs w:val="21"/>
              </w:rPr>
            </w:pPr>
            <w:r>
              <w:rPr>
                <w:rFonts w:hint="eastAsia"/>
                <w:kern w:val="0"/>
                <w:szCs w:val="21"/>
              </w:rPr>
              <w:t>1</w:t>
            </w:r>
          </w:p>
        </w:tc>
        <w:tc>
          <w:tcPr>
            <w:tcW w:w="2400" w:type="pct"/>
            <w:vAlign w:val="center"/>
          </w:tcPr>
          <w:p>
            <w:pPr>
              <w:adjustRightInd w:val="0"/>
              <w:snapToGrid w:val="0"/>
              <w:jc w:val="center"/>
              <w:rPr>
                <w:kern w:val="0"/>
                <w:szCs w:val="21"/>
              </w:rPr>
            </w:pPr>
            <w:r>
              <w:rPr>
                <w:kern w:val="0"/>
                <w:szCs w:val="21"/>
              </w:rPr>
              <w:t>生活垃圾填埋场址应符合区域性环境规划、环境卫生设施建设规划、当地的城市规划</w:t>
            </w:r>
          </w:p>
        </w:tc>
        <w:tc>
          <w:tcPr>
            <w:tcW w:w="1579" w:type="pct"/>
            <w:vAlign w:val="center"/>
          </w:tcPr>
          <w:p>
            <w:pPr>
              <w:adjustRightInd w:val="0"/>
              <w:snapToGrid w:val="0"/>
              <w:jc w:val="center"/>
              <w:rPr>
                <w:kern w:val="0"/>
                <w:szCs w:val="21"/>
              </w:rPr>
            </w:pPr>
            <w:r>
              <w:rPr>
                <w:rFonts w:hint="eastAsia"/>
                <w:kern w:val="0"/>
                <w:szCs w:val="21"/>
              </w:rPr>
              <w:t>本项目已取得用地手续，土地用途为公用设施，并取得规划部门、发改部门、住建部门等部门同意的备案表</w:t>
            </w:r>
          </w:p>
        </w:tc>
        <w:tc>
          <w:tcPr>
            <w:tcW w:w="529" w:type="pct"/>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trPr>
        <w:tc>
          <w:tcPr>
            <w:tcW w:w="492" w:type="pct"/>
            <w:vAlign w:val="center"/>
          </w:tcPr>
          <w:p>
            <w:pPr>
              <w:adjustRightInd w:val="0"/>
              <w:snapToGrid w:val="0"/>
              <w:jc w:val="center"/>
              <w:rPr>
                <w:kern w:val="0"/>
                <w:szCs w:val="21"/>
              </w:rPr>
            </w:pPr>
            <w:r>
              <w:rPr>
                <w:rFonts w:hint="eastAsia"/>
                <w:kern w:val="0"/>
                <w:szCs w:val="21"/>
              </w:rPr>
              <w:t>2</w:t>
            </w:r>
          </w:p>
        </w:tc>
        <w:tc>
          <w:tcPr>
            <w:tcW w:w="2400" w:type="pct"/>
            <w:vAlign w:val="center"/>
          </w:tcPr>
          <w:p>
            <w:pPr>
              <w:adjustRightInd w:val="0"/>
              <w:snapToGrid w:val="0"/>
              <w:rPr>
                <w:kern w:val="0"/>
                <w:szCs w:val="21"/>
              </w:rPr>
            </w:pPr>
            <w:r>
              <w:rPr>
                <w:kern w:val="0"/>
                <w:szCs w:val="21"/>
              </w:rPr>
              <w:t>生活垃圾填埋场不应建在下列地区：城市工农业发展规划区、农业保护区、自然保护区、风景名胜区、文物保护区、生活饮用水源保护区、供水远景规划区、矿产资源储备区、军事要地、国家保密地区和其它需要保护的区域内</w:t>
            </w:r>
          </w:p>
        </w:tc>
        <w:tc>
          <w:tcPr>
            <w:tcW w:w="1579" w:type="pct"/>
            <w:vAlign w:val="center"/>
          </w:tcPr>
          <w:p>
            <w:pPr>
              <w:adjustRightInd w:val="0"/>
              <w:snapToGrid w:val="0"/>
              <w:jc w:val="center"/>
              <w:rPr>
                <w:kern w:val="0"/>
                <w:szCs w:val="21"/>
              </w:rPr>
            </w:pPr>
            <w:r>
              <w:rPr>
                <w:kern w:val="0"/>
                <w:szCs w:val="21"/>
              </w:rPr>
              <w:t>场址所在地区不属</w:t>
            </w:r>
            <w:r>
              <w:rPr>
                <w:rFonts w:hint="eastAsia"/>
                <w:kern w:val="0"/>
                <w:szCs w:val="21"/>
              </w:rPr>
              <w:t>标准</w:t>
            </w:r>
            <w:r>
              <w:rPr>
                <w:kern w:val="0"/>
                <w:szCs w:val="21"/>
              </w:rPr>
              <w:t>中所提及的区域</w:t>
            </w:r>
          </w:p>
        </w:tc>
        <w:tc>
          <w:tcPr>
            <w:tcW w:w="529" w:type="pct"/>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73" w:hRule="atLeast"/>
        </w:trPr>
        <w:tc>
          <w:tcPr>
            <w:tcW w:w="492" w:type="pct"/>
            <w:vAlign w:val="center"/>
          </w:tcPr>
          <w:p>
            <w:pPr>
              <w:adjustRightInd w:val="0"/>
              <w:snapToGrid w:val="0"/>
              <w:jc w:val="center"/>
              <w:rPr>
                <w:kern w:val="0"/>
                <w:szCs w:val="21"/>
              </w:rPr>
            </w:pPr>
            <w:r>
              <w:rPr>
                <w:rFonts w:hint="eastAsia"/>
                <w:kern w:val="0"/>
                <w:szCs w:val="21"/>
              </w:rPr>
              <w:t>3</w:t>
            </w:r>
          </w:p>
        </w:tc>
        <w:tc>
          <w:tcPr>
            <w:tcW w:w="2400" w:type="pct"/>
            <w:vAlign w:val="center"/>
          </w:tcPr>
          <w:p>
            <w:pPr>
              <w:adjustRightInd w:val="0"/>
              <w:snapToGrid w:val="0"/>
              <w:jc w:val="center"/>
              <w:rPr>
                <w:kern w:val="0"/>
                <w:szCs w:val="21"/>
              </w:rPr>
            </w:pPr>
            <w:r>
              <w:rPr>
                <w:kern w:val="0"/>
                <w:szCs w:val="21"/>
              </w:rPr>
              <w:t>选址标高位于重现期不小于50年一遇的洪水位之上，并建设在长远规划中的水库等人工蓄水设施的淹没区和保护区之外</w:t>
            </w:r>
          </w:p>
        </w:tc>
        <w:tc>
          <w:tcPr>
            <w:tcW w:w="1579" w:type="pct"/>
            <w:vAlign w:val="center"/>
          </w:tcPr>
          <w:p>
            <w:pPr>
              <w:adjustRightInd w:val="0"/>
              <w:snapToGrid w:val="0"/>
              <w:jc w:val="center"/>
              <w:rPr>
                <w:kern w:val="0"/>
                <w:szCs w:val="21"/>
              </w:rPr>
            </w:pPr>
            <w:r>
              <w:rPr>
                <w:kern w:val="0"/>
                <w:szCs w:val="21"/>
              </w:rPr>
              <w:t>选址标高位于重现期不小于50年一遇的洪水位之上</w:t>
            </w:r>
          </w:p>
        </w:tc>
        <w:tc>
          <w:tcPr>
            <w:tcW w:w="529" w:type="pct"/>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2" w:type="pct"/>
            <w:vAlign w:val="center"/>
          </w:tcPr>
          <w:p>
            <w:pPr>
              <w:adjustRightInd w:val="0"/>
              <w:snapToGrid w:val="0"/>
              <w:jc w:val="center"/>
              <w:rPr>
                <w:kern w:val="0"/>
                <w:szCs w:val="21"/>
              </w:rPr>
            </w:pPr>
            <w:r>
              <w:rPr>
                <w:rFonts w:hint="eastAsia"/>
                <w:kern w:val="0"/>
                <w:szCs w:val="21"/>
              </w:rPr>
              <w:t>4</w:t>
            </w:r>
          </w:p>
        </w:tc>
        <w:tc>
          <w:tcPr>
            <w:tcW w:w="2400" w:type="pct"/>
            <w:vAlign w:val="center"/>
          </w:tcPr>
          <w:p>
            <w:pPr>
              <w:adjustRightInd w:val="0"/>
              <w:snapToGrid w:val="0"/>
              <w:jc w:val="center"/>
              <w:rPr>
                <w:kern w:val="0"/>
                <w:szCs w:val="21"/>
              </w:rPr>
            </w:pPr>
            <w:r>
              <w:rPr>
                <w:kern w:val="0"/>
                <w:szCs w:val="21"/>
              </w:rPr>
              <w:t>生活垃圾填埋场应避开下列地区：破坏性地震及活动构造区，活动的坍塌地带、断裂带，地下蕴矿带、石灰坑及容岩洞区、湿地</w:t>
            </w:r>
          </w:p>
        </w:tc>
        <w:tc>
          <w:tcPr>
            <w:tcW w:w="1579" w:type="pct"/>
            <w:vAlign w:val="center"/>
          </w:tcPr>
          <w:p>
            <w:pPr>
              <w:adjustRightInd w:val="0"/>
              <w:snapToGrid w:val="0"/>
              <w:jc w:val="center"/>
              <w:rPr>
                <w:kern w:val="0"/>
                <w:szCs w:val="21"/>
              </w:rPr>
            </w:pPr>
            <w:r>
              <w:rPr>
                <w:kern w:val="0"/>
                <w:szCs w:val="21"/>
              </w:rPr>
              <w:t>场址所在地区不是地下蕴矿带、石灰坑及溶岩洞区，地勘评价结论：本区域地层层序正常，无构成的断层及破坏带</w:t>
            </w:r>
          </w:p>
        </w:tc>
        <w:tc>
          <w:tcPr>
            <w:tcW w:w="529" w:type="pct"/>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2" w:type="pct"/>
            <w:vAlign w:val="center"/>
          </w:tcPr>
          <w:p>
            <w:pPr>
              <w:adjustRightInd w:val="0"/>
              <w:snapToGrid w:val="0"/>
              <w:jc w:val="center"/>
              <w:rPr>
                <w:kern w:val="0"/>
                <w:szCs w:val="21"/>
              </w:rPr>
            </w:pPr>
            <w:r>
              <w:rPr>
                <w:rFonts w:hint="eastAsia"/>
                <w:kern w:val="0"/>
                <w:szCs w:val="21"/>
              </w:rPr>
              <w:t>5</w:t>
            </w:r>
          </w:p>
        </w:tc>
        <w:tc>
          <w:tcPr>
            <w:tcW w:w="2400" w:type="pct"/>
            <w:vAlign w:val="center"/>
          </w:tcPr>
          <w:p>
            <w:pPr>
              <w:adjustRightInd w:val="0"/>
              <w:snapToGrid w:val="0"/>
              <w:jc w:val="center"/>
              <w:rPr>
                <w:kern w:val="0"/>
                <w:szCs w:val="21"/>
              </w:rPr>
            </w:pPr>
            <w:r>
              <w:rPr>
                <w:rFonts w:hint="eastAsia"/>
                <w:kern w:val="0"/>
                <w:szCs w:val="21"/>
              </w:rPr>
              <w:t>生活垃圾填埋场场址的位置及与周围人群的距离应依据环境影响</w:t>
            </w:r>
          </w:p>
          <w:p>
            <w:pPr>
              <w:adjustRightInd w:val="0"/>
              <w:snapToGrid w:val="0"/>
              <w:jc w:val="center"/>
              <w:rPr>
                <w:kern w:val="0"/>
                <w:szCs w:val="21"/>
              </w:rPr>
            </w:pPr>
            <w:r>
              <w:rPr>
                <w:rFonts w:hint="eastAsia"/>
                <w:kern w:val="0"/>
                <w:szCs w:val="21"/>
              </w:rPr>
              <w:t>评价结论确定。</w:t>
            </w:r>
          </w:p>
        </w:tc>
        <w:tc>
          <w:tcPr>
            <w:tcW w:w="1579" w:type="pct"/>
            <w:vAlign w:val="center"/>
          </w:tcPr>
          <w:p>
            <w:pPr>
              <w:adjustRightInd w:val="0"/>
              <w:snapToGrid w:val="0"/>
              <w:jc w:val="center"/>
              <w:rPr>
                <w:kern w:val="0"/>
                <w:szCs w:val="21"/>
              </w:rPr>
            </w:pPr>
            <w:r>
              <w:rPr>
                <w:rFonts w:hint="eastAsia"/>
                <w:kern w:val="0"/>
                <w:szCs w:val="21"/>
              </w:rPr>
              <w:t>根据规定，垃圾填埋场卫生防护距离宜≥500m。本项目卫生防护距离设置为500m，本项目5</w:t>
            </w:r>
            <w:r>
              <w:rPr>
                <w:kern w:val="0"/>
                <w:szCs w:val="21"/>
              </w:rPr>
              <w:t>00m</w:t>
            </w:r>
            <w:r>
              <w:rPr>
                <w:rFonts w:hint="eastAsia"/>
                <w:kern w:val="0"/>
                <w:szCs w:val="21"/>
              </w:rPr>
              <w:t>范围内无居住区。此范围内用地禁止用于新建居住、医疗、学校等环境敏感设施。</w:t>
            </w:r>
          </w:p>
        </w:tc>
        <w:tc>
          <w:tcPr>
            <w:tcW w:w="529" w:type="pct"/>
            <w:vAlign w:val="center"/>
          </w:tcPr>
          <w:p>
            <w:pPr>
              <w:adjustRightInd w:val="0"/>
              <w:snapToGrid w:val="0"/>
              <w:jc w:val="center"/>
              <w:rPr>
                <w:kern w:val="0"/>
                <w:szCs w:val="21"/>
              </w:rPr>
            </w:pPr>
            <w:r>
              <w:rPr>
                <w:rFonts w:hint="eastAsia"/>
                <w:kern w:val="0"/>
                <w:szCs w:val="21"/>
              </w:rPr>
              <w:t>符合</w:t>
            </w:r>
          </w:p>
        </w:tc>
      </w:tr>
    </w:tbl>
    <w:p>
      <w:pPr>
        <w:adjustRightInd w:val="0"/>
        <w:snapToGrid w:val="0"/>
        <w:spacing w:before="156" w:beforeLines="50" w:line="360" w:lineRule="auto"/>
        <w:ind w:firstLine="480" w:firstLineChars="200"/>
        <w:rPr>
          <w:sz w:val="24"/>
        </w:rPr>
      </w:pPr>
      <w:r>
        <w:rPr>
          <w:kern w:val="0"/>
          <w:sz w:val="24"/>
        </w:rPr>
        <w:fldChar w:fldCharType="begin"/>
      </w:r>
      <w:r>
        <w:rPr>
          <w:kern w:val="0"/>
          <w:sz w:val="24"/>
        </w:rPr>
        <w:instrText xml:space="preserve"> = 3 \* GB3 </w:instrText>
      </w:r>
      <w:r>
        <w:rPr>
          <w:kern w:val="0"/>
          <w:sz w:val="24"/>
        </w:rPr>
        <w:fldChar w:fldCharType="separate"/>
      </w:r>
      <w:r>
        <w:rPr>
          <w:rFonts w:hint="eastAsia" w:ascii="宋体" w:hAnsi="宋体" w:cs="宋体"/>
          <w:kern w:val="0"/>
          <w:sz w:val="24"/>
        </w:rPr>
        <w:t>③</w:t>
      </w:r>
      <w:r>
        <w:rPr>
          <w:kern w:val="0"/>
          <w:sz w:val="24"/>
        </w:rPr>
        <w:fldChar w:fldCharType="end"/>
      </w:r>
      <w:r>
        <w:rPr>
          <w:kern w:val="0"/>
          <w:sz w:val="24"/>
        </w:rPr>
        <w:t>与《</w:t>
      </w:r>
      <w:r>
        <w:rPr>
          <w:sz w:val="24"/>
        </w:rPr>
        <w:t>生活垃圾处理处置工程项目规范》（GB 55012-2021）符合性分析</w:t>
      </w:r>
    </w:p>
    <w:p>
      <w:pPr>
        <w:spacing w:line="360" w:lineRule="auto"/>
        <w:ind w:firstLine="480" w:firstLineChars="200"/>
        <w:rPr>
          <w:kern w:val="0"/>
          <w:sz w:val="24"/>
        </w:rPr>
      </w:pPr>
      <w:r>
        <w:rPr>
          <w:kern w:val="0"/>
          <w:sz w:val="24"/>
        </w:rPr>
        <w:t>根据《</w:t>
      </w:r>
      <w:r>
        <w:rPr>
          <w:sz w:val="24"/>
        </w:rPr>
        <w:t>生活垃圾处理处置工程项目规范》（GB 55012-2021）</w:t>
      </w:r>
      <w:r>
        <w:rPr>
          <w:kern w:val="0"/>
          <w:sz w:val="24"/>
        </w:rPr>
        <w:t>有关规定，填埋场的场址选择应符合下列规定：</w:t>
      </w:r>
    </w:p>
    <w:p>
      <w:pPr>
        <w:spacing w:line="500" w:lineRule="exact"/>
        <w:ind w:firstLine="482"/>
        <w:jc w:val="center"/>
        <w:rPr>
          <w:b/>
          <w:sz w:val="24"/>
        </w:rPr>
      </w:pPr>
      <w:r>
        <w:rPr>
          <w:b/>
          <w:sz w:val="24"/>
        </w:rPr>
        <w:t xml:space="preserve">表1.3-3  </w:t>
      </w:r>
      <w:r>
        <w:rPr>
          <w:b/>
          <w:kern w:val="0"/>
          <w:sz w:val="24"/>
        </w:rPr>
        <w:t>《</w:t>
      </w:r>
      <w:r>
        <w:rPr>
          <w:b/>
          <w:sz w:val="24"/>
        </w:rPr>
        <w:t>生活垃圾处理处置工程项目规范》（GB 55012-2021）选址分析</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38"/>
        <w:gridCol w:w="4091"/>
        <w:gridCol w:w="2691"/>
        <w:gridCol w:w="9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92" w:type="pct"/>
            <w:vAlign w:val="center"/>
          </w:tcPr>
          <w:p>
            <w:pPr>
              <w:adjustRightInd w:val="0"/>
              <w:snapToGrid w:val="0"/>
              <w:jc w:val="center"/>
              <w:rPr>
                <w:kern w:val="0"/>
                <w:szCs w:val="21"/>
              </w:rPr>
            </w:pPr>
            <w:r>
              <w:rPr>
                <w:rFonts w:hint="eastAsia"/>
                <w:kern w:val="0"/>
                <w:szCs w:val="21"/>
              </w:rPr>
              <w:t>序号</w:t>
            </w:r>
          </w:p>
        </w:tc>
        <w:tc>
          <w:tcPr>
            <w:tcW w:w="2400" w:type="pct"/>
            <w:vAlign w:val="center"/>
          </w:tcPr>
          <w:p>
            <w:pPr>
              <w:adjustRightInd w:val="0"/>
              <w:snapToGrid w:val="0"/>
              <w:jc w:val="center"/>
              <w:rPr>
                <w:kern w:val="0"/>
                <w:szCs w:val="21"/>
              </w:rPr>
            </w:pPr>
            <w:r>
              <w:rPr>
                <w:rFonts w:hint="eastAsia"/>
                <w:kern w:val="0"/>
                <w:szCs w:val="21"/>
              </w:rPr>
              <w:t>相关选址要求</w:t>
            </w:r>
          </w:p>
        </w:tc>
        <w:tc>
          <w:tcPr>
            <w:tcW w:w="1579" w:type="pct"/>
          </w:tcPr>
          <w:p>
            <w:pPr>
              <w:adjustRightInd w:val="0"/>
              <w:snapToGrid w:val="0"/>
              <w:jc w:val="center"/>
              <w:rPr>
                <w:kern w:val="0"/>
                <w:szCs w:val="21"/>
              </w:rPr>
            </w:pPr>
            <w:r>
              <w:rPr>
                <w:rFonts w:hint="eastAsia"/>
                <w:kern w:val="0"/>
                <w:szCs w:val="21"/>
              </w:rPr>
              <w:t>本项目选址条件</w:t>
            </w:r>
          </w:p>
        </w:tc>
        <w:tc>
          <w:tcPr>
            <w:tcW w:w="529" w:type="pct"/>
            <w:vAlign w:val="center"/>
          </w:tcPr>
          <w:p>
            <w:pPr>
              <w:adjustRightInd w:val="0"/>
              <w:snapToGrid w:val="0"/>
              <w:jc w:val="center"/>
              <w:rPr>
                <w:kern w:val="0"/>
                <w:szCs w:val="21"/>
              </w:rPr>
            </w:pPr>
            <w:r>
              <w:rPr>
                <w:rFonts w:hint="eastAsia"/>
                <w:kern w:val="0"/>
                <w:szCs w:val="21"/>
              </w:rPr>
              <w:t>符合性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8" w:hRule="atLeast"/>
        </w:trPr>
        <w:tc>
          <w:tcPr>
            <w:tcW w:w="492" w:type="pct"/>
            <w:vAlign w:val="center"/>
          </w:tcPr>
          <w:p>
            <w:pPr>
              <w:adjustRightInd w:val="0"/>
              <w:snapToGrid w:val="0"/>
              <w:jc w:val="center"/>
              <w:rPr>
                <w:kern w:val="0"/>
                <w:szCs w:val="21"/>
              </w:rPr>
            </w:pPr>
            <w:r>
              <w:rPr>
                <w:rFonts w:hint="eastAsia"/>
                <w:kern w:val="0"/>
                <w:szCs w:val="21"/>
              </w:rPr>
              <w:t>1</w:t>
            </w:r>
          </w:p>
        </w:tc>
        <w:tc>
          <w:tcPr>
            <w:tcW w:w="2400" w:type="pct"/>
            <w:vAlign w:val="center"/>
          </w:tcPr>
          <w:p>
            <w:pPr>
              <w:adjustRightInd w:val="0"/>
              <w:snapToGrid w:val="0"/>
              <w:jc w:val="center"/>
              <w:rPr>
                <w:kern w:val="0"/>
                <w:szCs w:val="21"/>
              </w:rPr>
            </w:pPr>
            <w:r>
              <w:rPr>
                <w:rFonts w:hint="eastAsia"/>
                <w:kern w:val="0"/>
                <w:szCs w:val="21"/>
              </w:rPr>
              <w:t>生活垃圾处理处置工程应与城乡功能结构相协调，满足城乡建设发展、环境卫生行业发展等需要</w:t>
            </w:r>
          </w:p>
        </w:tc>
        <w:tc>
          <w:tcPr>
            <w:tcW w:w="1579" w:type="pct"/>
            <w:vAlign w:val="center"/>
          </w:tcPr>
          <w:p>
            <w:pPr>
              <w:adjustRightInd w:val="0"/>
              <w:snapToGrid w:val="0"/>
              <w:jc w:val="center"/>
              <w:rPr>
                <w:kern w:val="0"/>
                <w:szCs w:val="21"/>
              </w:rPr>
            </w:pPr>
            <w:r>
              <w:rPr>
                <w:rFonts w:hint="eastAsia"/>
                <w:kern w:val="0"/>
                <w:szCs w:val="21"/>
              </w:rPr>
              <w:t>本项目已取得用地手续，土地用途为公用设施，并取得规划部门、发改部门住建部门等部门同意的备案表</w:t>
            </w:r>
          </w:p>
        </w:tc>
        <w:tc>
          <w:tcPr>
            <w:tcW w:w="529" w:type="pct"/>
            <w:vAlign w:val="center"/>
          </w:tcPr>
          <w:p>
            <w:pPr>
              <w:adjustRightInd w:val="0"/>
              <w:snapToGrid w:val="0"/>
              <w:jc w:val="center"/>
              <w:rPr>
                <w:kern w:val="0"/>
                <w:szCs w:val="21"/>
              </w:rPr>
            </w:pPr>
            <w:r>
              <w:rPr>
                <w:kern w:val="0"/>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trPr>
        <w:tc>
          <w:tcPr>
            <w:tcW w:w="492" w:type="pct"/>
            <w:vAlign w:val="center"/>
          </w:tcPr>
          <w:p>
            <w:pPr>
              <w:adjustRightInd w:val="0"/>
              <w:snapToGrid w:val="0"/>
              <w:jc w:val="center"/>
              <w:rPr>
                <w:kern w:val="0"/>
                <w:szCs w:val="21"/>
              </w:rPr>
            </w:pPr>
            <w:r>
              <w:rPr>
                <w:kern w:val="0"/>
                <w:szCs w:val="21"/>
              </w:rPr>
              <w:t>2</w:t>
            </w:r>
          </w:p>
        </w:tc>
        <w:tc>
          <w:tcPr>
            <w:tcW w:w="2400" w:type="pct"/>
            <w:vAlign w:val="center"/>
          </w:tcPr>
          <w:p>
            <w:pPr>
              <w:adjustRightInd w:val="0"/>
              <w:snapToGrid w:val="0"/>
              <w:rPr>
                <w:kern w:val="0"/>
                <w:szCs w:val="21"/>
              </w:rPr>
            </w:pPr>
            <w:r>
              <w:rPr>
                <w:kern w:val="0"/>
                <w:szCs w:val="21"/>
              </w:rPr>
              <w:t>不应设在下列地区：</w:t>
            </w:r>
          </w:p>
          <w:p>
            <w:pPr>
              <w:pStyle w:val="1715"/>
              <w:numPr>
                <w:ilvl w:val="0"/>
                <w:numId w:val="1"/>
              </w:numPr>
              <w:adjustRightInd w:val="0"/>
              <w:snapToGrid w:val="0"/>
              <w:ind w:firstLineChars="0"/>
              <w:rPr>
                <w:rFonts w:ascii="Times New Roman" w:hAnsi="Times New Roman"/>
                <w:kern w:val="0"/>
              </w:rPr>
            </w:pPr>
            <w:r>
              <w:rPr>
                <w:rFonts w:ascii="Times New Roman" w:hAnsi="Times New Roman"/>
                <w:kern w:val="0"/>
              </w:rPr>
              <w:t>生活饮用水水源保护区，供水远景规划区；</w:t>
            </w:r>
          </w:p>
          <w:p>
            <w:pPr>
              <w:pStyle w:val="1715"/>
              <w:numPr>
                <w:ilvl w:val="0"/>
                <w:numId w:val="1"/>
              </w:numPr>
              <w:adjustRightInd w:val="0"/>
              <w:snapToGrid w:val="0"/>
              <w:ind w:firstLineChars="0"/>
              <w:rPr>
                <w:rFonts w:ascii="Times New Roman" w:hAnsi="Times New Roman"/>
                <w:kern w:val="0"/>
              </w:rPr>
            </w:pPr>
            <w:r>
              <w:rPr>
                <w:rFonts w:ascii="Times New Roman" w:hAnsi="Times New Roman"/>
                <w:kern w:val="0"/>
              </w:rPr>
              <w:t>洪泛区和泄洪道；</w:t>
            </w:r>
          </w:p>
          <w:p>
            <w:pPr>
              <w:pStyle w:val="1715"/>
              <w:numPr>
                <w:ilvl w:val="0"/>
                <w:numId w:val="1"/>
              </w:numPr>
              <w:adjustRightInd w:val="0"/>
              <w:snapToGrid w:val="0"/>
              <w:ind w:firstLineChars="0"/>
              <w:rPr>
                <w:rFonts w:ascii="Times New Roman" w:hAnsi="Times New Roman"/>
                <w:kern w:val="0"/>
              </w:rPr>
            </w:pPr>
            <w:r>
              <w:rPr>
                <w:rFonts w:ascii="Times New Roman" w:hAnsi="Times New Roman"/>
                <w:kern w:val="0"/>
              </w:rPr>
              <w:t>尚未开采的地下蕴矿区和岩溶发育区</w:t>
            </w:r>
          </w:p>
          <w:p>
            <w:pPr>
              <w:pStyle w:val="1715"/>
              <w:numPr>
                <w:ilvl w:val="0"/>
                <w:numId w:val="1"/>
              </w:numPr>
              <w:adjustRightInd w:val="0"/>
              <w:snapToGrid w:val="0"/>
              <w:ind w:firstLineChars="0"/>
              <w:rPr>
                <w:rFonts w:ascii="Times New Roman" w:hAnsi="Times New Roman"/>
                <w:kern w:val="0"/>
              </w:rPr>
            </w:pPr>
            <w:r>
              <w:rPr>
                <w:rFonts w:ascii="Times New Roman" w:hAnsi="Times New Roman"/>
                <w:kern w:val="0"/>
              </w:rPr>
              <w:t>自然保护区</w:t>
            </w:r>
          </w:p>
          <w:p>
            <w:pPr>
              <w:pStyle w:val="1715"/>
              <w:numPr>
                <w:ilvl w:val="0"/>
                <w:numId w:val="1"/>
              </w:numPr>
              <w:adjustRightInd w:val="0"/>
              <w:snapToGrid w:val="0"/>
              <w:ind w:firstLineChars="0"/>
              <w:rPr>
                <w:rFonts w:ascii="Times New Roman" w:hAnsi="Times New Roman"/>
                <w:kern w:val="0"/>
              </w:rPr>
            </w:pPr>
            <w:r>
              <w:rPr>
                <w:rFonts w:ascii="Times New Roman" w:hAnsi="Times New Roman"/>
                <w:kern w:val="0"/>
              </w:rPr>
              <w:t>文物古迹区、考古学、历史学及生物学研究考察区</w:t>
            </w:r>
          </w:p>
        </w:tc>
        <w:tc>
          <w:tcPr>
            <w:tcW w:w="1579" w:type="pct"/>
            <w:vAlign w:val="center"/>
          </w:tcPr>
          <w:p>
            <w:pPr>
              <w:adjustRightInd w:val="0"/>
              <w:snapToGrid w:val="0"/>
              <w:jc w:val="center"/>
              <w:rPr>
                <w:kern w:val="0"/>
                <w:szCs w:val="21"/>
              </w:rPr>
            </w:pPr>
            <w:r>
              <w:rPr>
                <w:kern w:val="0"/>
                <w:szCs w:val="21"/>
              </w:rPr>
              <w:t>场址所在地区不属</w:t>
            </w:r>
            <w:r>
              <w:rPr>
                <w:rFonts w:hint="eastAsia"/>
                <w:kern w:val="0"/>
                <w:szCs w:val="21"/>
              </w:rPr>
              <w:t>规范</w:t>
            </w:r>
            <w:r>
              <w:rPr>
                <w:kern w:val="0"/>
                <w:szCs w:val="21"/>
              </w:rPr>
              <w:t>中所提及的区域</w:t>
            </w:r>
          </w:p>
        </w:tc>
        <w:tc>
          <w:tcPr>
            <w:tcW w:w="529" w:type="pct"/>
            <w:vAlign w:val="center"/>
          </w:tcPr>
          <w:p>
            <w:pPr>
              <w:adjustRightInd w:val="0"/>
              <w:snapToGrid w:val="0"/>
              <w:jc w:val="center"/>
              <w:rPr>
                <w:kern w:val="0"/>
                <w:szCs w:val="21"/>
              </w:rPr>
            </w:pPr>
            <w:r>
              <w:rPr>
                <w:kern w:val="0"/>
                <w:szCs w:val="21"/>
              </w:rPr>
              <w:t>符合</w:t>
            </w:r>
          </w:p>
        </w:tc>
      </w:tr>
    </w:tbl>
    <w:p>
      <w:pPr>
        <w:adjustRightInd w:val="0"/>
        <w:snapToGrid w:val="0"/>
        <w:spacing w:before="156" w:beforeLines="50" w:line="360" w:lineRule="auto"/>
        <w:ind w:firstLine="480" w:firstLineChars="200"/>
        <w:rPr>
          <w:kern w:val="0"/>
          <w:sz w:val="24"/>
        </w:rPr>
      </w:pPr>
      <w:r>
        <w:rPr>
          <w:kern w:val="0"/>
          <w:sz w:val="24"/>
        </w:rPr>
        <w:t>3、与《巴彦淖尔市“十四五”生态环境保护规划》符合性分析</w:t>
      </w:r>
    </w:p>
    <w:p>
      <w:pPr>
        <w:autoSpaceDE w:val="0"/>
        <w:autoSpaceDN w:val="0"/>
        <w:adjustRightInd w:val="0"/>
        <w:snapToGrid w:val="0"/>
        <w:spacing w:line="360" w:lineRule="auto"/>
        <w:ind w:firstLine="480" w:firstLineChars="200"/>
        <w:rPr>
          <w:kern w:val="0"/>
          <w:sz w:val="24"/>
        </w:rPr>
      </w:pPr>
      <w:r>
        <w:rPr>
          <w:kern w:val="0"/>
          <w:sz w:val="24"/>
        </w:rPr>
        <w:t>《巴彦淖尔市“十四五”生态环境保护规划》指出：“开展农村生活垃圾集中处理。推进农村牧区垃圾减量化、资源化、无害化，推广农村牧区垃圾分类和资源化利用试点经验，合理开展垃圾分类。”“加强生活垃圾污染治理，提高城市生活垃圾处理减量化、资源化和无害化水平，实现城镇垃圾处理设施全覆盖，2023 年年底前完成与生活垃圾分类匹配的餐厨垃圾处理能力建设。”</w:t>
      </w:r>
      <w:r>
        <w:t xml:space="preserve"> “</w:t>
      </w:r>
      <w:r>
        <w:rPr>
          <w:kern w:val="0"/>
          <w:sz w:val="24"/>
        </w:rPr>
        <w:t>提高垃圾分类收运能力和水平，推进垃圾集中处理设施建设，到2025 年，城镇生活垃圾无害化处理率达到99%以上。”</w:t>
      </w:r>
    </w:p>
    <w:p>
      <w:pPr>
        <w:pStyle w:val="825"/>
        <w:adjustRightInd w:val="0"/>
        <w:snapToGrid w:val="0"/>
        <w:ind w:firstLine="480"/>
        <w:rPr>
          <w:rFonts w:ascii="宋体" w:cs="宋体"/>
        </w:rPr>
      </w:pPr>
      <w:r>
        <w:rPr>
          <w:rFonts w:hint="eastAsia"/>
        </w:rPr>
        <w:t>本项目位于五原县复兴镇</w:t>
      </w:r>
      <w:r>
        <w:rPr>
          <w:rFonts w:hint="eastAsia"/>
          <w:color w:val="0000FF"/>
        </w:rPr>
        <w:t>和胜村五社</w:t>
      </w:r>
      <w:r>
        <w:rPr>
          <w:rFonts w:hint="eastAsia"/>
        </w:rPr>
        <w:t>，</w:t>
      </w:r>
      <w:r>
        <w:t>服务范围为</w:t>
      </w:r>
      <w:r>
        <w:rPr>
          <w:rFonts w:hint="eastAsia"/>
        </w:rPr>
        <w:t>覆盖复兴镇、巴彦套海镇、塔尔湖镇、天吉泰镇、新公中镇、银定图镇、丰裕办事处等7个乡镇办事处260个村组7.5万农村居民。项目的建设实现了农村垃圾减量化、资源化、无害化，符合</w:t>
      </w:r>
      <w:r>
        <w:rPr>
          <w:rFonts w:hint="eastAsia" w:ascii="宋体" w:cs="宋体"/>
        </w:rPr>
        <w:t>《巴彦淖尔市“十四五”生态环境保护规划》要求。</w:t>
      </w:r>
    </w:p>
    <w:p>
      <w:pPr>
        <w:adjustRightInd w:val="0"/>
        <w:snapToGrid w:val="0"/>
        <w:spacing w:line="360" w:lineRule="auto"/>
        <w:ind w:firstLine="480" w:firstLineChars="200"/>
        <w:rPr>
          <w:sz w:val="24"/>
        </w:rPr>
      </w:pPr>
      <w:r>
        <w:rPr>
          <w:sz w:val="24"/>
        </w:rPr>
        <w:t>4</w:t>
      </w:r>
      <w:r>
        <w:rPr>
          <w:rFonts w:hint="eastAsia"/>
          <w:sz w:val="24"/>
        </w:rPr>
        <w:t>、“三线一单”符合性分析</w:t>
      </w:r>
    </w:p>
    <w:p>
      <w:pPr>
        <w:widowControl/>
        <w:adjustRightInd w:val="0"/>
        <w:snapToGrid w:val="0"/>
        <w:spacing w:line="360" w:lineRule="auto"/>
        <w:ind w:firstLine="480" w:firstLineChars="200"/>
        <w:rPr>
          <w:kern w:val="0"/>
          <w:sz w:val="24"/>
        </w:rPr>
      </w:pPr>
      <w:r>
        <w:rPr>
          <w:rFonts w:hint="eastAsia" w:ascii="宋体" w:hAnsi="宋体"/>
          <w:kern w:val="0"/>
          <w:sz w:val="24"/>
        </w:rPr>
        <w:t>（</w:t>
      </w:r>
      <w:r>
        <w:rPr>
          <w:rFonts w:hint="eastAsia"/>
          <w:kern w:val="0"/>
          <w:sz w:val="24"/>
        </w:rPr>
        <w:t>1</w:t>
      </w:r>
      <w:r>
        <w:rPr>
          <w:rFonts w:hint="eastAsia" w:ascii="宋体" w:hAnsi="宋体"/>
          <w:kern w:val="0"/>
          <w:sz w:val="24"/>
        </w:rPr>
        <w:t>）生态保护红线</w:t>
      </w:r>
    </w:p>
    <w:p>
      <w:pPr>
        <w:autoSpaceDE w:val="0"/>
        <w:autoSpaceDN w:val="0"/>
        <w:adjustRightInd w:val="0"/>
        <w:snapToGrid w:val="0"/>
        <w:spacing w:line="360" w:lineRule="auto"/>
        <w:ind w:firstLine="480" w:firstLineChars="200"/>
        <w:jc w:val="left"/>
        <w:rPr>
          <w:rFonts w:ascii="宋体" w:cs="宋体"/>
          <w:kern w:val="0"/>
          <w:sz w:val="24"/>
        </w:rPr>
      </w:pPr>
      <w:r>
        <w:rPr>
          <w:rFonts w:hint="eastAsia"/>
          <w:kern w:val="0"/>
          <w:sz w:val="24"/>
        </w:rPr>
        <w:t> </w:t>
      </w:r>
      <w:r>
        <w:rPr>
          <w:rFonts w:hint="eastAsia" w:ascii="宋体" w:cs="宋体"/>
          <w:kern w:val="0"/>
          <w:sz w:val="24"/>
        </w:rPr>
        <w:t>根据《巴彦淖尔市人民政府关于实施“三线一单”生态环境分区管控的意见》（巴政发〔</w:t>
      </w:r>
      <w:r>
        <w:rPr>
          <w:rFonts w:ascii="TimesNewRomanPSMT" w:eastAsia="TimesNewRomanPSMT" w:cs="TimesNewRomanPSMT"/>
          <w:kern w:val="0"/>
          <w:sz w:val="24"/>
        </w:rPr>
        <w:t>2021</w:t>
      </w:r>
      <w:r>
        <w:rPr>
          <w:rFonts w:hint="eastAsia" w:ascii="宋体" w:cs="宋体"/>
          <w:kern w:val="0"/>
          <w:sz w:val="24"/>
        </w:rPr>
        <w:t>〕</w:t>
      </w:r>
      <w:r>
        <w:rPr>
          <w:rFonts w:ascii="TimesNewRomanPSMT" w:eastAsia="TimesNewRomanPSMT" w:cs="TimesNewRomanPSMT"/>
          <w:kern w:val="0"/>
          <w:sz w:val="24"/>
        </w:rPr>
        <w:t xml:space="preserve">9 </w:t>
      </w:r>
      <w:r>
        <w:rPr>
          <w:rFonts w:hint="eastAsia" w:ascii="宋体" w:cs="宋体"/>
          <w:kern w:val="0"/>
          <w:sz w:val="24"/>
        </w:rPr>
        <w:t>号），全市共划定环境管控单元</w:t>
      </w:r>
      <w:r>
        <w:rPr>
          <w:rFonts w:ascii="TimesNewRomanPSMT" w:eastAsia="TimesNewRomanPSMT" w:cs="TimesNewRomanPSMT"/>
          <w:kern w:val="0"/>
          <w:sz w:val="24"/>
        </w:rPr>
        <w:t xml:space="preserve">249 </w:t>
      </w:r>
      <w:r>
        <w:rPr>
          <w:rFonts w:hint="eastAsia" w:ascii="宋体" w:cs="宋体"/>
          <w:kern w:val="0"/>
          <w:sz w:val="24"/>
        </w:rPr>
        <w:t>个，包括优先保护单元、重点管控单元、一般管控单元三类，实施分类管控。</w:t>
      </w:r>
    </w:p>
    <w:p>
      <w:pPr>
        <w:adjustRightInd w:val="0"/>
        <w:snapToGrid w:val="0"/>
        <w:spacing w:line="360" w:lineRule="auto"/>
        <w:ind w:firstLine="480" w:firstLineChars="200"/>
        <w:rPr>
          <w:sz w:val="24"/>
        </w:rPr>
      </w:pPr>
      <w:r>
        <w:rPr>
          <w:rFonts w:hint="eastAsia"/>
          <w:sz w:val="24"/>
        </w:rPr>
        <w:t>本项目位于巴彦淖尔市五原县复兴镇属于优先保护单元，生态保护重点为一般生态空间，不涉及生态保护红线，不涉及自然保护区、森林公园、风景名胜区、饮用水水源地、水产种质资源保护区、湿地、水土流失极敏感区、生态区位重要的沙化土地、水源涵养极重要区、水土保持极重要区、生物多样性极重要区等。</w:t>
      </w:r>
    </w:p>
    <w:p>
      <w:pPr>
        <w:widowControl/>
        <w:adjustRightInd w:val="0"/>
        <w:snapToGrid w:val="0"/>
        <w:spacing w:line="360" w:lineRule="auto"/>
        <w:rPr>
          <w:rFonts w:ascii="宋体" w:hAnsi="宋体"/>
          <w:kern w:val="0"/>
          <w:sz w:val="24"/>
        </w:rPr>
      </w:pPr>
      <w:r>
        <w:rPr>
          <w:rFonts w:ascii="宋体" w:hAnsi="宋体"/>
          <w:kern w:val="0"/>
          <w:sz w:val="24"/>
        </w:rPr>
        <mc:AlternateContent>
          <mc:Choice Requires="wps">
            <w:drawing>
              <wp:anchor distT="0" distB="0" distL="114300" distR="114300" simplePos="0" relativeHeight="251670528" behindDoc="0" locked="0" layoutInCell="1" allowOverlap="1">
                <wp:simplePos x="0" y="0"/>
                <wp:positionH relativeFrom="column">
                  <wp:posOffset>2672715</wp:posOffset>
                </wp:positionH>
                <wp:positionV relativeFrom="paragraph">
                  <wp:posOffset>1920240</wp:posOffset>
                </wp:positionV>
                <wp:extent cx="874395" cy="334645"/>
                <wp:effectExtent l="0" t="0" r="20955" b="255905"/>
                <wp:wrapNone/>
                <wp:docPr id="56" name="AutoShape 370"/>
                <wp:cNvGraphicFramePr/>
                <a:graphic xmlns:a="http://schemas.openxmlformats.org/drawingml/2006/main">
                  <a:graphicData uri="http://schemas.microsoft.com/office/word/2010/wordprocessingShape">
                    <wps:wsp>
                      <wps:cNvSpPr>
                        <a:spLocks noChangeArrowheads="1"/>
                      </wps:cNvSpPr>
                      <wps:spPr bwMode="auto">
                        <a:xfrm>
                          <a:off x="0" y="0"/>
                          <a:ext cx="874643" cy="334838"/>
                        </a:xfrm>
                        <a:prstGeom prst="wedgeRectCallout">
                          <a:avLst>
                            <a:gd name="adj1" fmla="val -46245"/>
                            <a:gd name="adj2" fmla="val 107963"/>
                          </a:avLst>
                        </a:prstGeom>
                        <a:noFill/>
                        <a:ln w="15875">
                          <a:solidFill>
                            <a:schemeClr val="tx1">
                              <a:lumMod val="100000"/>
                              <a:lumOff val="0"/>
                            </a:schemeClr>
                          </a:solidFill>
                          <a:miter lim="800000"/>
                        </a:ln>
                      </wps:spPr>
                      <wps:txbx>
                        <w:txbxContent>
                          <w:p>
                            <w:pPr>
                              <w:rPr>
                                <w:b/>
                                <w:color w:val="000000" w:themeColor="text1"/>
                                <w14:textFill>
                                  <w14:solidFill>
                                    <w14:schemeClr w14:val="tx1"/>
                                  </w14:solidFill>
                                </w14:textFill>
                              </w:rPr>
                            </w:pPr>
                            <w:r>
                              <w:rPr>
                                <w:rFonts w:hint="eastAsia"/>
                                <w:b/>
                                <w:color w:val="000000" w:themeColor="text1"/>
                                <w14:textFill>
                                  <w14:solidFill>
                                    <w14:schemeClr w14:val="tx1"/>
                                  </w14:solidFill>
                                </w14:textFill>
                              </w:rPr>
                              <w:t>项目位置</w:t>
                            </w:r>
                          </w:p>
                        </w:txbxContent>
                      </wps:txbx>
                      <wps:bodyPr rot="0" vert="horz" wrap="square" lIns="91440" tIns="45720" rIns="91440" bIns="45720" anchor="t" anchorCtr="0" upright="1">
                        <a:noAutofit/>
                      </wps:bodyPr>
                    </wps:wsp>
                  </a:graphicData>
                </a:graphic>
              </wp:anchor>
            </w:drawing>
          </mc:Choice>
          <mc:Fallback>
            <w:pict>
              <v:shape id="AutoShape 370" o:spid="_x0000_s1026" o:spt="61" type="#_x0000_t61" style="position:absolute;left:0pt;margin-left:210.45pt;margin-top:151.2pt;height:26.35pt;width:68.85pt;z-index:251670528;mso-width-relative:page;mso-height-relative:page;" filled="f" stroked="t" coordsize="21600,21600" o:gfxdata="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KIr4NTbAAAACwEAAA8AAAAAAAAAAQAgAAAAIgAAAGRycy9k&#10;b3ducmV2LnhtbFBLAQIUABQAAAAIAIdO4kDxv2K/cQIAAOwEAAAOAAAAAAAAAAEAIAAAACoBAABk&#10;cnMvZTJvRG9jLnhtbFBLBQYAAAAABgAGAFkBAAANBgAAAAA=&#10;" adj="811,34120">
                <v:fill on="f" focussize="0,0"/>
                <v:stroke weight="1.25pt" color="#000000 [3229]" miterlimit="8" joinstyle="miter"/>
                <v:imagedata o:title=""/>
                <o:lock v:ext="edit" aspectratio="f"/>
                <v:textbox>
                  <w:txbxContent>
                    <w:p>
                      <w:pPr>
                        <w:rPr>
                          <w:b/>
                          <w:color w:val="000000" w:themeColor="text1"/>
                          <w14:textFill>
                            <w14:solidFill>
                              <w14:schemeClr w14:val="tx1"/>
                            </w14:solidFill>
                          </w14:textFill>
                        </w:rPr>
                      </w:pPr>
                      <w:r>
                        <w:rPr>
                          <w:rFonts w:hint="eastAsia"/>
                          <w:b/>
                          <w:color w:val="000000" w:themeColor="text1"/>
                          <w14:textFill>
                            <w14:solidFill>
                              <w14:schemeClr w14:val="tx1"/>
                            </w14:solidFill>
                          </w14:textFill>
                        </w:rPr>
                        <w:t>项目位置</w:t>
                      </w:r>
                    </w:p>
                  </w:txbxContent>
                </v:textbox>
              </v:shape>
            </w:pict>
          </mc:Fallback>
        </mc:AlternateContent>
      </w:r>
      <w:r>
        <w:rPr>
          <w:rFonts w:ascii="宋体" w:hAnsi="宋体"/>
          <w:kern w:val="0"/>
          <w:sz w:val="24"/>
        </w:rPr>
        <w:drawing>
          <wp:inline distT="0" distB="0" distL="0" distR="0">
            <wp:extent cx="5274310" cy="35242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4310" cy="3524309"/>
                    </a:xfrm>
                    <a:prstGeom prst="rect">
                      <a:avLst/>
                    </a:prstGeom>
                    <a:noFill/>
                    <a:ln>
                      <a:noFill/>
                    </a:ln>
                  </pic:spPr>
                </pic:pic>
              </a:graphicData>
            </a:graphic>
          </wp:inline>
        </w:drawing>
      </w:r>
    </w:p>
    <w:p>
      <w:pPr>
        <w:widowControl/>
        <w:adjustRightInd w:val="0"/>
        <w:snapToGrid w:val="0"/>
        <w:spacing w:line="360" w:lineRule="auto"/>
        <w:jc w:val="center"/>
        <w:rPr>
          <w:b/>
          <w:kern w:val="0"/>
          <w:sz w:val="24"/>
        </w:rPr>
      </w:pPr>
      <w:r>
        <w:rPr>
          <w:b/>
          <w:kern w:val="0"/>
          <w:sz w:val="24"/>
        </w:rPr>
        <w:drawing>
          <wp:inline distT="0" distB="0" distL="0" distR="0">
            <wp:extent cx="5274310" cy="2496820"/>
            <wp:effectExtent l="0" t="0" r="2540" b="0"/>
            <wp:docPr id="335" name="图片 335" descr="C:\Users\众成环境\AppData\Local\Temp\WeChat Files\fb60aa643f05641f2268ecb5b8969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C:\Users\众成环境\AppData\Local\Temp\WeChat Files\fb60aa643f05641f2268ecb5b8969cb.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4310" cy="2497391"/>
                    </a:xfrm>
                    <a:prstGeom prst="rect">
                      <a:avLst/>
                    </a:prstGeom>
                    <a:noFill/>
                    <a:ln>
                      <a:noFill/>
                    </a:ln>
                  </pic:spPr>
                </pic:pic>
              </a:graphicData>
            </a:graphic>
          </wp:inline>
        </w:drawing>
      </w:r>
    </w:p>
    <w:p>
      <w:pPr>
        <w:widowControl/>
        <w:spacing w:line="360" w:lineRule="auto"/>
        <w:ind w:firstLine="482" w:firstLineChars="200"/>
        <w:jc w:val="center"/>
        <w:rPr>
          <w:b/>
          <w:color w:val="FF0000"/>
          <w:kern w:val="0"/>
          <w:sz w:val="24"/>
        </w:rPr>
      </w:pPr>
      <w:r>
        <w:rPr>
          <w:b/>
          <w:color w:val="FF0000"/>
          <w:kern w:val="0"/>
          <w:sz w:val="24"/>
        </w:rPr>
        <w:t>图1.3-1 项目在环境管控单元的位置</w:t>
      </w:r>
    </w:p>
    <w:p>
      <w:pPr>
        <w:widowControl/>
        <w:adjustRightInd w:val="0"/>
        <w:snapToGrid w:val="0"/>
        <w:spacing w:line="360" w:lineRule="auto"/>
        <w:ind w:firstLine="480" w:firstLineChars="200"/>
        <w:rPr>
          <w:kern w:val="0"/>
          <w:sz w:val="24"/>
        </w:rPr>
      </w:pPr>
      <w:r>
        <w:rPr>
          <w:rFonts w:hint="eastAsia" w:ascii="宋体" w:hAnsi="宋体"/>
          <w:kern w:val="0"/>
          <w:sz w:val="24"/>
        </w:rPr>
        <w:t>（</w:t>
      </w:r>
      <w:r>
        <w:rPr>
          <w:rFonts w:hint="eastAsia"/>
          <w:kern w:val="0"/>
          <w:sz w:val="24"/>
        </w:rPr>
        <w:t>2</w:t>
      </w:r>
      <w:r>
        <w:rPr>
          <w:rFonts w:hint="eastAsia" w:ascii="宋体" w:hAnsi="宋体"/>
          <w:kern w:val="0"/>
          <w:sz w:val="24"/>
        </w:rPr>
        <w:t>）环境质量底线</w:t>
      </w:r>
    </w:p>
    <w:p>
      <w:pPr>
        <w:adjustRightInd w:val="0"/>
        <w:snapToGrid w:val="0"/>
        <w:spacing w:line="360" w:lineRule="auto"/>
        <w:ind w:firstLine="480" w:firstLineChars="200"/>
        <w:rPr>
          <w:sz w:val="24"/>
        </w:rPr>
      </w:pPr>
      <w:r>
        <w:rPr>
          <w:rFonts w:hint="eastAsia"/>
          <w:sz w:val="24"/>
        </w:rPr>
        <w:t>根据项目所在地环境现状评价结果，项目区域环境空气符合《环境空气质量标准》（GB3095-2012）中二类功能区，声环境符合《声环境质量标准》（GB3096-2008）中2类功能区，地下水符合《地下水质量标准》（GB/T 14848-2017）Ⅲ类标准，土壤符合《土壤环境质量 农用地土壤污染风险管控标准》（试行）(GB15618—2018)筛选值、</w:t>
      </w:r>
      <w:r>
        <w:rPr>
          <w:rFonts w:hint="eastAsia" w:ascii="宋体" w:hAnsi="宋体"/>
          <w:sz w:val="24"/>
        </w:rPr>
        <w:t>《土壤环境质量建设用地土壤污染风险管控标准（试行）》（</w:t>
      </w:r>
      <w:r>
        <w:rPr>
          <w:sz w:val="24"/>
        </w:rPr>
        <w:t>GB36600-2018</w:t>
      </w:r>
      <w:r>
        <w:rPr>
          <w:rFonts w:hint="eastAsia" w:ascii="宋体" w:hAnsi="宋体"/>
          <w:sz w:val="24"/>
        </w:rPr>
        <w:t>）》中第二类用地筛选值标准</w:t>
      </w:r>
      <w:r>
        <w:rPr>
          <w:rFonts w:hint="eastAsia"/>
          <w:sz w:val="24"/>
        </w:rPr>
        <w:t>。本项目污染物产生较少，符合环境质量底线要求。</w:t>
      </w:r>
    </w:p>
    <w:p>
      <w:pPr>
        <w:widowControl/>
        <w:adjustRightInd w:val="0"/>
        <w:snapToGrid w:val="0"/>
        <w:spacing w:line="360" w:lineRule="auto"/>
        <w:ind w:firstLine="480" w:firstLineChars="200"/>
        <w:rPr>
          <w:sz w:val="24"/>
        </w:rPr>
      </w:pPr>
      <w:r>
        <w:rPr>
          <w:rFonts w:hint="eastAsia" w:ascii="宋体" w:hAnsi="宋体"/>
          <w:sz w:val="24"/>
        </w:rPr>
        <w:t>（</w:t>
      </w:r>
      <w:r>
        <w:rPr>
          <w:rFonts w:hint="eastAsia"/>
          <w:sz w:val="24"/>
        </w:rPr>
        <w:t>3</w:t>
      </w:r>
      <w:r>
        <w:rPr>
          <w:rFonts w:hint="eastAsia" w:ascii="宋体" w:hAnsi="宋体"/>
          <w:sz w:val="24"/>
        </w:rPr>
        <w:t>）资源利用上线</w:t>
      </w:r>
    </w:p>
    <w:p>
      <w:pPr>
        <w:widowControl/>
        <w:adjustRightInd w:val="0"/>
        <w:snapToGrid w:val="0"/>
        <w:spacing w:line="360" w:lineRule="auto"/>
        <w:ind w:firstLine="480" w:firstLineChars="200"/>
        <w:rPr>
          <w:sz w:val="24"/>
        </w:rPr>
      </w:pPr>
      <w:r>
        <w:rPr>
          <w:rFonts w:hint="eastAsia" w:ascii="宋体" w:hAnsi="宋体"/>
          <w:sz w:val="24"/>
        </w:rPr>
        <w:t>本项目运营过程中消耗一定量的电和水资源。项目消耗资源相对于区域资源利用总量较少，符合资源利用上线要求。</w:t>
      </w:r>
    </w:p>
    <w:p>
      <w:pPr>
        <w:adjustRightInd w:val="0"/>
        <w:snapToGrid w:val="0"/>
        <w:spacing w:line="360" w:lineRule="auto"/>
        <w:ind w:firstLine="480" w:firstLineChars="200"/>
        <w:rPr>
          <w:sz w:val="24"/>
        </w:rPr>
      </w:pPr>
      <w:r>
        <w:rPr>
          <w:sz w:val="24"/>
        </w:rPr>
        <w:t>（4）生态环境准入清单</w:t>
      </w:r>
    </w:p>
    <w:p>
      <w:pPr>
        <w:adjustRightInd w:val="0"/>
        <w:snapToGrid w:val="0"/>
        <w:spacing w:line="360" w:lineRule="auto"/>
        <w:ind w:firstLine="480" w:firstLineChars="200"/>
        <w:rPr>
          <w:sz w:val="24"/>
        </w:rPr>
      </w:pPr>
      <w:r>
        <w:rPr>
          <w:rFonts w:hint="eastAsia"/>
          <w:sz w:val="24"/>
        </w:rPr>
        <w:t>本项目位于巴彦淖尔市五原县复兴镇，根据《巴彦淖尔市生态环境准入清单》，本项目位于五原县一般生态空间-水土保持管控单元，环境管控单元编码ZH15082110016，属于优先保护单元，本项目建设与管控单元管控要求符合性分析如下：</w:t>
      </w:r>
    </w:p>
    <w:p>
      <w:pPr>
        <w:widowControl/>
        <w:jc w:val="center"/>
        <w:rPr>
          <w:b/>
          <w:sz w:val="22"/>
          <w:szCs w:val="22"/>
        </w:rPr>
      </w:pPr>
      <w:r>
        <w:rPr>
          <w:b/>
          <w:sz w:val="22"/>
          <w:szCs w:val="22"/>
        </w:rPr>
        <w:t>表1.3-</w:t>
      </w:r>
      <w:r>
        <w:rPr>
          <w:rFonts w:hint="eastAsia"/>
          <w:b/>
          <w:sz w:val="22"/>
          <w:szCs w:val="22"/>
        </w:rPr>
        <w:t>2</w:t>
      </w:r>
      <w:r>
        <w:rPr>
          <w:b/>
          <w:sz w:val="22"/>
          <w:szCs w:val="22"/>
        </w:rPr>
        <w:t xml:space="preserve">  项目建设与</w:t>
      </w:r>
      <w:r>
        <w:rPr>
          <w:rFonts w:hint="eastAsia"/>
          <w:b/>
          <w:sz w:val="22"/>
          <w:szCs w:val="22"/>
        </w:rPr>
        <w:t>《</w:t>
      </w:r>
      <w:r>
        <w:rPr>
          <w:b/>
          <w:sz w:val="22"/>
          <w:szCs w:val="22"/>
        </w:rPr>
        <w:t>巴彦淖尔市生态环境准入清单</w:t>
      </w:r>
      <w:r>
        <w:rPr>
          <w:rFonts w:hint="eastAsia"/>
          <w:b/>
          <w:sz w:val="22"/>
          <w:szCs w:val="22"/>
        </w:rPr>
        <w:t>》</w:t>
      </w:r>
      <w:r>
        <w:rPr>
          <w:b/>
          <w:sz w:val="22"/>
          <w:szCs w:val="22"/>
        </w:rPr>
        <w:t>符合性分析一览表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0"/>
        <w:gridCol w:w="657"/>
        <w:gridCol w:w="709"/>
        <w:gridCol w:w="991"/>
        <w:gridCol w:w="709"/>
        <w:gridCol w:w="2923"/>
        <w:gridCol w:w="1023"/>
        <w:gridCol w:w="6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pStyle w:val="20"/>
              <w:tabs>
                <w:tab w:val="left" w:pos="0"/>
              </w:tabs>
              <w:kinsoku w:val="0"/>
              <w:overflowPunct w:val="0"/>
              <w:autoSpaceDE w:val="0"/>
              <w:autoSpaceDN w:val="0"/>
              <w:snapToGrid w:val="0"/>
              <w:spacing w:line="240" w:lineRule="auto"/>
              <w:jc w:val="center"/>
              <w:rPr>
                <w:b/>
                <w:bCs/>
                <w:color w:val="FF0000"/>
                <w:sz w:val="21"/>
                <w:szCs w:val="21"/>
              </w:rPr>
            </w:pPr>
            <w:r>
              <w:rPr>
                <w:rFonts w:hint="eastAsia"/>
                <w:b/>
                <w:bCs/>
                <w:color w:val="FF0000"/>
                <w:sz w:val="21"/>
                <w:szCs w:val="21"/>
              </w:rPr>
              <w:t>管控类型</w:t>
            </w:r>
          </w:p>
        </w:tc>
        <w:tc>
          <w:tcPr>
            <w:tcW w:w="3514" w:type="pct"/>
            <w:gridSpan w:val="5"/>
            <w:vAlign w:val="center"/>
          </w:tcPr>
          <w:p>
            <w:pPr>
              <w:pStyle w:val="20"/>
              <w:tabs>
                <w:tab w:val="left" w:pos="0"/>
              </w:tabs>
              <w:kinsoku w:val="0"/>
              <w:overflowPunct w:val="0"/>
              <w:autoSpaceDE w:val="0"/>
              <w:autoSpaceDN w:val="0"/>
              <w:snapToGrid w:val="0"/>
              <w:spacing w:line="240" w:lineRule="auto"/>
              <w:jc w:val="center"/>
              <w:rPr>
                <w:b/>
                <w:bCs/>
                <w:color w:val="FF0000"/>
                <w:sz w:val="21"/>
                <w:szCs w:val="21"/>
              </w:rPr>
            </w:pPr>
            <w:r>
              <w:rPr>
                <w:rFonts w:hint="eastAsia"/>
                <w:b/>
                <w:bCs/>
                <w:color w:val="FF0000"/>
                <w:sz w:val="21"/>
                <w:szCs w:val="21"/>
              </w:rPr>
              <w:t>管控要求</w:t>
            </w:r>
          </w:p>
        </w:tc>
        <w:tc>
          <w:tcPr>
            <w:tcW w:w="600" w:type="pct"/>
            <w:vAlign w:val="center"/>
          </w:tcPr>
          <w:p>
            <w:pPr>
              <w:pStyle w:val="20"/>
              <w:tabs>
                <w:tab w:val="left" w:pos="0"/>
              </w:tabs>
              <w:kinsoku w:val="0"/>
              <w:overflowPunct w:val="0"/>
              <w:autoSpaceDE w:val="0"/>
              <w:autoSpaceDN w:val="0"/>
              <w:snapToGrid w:val="0"/>
              <w:spacing w:line="240" w:lineRule="auto"/>
              <w:jc w:val="center"/>
              <w:rPr>
                <w:b/>
                <w:bCs/>
                <w:sz w:val="21"/>
                <w:szCs w:val="21"/>
                <w:highlight w:val="yellow"/>
              </w:rPr>
            </w:pPr>
            <w:r>
              <w:rPr>
                <w:b/>
                <w:bCs/>
                <w:sz w:val="21"/>
                <w:szCs w:val="21"/>
              </w:rPr>
              <w:t>本项目</w:t>
            </w:r>
          </w:p>
        </w:tc>
        <w:tc>
          <w:tcPr>
            <w:tcW w:w="381" w:type="pct"/>
            <w:vAlign w:val="center"/>
          </w:tcPr>
          <w:p>
            <w:pPr>
              <w:pStyle w:val="20"/>
              <w:tabs>
                <w:tab w:val="left" w:pos="0"/>
              </w:tabs>
              <w:kinsoku w:val="0"/>
              <w:overflowPunct w:val="0"/>
              <w:autoSpaceDE w:val="0"/>
              <w:autoSpaceDN w:val="0"/>
              <w:snapToGrid w:val="0"/>
              <w:spacing w:line="240" w:lineRule="auto"/>
              <w:jc w:val="center"/>
              <w:rPr>
                <w:b/>
                <w:bCs/>
                <w:sz w:val="21"/>
                <w:szCs w:val="21"/>
              </w:rPr>
            </w:pPr>
            <w:r>
              <w:rPr>
                <w:b/>
                <w:bCs/>
                <w:sz w:val="21"/>
                <w:szCs w:val="21"/>
              </w:rP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pStyle w:val="20"/>
              <w:tabs>
                <w:tab w:val="left" w:pos="0"/>
              </w:tabs>
              <w:kinsoku w:val="0"/>
              <w:overflowPunct w:val="0"/>
              <w:autoSpaceDE w:val="0"/>
              <w:autoSpaceDN w:val="0"/>
              <w:snapToGrid w:val="0"/>
              <w:spacing w:line="240" w:lineRule="auto"/>
              <w:jc w:val="center"/>
              <w:rPr>
                <w:b/>
                <w:bCs/>
                <w:color w:val="FF0000"/>
                <w:sz w:val="21"/>
                <w:szCs w:val="21"/>
              </w:rPr>
            </w:pPr>
            <w:r>
              <w:rPr>
                <w:rFonts w:hint="eastAsia"/>
                <w:b/>
                <w:bCs/>
                <w:color w:val="FF0000"/>
                <w:sz w:val="21"/>
                <w:szCs w:val="21"/>
              </w:rPr>
              <w:t>巴彦淖尔市总体要求</w:t>
            </w:r>
          </w:p>
        </w:tc>
        <w:tc>
          <w:tcPr>
            <w:tcW w:w="3514" w:type="pct"/>
            <w:gridSpan w:val="5"/>
          </w:tcPr>
          <w:p>
            <w:pPr>
              <w:pStyle w:val="972"/>
              <w:jc w:val="both"/>
              <w:rPr>
                <w:rFonts w:ascii="Times New Roman" w:cs="Times New Roman"/>
                <w:color w:val="FF0000"/>
                <w:sz w:val="21"/>
                <w:szCs w:val="21"/>
              </w:rPr>
            </w:pPr>
            <w:r>
              <w:rPr>
                <w:rFonts w:ascii="Times New Roman" w:cs="Times New Roman"/>
                <w:color w:val="FF0000"/>
                <w:sz w:val="21"/>
                <w:szCs w:val="21"/>
              </w:rPr>
              <w:t>1、除现有化工园区外，不再布局新的化工园区。现有园区扩大面积的，要与黄河中上游流域巴彦淖尔段及主要支流岸线至少保持1公里距离。</w:t>
            </w:r>
          </w:p>
          <w:p>
            <w:pPr>
              <w:pStyle w:val="972"/>
              <w:jc w:val="both"/>
              <w:rPr>
                <w:rFonts w:ascii="Times New Roman" w:cs="Times New Roman"/>
                <w:color w:val="FF0000"/>
                <w:sz w:val="21"/>
                <w:szCs w:val="21"/>
              </w:rPr>
            </w:pPr>
            <w:r>
              <w:rPr>
                <w:rFonts w:ascii="Times New Roman" w:cs="Times New Roman"/>
                <w:color w:val="FF0000"/>
                <w:sz w:val="21"/>
                <w:szCs w:val="21"/>
              </w:rPr>
              <w:t>2、新建、改建、扩建“两高”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w:t>
            </w:r>
          </w:p>
          <w:p>
            <w:pPr>
              <w:pStyle w:val="972"/>
              <w:jc w:val="both"/>
              <w:rPr>
                <w:rFonts w:ascii="Times New Roman" w:cs="Times New Roman"/>
                <w:color w:val="FF0000"/>
                <w:sz w:val="21"/>
                <w:szCs w:val="21"/>
              </w:rPr>
            </w:pPr>
            <w:r>
              <w:rPr>
                <w:rFonts w:ascii="Times New Roman" w:cs="Times New Roman"/>
                <w:color w:val="FF0000"/>
                <w:sz w:val="21"/>
                <w:szCs w:val="21"/>
              </w:rPr>
              <w:t>3</w:t>
            </w:r>
            <w:r>
              <w:rPr>
                <w:rFonts w:ascii="Times New Roman" w:eastAsia="仿宋_GB2312" w:cs="Times New Roman"/>
                <w:color w:val="FF0000"/>
                <w:sz w:val="21"/>
                <w:szCs w:val="21"/>
              </w:rPr>
              <w:t>、</w:t>
            </w:r>
            <w:r>
              <w:rPr>
                <w:rFonts w:ascii="Times New Roman" w:cs="Times New Roman"/>
                <w:color w:val="FF0000"/>
                <w:sz w:val="21"/>
                <w:szCs w:val="21"/>
              </w:rPr>
              <w:t>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pPr>
              <w:pStyle w:val="972"/>
              <w:jc w:val="both"/>
              <w:rPr>
                <w:rFonts w:ascii="Times New Roman" w:cs="Times New Roman"/>
                <w:color w:val="FF0000"/>
                <w:sz w:val="21"/>
                <w:szCs w:val="21"/>
              </w:rPr>
            </w:pPr>
            <w:r>
              <w:rPr>
                <w:rFonts w:ascii="Times New Roman" w:cs="Times New Roman"/>
                <w:color w:val="FF0000"/>
                <w:sz w:val="21"/>
                <w:szCs w:val="21"/>
              </w:rPr>
              <w:t>4、各类园区及建设项目选址必须符合当地国土空间规划。新建工业企业原则上应在工业园区内建设并符合相关规划和园区定位。</w:t>
            </w:r>
          </w:p>
          <w:p>
            <w:pPr>
              <w:pStyle w:val="972"/>
              <w:jc w:val="both"/>
              <w:rPr>
                <w:rFonts w:ascii="Times New Roman" w:cs="Times New Roman"/>
                <w:color w:val="FF0000"/>
                <w:sz w:val="21"/>
                <w:szCs w:val="21"/>
              </w:rPr>
            </w:pPr>
            <w:r>
              <w:rPr>
                <w:rFonts w:ascii="Times New Roman" w:cs="Times New Roman"/>
                <w:color w:val="FF0000"/>
                <w:sz w:val="21"/>
                <w:szCs w:val="21"/>
              </w:rPr>
              <w:t>5、新建矿山要全部达到绿色矿山建设标准，生产矿山要按照绿色矿山建设标准加快改造升级,限期达到绿色矿山建设标准。2025年底前,全部矿山达到国家或自治区绿色矿山建设标准,不符合绿色矿山建设标准的矿山企业依法逐步退出市场。</w:t>
            </w:r>
          </w:p>
          <w:p>
            <w:pPr>
              <w:pStyle w:val="972"/>
              <w:jc w:val="both"/>
              <w:rPr>
                <w:rFonts w:ascii="Times New Roman" w:cs="Times New Roman"/>
                <w:color w:val="FF0000"/>
                <w:sz w:val="21"/>
                <w:szCs w:val="21"/>
              </w:rPr>
            </w:pPr>
            <w:r>
              <w:rPr>
                <w:rFonts w:ascii="Times New Roman" w:cs="Times New Roman"/>
                <w:color w:val="FF0000"/>
                <w:sz w:val="21"/>
                <w:szCs w:val="21"/>
              </w:rPr>
              <w:t>6、国家重点生态功能区要严格落实产业准入负面清单要求，在严格保护生态安全的前提下，鼓励和支持市场主体集约高效有序地发展符合主体功能定位的适宜产业；限制类产业要在规模产量、生产工艺、区位布局、清洁生产水平等方面严格执行有关规定，鼓励和引导市场主体对既有项目改造升级、入园入区；禁止类产业要严禁市场主体准入，行政机关不予审批、核准，不得办理有关手续。其他重点开发的城镇和重点生态功能区点状开发的城镇，新建矿产资源开采加工、火电、化工、冶金、有色等重大项目，应实行更加严格的环境标准，相关项目必须符合相应领域的专项规划，必须开展环境影响评价和社会稳定风险评估等，不得损害生态系统的稳定性和完整性。</w:t>
            </w:r>
          </w:p>
          <w:p>
            <w:pPr>
              <w:pStyle w:val="972"/>
              <w:jc w:val="both"/>
              <w:rPr>
                <w:rFonts w:ascii="Times New Roman" w:cs="Times New Roman"/>
                <w:color w:val="FF0000"/>
                <w:sz w:val="21"/>
                <w:szCs w:val="21"/>
              </w:rPr>
            </w:pPr>
            <w:r>
              <w:rPr>
                <w:rFonts w:ascii="Times New Roman" w:cs="Times New Roman"/>
                <w:color w:val="FF0000"/>
                <w:sz w:val="21"/>
                <w:szCs w:val="21"/>
              </w:rPr>
              <w:t>7、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-2001）的限值要求，并符合污染物排放总量控制要求。禁养区范围内的已建成的畜禽养殖场（小区）和养殖专业户，由所在地人民政府负责责令限期搬迁、关闭或取缔。</w:t>
            </w:r>
          </w:p>
          <w:p>
            <w:pPr>
              <w:pStyle w:val="20"/>
              <w:tabs>
                <w:tab w:val="left" w:pos="0"/>
              </w:tabs>
              <w:kinsoku w:val="0"/>
              <w:overflowPunct w:val="0"/>
              <w:autoSpaceDE w:val="0"/>
              <w:autoSpaceDN w:val="0"/>
              <w:snapToGrid w:val="0"/>
              <w:spacing w:line="240" w:lineRule="auto"/>
              <w:jc w:val="both"/>
              <w:rPr>
                <w:rFonts w:ascii="Times New Roman" w:hAnsi="Times New Roman"/>
                <w:b/>
                <w:bCs/>
                <w:color w:val="FF0000"/>
                <w:sz w:val="21"/>
                <w:szCs w:val="21"/>
              </w:rPr>
            </w:pPr>
            <w:r>
              <w:rPr>
                <w:rFonts w:ascii="Times New Roman" w:hAnsi="Times New Roman"/>
                <w:color w:val="FF0000"/>
                <w:sz w:val="21"/>
                <w:szCs w:val="21"/>
              </w:rPr>
              <w:t>8、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tc>
        <w:tc>
          <w:tcPr>
            <w:tcW w:w="600" w:type="pct"/>
          </w:tcPr>
          <w:p>
            <w:pPr>
              <w:pStyle w:val="20"/>
              <w:tabs>
                <w:tab w:val="left" w:pos="0"/>
              </w:tabs>
              <w:kinsoku w:val="0"/>
              <w:overflowPunct w:val="0"/>
              <w:autoSpaceDE w:val="0"/>
              <w:autoSpaceDN w:val="0"/>
              <w:snapToGrid w:val="0"/>
              <w:spacing w:line="240" w:lineRule="auto"/>
              <w:jc w:val="center"/>
              <w:rPr>
                <w:b/>
                <w:bCs/>
                <w:color w:val="FF0000"/>
                <w:sz w:val="21"/>
                <w:szCs w:val="21"/>
              </w:rPr>
            </w:pPr>
            <w:r>
              <w:rPr>
                <w:color w:val="FF0000"/>
                <w:sz w:val="21"/>
                <w:szCs w:val="21"/>
              </w:rPr>
              <w:t>项目</w:t>
            </w:r>
            <w:r>
              <w:rPr>
                <w:rFonts w:hint="eastAsia"/>
                <w:color w:val="FF0000"/>
                <w:sz w:val="21"/>
                <w:szCs w:val="21"/>
              </w:rPr>
              <w:t>属于公共设施建设项目，不涉及两高行业，项目所在区域为环境质量达标区。要求项目取得环评批复后应及时落实排污许可管理要求。</w:t>
            </w:r>
          </w:p>
        </w:tc>
        <w:tc>
          <w:tcPr>
            <w:tcW w:w="381" w:type="pct"/>
            <w:vAlign w:val="center"/>
          </w:tcPr>
          <w:p>
            <w:pPr>
              <w:pStyle w:val="20"/>
              <w:tabs>
                <w:tab w:val="left" w:pos="0"/>
              </w:tabs>
              <w:kinsoku w:val="0"/>
              <w:overflowPunct w:val="0"/>
              <w:autoSpaceDE w:val="0"/>
              <w:autoSpaceDN w:val="0"/>
              <w:snapToGrid w:val="0"/>
              <w:spacing w:line="240" w:lineRule="auto"/>
              <w:jc w:val="center"/>
              <w:rPr>
                <w:b/>
                <w:bCs/>
                <w:color w:val="FF0000"/>
                <w:sz w:val="21"/>
                <w:szCs w:val="21"/>
              </w:rPr>
            </w:pPr>
            <w:r>
              <w:rPr>
                <w:rFonts w:hint="eastAsia"/>
                <w:b/>
                <w:bCs/>
                <w:color w:val="FF0000"/>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pPr>
              <w:pStyle w:val="20"/>
              <w:tabs>
                <w:tab w:val="left" w:pos="0"/>
              </w:tabs>
              <w:kinsoku w:val="0"/>
              <w:overflowPunct w:val="0"/>
              <w:autoSpaceDE w:val="0"/>
              <w:autoSpaceDN w:val="0"/>
              <w:snapToGrid w:val="0"/>
              <w:spacing w:line="240" w:lineRule="auto"/>
              <w:jc w:val="center"/>
              <w:rPr>
                <w:b/>
                <w:bCs/>
                <w:sz w:val="21"/>
                <w:szCs w:val="21"/>
              </w:rPr>
            </w:pPr>
            <w:r>
              <w:rPr>
                <w:rFonts w:hint="eastAsia"/>
                <w:b/>
                <w:bCs/>
                <w:sz w:val="21"/>
                <w:szCs w:val="21"/>
              </w:rPr>
              <w:t>编码</w:t>
            </w:r>
          </w:p>
        </w:tc>
        <w:tc>
          <w:tcPr>
            <w:tcW w:w="386" w:type="pct"/>
            <w:vAlign w:val="center"/>
          </w:tcPr>
          <w:p>
            <w:pPr>
              <w:pStyle w:val="20"/>
              <w:tabs>
                <w:tab w:val="left" w:pos="0"/>
              </w:tabs>
              <w:kinsoku w:val="0"/>
              <w:overflowPunct w:val="0"/>
              <w:autoSpaceDE w:val="0"/>
              <w:autoSpaceDN w:val="0"/>
              <w:snapToGrid w:val="0"/>
              <w:spacing w:line="240" w:lineRule="auto"/>
              <w:jc w:val="center"/>
              <w:rPr>
                <w:b/>
                <w:bCs/>
                <w:sz w:val="21"/>
                <w:szCs w:val="21"/>
              </w:rPr>
            </w:pPr>
            <w:r>
              <w:rPr>
                <w:rFonts w:hint="eastAsia"/>
                <w:b/>
                <w:bCs/>
                <w:sz w:val="21"/>
                <w:szCs w:val="21"/>
              </w:rPr>
              <w:t>环境管控单元名称</w:t>
            </w:r>
          </w:p>
        </w:tc>
        <w:tc>
          <w:tcPr>
            <w:tcW w:w="416" w:type="pct"/>
            <w:vAlign w:val="center"/>
          </w:tcPr>
          <w:p>
            <w:pPr>
              <w:pStyle w:val="20"/>
              <w:tabs>
                <w:tab w:val="left" w:pos="0"/>
              </w:tabs>
              <w:kinsoku w:val="0"/>
              <w:overflowPunct w:val="0"/>
              <w:autoSpaceDE w:val="0"/>
              <w:autoSpaceDN w:val="0"/>
              <w:snapToGrid w:val="0"/>
              <w:spacing w:line="240" w:lineRule="auto"/>
              <w:jc w:val="center"/>
              <w:rPr>
                <w:b/>
                <w:bCs/>
                <w:sz w:val="21"/>
                <w:szCs w:val="21"/>
              </w:rPr>
            </w:pPr>
            <w:r>
              <w:rPr>
                <w:rFonts w:hint="eastAsia"/>
                <w:b/>
                <w:bCs/>
                <w:sz w:val="21"/>
                <w:szCs w:val="21"/>
              </w:rPr>
              <w:t>管控单元类别</w:t>
            </w:r>
          </w:p>
        </w:tc>
        <w:tc>
          <w:tcPr>
            <w:tcW w:w="581" w:type="pct"/>
            <w:vAlign w:val="center"/>
          </w:tcPr>
          <w:p>
            <w:pPr>
              <w:pStyle w:val="20"/>
              <w:tabs>
                <w:tab w:val="left" w:pos="0"/>
              </w:tabs>
              <w:kinsoku w:val="0"/>
              <w:overflowPunct w:val="0"/>
              <w:autoSpaceDE w:val="0"/>
              <w:autoSpaceDN w:val="0"/>
              <w:snapToGrid w:val="0"/>
              <w:spacing w:line="240" w:lineRule="auto"/>
              <w:jc w:val="center"/>
              <w:rPr>
                <w:b/>
                <w:bCs/>
                <w:sz w:val="21"/>
                <w:szCs w:val="21"/>
              </w:rPr>
            </w:pPr>
            <w:r>
              <w:rPr>
                <w:rFonts w:hint="eastAsia"/>
                <w:b/>
                <w:bCs/>
                <w:sz w:val="21"/>
                <w:szCs w:val="21"/>
              </w:rPr>
              <w:t>生态保护重点</w:t>
            </w:r>
          </w:p>
        </w:tc>
        <w:tc>
          <w:tcPr>
            <w:tcW w:w="2130" w:type="pct"/>
            <w:gridSpan w:val="2"/>
            <w:vAlign w:val="center"/>
          </w:tcPr>
          <w:p>
            <w:pPr>
              <w:pStyle w:val="20"/>
              <w:tabs>
                <w:tab w:val="left" w:pos="0"/>
              </w:tabs>
              <w:kinsoku w:val="0"/>
              <w:overflowPunct w:val="0"/>
              <w:autoSpaceDE w:val="0"/>
              <w:autoSpaceDN w:val="0"/>
              <w:snapToGrid w:val="0"/>
              <w:spacing w:line="240" w:lineRule="auto"/>
              <w:jc w:val="center"/>
              <w:rPr>
                <w:b/>
                <w:bCs/>
                <w:sz w:val="21"/>
                <w:szCs w:val="21"/>
              </w:rPr>
            </w:pPr>
            <w:r>
              <w:rPr>
                <w:b/>
                <w:bCs/>
                <w:sz w:val="21"/>
                <w:szCs w:val="21"/>
              </w:rPr>
              <w:t>管控要求</w:t>
            </w:r>
          </w:p>
        </w:tc>
        <w:tc>
          <w:tcPr>
            <w:tcW w:w="600" w:type="pct"/>
            <w:vAlign w:val="center"/>
          </w:tcPr>
          <w:p>
            <w:pPr>
              <w:pStyle w:val="20"/>
              <w:tabs>
                <w:tab w:val="left" w:pos="0"/>
              </w:tabs>
              <w:kinsoku w:val="0"/>
              <w:overflowPunct w:val="0"/>
              <w:autoSpaceDE w:val="0"/>
              <w:autoSpaceDN w:val="0"/>
              <w:snapToGrid w:val="0"/>
              <w:spacing w:line="240" w:lineRule="auto"/>
              <w:jc w:val="center"/>
              <w:rPr>
                <w:b/>
                <w:bCs/>
                <w:sz w:val="21"/>
                <w:szCs w:val="21"/>
                <w:highlight w:val="yellow"/>
              </w:rPr>
            </w:pPr>
            <w:r>
              <w:rPr>
                <w:b/>
                <w:bCs/>
                <w:sz w:val="21"/>
                <w:szCs w:val="21"/>
              </w:rPr>
              <w:t>本项目</w:t>
            </w:r>
          </w:p>
        </w:tc>
        <w:tc>
          <w:tcPr>
            <w:tcW w:w="381" w:type="pct"/>
            <w:vAlign w:val="center"/>
          </w:tcPr>
          <w:p>
            <w:pPr>
              <w:pStyle w:val="20"/>
              <w:tabs>
                <w:tab w:val="left" w:pos="0"/>
              </w:tabs>
              <w:kinsoku w:val="0"/>
              <w:overflowPunct w:val="0"/>
              <w:autoSpaceDE w:val="0"/>
              <w:autoSpaceDN w:val="0"/>
              <w:snapToGrid w:val="0"/>
              <w:spacing w:line="240" w:lineRule="auto"/>
              <w:jc w:val="center"/>
              <w:rPr>
                <w:b/>
                <w:bCs/>
                <w:sz w:val="21"/>
                <w:szCs w:val="21"/>
              </w:rPr>
            </w:pPr>
            <w:r>
              <w:rPr>
                <w:b/>
                <w:bCs/>
                <w:sz w:val="21"/>
                <w:szCs w:val="21"/>
              </w:rP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5" w:type="pct"/>
          </w:tcPr>
          <w:p>
            <w:pPr>
              <w:pStyle w:val="20"/>
              <w:tabs>
                <w:tab w:val="left" w:pos="0"/>
              </w:tabs>
              <w:kinsoku w:val="0"/>
              <w:overflowPunct w:val="0"/>
              <w:autoSpaceDE w:val="0"/>
              <w:autoSpaceDN w:val="0"/>
              <w:snapToGrid w:val="0"/>
              <w:spacing w:line="240" w:lineRule="auto"/>
              <w:jc w:val="center"/>
              <w:rPr>
                <w:sz w:val="21"/>
                <w:szCs w:val="21"/>
              </w:rPr>
            </w:pPr>
            <w:r>
              <w:rPr>
                <w:rFonts w:hint="eastAsia" w:ascii="Times New Roman" w:hAnsi="Times New Roman"/>
                <w:sz w:val="21"/>
                <w:szCs w:val="21"/>
              </w:rPr>
              <w:t>ZH15082110016</w:t>
            </w:r>
          </w:p>
        </w:tc>
        <w:tc>
          <w:tcPr>
            <w:tcW w:w="386" w:type="pct"/>
          </w:tcPr>
          <w:p>
            <w:pPr>
              <w:pStyle w:val="20"/>
              <w:tabs>
                <w:tab w:val="left" w:pos="0"/>
              </w:tabs>
              <w:kinsoku w:val="0"/>
              <w:overflowPunct w:val="0"/>
              <w:autoSpaceDE w:val="0"/>
              <w:autoSpaceDN w:val="0"/>
              <w:snapToGrid w:val="0"/>
              <w:spacing w:line="240" w:lineRule="auto"/>
              <w:jc w:val="center"/>
              <w:rPr>
                <w:sz w:val="21"/>
                <w:szCs w:val="21"/>
              </w:rPr>
            </w:pPr>
            <w:r>
              <w:rPr>
                <w:rFonts w:hint="eastAsia" w:ascii="Times New Roman" w:hAnsi="Times New Roman"/>
                <w:sz w:val="21"/>
                <w:szCs w:val="21"/>
              </w:rPr>
              <w:t>五原县一般生态空间-水土保持</w:t>
            </w:r>
          </w:p>
        </w:tc>
        <w:tc>
          <w:tcPr>
            <w:tcW w:w="416" w:type="pct"/>
          </w:tcPr>
          <w:p>
            <w:pPr>
              <w:pStyle w:val="20"/>
              <w:tabs>
                <w:tab w:val="left" w:pos="0"/>
              </w:tabs>
              <w:kinsoku w:val="0"/>
              <w:overflowPunct w:val="0"/>
              <w:autoSpaceDE w:val="0"/>
              <w:autoSpaceDN w:val="0"/>
              <w:snapToGrid w:val="0"/>
              <w:spacing w:line="240" w:lineRule="auto"/>
              <w:jc w:val="center"/>
              <w:rPr>
                <w:sz w:val="21"/>
                <w:szCs w:val="21"/>
              </w:rPr>
            </w:pPr>
            <w:r>
              <w:rPr>
                <w:rFonts w:hint="eastAsia" w:ascii="Times New Roman" w:hAnsi="Times New Roman"/>
                <w:sz w:val="21"/>
                <w:szCs w:val="21"/>
              </w:rPr>
              <w:t>优先保护单元</w:t>
            </w:r>
          </w:p>
        </w:tc>
        <w:tc>
          <w:tcPr>
            <w:tcW w:w="581" w:type="pct"/>
          </w:tcPr>
          <w:p>
            <w:pPr>
              <w:pStyle w:val="20"/>
              <w:tabs>
                <w:tab w:val="left" w:pos="0"/>
              </w:tabs>
              <w:kinsoku w:val="0"/>
              <w:overflowPunct w:val="0"/>
              <w:autoSpaceDE w:val="0"/>
              <w:autoSpaceDN w:val="0"/>
              <w:snapToGrid w:val="0"/>
              <w:spacing w:line="240" w:lineRule="auto"/>
              <w:jc w:val="center"/>
              <w:rPr>
                <w:sz w:val="21"/>
                <w:szCs w:val="21"/>
              </w:rPr>
            </w:pPr>
            <w:r>
              <w:rPr>
                <w:rFonts w:hint="eastAsia"/>
                <w:sz w:val="21"/>
                <w:szCs w:val="21"/>
              </w:rPr>
              <w:t>一般生态空间</w:t>
            </w:r>
          </w:p>
        </w:tc>
        <w:tc>
          <w:tcPr>
            <w:tcW w:w="416" w:type="pct"/>
          </w:tcPr>
          <w:p>
            <w:pPr>
              <w:pStyle w:val="20"/>
              <w:tabs>
                <w:tab w:val="left" w:pos="0"/>
              </w:tabs>
              <w:kinsoku w:val="0"/>
              <w:overflowPunct w:val="0"/>
              <w:autoSpaceDE w:val="0"/>
              <w:autoSpaceDN w:val="0"/>
              <w:snapToGrid w:val="0"/>
              <w:spacing w:line="240" w:lineRule="auto"/>
              <w:jc w:val="center"/>
              <w:rPr>
                <w:sz w:val="21"/>
                <w:szCs w:val="21"/>
              </w:rPr>
            </w:pPr>
            <w:r>
              <w:rPr>
                <w:rFonts w:hint="eastAsia"/>
                <w:sz w:val="21"/>
                <w:szCs w:val="21"/>
              </w:rPr>
              <w:t>空间布局约束</w:t>
            </w:r>
          </w:p>
          <w:p>
            <w:pPr>
              <w:pStyle w:val="20"/>
              <w:tabs>
                <w:tab w:val="left" w:pos="0"/>
              </w:tabs>
              <w:kinsoku w:val="0"/>
              <w:overflowPunct w:val="0"/>
              <w:autoSpaceDE w:val="0"/>
              <w:autoSpaceDN w:val="0"/>
              <w:snapToGrid w:val="0"/>
              <w:spacing w:line="240" w:lineRule="auto"/>
              <w:jc w:val="center"/>
              <w:rPr>
                <w:sz w:val="21"/>
                <w:szCs w:val="21"/>
              </w:rPr>
            </w:pPr>
          </w:p>
        </w:tc>
        <w:tc>
          <w:tcPr>
            <w:tcW w:w="1714" w:type="pct"/>
          </w:tcPr>
          <w:p>
            <w:pPr>
              <w:pStyle w:val="20"/>
              <w:tabs>
                <w:tab w:val="left" w:pos="0"/>
              </w:tabs>
              <w:kinsoku w:val="0"/>
              <w:overflowPunct w:val="0"/>
              <w:autoSpaceDE w:val="0"/>
              <w:autoSpaceDN w:val="0"/>
              <w:snapToGrid w:val="0"/>
              <w:spacing w:line="240" w:lineRule="auto"/>
              <w:jc w:val="center"/>
              <w:rPr>
                <w:sz w:val="21"/>
                <w:szCs w:val="21"/>
              </w:rPr>
            </w:pPr>
            <w:r>
              <w:rPr>
                <w:sz w:val="21"/>
                <w:szCs w:val="21"/>
              </w:rPr>
              <w:t>全面实施保护天然林、退耕还林还牧工程，严禁陡坡垦殖，禁止在二十五度以上陡坡地开垦种植农作物，禁止开垦的范围由旗县级人民政府划定并公告；已经开垦种植农作物的应当按照国家有关规定逐步退耕还林还草；耕地短缺或者已经签订农村土地承包合同、退耕确有困难的，应当根据实际采取相应的水土保持措施。禁止毁林开荒、烧山开荒，合理开发自然资源，保护和恢复自然生态系统，增强区域水土保持能力；禁止在崩塌、滑坡危险区和泥石流易发区从事取土、挖砂、采石等可能造成水土流失的活动。禁止在水土流失重点预防区和重点治理区铲草皮、挖树等。</w:t>
            </w:r>
          </w:p>
        </w:tc>
        <w:tc>
          <w:tcPr>
            <w:tcW w:w="600" w:type="pct"/>
          </w:tcPr>
          <w:p>
            <w:pPr>
              <w:pStyle w:val="20"/>
              <w:tabs>
                <w:tab w:val="left" w:pos="0"/>
              </w:tabs>
              <w:kinsoku w:val="0"/>
              <w:overflowPunct w:val="0"/>
              <w:autoSpaceDE w:val="0"/>
              <w:autoSpaceDN w:val="0"/>
              <w:snapToGrid w:val="0"/>
              <w:spacing w:line="240" w:lineRule="auto"/>
              <w:jc w:val="center"/>
              <w:rPr>
                <w:sz w:val="21"/>
                <w:szCs w:val="21"/>
                <w:highlight w:val="yellow"/>
              </w:rPr>
            </w:pPr>
            <w:r>
              <w:rPr>
                <w:sz w:val="21"/>
                <w:szCs w:val="21"/>
              </w:rPr>
              <w:t>项目</w:t>
            </w:r>
            <w:r>
              <w:rPr>
                <w:rFonts w:hint="eastAsia"/>
                <w:sz w:val="21"/>
                <w:szCs w:val="21"/>
              </w:rPr>
              <w:t>属于公共设施建设项目，原</w:t>
            </w:r>
            <w:r>
              <w:rPr>
                <w:sz w:val="21"/>
                <w:szCs w:val="21"/>
              </w:rPr>
              <w:t>占地</w:t>
            </w:r>
            <w:r>
              <w:rPr>
                <w:rFonts w:hint="eastAsia"/>
                <w:sz w:val="21"/>
                <w:szCs w:val="21"/>
              </w:rPr>
              <w:t>为废弃的养殖场，</w:t>
            </w:r>
            <w:r>
              <w:rPr>
                <w:sz w:val="21"/>
                <w:szCs w:val="21"/>
              </w:rPr>
              <w:t>不涉及土地开垦相关内容。</w:t>
            </w:r>
          </w:p>
        </w:tc>
        <w:tc>
          <w:tcPr>
            <w:tcW w:w="381" w:type="pct"/>
          </w:tcPr>
          <w:p>
            <w:pPr>
              <w:pStyle w:val="20"/>
              <w:tabs>
                <w:tab w:val="left" w:pos="0"/>
              </w:tabs>
              <w:kinsoku w:val="0"/>
              <w:overflowPunct w:val="0"/>
              <w:autoSpaceDE w:val="0"/>
              <w:autoSpaceDN w:val="0"/>
              <w:snapToGrid w:val="0"/>
              <w:spacing w:line="240" w:lineRule="auto"/>
              <w:jc w:val="center"/>
              <w:rPr>
                <w:sz w:val="21"/>
                <w:szCs w:val="21"/>
              </w:rPr>
            </w:pPr>
            <w:r>
              <w:rPr>
                <w:sz w:val="21"/>
                <w:szCs w:val="21"/>
              </w:rPr>
              <w:t>符合</w:t>
            </w:r>
          </w:p>
        </w:tc>
      </w:tr>
    </w:tbl>
    <w:p>
      <w:pPr>
        <w:widowControl/>
        <w:spacing w:line="360" w:lineRule="auto"/>
        <w:ind w:firstLine="480" w:firstLineChars="200"/>
        <w:rPr>
          <w:sz w:val="24"/>
        </w:rPr>
      </w:pPr>
      <w:r>
        <w:rPr>
          <w:rFonts w:hint="eastAsia" w:ascii="宋体" w:hAnsi="宋体"/>
          <w:kern w:val="0"/>
          <w:sz w:val="24"/>
        </w:rPr>
        <w:t>综上，项目</w:t>
      </w:r>
      <w:r>
        <w:rPr>
          <w:rFonts w:hint="eastAsia" w:ascii="宋体" w:hAnsi="宋体"/>
          <w:sz w:val="24"/>
        </w:rPr>
        <w:t>符合“三线一单”要求。</w:t>
      </w:r>
    </w:p>
    <w:p>
      <w:pPr>
        <w:spacing w:line="360" w:lineRule="auto"/>
        <w:ind w:firstLine="480" w:firstLineChars="200"/>
        <w:rPr>
          <w:sz w:val="24"/>
          <w:highlight w:val="yellow"/>
        </w:rPr>
      </w:pPr>
    </w:p>
    <w:p>
      <w:pPr>
        <w:spacing w:line="360" w:lineRule="auto"/>
        <w:ind w:firstLine="480" w:firstLineChars="200"/>
        <w:rPr>
          <w:sz w:val="24"/>
        </w:rPr>
      </w:pPr>
    </w:p>
    <w:p>
      <w:pPr>
        <w:spacing w:line="360" w:lineRule="auto"/>
        <w:ind w:firstLine="482" w:firstLineChars="200"/>
        <w:rPr>
          <w:b/>
          <w:sz w:val="24"/>
        </w:rPr>
        <w:sectPr>
          <w:pgSz w:w="11906" w:h="16838"/>
          <w:pgMar w:top="1440" w:right="1800" w:bottom="1440" w:left="1800" w:header="851" w:footer="992" w:gutter="0"/>
          <w:cols w:space="720" w:num="1"/>
          <w:docGrid w:type="lines" w:linePitch="312" w:charSpace="0"/>
        </w:sectPr>
      </w:pPr>
    </w:p>
    <w:p>
      <w:pPr>
        <w:pStyle w:val="347"/>
        <w:keepNext w:val="0"/>
        <w:topLinePunct w:val="0"/>
        <w:spacing w:before="156" w:beforeLines="50" w:after="156" w:afterLines="50" w:line="360" w:lineRule="auto"/>
        <w:rPr>
          <w:rFonts w:cs="Times New Roman"/>
        </w:rPr>
      </w:pPr>
      <w:bookmarkStart w:id="25" w:name="_Toc143762277"/>
      <w:r>
        <w:rPr>
          <w:rFonts w:hint="eastAsia" w:cs="Times New Roman"/>
        </w:rPr>
        <w:t>1</w:t>
      </w:r>
      <w:r>
        <w:rPr>
          <w:rFonts w:cs="Times New Roman"/>
        </w:rPr>
        <w:t>.4关注的主要环境问题</w:t>
      </w:r>
      <w:bookmarkEnd w:id="24"/>
      <w:bookmarkEnd w:id="25"/>
    </w:p>
    <w:p>
      <w:pPr>
        <w:spacing w:line="360" w:lineRule="auto"/>
        <w:ind w:firstLine="480" w:firstLineChars="200"/>
        <w:rPr>
          <w:sz w:val="24"/>
        </w:rPr>
      </w:pPr>
      <w:r>
        <w:rPr>
          <w:sz w:val="24"/>
        </w:rPr>
        <w:t>（1）项目建成后渗滤液对地下水环境影响；</w:t>
      </w:r>
    </w:p>
    <w:p>
      <w:pPr>
        <w:spacing w:line="360" w:lineRule="auto"/>
        <w:ind w:firstLine="480" w:firstLineChars="200"/>
        <w:rPr>
          <w:sz w:val="24"/>
        </w:rPr>
      </w:pPr>
      <w:r>
        <w:rPr>
          <w:sz w:val="24"/>
        </w:rPr>
        <w:t>（2）项目建成后硫化氢、氨等恶臭气体对周围大气环境的影响。</w:t>
      </w:r>
    </w:p>
    <w:p>
      <w:pPr>
        <w:pStyle w:val="347"/>
        <w:keepNext w:val="0"/>
        <w:topLinePunct w:val="0"/>
        <w:spacing w:before="156" w:beforeLines="50" w:after="156" w:afterLines="50" w:line="360" w:lineRule="auto"/>
        <w:rPr>
          <w:rFonts w:cs="Times New Roman"/>
        </w:rPr>
      </w:pPr>
      <w:bookmarkStart w:id="26" w:name="_Toc143762278"/>
      <w:bookmarkStart w:id="27" w:name="_Toc489432943"/>
      <w:r>
        <w:rPr>
          <w:rFonts w:cs="Times New Roman"/>
        </w:rPr>
        <w:t>1.5 环境影响评价主要结论</w:t>
      </w:r>
      <w:bookmarkEnd w:id="26"/>
      <w:bookmarkEnd w:id="27"/>
    </w:p>
    <w:p>
      <w:pPr>
        <w:pStyle w:val="825"/>
        <w:ind w:firstLine="480"/>
      </w:pPr>
      <w:r>
        <w:t>本项目的建设符合国家产业政策，项目选址合理，项目采用的各种环保措施合理可行；在建设单位认真落实各项环保对策措施后，废水</w:t>
      </w:r>
      <w:r>
        <w:rPr>
          <w:rFonts w:hint="eastAsia"/>
        </w:rPr>
        <w:t>处理</w:t>
      </w:r>
      <w:r>
        <w:t>达标</w:t>
      </w:r>
      <w:r>
        <w:rPr>
          <w:rFonts w:hint="eastAsia"/>
        </w:rPr>
        <w:t>后</w:t>
      </w:r>
      <w:r>
        <w:t>回用，填埋场废气和噪声可得到有效控制，不会导致该区域的环境功能现状发生显著的变化。本项目是一项公益事业，具有较好的社会效益和环境效益。因此，该项目在严格遵守“三同时”等环保制度，认真落实本报告书所提出的环保措施和加强环境管理，保证各环保设施的“三同时”及正常运行的前提下，可将项目运行期对环境不利影响降低到最小程度。从环境保护角度分析论证，本项目的建设是可行的。</w:t>
      </w:r>
    </w:p>
    <w:p>
      <w:pPr>
        <w:autoSpaceDE w:val="0"/>
        <w:autoSpaceDN w:val="0"/>
        <w:spacing w:line="360" w:lineRule="auto"/>
        <w:ind w:firstLine="480"/>
        <w:rPr>
          <w:kern w:val="0"/>
          <w:sz w:val="24"/>
        </w:rPr>
      </w:pPr>
    </w:p>
    <w:bookmarkEnd w:id="12"/>
    <w:bookmarkEnd w:id="13"/>
    <w:bookmarkEnd w:id="14"/>
    <w:bookmarkEnd w:id="15"/>
    <w:bookmarkEnd w:id="16"/>
    <w:bookmarkEnd w:id="17"/>
    <w:bookmarkEnd w:id="18"/>
    <w:bookmarkEnd w:id="19"/>
    <w:bookmarkEnd w:id="20"/>
    <w:p>
      <w:pPr>
        <w:pStyle w:val="823"/>
        <w:adjustRightInd/>
        <w:spacing w:before="156" w:beforeLines="50" w:after="156" w:afterLines="50" w:line="360" w:lineRule="auto"/>
        <w:rPr>
          <w:rFonts w:cs="Times New Roman"/>
        </w:rPr>
      </w:pPr>
      <w:bookmarkStart w:id="28" w:name="_Toc401478968"/>
      <w:bookmarkStart w:id="29" w:name="_Toc143762279"/>
      <w:bookmarkStart w:id="30" w:name="_Toc489432944"/>
      <w:r>
        <w:rPr>
          <w:rFonts w:cs="Times New Roman"/>
        </w:rPr>
        <w:t>2总</w:t>
      </w:r>
      <w:bookmarkEnd w:id="28"/>
      <w:r>
        <w:rPr>
          <w:rFonts w:cs="Times New Roman"/>
        </w:rPr>
        <w:t>则</w:t>
      </w:r>
      <w:bookmarkEnd w:id="29"/>
      <w:bookmarkEnd w:id="30"/>
    </w:p>
    <w:p>
      <w:pPr>
        <w:pStyle w:val="347"/>
        <w:keepNext w:val="0"/>
        <w:topLinePunct w:val="0"/>
        <w:spacing w:before="156" w:beforeLines="50" w:after="156" w:afterLines="50" w:line="360" w:lineRule="auto"/>
        <w:rPr>
          <w:rFonts w:cs="Times New Roman"/>
        </w:rPr>
      </w:pPr>
      <w:bookmarkStart w:id="31" w:name="_Toc489432949"/>
      <w:bookmarkStart w:id="32" w:name="_Toc401478973"/>
      <w:bookmarkStart w:id="33" w:name="_Toc143762280"/>
      <w:bookmarkStart w:id="34" w:name="_Toc205715479"/>
      <w:r>
        <w:rPr>
          <w:rFonts w:cs="Times New Roman"/>
        </w:rPr>
        <w:t>2.1编制依据</w:t>
      </w:r>
      <w:bookmarkEnd w:id="31"/>
      <w:bookmarkEnd w:id="32"/>
      <w:bookmarkEnd w:id="33"/>
      <w:bookmarkEnd w:id="34"/>
    </w:p>
    <w:p>
      <w:pPr>
        <w:pStyle w:val="831"/>
        <w:spacing w:before="156" w:beforeLines="50" w:after="156" w:afterLines="50" w:line="360" w:lineRule="auto"/>
        <w:rPr>
          <w:rFonts w:cs="Times New Roman"/>
        </w:rPr>
      </w:pPr>
      <w:bookmarkStart w:id="35" w:name="_Toc143762281"/>
      <w:bookmarkStart w:id="36" w:name="_Toc489432950"/>
      <w:bookmarkStart w:id="37" w:name="_Toc148972426"/>
      <w:bookmarkStart w:id="38" w:name="_Toc184541536"/>
      <w:bookmarkStart w:id="39" w:name="_Toc144835029"/>
      <w:bookmarkStart w:id="40" w:name="_Toc144834425"/>
      <w:bookmarkStart w:id="41" w:name="_Toc195111564"/>
      <w:bookmarkStart w:id="42" w:name="_Toc144833691"/>
      <w:bookmarkStart w:id="43" w:name="_Toc205715480"/>
      <w:bookmarkStart w:id="44" w:name="_Toc177204352"/>
      <w:bookmarkStart w:id="45" w:name="_Toc401478974"/>
      <w:bookmarkStart w:id="46" w:name="_Toc145169400"/>
      <w:r>
        <w:rPr>
          <w:rFonts w:cs="Times New Roman"/>
        </w:rPr>
        <w:t>2.1.1法律、法规</w:t>
      </w:r>
      <w:bookmarkEnd w:id="35"/>
      <w:bookmarkEnd w:id="36"/>
    </w:p>
    <w:p>
      <w:pPr>
        <w:pStyle w:val="939"/>
        <w:ind w:firstLine="480"/>
      </w:pPr>
      <w:bookmarkStart w:id="47" w:name="_Toc401478975"/>
      <w:bookmarkStart w:id="48" w:name="_Toc205715481"/>
      <w:bookmarkStart w:id="49" w:name="_Toc489432951"/>
      <w:r>
        <w:t>1</w:t>
      </w:r>
      <w:r>
        <w:rPr>
          <w:rFonts w:hint="eastAsia"/>
        </w:rPr>
        <w:t>、《中华人民共和国环境保护法》，</w:t>
      </w:r>
      <w:r>
        <w:t>2015</w:t>
      </w:r>
      <w:r>
        <w:rPr>
          <w:rFonts w:hint="eastAsia"/>
        </w:rPr>
        <w:t>年</w:t>
      </w:r>
      <w:r>
        <w:t>1</w:t>
      </w:r>
      <w:r>
        <w:rPr>
          <w:rFonts w:hint="eastAsia"/>
        </w:rPr>
        <w:t>月</w:t>
      </w:r>
      <w:r>
        <w:t>1</w:t>
      </w:r>
      <w:r>
        <w:rPr>
          <w:rFonts w:hint="eastAsia"/>
        </w:rPr>
        <w:t>日；</w:t>
      </w:r>
    </w:p>
    <w:p>
      <w:pPr>
        <w:spacing w:line="360" w:lineRule="auto"/>
        <w:ind w:firstLine="480"/>
        <w:rPr>
          <w:sz w:val="24"/>
        </w:rPr>
      </w:pPr>
      <w:r>
        <w:rPr>
          <w:sz w:val="24"/>
        </w:rPr>
        <w:t>2</w:t>
      </w:r>
      <w:r>
        <w:rPr>
          <w:rFonts w:hint="eastAsia"/>
          <w:sz w:val="24"/>
        </w:rPr>
        <w:t>、《中华人民共和国环境影响评价法》，</w:t>
      </w:r>
      <w:r>
        <w:rPr>
          <w:sz w:val="24"/>
        </w:rPr>
        <w:t>2018</w:t>
      </w:r>
      <w:r>
        <w:rPr>
          <w:rFonts w:hint="eastAsia"/>
          <w:sz w:val="24"/>
        </w:rPr>
        <w:t>年</w:t>
      </w:r>
      <w:r>
        <w:rPr>
          <w:sz w:val="24"/>
        </w:rPr>
        <w:t>12</w:t>
      </w:r>
      <w:r>
        <w:rPr>
          <w:rFonts w:hint="eastAsia"/>
          <w:sz w:val="24"/>
        </w:rPr>
        <w:t>月</w:t>
      </w:r>
      <w:r>
        <w:rPr>
          <w:sz w:val="24"/>
        </w:rPr>
        <w:t>29</w:t>
      </w:r>
      <w:r>
        <w:rPr>
          <w:rFonts w:hint="eastAsia"/>
          <w:sz w:val="24"/>
        </w:rPr>
        <w:t>日；</w:t>
      </w:r>
    </w:p>
    <w:p>
      <w:pPr>
        <w:spacing w:line="360" w:lineRule="auto"/>
        <w:ind w:firstLine="480"/>
        <w:rPr>
          <w:sz w:val="24"/>
        </w:rPr>
      </w:pPr>
      <w:r>
        <w:rPr>
          <w:sz w:val="24"/>
        </w:rPr>
        <w:t>3</w:t>
      </w:r>
      <w:r>
        <w:rPr>
          <w:rFonts w:hint="eastAsia"/>
          <w:sz w:val="24"/>
        </w:rPr>
        <w:t>、《中华人民共和国大气污染防治法》，</w:t>
      </w:r>
      <w:r>
        <w:rPr>
          <w:sz w:val="24"/>
        </w:rPr>
        <w:t>2018</w:t>
      </w:r>
      <w:r>
        <w:rPr>
          <w:rFonts w:hint="eastAsia"/>
          <w:sz w:val="24"/>
        </w:rPr>
        <w:t>年</w:t>
      </w:r>
      <w:r>
        <w:rPr>
          <w:sz w:val="24"/>
        </w:rPr>
        <w:t>10</w:t>
      </w:r>
      <w:r>
        <w:rPr>
          <w:rFonts w:hint="eastAsia"/>
          <w:sz w:val="24"/>
        </w:rPr>
        <w:t>月</w:t>
      </w:r>
      <w:r>
        <w:rPr>
          <w:sz w:val="24"/>
        </w:rPr>
        <w:t>26</w:t>
      </w:r>
      <w:r>
        <w:rPr>
          <w:rFonts w:hint="eastAsia"/>
          <w:sz w:val="24"/>
        </w:rPr>
        <w:t>日；</w:t>
      </w:r>
    </w:p>
    <w:p>
      <w:pPr>
        <w:pStyle w:val="939"/>
        <w:ind w:firstLine="480"/>
      </w:pPr>
      <w:r>
        <w:t>4</w:t>
      </w:r>
      <w:r>
        <w:rPr>
          <w:rFonts w:hint="eastAsia"/>
        </w:rPr>
        <w:t>、《中华人民共和国水污染防治法》，</w:t>
      </w:r>
      <w:r>
        <w:t>2018</w:t>
      </w:r>
      <w:r>
        <w:rPr>
          <w:rFonts w:hint="eastAsia"/>
        </w:rPr>
        <w:t>年</w:t>
      </w:r>
      <w:r>
        <w:t>1</w:t>
      </w:r>
      <w:r>
        <w:rPr>
          <w:rFonts w:hint="eastAsia"/>
        </w:rPr>
        <w:t>月</w:t>
      </w:r>
      <w:r>
        <w:t>1</w:t>
      </w:r>
      <w:r>
        <w:rPr>
          <w:rFonts w:hint="eastAsia"/>
        </w:rPr>
        <w:t>日；</w:t>
      </w:r>
    </w:p>
    <w:p>
      <w:pPr>
        <w:spacing w:line="360" w:lineRule="auto"/>
        <w:ind w:firstLine="480"/>
        <w:rPr>
          <w:sz w:val="24"/>
        </w:rPr>
      </w:pPr>
      <w:r>
        <w:rPr>
          <w:sz w:val="24"/>
        </w:rPr>
        <w:t>5</w:t>
      </w:r>
      <w:r>
        <w:rPr>
          <w:rFonts w:hint="eastAsia"/>
          <w:sz w:val="24"/>
        </w:rPr>
        <w:t>、《中华人民共和国噪声污染防治法》，</w:t>
      </w:r>
      <w:r>
        <w:rPr>
          <w:sz w:val="24"/>
        </w:rPr>
        <w:t>2022</w:t>
      </w:r>
      <w:r>
        <w:rPr>
          <w:rFonts w:hint="eastAsia"/>
          <w:sz w:val="24"/>
        </w:rPr>
        <w:t>年</w:t>
      </w:r>
      <w:r>
        <w:rPr>
          <w:sz w:val="24"/>
        </w:rPr>
        <w:t>6</w:t>
      </w:r>
      <w:r>
        <w:rPr>
          <w:rFonts w:hint="eastAsia"/>
          <w:sz w:val="24"/>
        </w:rPr>
        <w:t>月</w:t>
      </w:r>
      <w:r>
        <w:rPr>
          <w:sz w:val="24"/>
        </w:rPr>
        <w:t>5</w:t>
      </w:r>
      <w:r>
        <w:rPr>
          <w:rFonts w:hint="eastAsia"/>
          <w:sz w:val="24"/>
        </w:rPr>
        <w:t>日；</w:t>
      </w:r>
    </w:p>
    <w:p>
      <w:pPr>
        <w:spacing w:line="360" w:lineRule="auto"/>
        <w:ind w:firstLine="480"/>
        <w:rPr>
          <w:sz w:val="24"/>
        </w:rPr>
      </w:pPr>
      <w:r>
        <w:rPr>
          <w:sz w:val="24"/>
        </w:rPr>
        <w:t>6</w:t>
      </w:r>
      <w:r>
        <w:rPr>
          <w:rFonts w:hint="eastAsia"/>
          <w:sz w:val="24"/>
        </w:rPr>
        <w:t>、《中华人民共和国固体废物污染环境防治法》，</w:t>
      </w:r>
      <w:r>
        <w:rPr>
          <w:sz w:val="24"/>
        </w:rPr>
        <w:t>2020</w:t>
      </w:r>
      <w:r>
        <w:rPr>
          <w:rFonts w:hint="eastAsia"/>
          <w:sz w:val="24"/>
        </w:rPr>
        <w:t>年</w:t>
      </w:r>
      <w:r>
        <w:rPr>
          <w:sz w:val="24"/>
        </w:rPr>
        <w:t>9</w:t>
      </w:r>
      <w:r>
        <w:rPr>
          <w:rFonts w:hint="eastAsia"/>
          <w:sz w:val="24"/>
        </w:rPr>
        <w:t>月</w:t>
      </w:r>
      <w:r>
        <w:rPr>
          <w:sz w:val="24"/>
        </w:rPr>
        <w:t>1</w:t>
      </w:r>
      <w:r>
        <w:rPr>
          <w:rFonts w:hint="eastAsia"/>
          <w:sz w:val="24"/>
        </w:rPr>
        <w:t>日；</w:t>
      </w:r>
    </w:p>
    <w:p>
      <w:pPr>
        <w:spacing w:line="360" w:lineRule="auto"/>
        <w:ind w:firstLine="480"/>
        <w:rPr>
          <w:sz w:val="24"/>
        </w:rPr>
      </w:pPr>
      <w:r>
        <w:rPr>
          <w:sz w:val="24"/>
        </w:rPr>
        <w:t>7</w:t>
      </w:r>
      <w:r>
        <w:rPr>
          <w:rFonts w:hint="eastAsia"/>
          <w:sz w:val="24"/>
        </w:rPr>
        <w:t>、《中华人民共和国土壤污染防治法》，</w:t>
      </w:r>
      <w:r>
        <w:rPr>
          <w:sz w:val="24"/>
        </w:rPr>
        <w:t>2019</w:t>
      </w:r>
      <w:r>
        <w:rPr>
          <w:rFonts w:hint="eastAsia"/>
          <w:sz w:val="24"/>
        </w:rPr>
        <w:t>年</w:t>
      </w:r>
      <w:r>
        <w:rPr>
          <w:sz w:val="24"/>
        </w:rPr>
        <w:t>1</w:t>
      </w:r>
      <w:r>
        <w:rPr>
          <w:rFonts w:hint="eastAsia"/>
          <w:sz w:val="24"/>
        </w:rPr>
        <w:t>月</w:t>
      </w:r>
      <w:r>
        <w:rPr>
          <w:sz w:val="24"/>
        </w:rPr>
        <w:t>1</w:t>
      </w:r>
      <w:r>
        <w:rPr>
          <w:rFonts w:hint="eastAsia"/>
          <w:sz w:val="24"/>
        </w:rPr>
        <w:t>日；</w:t>
      </w:r>
    </w:p>
    <w:p>
      <w:pPr>
        <w:spacing w:line="360" w:lineRule="auto"/>
        <w:ind w:firstLine="480"/>
        <w:rPr>
          <w:sz w:val="24"/>
        </w:rPr>
      </w:pPr>
      <w:r>
        <w:rPr>
          <w:sz w:val="24"/>
        </w:rPr>
        <w:t>8</w:t>
      </w:r>
      <w:r>
        <w:rPr>
          <w:rFonts w:hint="eastAsia"/>
          <w:sz w:val="24"/>
        </w:rPr>
        <w:t>、《中华人民共和国清洁生产促进法》，</w:t>
      </w:r>
      <w:r>
        <w:rPr>
          <w:sz w:val="24"/>
        </w:rPr>
        <w:t>2012</w:t>
      </w:r>
      <w:r>
        <w:rPr>
          <w:rFonts w:hint="eastAsia"/>
          <w:sz w:val="24"/>
        </w:rPr>
        <w:t>年</w:t>
      </w:r>
      <w:r>
        <w:rPr>
          <w:sz w:val="24"/>
        </w:rPr>
        <w:t>7</w:t>
      </w:r>
      <w:r>
        <w:rPr>
          <w:rFonts w:hint="eastAsia"/>
          <w:sz w:val="24"/>
        </w:rPr>
        <w:t>月</w:t>
      </w:r>
      <w:r>
        <w:rPr>
          <w:sz w:val="24"/>
        </w:rPr>
        <w:t>1</w:t>
      </w:r>
      <w:r>
        <w:rPr>
          <w:rFonts w:hint="eastAsia"/>
          <w:sz w:val="24"/>
        </w:rPr>
        <w:t>日；</w:t>
      </w:r>
    </w:p>
    <w:p>
      <w:pPr>
        <w:spacing w:line="360" w:lineRule="auto"/>
        <w:ind w:firstLine="480"/>
        <w:rPr>
          <w:sz w:val="24"/>
        </w:rPr>
      </w:pPr>
      <w:r>
        <w:rPr>
          <w:sz w:val="24"/>
        </w:rPr>
        <w:t>9</w:t>
      </w:r>
      <w:r>
        <w:rPr>
          <w:rFonts w:hint="eastAsia"/>
          <w:sz w:val="24"/>
        </w:rPr>
        <w:t>、《中华人民共和国土地管理法》，</w:t>
      </w:r>
      <w:r>
        <w:rPr>
          <w:sz w:val="24"/>
        </w:rPr>
        <w:t>2019</w:t>
      </w:r>
      <w:r>
        <w:rPr>
          <w:rFonts w:hint="eastAsia"/>
          <w:sz w:val="24"/>
        </w:rPr>
        <w:t>年</w:t>
      </w:r>
      <w:r>
        <w:rPr>
          <w:sz w:val="24"/>
        </w:rPr>
        <w:t>8</w:t>
      </w:r>
      <w:r>
        <w:rPr>
          <w:rFonts w:hint="eastAsia"/>
          <w:sz w:val="24"/>
        </w:rPr>
        <w:t>月</w:t>
      </w:r>
      <w:r>
        <w:rPr>
          <w:sz w:val="24"/>
        </w:rPr>
        <w:t>26</w:t>
      </w:r>
      <w:r>
        <w:rPr>
          <w:rFonts w:hint="eastAsia"/>
          <w:sz w:val="24"/>
        </w:rPr>
        <w:t>日；</w:t>
      </w:r>
    </w:p>
    <w:p>
      <w:pPr>
        <w:spacing w:line="360" w:lineRule="auto"/>
        <w:ind w:firstLine="480"/>
        <w:rPr>
          <w:sz w:val="24"/>
        </w:rPr>
      </w:pPr>
      <w:r>
        <w:rPr>
          <w:sz w:val="24"/>
        </w:rPr>
        <w:t>10</w:t>
      </w:r>
      <w:r>
        <w:rPr>
          <w:rFonts w:hint="eastAsia"/>
          <w:sz w:val="24"/>
        </w:rPr>
        <w:t>、《中华人民共和国节约能源法》，</w:t>
      </w:r>
      <w:r>
        <w:rPr>
          <w:sz w:val="24"/>
        </w:rPr>
        <w:t>2018</w:t>
      </w:r>
      <w:r>
        <w:rPr>
          <w:rFonts w:hint="eastAsia"/>
          <w:sz w:val="24"/>
        </w:rPr>
        <w:t>年</w:t>
      </w:r>
      <w:r>
        <w:rPr>
          <w:sz w:val="24"/>
        </w:rPr>
        <w:t>10</w:t>
      </w:r>
      <w:r>
        <w:rPr>
          <w:rFonts w:hint="eastAsia"/>
          <w:sz w:val="24"/>
        </w:rPr>
        <w:t>月</w:t>
      </w:r>
      <w:r>
        <w:rPr>
          <w:sz w:val="24"/>
        </w:rPr>
        <w:t>26</w:t>
      </w:r>
      <w:r>
        <w:rPr>
          <w:rFonts w:hint="eastAsia"/>
          <w:sz w:val="24"/>
        </w:rPr>
        <w:t>日；</w:t>
      </w:r>
    </w:p>
    <w:p>
      <w:pPr>
        <w:spacing w:line="360" w:lineRule="auto"/>
        <w:ind w:firstLine="480"/>
        <w:rPr>
          <w:sz w:val="24"/>
        </w:rPr>
      </w:pPr>
      <w:r>
        <w:rPr>
          <w:sz w:val="24"/>
        </w:rPr>
        <w:t>11</w:t>
      </w:r>
      <w:r>
        <w:rPr>
          <w:rFonts w:hint="eastAsia"/>
          <w:sz w:val="24"/>
        </w:rPr>
        <w:t>、《中华人民共和国水土保持法》，</w:t>
      </w:r>
      <w:r>
        <w:rPr>
          <w:sz w:val="24"/>
        </w:rPr>
        <w:t>2010</w:t>
      </w:r>
      <w:r>
        <w:rPr>
          <w:rFonts w:hint="eastAsia"/>
          <w:sz w:val="24"/>
        </w:rPr>
        <w:t>年</w:t>
      </w:r>
      <w:r>
        <w:rPr>
          <w:sz w:val="24"/>
        </w:rPr>
        <w:t>12</w:t>
      </w:r>
      <w:r>
        <w:rPr>
          <w:rFonts w:hint="eastAsia"/>
          <w:sz w:val="24"/>
        </w:rPr>
        <w:t>月</w:t>
      </w:r>
      <w:r>
        <w:rPr>
          <w:sz w:val="24"/>
        </w:rPr>
        <w:t>25</w:t>
      </w:r>
      <w:r>
        <w:rPr>
          <w:rFonts w:hint="eastAsia"/>
          <w:sz w:val="24"/>
        </w:rPr>
        <w:t>日；</w:t>
      </w:r>
    </w:p>
    <w:p>
      <w:pPr>
        <w:spacing w:line="360" w:lineRule="auto"/>
        <w:ind w:firstLine="480"/>
        <w:rPr>
          <w:sz w:val="24"/>
        </w:rPr>
      </w:pPr>
      <w:r>
        <w:rPr>
          <w:sz w:val="24"/>
        </w:rPr>
        <w:t>12</w:t>
      </w:r>
      <w:r>
        <w:rPr>
          <w:rFonts w:hint="eastAsia"/>
          <w:sz w:val="24"/>
        </w:rPr>
        <w:t>、《土地复垦条例》，国务院令</w:t>
      </w:r>
      <w:r>
        <w:rPr>
          <w:sz w:val="24"/>
        </w:rPr>
        <w:t>592</w:t>
      </w:r>
      <w:r>
        <w:rPr>
          <w:rFonts w:hint="eastAsia"/>
          <w:sz w:val="24"/>
        </w:rPr>
        <w:t>号，</w:t>
      </w:r>
      <w:r>
        <w:rPr>
          <w:sz w:val="24"/>
        </w:rPr>
        <w:t>2011</w:t>
      </w:r>
      <w:r>
        <w:rPr>
          <w:rFonts w:hint="eastAsia"/>
          <w:sz w:val="24"/>
        </w:rPr>
        <w:t>年</w:t>
      </w:r>
      <w:r>
        <w:rPr>
          <w:sz w:val="24"/>
        </w:rPr>
        <w:t>3</w:t>
      </w:r>
      <w:r>
        <w:rPr>
          <w:rFonts w:hint="eastAsia"/>
          <w:sz w:val="24"/>
        </w:rPr>
        <w:t>月</w:t>
      </w:r>
      <w:r>
        <w:rPr>
          <w:sz w:val="24"/>
        </w:rPr>
        <w:t>5</w:t>
      </w:r>
      <w:r>
        <w:rPr>
          <w:rFonts w:hint="eastAsia"/>
          <w:sz w:val="24"/>
        </w:rPr>
        <w:t>日；</w:t>
      </w:r>
    </w:p>
    <w:p>
      <w:pPr>
        <w:spacing w:line="360" w:lineRule="auto"/>
        <w:ind w:firstLine="480"/>
        <w:rPr>
          <w:sz w:val="24"/>
        </w:rPr>
      </w:pPr>
      <w:r>
        <w:rPr>
          <w:sz w:val="24"/>
        </w:rPr>
        <w:t>13</w:t>
      </w:r>
      <w:r>
        <w:rPr>
          <w:rFonts w:hint="eastAsia"/>
          <w:sz w:val="24"/>
        </w:rPr>
        <w:t>、《建设项目环境影响评价分类管理名录》，</w:t>
      </w:r>
      <w:r>
        <w:rPr>
          <w:sz w:val="24"/>
        </w:rPr>
        <w:t>2021</w:t>
      </w:r>
      <w:r>
        <w:rPr>
          <w:rFonts w:hint="eastAsia"/>
          <w:sz w:val="24"/>
        </w:rPr>
        <w:t>年</w:t>
      </w:r>
      <w:r>
        <w:rPr>
          <w:sz w:val="24"/>
        </w:rPr>
        <w:t>1</w:t>
      </w:r>
      <w:r>
        <w:rPr>
          <w:rFonts w:hint="eastAsia"/>
          <w:sz w:val="24"/>
        </w:rPr>
        <w:t>月</w:t>
      </w:r>
      <w:r>
        <w:rPr>
          <w:sz w:val="24"/>
        </w:rPr>
        <w:t>1</w:t>
      </w:r>
      <w:r>
        <w:rPr>
          <w:rFonts w:hint="eastAsia"/>
          <w:sz w:val="24"/>
        </w:rPr>
        <w:t>日；</w:t>
      </w:r>
    </w:p>
    <w:p>
      <w:pPr>
        <w:spacing w:line="360" w:lineRule="auto"/>
        <w:ind w:firstLine="480"/>
        <w:rPr>
          <w:sz w:val="24"/>
        </w:rPr>
      </w:pPr>
      <w:r>
        <w:rPr>
          <w:sz w:val="24"/>
        </w:rPr>
        <w:t>14</w:t>
      </w:r>
      <w:r>
        <w:rPr>
          <w:rFonts w:hint="eastAsia"/>
          <w:sz w:val="24"/>
        </w:rPr>
        <w:t>、《全国生态环境保护纲要》，国务院国发</w:t>
      </w:r>
      <w:r>
        <w:rPr>
          <w:sz w:val="24"/>
        </w:rPr>
        <w:t>[2000]38</w:t>
      </w:r>
      <w:r>
        <w:rPr>
          <w:rFonts w:hint="eastAsia"/>
          <w:sz w:val="24"/>
        </w:rPr>
        <w:t>号文，</w:t>
      </w:r>
      <w:r>
        <w:rPr>
          <w:sz w:val="24"/>
        </w:rPr>
        <w:t>2000</w:t>
      </w:r>
      <w:r>
        <w:rPr>
          <w:rFonts w:hint="eastAsia"/>
          <w:sz w:val="24"/>
        </w:rPr>
        <w:t>年</w:t>
      </w:r>
      <w:r>
        <w:rPr>
          <w:sz w:val="24"/>
        </w:rPr>
        <w:t>11</w:t>
      </w:r>
      <w:r>
        <w:rPr>
          <w:rFonts w:hint="eastAsia"/>
          <w:sz w:val="24"/>
        </w:rPr>
        <w:t>月</w:t>
      </w:r>
      <w:r>
        <w:rPr>
          <w:sz w:val="24"/>
        </w:rPr>
        <w:t>26</w:t>
      </w:r>
      <w:r>
        <w:rPr>
          <w:rFonts w:hint="eastAsia"/>
          <w:sz w:val="24"/>
        </w:rPr>
        <w:t>日；</w:t>
      </w:r>
    </w:p>
    <w:p>
      <w:pPr>
        <w:overflowPunct w:val="0"/>
        <w:autoSpaceDE w:val="0"/>
        <w:autoSpaceDN w:val="0"/>
        <w:adjustRightInd w:val="0"/>
        <w:snapToGrid w:val="0"/>
        <w:spacing w:line="360" w:lineRule="auto"/>
        <w:ind w:firstLine="480" w:firstLineChars="200"/>
        <w:rPr>
          <w:sz w:val="24"/>
        </w:rPr>
      </w:pPr>
      <w:r>
        <w:rPr>
          <w:sz w:val="24"/>
        </w:rPr>
        <w:t>15</w:t>
      </w:r>
      <w:r>
        <w:rPr>
          <w:rFonts w:hint="eastAsia"/>
          <w:sz w:val="24"/>
        </w:rPr>
        <w:t>、《建设项目环境保护管理条例》，</w:t>
      </w:r>
      <w:r>
        <w:rPr>
          <w:sz w:val="24"/>
        </w:rPr>
        <w:t>2017</w:t>
      </w:r>
      <w:r>
        <w:rPr>
          <w:rFonts w:hint="eastAsia"/>
          <w:sz w:val="24"/>
        </w:rPr>
        <w:t>年</w:t>
      </w:r>
      <w:r>
        <w:rPr>
          <w:sz w:val="24"/>
        </w:rPr>
        <w:t>10</w:t>
      </w:r>
      <w:r>
        <w:rPr>
          <w:rFonts w:hint="eastAsia"/>
          <w:sz w:val="24"/>
        </w:rPr>
        <w:t>月</w:t>
      </w:r>
      <w:r>
        <w:rPr>
          <w:sz w:val="24"/>
        </w:rPr>
        <w:t>1</w:t>
      </w:r>
      <w:r>
        <w:rPr>
          <w:rFonts w:hint="eastAsia"/>
          <w:sz w:val="24"/>
        </w:rPr>
        <w:t>日；</w:t>
      </w:r>
    </w:p>
    <w:p>
      <w:pPr>
        <w:spacing w:line="360" w:lineRule="auto"/>
        <w:ind w:firstLine="480"/>
        <w:rPr>
          <w:sz w:val="24"/>
        </w:rPr>
      </w:pPr>
      <w:r>
        <w:rPr>
          <w:sz w:val="24"/>
        </w:rPr>
        <w:t>16</w:t>
      </w:r>
      <w:r>
        <w:rPr>
          <w:rFonts w:hint="eastAsia"/>
          <w:sz w:val="24"/>
        </w:rPr>
        <w:t>、《关于加强工业节水工作的意见》国家经贸委国经贸资源</w:t>
      </w:r>
      <w:r>
        <w:rPr>
          <w:sz w:val="24"/>
        </w:rPr>
        <w:t>[2000]1015</w:t>
      </w:r>
      <w:r>
        <w:rPr>
          <w:rFonts w:hint="eastAsia"/>
          <w:sz w:val="24"/>
        </w:rPr>
        <w:t>号文；</w:t>
      </w:r>
      <w:r>
        <w:rPr>
          <w:sz w:val="24"/>
        </w:rPr>
        <w:t>2000</w:t>
      </w:r>
      <w:r>
        <w:rPr>
          <w:rFonts w:hint="eastAsia"/>
          <w:sz w:val="24"/>
        </w:rPr>
        <w:t>年</w:t>
      </w:r>
      <w:r>
        <w:rPr>
          <w:sz w:val="24"/>
        </w:rPr>
        <w:t>10</w:t>
      </w:r>
      <w:r>
        <w:rPr>
          <w:rFonts w:hint="eastAsia"/>
          <w:sz w:val="24"/>
        </w:rPr>
        <w:t>月；</w:t>
      </w:r>
    </w:p>
    <w:p>
      <w:pPr>
        <w:spacing w:line="360" w:lineRule="auto"/>
        <w:ind w:firstLine="480"/>
        <w:rPr>
          <w:sz w:val="24"/>
        </w:rPr>
      </w:pPr>
      <w:r>
        <w:rPr>
          <w:sz w:val="24"/>
        </w:rPr>
        <w:t>17</w:t>
      </w:r>
      <w:r>
        <w:rPr>
          <w:rFonts w:hint="eastAsia"/>
          <w:sz w:val="24"/>
        </w:rPr>
        <w:t>、</w:t>
      </w:r>
      <w:r>
        <w:rPr>
          <w:rFonts w:hint="eastAsia"/>
          <w:color w:val="FF0000"/>
          <w:sz w:val="24"/>
        </w:rPr>
        <w:t>《产业结构调整指导目录（</w:t>
      </w:r>
      <w:r>
        <w:rPr>
          <w:color w:val="FF0000"/>
          <w:sz w:val="24"/>
        </w:rPr>
        <w:t>2019</w:t>
      </w:r>
      <w:r>
        <w:rPr>
          <w:rFonts w:hint="eastAsia"/>
          <w:color w:val="FF0000"/>
          <w:sz w:val="24"/>
        </w:rPr>
        <w:t>年本）》，2</w:t>
      </w:r>
      <w:r>
        <w:rPr>
          <w:color w:val="FF0000"/>
          <w:sz w:val="24"/>
        </w:rPr>
        <w:t>021</w:t>
      </w:r>
      <w:r>
        <w:rPr>
          <w:rFonts w:hint="eastAsia"/>
          <w:color w:val="FF0000"/>
          <w:sz w:val="24"/>
        </w:rPr>
        <w:t>年修订；</w:t>
      </w:r>
    </w:p>
    <w:p>
      <w:pPr>
        <w:spacing w:line="360" w:lineRule="auto"/>
        <w:ind w:firstLine="480"/>
        <w:rPr>
          <w:bCs/>
          <w:sz w:val="24"/>
        </w:rPr>
      </w:pPr>
      <w:r>
        <w:rPr>
          <w:bCs/>
          <w:sz w:val="24"/>
        </w:rPr>
        <w:t>18</w:t>
      </w:r>
      <w:r>
        <w:rPr>
          <w:rFonts w:hint="eastAsia"/>
          <w:bCs/>
          <w:sz w:val="24"/>
        </w:rPr>
        <w:t>、《环境影响评价公众参与办法》（生态环境部部令 第</w:t>
      </w:r>
      <w:r>
        <w:rPr>
          <w:bCs/>
          <w:sz w:val="24"/>
        </w:rPr>
        <w:t>4</w:t>
      </w:r>
      <w:r>
        <w:rPr>
          <w:rFonts w:hint="eastAsia"/>
          <w:bCs/>
          <w:sz w:val="24"/>
        </w:rPr>
        <w:t>号），</w:t>
      </w:r>
      <w:r>
        <w:rPr>
          <w:bCs/>
          <w:sz w:val="24"/>
        </w:rPr>
        <w:t>2019</w:t>
      </w:r>
      <w:r>
        <w:rPr>
          <w:rFonts w:hint="eastAsia"/>
          <w:bCs/>
          <w:sz w:val="24"/>
        </w:rPr>
        <w:t>年</w:t>
      </w:r>
      <w:r>
        <w:rPr>
          <w:bCs/>
          <w:sz w:val="24"/>
        </w:rPr>
        <w:t>1</w:t>
      </w:r>
      <w:r>
        <w:rPr>
          <w:rFonts w:hint="eastAsia"/>
          <w:bCs/>
          <w:sz w:val="24"/>
        </w:rPr>
        <w:t>月</w:t>
      </w:r>
      <w:r>
        <w:rPr>
          <w:bCs/>
          <w:sz w:val="24"/>
        </w:rPr>
        <w:t>1</w:t>
      </w:r>
      <w:r>
        <w:rPr>
          <w:rFonts w:hint="eastAsia"/>
          <w:bCs/>
          <w:sz w:val="24"/>
        </w:rPr>
        <w:t>日；</w:t>
      </w:r>
    </w:p>
    <w:p>
      <w:pPr>
        <w:spacing w:line="360" w:lineRule="auto"/>
        <w:ind w:firstLine="480"/>
        <w:rPr>
          <w:bCs/>
          <w:sz w:val="24"/>
        </w:rPr>
      </w:pPr>
      <w:r>
        <w:rPr>
          <w:bCs/>
          <w:sz w:val="24"/>
        </w:rPr>
        <w:t>19</w:t>
      </w:r>
      <w:r>
        <w:rPr>
          <w:rFonts w:hint="eastAsia"/>
          <w:bCs/>
          <w:sz w:val="24"/>
        </w:rPr>
        <w:t>、《国务院关于印发大气污染防治行动计划的通知》，国务院，国发</w:t>
      </w:r>
      <w:r>
        <w:rPr>
          <w:bCs/>
          <w:sz w:val="24"/>
        </w:rPr>
        <w:t>[2013]37</w:t>
      </w:r>
      <w:r>
        <w:rPr>
          <w:rFonts w:hint="eastAsia"/>
          <w:bCs/>
          <w:sz w:val="24"/>
        </w:rPr>
        <w:t>号，</w:t>
      </w:r>
      <w:r>
        <w:rPr>
          <w:bCs/>
          <w:sz w:val="24"/>
        </w:rPr>
        <w:t>2013</w:t>
      </w:r>
      <w:r>
        <w:rPr>
          <w:rFonts w:hint="eastAsia"/>
          <w:bCs/>
          <w:sz w:val="24"/>
        </w:rPr>
        <w:t>年</w:t>
      </w:r>
      <w:r>
        <w:rPr>
          <w:bCs/>
          <w:sz w:val="24"/>
        </w:rPr>
        <w:t>9</w:t>
      </w:r>
      <w:r>
        <w:rPr>
          <w:rFonts w:hint="eastAsia"/>
          <w:bCs/>
          <w:sz w:val="24"/>
        </w:rPr>
        <w:t>月</w:t>
      </w:r>
      <w:r>
        <w:rPr>
          <w:bCs/>
          <w:sz w:val="24"/>
        </w:rPr>
        <w:t>10</w:t>
      </w:r>
      <w:r>
        <w:rPr>
          <w:rFonts w:hint="eastAsia"/>
          <w:bCs/>
          <w:sz w:val="24"/>
        </w:rPr>
        <w:t>日；</w:t>
      </w:r>
    </w:p>
    <w:p>
      <w:pPr>
        <w:spacing w:line="360" w:lineRule="auto"/>
        <w:ind w:firstLine="480"/>
        <w:rPr>
          <w:bCs/>
          <w:sz w:val="24"/>
        </w:rPr>
      </w:pPr>
      <w:r>
        <w:rPr>
          <w:bCs/>
          <w:sz w:val="24"/>
        </w:rPr>
        <w:t>20</w:t>
      </w:r>
      <w:r>
        <w:rPr>
          <w:rFonts w:hint="eastAsia"/>
          <w:bCs/>
          <w:sz w:val="24"/>
        </w:rPr>
        <w:t>、《国务院关于印发水污染防治行动计划的通知》，国务院，国发</w:t>
      </w:r>
      <w:r>
        <w:rPr>
          <w:bCs/>
          <w:sz w:val="24"/>
        </w:rPr>
        <w:t>[2015]17</w:t>
      </w:r>
      <w:r>
        <w:rPr>
          <w:rFonts w:hint="eastAsia"/>
          <w:bCs/>
          <w:sz w:val="24"/>
        </w:rPr>
        <w:t>号，</w:t>
      </w:r>
      <w:r>
        <w:rPr>
          <w:bCs/>
          <w:sz w:val="24"/>
        </w:rPr>
        <w:t>2015</w:t>
      </w:r>
      <w:r>
        <w:rPr>
          <w:rFonts w:hint="eastAsia"/>
          <w:bCs/>
          <w:sz w:val="24"/>
        </w:rPr>
        <w:t>年</w:t>
      </w:r>
      <w:r>
        <w:rPr>
          <w:bCs/>
          <w:sz w:val="24"/>
        </w:rPr>
        <w:t>4</w:t>
      </w:r>
      <w:r>
        <w:rPr>
          <w:rFonts w:hint="eastAsia"/>
          <w:bCs/>
          <w:sz w:val="24"/>
        </w:rPr>
        <w:t>月</w:t>
      </w:r>
      <w:r>
        <w:rPr>
          <w:bCs/>
          <w:sz w:val="24"/>
        </w:rPr>
        <w:t>2</w:t>
      </w:r>
      <w:r>
        <w:rPr>
          <w:rFonts w:hint="eastAsia"/>
          <w:bCs/>
          <w:sz w:val="24"/>
        </w:rPr>
        <w:t>日；</w:t>
      </w:r>
    </w:p>
    <w:p>
      <w:pPr>
        <w:spacing w:line="360" w:lineRule="auto"/>
        <w:ind w:firstLine="480"/>
        <w:rPr>
          <w:bCs/>
          <w:sz w:val="24"/>
        </w:rPr>
      </w:pPr>
      <w:r>
        <w:rPr>
          <w:bCs/>
          <w:sz w:val="24"/>
        </w:rPr>
        <w:t>21</w:t>
      </w:r>
      <w:r>
        <w:rPr>
          <w:rFonts w:hint="eastAsia"/>
          <w:bCs/>
          <w:sz w:val="24"/>
        </w:rPr>
        <w:t>、《国务院关于印发土壤污染防治行动计划的通知》，国务院，国发</w:t>
      </w:r>
      <w:r>
        <w:rPr>
          <w:bCs/>
          <w:sz w:val="24"/>
        </w:rPr>
        <w:t>[2016]31</w:t>
      </w:r>
      <w:r>
        <w:rPr>
          <w:rFonts w:hint="eastAsia"/>
          <w:bCs/>
          <w:sz w:val="24"/>
        </w:rPr>
        <w:t>号，</w:t>
      </w:r>
      <w:r>
        <w:rPr>
          <w:bCs/>
          <w:sz w:val="24"/>
        </w:rPr>
        <w:t>2016</w:t>
      </w:r>
      <w:r>
        <w:rPr>
          <w:rFonts w:hint="eastAsia"/>
          <w:bCs/>
          <w:sz w:val="24"/>
        </w:rPr>
        <w:t>年</w:t>
      </w:r>
      <w:r>
        <w:rPr>
          <w:bCs/>
          <w:sz w:val="24"/>
        </w:rPr>
        <w:t>5</w:t>
      </w:r>
      <w:r>
        <w:rPr>
          <w:rFonts w:hint="eastAsia"/>
          <w:bCs/>
          <w:sz w:val="24"/>
        </w:rPr>
        <w:t>月</w:t>
      </w:r>
      <w:r>
        <w:rPr>
          <w:bCs/>
          <w:sz w:val="24"/>
        </w:rPr>
        <w:t>28</w:t>
      </w:r>
      <w:r>
        <w:rPr>
          <w:rFonts w:hint="eastAsia"/>
          <w:bCs/>
          <w:sz w:val="24"/>
        </w:rPr>
        <w:t>日；</w:t>
      </w:r>
    </w:p>
    <w:p>
      <w:pPr>
        <w:spacing w:line="360" w:lineRule="auto"/>
        <w:ind w:firstLine="480"/>
        <w:rPr>
          <w:bCs/>
          <w:sz w:val="24"/>
        </w:rPr>
      </w:pPr>
      <w:r>
        <w:rPr>
          <w:bCs/>
          <w:sz w:val="24"/>
        </w:rPr>
        <w:t>22</w:t>
      </w:r>
      <w:r>
        <w:rPr>
          <w:rFonts w:hint="eastAsia"/>
          <w:bCs/>
          <w:sz w:val="24"/>
        </w:rPr>
        <w:t>、《关于印发能源行业加强大气污染防治工作方案的通知》（国家发改委，发改能源</w:t>
      </w:r>
      <w:r>
        <w:rPr>
          <w:bCs/>
          <w:sz w:val="24"/>
        </w:rPr>
        <w:t>[2014]506</w:t>
      </w:r>
      <w:r>
        <w:rPr>
          <w:rFonts w:hint="eastAsia"/>
          <w:bCs/>
          <w:sz w:val="24"/>
        </w:rPr>
        <w:t>号，</w:t>
      </w:r>
      <w:r>
        <w:rPr>
          <w:bCs/>
          <w:sz w:val="24"/>
        </w:rPr>
        <w:t>2014</w:t>
      </w:r>
      <w:r>
        <w:rPr>
          <w:rFonts w:hint="eastAsia"/>
          <w:bCs/>
          <w:sz w:val="24"/>
        </w:rPr>
        <w:t>年</w:t>
      </w:r>
      <w:r>
        <w:rPr>
          <w:bCs/>
          <w:sz w:val="24"/>
        </w:rPr>
        <w:t>3</w:t>
      </w:r>
      <w:r>
        <w:rPr>
          <w:rFonts w:hint="eastAsia"/>
          <w:bCs/>
          <w:sz w:val="24"/>
        </w:rPr>
        <w:t>月</w:t>
      </w:r>
      <w:r>
        <w:rPr>
          <w:bCs/>
          <w:sz w:val="24"/>
        </w:rPr>
        <w:t>24</w:t>
      </w:r>
      <w:r>
        <w:rPr>
          <w:rFonts w:hint="eastAsia"/>
          <w:bCs/>
          <w:sz w:val="24"/>
        </w:rPr>
        <w:t>日）；</w:t>
      </w:r>
    </w:p>
    <w:p>
      <w:pPr>
        <w:pStyle w:val="831"/>
        <w:spacing w:before="156" w:beforeLines="50" w:after="156" w:afterLines="50" w:line="360" w:lineRule="auto"/>
        <w:rPr>
          <w:rFonts w:cs="Times New Roman"/>
        </w:rPr>
      </w:pPr>
      <w:bookmarkStart w:id="50" w:name="_Toc143762282"/>
      <w:r>
        <w:rPr>
          <w:rFonts w:cs="Times New Roman"/>
        </w:rPr>
        <w:t>2.1.2</w:t>
      </w:r>
      <w:bookmarkEnd w:id="47"/>
      <w:bookmarkEnd w:id="48"/>
      <w:r>
        <w:rPr>
          <w:rFonts w:cs="Times New Roman"/>
        </w:rPr>
        <w:t>技术导则、规范与标准</w:t>
      </w:r>
      <w:bookmarkEnd w:id="49"/>
      <w:bookmarkEnd w:id="50"/>
    </w:p>
    <w:p>
      <w:pPr>
        <w:spacing w:line="360" w:lineRule="auto"/>
        <w:ind w:firstLine="482"/>
        <w:rPr>
          <w:sz w:val="24"/>
        </w:rPr>
      </w:pPr>
      <w:r>
        <w:rPr>
          <w:sz w:val="24"/>
        </w:rPr>
        <w:t>1</w:t>
      </w:r>
      <w:r>
        <w:rPr>
          <w:rFonts w:hint="eastAsia"/>
          <w:sz w:val="24"/>
        </w:rPr>
        <w:t>、《建设项目环境影响评价技术导则</w:t>
      </w:r>
      <w:r>
        <w:rPr>
          <w:sz w:val="24"/>
        </w:rPr>
        <w:t>—</w:t>
      </w:r>
      <w:r>
        <w:rPr>
          <w:rFonts w:hint="eastAsia"/>
          <w:sz w:val="24"/>
        </w:rPr>
        <w:t>总纲》（</w:t>
      </w:r>
      <w:r>
        <w:rPr>
          <w:sz w:val="24"/>
        </w:rPr>
        <w:t>HJ2.1-2016</w:t>
      </w:r>
      <w:r>
        <w:rPr>
          <w:rFonts w:hint="eastAsia"/>
          <w:sz w:val="24"/>
        </w:rPr>
        <w:t>）；</w:t>
      </w:r>
    </w:p>
    <w:p>
      <w:pPr>
        <w:spacing w:line="360" w:lineRule="auto"/>
        <w:ind w:firstLine="482"/>
        <w:rPr>
          <w:sz w:val="24"/>
        </w:rPr>
      </w:pPr>
      <w:r>
        <w:rPr>
          <w:sz w:val="24"/>
        </w:rPr>
        <w:t>2</w:t>
      </w:r>
      <w:r>
        <w:rPr>
          <w:rFonts w:hint="eastAsia"/>
          <w:sz w:val="24"/>
        </w:rPr>
        <w:t>、《环境影响评价技术导则</w:t>
      </w:r>
      <w:r>
        <w:rPr>
          <w:sz w:val="24"/>
        </w:rPr>
        <w:t>—</w:t>
      </w:r>
      <w:r>
        <w:rPr>
          <w:rFonts w:hint="eastAsia"/>
          <w:sz w:val="24"/>
        </w:rPr>
        <w:t>大气环境》（</w:t>
      </w:r>
      <w:r>
        <w:rPr>
          <w:sz w:val="24"/>
        </w:rPr>
        <w:t>HJ2.2-2018</w:t>
      </w:r>
      <w:r>
        <w:rPr>
          <w:rFonts w:hint="eastAsia"/>
          <w:sz w:val="24"/>
        </w:rPr>
        <w:t>）；</w:t>
      </w:r>
    </w:p>
    <w:p>
      <w:pPr>
        <w:spacing w:line="360" w:lineRule="auto"/>
        <w:ind w:firstLine="482"/>
        <w:rPr>
          <w:sz w:val="24"/>
        </w:rPr>
      </w:pPr>
      <w:r>
        <w:rPr>
          <w:sz w:val="24"/>
        </w:rPr>
        <w:t>3</w:t>
      </w:r>
      <w:r>
        <w:rPr>
          <w:rFonts w:hint="eastAsia"/>
          <w:sz w:val="24"/>
        </w:rPr>
        <w:t>、《环境影响评价技术导则</w:t>
      </w:r>
      <w:r>
        <w:rPr>
          <w:sz w:val="24"/>
        </w:rPr>
        <w:t>—</w:t>
      </w:r>
      <w:r>
        <w:rPr>
          <w:rFonts w:hint="eastAsia"/>
          <w:sz w:val="24"/>
        </w:rPr>
        <w:t>声环境》（</w:t>
      </w:r>
      <w:r>
        <w:rPr>
          <w:sz w:val="24"/>
        </w:rPr>
        <w:t>HJ2.4-2021</w:t>
      </w:r>
      <w:r>
        <w:rPr>
          <w:rFonts w:hint="eastAsia"/>
          <w:sz w:val="24"/>
        </w:rPr>
        <w:t>）；</w:t>
      </w:r>
    </w:p>
    <w:p>
      <w:pPr>
        <w:spacing w:line="360" w:lineRule="auto"/>
        <w:ind w:firstLine="482"/>
        <w:rPr>
          <w:sz w:val="24"/>
        </w:rPr>
      </w:pPr>
      <w:r>
        <w:rPr>
          <w:sz w:val="24"/>
        </w:rPr>
        <w:t>4</w:t>
      </w:r>
      <w:r>
        <w:rPr>
          <w:rFonts w:hint="eastAsia"/>
          <w:sz w:val="24"/>
        </w:rPr>
        <w:t>、《环境影响评价技术导则</w:t>
      </w:r>
      <w:r>
        <w:rPr>
          <w:sz w:val="24"/>
        </w:rPr>
        <w:t>—</w:t>
      </w:r>
      <w:r>
        <w:rPr>
          <w:rFonts w:hint="eastAsia"/>
          <w:sz w:val="24"/>
        </w:rPr>
        <w:t>地表水》（</w:t>
      </w:r>
      <w:r>
        <w:rPr>
          <w:sz w:val="24"/>
        </w:rPr>
        <w:t>HJ 2.3-2018</w:t>
      </w:r>
      <w:r>
        <w:rPr>
          <w:rFonts w:hint="eastAsia"/>
          <w:sz w:val="24"/>
        </w:rPr>
        <w:t>）；</w:t>
      </w:r>
    </w:p>
    <w:p>
      <w:pPr>
        <w:spacing w:line="360" w:lineRule="auto"/>
        <w:ind w:firstLine="482"/>
        <w:rPr>
          <w:sz w:val="24"/>
        </w:rPr>
      </w:pPr>
      <w:r>
        <w:rPr>
          <w:sz w:val="24"/>
        </w:rPr>
        <w:t>5</w:t>
      </w:r>
      <w:r>
        <w:rPr>
          <w:rFonts w:hint="eastAsia"/>
          <w:sz w:val="24"/>
        </w:rPr>
        <w:t>、《环境影响评价技术导则</w:t>
      </w:r>
      <w:r>
        <w:rPr>
          <w:sz w:val="24"/>
        </w:rPr>
        <w:t>—</w:t>
      </w:r>
      <w:r>
        <w:rPr>
          <w:rFonts w:hint="eastAsia"/>
          <w:sz w:val="24"/>
        </w:rPr>
        <w:t>地下水环境》（</w:t>
      </w:r>
      <w:r>
        <w:rPr>
          <w:sz w:val="24"/>
        </w:rPr>
        <w:t>HJ610-2016</w:t>
      </w:r>
      <w:r>
        <w:rPr>
          <w:rFonts w:hint="eastAsia"/>
          <w:sz w:val="24"/>
        </w:rPr>
        <w:t>）；</w:t>
      </w:r>
    </w:p>
    <w:p>
      <w:pPr>
        <w:spacing w:line="360" w:lineRule="auto"/>
        <w:ind w:firstLine="482"/>
        <w:rPr>
          <w:sz w:val="24"/>
        </w:rPr>
      </w:pPr>
      <w:r>
        <w:rPr>
          <w:sz w:val="24"/>
        </w:rPr>
        <w:t>6</w:t>
      </w:r>
      <w:r>
        <w:rPr>
          <w:rFonts w:hint="eastAsia"/>
          <w:sz w:val="24"/>
        </w:rPr>
        <w:t>、《环境影响评价技术导则</w:t>
      </w:r>
      <w:r>
        <w:rPr>
          <w:sz w:val="24"/>
        </w:rPr>
        <w:t>—</w:t>
      </w:r>
      <w:r>
        <w:rPr>
          <w:rFonts w:hint="eastAsia"/>
          <w:sz w:val="24"/>
        </w:rPr>
        <w:t>生态影响》（</w:t>
      </w:r>
      <w:r>
        <w:rPr>
          <w:sz w:val="24"/>
        </w:rPr>
        <w:t>HJ19-2022</w:t>
      </w:r>
      <w:r>
        <w:rPr>
          <w:rFonts w:hint="eastAsia"/>
          <w:sz w:val="24"/>
        </w:rPr>
        <w:t>）；</w:t>
      </w:r>
    </w:p>
    <w:p>
      <w:pPr>
        <w:spacing w:line="360" w:lineRule="auto"/>
        <w:ind w:firstLine="482"/>
        <w:rPr>
          <w:sz w:val="24"/>
        </w:rPr>
      </w:pPr>
      <w:r>
        <w:rPr>
          <w:sz w:val="24"/>
        </w:rPr>
        <w:t>7</w:t>
      </w:r>
      <w:r>
        <w:rPr>
          <w:rFonts w:hint="eastAsia"/>
          <w:sz w:val="24"/>
        </w:rPr>
        <w:t>、《建设项目环境影响技术评估导则》（</w:t>
      </w:r>
      <w:r>
        <w:rPr>
          <w:sz w:val="24"/>
        </w:rPr>
        <w:t>HJ616-2011</w:t>
      </w:r>
      <w:r>
        <w:rPr>
          <w:rFonts w:hint="eastAsia"/>
          <w:sz w:val="24"/>
        </w:rPr>
        <w:t>）；</w:t>
      </w:r>
    </w:p>
    <w:p>
      <w:pPr>
        <w:spacing w:line="360" w:lineRule="auto"/>
        <w:ind w:firstLine="482"/>
        <w:rPr>
          <w:sz w:val="24"/>
        </w:rPr>
      </w:pPr>
      <w:r>
        <w:rPr>
          <w:sz w:val="24"/>
        </w:rPr>
        <w:t>8</w:t>
      </w:r>
      <w:r>
        <w:rPr>
          <w:rFonts w:hint="eastAsia"/>
          <w:sz w:val="24"/>
        </w:rPr>
        <w:t>、《建设项目环境风险评价技术导则》（</w:t>
      </w:r>
      <w:r>
        <w:rPr>
          <w:sz w:val="24"/>
        </w:rPr>
        <w:t>HJ169-2018</w:t>
      </w:r>
      <w:r>
        <w:rPr>
          <w:rFonts w:hint="eastAsia"/>
          <w:sz w:val="24"/>
        </w:rPr>
        <w:t>）；</w:t>
      </w:r>
    </w:p>
    <w:p>
      <w:pPr>
        <w:spacing w:line="360" w:lineRule="auto"/>
        <w:ind w:firstLine="482"/>
        <w:rPr>
          <w:sz w:val="24"/>
        </w:rPr>
      </w:pPr>
      <w:r>
        <w:rPr>
          <w:sz w:val="24"/>
        </w:rPr>
        <w:t>9</w:t>
      </w:r>
      <w:r>
        <w:rPr>
          <w:rFonts w:hint="eastAsia"/>
          <w:sz w:val="24"/>
        </w:rPr>
        <w:t>、《环境影响评价技术导则</w:t>
      </w:r>
      <w:r>
        <w:rPr>
          <w:sz w:val="24"/>
        </w:rPr>
        <w:t xml:space="preserve"> </w:t>
      </w:r>
      <w:r>
        <w:rPr>
          <w:rFonts w:hint="eastAsia"/>
          <w:sz w:val="24"/>
        </w:rPr>
        <w:t>土壤环境（试行）》（</w:t>
      </w:r>
      <w:r>
        <w:rPr>
          <w:sz w:val="24"/>
        </w:rPr>
        <w:t>HJ964-2018</w:t>
      </w:r>
      <w:r>
        <w:rPr>
          <w:rFonts w:hint="eastAsia"/>
          <w:sz w:val="24"/>
        </w:rPr>
        <w:t>）；</w:t>
      </w:r>
    </w:p>
    <w:p>
      <w:pPr>
        <w:spacing w:line="360" w:lineRule="auto"/>
        <w:ind w:firstLine="480" w:firstLineChars="200"/>
        <w:rPr>
          <w:sz w:val="24"/>
        </w:rPr>
      </w:pPr>
      <w:r>
        <w:rPr>
          <w:sz w:val="24"/>
        </w:rPr>
        <w:t>10、《生活垃圾处理技术指南》，建城[2010]61号；</w:t>
      </w:r>
    </w:p>
    <w:p>
      <w:pPr>
        <w:spacing w:line="360" w:lineRule="auto"/>
        <w:ind w:firstLine="480" w:firstLineChars="200"/>
        <w:rPr>
          <w:sz w:val="24"/>
        </w:rPr>
      </w:pPr>
      <w:r>
        <w:rPr>
          <w:sz w:val="24"/>
        </w:rPr>
        <w:t>11、《生活垃圾卫生填埋处理技术规范》，（JB50869-2013）；</w:t>
      </w:r>
    </w:p>
    <w:p>
      <w:pPr>
        <w:spacing w:line="360" w:lineRule="auto"/>
        <w:ind w:firstLine="480" w:firstLineChars="200"/>
        <w:rPr>
          <w:sz w:val="24"/>
        </w:rPr>
      </w:pPr>
      <w:r>
        <w:rPr>
          <w:sz w:val="24"/>
        </w:rPr>
        <w:t>12、《生活垃圾填埋场渗滤液处理工程技术规范》（试行），（HJ564-2010）；</w:t>
      </w:r>
    </w:p>
    <w:p>
      <w:pPr>
        <w:spacing w:line="360" w:lineRule="auto"/>
        <w:ind w:firstLine="480" w:firstLineChars="200"/>
        <w:rPr>
          <w:sz w:val="24"/>
        </w:rPr>
      </w:pPr>
      <w:r>
        <w:rPr>
          <w:sz w:val="24"/>
        </w:rPr>
        <w:t>13、《生活垃圾卫生填埋场防渗系统工程技术</w:t>
      </w:r>
      <w:r>
        <w:rPr>
          <w:rFonts w:hint="eastAsia"/>
          <w:sz w:val="24"/>
        </w:rPr>
        <w:t>标准</w:t>
      </w:r>
      <w:r>
        <w:rPr>
          <w:sz w:val="24"/>
        </w:rPr>
        <w:t>》，（GB/T51403-2021）；</w:t>
      </w:r>
    </w:p>
    <w:p>
      <w:pPr>
        <w:spacing w:line="360" w:lineRule="auto"/>
        <w:ind w:firstLine="480" w:firstLineChars="200"/>
        <w:rPr>
          <w:sz w:val="24"/>
        </w:rPr>
      </w:pPr>
      <w:r>
        <w:rPr>
          <w:sz w:val="24"/>
        </w:rPr>
        <w:t>14、《生活垃圾卫生填埋场环境监测技术要求》，（GB/T18772-2017）；</w:t>
      </w:r>
    </w:p>
    <w:p>
      <w:pPr>
        <w:spacing w:line="360" w:lineRule="auto"/>
        <w:ind w:firstLine="480" w:firstLineChars="200"/>
        <w:rPr>
          <w:sz w:val="24"/>
        </w:rPr>
      </w:pPr>
      <w:r>
        <w:rPr>
          <w:sz w:val="24"/>
        </w:rPr>
        <w:t>15、《生活垃圾卫生填埋场封场技术规范》，（GB51220-2017）；</w:t>
      </w:r>
    </w:p>
    <w:p>
      <w:pPr>
        <w:pStyle w:val="2235"/>
        <w:ind w:firstLine="480"/>
        <w:rPr>
          <w:rFonts w:ascii="Times New Roman" w:hAnsi="Times New Roman"/>
        </w:rPr>
      </w:pPr>
      <w:r>
        <w:rPr>
          <w:rFonts w:ascii="Times New Roman" w:hAnsi="Times New Roman"/>
        </w:rPr>
        <w:t>16、《排污许可证申请与核发技术规范 环境卫生管理业》（HJ 1106-2020）</w:t>
      </w:r>
      <w:r>
        <w:rPr>
          <w:rFonts w:hint="eastAsia" w:ascii="Times New Roman" w:hAnsi="Times New Roman"/>
        </w:rPr>
        <w:t>；</w:t>
      </w:r>
    </w:p>
    <w:p>
      <w:pPr>
        <w:pStyle w:val="2235"/>
        <w:ind w:firstLine="480"/>
        <w:rPr>
          <w:rFonts w:ascii="Times New Roman" w:hAnsi="Times New Roman"/>
        </w:rPr>
      </w:pPr>
      <w:r>
        <w:rPr>
          <w:rFonts w:hint="eastAsia" w:ascii="Times New Roman" w:hAnsi="Times New Roman"/>
        </w:rPr>
        <w:t>1</w:t>
      </w:r>
      <w:r>
        <w:rPr>
          <w:rFonts w:ascii="Times New Roman" w:hAnsi="Times New Roman"/>
        </w:rPr>
        <w:t>7</w:t>
      </w:r>
      <w:r>
        <w:rPr>
          <w:rFonts w:hint="eastAsia" w:ascii="Times New Roman" w:hAnsi="Times New Roman"/>
        </w:rPr>
        <w:t>、</w:t>
      </w:r>
      <w:r>
        <w:rPr>
          <w:rFonts w:ascii="Times New Roman" w:hAnsi="Times New Roman"/>
          <w:szCs w:val="24"/>
        </w:rPr>
        <w:t>《生活垃圾处理处置工程项目规范》（GB 55012-2021）</w:t>
      </w:r>
      <w:r>
        <w:rPr>
          <w:rFonts w:ascii="Times New Roman" w:hAnsi="Times New Roman"/>
        </w:rPr>
        <w:t>。</w:t>
      </w:r>
    </w:p>
    <w:p>
      <w:pPr>
        <w:pStyle w:val="4"/>
        <w:spacing w:before="0" w:after="0" w:line="360" w:lineRule="auto"/>
        <w:rPr>
          <w:sz w:val="28"/>
          <w:szCs w:val="28"/>
        </w:rPr>
      </w:pPr>
      <w:bookmarkStart w:id="51" w:name="_Toc477532347"/>
      <w:bookmarkStart w:id="52" w:name="_Toc477467649"/>
      <w:bookmarkStart w:id="53" w:name="_Toc21507"/>
      <w:bookmarkStart w:id="54" w:name="_Toc468309988"/>
      <w:bookmarkStart w:id="55" w:name="_Toc467229546"/>
      <w:bookmarkStart w:id="56" w:name="_Toc143762283"/>
      <w:bookmarkStart w:id="57" w:name="_Toc468221994"/>
      <w:bookmarkStart w:id="58" w:name="_Toc504720092"/>
      <w:bookmarkStart w:id="59" w:name="_Toc467230212"/>
      <w:bookmarkStart w:id="60" w:name="_Toc500315272"/>
      <w:r>
        <w:rPr>
          <w:sz w:val="28"/>
          <w:szCs w:val="28"/>
        </w:rPr>
        <w:t>2.1.3</w:t>
      </w:r>
      <w:r>
        <w:rPr>
          <w:rFonts w:hint="eastAsia"/>
          <w:sz w:val="28"/>
          <w:szCs w:val="28"/>
        </w:rPr>
        <w:t>地方有关法规及规范</w:t>
      </w:r>
      <w:bookmarkEnd w:id="51"/>
      <w:bookmarkEnd w:id="52"/>
      <w:bookmarkEnd w:id="53"/>
      <w:bookmarkEnd w:id="54"/>
      <w:bookmarkEnd w:id="55"/>
      <w:bookmarkEnd w:id="56"/>
      <w:bookmarkEnd w:id="57"/>
      <w:bookmarkEnd w:id="58"/>
      <w:bookmarkEnd w:id="59"/>
      <w:bookmarkEnd w:id="60"/>
    </w:p>
    <w:p>
      <w:pPr>
        <w:spacing w:line="360" w:lineRule="auto"/>
        <w:ind w:firstLine="482"/>
        <w:rPr>
          <w:sz w:val="24"/>
        </w:rPr>
      </w:pPr>
      <w:r>
        <w:rPr>
          <w:sz w:val="24"/>
        </w:rPr>
        <w:t>1</w:t>
      </w:r>
      <w:r>
        <w:rPr>
          <w:rFonts w:hint="eastAsia"/>
          <w:sz w:val="24"/>
        </w:rPr>
        <w:t>、《内蒙古自治区生态环境保护“十四五”规划》；</w:t>
      </w:r>
    </w:p>
    <w:p>
      <w:pPr>
        <w:spacing w:line="360" w:lineRule="auto"/>
        <w:ind w:firstLine="482"/>
        <w:rPr>
          <w:sz w:val="24"/>
        </w:rPr>
      </w:pPr>
      <w:r>
        <w:rPr>
          <w:sz w:val="24"/>
        </w:rPr>
        <w:t>2</w:t>
      </w:r>
      <w:r>
        <w:rPr>
          <w:rFonts w:hint="eastAsia"/>
          <w:sz w:val="24"/>
        </w:rPr>
        <w:t>、《内蒙古自治区主体功能区划》，</w:t>
      </w:r>
      <w:r>
        <w:rPr>
          <w:sz w:val="24"/>
        </w:rPr>
        <w:t xml:space="preserve">2012 </w:t>
      </w:r>
      <w:r>
        <w:rPr>
          <w:rFonts w:hint="eastAsia"/>
          <w:sz w:val="24"/>
        </w:rPr>
        <w:t>年</w:t>
      </w:r>
      <w:r>
        <w:rPr>
          <w:sz w:val="24"/>
        </w:rPr>
        <w:t xml:space="preserve">7 </w:t>
      </w:r>
      <w:r>
        <w:rPr>
          <w:rFonts w:hint="eastAsia"/>
          <w:sz w:val="24"/>
        </w:rPr>
        <w:t>月；</w:t>
      </w:r>
    </w:p>
    <w:p>
      <w:pPr>
        <w:spacing w:line="360" w:lineRule="auto"/>
        <w:ind w:firstLine="482"/>
        <w:rPr>
          <w:sz w:val="24"/>
        </w:rPr>
      </w:pPr>
      <w:r>
        <w:rPr>
          <w:sz w:val="24"/>
        </w:rPr>
        <w:t>3</w:t>
      </w:r>
      <w:r>
        <w:rPr>
          <w:rFonts w:hint="eastAsia"/>
          <w:sz w:val="24"/>
        </w:rPr>
        <w:t>、《内蒙古自治区环境保护条例》，</w:t>
      </w:r>
      <w:r>
        <w:rPr>
          <w:sz w:val="24"/>
        </w:rPr>
        <w:t>2018</w:t>
      </w:r>
      <w:r>
        <w:rPr>
          <w:rFonts w:hint="eastAsia"/>
          <w:sz w:val="24"/>
        </w:rPr>
        <w:t>年</w:t>
      </w:r>
      <w:r>
        <w:rPr>
          <w:sz w:val="24"/>
        </w:rPr>
        <w:t>12</w:t>
      </w:r>
      <w:r>
        <w:rPr>
          <w:rFonts w:hint="eastAsia"/>
          <w:sz w:val="24"/>
        </w:rPr>
        <w:t>月</w:t>
      </w:r>
      <w:r>
        <w:rPr>
          <w:sz w:val="24"/>
        </w:rPr>
        <w:t>6</w:t>
      </w:r>
      <w:r>
        <w:rPr>
          <w:rFonts w:hint="eastAsia"/>
          <w:sz w:val="24"/>
        </w:rPr>
        <w:t>日；</w:t>
      </w:r>
    </w:p>
    <w:p>
      <w:pPr>
        <w:spacing w:line="360" w:lineRule="auto"/>
        <w:ind w:firstLine="480"/>
        <w:rPr>
          <w:sz w:val="24"/>
        </w:rPr>
      </w:pPr>
      <w:r>
        <w:rPr>
          <w:sz w:val="24"/>
        </w:rPr>
        <w:t>4</w:t>
      </w:r>
      <w:r>
        <w:rPr>
          <w:rFonts w:hint="eastAsia"/>
          <w:sz w:val="24"/>
        </w:rPr>
        <w:t>、《内蒙古自治区大气污染防治条例》（内蒙古自治区人民代表大会常务委员，</w:t>
      </w:r>
      <w:r>
        <w:rPr>
          <w:sz w:val="24"/>
        </w:rPr>
        <w:t xml:space="preserve">2019 </w:t>
      </w:r>
      <w:r>
        <w:rPr>
          <w:rFonts w:hint="eastAsia"/>
          <w:sz w:val="24"/>
        </w:rPr>
        <w:t>年</w:t>
      </w:r>
      <w:r>
        <w:rPr>
          <w:sz w:val="24"/>
        </w:rPr>
        <w:t xml:space="preserve">3 </w:t>
      </w:r>
      <w:r>
        <w:rPr>
          <w:rFonts w:hint="eastAsia"/>
          <w:sz w:val="24"/>
        </w:rPr>
        <w:t>月</w:t>
      </w:r>
      <w:r>
        <w:rPr>
          <w:sz w:val="24"/>
        </w:rPr>
        <w:t xml:space="preserve">1 </w:t>
      </w:r>
      <w:r>
        <w:rPr>
          <w:rFonts w:hint="eastAsia"/>
          <w:sz w:val="24"/>
        </w:rPr>
        <w:t>日起施行）；</w:t>
      </w:r>
    </w:p>
    <w:p>
      <w:pPr>
        <w:spacing w:line="360" w:lineRule="auto"/>
        <w:ind w:firstLine="480"/>
        <w:rPr>
          <w:sz w:val="24"/>
        </w:rPr>
      </w:pPr>
      <w:r>
        <w:rPr>
          <w:sz w:val="24"/>
        </w:rPr>
        <w:t>5</w:t>
      </w:r>
      <w:r>
        <w:rPr>
          <w:rFonts w:hint="eastAsia"/>
          <w:sz w:val="24"/>
        </w:rPr>
        <w:t>、《内蒙古自治区人民政府关于印发自治区绿色矿山建设方案的通知》（内政发〔</w:t>
      </w:r>
      <w:r>
        <w:rPr>
          <w:sz w:val="24"/>
        </w:rPr>
        <w:t>2017</w:t>
      </w:r>
      <w:r>
        <w:rPr>
          <w:rFonts w:hint="eastAsia"/>
          <w:sz w:val="24"/>
        </w:rPr>
        <w:t>〕</w:t>
      </w:r>
      <w:r>
        <w:rPr>
          <w:sz w:val="24"/>
        </w:rPr>
        <w:t>111</w:t>
      </w:r>
      <w:r>
        <w:rPr>
          <w:rFonts w:hint="eastAsia"/>
          <w:sz w:val="24"/>
        </w:rPr>
        <w:t>号）；</w:t>
      </w:r>
    </w:p>
    <w:p>
      <w:pPr>
        <w:spacing w:line="360" w:lineRule="auto"/>
        <w:ind w:firstLine="480"/>
        <w:rPr>
          <w:sz w:val="24"/>
        </w:rPr>
      </w:pPr>
      <w:r>
        <w:rPr>
          <w:sz w:val="24"/>
        </w:rPr>
        <w:t>6</w:t>
      </w:r>
      <w:r>
        <w:rPr>
          <w:rFonts w:hint="eastAsia"/>
          <w:sz w:val="24"/>
        </w:rPr>
        <w:t>、《内蒙古自治区人民政府关于印发打赢蓝天保卫站三年行动计划实施方案的通知》，内政发</w:t>
      </w:r>
      <w:r>
        <w:rPr>
          <w:sz w:val="24"/>
        </w:rPr>
        <w:t xml:space="preserve">[2018]37 </w:t>
      </w:r>
      <w:r>
        <w:rPr>
          <w:rFonts w:hint="eastAsia"/>
          <w:sz w:val="24"/>
        </w:rPr>
        <w:t>号；</w:t>
      </w:r>
    </w:p>
    <w:p>
      <w:pPr>
        <w:spacing w:line="360" w:lineRule="auto"/>
        <w:ind w:firstLine="480"/>
        <w:rPr>
          <w:sz w:val="24"/>
        </w:rPr>
      </w:pPr>
      <w:r>
        <w:rPr>
          <w:rFonts w:hint="eastAsia"/>
          <w:sz w:val="24"/>
        </w:rPr>
        <w:t>7、《巴彦淖尔市国民经济和社会发展第十四个五年规划和 2035 年远景目标纲要》；</w:t>
      </w:r>
    </w:p>
    <w:p>
      <w:pPr>
        <w:spacing w:line="360" w:lineRule="auto"/>
        <w:ind w:firstLine="480"/>
        <w:rPr>
          <w:sz w:val="24"/>
        </w:rPr>
      </w:pPr>
      <w:r>
        <w:rPr>
          <w:rFonts w:hint="eastAsia"/>
          <w:sz w:val="24"/>
        </w:rPr>
        <w:t>8、《巴彦淖尔市“十四五”生态环境保护规划》。</w:t>
      </w:r>
    </w:p>
    <w:bookmarkEnd w:id="37"/>
    <w:bookmarkEnd w:id="38"/>
    <w:bookmarkEnd w:id="39"/>
    <w:bookmarkEnd w:id="40"/>
    <w:bookmarkEnd w:id="41"/>
    <w:bookmarkEnd w:id="42"/>
    <w:bookmarkEnd w:id="43"/>
    <w:bookmarkEnd w:id="44"/>
    <w:bookmarkEnd w:id="45"/>
    <w:bookmarkEnd w:id="46"/>
    <w:p>
      <w:pPr>
        <w:pStyle w:val="831"/>
        <w:spacing w:before="156" w:beforeLines="50" w:after="156" w:afterLines="50" w:line="360" w:lineRule="auto"/>
        <w:rPr>
          <w:rFonts w:cs="Times New Roman"/>
        </w:rPr>
      </w:pPr>
      <w:bookmarkStart w:id="61" w:name="_Toc143762284"/>
      <w:bookmarkStart w:id="62" w:name="_Toc489432953"/>
      <w:r>
        <w:rPr>
          <w:rFonts w:cs="Times New Roman"/>
        </w:rPr>
        <w:t>2.1.4技术参考依据及其他</w:t>
      </w:r>
      <w:bookmarkEnd w:id="61"/>
      <w:bookmarkEnd w:id="62"/>
    </w:p>
    <w:p>
      <w:pPr>
        <w:spacing w:line="360" w:lineRule="auto"/>
        <w:ind w:firstLine="480" w:firstLineChars="200"/>
        <w:rPr>
          <w:sz w:val="24"/>
        </w:rPr>
      </w:pPr>
      <w:bookmarkStart w:id="63" w:name="_Toc144833696"/>
      <w:bookmarkStart w:id="64" w:name="_Toc144835034"/>
      <w:bookmarkStart w:id="65" w:name="_Toc148972432"/>
      <w:bookmarkStart w:id="66" w:name="_Toc401478979"/>
      <w:bookmarkStart w:id="67" w:name="_Toc193279475"/>
      <w:bookmarkStart w:id="68" w:name="_Toc145169405"/>
      <w:bookmarkStart w:id="69" w:name="_Toc205715484"/>
      <w:bookmarkStart w:id="70" w:name="_Toc195111569"/>
      <w:bookmarkStart w:id="71" w:name="_Toc144834430"/>
      <w:bookmarkStart w:id="72" w:name="_Toc177204357"/>
      <w:r>
        <w:rPr>
          <w:sz w:val="24"/>
        </w:rPr>
        <w:t>1、《五原县复兴镇生活垃圾无害化处理项目环境影响评价委托书》，</w:t>
      </w:r>
      <w:r>
        <w:rPr>
          <w:rFonts w:hint="eastAsia"/>
          <w:sz w:val="24"/>
        </w:rPr>
        <w:t>五原县环境卫生服务中心</w:t>
      </w:r>
      <w:r>
        <w:rPr>
          <w:sz w:val="24"/>
        </w:rPr>
        <w:t>，2023年3月；</w:t>
      </w:r>
    </w:p>
    <w:p>
      <w:pPr>
        <w:spacing w:line="360" w:lineRule="auto"/>
        <w:ind w:firstLine="480" w:firstLineChars="200"/>
        <w:rPr>
          <w:sz w:val="24"/>
        </w:rPr>
      </w:pPr>
      <w:r>
        <w:rPr>
          <w:sz w:val="24"/>
        </w:rPr>
        <w:t>2、《五原县乡镇生活垃圾处理场可行性研究报告》,2016年；</w:t>
      </w:r>
    </w:p>
    <w:p>
      <w:pPr>
        <w:spacing w:line="360" w:lineRule="auto"/>
        <w:ind w:firstLine="480" w:firstLineChars="200"/>
        <w:rPr>
          <w:sz w:val="24"/>
        </w:rPr>
      </w:pPr>
      <w:r>
        <w:rPr>
          <w:sz w:val="24"/>
        </w:rPr>
        <w:t>3、《</w:t>
      </w:r>
      <w:r>
        <w:rPr>
          <w:rFonts w:hint="eastAsia"/>
          <w:sz w:val="24"/>
        </w:rPr>
        <w:t>五原县</w:t>
      </w:r>
      <w:r>
        <w:rPr>
          <w:sz w:val="24"/>
        </w:rPr>
        <w:t>复兴镇生活垃圾无害化处理厂项目岩土工程勘察报告》，</w:t>
      </w:r>
      <w:r>
        <w:rPr>
          <w:rFonts w:hint="eastAsia"/>
          <w:sz w:val="24"/>
        </w:rPr>
        <w:t>巴彦淖尔市</w:t>
      </w:r>
      <w:r>
        <w:rPr>
          <w:sz w:val="24"/>
        </w:rPr>
        <w:t>精诚建筑勘察设计院有限公司。</w:t>
      </w:r>
    </w:p>
    <w:p>
      <w:pPr>
        <w:spacing w:line="360" w:lineRule="auto"/>
        <w:ind w:firstLine="480" w:firstLineChars="200"/>
        <w:rPr>
          <w:sz w:val="24"/>
        </w:rPr>
      </w:pPr>
      <w:r>
        <w:rPr>
          <w:sz w:val="24"/>
        </w:rPr>
        <w:t>4</w:t>
      </w:r>
      <w:r>
        <w:rPr>
          <w:rFonts w:hint="eastAsia"/>
          <w:sz w:val="24"/>
        </w:rPr>
        <w:t>、</w:t>
      </w:r>
      <w:r>
        <w:rPr>
          <w:sz w:val="24"/>
        </w:rPr>
        <w:t>《</w:t>
      </w:r>
      <w:r>
        <w:rPr>
          <w:rFonts w:hint="eastAsia"/>
          <w:sz w:val="24"/>
        </w:rPr>
        <w:t>巴彦淖尔市</w:t>
      </w:r>
      <w:r>
        <w:rPr>
          <w:sz w:val="24"/>
        </w:rPr>
        <w:t>五原县复兴镇生活垃圾无害化处理场项目初步设计》，</w:t>
      </w:r>
      <w:r>
        <w:rPr>
          <w:rFonts w:hint="eastAsia"/>
          <w:sz w:val="24"/>
        </w:rPr>
        <w:t>广东</w:t>
      </w:r>
      <w:r>
        <w:rPr>
          <w:sz w:val="24"/>
        </w:rPr>
        <w:t>建筑艺术设计院有限公司，2016年</w:t>
      </w:r>
      <w:r>
        <w:rPr>
          <w:rFonts w:hint="eastAsia"/>
          <w:sz w:val="24"/>
        </w:rPr>
        <w:t>11</w:t>
      </w:r>
      <w:r>
        <w:rPr>
          <w:sz w:val="24"/>
        </w:rPr>
        <w:t>月。</w:t>
      </w:r>
    </w:p>
    <w:p>
      <w:pPr>
        <w:spacing w:line="360" w:lineRule="auto"/>
        <w:ind w:firstLine="480" w:firstLineChars="200"/>
        <w:rPr>
          <w:sz w:val="24"/>
        </w:rPr>
      </w:pPr>
      <w:r>
        <w:rPr>
          <w:sz w:val="24"/>
        </w:rPr>
        <w:t>5</w:t>
      </w:r>
      <w:r>
        <w:rPr>
          <w:rFonts w:hint="eastAsia"/>
          <w:sz w:val="24"/>
        </w:rPr>
        <w:t>、</w:t>
      </w:r>
      <w:r>
        <w:rPr>
          <w:sz w:val="24"/>
        </w:rPr>
        <w:t>建设单位提供的其它有关技术资料。</w:t>
      </w:r>
    </w:p>
    <w:p>
      <w:pPr>
        <w:pStyle w:val="347"/>
        <w:keepNext w:val="0"/>
        <w:topLinePunct w:val="0"/>
        <w:spacing w:before="156" w:beforeLines="50" w:after="156" w:afterLines="50" w:line="360" w:lineRule="auto"/>
        <w:rPr>
          <w:rFonts w:cs="Times New Roman"/>
        </w:rPr>
      </w:pPr>
      <w:bookmarkStart w:id="73" w:name="_Toc489432954"/>
      <w:bookmarkStart w:id="74" w:name="_Toc143762285"/>
      <w:r>
        <w:rPr>
          <w:rFonts w:cs="Times New Roman"/>
        </w:rPr>
        <w:t>2.2评价因子</w:t>
      </w:r>
      <w:bookmarkEnd w:id="73"/>
      <w:r>
        <w:rPr>
          <w:rFonts w:hint="eastAsia" w:cs="Times New Roman"/>
        </w:rPr>
        <w:t>与评价标准</w:t>
      </w:r>
      <w:bookmarkEnd w:id="74"/>
    </w:p>
    <w:p>
      <w:pPr>
        <w:pStyle w:val="831"/>
        <w:spacing w:before="156" w:beforeLines="50" w:after="156" w:afterLines="50" w:line="360" w:lineRule="auto"/>
        <w:rPr>
          <w:rFonts w:cs="Times New Roman"/>
        </w:rPr>
      </w:pPr>
      <w:bookmarkStart w:id="75" w:name="_Toc347089902"/>
      <w:bookmarkStart w:id="76" w:name="_Toc407443768"/>
      <w:bookmarkStart w:id="77" w:name="_Toc489432955"/>
      <w:bookmarkStart w:id="78" w:name="_Toc143762286"/>
      <w:r>
        <w:rPr>
          <w:rFonts w:cs="Times New Roman"/>
        </w:rPr>
        <w:t>2.2.1</w:t>
      </w:r>
      <w:bookmarkEnd w:id="75"/>
      <w:bookmarkEnd w:id="76"/>
      <w:bookmarkEnd w:id="77"/>
      <w:bookmarkStart w:id="79" w:name="_Toc407024284"/>
      <w:r>
        <w:rPr>
          <w:rFonts w:hint="eastAsia" w:cs="Times New Roman"/>
        </w:rPr>
        <w:t>评价因子</w:t>
      </w:r>
      <w:bookmarkEnd w:id="78"/>
    </w:p>
    <w:bookmarkEnd w:id="79"/>
    <w:p>
      <w:pPr>
        <w:adjustRightInd w:val="0"/>
        <w:snapToGrid w:val="0"/>
        <w:spacing w:line="360" w:lineRule="auto"/>
        <w:ind w:firstLine="480" w:firstLineChars="200"/>
        <w:rPr>
          <w:sz w:val="24"/>
        </w:rPr>
      </w:pPr>
      <w:r>
        <w:rPr>
          <w:sz w:val="24"/>
        </w:rPr>
        <w:t>根据项目建设引发的主要环境问题和污染因素识别结果，结合考虑项目各环境问题和污染物对环境影响程度，确定本项目的现状评价因子和预测评价因子如下：</w:t>
      </w:r>
    </w:p>
    <w:p>
      <w:pPr>
        <w:adjustRightInd w:val="0"/>
        <w:snapToGrid w:val="0"/>
        <w:spacing w:line="360" w:lineRule="auto"/>
        <w:ind w:firstLine="480" w:firstLineChars="200"/>
        <w:rPr>
          <w:sz w:val="24"/>
        </w:rPr>
      </w:pPr>
      <w:r>
        <w:rPr>
          <w:sz w:val="24"/>
        </w:rPr>
        <w:t>（1）大气环境</w:t>
      </w:r>
    </w:p>
    <w:p>
      <w:pPr>
        <w:pStyle w:val="825"/>
        <w:adjustRightInd w:val="0"/>
        <w:snapToGrid w:val="0"/>
        <w:ind w:firstLine="480"/>
      </w:pPr>
      <w:r>
        <w:t>大气环境现状评价因子：TSP、PM</w:t>
      </w:r>
      <w:r>
        <w:rPr>
          <w:vertAlign w:val="subscript"/>
        </w:rPr>
        <w:t>10</w:t>
      </w:r>
      <w:r>
        <w:t>、PM</w:t>
      </w:r>
      <w:r>
        <w:rPr>
          <w:vertAlign w:val="subscript"/>
        </w:rPr>
        <w:t>2.5</w:t>
      </w:r>
      <w:r>
        <w:t>、NO</w:t>
      </w:r>
      <w:r>
        <w:rPr>
          <w:vertAlign w:val="subscript"/>
        </w:rPr>
        <w:t>2</w:t>
      </w:r>
      <w:r>
        <w:t>、SO</w:t>
      </w:r>
      <w:r>
        <w:rPr>
          <w:vertAlign w:val="subscript"/>
        </w:rPr>
        <w:t>2</w:t>
      </w:r>
      <w:r>
        <w:t>、CO、O</w:t>
      </w:r>
      <w:r>
        <w:rPr>
          <w:rFonts w:hint="eastAsia"/>
          <w:vertAlign w:val="subscript"/>
        </w:rPr>
        <w:t>3</w:t>
      </w:r>
      <w:r>
        <w:t>、H</w:t>
      </w:r>
      <w:r>
        <w:rPr>
          <w:vertAlign w:val="subscript"/>
        </w:rPr>
        <w:t>2</w:t>
      </w:r>
      <w:r>
        <w:t>S、NH</w:t>
      </w:r>
      <w:r>
        <w:rPr>
          <w:vertAlign w:val="subscript"/>
        </w:rPr>
        <w:t>3</w:t>
      </w:r>
      <w:r>
        <w:t>。</w:t>
      </w:r>
    </w:p>
    <w:p>
      <w:pPr>
        <w:pStyle w:val="825"/>
        <w:adjustRightInd w:val="0"/>
        <w:snapToGrid w:val="0"/>
        <w:ind w:firstLine="480"/>
      </w:pPr>
      <w:r>
        <w:t>大气环境影响评价因子：选取H</w:t>
      </w:r>
      <w:r>
        <w:rPr>
          <w:vertAlign w:val="subscript"/>
        </w:rPr>
        <w:t>2</w:t>
      </w:r>
      <w:r>
        <w:t>S、NH</w:t>
      </w:r>
      <w:r>
        <w:rPr>
          <w:vertAlign w:val="subscript"/>
        </w:rPr>
        <w:t>3</w:t>
      </w:r>
      <w:r>
        <w:t>、SO</w:t>
      </w:r>
      <w:r>
        <w:rPr>
          <w:vertAlign w:val="subscript"/>
        </w:rPr>
        <w:t>2</w:t>
      </w:r>
      <w:r>
        <w:t>、NO</w:t>
      </w:r>
      <w:r>
        <w:rPr>
          <w:vertAlign w:val="subscript"/>
        </w:rPr>
        <w:t>X</w:t>
      </w:r>
      <w:r>
        <w:rPr>
          <w:rFonts w:hint="eastAsia"/>
        </w:rPr>
        <w:t>、T</w:t>
      </w:r>
      <w:r>
        <w:t>SP为评价因子。</w:t>
      </w:r>
    </w:p>
    <w:p>
      <w:pPr>
        <w:pStyle w:val="825"/>
        <w:adjustRightInd w:val="0"/>
        <w:snapToGrid w:val="0"/>
        <w:ind w:firstLine="480"/>
      </w:pPr>
      <w:r>
        <w:t>（2）地下水环境</w:t>
      </w:r>
    </w:p>
    <w:p>
      <w:pPr>
        <w:pStyle w:val="825"/>
        <w:adjustRightInd w:val="0"/>
        <w:snapToGrid w:val="0"/>
        <w:ind w:firstLine="480"/>
      </w:pPr>
      <w:r>
        <w:t>地下水环境现状评价因子：</w:t>
      </w:r>
      <w:r>
        <w:rPr>
          <w:kern w:val="2"/>
        </w:rPr>
        <w:t xml:space="preserve">pH、总硬度、耗氧量、氨氮、铁、总大肠菌群、汞、镉、铬 （六价）、砷、铅、K </w:t>
      </w:r>
      <w:r>
        <w:rPr>
          <w:kern w:val="2"/>
          <w:vertAlign w:val="superscript"/>
        </w:rPr>
        <w:t>+</w:t>
      </w:r>
      <w:r>
        <w:rPr>
          <w:kern w:val="2"/>
        </w:rPr>
        <w:t xml:space="preserve">、Na </w:t>
      </w:r>
      <w:r>
        <w:rPr>
          <w:kern w:val="2"/>
          <w:vertAlign w:val="superscript"/>
        </w:rPr>
        <w:t>+</w:t>
      </w:r>
      <w:r>
        <w:rPr>
          <w:kern w:val="2"/>
        </w:rPr>
        <w:t>、Ca</w:t>
      </w:r>
      <w:r>
        <w:rPr>
          <w:kern w:val="2"/>
          <w:vertAlign w:val="superscript"/>
        </w:rPr>
        <w:t>2+</w:t>
      </w:r>
      <w:r>
        <w:rPr>
          <w:kern w:val="2"/>
        </w:rPr>
        <w:t xml:space="preserve"> 、Mg</w:t>
      </w:r>
      <w:r>
        <w:rPr>
          <w:kern w:val="2"/>
          <w:vertAlign w:val="superscript"/>
        </w:rPr>
        <w:t>2+</w:t>
      </w:r>
      <w:r>
        <w:rPr>
          <w:kern w:val="2"/>
        </w:rPr>
        <w:t xml:space="preserve"> 、CO</w:t>
      </w:r>
      <w:r>
        <w:rPr>
          <w:kern w:val="2"/>
          <w:vertAlign w:val="subscript"/>
        </w:rPr>
        <w:t>3</w:t>
      </w:r>
      <w:r>
        <w:rPr>
          <w:kern w:val="2"/>
        </w:rPr>
        <w:t xml:space="preserve"> </w:t>
      </w:r>
      <w:r>
        <w:rPr>
          <w:kern w:val="2"/>
          <w:vertAlign w:val="superscript"/>
        </w:rPr>
        <w:t>2-</w:t>
      </w:r>
      <w:r>
        <w:rPr>
          <w:kern w:val="2"/>
        </w:rPr>
        <w:t xml:space="preserve"> 、HCO</w:t>
      </w:r>
      <w:r>
        <w:rPr>
          <w:kern w:val="2"/>
          <w:vertAlign w:val="superscript"/>
        </w:rPr>
        <w:t>3-</w:t>
      </w:r>
      <w:r>
        <w:rPr>
          <w:kern w:val="2"/>
        </w:rPr>
        <w:t xml:space="preserve"> 、Cl</w:t>
      </w:r>
      <w:r>
        <w:rPr>
          <w:kern w:val="2"/>
          <w:vertAlign w:val="superscript"/>
        </w:rPr>
        <w:t>-</w:t>
      </w:r>
      <w:r>
        <w:rPr>
          <w:kern w:val="2"/>
        </w:rPr>
        <w:t xml:space="preserve"> 、SO</w:t>
      </w:r>
      <w:r>
        <w:rPr>
          <w:kern w:val="2"/>
          <w:vertAlign w:val="subscript"/>
        </w:rPr>
        <w:t>4</w:t>
      </w:r>
      <w:r>
        <w:rPr>
          <w:kern w:val="2"/>
        </w:rPr>
        <w:t xml:space="preserve"> </w:t>
      </w:r>
      <w:r>
        <w:rPr>
          <w:kern w:val="2"/>
          <w:vertAlign w:val="superscript"/>
        </w:rPr>
        <w:t>2-</w:t>
      </w:r>
      <w:r>
        <w:rPr>
          <w:kern w:val="2"/>
        </w:rPr>
        <w:t>、 BOD</w:t>
      </w:r>
      <w:r>
        <w:rPr>
          <w:kern w:val="2"/>
          <w:vertAlign w:val="subscript"/>
        </w:rPr>
        <w:t>5</w:t>
      </w:r>
      <w:r>
        <w:rPr>
          <w:kern w:val="2"/>
        </w:rPr>
        <w:t>、总氮、总磷、铬、溶解性总固体、硫酸盐、氯化物、硝酸盐氮、亚硝酸 盐氮、挥发酚、氰化物、锰、铜、锌、氟化物</w:t>
      </w:r>
      <w:r>
        <w:t>。</w:t>
      </w:r>
    </w:p>
    <w:p>
      <w:pPr>
        <w:adjustRightInd w:val="0"/>
        <w:snapToGrid w:val="0"/>
        <w:spacing w:line="360" w:lineRule="auto"/>
        <w:ind w:firstLine="480" w:firstLineChars="200"/>
        <w:rPr>
          <w:sz w:val="24"/>
        </w:rPr>
      </w:pPr>
      <w:r>
        <w:rPr>
          <w:sz w:val="24"/>
        </w:rPr>
        <w:t>地下水</w:t>
      </w:r>
      <w:r>
        <w:rPr>
          <w:rFonts w:hint="eastAsia"/>
          <w:sz w:val="24"/>
        </w:rPr>
        <w:t>影响</w:t>
      </w:r>
      <w:r>
        <w:rPr>
          <w:sz w:val="24"/>
        </w:rPr>
        <w:t>评价因子：氨氮。</w:t>
      </w:r>
    </w:p>
    <w:p>
      <w:pPr>
        <w:pStyle w:val="825"/>
        <w:adjustRightInd w:val="0"/>
        <w:snapToGrid w:val="0"/>
        <w:ind w:firstLine="480"/>
      </w:pPr>
      <w:r>
        <w:t>（3）噪声</w:t>
      </w:r>
    </w:p>
    <w:p>
      <w:pPr>
        <w:pStyle w:val="825"/>
        <w:adjustRightInd w:val="0"/>
        <w:snapToGrid w:val="0"/>
        <w:ind w:firstLine="480"/>
      </w:pPr>
      <w:r>
        <w:t>运行过程中机械设备噪声以及运输车辆产生的噪声，评价因子为</w:t>
      </w:r>
      <w:r>
        <w:rPr>
          <w:rFonts w:hint="eastAsia"/>
        </w:rPr>
        <w:t>等效连续A声级</w:t>
      </w:r>
      <w:r>
        <w:t>。</w:t>
      </w:r>
    </w:p>
    <w:p>
      <w:pPr>
        <w:adjustRightInd w:val="0"/>
        <w:snapToGrid w:val="0"/>
        <w:spacing w:line="360" w:lineRule="auto"/>
        <w:ind w:firstLine="480" w:firstLineChars="200"/>
        <w:rPr>
          <w:sz w:val="24"/>
        </w:rPr>
      </w:pPr>
      <w:r>
        <w:rPr>
          <w:sz w:val="24"/>
        </w:rPr>
        <w:t>（4）</w:t>
      </w:r>
      <w:r>
        <w:rPr>
          <w:rFonts w:hint="eastAsia"/>
          <w:sz w:val="24"/>
        </w:rPr>
        <w:t>土壤</w:t>
      </w:r>
    </w:p>
    <w:p>
      <w:pPr>
        <w:pStyle w:val="825"/>
        <w:adjustRightInd w:val="0"/>
        <w:snapToGrid w:val="0"/>
        <w:ind w:firstLine="480"/>
      </w:pPr>
      <w:r>
        <w:rPr>
          <w:rFonts w:hint="eastAsia"/>
        </w:rPr>
        <w:t>土壤</w:t>
      </w:r>
      <w:r>
        <w:t>环境现状评价因子：</w:t>
      </w:r>
    </w:p>
    <w:p>
      <w:pPr>
        <w:pStyle w:val="825"/>
        <w:adjustRightInd w:val="0"/>
        <w:snapToGrid w:val="0"/>
        <w:ind w:firstLine="480"/>
      </w:pPr>
      <w:r>
        <w:rPr>
          <w:rFonts w:hint="eastAsia"/>
        </w:rPr>
        <w:t>建设用地：</w:t>
      </w:r>
      <w:r>
        <w:rPr>
          <w:kern w:val="2"/>
        </w:rPr>
        <w:t>pH、</w:t>
      </w:r>
      <w:r>
        <w:t>铜、镍、砷、汞、镉、铅、六价铬、四氯化碳、氯仿、氯甲烷、1，1-二氯乙烷、1，2-二氯乙烷、1，1-二氯乙烯、顺式-1，2-二氯乙烯、反式-1，2-二氯乙烯、二氯甲烷、1，2-二氯丙烷、1，1，1，2-四氯乙烷、1，1，2，2-四氯乙烷、四氯乙烯、1，1，1-三氯乙烷、1，1，2-三氯乙烷、三氯乙烯、1，2，3-三氯丙烷、氯乙烯、苯、氯苯、1，2-二氯苯、1，4-二氯苯、乙苯、苯乙烯、甲苯、间，对-二甲苯、邻二甲苯、苯胺类、硝基苯、2-氯酚、苯并[a]蒽、苯并[a]芘、苯并[b]荧蒽、苯并[k]荧蒽、䓛、二苯并[a、h]蒽、茚并[1，2，3-cd]芘、萘。</w:t>
      </w:r>
    </w:p>
    <w:p>
      <w:pPr>
        <w:pStyle w:val="825"/>
        <w:adjustRightInd w:val="0"/>
        <w:snapToGrid w:val="0"/>
        <w:ind w:firstLine="480"/>
      </w:pPr>
      <w:r>
        <w:rPr>
          <w:rFonts w:hint="eastAsia"/>
        </w:rPr>
        <w:t>农用地：</w:t>
      </w:r>
      <w:r>
        <w:rPr>
          <w:szCs w:val="21"/>
        </w:rPr>
        <w:t>p</w:t>
      </w:r>
      <w:r>
        <w:rPr>
          <w:rFonts w:hint="eastAsia"/>
          <w:szCs w:val="21"/>
        </w:rPr>
        <w:t>H、</w:t>
      </w:r>
      <w:r>
        <w:rPr>
          <w:szCs w:val="21"/>
        </w:rPr>
        <w:t>镉、汞、砷、铅、铬、铜、镍、锌</w:t>
      </w:r>
    </w:p>
    <w:p>
      <w:pPr>
        <w:adjustRightInd w:val="0"/>
        <w:snapToGrid w:val="0"/>
        <w:spacing w:line="360" w:lineRule="auto"/>
        <w:ind w:firstLine="480" w:firstLineChars="200"/>
        <w:rPr>
          <w:sz w:val="24"/>
        </w:rPr>
      </w:pPr>
      <w:r>
        <w:rPr>
          <w:rFonts w:hint="eastAsia"/>
          <w:sz w:val="24"/>
        </w:rPr>
        <w:t>土壤影响</w:t>
      </w:r>
      <w:r>
        <w:rPr>
          <w:sz w:val="24"/>
        </w:rPr>
        <w:t>评价因子：</w:t>
      </w:r>
      <w:r>
        <w:rPr>
          <w:rFonts w:hint="eastAsia"/>
          <w:sz w:val="24"/>
        </w:rPr>
        <w:t>总砷</w:t>
      </w:r>
      <w:r>
        <w:rPr>
          <w:sz w:val="24"/>
        </w:rPr>
        <w:t>。</w:t>
      </w:r>
    </w:p>
    <w:p>
      <w:pPr>
        <w:adjustRightInd w:val="0"/>
        <w:snapToGrid w:val="0"/>
        <w:spacing w:line="360" w:lineRule="auto"/>
        <w:ind w:firstLine="480" w:firstLineChars="200"/>
        <w:rPr>
          <w:sz w:val="24"/>
        </w:rPr>
      </w:pPr>
      <w:r>
        <w:rPr>
          <w:sz w:val="24"/>
        </w:rPr>
        <w:t>（5）固体废物</w:t>
      </w:r>
    </w:p>
    <w:p>
      <w:pPr>
        <w:adjustRightInd w:val="0"/>
        <w:snapToGrid w:val="0"/>
        <w:spacing w:line="360" w:lineRule="auto"/>
        <w:ind w:firstLine="480" w:firstLineChars="200"/>
        <w:rPr>
          <w:sz w:val="24"/>
        </w:rPr>
      </w:pPr>
      <w:r>
        <w:rPr>
          <w:rFonts w:hint="eastAsia"/>
          <w:sz w:val="24"/>
        </w:rPr>
        <w:t>一般固体废物、生活垃圾。</w:t>
      </w:r>
    </w:p>
    <w:p>
      <w:pPr>
        <w:pStyle w:val="69"/>
        <w:adjustRightInd w:val="0"/>
        <w:snapToGrid w:val="0"/>
        <w:spacing w:after="0" w:line="360" w:lineRule="auto"/>
        <w:ind w:left="0" w:leftChars="0" w:firstLine="480" w:firstLineChars="200"/>
        <w:jc w:val="both"/>
        <w:rPr>
          <w:sz w:val="24"/>
          <w:szCs w:val="24"/>
        </w:rPr>
      </w:pPr>
      <w:r>
        <w:rPr>
          <w:sz w:val="24"/>
          <w:szCs w:val="24"/>
        </w:rPr>
        <w:t>（6）环境风险</w:t>
      </w:r>
    </w:p>
    <w:p>
      <w:pPr>
        <w:pStyle w:val="69"/>
        <w:adjustRightInd w:val="0"/>
        <w:snapToGrid w:val="0"/>
        <w:spacing w:after="0" w:line="360" w:lineRule="auto"/>
        <w:ind w:left="0" w:leftChars="0" w:firstLine="480" w:firstLineChars="200"/>
        <w:jc w:val="both"/>
        <w:rPr>
          <w:sz w:val="24"/>
          <w:szCs w:val="24"/>
        </w:rPr>
      </w:pPr>
      <w:r>
        <w:rPr>
          <w:sz w:val="24"/>
          <w:szCs w:val="24"/>
        </w:rPr>
        <w:t>环境风险评价因子：渗滤液、填埋气体</w:t>
      </w:r>
      <w:r>
        <w:rPr>
          <w:rFonts w:hint="eastAsia"/>
          <w:sz w:val="24"/>
          <w:szCs w:val="24"/>
        </w:rPr>
        <w:t>（硫化氢、甲烷、氨）</w:t>
      </w:r>
      <w:r>
        <w:rPr>
          <w:sz w:val="24"/>
          <w:szCs w:val="24"/>
        </w:rPr>
        <w:t>。</w:t>
      </w:r>
    </w:p>
    <w:p>
      <w:pPr>
        <w:pStyle w:val="831"/>
        <w:spacing w:before="156" w:beforeLines="50" w:after="156" w:afterLines="50" w:line="360" w:lineRule="auto"/>
        <w:rPr>
          <w:rFonts w:cs="Times New Roman"/>
        </w:rPr>
      </w:pPr>
      <w:bookmarkStart w:id="80" w:name="_Toc143762287"/>
      <w:bookmarkStart w:id="81" w:name="_Toc489432958"/>
      <w:r>
        <w:rPr>
          <w:rFonts w:cs="Times New Roman"/>
        </w:rPr>
        <w:t>2.2.2评价标准</w:t>
      </w:r>
      <w:bookmarkEnd w:id="63"/>
      <w:bookmarkEnd w:id="64"/>
      <w:bookmarkEnd w:id="65"/>
      <w:bookmarkEnd w:id="66"/>
      <w:bookmarkEnd w:id="67"/>
      <w:bookmarkEnd w:id="68"/>
      <w:bookmarkEnd w:id="69"/>
      <w:bookmarkEnd w:id="70"/>
      <w:bookmarkEnd w:id="71"/>
      <w:bookmarkEnd w:id="72"/>
      <w:bookmarkEnd w:id="80"/>
      <w:bookmarkEnd w:id="81"/>
    </w:p>
    <w:p>
      <w:pPr>
        <w:pStyle w:val="831"/>
        <w:adjustRightInd w:val="0"/>
        <w:snapToGrid w:val="0"/>
        <w:spacing w:before="156" w:beforeLines="50" w:after="156" w:afterLines="50" w:line="360" w:lineRule="auto"/>
        <w:outlineLvl w:val="3"/>
        <w:rPr>
          <w:rFonts w:cs="Times New Roman"/>
        </w:rPr>
      </w:pPr>
      <w:bookmarkStart w:id="82" w:name="_Toc401478981"/>
      <w:bookmarkStart w:id="83" w:name="_Toc489432960"/>
      <w:bookmarkStart w:id="84" w:name="_Toc143762288"/>
      <w:bookmarkStart w:id="85" w:name="_Toc205715485"/>
      <w:r>
        <w:rPr>
          <w:rFonts w:cs="Times New Roman"/>
        </w:rPr>
        <w:t>2.2.2.1环境质量标准</w:t>
      </w:r>
      <w:bookmarkEnd w:id="82"/>
      <w:bookmarkEnd w:id="83"/>
      <w:bookmarkEnd w:id="84"/>
      <w:bookmarkEnd w:id="85"/>
    </w:p>
    <w:p>
      <w:pPr>
        <w:adjustRightInd w:val="0"/>
        <w:snapToGrid w:val="0"/>
        <w:spacing w:line="360" w:lineRule="auto"/>
        <w:ind w:firstLine="480" w:firstLineChars="200"/>
        <w:rPr>
          <w:sz w:val="24"/>
        </w:rPr>
      </w:pPr>
      <w:bookmarkStart w:id="86" w:name="_Toc401478982"/>
      <w:bookmarkStart w:id="87" w:name="_Toc205715486"/>
      <w:r>
        <w:rPr>
          <w:sz w:val="24"/>
        </w:rPr>
        <w:fldChar w:fldCharType="begin"/>
      </w:r>
      <w:r>
        <w:rPr>
          <w:sz w:val="24"/>
        </w:rPr>
        <w:instrText xml:space="preserve"> = 1 \* Arabic </w:instrText>
      </w:r>
      <w:r>
        <w:rPr>
          <w:sz w:val="24"/>
        </w:rPr>
        <w:fldChar w:fldCharType="separate"/>
      </w:r>
      <w:r>
        <w:rPr>
          <w:sz w:val="24"/>
        </w:rPr>
        <w:t>1</w:t>
      </w:r>
      <w:r>
        <w:rPr>
          <w:sz w:val="24"/>
        </w:rPr>
        <w:fldChar w:fldCharType="end"/>
      </w:r>
      <w:r>
        <w:rPr>
          <w:sz w:val="24"/>
        </w:rPr>
        <w:t>、环境空气</w:t>
      </w:r>
    </w:p>
    <w:p>
      <w:pPr>
        <w:pStyle w:val="825"/>
        <w:adjustRightInd w:val="0"/>
        <w:snapToGrid w:val="0"/>
        <w:ind w:firstLine="480"/>
        <w:rPr>
          <w:rFonts w:ascii="宋体" w:cs="宋体"/>
        </w:rPr>
      </w:pPr>
      <w:r>
        <w:t>项目所在区域的大气环境功能区划为二类区，其空气质量执行《环境空气质量标准》(GB3095-2012)的二级标准； NH</w:t>
      </w:r>
      <w:r>
        <w:rPr>
          <w:vertAlign w:val="subscript"/>
        </w:rPr>
        <w:t>3</w:t>
      </w:r>
      <w:r>
        <w:t>、H</w:t>
      </w:r>
      <w:r>
        <w:rPr>
          <w:vertAlign w:val="subscript"/>
        </w:rPr>
        <w:t>2</w:t>
      </w:r>
      <w:r>
        <w:t>S执行《环境影响评价技术导则-大气环境》（HJ2.2-2018）附录D 中表D.1 其他污染物空气质量浓度参考限值；臭气浓度参照执行《恶臭污染物排放标准》（GB14554-93）新改扩建厂界二级标准。具体标准值见表2.2-1。</w:t>
      </w:r>
    </w:p>
    <w:p>
      <w:pPr>
        <w:spacing w:line="360" w:lineRule="exact"/>
        <w:ind w:firstLine="466"/>
        <w:jc w:val="center"/>
        <w:rPr>
          <w:b/>
          <w:bCs/>
          <w:spacing w:val="-4"/>
          <w:sz w:val="24"/>
        </w:rPr>
      </w:pPr>
    </w:p>
    <w:p>
      <w:pPr>
        <w:spacing w:line="360" w:lineRule="exact"/>
        <w:ind w:firstLine="466"/>
        <w:jc w:val="center"/>
        <w:rPr>
          <w:b/>
          <w:bCs/>
          <w:spacing w:val="-4"/>
          <w:sz w:val="24"/>
        </w:rPr>
      </w:pPr>
      <w:r>
        <w:rPr>
          <w:b/>
          <w:bCs/>
          <w:spacing w:val="-4"/>
          <w:sz w:val="24"/>
        </w:rPr>
        <w:t>表2.2-1   环境空气质量标准</w:t>
      </w:r>
    </w:p>
    <w:tbl>
      <w:tblPr>
        <w:tblStyle w:val="87"/>
        <w:tblW w:w="481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6"/>
        <w:gridCol w:w="2832"/>
        <w:gridCol w:w="1138"/>
        <w:gridCol w:w="993"/>
        <w:gridCol w:w="1341"/>
        <w:gridCol w:w="10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restart"/>
            <w:vAlign w:val="center"/>
          </w:tcPr>
          <w:p>
            <w:pPr>
              <w:jc w:val="center"/>
              <w:rPr>
                <w:szCs w:val="21"/>
              </w:rPr>
            </w:pPr>
            <w:r>
              <w:rPr>
                <w:szCs w:val="21"/>
              </w:rPr>
              <w:t>环境要素</w:t>
            </w:r>
          </w:p>
        </w:tc>
        <w:tc>
          <w:tcPr>
            <w:tcW w:w="1725" w:type="pct"/>
            <w:vMerge w:val="restart"/>
            <w:vAlign w:val="center"/>
          </w:tcPr>
          <w:p>
            <w:pPr>
              <w:jc w:val="center"/>
              <w:rPr>
                <w:szCs w:val="21"/>
              </w:rPr>
            </w:pPr>
            <w:r>
              <w:rPr>
                <w:szCs w:val="21"/>
              </w:rPr>
              <w:t>标准名称及级（类）别</w:t>
            </w:r>
          </w:p>
        </w:tc>
        <w:tc>
          <w:tcPr>
            <w:tcW w:w="693" w:type="pct"/>
            <w:vMerge w:val="restart"/>
            <w:vAlign w:val="center"/>
          </w:tcPr>
          <w:p>
            <w:pPr>
              <w:ind w:firstLine="44"/>
              <w:jc w:val="center"/>
              <w:rPr>
                <w:szCs w:val="21"/>
              </w:rPr>
            </w:pPr>
            <w:r>
              <w:rPr>
                <w:szCs w:val="21"/>
              </w:rPr>
              <w:t>项目</w:t>
            </w:r>
          </w:p>
        </w:tc>
        <w:tc>
          <w:tcPr>
            <w:tcW w:w="2091" w:type="pct"/>
            <w:gridSpan w:val="3"/>
            <w:vAlign w:val="center"/>
          </w:tcPr>
          <w:p>
            <w:pPr>
              <w:ind w:firstLine="480"/>
              <w:jc w:val="center"/>
              <w:rPr>
                <w:szCs w:val="21"/>
              </w:rPr>
            </w:pPr>
            <w:r>
              <w:rPr>
                <w:szCs w:val="21"/>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ind w:firstLine="480"/>
              <w:jc w:val="center"/>
              <w:rPr>
                <w:szCs w:val="21"/>
              </w:rPr>
            </w:pPr>
          </w:p>
        </w:tc>
        <w:tc>
          <w:tcPr>
            <w:tcW w:w="605" w:type="pct"/>
            <w:vAlign w:val="center"/>
          </w:tcPr>
          <w:p>
            <w:pPr>
              <w:jc w:val="center"/>
              <w:rPr>
                <w:szCs w:val="21"/>
              </w:rPr>
            </w:pPr>
            <w:r>
              <w:rPr>
                <w:szCs w:val="21"/>
              </w:rPr>
              <w:t>单位</w:t>
            </w:r>
          </w:p>
        </w:tc>
        <w:tc>
          <w:tcPr>
            <w:tcW w:w="1486" w:type="pct"/>
            <w:gridSpan w:val="2"/>
            <w:vAlign w:val="center"/>
          </w:tcPr>
          <w:p>
            <w:pPr>
              <w:ind w:firstLine="480"/>
              <w:jc w:val="center"/>
              <w:rPr>
                <w:szCs w:val="21"/>
              </w:rPr>
            </w:pPr>
            <w:r>
              <w:rPr>
                <w:szCs w:val="21"/>
              </w:rPr>
              <w:t>数值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restart"/>
            <w:vAlign w:val="center"/>
          </w:tcPr>
          <w:p>
            <w:pPr>
              <w:jc w:val="center"/>
              <w:rPr>
                <w:szCs w:val="21"/>
              </w:rPr>
            </w:pPr>
            <w:r>
              <w:rPr>
                <w:szCs w:val="21"/>
              </w:rPr>
              <w:t>环境空气</w:t>
            </w:r>
          </w:p>
        </w:tc>
        <w:tc>
          <w:tcPr>
            <w:tcW w:w="1725" w:type="pct"/>
            <w:vMerge w:val="restart"/>
            <w:vAlign w:val="center"/>
          </w:tcPr>
          <w:p>
            <w:pPr>
              <w:jc w:val="center"/>
              <w:rPr>
                <w:szCs w:val="21"/>
              </w:rPr>
            </w:pPr>
            <w:r>
              <w:rPr>
                <w:szCs w:val="21"/>
              </w:rPr>
              <w:t>《环境空气质量标准》（GB3095-2012）二级标准</w:t>
            </w:r>
          </w:p>
        </w:tc>
        <w:tc>
          <w:tcPr>
            <w:tcW w:w="693" w:type="pct"/>
            <w:vMerge w:val="restart"/>
            <w:vAlign w:val="center"/>
          </w:tcPr>
          <w:p>
            <w:pPr>
              <w:jc w:val="center"/>
              <w:rPr>
                <w:szCs w:val="21"/>
              </w:rPr>
            </w:pPr>
            <w:r>
              <w:rPr>
                <w:szCs w:val="21"/>
              </w:rPr>
              <w:t>SO</w:t>
            </w:r>
            <w:r>
              <w:rPr>
                <w:szCs w:val="21"/>
                <w:vertAlign w:val="subscript"/>
              </w:rPr>
              <w:t>2</w:t>
            </w:r>
          </w:p>
        </w:tc>
        <w:tc>
          <w:tcPr>
            <w:tcW w:w="605" w:type="pct"/>
            <w:vMerge w:val="restart"/>
            <w:vAlign w:val="center"/>
          </w:tcPr>
          <w:p>
            <w:pPr>
              <w:rPr>
                <w:szCs w:val="21"/>
              </w:rPr>
            </w:pPr>
          </w:p>
          <w:p>
            <w:pPr>
              <w:jc w:val="center"/>
              <w:rPr>
                <w:szCs w:val="21"/>
              </w:rPr>
            </w:pPr>
            <w:r>
              <w:rPr>
                <w:rFonts w:hint="eastAsia"/>
                <w:szCs w:val="21"/>
              </w:rPr>
              <w:t>u</w:t>
            </w:r>
            <w:r>
              <w:rPr>
                <w:szCs w:val="21"/>
              </w:rPr>
              <w:t>g/m</w:t>
            </w:r>
            <w:r>
              <w:rPr>
                <w:szCs w:val="21"/>
                <w:vertAlign w:val="superscript"/>
              </w:rPr>
              <w:t>3</w:t>
            </w:r>
          </w:p>
          <w:p>
            <w:pPr>
              <w:jc w:val="center"/>
              <w:rPr>
                <w:szCs w:val="21"/>
              </w:rPr>
            </w:pPr>
          </w:p>
        </w:tc>
        <w:tc>
          <w:tcPr>
            <w:tcW w:w="817" w:type="pct"/>
            <w:vAlign w:val="center"/>
          </w:tcPr>
          <w:p>
            <w:pPr>
              <w:jc w:val="center"/>
              <w:rPr>
                <w:szCs w:val="21"/>
              </w:rPr>
            </w:pPr>
            <w:r>
              <w:rPr>
                <w:szCs w:val="21"/>
              </w:rPr>
              <w:t>小时平均</w:t>
            </w:r>
          </w:p>
        </w:tc>
        <w:tc>
          <w:tcPr>
            <w:tcW w:w="669" w:type="pct"/>
            <w:vAlign w:val="center"/>
          </w:tcPr>
          <w:p>
            <w:pPr>
              <w:jc w:val="center"/>
              <w:rPr>
                <w:szCs w:val="21"/>
              </w:rPr>
            </w:pPr>
            <w:r>
              <w:rPr>
                <w:szCs w:val="21"/>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ind w:firstLine="480"/>
              <w:jc w:val="center"/>
              <w:rPr>
                <w:szCs w:val="21"/>
              </w:rPr>
            </w:pPr>
          </w:p>
        </w:tc>
        <w:tc>
          <w:tcPr>
            <w:tcW w:w="605" w:type="pct"/>
            <w:vMerge w:val="continue"/>
            <w:vAlign w:val="center"/>
          </w:tcPr>
          <w:p>
            <w:pPr>
              <w:jc w:val="center"/>
              <w:rPr>
                <w:szCs w:val="21"/>
              </w:rPr>
            </w:pPr>
          </w:p>
        </w:tc>
        <w:tc>
          <w:tcPr>
            <w:tcW w:w="817" w:type="pct"/>
            <w:vAlign w:val="center"/>
          </w:tcPr>
          <w:p>
            <w:pPr>
              <w:jc w:val="center"/>
              <w:rPr>
                <w:szCs w:val="21"/>
              </w:rPr>
            </w:pPr>
            <w:r>
              <w:rPr>
                <w:szCs w:val="21"/>
              </w:rPr>
              <w:t>日平均</w:t>
            </w:r>
          </w:p>
        </w:tc>
        <w:tc>
          <w:tcPr>
            <w:tcW w:w="669" w:type="pct"/>
            <w:vAlign w:val="center"/>
          </w:tcPr>
          <w:p>
            <w:pPr>
              <w:jc w:val="center"/>
              <w:rPr>
                <w:szCs w:val="21"/>
              </w:rPr>
            </w:pPr>
            <w:r>
              <w:rPr>
                <w:szCs w:val="21"/>
              </w:rPr>
              <w:t>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ind w:firstLine="480"/>
              <w:jc w:val="center"/>
              <w:rPr>
                <w:szCs w:val="21"/>
              </w:rPr>
            </w:pPr>
          </w:p>
        </w:tc>
        <w:tc>
          <w:tcPr>
            <w:tcW w:w="605" w:type="pct"/>
            <w:vMerge w:val="continue"/>
            <w:vAlign w:val="center"/>
          </w:tcPr>
          <w:p>
            <w:pPr>
              <w:jc w:val="center"/>
              <w:rPr>
                <w:szCs w:val="21"/>
              </w:rPr>
            </w:pPr>
          </w:p>
        </w:tc>
        <w:tc>
          <w:tcPr>
            <w:tcW w:w="817" w:type="pct"/>
            <w:vAlign w:val="center"/>
          </w:tcPr>
          <w:p>
            <w:pPr>
              <w:jc w:val="center"/>
              <w:rPr>
                <w:szCs w:val="21"/>
              </w:rPr>
            </w:pPr>
            <w:r>
              <w:rPr>
                <w:szCs w:val="21"/>
              </w:rPr>
              <w:t>年平均</w:t>
            </w:r>
          </w:p>
        </w:tc>
        <w:tc>
          <w:tcPr>
            <w:tcW w:w="669" w:type="pct"/>
            <w:vAlign w:val="center"/>
          </w:tcPr>
          <w:p>
            <w:pPr>
              <w:jc w:val="center"/>
              <w:rPr>
                <w:szCs w:val="21"/>
              </w:rPr>
            </w:pPr>
            <w:r>
              <w:rPr>
                <w:szCs w:val="21"/>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restart"/>
            <w:vAlign w:val="center"/>
          </w:tcPr>
          <w:p>
            <w:pPr>
              <w:jc w:val="center"/>
              <w:rPr>
                <w:szCs w:val="21"/>
              </w:rPr>
            </w:pPr>
            <w:r>
              <w:rPr>
                <w:szCs w:val="21"/>
              </w:rPr>
              <w:t>NO</w:t>
            </w:r>
            <w:r>
              <w:rPr>
                <w:szCs w:val="21"/>
                <w:vertAlign w:val="subscript"/>
              </w:rPr>
              <w:t>2</w:t>
            </w:r>
          </w:p>
        </w:tc>
        <w:tc>
          <w:tcPr>
            <w:tcW w:w="605" w:type="pct"/>
            <w:vMerge w:val="continue"/>
            <w:vAlign w:val="center"/>
          </w:tcPr>
          <w:p>
            <w:pPr>
              <w:jc w:val="center"/>
              <w:rPr>
                <w:szCs w:val="21"/>
              </w:rPr>
            </w:pPr>
          </w:p>
        </w:tc>
        <w:tc>
          <w:tcPr>
            <w:tcW w:w="817" w:type="pct"/>
            <w:vAlign w:val="center"/>
          </w:tcPr>
          <w:p>
            <w:pPr>
              <w:jc w:val="center"/>
              <w:rPr>
                <w:szCs w:val="21"/>
              </w:rPr>
            </w:pPr>
            <w:r>
              <w:rPr>
                <w:szCs w:val="21"/>
              </w:rPr>
              <w:t>小时平均</w:t>
            </w:r>
          </w:p>
        </w:tc>
        <w:tc>
          <w:tcPr>
            <w:tcW w:w="669" w:type="pct"/>
            <w:vAlign w:val="center"/>
          </w:tcPr>
          <w:p>
            <w:pPr>
              <w:jc w:val="center"/>
              <w:rPr>
                <w:szCs w:val="21"/>
              </w:rPr>
            </w:pPr>
            <w:r>
              <w:rPr>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ind w:firstLine="480"/>
              <w:jc w:val="center"/>
              <w:rPr>
                <w:szCs w:val="21"/>
              </w:rPr>
            </w:pPr>
          </w:p>
        </w:tc>
        <w:tc>
          <w:tcPr>
            <w:tcW w:w="605" w:type="pct"/>
            <w:vMerge w:val="continue"/>
            <w:vAlign w:val="center"/>
          </w:tcPr>
          <w:p>
            <w:pPr>
              <w:jc w:val="center"/>
              <w:rPr>
                <w:szCs w:val="21"/>
              </w:rPr>
            </w:pPr>
          </w:p>
        </w:tc>
        <w:tc>
          <w:tcPr>
            <w:tcW w:w="817" w:type="pct"/>
            <w:vAlign w:val="center"/>
          </w:tcPr>
          <w:p>
            <w:pPr>
              <w:jc w:val="center"/>
              <w:rPr>
                <w:szCs w:val="21"/>
              </w:rPr>
            </w:pPr>
            <w:r>
              <w:rPr>
                <w:szCs w:val="21"/>
              </w:rPr>
              <w:t>日平均</w:t>
            </w:r>
          </w:p>
        </w:tc>
        <w:tc>
          <w:tcPr>
            <w:tcW w:w="669" w:type="pct"/>
            <w:vAlign w:val="center"/>
          </w:tcPr>
          <w:p>
            <w:pPr>
              <w:jc w:val="center"/>
              <w:rPr>
                <w:szCs w:val="21"/>
              </w:rPr>
            </w:pPr>
            <w:r>
              <w:rPr>
                <w:szCs w:val="21"/>
              </w:rPr>
              <w:t>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restart"/>
            <w:vAlign w:val="center"/>
          </w:tcPr>
          <w:p>
            <w:pPr>
              <w:jc w:val="center"/>
              <w:rPr>
                <w:szCs w:val="21"/>
              </w:rPr>
            </w:pPr>
            <w:r>
              <w:rPr>
                <w:szCs w:val="21"/>
              </w:rPr>
              <w:t>TSP</w:t>
            </w:r>
          </w:p>
        </w:tc>
        <w:tc>
          <w:tcPr>
            <w:tcW w:w="605" w:type="pct"/>
            <w:vMerge w:val="continue"/>
            <w:vAlign w:val="center"/>
          </w:tcPr>
          <w:p>
            <w:pPr>
              <w:jc w:val="center"/>
              <w:rPr>
                <w:szCs w:val="21"/>
              </w:rPr>
            </w:pPr>
          </w:p>
        </w:tc>
        <w:tc>
          <w:tcPr>
            <w:tcW w:w="817" w:type="pct"/>
            <w:vAlign w:val="center"/>
          </w:tcPr>
          <w:p>
            <w:pPr>
              <w:jc w:val="center"/>
              <w:rPr>
                <w:szCs w:val="21"/>
              </w:rPr>
            </w:pPr>
            <w:r>
              <w:rPr>
                <w:szCs w:val="21"/>
              </w:rPr>
              <w:t>日平均</w:t>
            </w:r>
          </w:p>
        </w:tc>
        <w:tc>
          <w:tcPr>
            <w:tcW w:w="669" w:type="pct"/>
            <w:vAlign w:val="center"/>
          </w:tcPr>
          <w:p>
            <w:pPr>
              <w:jc w:val="center"/>
              <w:rPr>
                <w:szCs w:val="21"/>
              </w:rPr>
            </w:pPr>
            <w:r>
              <w:rPr>
                <w:szCs w:val="21"/>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jc w:val="center"/>
              <w:rPr>
                <w:szCs w:val="21"/>
              </w:rPr>
            </w:pPr>
          </w:p>
        </w:tc>
        <w:tc>
          <w:tcPr>
            <w:tcW w:w="605" w:type="pct"/>
            <w:vMerge w:val="continue"/>
            <w:vAlign w:val="center"/>
          </w:tcPr>
          <w:p>
            <w:pPr>
              <w:jc w:val="center"/>
              <w:rPr>
                <w:szCs w:val="21"/>
              </w:rPr>
            </w:pPr>
          </w:p>
        </w:tc>
        <w:tc>
          <w:tcPr>
            <w:tcW w:w="817" w:type="pct"/>
            <w:vAlign w:val="center"/>
          </w:tcPr>
          <w:p>
            <w:pPr>
              <w:jc w:val="center"/>
              <w:rPr>
                <w:szCs w:val="21"/>
              </w:rPr>
            </w:pPr>
            <w:r>
              <w:rPr>
                <w:szCs w:val="21"/>
              </w:rPr>
              <w:t>年平均</w:t>
            </w:r>
          </w:p>
        </w:tc>
        <w:tc>
          <w:tcPr>
            <w:tcW w:w="669" w:type="pct"/>
            <w:vAlign w:val="center"/>
          </w:tcPr>
          <w:p>
            <w:pPr>
              <w:jc w:val="center"/>
              <w:rPr>
                <w:szCs w:val="21"/>
              </w:rPr>
            </w:pPr>
            <w:r>
              <w:rPr>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restart"/>
            <w:vAlign w:val="center"/>
          </w:tcPr>
          <w:p>
            <w:pPr>
              <w:jc w:val="center"/>
              <w:rPr>
                <w:szCs w:val="21"/>
              </w:rPr>
            </w:pPr>
            <w:r>
              <w:rPr>
                <w:szCs w:val="21"/>
              </w:rPr>
              <w:t>PM</w:t>
            </w:r>
            <w:r>
              <w:rPr>
                <w:szCs w:val="21"/>
                <w:vertAlign w:val="subscript"/>
              </w:rPr>
              <w:t>10</w:t>
            </w:r>
          </w:p>
        </w:tc>
        <w:tc>
          <w:tcPr>
            <w:tcW w:w="605" w:type="pct"/>
            <w:vMerge w:val="continue"/>
            <w:vAlign w:val="center"/>
          </w:tcPr>
          <w:p>
            <w:pPr>
              <w:jc w:val="center"/>
              <w:rPr>
                <w:szCs w:val="21"/>
              </w:rPr>
            </w:pPr>
          </w:p>
        </w:tc>
        <w:tc>
          <w:tcPr>
            <w:tcW w:w="817" w:type="pct"/>
            <w:vAlign w:val="center"/>
          </w:tcPr>
          <w:p>
            <w:pPr>
              <w:jc w:val="center"/>
              <w:rPr>
                <w:szCs w:val="21"/>
              </w:rPr>
            </w:pPr>
            <w:r>
              <w:rPr>
                <w:szCs w:val="21"/>
              </w:rPr>
              <w:t>日平均</w:t>
            </w:r>
          </w:p>
        </w:tc>
        <w:tc>
          <w:tcPr>
            <w:tcW w:w="669" w:type="pct"/>
            <w:vAlign w:val="center"/>
          </w:tcPr>
          <w:p>
            <w:pPr>
              <w:jc w:val="center"/>
              <w:rPr>
                <w:szCs w:val="21"/>
              </w:rPr>
            </w:pPr>
            <w:r>
              <w:rPr>
                <w:szCs w:val="21"/>
              </w:rPr>
              <w:t>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jc w:val="center"/>
              <w:rPr>
                <w:szCs w:val="21"/>
              </w:rPr>
            </w:pPr>
          </w:p>
        </w:tc>
        <w:tc>
          <w:tcPr>
            <w:tcW w:w="605" w:type="pct"/>
            <w:vMerge w:val="continue"/>
            <w:vAlign w:val="center"/>
          </w:tcPr>
          <w:p>
            <w:pPr>
              <w:jc w:val="center"/>
              <w:rPr>
                <w:szCs w:val="21"/>
              </w:rPr>
            </w:pPr>
          </w:p>
        </w:tc>
        <w:tc>
          <w:tcPr>
            <w:tcW w:w="817" w:type="pct"/>
            <w:vAlign w:val="center"/>
          </w:tcPr>
          <w:p>
            <w:pPr>
              <w:jc w:val="center"/>
              <w:rPr>
                <w:szCs w:val="21"/>
              </w:rPr>
            </w:pPr>
            <w:r>
              <w:rPr>
                <w:szCs w:val="21"/>
              </w:rPr>
              <w:t>年平均</w:t>
            </w:r>
          </w:p>
        </w:tc>
        <w:tc>
          <w:tcPr>
            <w:tcW w:w="669" w:type="pct"/>
            <w:vAlign w:val="center"/>
          </w:tcPr>
          <w:p>
            <w:pPr>
              <w:jc w:val="center"/>
              <w:rPr>
                <w:szCs w:val="21"/>
              </w:rPr>
            </w:pPr>
            <w:r>
              <w:rPr>
                <w:szCs w:val="21"/>
              </w:rPr>
              <w:t>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restart"/>
            <w:vAlign w:val="center"/>
          </w:tcPr>
          <w:p>
            <w:pPr>
              <w:jc w:val="center"/>
              <w:rPr>
                <w:szCs w:val="21"/>
              </w:rPr>
            </w:pPr>
            <w:r>
              <w:rPr>
                <w:szCs w:val="21"/>
              </w:rPr>
              <w:t>PM</w:t>
            </w:r>
            <w:r>
              <w:rPr>
                <w:szCs w:val="21"/>
                <w:vertAlign w:val="subscript"/>
              </w:rPr>
              <w:t>2.5</w:t>
            </w:r>
          </w:p>
        </w:tc>
        <w:tc>
          <w:tcPr>
            <w:tcW w:w="605" w:type="pct"/>
            <w:vMerge w:val="continue"/>
            <w:vAlign w:val="center"/>
          </w:tcPr>
          <w:p>
            <w:pPr>
              <w:jc w:val="center"/>
              <w:rPr>
                <w:szCs w:val="21"/>
              </w:rPr>
            </w:pPr>
          </w:p>
        </w:tc>
        <w:tc>
          <w:tcPr>
            <w:tcW w:w="817" w:type="pct"/>
            <w:vAlign w:val="center"/>
          </w:tcPr>
          <w:p>
            <w:pPr>
              <w:jc w:val="center"/>
              <w:rPr>
                <w:szCs w:val="21"/>
              </w:rPr>
            </w:pPr>
            <w:r>
              <w:rPr>
                <w:szCs w:val="21"/>
              </w:rPr>
              <w:t>日平均</w:t>
            </w:r>
          </w:p>
        </w:tc>
        <w:tc>
          <w:tcPr>
            <w:tcW w:w="669" w:type="pct"/>
            <w:vAlign w:val="center"/>
          </w:tcPr>
          <w:p>
            <w:pPr>
              <w:jc w:val="center"/>
              <w:rPr>
                <w:szCs w:val="21"/>
              </w:rPr>
            </w:pPr>
            <w:r>
              <w:rPr>
                <w:szCs w:val="21"/>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jc w:val="center"/>
              <w:rPr>
                <w:szCs w:val="21"/>
              </w:rPr>
            </w:pPr>
          </w:p>
        </w:tc>
        <w:tc>
          <w:tcPr>
            <w:tcW w:w="605" w:type="pct"/>
            <w:vMerge w:val="continue"/>
            <w:vAlign w:val="center"/>
          </w:tcPr>
          <w:p>
            <w:pPr>
              <w:jc w:val="center"/>
              <w:rPr>
                <w:szCs w:val="21"/>
              </w:rPr>
            </w:pPr>
          </w:p>
        </w:tc>
        <w:tc>
          <w:tcPr>
            <w:tcW w:w="817" w:type="pct"/>
            <w:vAlign w:val="center"/>
          </w:tcPr>
          <w:p>
            <w:pPr>
              <w:jc w:val="center"/>
              <w:rPr>
                <w:szCs w:val="21"/>
              </w:rPr>
            </w:pPr>
            <w:r>
              <w:rPr>
                <w:szCs w:val="21"/>
              </w:rPr>
              <w:t>年平均</w:t>
            </w:r>
          </w:p>
        </w:tc>
        <w:tc>
          <w:tcPr>
            <w:tcW w:w="669" w:type="pct"/>
            <w:vAlign w:val="center"/>
          </w:tcPr>
          <w:p>
            <w:pPr>
              <w:jc w:val="center"/>
              <w:rPr>
                <w:szCs w:val="21"/>
              </w:rPr>
            </w:pPr>
            <w:r>
              <w:rPr>
                <w:szCs w:val="21"/>
              </w:rPr>
              <w:t>35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restart"/>
            <w:vAlign w:val="center"/>
          </w:tcPr>
          <w:p>
            <w:pPr>
              <w:jc w:val="center"/>
              <w:rPr>
                <w:szCs w:val="21"/>
              </w:rPr>
            </w:pPr>
            <w:r>
              <w:rPr>
                <w:szCs w:val="21"/>
              </w:rPr>
              <w:t>CO</w:t>
            </w:r>
          </w:p>
        </w:tc>
        <w:tc>
          <w:tcPr>
            <w:tcW w:w="605" w:type="pct"/>
            <w:vMerge w:val="continue"/>
            <w:vAlign w:val="center"/>
          </w:tcPr>
          <w:p>
            <w:pPr>
              <w:jc w:val="center"/>
              <w:rPr>
                <w:szCs w:val="21"/>
              </w:rPr>
            </w:pPr>
          </w:p>
        </w:tc>
        <w:tc>
          <w:tcPr>
            <w:tcW w:w="817" w:type="pct"/>
            <w:vAlign w:val="center"/>
          </w:tcPr>
          <w:p>
            <w:pPr>
              <w:pStyle w:val="405"/>
              <w:rPr>
                <w:rFonts w:hAnsi="Times New Roman"/>
              </w:rPr>
            </w:pPr>
            <w:r>
              <w:rPr>
                <w:rFonts w:hAnsi="Times New Roman"/>
              </w:rPr>
              <w:t>小时平均</w:t>
            </w:r>
          </w:p>
        </w:tc>
        <w:tc>
          <w:tcPr>
            <w:tcW w:w="669" w:type="pct"/>
            <w:vAlign w:val="center"/>
          </w:tcPr>
          <w:p>
            <w:pPr>
              <w:pStyle w:val="405"/>
              <w:rPr>
                <w:rFonts w:hAnsi="Times New Roman"/>
              </w:rPr>
            </w:pPr>
            <w:r>
              <w:rPr>
                <w:rFonts w:hAnsi="Times New Roman"/>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jc w:val="center"/>
              <w:rPr>
                <w:szCs w:val="21"/>
              </w:rPr>
            </w:pPr>
          </w:p>
        </w:tc>
        <w:tc>
          <w:tcPr>
            <w:tcW w:w="605" w:type="pct"/>
            <w:vMerge w:val="continue"/>
            <w:vAlign w:val="center"/>
          </w:tcPr>
          <w:p>
            <w:pPr>
              <w:jc w:val="center"/>
              <w:rPr>
                <w:szCs w:val="21"/>
              </w:rPr>
            </w:pPr>
          </w:p>
        </w:tc>
        <w:tc>
          <w:tcPr>
            <w:tcW w:w="817" w:type="pct"/>
            <w:vAlign w:val="center"/>
          </w:tcPr>
          <w:p>
            <w:pPr>
              <w:pStyle w:val="405"/>
              <w:rPr>
                <w:rFonts w:hAnsi="Times New Roman"/>
              </w:rPr>
            </w:pPr>
            <w:r>
              <w:rPr>
                <w:rFonts w:hAnsi="Times New Roman"/>
              </w:rPr>
              <w:t>日平均</w:t>
            </w:r>
          </w:p>
        </w:tc>
        <w:tc>
          <w:tcPr>
            <w:tcW w:w="669" w:type="pct"/>
            <w:vAlign w:val="center"/>
          </w:tcPr>
          <w:p>
            <w:pPr>
              <w:pStyle w:val="405"/>
              <w:rPr>
                <w:rFonts w:hAnsi="Times New Roman"/>
              </w:rPr>
            </w:pPr>
            <w:r>
              <w:rPr>
                <w:rFonts w:hAnsi="Times New Roman"/>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restart"/>
            <w:vAlign w:val="center"/>
          </w:tcPr>
          <w:p>
            <w:pPr>
              <w:jc w:val="center"/>
              <w:rPr>
                <w:szCs w:val="21"/>
              </w:rPr>
            </w:pPr>
            <w:r>
              <w:rPr>
                <w:bCs/>
                <w:snapToGrid w:val="0"/>
                <w:kern w:val="24"/>
                <w:szCs w:val="21"/>
              </w:rPr>
              <w:t>O</w:t>
            </w:r>
            <w:r>
              <w:rPr>
                <w:bCs/>
                <w:snapToGrid w:val="0"/>
                <w:kern w:val="24"/>
                <w:szCs w:val="21"/>
                <w:vertAlign w:val="subscript"/>
              </w:rPr>
              <w:t>3</w:t>
            </w:r>
          </w:p>
        </w:tc>
        <w:tc>
          <w:tcPr>
            <w:tcW w:w="605" w:type="pct"/>
            <w:vMerge w:val="continue"/>
            <w:vAlign w:val="center"/>
          </w:tcPr>
          <w:p>
            <w:pPr>
              <w:jc w:val="center"/>
              <w:rPr>
                <w:szCs w:val="21"/>
              </w:rPr>
            </w:pPr>
          </w:p>
        </w:tc>
        <w:tc>
          <w:tcPr>
            <w:tcW w:w="817" w:type="pct"/>
            <w:vAlign w:val="center"/>
          </w:tcPr>
          <w:p>
            <w:pPr>
              <w:pStyle w:val="405"/>
              <w:rPr>
                <w:rFonts w:hAnsi="Times New Roman"/>
              </w:rPr>
            </w:pPr>
            <w:r>
              <w:rPr>
                <w:rFonts w:hAnsi="Times New Roman"/>
              </w:rPr>
              <w:t>日最大8小时平均</w:t>
            </w:r>
          </w:p>
        </w:tc>
        <w:tc>
          <w:tcPr>
            <w:tcW w:w="669" w:type="pct"/>
            <w:vAlign w:val="center"/>
          </w:tcPr>
          <w:p>
            <w:pPr>
              <w:pStyle w:val="405"/>
              <w:rPr>
                <w:rFonts w:hAnsi="Times New Roman"/>
              </w:rPr>
            </w:pPr>
            <w:r>
              <w:rPr>
                <w:rFonts w:hAnsi="Times New Roman"/>
              </w:rPr>
              <w:t>160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vAlign w:val="center"/>
          </w:tcPr>
          <w:p>
            <w:pPr>
              <w:ind w:firstLine="480"/>
              <w:jc w:val="center"/>
              <w:rPr>
                <w:szCs w:val="21"/>
              </w:rPr>
            </w:pPr>
          </w:p>
        </w:tc>
        <w:tc>
          <w:tcPr>
            <w:tcW w:w="693" w:type="pct"/>
            <w:vMerge w:val="continue"/>
            <w:vAlign w:val="center"/>
          </w:tcPr>
          <w:p>
            <w:pPr>
              <w:jc w:val="center"/>
              <w:rPr>
                <w:szCs w:val="21"/>
              </w:rPr>
            </w:pPr>
          </w:p>
        </w:tc>
        <w:tc>
          <w:tcPr>
            <w:tcW w:w="605" w:type="pct"/>
            <w:vMerge w:val="continue"/>
            <w:tcBorders>
              <w:bottom w:val="single" w:color="auto" w:sz="4" w:space="0"/>
            </w:tcBorders>
            <w:vAlign w:val="center"/>
          </w:tcPr>
          <w:p>
            <w:pPr>
              <w:jc w:val="center"/>
              <w:rPr>
                <w:szCs w:val="21"/>
              </w:rPr>
            </w:pPr>
          </w:p>
        </w:tc>
        <w:tc>
          <w:tcPr>
            <w:tcW w:w="817" w:type="pct"/>
            <w:tcBorders>
              <w:bottom w:val="single" w:color="auto" w:sz="4" w:space="0"/>
            </w:tcBorders>
            <w:vAlign w:val="center"/>
          </w:tcPr>
          <w:p>
            <w:pPr>
              <w:pStyle w:val="405"/>
              <w:rPr>
                <w:rFonts w:hAnsi="Times New Roman"/>
              </w:rPr>
            </w:pPr>
            <w:r>
              <w:rPr>
                <w:rFonts w:hAnsi="Times New Roman"/>
              </w:rPr>
              <w:t>小时平均</w:t>
            </w:r>
          </w:p>
        </w:tc>
        <w:tc>
          <w:tcPr>
            <w:tcW w:w="669" w:type="pct"/>
            <w:vAlign w:val="center"/>
          </w:tcPr>
          <w:p>
            <w:pPr>
              <w:pStyle w:val="405"/>
              <w:rPr>
                <w:rFonts w:hAnsi="Times New Roman"/>
              </w:rPr>
            </w:pPr>
            <w:r>
              <w:rPr>
                <w:rFonts w:hAnsi="Times New Roman"/>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restart"/>
          </w:tcPr>
          <w:p>
            <w:pPr>
              <w:rPr>
                <w:szCs w:val="21"/>
              </w:rPr>
            </w:pPr>
            <w:r>
              <w:t>《环境影响评价技术导则-大气环境》（HJ2.2-2018）附录D 中表D.1 其他污染物空气质量浓度参考限值</w:t>
            </w:r>
          </w:p>
        </w:tc>
        <w:tc>
          <w:tcPr>
            <w:tcW w:w="693" w:type="pct"/>
            <w:vAlign w:val="center"/>
          </w:tcPr>
          <w:p>
            <w:pPr>
              <w:jc w:val="center"/>
              <w:rPr>
                <w:spacing w:val="-4"/>
                <w:szCs w:val="21"/>
              </w:rPr>
            </w:pPr>
            <w:r>
              <w:rPr>
                <w:spacing w:val="-4"/>
                <w:szCs w:val="21"/>
              </w:rPr>
              <w:t>H</w:t>
            </w:r>
            <w:r>
              <w:rPr>
                <w:spacing w:val="-4"/>
                <w:szCs w:val="21"/>
                <w:vertAlign w:val="subscript"/>
              </w:rPr>
              <w:t>2</w:t>
            </w:r>
            <w:r>
              <w:rPr>
                <w:spacing w:val="-4"/>
                <w:szCs w:val="21"/>
              </w:rPr>
              <w:t>S</w:t>
            </w:r>
          </w:p>
        </w:tc>
        <w:tc>
          <w:tcPr>
            <w:tcW w:w="605" w:type="pct"/>
            <w:vMerge w:val="restart"/>
            <w:tcBorders>
              <w:top w:val="single" w:color="auto" w:sz="4" w:space="0"/>
            </w:tcBorders>
            <w:vAlign w:val="center"/>
          </w:tcPr>
          <w:p>
            <w:pPr>
              <w:jc w:val="center"/>
              <w:rPr>
                <w:szCs w:val="21"/>
              </w:rPr>
            </w:pPr>
            <w:r>
              <w:rPr>
                <w:rFonts w:hint="eastAsia"/>
                <w:szCs w:val="21"/>
              </w:rPr>
              <w:t>u</w:t>
            </w:r>
            <w:r>
              <w:rPr>
                <w:szCs w:val="21"/>
              </w:rPr>
              <w:t>g/m</w:t>
            </w:r>
            <w:r>
              <w:rPr>
                <w:szCs w:val="21"/>
                <w:vertAlign w:val="superscript"/>
              </w:rPr>
              <w:t>3</w:t>
            </w:r>
          </w:p>
        </w:tc>
        <w:tc>
          <w:tcPr>
            <w:tcW w:w="817" w:type="pct"/>
            <w:tcBorders>
              <w:top w:val="single" w:color="auto" w:sz="4" w:space="0"/>
            </w:tcBorders>
            <w:vAlign w:val="center"/>
          </w:tcPr>
          <w:p>
            <w:pPr>
              <w:jc w:val="center"/>
              <w:rPr>
                <w:spacing w:val="-4"/>
                <w:szCs w:val="21"/>
              </w:rPr>
            </w:pPr>
            <w:r>
              <w:t>小时平均</w:t>
            </w:r>
          </w:p>
        </w:tc>
        <w:tc>
          <w:tcPr>
            <w:tcW w:w="669" w:type="pct"/>
            <w:vAlign w:val="center"/>
          </w:tcPr>
          <w:p>
            <w:pPr>
              <w:jc w:val="center"/>
              <w:rPr>
                <w:spacing w:val="-4"/>
                <w:szCs w:val="21"/>
              </w:rPr>
            </w:pPr>
            <w:r>
              <w:rPr>
                <w:rFonts w:hint="eastAsia"/>
                <w:spacing w:val="-4"/>
                <w:szCs w:val="21"/>
              </w:rPr>
              <w:t>1</w:t>
            </w:r>
            <w:r>
              <w:rPr>
                <w:spacing w:val="-4"/>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vMerge w:val="continue"/>
          </w:tcPr>
          <w:p>
            <w:pPr>
              <w:ind w:firstLine="480"/>
              <w:jc w:val="center"/>
              <w:rPr>
                <w:szCs w:val="21"/>
              </w:rPr>
            </w:pPr>
          </w:p>
        </w:tc>
        <w:tc>
          <w:tcPr>
            <w:tcW w:w="693" w:type="pct"/>
            <w:vAlign w:val="center"/>
          </w:tcPr>
          <w:p>
            <w:pPr>
              <w:jc w:val="center"/>
              <w:rPr>
                <w:spacing w:val="-4"/>
                <w:szCs w:val="21"/>
              </w:rPr>
            </w:pPr>
            <w:r>
              <w:rPr>
                <w:spacing w:val="-4"/>
                <w:szCs w:val="21"/>
              </w:rPr>
              <w:t>NH</w:t>
            </w:r>
            <w:r>
              <w:rPr>
                <w:spacing w:val="-4"/>
                <w:szCs w:val="21"/>
                <w:vertAlign w:val="subscript"/>
              </w:rPr>
              <w:t>3</w:t>
            </w:r>
          </w:p>
        </w:tc>
        <w:tc>
          <w:tcPr>
            <w:tcW w:w="605" w:type="pct"/>
            <w:vMerge w:val="continue"/>
            <w:vAlign w:val="center"/>
          </w:tcPr>
          <w:p>
            <w:pPr>
              <w:jc w:val="center"/>
              <w:rPr>
                <w:szCs w:val="21"/>
              </w:rPr>
            </w:pPr>
          </w:p>
        </w:tc>
        <w:tc>
          <w:tcPr>
            <w:tcW w:w="817" w:type="pct"/>
            <w:vAlign w:val="center"/>
          </w:tcPr>
          <w:p>
            <w:pPr>
              <w:jc w:val="center"/>
              <w:rPr>
                <w:spacing w:val="-4"/>
                <w:szCs w:val="21"/>
              </w:rPr>
            </w:pPr>
            <w:r>
              <w:t>小时平均</w:t>
            </w:r>
          </w:p>
        </w:tc>
        <w:tc>
          <w:tcPr>
            <w:tcW w:w="669" w:type="pct"/>
            <w:vAlign w:val="center"/>
          </w:tcPr>
          <w:p>
            <w:pPr>
              <w:jc w:val="center"/>
              <w:rPr>
                <w:spacing w:val="-4"/>
                <w:szCs w:val="21"/>
              </w:rPr>
            </w:pPr>
            <w:r>
              <w:rPr>
                <w:rFonts w:hint="eastAsia"/>
                <w:spacing w:val="-4"/>
                <w:szCs w:val="21"/>
              </w:rPr>
              <w:t>2</w:t>
            </w:r>
            <w:r>
              <w:rPr>
                <w:spacing w:val="-4"/>
                <w:szCs w:val="21"/>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91" w:type="pct"/>
            <w:vMerge w:val="continue"/>
            <w:vAlign w:val="center"/>
          </w:tcPr>
          <w:p>
            <w:pPr>
              <w:ind w:firstLine="480"/>
              <w:jc w:val="center"/>
              <w:rPr>
                <w:szCs w:val="21"/>
              </w:rPr>
            </w:pPr>
          </w:p>
        </w:tc>
        <w:tc>
          <w:tcPr>
            <w:tcW w:w="1725" w:type="pct"/>
          </w:tcPr>
          <w:p>
            <w:pPr>
              <w:jc w:val="center"/>
              <w:rPr>
                <w:szCs w:val="21"/>
              </w:rPr>
            </w:pPr>
            <w:r>
              <w:rPr>
                <w:rFonts w:hint="eastAsia"/>
                <w:szCs w:val="21"/>
              </w:rPr>
              <w:t>《恶臭污染物排放标准》（GB14554-93）</w:t>
            </w:r>
          </w:p>
        </w:tc>
        <w:tc>
          <w:tcPr>
            <w:tcW w:w="693" w:type="pct"/>
            <w:vAlign w:val="center"/>
          </w:tcPr>
          <w:p>
            <w:pPr>
              <w:jc w:val="center"/>
              <w:rPr>
                <w:spacing w:val="-4"/>
                <w:szCs w:val="21"/>
              </w:rPr>
            </w:pPr>
            <w:r>
              <w:rPr>
                <w:rFonts w:hint="eastAsia"/>
                <w:spacing w:val="-4"/>
                <w:szCs w:val="21"/>
              </w:rPr>
              <w:t>臭气浓度</w:t>
            </w:r>
          </w:p>
        </w:tc>
        <w:tc>
          <w:tcPr>
            <w:tcW w:w="605" w:type="pct"/>
            <w:vAlign w:val="center"/>
          </w:tcPr>
          <w:p>
            <w:pPr>
              <w:jc w:val="center"/>
              <w:rPr>
                <w:szCs w:val="21"/>
              </w:rPr>
            </w:pPr>
            <w:r>
              <w:rPr>
                <w:rFonts w:hint="eastAsia"/>
                <w:szCs w:val="21"/>
              </w:rPr>
              <w:t>无量纲</w:t>
            </w:r>
          </w:p>
        </w:tc>
        <w:tc>
          <w:tcPr>
            <w:tcW w:w="817" w:type="pct"/>
            <w:vAlign w:val="center"/>
          </w:tcPr>
          <w:p>
            <w:pPr>
              <w:jc w:val="center"/>
            </w:pPr>
            <w:r>
              <w:rPr>
                <w:rFonts w:hint="eastAsia"/>
              </w:rPr>
              <w:t>一次值</w:t>
            </w:r>
          </w:p>
        </w:tc>
        <w:tc>
          <w:tcPr>
            <w:tcW w:w="669" w:type="pct"/>
            <w:vAlign w:val="center"/>
          </w:tcPr>
          <w:p>
            <w:pPr>
              <w:jc w:val="center"/>
              <w:rPr>
                <w:spacing w:val="-4"/>
                <w:szCs w:val="21"/>
              </w:rPr>
            </w:pPr>
            <w:r>
              <w:rPr>
                <w:rFonts w:hint="eastAsia"/>
                <w:spacing w:val="-4"/>
                <w:szCs w:val="21"/>
              </w:rPr>
              <w:t>2</w:t>
            </w:r>
            <w:r>
              <w:rPr>
                <w:spacing w:val="-4"/>
                <w:szCs w:val="21"/>
              </w:rPr>
              <w:t>0</w:t>
            </w:r>
          </w:p>
        </w:tc>
      </w:tr>
    </w:tbl>
    <w:p>
      <w:pPr>
        <w:rPr>
          <w:szCs w:val="21"/>
        </w:rPr>
      </w:pPr>
    </w:p>
    <w:p>
      <w:pPr>
        <w:pStyle w:val="825"/>
        <w:ind w:firstLine="480"/>
      </w:pPr>
      <w:r>
        <w:fldChar w:fldCharType="begin"/>
      </w:r>
      <w:r>
        <w:instrText xml:space="preserve"> = 2 \* Arabic </w:instrText>
      </w:r>
      <w:r>
        <w:fldChar w:fldCharType="separate"/>
      </w:r>
      <w:r>
        <w:t>2</w:t>
      </w:r>
      <w:r>
        <w:fldChar w:fldCharType="end"/>
      </w:r>
      <w:r>
        <w:t>、地下水</w:t>
      </w:r>
    </w:p>
    <w:p>
      <w:pPr>
        <w:pStyle w:val="825"/>
        <w:ind w:firstLine="480"/>
      </w:pPr>
      <w:r>
        <w:t>地下水水质执行《地下水质量标准》（GB/T14848-2017）的Ⅲ类标准见表2.2-2。</w:t>
      </w:r>
    </w:p>
    <w:p>
      <w:pPr>
        <w:spacing w:line="360" w:lineRule="exact"/>
        <w:ind w:firstLine="466"/>
        <w:jc w:val="center"/>
        <w:rPr>
          <w:b/>
          <w:bCs/>
          <w:spacing w:val="-4"/>
          <w:sz w:val="24"/>
        </w:rPr>
      </w:pPr>
      <w:r>
        <w:rPr>
          <w:b/>
          <w:bCs/>
          <w:spacing w:val="-4"/>
          <w:sz w:val="24"/>
        </w:rPr>
        <w:t>表2.2-2   地下水质量标准</w:t>
      </w:r>
    </w:p>
    <w:tbl>
      <w:tblPr>
        <w:tblStyle w:val="87"/>
        <w:tblW w:w="4997"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656"/>
        <w:gridCol w:w="1451"/>
        <w:gridCol w:w="1352"/>
        <w:gridCol w:w="1504"/>
        <w:gridCol w:w="1200"/>
        <w:gridCol w:w="1354"/>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b/>
                <w:bCs/>
                <w:szCs w:val="21"/>
              </w:rPr>
            </w:pPr>
            <w:r>
              <w:rPr>
                <w:b/>
                <w:bCs/>
                <w:kern w:val="0"/>
                <w:szCs w:val="21"/>
                <w:lang w:bidi="ar"/>
              </w:rPr>
              <w:t>检测项目</w:t>
            </w:r>
          </w:p>
        </w:tc>
        <w:tc>
          <w:tcPr>
            <w:tcW w:w="851" w:type="pct"/>
            <w:vAlign w:val="center"/>
          </w:tcPr>
          <w:p>
            <w:pPr>
              <w:widowControl/>
              <w:adjustRightInd w:val="0"/>
              <w:snapToGrid w:val="0"/>
              <w:jc w:val="center"/>
              <w:textAlignment w:val="center"/>
              <w:rPr>
                <w:b/>
                <w:bCs/>
                <w:szCs w:val="21"/>
              </w:rPr>
            </w:pPr>
            <w:r>
              <w:rPr>
                <w:b/>
                <w:bCs/>
                <w:kern w:val="0"/>
                <w:szCs w:val="21"/>
                <w:lang w:bidi="ar"/>
              </w:rPr>
              <w:t>单位</w:t>
            </w:r>
          </w:p>
        </w:tc>
        <w:tc>
          <w:tcPr>
            <w:tcW w:w="793" w:type="pct"/>
            <w:vAlign w:val="center"/>
          </w:tcPr>
          <w:p>
            <w:pPr>
              <w:widowControl/>
              <w:adjustRightInd w:val="0"/>
              <w:snapToGrid w:val="0"/>
              <w:jc w:val="center"/>
              <w:textAlignment w:val="center"/>
              <w:rPr>
                <w:b/>
                <w:bCs/>
                <w:szCs w:val="21"/>
              </w:rPr>
            </w:pPr>
            <w:r>
              <w:rPr>
                <w:b/>
                <w:bCs/>
                <w:kern w:val="0"/>
                <w:szCs w:val="21"/>
                <w:lang w:bidi="ar"/>
              </w:rPr>
              <w:t>标准限值</w:t>
            </w:r>
          </w:p>
        </w:tc>
        <w:tc>
          <w:tcPr>
            <w:tcW w:w="882" w:type="pct"/>
            <w:vAlign w:val="center"/>
          </w:tcPr>
          <w:p>
            <w:pPr>
              <w:widowControl/>
              <w:adjustRightInd w:val="0"/>
              <w:snapToGrid w:val="0"/>
              <w:jc w:val="center"/>
              <w:textAlignment w:val="center"/>
              <w:rPr>
                <w:b/>
                <w:bCs/>
                <w:szCs w:val="21"/>
              </w:rPr>
            </w:pPr>
            <w:r>
              <w:rPr>
                <w:b/>
                <w:bCs/>
                <w:kern w:val="0"/>
                <w:szCs w:val="21"/>
                <w:lang w:bidi="ar"/>
              </w:rPr>
              <w:t>检测项目</w:t>
            </w:r>
          </w:p>
        </w:tc>
        <w:tc>
          <w:tcPr>
            <w:tcW w:w="704" w:type="pct"/>
            <w:vAlign w:val="center"/>
          </w:tcPr>
          <w:p>
            <w:pPr>
              <w:widowControl/>
              <w:adjustRightInd w:val="0"/>
              <w:snapToGrid w:val="0"/>
              <w:jc w:val="center"/>
              <w:textAlignment w:val="center"/>
              <w:rPr>
                <w:b/>
                <w:bCs/>
                <w:szCs w:val="21"/>
              </w:rPr>
            </w:pPr>
            <w:r>
              <w:rPr>
                <w:b/>
                <w:bCs/>
                <w:kern w:val="0"/>
                <w:szCs w:val="21"/>
                <w:lang w:bidi="ar"/>
              </w:rPr>
              <w:t>单位</w:t>
            </w:r>
          </w:p>
        </w:tc>
        <w:tc>
          <w:tcPr>
            <w:tcW w:w="794" w:type="pct"/>
            <w:vAlign w:val="center"/>
          </w:tcPr>
          <w:p>
            <w:pPr>
              <w:widowControl/>
              <w:adjustRightInd w:val="0"/>
              <w:snapToGrid w:val="0"/>
              <w:jc w:val="center"/>
              <w:textAlignment w:val="center"/>
              <w:rPr>
                <w:b/>
                <w:bCs/>
                <w:szCs w:val="21"/>
              </w:rPr>
            </w:pPr>
            <w:r>
              <w:rPr>
                <w:b/>
                <w:bCs/>
                <w:kern w:val="0"/>
                <w:szCs w:val="21"/>
                <w:lang w:bidi="ar"/>
              </w:rPr>
              <w:t>标准限值</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pH</w:t>
            </w:r>
          </w:p>
        </w:tc>
        <w:tc>
          <w:tcPr>
            <w:tcW w:w="851" w:type="pct"/>
            <w:vAlign w:val="center"/>
          </w:tcPr>
          <w:p>
            <w:pPr>
              <w:widowControl/>
              <w:adjustRightInd w:val="0"/>
              <w:snapToGrid w:val="0"/>
              <w:jc w:val="center"/>
              <w:textAlignment w:val="center"/>
              <w:rPr>
                <w:szCs w:val="21"/>
              </w:rPr>
            </w:pPr>
            <w:r>
              <w:rPr>
                <w:kern w:val="0"/>
                <w:szCs w:val="21"/>
                <w:lang w:bidi="ar"/>
              </w:rPr>
              <w:t>/</w:t>
            </w:r>
          </w:p>
        </w:tc>
        <w:tc>
          <w:tcPr>
            <w:tcW w:w="793" w:type="pct"/>
            <w:vAlign w:val="center"/>
          </w:tcPr>
          <w:p>
            <w:pPr>
              <w:widowControl/>
              <w:adjustRightInd w:val="0"/>
              <w:snapToGrid w:val="0"/>
              <w:jc w:val="center"/>
              <w:textAlignment w:val="center"/>
              <w:rPr>
                <w:szCs w:val="21"/>
              </w:rPr>
            </w:pPr>
            <w:r>
              <w:rPr>
                <w:kern w:val="0"/>
                <w:szCs w:val="21"/>
                <w:lang w:bidi="ar"/>
              </w:rPr>
              <w:t>6.5-8.5</w:t>
            </w:r>
          </w:p>
        </w:tc>
        <w:tc>
          <w:tcPr>
            <w:tcW w:w="882" w:type="pct"/>
            <w:vAlign w:val="center"/>
          </w:tcPr>
          <w:p>
            <w:pPr>
              <w:widowControl/>
              <w:adjustRightInd w:val="0"/>
              <w:snapToGrid w:val="0"/>
              <w:jc w:val="center"/>
              <w:textAlignment w:val="center"/>
              <w:rPr>
                <w:szCs w:val="21"/>
              </w:rPr>
            </w:pPr>
            <w:r>
              <w:rPr>
                <w:kern w:val="0"/>
                <w:szCs w:val="21"/>
                <w:lang w:bidi="ar"/>
              </w:rPr>
              <w:t>菌落总数</w:t>
            </w:r>
          </w:p>
        </w:tc>
        <w:tc>
          <w:tcPr>
            <w:tcW w:w="704" w:type="pct"/>
            <w:vAlign w:val="center"/>
          </w:tcPr>
          <w:p>
            <w:pPr>
              <w:widowControl/>
              <w:adjustRightInd w:val="0"/>
              <w:snapToGrid w:val="0"/>
              <w:jc w:val="center"/>
              <w:textAlignment w:val="center"/>
              <w:rPr>
                <w:szCs w:val="21"/>
              </w:rPr>
            </w:pPr>
            <w:r>
              <w:rPr>
                <w:kern w:val="0"/>
                <w:szCs w:val="21"/>
                <w:lang w:bidi="ar"/>
              </w:rPr>
              <w:t>CUF/mL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100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溶解性总固体</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1000</w:t>
            </w:r>
          </w:p>
        </w:tc>
        <w:tc>
          <w:tcPr>
            <w:tcW w:w="882" w:type="pct"/>
            <w:vAlign w:val="center"/>
          </w:tcPr>
          <w:p>
            <w:pPr>
              <w:widowControl/>
              <w:adjustRightInd w:val="0"/>
              <w:snapToGrid w:val="0"/>
              <w:jc w:val="center"/>
              <w:textAlignment w:val="center"/>
              <w:rPr>
                <w:szCs w:val="21"/>
              </w:rPr>
            </w:pPr>
            <w:r>
              <w:rPr>
                <w:kern w:val="0"/>
                <w:szCs w:val="21"/>
                <w:lang w:bidi="ar"/>
              </w:rPr>
              <w:t>氨氮</w:t>
            </w:r>
          </w:p>
        </w:tc>
        <w:tc>
          <w:tcPr>
            <w:tcW w:w="704" w:type="pct"/>
            <w:vAlign w:val="center"/>
          </w:tcPr>
          <w:p>
            <w:pPr>
              <w:widowControl/>
              <w:adjustRightInd w:val="0"/>
              <w:snapToGrid w:val="0"/>
              <w:jc w:val="center"/>
              <w:textAlignment w:val="center"/>
              <w:rPr>
                <w:szCs w:val="21"/>
              </w:rPr>
            </w:pPr>
            <w:r>
              <w:rPr>
                <w:kern w:val="0"/>
                <w:szCs w:val="21"/>
                <w:lang w:bidi="ar"/>
              </w:rPr>
              <w:t>mg/L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0.5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总硬度</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450</w:t>
            </w:r>
          </w:p>
        </w:tc>
        <w:tc>
          <w:tcPr>
            <w:tcW w:w="882" w:type="pct"/>
            <w:vAlign w:val="center"/>
          </w:tcPr>
          <w:p>
            <w:pPr>
              <w:widowControl/>
              <w:adjustRightInd w:val="0"/>
              <w:snapToGrid w:val="0"/>
              <w:jc w:val="center"/>
              <w:textAlignment w:val="center"/>
              <w:rPr>
                <w:szCs w:val="21"/>
              </w:rPr>
            </w:pPr>
            <w:r>
              <w:rPr>
                <w:kern w:val="0"/>
                <w:szCs w:val="21"/>
                <w:lang w:bidi="ar"/>
              </w:rPr>
              <w:t>亚硝酸盐氮</w:t>
            </w:r>
          </w:p>
        </w:tc>
        <w:tc>
          <w:tcPr>
            <w:tcW w:w="704" w:type="pct"/>
            <w:vAlign w:val="center"/>
          </w:tcPr>
          <w:p>
            <w:pPr>
              <w:widowControl/>
              <w:adjustRightInd w:val="0"/>
              <w:snapToGrid w:val="0"/>
              <w:jc w:val="center"/>
              <w:textAlignment w:val="center"/>
              <w:rPr>
                <w:szCs w:val="21"/>
              </w:rPr>
            </w:pPr>
            <w:r>
              <w:rPr>
                <w:kern w:val="0"/>
                <w:szCs w:val="21"/>
                <w:lang w:bidi="ar"/>
              </w:rPr>
              <w:t>mg/L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1</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钠离子</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200</w:t>
            </w:r>
          </w:p>
        </w:tc>
        <w:tc>
          <w:tcPr>
            <w:tcW w:w="882" w:type="pct"/>
            <w:vAlign w:val="center"/>
          </w:tcPr>
          <w:p>
            <w:pPr>
              <w:widowControl/>
              <w:adjustRightInd w:val="0"/>
              <w:snapToGrid w:val="0"/>
              <w:jc w:val="center"/>
              <w:textAlignment w:val="center"/>
              <w:rPr>
                <w:szCs w:val="21"/>
              </w:rPr>
            </w:pPr>
            <w:r>
              <w:rPr>
                <w:kern w:val="0"/>
                <w:szCs w:val="21"/>
                <w:lang w:bidi="ar"/>
              </w:rPr>
              <w:t>硝酸盐氮</w:t>
            </w:r>
          </w:p>
        </w:tc>
        <w:tc>
          <w:tcPr>
            <w:tcW w:w="704" w:type="pct"/>
            <w:vAlign w:val="center"/>
          </w:tcPr>
          <w:p>
            <w:pPr>
              <w:widowControl/>
              <w:adjustRightInd w:val="0"/>
              <w:snapToGrid w:val="0"/>
              <w:jc w:val="center"/>
              <w:textAlignment w:val="center"/>
              <w:rPr>
                <w:szCs w:val="21"/>
              </w:rPr>
            </w:pPr>
            <w:r>
              <w:rPr>
                <w:kern w:val="0"/>
                <w:szCs w:val="21"/>
                <w:lang w:bidi="ar"/>
              </w:rPr>
              <w:t>mg/L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20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氯离子</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250</w:t>
            </w:r>
          </w:p>
        </w:tc>
        <w:tc>
          <w:tcPr>
            <w:tcW w:w="882" w:type="pct"/>
            <w:vAlign w:val="center"/>
          </w:tcPr>
          <w:p>
            <w:pPr>
              <w:widowControl/>
              <w:adjustRightInd w:val="0"/>
              <w:snapToGrid w:val="0"/>
              <w:jc w:val="center"/>
              <w:textAlignment w:val="center"/>
              <w:rPr>
                <w:szCs w:val="21"/>
              </w:rPr>
            </w:pPr>
            <w:r>
              <w:rPr>
                <w:kern w:val="0"/>
                <w:szCs w:val="21"/>
                <w:lang w:bidi="ar"/>
              </w:rPr>
              <w:t>硫化物</w:t>
            </w:r>
          </w:p>
        </w:tc>
        <w:tc>
          <w:tcPr>
            <w:tcW w:w="704" w:type="pct"/>
            <w:vAlign w:val="center"/>
          </w:tcPr>
          <w:p>
            <w:pPr>
              <w:widowControl/>
              <w:adjustRightInd w:val="0"/>
              <w:snapToGrid w:val="0"/>
              <w:jc w:val="center"/>
              <w:textAlignment w:val="center"/>
              <w:rPr>
                <w:szCs w:val="21"/>
              </w:rPr>
            </w:pPr>
            <w:r>
              <w:rPr>
                <w:kern w:val="0"/>
                <w:szCs w:val="21"/>
                <w:lang w:bidi="ar"/>
              </w:rPr>
              <w:t>mg/L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0.02</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硫酸根</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250</w:t>
            </w:r>
          </w:p>
        </w:tc>
        <w:tc>
          <w:tcPr>
            <w:tcW w:w="882" w:type="pct"/>
            <w:vAlign w:val="center"/>
          </w:tcPr>
          <w:p>
            <w:pPr>
              <w:widowControl/>
              <w:adjustRightInd w:val="0"/>
              <w:snapToGrid w:val="0"/>
              <w:jc w:val="center"/>
              <w:textAlignment w:val="center"/>
              <w:rPr>
                <w:szCs w:val="21"/>
              </w:rPr>
            </w:pPr>
            <w:r>
              <w:rPr>
                <w:kern w:val="0"/>
                <w:szCs w:val="21"/>
                <w:lang w:bidi="ar"/>
              </w:rPr>
              <w:t>氰化物</w:t>
            </w:r>
          </w:p>
        </w:tc>
        <w:tc>
          <w:tcPr>
            <w:tcW w:w="704" w:type="pct"/>
            <w:vAlign w:val="center"/>
          </w:tcPr>
          <w:p>
            <w:pPr>
              <w:widowControl/>
              <w:adjustRightInd w:val="0"/>
              <w:snapToGrid w:val="0"/>
              <w:jc w:val="center"/>
              <w:textAlignment w:val="center"/>
              <w:rPr>
                <w:szCs w:val="21"/>
              </w:rPr>
            </w:pPr>
            <w:r>
              <w:rPr>
                <w:kern w:val="0"/>
                <w:szCs w:val="21"/>
                <w:lang w:bidi="ar"/>
              </w:rPr>
              <w:t>mg/L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0.05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铁</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0.3</w:t>
            </w:r>
          </w:p>
        </w:tc>
        <w:tc>
          <w:tcPr>
            <w:tcW w:w="882" w:type="pct"/>
            <w:vAlign w:val="center"/>
          </w:tcPr>
          <w:p>
            <w:pPr>
              <w:widowControl/>
              <w:adjustRightInd w:val="0"/>
              <w:snapToGrid w:val="0"/>
              <w:jc w:val="center"/>
              <w:textAlignment w:val="center"/>
              <w:rPr>
                <w:szCs w:val="21"/>
              </w:rPr>
            </w:pPr>
            <w:r>
              <w:rPr>
                <w:kern w:val="0"/>
                <w:szCs w:val="21"/>
                <w:lang w:bidi="ar"/>
              </w:rPr>
              <w:t>氟化物</w:t>
            </w:r>
          </w:p>
        </w:tc>
        <w:tc>
          <w:tcPr>
            <w:tcW w:w="704" w:type="pct"/>
            <w:vAlign w:val="center"/>
          </w:tcPr>
          <w:p>
            <w:pPr>
              <w:widowControl/>
              <w:adjustRightInd w:val="0"/>
              <w:snapToGrid w:val="0"/>
              <w:jc w:val="center"/>
              <w:textAlignment w:val="center"/>
              <w:rPr>
                <w:szCs w:val="21"/>
              </w:rPr>
            </w:pPr>
            <w:r>
              <w:rPr>
                <w:kern w:val="0"/>
                <w:szCs w:val="21"/>
                <w:lang w:bidi="ar"/>
              </w:rPr>
              <w:t>mg/L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1</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锰</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0.1</w:t>
            </w:r>
          </w:p>
        </w:tc>
        <w:tc>
          <w:tcPr>
            <w:tcW w:w="882" w:type="pct"/>
            <w:vAlign w:val="center"/>
          </w:tcPr>
          <w:p>
            <w:pPr>
              <w:widowControl/>
              <w:adjustRightInd w:val="0"/>
              <w:snapToGrid w:val="0"/>
              <w:jc w:val="center"/>
              <w:textAlignment w:val="center"/>
              <w:rPr>
                <w:szCs w:val="21"/>
              </w:rPr>
            </w:pPr>
            <w:r>
              <w:rPr>
                <w:kern w:val="0"/>
                <w:szCs w:val="21"/>
                <w:lang w:bidi="ar"/>
              </w:rPr>
              <w:t>汞</w:t>
            </w:r>
          </w:p>
        </w:tc>
        <w:tc>
          <w:tcPr>
            <w:tcW w:w="704" w:type="pct"/>
            <w:vAlign w:val="center"/>
          </w:tcPr>
          <w:p>
            <w:pPr>
              <w:widowControl/>
              <w:adjustRightInd w:val="0"/>
              <w:snapToGrid w:val="0"/>
              <w:jc w:val="center"/>
              <w:textAlignment w:val="center"/>
              <w:rPr>
                <w:szCs w:val="21"/>
              </w:rPr>
            </w:pPr>
            <w:r>
              <w:rPr>
                <w:kern w:val="0"/>
                <w:szCs w:val="21"/>
                <w:lang w:bidi="ar"/>
              </w:rPr>
              <w:t>μg/L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1</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铜</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1</w:t>
            </w:r>
          </w:p>
        </w:tc>
        <w:tc>
          <w:tcPr>
            <w:tcW w:w="882" w:type="pct"/>
            <w:vAlign w:val="center"/>
          </w:tcPr>
          <w:p>
            <w:pPr>
              <w:widowControl/>
              <w:adjustRightInd w:val="0"/>
              <w:snapToGrid w:val="0"/>
              <w:jc w:val="center"/>
              <w:textAlignment w:val="center"/>
              <w:rPr>
                <w:szCs w:val="21"/>
              </w:rPr>
            </w:pPr>
            <w:r>
              <w:rPr>
                <w:kern w:val="0"/>
                <w:szCs w:val="21"/>
                <w:lang w:bidi="ar"/>
              </w:rPr>
              <w:t>砷</w:t>
            </w:r>
          </w:p>
        </w:tc>
        <w:tc>
          <w:tcPr>
            <w:tcW w:w="704" w:type="pct"/>
            <w:vAlign w:val="center"/>
          </w:tcPr>
          <w:p>
            <w:pPr>
              <w:widowControl/>
              <w:adjustRightInd w:val="0"/>
              <w:snapToGrid w:val="0"/>
              <w:jc w:val="center"/>
              <w:textAlignment w:val="center"/>
              <w:rPr>
                <w:szCs w:val="21"/>
              </w:rPr>
            </w:pPr>
            <w:r>
              <w:rPr>
                <w:kern w:val="0"/>
                <w:szCs w:val="21"/>
                <w:lang w:bidi="ar"/>
              </w:rPr>
              <w:t>μg/L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10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锌</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1</w:t>
            </w:r>
          </w:p>
        </w:tc>
        <w:tc>
          <w:tcPr>
            <w:tcW w:w="882" w:type="pct"/>
            <w:vAlign w:val="center"/>
          </w:tcPr>
          <w:p>
            <w:pPr>
              <w:widowControl/>
              <w:adjustRightInd w:val="0"/>
              <w:snapToGrid w:val="0"/>
              <w:jc w:val="center"/>
              <w:textAlignment w:val="center"/>
              <w:rPr>
                <w:szCs w:val="21"/>
              </w:rPr>
            </w:pPr>
            <w:r>
              <w:rPr>
                <w:kern w:val="0"/>
                <w:szCs w:val="21"/>
                <w:lang w:bidi="ar"/>
              </w:rPr>
              <w:t>镉</w:t>
            </w:r>
          </w:p>
        </w:tc>
        <w:tc>
          <w:tcPr>
            <w:tcW w:w="704" w:type="pct"/>
            <w:vAlign w:val="center"/>
          </w:tcPr>
          <w:p>
            <w:pPr>
              <w:widowControl/>
              <w:adjustRightInd w:val="0"/>
              <w:snapToGrid w:val="0"/>
              <w:jc w:val="center"/>
              <w:textAlignment w:val="center"/>
              <w:rPr>
                <w:szCs w:val="21"/>
              </w:rPr>
            </w:pPr>
            <w:r>
              <w:rPr>
                <w:kern w:val="0"/>
                <w:szCs w:val="21"/>
                <w:lang w:bidi="ar"/>
              </w:rPr>
              <w:t>μg/L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挥发酚</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0.002</w:t>
            </w:r>
          </w:p>
        </w:tc>
        <w:tc>
          <w:tcPr>
            <w:tcW w:w="882" w:type="pct"/>
            <w:vAlign w:val="center"/>
          </w:tcPr>
          <w:p>
            <w:pPr>
              <w:widowControl/>
              <w:adjustRightInd w:val="0"/>
              <w:snapToGrid w:val="0"/>
              <w:jc w:val="center"/>
              <w:textAlignment w:val="center"/>
              <w:rPr>
                <w:szCs w:val="21"/>
              </w:rPr>
            </w:pPr>
            <w:r>
              <w:rPr>
                <w:kern w:val="0"/>
                <w:szCs w:val="21"/>
                <w:lang w:bidi="ar"/>
              </w:rPr>
              <w:t>六价铬</w:t>
            </w:r>
          </w:p>
        </w:tc>
        <w:tc>
          <w:tcPr>
            <w:tcW w:w="704" w:type="pct"/>
            <w:vAlign w:val="center"/>
          </w:tcPr>
          <w:p>
            <w:pPr>
              <w:widowControl/>
              <w:adjustRightInd w:val="0"/>
              <w:snapToGrid w:val="0"/>
              <w:jc w:val="center"/>
              <w:textAlignment w:val="center"/>
              <w:rPr>
                <w:szCs w:val="21"/>
              </w:rPr>
            </w:pPr>
            <w:r>
              <w:rPr>
                <w:kern w:val="0"/>
                <w:szCs w:val="21"/>
                <w:lang w:bidi="ar"/>
              </w:rPr>
              <w:t>mg/L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0.05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rFonts w:hint="eastAsia"/>
                <w:kern w:val="0"/>
                <w:szCs w:val="21"/>
                <w:lang w:bidi="ar"/>
              </w:rPr>
              <w:t>耗氧量</w:t>
            </w:r>
          </w:p>
        </w:tc>
        <w:tc>
          <w:tcPr>
            <w:tcW w:w="851" w:type="pct"/>
            <w:vAlign w:val="center"/>
          </w:tcPr>
          <w:p>
            <w:pPr>
              <w:widowControl/>
              <w:adjustRightInd w:val="0"/>
              <w:snapToGrid w:val="0"/>
              <w:jc w:val="center"/>
              <w:textAlignment w:val="center"/>
              <w:rPr>
                <w:szCs w:val="21"/>
              </w:rPr>
            </w:pPr>
            <w:r>
              <w:rPr>
                <w:kern w:val="0"/>
                <w:szCs w:val="21"/>
                <w:lang w:bidi="ar"/>
              </w:rPr>
              <w:t>mg/L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3</w:t>
            </w:r>
          </w:p>
        </w:tc>
        <w:tc>
          <w:tcPr>
            <w:tcW w:w="882" w:type="pct"/>
            <w:vAlign w:val="center"/>
          </w:tcPr>
          <w:p>
            <w:pPr>
              <w:widowControl/>
              <w:adjustRightInd w:val="0"/>
              <w:snapToGrid w:val="0"/>
              <w:jc w:val="center"/>
              <w:textAlignment w:val="center"/>
              <w:rPr>
                <w:szCs w:val="21"/>
              </w:rPr>
            </w:pPr>
            <w:r>
              <w:rPr>
                <w:kern w:val="0"/>
                <w:szCs w:val="21"/>
                <w:lang w:bidi="ar"/>
              </w:rPr>
              <w:t>铅</w:t>
            </w:r>
          </w:p>
        </w:tc>
        <w:tc>
          <w:tcPr>
            <w:tcW w:w="704" w:type="pct"/>
            <w:vAlign w:val="center"/>
          </w:tcPr>
          <w:p>
            <w:pPr>
              <w:widowControl/>
              <w:adjustRightInd w:val="0"/>
              <w:snapToGrid w:val="0"/>
              <w:jc w:val="center"/>
              <w:textAlignment w:val="center"/>
              <w:rPr>
                <w:szCs w:val="21"/>
              </w:rPr>
            </w:pPr>
            <w:r>
              <w:rPr>
                <w:kern w:val="0"/>
                <w:szCs w:val="21"/>
                <w:lang w:bidi="ar"/>
              </w:rPr>
              <w:t>μg/L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10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972" w:type="pct"/>
            <w:vAlign w:val="center"/>
          </w:tcPr>
          <w:p>
            <w:pPr>
              <w:widowControl/>
              <w:adjustRightInd w:val="0"/>
              <w:snapToGrid w:val="0"/>
              <w:jc w:val="center"/>
              <w:textAlignment w:val="center"/>
              <w:rPr>
                <w:szCs w:val="21"/>
              </w:rPr>
            </w:pPr>
            <w:r>
              <w:rPr>
                <w:kern w:val="0"/>
                <w:szCs w:val="21"/>
                <w:lang w:bidi="ar"/>
              </w:rPr>
              <w:t>总大肠菌群</w:t>
            </w:r>
          </w:p>
        </w:tc>
        <w:tc>
          <w:tcPr>
            <w:tcW w:w="851" w:type="pct"/>
            <w:vAlign w:val="center"/>
          </w:tcPr>
          <w:p>
            <w:pPr>
              <w:widowControl/>
              <w:adjustRightInd w:val="0"/>
              <w:snapToGrid w:val="0"/>
              <w:jc w:val="center"/>
              <w:textAlignment w:val="center"/>
              <w:rPr>
                <w:szCs w:val="21"/>
              </w:rPr>
            </w:pPr>
            <w:r>
              <w:rPr>
                <w:kern w:val="0"/>
                <w:szCs w:val="21"/>
                <w:lang w:bidi="ar"/>
              </w:rPr>
              <w:t>MPN//100mL</w:t>
            </w:r>
          </w:p>
        </w:tc>
        <w:tc>
          <w:tcPr>
            <w:tcW w:w="793" w:type="pct"/>
            <w:vAlign w:val="center"/>
          </w:tcPr>
          <w:p>
            <w:pPr>
              <w:widowControl/>
              <w:adjustRightInd w:val="0"/>
              <w:snapToGrid w:val="0"/>
              <w:jc w:val="center"/>
              <w:textAlignment w:val="center"/>
              <w:rPr>
                <w:kern w:val="0"/>
                <w:szCs w:val="21"/>
                <w:lang w:bidi="ar"/>
              </w:rPr>
            </w:pPr>
            <w:r>
              <w:rPr>
                <w:kern w:val="0"/>
                <w:szCs w:val="21"/>
                <w:lang w:bidi="ar"/>
              </w:rPr>
              <w:t>3</w:t>
            </w:r>
          </w:p>
        </w:tc>
        <w:tc>
          <w:tcPr>
            <w:tcW w:w="882" w:type="pct"/>
            <w:vAlign w:val="center"/>
          </w:tcPr>
          <w:p>
            <w:pPr>
              <w:widowControl/>
              <w:adjustRightInd w:val="0"/>
              <w:snapToGrid w:val="0"/>
              <w:jc w:val="center"/>
              <w:textAlignment w:val="center"/>
              <w:rPr>
                <w:szCs w:val="21"/>
              </w:rPr>
            </w:pPr>
            <w:r>
              <w:rPr>
                <w:kern w:val="0"/>
                <w:szCs w:val="21"/>
                <w:lang w:bidi="ar"/>
              </w:rPr>
              <w:t>石油类</w:t>
            </w:r>
          </w:p>
        </w:tc>
        <w:tc>
          <w:tcPr>
            <w:tcW w:w="704" w:type="pct"/>
            <w:vAlign w:val="center"/>
          </w:tcPr>
          <w:p>
            <w:pPr>
              <w:widowControl/>
              <w:adjustRightInd w:val="0"/>
              <w:snapToGrid w:val="0"/>
              <w:jc w:val="center"/>
              <w:textAlignment w:val="center"/>
              <w:rPr>
                <w:szCs w:val="21"/>
              </w:rPr>
            </w:pPr>
            <w:r>
              <w:rPr>
                <w:kern w:val="0"/>
                <w:szCs w:val="21"/>
                <w:lang w:bidi="ar"/>
              </w:rPr>
              <w:t>mg/L</w:t>
            </w:r>
          </w:p>
        </w:tc>
        <w:tc>
          <w:tcPr>
            <w:tcW w:w="794" w:type="pct"/>
            <w:vAlign w:val="center"/>
          </w:tcPr>
          <w:p>
            <w:pPr>
              <w:widowControl/>
              <w:adjustRightInd w:val="0"/>
              <w:snapToGrid w:val="0"/>
              <w:jc w:val="center"/>
              <w:textAlignment w:val="center"/>
              <w:rPr>
                <w:kern w:val="0"/>
                <w:szCs w:val="21"/>
                <w:lang w:bidi="ar"/>
              </w:rPr>
            </w:pPr>
            <w:r>
              <w:rPr>
                <w:kern w:val="0"/>
                <w:szCs w:val="21"/>
                <w:lang w:bidi="ar"/>
              </w:rPr>
              <w:t>0.05</w:t>
            </w:r>
          </w:p>
        </w:tc>
      </w:tr>
    </w:tbl>
    <w:p>
      <w:pPr>
        <w:pStyle w:val="825"/>
        <w:ind w:firstLine="480"/>
      </w:pPr>
      <w:r>
        <w:t>（3）声环境</w:t>
      </w:r>
    </w:p>
    <w:p>
      <w:pPr>
        <w:spacing w:line="360" w:lineRule="auto"/>
        <w:ind w:firstLine="425"/>
        <w:rPr>
          <w:color w:val="FF0000"/>
          <w:sz w:val="24"/>
        </w:rPr>
      </w:pPr>
      <w:r>
        <w:rPr>
          <w:color w:val="FF0000"/>
          <w:sz w:val="24"/>
        </w:rPr>
        <w:t>根据《声环境质量标准》（GB3096-2008）“村庄原则上执行1类声环境功能区要求，工业活动较多的村庄以及有交通干线经过的村庄（指执行</w:t>
      </w:r>
      <w:r>
        <w:rPr>
          <w:rFonts w:hint="eastAsia"/>
          <w:color w:val="FF0000"/>
          <w:sz w:val="24"/>
        </w:rPr>
        <w:t>4</w:t>
      </w:r>
      <w:r>
        <w:rPr>
          <w:color w:val="FF0000"/>
          <w:sz w:val="24"/>
        </w:rPr>
        <w:t>类声环境功能区要求以外的地区）可局部或全部执行</w:t>
      </w:r>
      <w:r>
        <w:rPr>
          <w:rFonts w:hint="eastAsia"/>
          <w:color w:val="FF0000"/>
          <w:sz w:val="24"/>
        </w:rPr>
        <w:t>2</w:t>
      </w:r>
      <w:r>
        <w:rPr>
          <w:color w:val="FF0000"/>
          <w:sz w:val="24"/>
        </w:rPr>
        <w:t>类声环境功能区要求”，</w:t>
      </w:r>
      <w:r>
        <w:rPr>
          <w:rFonts w:hint="eastAsia"/>
          <w:color w:val="FF0000"/>
          <w:sz w:val="24"/>
        </w:rPr>
        <w:t>由于本项目已建成，周边原分布有养殖场，工业活动较多，</w:t>
      </w:r>
      <w:r>
        <w:rPr>
          <w:color w:val="FF0000"/>
          <w:sz w:val="24"/>
        </w:rPr>
        <w:t>因此本次评价声环境质量评价</w:t>
      </w:r>
      <w:r>
        <w:rPr>
          <w:rFonts w:hint="eastAsia"/>
          <w:color w:val="FF0000"/>
          <w:sz w:val="24"/>
        </w:rPr>
        <w:t>按照</w:t>
      </w:r>
      <w:r>
        <w:rPr>
          <w:color w:val="FF0000"/>
          <w:sz w:val="24"/>
        </w:rPr>
        <w:t>2类区标准</w:t>
      </w:r>
      <w:r>
        <w:rPr>
          <w:rFonts w:hint="eastAsia"/>
          <w:color w:val="FF0000"/>
          <w:sz w:val="24"/>
        </w:rPr>
        <w:t>执行</w:t>
      </w:r>
      <w:r>
        <w:rPr>
          <w:color w:val="FF0000"/>
          <w:sz w:val="24"/>
        </w:rPr>
        <w:t>，即昼间60dB、夜间50dB。</w:t>
      </w:r>
    </w:p>
    <w:p>
      <w:pPr>
        <w:pStyle w:val="825"/>
        <w:ind w:firstLine="480"/>
      </w:pPr>
      <w:r>
        <w:t>（4）土壤环境</w:t>
      </w:r>
    </w:p>
    <w:p>
      <w:pPr>
        <w:adjustRightInd w:val="0"/>
        <w:snapToGrid w:val="0"/>
        <w:spacing w:line="360" w:lineRule="auto"/>
        <w:ind w:firstLine="480" w:firstLineChars="200"/>
        <w:rPr>
          <w:rFonts w:ascii="宋体" w:hAnsi="宋体"/>
          <w:sz w:val="24"/>
        </w:rPr>
      </w:pPr>
      <w:r>
        <w:rPr>
          <w:rFonts w:hint="eastAsia" w:ascii="宋体" w:hAnsi="宋体"/>
          <w:sz w:val="24"/>
        </w:rPr>
        <w:t>项目用地范围内土壤环境执行《土壤环境质量建设用地土壤污染风险管控标准（试行）》（</w:t>
      </w:r>
      <w:r>
        <w:rPr>
          <w:sz w:val="24"/>
        </w:rPr>
        <w:t>GB36600-2018</w:t>
      </w:r>
      <w:r>
        <w:rPr>
          <w:rFonts w:hint="eastAsia" w:ascii="宋体" w:hAnsi="宋体"/>
          <w:sz w:val="24"/>
        </w:rPr>
        <w:t>）》中第二类用地筛选值标准，厂区外农用地土壤质量执行《土壤环境质量农用地土壤污染风险管控标准（试行）》（</w:t>
      </w:r>
      <w:r>
        <w:rPr>
          <w:sz w:val="24"/>
        </w:rPr>
        <w:t>GB15618-2018</w:t>
      </w:r>
      <w:r>
        <w:rPr>
          <w:rFonts w:hint="eastAsia" w:ascii="宋体" w:hAnsi="宋体"/>
          <w:sz w:val="24"/>
        </w:rPr>
        <w:t>）风险筛选值。</w:t>
      </w:r>
    </w:p>
    <w:p>
      <w:pPr>
        <w:spacing w:line="360" w:lineRule="exact"/>
        <w:ind w:firstLine="466"/>
        <w:jc w:val="center"/>
        <w:rPr>
          <w:b/>
          <w:bCs/>
          <w:spacing w:val="-4"/>
          <w:sz w:val="24"/>
        </w:rPr>
      </w:pPr>
      <w:r>
        <w:rPr>
          <w:b/>
          <w:bCs/>
          <w:spacing w:val="-4"/>
          <w:sz w:val="24"/>
        </w:rPr>
        <w:t>表2.2-3   土壤环境质量标准</w:t>
      </w:r>
    </w:p>
    <w:tbl>
      <w:tblPr>
        <w:tblStyle w:val="8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7" w:type="dxa"/>
          <w:bottom w:w="85" w:type="dxa"/>
          <w:right w:w="57" w:type="dxa"/>
        </w:tblCellMar>
      </w:tblPr>
      <w:tblGrid>
        <w:gridCol w:w="2470"/>
        <w:gridCol w:w="2240"/>
        <w:gridCol w:w="1026"/>
        <w:gridCol w:w="1345"/>
        <w:gridCol w:w="13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tcBorders>
              <w:top w:val="single" w:color="auto" w:sz="12" w:space="0"/>
              <w:left w:val="single" w:color="auto" w:sz="12"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标准名称及级（类）别</w:t>
            </w:r>
          </w:p>
        </w:tc>
        <w:tc>
          <w:tcPr>
            <w:tcW w:w="2240" w:type="dxa"/>
            <w:tcBorders>
              <w:top w:val="single" w:color="auto" w:sz="12"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项目</w:t>
            </w:r>
          </w:p>
        </w:tc>
        <w:tc>
          <w:tcPr>
            <w:tcW w:w="1026" w:type="dxa"/>
            <w:tcBorders>
              <w:top w:val="single" w:color="auto" w:sz="12"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textAlignment w:val="center"/>
              <w:rPr>
                <w:rFonts w:ascii="Times New Roman" w:eastAsiaTheme="minorEastAsia"/>
                <w:szCs w:val="21"/>
              </w:rPr>
            </w:pPr>
            <w:r>
              <w:rPr>
                <w:rFonts w:ascii="Times New Roman" w:eastAsiaTheme="minorEastAsia"/>
                <w:szCs w:val="21"/>
              </w:rPr>
              <w:t>单位</w:t>
            </w:r>
          </w:p>
        </w:tc>
        <w:tc>
          <w:tcPr>
            <w:tcW w:w="2690" w:type="dxa"/>
            <w:gridSpan w:val="2"/>
            <w:tcBorders>
              <w:top w:val="single" w:color="auto" w:sz="12" w:space="0"/>
              <w:left w:val="single" w:color="auto" w:sz="4" w:space="0"/>
              <w:bottom w:val="single" w:color="auto" w:sz="4" w:space="0"/>
              <w:right w:val="single" w:color="auto" w:sz="12" w:space="0"/>
            </w:tcBorders>
            <w:vAlign w:val="center"/>
          </w:tcPr>
          <w:p>
            <w:pPr>
              <w:pStyle w:val="358"/>
              <w:kinsoku w:val="0"/>
              <w:overflowPunct w:val="0"/>
              <w:autoSpaceDE w:val="0"/>
              <w:autoSpaceDN w:val="0"/>
              <w:adjustRightInd w:val="0"/>
              <w:snapToGrid w:val="0"/>
              <w:rPr>
                <w:rFonts w:ascii="Times New Roman" w:eastAsiaTheme="minorEastAsia"/>
                <w:kern w:val="0"/>
                <w:szCs w:val="21"/>
              </w:rPr>
            </w:pPr>
            <w:r>
              <w:rPr>
                <w:rFonts w:ascii="Times New Roman" w:eastAsiaTheme="minorEastAsia"/>
                <w:szCs w:val="21"/>
              </w:rPr>
              <w:t>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54" w:hRule="atLeast"/>
          <w:jc w:val="center"/>
        </w:trPr>
        <w:tc>
          <w:tcPr>
            <w:tcW w:w="2470" w:type="dxa"/>
            <w:vMerge w:val="restart"/>
            <w:tcBorders>
              <w:top w:val="nil"/>
              <w:left w:val="single" w:color="auto" w:sz="12" w:space="0"/>
              <w:bottom w:val="single" w:color="auto" w:sz="4" w:space="0"/>
              <w:right w:val="single" w:color="auto" w:sz="4" w:space="0"/>
            </w:tcBorders>
            <w:vAlign w:val="center"/>
          </w:tcPr>
          <w:p>
            <w:pPr>
              <w:pStyle w:val="358"/>
              <w:kinsoku w:val="0"/>
              <w:overflowPunct w:val="0"/>
              <w:autoSpaceDE w:val="0"/>
              <w:autoSpaceDN w:val="0"/>
              <w:adjustRightInd w:val="0"/>
              <w:snapToGrid w:val="0"/>
              <w:textAlignment w:val="center"/>
              <w:rPr>
                <w:rFonts w:ascii="Times New Roman" w:eastAsiaTheme="minorEastAsia"/>
                <w:szCs w:val="21"/>
              </w:rPr>
            </w:pPr>
            <w:r>
              <w:rPr>
                <w:rFonts w:ascii="Times New Roman" w:eastAsiaTheme="minorEastAsia"/>
                <w:szCs w:val="21"/>
              </w:rPr>
              <w:t>《土壤环境质量农用地土壤污染风险管控标准》（GB 15618-2018）筛选值</w:t>
            </w: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pH</w:t>
            </w:r>
          </w:p>
        </w:tc>
        <w:tc>
          <w:tcPr>
            <w:tcW w:w="102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w:t>
            </w: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&gt;7.5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Cu</w:t>
            </w:r>
          </w:p>
        </w:tc>
        <w:tc>
          <w:tcPr>
            <w:tcW w:w="1026" w:type="dxa"/>
            <w:vMerge w:val="restart"/>
            <w:tcBorders>
              <w:top w:val="nil"/>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mg/kg</w:t>
            </w: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Zn</w:t>
            </w:r>
          </w:p>
        </w:tc>
        <w:tc>
          <w:tcPr>
            <w:tcW w:w="1026" w:type="dxa"/>
            <w:vMerge w:val="continue"/>
            <w:tcBorders>
              <w:top w:val="nil"/>
              <w:left w:val="single" w:color="auto" w:sz="4" w:space="0"/>
              <w:bottom w:val="single" w:color="auto" w:sz="4" w:space="0"/>
              <w:right w:val="single" w:color="auto" w:sz="4" w:space="0"/>
            </w:tcBorders>
            <w:vAlign w:val="center"/>
          </w:tcPr>
          <w:p>
            <w:pPr>
              <w:adjustRightInd w:val="0"/>
              <w:snapToGrid w:val="0"/>
              <w:jc w:val="center"/>
              <w:rPr>
                <w:szCs w:val="21"/>
              </w:rPr>
            </w:pP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Pb</w:t>
            </w:r>
          </w:p>
        </w:tc>
        <w:tc>
          <w:tcPr>
            <w:tcW w:w="1026" w:type="dxa"/>
            <w:vMerge w:val="continue"/>
            <w:tcBorders>
              <w:top w:val="nil"/>
              <w:left w:val="single" w:color="auto" w:sz="4" w:space="0"/>
              <w:bottom w:val="single" w:color="auto" w:sz="4" w:space="0"/>
              <w:right w:val="single" w:color="auto" w:sz="4" w:space="0"/>
            </w:tcBorders>
            <w:vAlign w:val="center"/>
          </w:tcPr>
          <w:p>
            <w:pPr>
              <w:adjustRightInd w:val="0"/>
              <w:snapToGrid w:val="0"/>
              <w:jc w:val="center"/>
              <w:rPr>
                <w:szCs w:val="21"/>
              </w:rPr>
            </w:pP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Cd</w:t>
            </w:r>
          </w:p>
        </w:tc>
        <w:tc>
          <w:tcPr>
            <w:tcW w:w="1026" w:type="dxa"/>
            <w:vMerge w:val="continue"/>
            <w:tcBorders>
              <w:top w:val="nil"/>
              <w:left w:val="single" w:color="auto" w:sz="4" w:space="0"/>
              <w:bottom w:val="single" w:color="auto" w:sz="4" w:space="0"/>
              <w:right w:val="single" w:color="auto" w:sz="4" w:space="0"/>
            </w:tcBorders>
            <w:vAlign w:val="center"/>
          </w:tcPr>
          <w:p>
            <w:pPr>
              <w:adjustRightInd w:val="0"/>
              <w:snapToGrid w:val="0"/>
              <w:jc w:val="center"/>
              <w:rPr>
                <w:szCs w:val="21"/>
              </w:rPr>
            </w:pP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As</w:t>
            </w:r>
          </w:p>
        </w:tc>
        <w:tc>
          <w:tcPr>
            <w:tcW w:w="1026" w:type="dxa"/>
            <w:vMerge w:val="continue"/>
            <w:tcBorders>
              <w:top w:val="nil"/>
              <w:left w:val="single" w:color="auto" w:sz="4" w:space="0"/>
              <w:bottom w:val="single" w:color="auto" w:sz="4" w:space="0"/>
              <w:right w:val="single" w:color="auto" w:sz="4" w:space="0"/>
            </w:tcBorders>
            <w:vAlign w:val="center"/>
          </w:tcPr>
          <w:p>
            <w:pPr>
              <w:adjustRightInd w:val="0"/>
              <w:snapToGrid w:val="0"/>
              <w:jc w:val="center"/>
              <w:rPr>
                <w:szCs w:val="21"/>
              </w:rPr>
            </w:pP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Hg</w:t>
            </w:r>
          </w:p>
        </w:tc>
        <w:tc>
          <w:tcPr>
            <w:tcW w:w="1026" w:type="dxa"/>
            <w:vMerge w:val="continue"/>
            <w:tcBorders>
              <w:top w:val="nil"/>
              <w:left w:val="single" w:color="auto" w:sz="4" w:space="0"/>
              <w:bottom w:val="single" w:color="auto" w:sz="4" w:space="0"/>
              <w:right w:val="single" w:color="auto" w:sz="4" w:space="0"/>
            </w:tcBorders>
            <w:vAlign w:val="center"/>
          </w:tcPr>
          <w:p>
            <w:pPr>
              <w:adjustRightInd w:val="0"/>
              <w:snapToGrid w:val="0"/>
              <w:jc w:val="center"/>
              <w:rPr>
                <w:szCs w:val="21"/>
              </w:rPr>
            </w:pP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Cr</w:t>
            </w:r>
          </w:p>
        </w:tc>
        <w:tc>
          <w:tcPr>
            <w:tcW w:w="1026" w:type="dxa"/>
            <w:vMerge w:val="continue"/>
            <w:tcBorders>
              <w:top w:val="nil"/>
              <w:left w:val="single" w:color="auto" w:sz="4" w:space="0"/>
              <w:bottom w:val="single" w:color="auto" w:sz="4" w:space="0"/>
              <w:right w:val="single" w:color="auto" w:sz="4" w:space="0"/>
            </w:tcBorders>
            <w:vAlign w:val="center"/>
          </w:tcPr>
          <w:p>
            <w:pPr>
              <w:adjustRightInd w:val="0"/>
              <w:snapToGrid w:val="0"/>
              <w:jc w:val="center"/>
              <w:rPr>
                <w:szCs w:val="21"/>
              </w:rPr>
            </w:pP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Ni</w:t>
            </w:r>
          </w:p>
        </w:tc>
        <w:tc>
          <w:tcPr>
            <w:tcW w:w="1026" w:type="dxa"/>
            <w:vMerge w:val="continue"/>
            <w:tcBorders>
              <w:top w:val="nil"/>
              <w:left w:val="single" w:color="auto" w:sz="4" w:space="0"/>
              <w:bottom w:val="single" w:color="auto" w:sz="4" w:space="0"/>
              <w:right w:val="single" w:color="auto" w:sz="4" w:space="0"/>
            </w:tcBorders>
            <w:vAlign w:val="center"/>
          </w:tcPr>
          <w:p>
            <w:pPr>
              <w:adjustRightInd w:val="0"/>
              <w:snapToGrid w:val="0"/>
              <w:jc w:val="center"/>
              <w:rPr>
                <w:szCs w:val="21"/>
              </w:rPr>
            </w:pPr>
          </w:p>
        </w:tc>
        <w:tc>
          <w:tcPr>
            <w:tcW w:w="2690" w:type="dxa"/>
            <w:gridSpan w:val="2"/>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szCs w:val="21"/>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restart"/>
            <w:tcBorders>
              <w:top w:val="nil"/>
              <w:left w:val="single" w:color="auto" w:sz="12" w:space="0"/>
              <w:bottom w:val="single" w:color="auto" w:sz="4" w:space="0"/>
              <w:right w:val="single" w:color="auto" w:sz="4" w:space="0"/>
            </w:tcBorders>
            <w:vAlign w:val="center"/>
          </w:tcPr>
          <w:p>
            <w:pPr>
              <w:pStyle w:val="358"/>
              <w:kinsoku w:val="0"/>
              <w:overflowPunct w:val="0"/>
              <w:autoSpaceDE w:val="0"/>
              <w:autoSpaceDN w:val="0"/>
              <w:adjustRightInd w:val="0"/>
              <w:snapToGrid w:val="0"/>
              <w:textAlignment w:val="center"/>
              <w:rPr>
                <w:rFonts w:ascii="Times New Roman" w:eastAsiaTheme="minorEastAsia"/>
                <w:szCs w:val="21"/>
              </w:rPr>
            </w:pPr>
            <w:r>
              <w:rPr>
                <w:rFonts w:ascii="Times New Roman" w:eastAsiaTheme="minorEastAsia"/>
                <w:szCs w:val="21"/>
              </w:rPr>
              <w:t>《土壤环境质量建设用地 土壤污染风险管控标准（试行）》（GB36600-2018）筛选值</w:t>
            </w: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highlight w:val="yellow"/>
              </w:rPr>
            </w:pPr>
            <w:r>
              <w:rPr>
                <w:rFonts w:ascii="Times New Roman" w:eastAsiaTheme="minorEastAsia"/>
                <w:szCs w:val="21"/>
              </w:rPr>
              <w:t>项目</w:t>
            </w:r>
          </w:p>
        </w:tc>
        <w:tc>
          <w:tcPr>
            <w:tcW w:w="1026"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textAlignment w:val="center"/>
              <w:rPr>
                <w:rFonts w:ascii="Times New Roman" w:eastAsiaTheme="minorEastAsia"/>
                <w:szCs w:val="21"/>
              </w:rPr>
            </w:pPr>
            <w:r>
              <w:rPr>
                <w:rFonts w:ascii="Times New Roman" w:eastAsiaTheme="minorEastAsia"/>
                <w:szCs w:val="21"/>
              </w:rPr>
              <w:t>单位</w:t>
            </w:r>
          </w:p>
        </w:tc>
        <w:tc>
          <w:tcPr>
            <w:tcW w:w="1345"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筛选值</w:t>
            </w:r>
          </w:p>
        </w:tc>
        <w:tc>
          <w:tcPr>
            <w:tcW w:w="1345" w:type="dxa"/>
            <w:tcBorders>
              <w:top w:val="single" w:color="auto" w:sz="4" w:space="0"/>
              <w:left w:val="single" w:color="auto" w:sz="4" w:space="0"/>
              <w:bottom w:val="single" w:color="auto" w:sz="4" w:space="0"/>
              <w:right w:val="single" w:color="auto" w:sz="12"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砷</w:t>
            </w:r>
          </w:p>
        </w:tc>
        <w:tc>
          <w:tcPr>
            <w:tcW w:w="1026" w:type="dxa"/>
            <w:vMerge w:val="restart"/>
            <w:tcBorders>
              <w:top w:val="nil"/>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textAlignment w:val="center"/>
              <w:rPr>
                <w:rFonts w:ascii="Times New Roman" w:eastAsiaTheme="minorEastAsia"/>
                <w:szCs w:val="21"/>
              </w:rPr>
            </w:pPr>
            <w:r>
              <w:rPr>
                <w:rFonts w:ascii="Times New Roman" w:eastAsiaTheme="minorEastAsia"/>
                <w:szCs w:val="21"/>
              </w:rPr>
              <w:t>mg/kg</w:t>
            </w:r>
          </w:p>
        </w:tc>
        <w:tc>
          <w:tcPr>
            <w:tcW w:w="1345"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60</w:t>
            </w:r>
          </w:p>
        </w:tc>
        <w:tc>
          <w:tcPr>
            <w:tcW w:w="1345" w:type="dxa"/>
            <w:tcBorders>
              <w:top w:val="single" w:color="auto" w:sz="4" w:space="0"/>
              <w:left w:val="single" w:color="auto" w:sz="4" w:space="0"/>
              <w:bottom w:val="single" w:color="auto" w:sz="4" w:space="0"/>
              <w:right w:val="single" w:color="auto" w:sz="12"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镉</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65</w:t>
            </w:r>
          </w:p>
        </w:tc>
        <w:tc>
          <w:tcPr>
            <w:tcW w:w="1345" w:type="dxa"/>
            <w:tcBorders>
              <w:top w:val="single" w:color="auto" w:sz="4" w:space="0"/>
              <w:left w:val="single" w:color="auto" w:sz="4" w:space="0"/>
              <w:bottom w:val="single" w:color="auto" w:sz="4" w:space="0"/>
              <w:right w:val="single" w:color="auto" w:sz="12"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铬（六价）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5.7</w:t>
            </w:r>
          </w:p>
        </w:tc>
        <w:tc>
          <w:tcPr>
            <w:tcW w:w="1345" w:type="dxa"/>
            <w:tcBorders>
              <w:top w:val="single" w:color="auto" w:sz="4" w:space="0"/>
              <w:left w:val="single" w:color="auto" w:sz="4" w:space="0"/>
              <w:bottom w:val="single" w:color="auto" w:sz="4" w:space="0"/>
              <w:right w:val="single" w:color="auto" w:sz="12"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铜</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18000</w:t>
            </w:r>
          </w:p>
        </w:tc>
        <w:tc>
          <w:tcPr>
            <w:tcW w:w="1345" w:type="dxa"/>
            <w:tcBorders>
              <w:top w:val="single" w:color="auto" w:sz="4" w:space="0"/>
              <w:left w:val="single" w:color="auto" w:sz="4" w:space="0"/>
              <w:bottom w:val="single" w:color="auto" w:sz="4" w:space="0"/>
              <w:right w:val="single" w:color="auto" w:sz="12"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铅</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800</w:t>
            </w:r>
          </w:p>
        </w:tc>
        <w:tc>
          <w:tcPr>
            <w:tcW w:w="1345" w:type="dxa"/>
            <w:tcBorders>
              <w:top w:val="single" w:color="auto" w:sz="4" w:space="0"/>
              <w:left w:val="single" w:color="auto" w:sz="4" w:space="0"/>
              <w:bottom w:val="single" w:color="auto" w:sz="4" w:space="0"/>
              <w:right w:val="single" w:color="auto" w:sz="12"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汞</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38</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镍</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900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四氯化碳</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2.8</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氯仿</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0.9</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氯甲烷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37</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1,1-二氯乙烷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9</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1,2-二氯乙烷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1,1-二氯乙烯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66</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顺 1,2-二氯乙烯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596</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反 1,2-二氯乙烯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54</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二氯甲烷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616</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pStyle w:val="358"/>
              <w:kinsoku w:val="0"/>
              <w:overflowPunct w:val="0"/>
              <w:autoSpaceDE w:val="0"/>
              <w:autoSpaceDN w:val="0"/>
              <w:adjustRightInd w:val="0"/>
              <w:snapToGrid w:val="0"/>
              <w:rPr>
                <w:rFonts w:ascii="Times New Roman" w:eastAsiaTheme="minorEastAsia"/>
                <w:szCs w:val="21"/>
              </w:rPr>
            </w:pPr>
            <w:r>
              <w:rPr>
                <w:rFonts w:ascii="Times New Roman" w:eastAsiaTheme="minorEastAsia"/>
                <w:szCs w:val="21"/>
              </w:rPr>
              <w:t>1,2-二氯丙烷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1,1,1,2-四氯乙烷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1,1,2,2-四氯乙烷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6.8</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四氯乙烯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53</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1,1,1-三氯乙烷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840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1,1,2-三氯乙烷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2.8</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三氯乙烯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2.8</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1,2,3-三氯丙烷</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0.5</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氯乙烯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0.43</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4</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氯苯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270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1,2-二氯苯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560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1,4-二氯苯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乙苯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28</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苯乙烯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1290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甲苯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1200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间二甲苯+对二甲苯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570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邻二甲苯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640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硝基苯</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76</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苯胺</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260</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2-氯酚</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2256</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苯并[a]蒽</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15</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苯并[a]芘</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1.5</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苯并[b]荧蒽</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15</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rFonts w:eastAsiaTheme="minorEastAsia"/>
                <w:szCs w:val="21"/>
              </w:rPr>
            </w:pPr>
            <w:r>
              <w:rPr>
                <w:rFonts w:eastAsiaTheme="minorEastAsia"/>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苯并[k]荧蒽</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151</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szCs w:val="21"/>
              </w:rPr>
            </w:pPr>
            <w:r>
              <w:rPr>
                <w:szCs w:val="21"/>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96"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䓛</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1293</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szCs w:val="21"/>
              </w:rPr>
            </w:pPr>
            <w:r>
              <w:rPr>
                <w:szCs w:val="21"/>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二苯并[a,h]蒽</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1.5</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szCs w:val="21"/>
              </w:rPr>
            </w:pPr>
            <w:r>
              <w:rPr>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39" w:hRule="atLeast"/>
          <w:jc w:val="center"/>
        </w:trPr>
        <w:tc>
          <w:tcPr>
            <w:tcW w:w="2470" w:type="dxa"/>
            <w:vMerge w:val="continue"/>
            <w:tcBorders>
              <w:top w:val="nil"/>
              <w:left w:val="single" w:color="auto" w:sz="12" w:space="0"/>
              <w:bottom w:val="single" w:color="auto" w:sz="4"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茚并[1,2,3-cd]芘</w:t>
            </w:r>
          </w:p>
        </w:tc>
        <w:tc>
          <w:tcPr>
            <w:tcW w:w="1026" w:type="dxa"/>
            <w:vMerge w:val="continue"/>
            <w:tcBorders>
              <w:top w:val="nil"/>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rPr>
                <w:szCs w:val="21"/>
              </w:rPr>
            </w:pPr>
          </w:p>
        </w:tc>
        <w:tc>
          <w:tcPr>
            <w:tcW w:w="1345"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15</w:t>
            </w:r>
          </w:p>
        </w:tc>
        <w:tc>
          <w:tcPr>
            <w:tcW w:w="1345" w:type="dxa"/>
            <w:tcBorders>
              <w:top w:val="single" w:color="auto" w:sz="4" w:space="0"/>
              <w:left w:val="single" w:color="auto" w:sz="4" w:space="0"/>
              <w:bottom w:val="single" w:color="auto" w:sz="4" w:space="0"/>
              <w:right w:val="single" w:color="auto" w:sz="12" w:space="0"/>
            </w:tcBorders>
            <w:vAlign w:val="center"/>
          </w:tcPr>
          <w:p>
            <w:pPr>
              <w:kinsoku w:val="0"/>
              <w:overflowPunct w:val="0"/>
              <w:autoSpaceDE w:val="0"/>
              <w:autoSpaceDN w:val="0"/>
              <w:adjustRightInd w:val="0"/>
              <w:snapToGrid w:val="0"/>
              <w:jc w:val="center"/>
              <w:rPr>
                <w:szCs w:val="21"/>
              </w:rPr>
            </w:pPr>
            <w:r>
              <w:rPr>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cantSplit/>
          <w:trHeight w:val="170" w:hRule="atLeast"/>
          <w:jc w:val="center"/>
        </w:trPr>
        <w:tc>
          <w:tcPr>
            <w:tcW w:w="2470" w:type="dxa"/>
            <w:vMerge w:val="continue"/>
            <w:tcBorders>
              <w:top w:val="nil"/>
              <w:left w:val="single" w:color="auto" w:sz="12" w:space="0"/>
              <w:bottom w:val="single" w:color="auto" w:sz="12" w:space="0"/>
              <w:right w:val="single" w:color="auto" w:sz="4" w:space="0"/>
            </w:tcBorders>
            <w:vAlign w:val="center"/>
          </w:tcPr>
          <w:p>
            <w:pPr>
              <w:kinsoku w:val="0"/>
              <w:overflowPunct w:val="0"/>
              <w:autoSpaceDE w:val="0"/>
              <w:autoSpaceDN w:val="0"/>
              <w:adjustRightInd w:val="0"/>
              <w:snapToGrid w:val="0"/>
              <w:rPr>
                <w:rFonts w:eastAsiaTheme="minorEastAsia"/>
                <w:szCs w:val="21"/>
              </w:rPr>
            </w:pPr>
          </w:p>
        </w:tc>
        <w:tc>
          <w:tcPr>
            <w:tcW w:w="2240" w:type="dxa"/>
            <w:tcBorders>
              <w:top w:val="single" w:color="auto" w:sz="4" w:space="0"/>
              <w:left w:val="single" w:color="auto" w:sz="4" w:space="0"/>
              <w:bottom w:val="single" w:color="auto" w:sz="12"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萘</w:t>
            </w:r>
          </w:p>
        </w:tc>
        <w:tc>
          <w:tcPr>
            <w:tcW w:w="1026" w:type="dxa"/>
            <w:vMerge w:val="continue"/>
            <w:tcBorders>
              <w:top w:val="nil"/>
              <w:left w:val="single" w:color="auto" w:sz="4" w:space="0"/>
              <w:bottom w:val="single" w:color="auto" w:sz="12" w:space="0"/>
              <w:right w:val="single" w:color="auto" w:sz="4" w:space="0"/>
            </w:tcBorders>
            <w:vAlign w:val="center"/>
          </w:tcPr>
          <w:p>
            <w:pPr>
              <w:kinsoku w:val="0"/>
              <w:overflowPunct w:val="0"/>
              <w:autoSpaceDE w:val="0"/>
              <w:autoSpaceDN w:val="0"/>
              <w:adjustRightInd w:val="0"/>
              <w:snapToGrid w:val="0"/>
              <w:rPr>
                <w:szCs w:val="21"/>
              </w:rPr>
            </w:pPr>
          </w:p>
        </w:tc>
        <w:tc>
          <w:tcPr>
            <w:tcW w:w="1345" w:type="dxa"/>
            <w:tcBorders>
              <w:top w:val="single" w:color="auto" w:sz="4" w:space="0"/>
              <w:left w:val="single" w:color="auto" w:sz="4" w:space="0"/>
              <w:bottom w:val="single" w:color="auto" w:sz="12" w:space="0"/>
              <w:right w:val="single" w:color="auto" w:sz="4" w:space="0"/>
            </w:tcBorders>
            <w:vAlign w:val="center"/>
          </w:tcPr>
          <w:p>
            <w:pPr>
              <w:kinsoku w:val="0"/>
              <w:overflowPunct w:val="0"/>
              <w:autoSpaceDE w:val="0"/>
              <w:autoSpaceDN w:val="0"/>
              <w:adjustRightInd w:val="0"/>
              <w:snapToGrid w:val="0"/>
              <w:jc w:val="center"/>
              <w:rPr>
                <w:szCs w:val="21"/>
              </w:rPr>
            </w:pPr>
            <w:r>
              <w:rPr>
                <w:szCs w:val="21"/>
              </w:rPr>
              <w:t>70</w:t>
            </w:r>
          </w:p>
        </w:tc>
        <w:tc>
          <w:tcPr>
            <w:tcW w:w="1345" w:type="dxa"/>
            <w:tcBorders>
              <w:top w:val="single" w:color="auto" w:sz="4" w:space="0"/>
              <w:left w:val="single" w:color="auto" w:sz="4" w:space="0"/>
              <w:bottom w:val="single" w:color="auto" w:sz="12" w:space="0"/>
              <w:right w:val="single" w:color="auto" w:sz="12" w:space="0"/>
            </w:tcBorders>
            <w:vAlign w:val="center"/>
          </w:tcPr>
          <w:p>
            <w:pPr>
              <w:kinsoku w:val="0"/>
              <w:overflowPunct w:val="0"/>
              <w:autoSpaceDE w:val="0"/>
              <w:autoSpaceDN w:val="0"/>
              <w:adjustRightInd w:val="0"/>
              <w:snapToGrid w:val="0"/>
              <w:jc w:val="center"/>
              <w:rPr>
                <w:szCs w:val="21"/>
              </w:rPr>
            </w:pPr>
            <w:r>
              <w:rPr>
                <w:szCs w:val="21"/>
              </w:rPr>
              <w:t>700</w:t>
            </w:r>
          </w:p>
        </w:tc>
      </w:tr>
    </w:tbl>
    <w:p>
      <w:pPr>
        <w:pStyle w:val="831"/>
        <w:adjustRightInd w:val="0"/>
        <w:snapToGrid w:val="0"/>
        <w:spacing w:before="156" w:beforeLines="50" w:after="156" w:afterLines="50" w:line="360" w:lineRule="auto"/>
        <w:outlineLvl w:val="3"/>
        <w:rPr>
          <w:rFonts w:cs="Times New Roman"/>
        </w:rPr>
      </w:pPr>
      <w:bookmarkStart w:id="88" w:name="_Toc489432961"/>
      <w:bookmarkStart w:id="89" w:name="_Toc143762289"/>
      <w:r>
        <w:rPr>
          <w:rFonts w:cs="Times New Roman"/>
        </w:rPr>
        <w:t>2.2.2.2污染物排放标准</w:t>
      </w:r>
      <w:bookmarkEnd w:id="88"/>
      <w:bookmarkEnd w:id="89"/>
    </w:p>
    <w:p>
      <w:pPr>
        <w:pStyle w:val="825"/>
        <w:ind w:firstLine="480"/>
      </w:pPr>
      <w:r>
        <w:fldChar w:fldCharType="begin"/>
      </w:r>
      <w:r>
        <w:instrText xml:space="preserve"> = 1 \* Arabic </w:instrText>
      </w:r>
      <w:r>
        <w:fldChar w:fldCharType="separate"/>
      </w:r>
      <w:r>
        <w:t>1</w:t>
      </w:r>
      <w:r>
        <w:fldChar w:fldCharType="end"/>
      </w:r>
      <w:r>
        <w:t>、大气污染物排放</w:t>
      </w:r>
    </w:p>
    <w:p>
      <w:pPr>
        <w:pStyle w:val="825"/>
        <w:ind w:firstLine="480"/>
      </w:pPr>
      <w:r>
        <w:rPr>
          <w:rFonts w:hint="eastAsia"/>
        </w:rPr>
        <w:t>填埋场</w:t>
      </w:r>
      <w:r>
        <w:t>臭气场界浓度执行《恶臭污染物排放标准》（GB14554-93）表1的二级新扩改标准，详见表2.2-4。填埋时产生粉尘执行《大气污染物</w:t>
      </w:r>
      <w:r>
        <w:rPr>
          <w:rFonts w:hint="eastAsia"/>
        </w:rPr>
        <w:t>综合</w:t>
      </w:r>
      <w:r>
        <w:t>排放标准》（GB16297-1996）中新污染源大气污染物排放限值表中关于颗粒物无组织排放监控浓度限值标准（表2.4-4）。</w:t>
      </w:r>
      <w:r>
        <w:rPr>
          <w:rFonts w:hint="eastAsia"/>
        </w:rPr>
        <w:t>甲烷参照执行《生活垃圾填埋场污染控制标准》（GB16889-2008）中“填埋工作面上 2 m 以下高度范围内甲烷的体积百分比应不大于 0.1%、当通过导气管道直接排放填埋气体时，导气管排放口的甲烷体积分数不大于5%”的要求。</w:t>
      </w:r>
    </w:p>
    <w:p>
      <w:pPr>
        <w:spacing w:line="360" w:lineRule="exact"/>
        <w:ind w:firstLine="466"/>
        <w:jc w:val="center"/>
        <w:rPr>
          <w:b/>
          <w:bCs/>
          <w:spacing w:val="-4"/>
          <w:sz w:val="24"/>
        </w:rPr>
      </w:pPr>
      <w:r>
        <w:rPr>
          <w:b/>
          <w:bCs/>
          <w:spacing w:val="-4"/>
          <w:sz w:val="24"/>
        </w:rPr>
        <w:t xml:space="preserve">表2.2-4   </w:t>
      </w:r>
      <w:r>
        <w:rPr>
          <w:rFonts w:hint="eastAsia"/>
          <w:b/>
          <w:bCs/>
          <w:spacing w:val="-4"/>
          <w:sz w:val="24"/>
        </w:rPr>
        <w:t>运营期污染物排放标准</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14"/>
        <w:gridCol w:w="1607"/>
        <w:gridCol w:w="1314"/>
        <w:gridCol w:w="2042"/>
        <w:gridCol w:w="28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4" w:hRule="atLeast"/>
        </w:trPr>
        <w:tc>
          <w:tcPr>
            <w:tcW w:w="419" w:type="pct"/>
            <w:vAlign w:val="center"/>
          </w:tcPr>
          <w:p>
            <w:pPr>
              <w:adjustRightInd w:val="0"/>
              <w:snapToGrid w:val="0"/>
              <w:jc w:val="center"/>
              <w:rPr>
                <w:kern w:val="0"/>
                <w:szCs w:val="21"/>
              </w:rPr>
            </w:pPr>
            <w:r>
              <w:rPr>
                <w:kern w:val="0"/>
                <w:szCs w:val="21"/>
              </w:rPr>
              <w:t>序号</w:t>
            </w:r>
          </w:p>
        </w:tc>
        <w:tc>
          <w:tcPr>
            <w:tcW w:w="943" w:type="pct"/>
            <w:vAlign w:val="center"/>
          </w:tcPr>
          <w:p>
            <w:pPr>
              <w:adjustRightInd w:val="0"/>
              <w:snapToGrid w:val="0"/>
              <w:jc w:val="center"/>
              <w:rPr>
                <w:kern w:val="0"/>
                <w:szCs w:val="21"/>
              </w:rPr>
            </w:pPr>
            <w:r>
              <w:rPr>
                <w:kern w:val="0"/>
                <w:szCs w:val="21"/>
              </w:rPr>
              <w:t>控制项目</w:t>
            </w:r>
          </w:p>
        </w:tc>
        <w:tc>
          <w:tcPr>
            <w:tcW w:w="771" w:type="pct"/>
            <w:vAlign w:val="center"/>
          </w:tcPr>
          <w:p>
            <w:pPr>
              <w:adjustRightInd w:val="0"/>
              <w:snapToGrid w:val="0"/>
              <w:jc w:val="center"/>
              <w:rPr>
                <w:kern w:val="0"/>
                <w:szCs w:val="21"/>
              </w:rPr>
            </w:pPr>
            <w:r>
              <w:rPr>
                <w:kern w:val="0"/>
                <w:szCs w:val="21"/>
              </w:rPr>
              <w:t>单位</w:t>
            </w:r>
          </w:p>
        </w:tc>
        <w:tc>
          <w:tcPr>
            <w:tcW w:w="1198" w:type="pct"/>
            <w:vAlign w:val="center"/>
          </w:tcPr>
          <w:p>
            <w:pPr>
              <w:adjustRightInd w:val="0"/>
              <w:snapToGrid w:val="0"/>
              <w:jc w:val="center"/>
              <w:rPr>
                <w:kern w:val="0"/>
                <w:szCs w:val="21"/>
              </w:rPr>
            </w:pPr>
            <w:r>
              <w:rPr>
                <w:rFonts w:hint="eastAsia"/>
                <w:kern w:val="0"/>
                <w:szCs w:val="21"/>
              </w:rPr>
              <w:t>标准限值</w:t>
            </w:r>
          </w:p>
        </w:tc>
        <w:tc>
          <w:tcPr>
            <w:tcW w:w="1669" w:type="pct"/>
            <w:vAlign w:val="center"/>
          </w:tcPr>
          <w:p>
            <w:pPr>
              <w:adjustRightInd w:val="0"/>
              <w:snapToGrid w:val="0"/>
              <w:jc w:val="center"/>
              <w:rPr>
                <w:kern w:val="0"/>
                <w:szCs w:val="21"/>
              </w:rPr>
            </w:pPr>
            <w:r>
              <w:rPr>
                <w:rFonts w:hint="eastAsia"/>
                <w:kern w:val="0"/>
                <w:szCs w:val="21"/>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pPr>
              <w:adjustRightInd w:val="0"/>
              <w:snapToGrid w:val="0"/>
              <w:jc w:val="center"/>
              <w:rPr>
                <w:kern w:val="0"/>
                <w:szCs w:val="21"/>
              </w:rPr>
            </w:pPr>
            <w:r>
              <w:rPr>
                <w:kern w:val="0"/>
                <w:szCs w:val="21"/>
              </w:rPr>
              <w:t>1</w:t>
            </w:r>
          </w:p>
        </w:tc>
        <w:tc>
          <w:tcPr>
            <w:tcW w:w="943" w:type="pct"/>
            <w:vAlign w:val="center"/>
          </w:tcPr>
          <w:p>
            <w:pPr>
              <w:adjustRightInd w:val="0"/>
              <w:snapToGrid w:val="0"/>
              <w:jc w:val="center"/>
              <w:rPr>
                <w:kern w:val="0"/>
                <w:szCs w:val="21"/>
              </w:rPr>
            </w:pPr>
            <w:r>
              <w:rPr>
                <w:kern w:val="0"/>
                <w:szCs w:val="21"/>
              </w:rPr>
              <w:t>氨</w:t>
            </w:r>
          </w:p>
        </w:tc>
        <w:tc>
          <w:tcPr>
            <w:tcW w:w="771" w:type="pct"/>
            <w:vAlign w:val="center"/>
          </w:tcPr>
          <w:p>
            <w:pPr>
              <w:adjustRightInd w:val="0"/>
              <w:snapToGrid w:val="0"/>
              <w:jc w:val="center"/>
              <w:rPr>
                <w:kern w:val="0"/>
                <w:szCs w:val="21"/>
              </w:rPr>
            </w:pPr>
            <w:r>
              <w:rPr>
                <w:kern w:val="0"/>
                <w:szCs w:val="21"/>
              </w:rPr>
              <w:t>mg/m</w:t>
            </w:r>
            <w:r>
              <w:rPr>
                <w:kern w:val="0"/>
                <w:szCs w:val="21"/>
                <w:vertAlign w:val="superscript"/>
              </w:rPr>
              <w:t>3</w:t>
            </w:r>
          </w:p>
        </w:tc>
        <w:tc>
          <w:tcPr>
            <w:tcW w:w="1198" w:type="pct"/>
            <w:vAlign w:val="center"/>
          </w:tcPr>
          <w:p>
            <w:pPr>
              <w:adjustRightInd w:val="0"/>
              <w:snapToGrid w:val="0"/>
              <w:jc w:val="center"/>
              <w:rPr>
                <w:kern w:val="0"/>
                <w:szCs w:val="21"/>
              </w:rPr>
            </w:pPr>
            <w:r>
              <w:rPr>
                <w:kern w:val="0"/>
                <w:szCs w:val="21"/>
              </w:rPr>
              <w:t>1.5</w:t>
            </w:r>
          </w:p>
        </w:tc>
        <w:tc>
          <w:tcPr>
            <w:tcW w:w="1669" w:type="pct"/>
            <w:vMerge w:val="restart"/>
            <w:vAlign w:val="center"/>
          </w:tcPr>
          <w:p>
            <w:pPr>
              <w:adjustRightInd w:val="0"/>
              <w:snapToGrid w:val="0"/>
              <w:jc w:val="center"/>
              <w:rPr>
                <w:kern w:val="0"/>
                <w:szCs w:val="21"/>
              </w:rPr>
            </w:pPr>
            <w:r>
              <w:rPr>
                <w:rFonts w:hint="eastAsia"/>
                <w:kern w:val="0"/>
                <w:szCs w:val="21"/>
              </w:rPr>
              <w:t>《恶臭污染物排放标准》（GB14554-93）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pPr>
              <w:adjustRightInd w:val="0"/>
              <w:snapToGrid w:val="0"/>
              <w:jc w:val="center"/>
              <w:rPr>
                <w:kern w:val="0"/>
                <w:szCs w:val="21"/>
              </w:rPr>
            </w:pPr>
            <w:r>
              <w:rPr>
                <w:kern w:val="0"/>
                <w:szCs w:val="21"/>
              </w:rPr>
              <w:t>2</w:t>
            </w:r>
          </w:p>
        </w:tc>
        <w:tc>
          <w:tcPr>
            <w:tcW w:w="943" w:type="pct"/>
            <w:vAlign w:val="center"/>
          </w:tcPr>
          <w:p>
            <w:pPr>
              <w:adjustRightInd w:val="0"/>
              <w:snapToGrid w:val="0"/>
              <w:jc w:val="center"/>
              <w:rPr>
                <w:kern w:val="0"/>
                <w:szCs w:val="21"/>
              </w:rPr>
            </w:pPr>
            <w:r>
              <w:rPr>
                <w:kern w:val="0"/>
                <w:szCs w:val="21"/>
              </w:rPr>
              <w:t>硫化氢</w:t>
            </w:r>
          </w:p>
        </w:tc>
        <w:tc>
          <w:tcPr>
            <w:tcW w:w="771" w:type="pct"/>
            <w:vAlign w:val="center"/>
          </w:tcPr>
          <w:p>
            <w:pPr>
              <w:adjustRightInd w:val="0"/>
              <w:snapToGrid w:val="0"/>
              <w:jc w:val="center"/>
              <w:rPr>
                <w:kern w:val="0"/>
                <w:szCs w:val="21"/>
              </w:rPr>
            </w:pPr>
            <w:r>
              <w:rPr>
                <w:kern w:val="0"/>
                <w:szCs w:val="21"/>
              </w:rPr>
              <w:t>mg/m</w:t>
            </w:r>
            <w:r>
              <w:rPr>
                <w:kern w:val="0"/>
                <w:szCs w:val="21"/>
                <w:vertAlign w:val="superscript"/>
              </w:rPr>
              <w:t>3</w:t>
            </w:r>
          </w:p>
        </w:tc>
        <w:tc>
          <w:tcPr>
            <w:tcW w:w="1198" w:type="pct"/>
            <w:vAlign w:val="center"/>
          </w:tcPr>
          <w:p>
            <w:pPr>
              <w:adjustRightInd w:val="0"/>
              <w:snapToGrid w:val="0"/>
              <w:jc w:val="center"/>
              <w:rPr>
                <w:kern w:val="0"/>
                <w:szCs w:val="21"/>
              </w:rPr>
            </w:pPr>
            <w:r>
              <w:rPr>
                <w:kern w:val="0"/>
                <w:szCs w:val="21"/>
              </w:rPr>
              <w:t>0.06</w:t>
            </w:r>
          </w:p>
        </w:tc>
        <w:tc>
          <w:tcPr>
            <w:tcW w:w="1669" w:type="pct"/>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pPr>
              <w:adjustRightInd w:val="0"/>
              <w:snapToGrid w:val="0"/>
              <w:jc w:val="center"/>
              <w:rPr>
                <w:kern w:val="0"/>
                <w:szCs w:val="21"/>
              </w:rPr>
            </w:pPr>
            <w:r>
              <w:rPr>
                <w:kern w:val="0"/>
                <w:szCs w:val="21"/>
              </w:rPr>
              <w:t>3</w:t>
            </w:r>
          </w:p>
        </w:tc>
        <w:tc>
          <w:tcPr>
            <w:tcW w:w="943" w:type="pct"/>
            <w:vAlign w:val="center"/>
          </w:tcPr>
          <w:p>
            <w:pPr>
              <w:adjustRightInd w:val="0"/>
              <w:snapToGrid w:val="0"/>
              <w:jc w:val="center"/>
              <w:rPr>
                <w:kern w:val="0"/>
                <w:szCs w:val="21"/>
              </w:rPr>
            </w:pPr>
            <w:r>
              <w:rPr>
                <w:kern w:val="0"/>
                <w:szCs w:val="21"/>
              </w:rPr>
              <w:t>臭气浓度</w:t>
            </w:r>
          </w:p>
        </w:tc>
        <w:tc>
          <w:tcPr>
            <w:tcW w:w="771" w:type="pct"/>
            <w:vAlign w:val="center"/>
          </w:tcPr>
          <w:p>
            <w:pPr>
              <w:adjustRightInd w:val="0"/>
              <w:snapToGrid w:val="0"/>
              <w:jc w:val="center"/>
              <w:rPr>
                <w:kern w:val="0"/>
                <w:szCs w:val="21"/>
              </w:rPr>
            </w:pPr>
            <w:r>
              <w:rPr>
                <w:kern w:val="0"/>
                <w:szCs w:val="21"/>
              </w:rPr>
              <w:t>无量纲</w:t>
            </w:r>
          </w:p>
        </w:tc>
        <w:tc>
          <w:tcPr>
            <w:tcW w:w="1198" w:type="pct"/>
            <w:vAlign w:val="center"/>
          </w:tcPr>
          <w:p>
            <w:pPr>
              <w:adjustRightInd w:val="0"/>
              <w:snapToGrid w:val="0"/>
              <w:jc w:val="center"/>
              <w:rPr>
                <w:kern w:val="0"/>
                <w:szCs w:val="21"/>
              </w:rPr>
            </w:pPr>
            <w:r>
              <w:rPr>
                <w:kern w:val="0"/>
                <w:szCs w:val="21"/>
              </w:rPr>
              <w:t>20</w:t>
            </w:r>
          </w:p>
        </w:tc>
        <w:tc>
          <w:tcPr>
            <w:tcW w:w="1669" w:type="pct"/>
            <w:vMerge w:val="continue"/>
            <w:vAlign w:val="center"/>
          </w:tcPr>
          <w:p>
            <w:pPr>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Align w:val="center"/>
          </w:tcPr>
          <w:p>
            <w:pPr>
              <w:adjustRightInd w:val="0"/>
              <w:snapToGrid w:val="0"/>
              <w:jc w:val="center"/>
              <w:rPr>
                <w:kern w:val="0"/>
                <w:szCs w:val="21"/>
              </w:rPr>
            </w:pPr>
            <w:r>
              <w:rPr>
                <w:rFonts w:hint="eastAsia"/>
                <w:kern w:val="0"/>
                <w:szCs w:val="21"/>
              </w:rPr>
              <w:t>4</w:t>
            </w:r>
          </w:p>
        </w:tc>
        <w:tc>
          <w:tcPr>
            <w:tcW w:w="943" w:type="pct"/>
            <w:vAlign w:val="center"/>
          </w:tcPr>
          <w:p>
            <w:pPr>
              <w:adjustRightInd w:val="0"/>
              <w:snapToGrid w:val="0"/>
              <w:jc w:val="center"/>
              <w:rPr>
                <w:kern w:val="0"/>
                <w:szCs w:val="21"/>
              </w:rPr>
            </w:pPr>
            <w:r>
              <w:rPr>
                <w:rFonts w:hint="eastAsia"/>
                <w:kern w:val="0"/>
                <w:szCs w:val="21"/>
              </w:rPr>
              <w:t>T</w:t>
            </w:r>
            <w:r>
              <w:rPr>
                <w:kern w:val="0"/>
                <w:szCs w:val="21"/>
              </w:rPr>
              <w:t>SP</w:t>
            </w:r>
          </w:p>
        </w:tc>
        <w:tc>
          <w:tcPr>
            <w:tcW w:w="771" w:type="pct"/>
            <w:vAlign w:val="center"/>
          </w:tcPr>
          <w:p>
            <w:pPr>
              <w:adjustRightInd w:val="0"/>
              <w:snapToGrid w:val="0"/>
              <w:jc w:val="center"/>
              <w:rPr>
                <w:kern w:val="0"/>
                <w:szCs w:val="21"/>
              </w:rPr>
            </w:pPr>
            <w:r>
              <w:rPr>
                <w:kern w:val="0"/>
                <w:szCs w:val="21"/>
              </w:rPr>
              <w:t>mg/m</w:t>
            </w:r>
            <w:r>
              <w:rPr>
                <w:kern w:val="0"/>
                <w:szCs w:val="21"/>
                <w:vertAlign w:val="superscript"/>
              </w:rPr>
              <w:t>3</w:t>
            </w:r>
          </w:p>
        </w:tc>
        <w:tc>
          <w:tcPr>
            <w:tcW w:w="1198" w:type="pct"/>
            <w:vAlign w:val="center"/>
          </w:tcPr>
          <w:p>
            <w:pPr>
              <w:adjustRightInd w:val="0"/>
              <w:snapToGrid w:val="0"/>
              <w:jc w:val="center"/>
              <w:rPr>
                <w:kern w:val="0"/>
                <w:szCs w:val="21"/>
              </w:rPr>
            </w:pPr>
            <w:r>
              <w:rPr>
                <w:rFonts w:hint="eastAsia"/>
                <w:kern w:val="0"/>
                <w:szCs w:val="21"/>
              </w:rPr>
              <w:t>1</w:t>
            </w:r>
            <w:r>
              <w:rPr>
                <w:kern w:val="0"/>
                <w:szCs w:val="21"/>
              </w:rPr>
              <w:t>.0</w:t>
            </w:r>
          </w:p>
        </w:tc>
        <w:tc>
          <w:tcPr>
            <w:tcW w:w="1669" w:type="pct"/>
            <w:vAlign w:val="center"/>
          </w:tcPr>
          <w:p>
            <w:pPr>
              <w:adjustRightInd w:val="0"/>
              <w:snapToGrid w:val="0"/>
              <w:jc w:val="center"/>
              <w:rPr>
                <w:kern w:val="0"/>
                <w:szCs w:val="21"/>
              </w:rPr>
            </w:pPr>
            <w:r>
              <w:rPr>
                <w:rFonts w:hint="eastAsia"/>
                <w:kern w:val="0"/>
                <w:szCs w:val="21"/>
              </w:rPr>
              <w:t>《大气污染物综合排放标准》（GB16297-1996）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Merge w:val="restart"/>
            <w:vAlign w:val="center"/>
          </w:tcPr>
          <w:p>
            <w:pPr>
              <w:adjustRightInd w:val="0"/>
              <w:snapToGrid w:val="0"/>
              <w:jc w:val="center"/>
              <w:rPr>
                <w:kern w:val="0"/>
                <w:szCs w:val="21"/>
              </w:rPr>
            </w:pPr>
            <w:r>
              <w:rPr>
                <w:kern w:val="0"/>
                <w:szCs w:val="21"/>
              </w:rPr>
              <w:t>5</w:t>
            </w:r>
          </w:p>
        </w:tc>
        <w:tc>
          <w:tcPr>
            <w:tcW w:w="943" w:type="pct"/>
            <w:vMerge w:val="restart"/>
            <w:vAlign w:val="center"/>
          </w:tcPr>
          <w:p>
            <w:pPr>
              <w:adjustRightInd w:val="0"/>
              <w:snapToGrid w:val="0"/>
              <w:jc w:val="center"/>
              <w:rPr>
                <w:kern w:val="0"/>
                <w:szCs w:val="21"/>
              </w:rPr>
            </w:pPr>
            <w:r>
              <w:rPr>
                <w:rFonts w:hint="eastAsia"/>
                <w:kern w:val="0"/>
                <w:szCs w:val="21"/>
              </w:rPr>
              <w:t>甲烷</w:t>
            </w:r>
          </w:p>
        </w:tc>
        <w:tc>
          <w:tcPr>
            <w:tcW w:w="1969" w:type="pct"/>
            <w:gridSpan w:val="2"/>
            <w:vAlign w:val="center"/>
          </w:tcPr>
          <w:p>
            <w:pPr>
              <w:adjustRightInd w:val="0"/>
              <w:snapToGrid w:val="0"/>
              <w:jc w:val="center"/>
              <w:rPr>
                <w:kern w:val="0"/>
                <w:szCs w:val="21"/>
              </w:rPr>
            </w:pPr>
            <w:r>
              <w:rPr>
                <w:rFonts w:hint="eastAsia"/>
                <w:kern w:val="0"/>
                <w:szCs w:val="21"/>
              </w:rPr>
              <w:t>填埋工作面上2m以下高度范围内甲烷的体积分数应不大于0.1%</w:t>
            </w:r>
          </w:p>
        </w:tc>
        <w:tc>
          <w:tcPr>
            <w:tcW w:w="1669" w:type="pct"/>
            <w:vMerge w:val="restart"/>
            <w:vAlign w:val="center"/>
          </w:tcPr>
          <w:p>
            <w:pPr>
              <w:adjustRightInd w:val="0"/>
              <w:snapToGrid w:val="0"/>
              <w:jc w:val="center"/>
              <w:rPr>
                <w:kern w:val="0"/>
                <w:szCs w:val="21"/>
              </w:rPr>
            </w:pPr>
            <w:r>
              <w:rPr>
                <w:rFonts w:hint="eastAsia"/>
                <w:kern w:val="0"/>
                <w:szCs w:val="21"/>
              </w:rPr>
              <w:t>《生活垃圾填埋场污染控制标准》（GB16889-2008）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19" w:type="pct"/>
            <w:vMerge w:val="continue"/>
            <w:vAlign w:val="center"/>
          </w:tcPr>
          <w:p>
            <w:pPr>
              <w:adjustRightInd w:val="0"/>
              <w:snapToGrid w:val="0"/>
              <w:jc w:val="center"/>
              <w:rPr>
                <w:kern w:val="0"/>
                <w:szCs w:val="21"/>
              </w:rPr>
            </w:pPr>
          </w:p>
        </w:tc>
        <w:tc>
          <w:tcPr>
            <w:tcW w:w="943" w:type="pct"/>
            <w:vMerge w:val="continue"/>
            <w:vAlign w:val="center"/>
          </w:tcPr>
          <w:p>
            <w:pPr>
              <w:adjustRightInd w:val="0"/>
              <w:snapToGrid w:val="0"/>
              <w:jc w:val="center"/>
              <w:rPr>
                <w:kern w:val="0"/>
                <w:szCs w:val="21"/>
              </w:rPr>
            </w:pPr>
          </w:p>
        </w:tc>
        <w:tc>
          <w:tcPr>
            <w:tcW w:w="1969" w:type="pct"/>
            <w:gridSpan w:val="2"/>
            <w:vAlign w:val="center"/>
          </w:tcPr>
          <w:p>
            <w:pPr>
              <w:pStyle w:val="972"/>
              <w:snapToGrid w:val="0"/>
              <w:jc w:val="center"/>
              <w:rPr>
                <w:color w:val="auto"/>
                <w:szCs w:val="21"/>
              </w:rPr>
            </w:pPr>
            <w:r>
              <w:rPr>
                <w:rFonts w:hint="eastAsia"/>
                <w:color w:val="auto"/>
                <w:sz w:val="21"/>
                <w:szCs w:val="21"/>
              </w:rPr>
              <w:t>生活垃圾填埋场应采取甲烷减排措施；当通过导气管道直接排放填埋气体时，导气管排放口的甲烷体积分数不大于</w:t>
            </w:r>
            <w:r>
              <w:rPr>
                <w:rFonts w:ascii="Times New Roman" w:cs="Times New Roman"/>
                <w:color w:val="auto"/>
                <w:sz w:val="21"/>
                <w:szCs w:val="21"/>
              </w:rPr>
              <w:t>5%</w:t>
            </w:r>
          </w:p>
        </w:tc>
        <w:tc>
          <w:tcPr>
            <w:tcW w:w="1669" w:type="pct"/>
            <w:vMerge w:val="continue"/>
            <w:vAlign w:val="center"/>
          </w:tcPr>
          <w:p>
            <w:pPr>
              <w:adjustRightInd w:val="0"/>
              <w:snapToGrid w:val="0"/>
              <w:jc w:val="center"/>
              <w:rPr>
                <w:kern w:val="0"/>
                <w:szCs w:val="21"/>
              </w:rPr>
            </w:pPr>
          </w:p>
        </w:tc>
      </w:tr>
    </w:tbl>
    <w:p>
      <w:pPr>
        <w:rPr>
          <w:szCs w:val="21"/>
        </w:rPr>
      </w:pPr>
    </w:p>
    <w:p>
      <w:pPr>
        <w:pStyle w:val="825"/>
        <w:ind w:firstLine="480"/>
        <w:rPr>
          <w:color w:val="FF0000"/>
        </w:rPr>
      </w:pPr>
      <w:r>
        <w:rPr>
          <w:color w:val="FF0000"/>
        </w:rPr>
        <w:fldChar w:fldCharType="begin"/>
      </w:r>
      <w:r>
        <w:rPr>
          <w:color w:val="FF0000"/>
        </w:rPr>
        <w:instrText xml:space="preserve"> = 2 \* Arabic </w:instrText>
      </w:r>
      <w:r>
        <w:rPr>
          <w:color w:val="FF0000"/>
        </w:rPr>
        <w:fldChar w:fldCharType="separate"/>
      </w:r>
      <w:r>
        <w:rPr>
          <w:color w:val="FF0000"/>
        </w:rPr>
        <w:t>2</w:t>
      </w:r>
      <w:r>
        <w:rPr>
          <w:color w:val="FF0000"/>
        </w:rPr>
        <w:fldChar w:fldCharType="end"/>
      </w:r>
      <w:r>
        <w:rPr>
          <w:color w:val="FF0000"/>
        </w:rPr>
        <w:t>、水污染物排放</w:t>
      </w:r>
    </w:p>
    <w:p>
      <w:pPr>
        <w:pStyle w:val="825"/>
        <w:ind w:firstLine="480"/>
        <w:rPr>
          <w:color w:val="FF0000"/>
        </w:rPr>
      </w:pPr>
      <w:r>
        <w:rPr>
          <w:color w:val="FF0000"/>
        </w:rPr>
        <w:t>运营期</w:t>
      </w:r>
      <w:r>
        <w:rPr>
          <w:rFonts w:hint="eastAsia"/>
          <w:color w:val="FF0000"/>
        </w:rPr>
        <w:t>生活废水、</w:t>
      </w:r>
      <w:r>
        <w:rPr>
          <w:rFonts w:hint="eastAsia"/>
          <w:color w:val="548235" w:themeColor="accent6" w:themeShade="BF"/>
        </w:rPr>
        <w:t>反渗透膜冲洗废水</w:t>
      </w:r>
      <w:r>
        <w:rPr>
          <w:rFonts w:hint="eastAsia"/>
          <w:color w:val="FF0000"/>
        </w:rPr>
        <w:t>同填埋场渗滤液一并排入渗滤液处理站</w:t>
      </w:r>
      <w:r>
        <w:rPr>
          <w:color w:val="FF0000"/>
        </w:rPr>
        <w:t>经处理达标后回用，项目渗滤液处理</w:t>
      </w:r>
      <w:r>
        <w:rPr>
          <w:rFonts w:hint="eastAsia"/>
          <w:color w:val="FF0000"/>
        </w:rPr>
        <w:t>站处理达到</w:t>
      </w:r>
      <w:r>
        <w:rPr>
          <w:color w:val="FF0000"/>
        </w:rPr>
        <w:t>《生活垃圾填埋场污染控制标准》(GB16889-2008)中表2现有和新建生活垃圾填埋场水污染物排放浓度限值，</w:t>
      </w:r>
      <w:r>
        <w:rPr>
          <w:rFonts w:hint="eastAsia"/>
          <w:color w:val="FF0000"/>
        </w:rPr>
        <w:t>废水回用参照执行《城市污水再生利用城市杂用水水质》（GB/T18920-2020）城市绿化标准，项目产生废水全部回用，不外排，详见</w:t>
      </w:r>
      <w:r>
        <w:rPr>
          <w:color w:val="FF0000"/>
        </w:rPr>
        <w:t>详见表2.2-5</w:t>
      </w:r>
      <w:r>
        <w:rPr>
          <w:rFonts w:hint="eastAsia"/>
          <w:color w:val="FF0000"/>
        </w:rPr>
        <w:t>、表2.2-</w:t>
      </w:r>
      <w:r>
        <w:rPr>
          <w:color w:val="FF0000"/>
        </w:rPr>
        <w:t>6。</w:t>
      </w:r>
    </w:p>
    <w:p>
      <w:pPr>
        <w:spacing w:line="360" w:lineRule="exact"/>
        <w:ind w:firstLine="466"/>
        <w:jc w:val="center"/>
        <w:rPr>
          <w:b/>
          <w:bCs/>
          <w:spacing w:val="-4"/>
          <w:sz w:val="24"/>
        </w:rPr>
      </w:pPr>
      <w:r>
        <w:rPr>
          <w:b/>
          <w:bCs/>
          <w:spacing w:val="-4"/>
          <w:sz w:val="24"/>
        </w:rPr>
        <w:t>表2.2-5   现有和新建生活垃圾填埋场水污染物排放浓度限值</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17"/>
        <w:gridCol w:w="1451"/>
        <w:gridCol w:w="1454"/>
        <w:gridCol w:w="300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项目</w:t>
            </w:r>
          </w:p>
        </w:tc>
        <w:tc>
          <w:tcPr>
            <w:tcW w:w="1409" w:type="dxa"/>
          </w:tcPr>
          <w:p>
            <w:pPr>
              <w:jc w:val="center"/>
              <w:rPr>
                <w:spacing w:val="-4"/>
                <w:szCs w:val="21"/>
              </w:rPr>
            </w:pPr>
            <w:r>
              <w:rPr>
                <w:spacing w:val="-4"/>
                <w:szCs w:val="21"/>
              </w:rPr>
              <w:t>单位</w:t>
            </w:r>
          </w:p>
        </w:tc>
        <w:tc>
          <w:tcPr>
            <w:tcW w:w="1412" w:type="dxa"/>
          </w:tcPr>
          <w:p>
            <w:pPr>
              <w:jc w:val="center"/>
              <w:rPr>
                <w:spacing w:val="-4"/>
                <w:szCs w:val="21"/>
              </w:rPr>
            </w:pPr>
            <w:r>
              <w:rPr>
                <w:spacing w:val="-4"/>
                <w:szCs w:val="21"/>
              </w:rPr>
              <w:t>浓度限值</w:t>
            </w:r>
          </w:p>
        </w:tc>
        <w:tc>
          <w:tcPr>
            <w:tcW w:w="2913" w:type="dxa"/>
          </w:tcPr>
          <w:p>
            <w:pPr>
              <w:jc w:val="center"/>
              <w:rPr>
                <w:spacing w:val="-4"/>
                <w:szCs w:val="21"/>
              </w:rPr>
            </w:pPr>
            <w:r>
              <w:rPr>
                <w:spacing w:val="-4"/>
                <w:szCs w:val="21"/>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色度（稀释倍数）</w:t>
            </w:r>
          </w:p>
        </w:tc>
        <w:tc>
          <w:tcPr>
            <w:tcW w:w="1409" w:type="dxa"/>
          </w:tcPr>
          <w:p>
            <w:pPr>
              <w:jc w:val="center"/>
              <w:rPr>
                <w:spacing w:val="-4"/>
                <w:szCs w:val="21"/>
              </w:rPr>
            </w:pPr>
            <w:r>
              <w:rPr>
                <w:spacing w:val="-4"/>
                <w:szCs w:val="21"/>
              </w:rPr>
              <w:t>/</w:t>
            </w:r>
          </w:p>
        </w:tc>
        <w:tc>
          <w:tcPr>
            <w:tcW w:w="1412" w:type="dxa"/>
          </w:tcPr>
          <w:p>
            <w:pPr>
              <w:jc w:val="center"/>
              <w:rPr>
                <w:spacing w:val="-4"/>
                <w:szCs w:val="21"/>
              </w:rPr>
            </w:pPr>
            <w:r>
              <w:rPr>
                <w:spacing w:val="-4"/>
                <w:szCs w:val="21"/>
              </w:rPr>
              <w:t>40</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化学需氧量(COD)</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100</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生化需氧量(BOD</w:t>
            </w:r>
            <w:r>
              <w:rPr>
                <w:spacing w:val="-4"/>
                <w:szCs w:val="21"/>
                <w:vertAlign w:val="subscript"/>
              </w:rPr>
              <w:t>5</w:t>
            </w:r>
            <w:r>
              <w:rPr>
                <w:spacing w:val="-4"/>
                <w:szCs w:val="21"/>
              </w:rPr>
              <w:t>)</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30</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悬浮物</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30</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总氮</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40</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氨氮</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25</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总磷</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3</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粪大肠菌群数</w:t>
            </w:r>
          </w:p>
        </w:tc>
        <w:tc>
          <w:tcPr>
            <w:tcW w:w="1409" w:type="dxa"/>
          </w:tcPr>
          <w:p>
            <w:pPr>
              <w:jc w:val="center"/>
              <w:rPr>
                <w:spacing w:val="-4"/>
                <w:szCs w:val="21"/>
              </w:rPr>
            </w:pPr>
            <w:r>
              <w:rPr>
                <w:spacing w:val="-4"/>
                <w:szCs w:val="21"/>
              </w:rPr>
              <w:t>个/L</w:t>
            </w:r>
          </w:p>
        </w:tc>
        <w:tc>
          <w:tcPr>
            <w:tcW w:w="1412" w:type="dxa"/>
          </w:tcPr>
          <w:p>
            <w:pPr>
              <w:jc w:val="center"/>
              <w:rPr>
                <w:spacing w:val="-4"/>
                <w:szCs w:val="21"/>
              </w:rPr>
            </w:pPr>
            <w:r>
              <w:rPr>
                <w:spacing w:val="-4"/>
                <w:szCs w:val="21"/>
              </w:rPr>
              <w:t>10000</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总汞</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0.001</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总镉</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0.01</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总铬</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0.1</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六价铬</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0.05</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总砷</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0.1</w:t>
            </w:r>
          </w:p>
        </w:tc>
        <w:tc>
          <w:tcPr>
            <w:tcW w:w="2913" w:type="dxa"/>
          </w:tcPr>
          <w:p>
            <w:pPr>
              <w:jc w:val="center"/>
              <w:rPr>
                <w:spacing w:val="-4"/>
                <w:szCs w:val="21"/>
              </w:rPr>
            </w:pPr>
            <w:r>
              <w:rPr>
                <w:spacing w:val="-4"/>
                <w:szCs w:val="21"/>
              </w:rPr>
              <w:t>常规污水处理设施排放口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42" w:type="dxa"/>
            <w:vAlign w:val="center"/>
          </w:tcPr>
          <w:p>
            <w:pPr>
              <w:jc w:val="center"/>
              <w:rPr>
                <w:spacing w:val="-4"/>
                <w:szCs w:val="21"/>
              </w:rPr>
            </w:pPr>
            <w:r>
              <w:rPr>
                <w:spacing w:val="-4"/>
                <w:szCs w:val="21"/>
              </w:rPr>
              <w:t>总铅</w:t>
            </w:r>
          </w:p>
        </w:tc>
        <w:tc>
          <w:tcPr>
            <w:tcW w:w="1409" w:type="dxa"/>
          </w:tcPr>
          <w:p>
            <w:pPr>
              <w:jc w:val="center"/>
              <w:rPr>
                <w:spacing w:val="-4"/>
                <w:szCs w:val="21"/>
              </w:rPr>
            </w:pPr>
            <w:r>
              <w:rPr>
                <w:spacing w:val="-4"/>
                <w:szCs w:val="21"/>
              </w:rPr>
              <w:t>mg/L</w:t>
            </w:r>
          </w:p>
        </w:tc>
        <w:tc>
          <w:tcPr>
            <w:tcW w:w="1412" w:type="dxa"/>
          </w:tcPr>
          <w:p>
            <w:pPr>
              <w:jc w:val="center"/>
              <w:rPr>
                <w:spacing w:val="-4"/>
                <w:szCs w:val="21"/>
              </w:rPr>
            </w:pPr>
            <w:r>
              <w:rPr>
                <w:spacing w:val="-4"/>
                <w:szCs w:val="21"/>
              </w:rPr>
              <w:t>0.1</w:t>
            </w:r>
          </w:p>
        </w:tc>
        <w:tc>
          <w:tcPr>
            <w:tcW w:w="2913" w:type="dxa"/>
          </w:tcPr>
          <w:p>
            <w:pPr>
              <w:jc w:val="center"/>
              <w:rPr>
                <w:spacing w:val="-4"/>
                <w:szCs w:val="21"/>
              </w:rPr>
            </w:pPr>
            <w:r>
              <w:rPr>
                <w:spacing w:val="-4"/>
                <w:szCs w:val="21"/>
              </w:rPr>
              <w:t>常规污水处理设施排放口</w:t>
            </w:r>
          </w:p>
        </w:tc>
      </w:tr>
    </w:tbl>
    <w:p>
      <w:pPr>
        <w:spacing w:line="360" w:lineRule="exact"/>
        <w:ind w:firstLine="466"/>
        <w:jc w:val="center"/>
        <w:rPr>
          <w:b/>
          <w:bCs/>
          <w:spacing w:val="-4"/>
          <w:sz w:val="24"/>
        </w:rPr>
      </w:pPr>
      <w:r>
        <w:rPr>
          <w:b/>
          <w:bCs/>
          <w:spacing w:val="-4"/>
          <w:sz w:val="24"/>
        </w:rPr>
        <w:t xml:space="preserve">表2.2-6   </w:t>
      </w:r>
      <w:r>
        <w:rPr>
          <w:rFonts w:hint="eastAsia"/>
          <w:b/>
          <w:bCs/>
          <w:spacing w:val="-4"/>
          <w:sz w:val="24"/>
        </w:rPr>
        <w:t>城市杂用水水质标准</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343"/>
        <w:gridCol w:w="2189"/>
        <w:gridCol w:w="29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spacing w:val="-4"/>
                <w:szCs w:val="21"/>
              </w:rPr>
              <w:t>项目</w:t>
            </w:r>
          </w:p>
        </w:tc>
        <w:tc>
          <w:tcPr>
            <w:tcW w:w="1284" w:type="pct"/>
            <w:vAlign w:val="center"/>
          </w:tcPr>
          <w:p>
            <w:pPr>
              <w:jc w:val="center"/>
              <w:rPr>
                <w:color w:val="FF0000"/>
                <w:spacing w:val="-4"/>
                <w:szCs w:val="21"/>
              </w:rPr>
            </w:pPr>
            <w:r>
              <w:rPr>
                <w:color w:val="FF0000"/>
                <w:spacing w:val="-4"/>
                <w:szCs w:val="21"/>
              </w:rPr>
              <w:t>单位</w:t>
            </w:r>
          </w:p>
        </w:tc>
        <w:tc>
          <w:tcPr>
            <w:tcW w:w="1754" w:type="pct"/>
            <w:vAlign w:val="center"/>
          </w:tcPr>
          <w:p>
            <w:pPr>
              <w:jc w:val="center"/>
              <w:rPr>
                <w:color w:val="FF0000"/>
                <w:spacing w:val="-4"/>
                <w:szCs w:val="21"/>
              </w:rPr>
            </w:pPr>
            <w:r>
              <w:rPr>
                <w:color w:val="FF0000"/>
                <w:spacing w:val="-4"/>
                <w:szCs w:val="21"/>
              </w:rPr>
              <w:t>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spacing w:val="-4"/>
                <w:szCs w:val="21"/>
              </w:rPr>
              <w:t>PH</w:t>
            </w:r>
          </w:p>
        </w:tc>
        <w:tc>
          <w:tcPr>
            <w:tcW w:w="1284" w:type="pct"/>
            <w:vAlign w:val="center"/>
          </w:tcPr>
          <w:p>
            <w:pPr>
              <w:jc w:val="center"/>
              <w:rPr>
                <w:color w:val="FF0000"/>
                <w:spacing w:val="-4"/>
                <w:szCs w:val="21"/>
              </w:rPr>
            </w:pPr>
            <w:r>
              <w:rPr>
                <w:color w:val="FF0000"/>
                <w:spacing w:val="-4"/>
                <w:szCs w:val="21"/>
              </w:rPr>
              <w:t>/</w:t>
            </w:r>
          </w:p>
        </w:tc>
        <w:tc>
          <w:tcPr>
            <w:tcW w:w="1754" w:type="pct"/>
            <w:vAlign w:val="center"/>
          </w:tcPr>
          <w:p>
            <w:pPr>
              <w:jc w:val="center"/>
              <w:rPr>
                <w:color w:val="FF0000"/>
                <w:spacing w:val="-4"/>
                <w:szCs w:val="21"/>
              </w:rPr>
            </w:pPr>
            <w:r>
              <w:rPr>
                <w:color w:val="FF0000"/>
                <w:spacing w:val="-4"/>
                <w:szCs w:val="21"/>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spacing w:val="-4"/>
                <w:szCs w:val="21"/>
              </w:rPr>
              <w:t>色度</w:t>
            </w:r>
          </w:p>
        </w:tc>
        <w:tc>
          <w:tcPr>
            <w:tcW w:w="1284" w:type="pct"/>
            <w:vAlign w:val="center"/>
          </w:tcPr>
          <w:p>
            <w:pPr>
              <w:jc w:val="center"/>
              <w:rPr>
                <w:color w:val="FF0000"/>
                <w:spacing w:val="-4"/>
                <w:szCs w:val="21"/>
              </w:rPr>
            </w:pPr>
            <w:r>
              <w:rPr>
                <w:color w:val="FF0000"/>
                <w:spacing w:val="-4"/>
                <w:szCs w:val="21"/>
              </w:rPr>
              <w:t>/</w:t>
            </w:r>
          </w:p>
        </w:tc>
        <w:tc>
          <w:tcPr>
            <w:tcW w:w="1754" w:type="pct"/>
            <w:vAlign w:val="center"/>
          </w:tcPr>
          <w:p>
            <w:pPr>
              <w:jc w:val="center"/>
              <w:rPr>
                <w:color w:val="FF0000"/>
                <w:spacing w:val="-4"/>
                <w:szCs w:val="21"/>
              </w:rPr>
            </w:pPr>
            <w:r>
              <w:rPr>
                <w:color w:val="FF0000"/>
                <w:spacing w:val="-4"/>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spacing w:val="-4"/>
                <w:szCs w:val="21"/>
              </w:rPr>
              <w:t>生化需氧量(BOD</w:t>
            </w:r>
            <w:r>
              <w:rPr>
                <w:color w:val="FF0000"/>
                <w:spacing w:val="-4"/>
                <w:szCs w:val="21"/>
                <w:vertAlign w:val="subscript"/>
              </w:rPr>
              <w:t>5</w:t>
            </w:r>
            <w:r>
              <w:rPr>
                <w:color w:val="FF0000"/>
                <w:spacing w:val="-4"/>
                <w:szCs w:val="21"/>
              </w:rPr>
              <w:t>)</w:t>
            </w:r>
          </w:p>
        </w:tc>
        <w:tc>
          <w:tcPr>
            <w:tcW w:w="1284" w:type="pct"/>
            <w:vAlign w:val="center"/>
          </w:tcPr>
          <w:p>
            <w:pPr>
              <w:jc w:val="center"/>
              <w:rPr>
                <w:color w:val="FF0000"/>
                <w:spacing w:val="-4"/>
                <w:szCs w:val="21"/>
              </w:rPr>
            </w:pPr>
            <w:r>
              <w:rPr>
                <w:color w:val="FF0000"/>
                <w:spacing w:val="-4"/>
                <w:szCs w:val="21"/>
              </w:rPr>
              <w:t>mg/L</w:t>
            </w:r>
          </w:p>
        </w:tc>
        <w:tc>
          <w:tcPr>
            <w:tcW w:w="1754" w:type="pct"/>
            <w:vAlign w:val="center"/>
          </w:tcPr>
          <w:p>
            <w:pPr>
              <w:jc w:val="center"/>
              <w:rPr>
                <w:color w:val="FF0000"/>
                <w:spacing w:val="-4"/>
                <w:szCs w:val="21"/>
              </w:rPr>
            </w:pPr>
            <w:r>
              <w:rPr>
                <w:color w:val="FF0000"/>
                <w:spacing w:val="-4"/>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spacing w:val="-4"/>
                <w:szCs w:val="21"/>
              </w:rPr>
              <w:t>阴离子表面活性剂</w:t>
            </w:r>
          </w:p>
        </w:tc>
        <w:tc>
          <w:tcPr>
            <w:tcW w:w="1284" w:type="pct"/>
            <w:vAlign w:val="center"/>
          </w:tcPr>
          <w:p>
            <w:pPr>
              <w:jc w:val="center"/>
              <w:rPr>
                <w:color w:val="FF0000"/>
                <w:spacing w:val="-4"/>
                <w:szCs w:val="21"/>
              </w:rPr>
            </w:pPr>
            <w:r>
              <w:rPr>
                <w:color w:val="FF0000"/>
                <w:spacing w:val="-4"/>
                <w:szCs w:val="21"/>
              </w:rPr>
              <w:t>mg/L</w:t>
            </w:r>
          </w:p>
        </w:tc>
        <w:tc>
          <w:tcPr>
            <w:tcW w:w="1754" w:type="pct"/>
            <w:vAlign w:val="center"/>
          </w:tcPr>
          <w:p>
            <w:pPr>
              <w:jc w:val="center"/>
              <w:rPr>
                <w:color w:val="FF0000"/>
                <w:spacing w:val="-4"/>
                <w:szCs w:val="21"/>
              </w:rPr>
            </w:pPr>
            <w:r>
              <w:rPr>
                <w:color w:val="FF0000"/>
                <w:spacing w:val="-4"/>
                <w:szCs w:val="21"/>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spacing w:val="-4"/>
                <w:szCs w:val="21"/>
              </w:rPr>
              <w:t>溶解性总固体</w:t>
            </w:r>
          </w:p>
        </w:tc>
        <w:tc>
          <w:tcPr>
            <w:tcW w:w="1284" w:type="pct"/>
            <w:vAlign w:val="center"/>
          </w:tcPr>
          <w:p>
            <w:pPr>
              <w:jc w:val="center"/>
              <w:rPr>
                <w:color w:val="FF0000"/>
                <w:spacing w:val="-4"/>
                <w:szCs w:val="21"/>
              </w:rPr>
            </w:pPr>
            <w:r>
              <w:rPr>
                <w:color w:val="FF0000"/>
                <w:spacing w:val="-4"/>
                <w:szCs w:val="21"/>
              </w:rPr>
              <w:t>mg/L</w:t>
            </w:r>
          </w:p>
        </w:tc>
        <w:tc>
          <w:tcPr>
            <w:tcW w:w="1754" w:type="pct"/>
            <w:vAlign w:val="center"/>
          </w:tcPr>
          <w:p>
            <w:pPr>
              <w:jc w:val="center"/>
              <w:rPr>
                <w:color w:val="FF0000"/>
                <w:spacing w:val="-4"/>
                <w:szCs w:val="21"/>
              </w:rPr>
            </w:pPr>
            <w:r>
              <w:rPr>
                <w:color w:val="FF0000"/>
                <w:kern w:val="0"/>
                <w:szCs w:val="21"/>
              </w:rPr>
              <w:t>≤</w:t>
            </w:r>
            <w:r>
              <w:rPr>
                <w:color w:val="FF0000"/>
                <w:szCs w:val="21"/>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spacing w:val="-4"/>
                <w:szCs w:val="21"/>
              </w:rPr>
              <w:t>氨氮</w:t>
            </w:r>
          </w:p>
        </w:tc>
        <w:tc>
          <w:tcPr>
            <w:tcW w:w="1284" w:type="pct"/>
            <w:vAlign w:val="center"/>
          </w:tcPr>
          <w:p>
            <w:pPr>
              <w:jc w:val="center"/>
              <w:rPr>
                <w:color w:val="FF0000"/>
                <w:spacing w:val="-4"/>
                <w:szCs w:val="21"/>
              </w:rPr>
            </w:pPr>
            <w:r>
              <w:rPr>
                <w:color w:val="FF0000"/>
                <w:spacing w:val="-4"/>
                <w:szCs w:val="21"/>
              </w:rPr>
              <w:t>mg/L</w:t>
            </w:r>
          </w:p>
        </w:tc>
        <w:tc>
          <w:tcPr>
            <w:tcW w:w="1754" w:type="pct"/>
            <w:vAlign w:val="center"/>
          </w:tcPr>
          <w:p>
            <w:pPr>
              <w:jc w:val="center"/>
              <w:rPr>
                <w:color w:val="FF0000"/>
                <w:spacing w:val="-4"/>
                <w:szCs w:val="21"/>
              </w:rPr>
            </w:pPr>
            <w:r>
              <w:rPr>
                <w:color w:val="FF0000"/>
                <w:kern w:val="0"/>
                <w:szCs w:val="21"/>
              </w:rPr>
              <w:t>≤</w:t>
            </w:r>
            <w:r>
              <w:rPr>
                <w:color w:val="FF0000"/>
                <w:szCs w:val="2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kern w:val="0"/>
                <w:szCs w:val="21"/>
              </w:rPr>
              <w:t>总氯</w:t>
            </w:r>
          </w:p>
        </w:tc>
        <w:tc>
          <w:tcPr>
            <w:tcW w:w="1284" w:type="pct"/>
            <w:vAlign w:val="center"/>
          </w:tcPr>
          <w:p>
            <w:pPr>
              <w:jc w:val="center"/>
              <w:rPr>
                <w:color w:val="FF0000"/>
                <w:spacing w:val="-4"/>
                <w:szCs w:val="21"/>
              </w:rPr>
            </w:pPr>
            <w:r>
              <w:rPr>
                <w:color w:val="FF0000"/>
                <w:spacing w:val="-4"/>
                <w:szCs w:val="21"/>
              </w:rPr>
              <w:t>mg/L</w:t>
            </w:r>
          </w:p>
        </w:tc>
        <w:tc>
          <w:tcPr>
            <w:tcW w:w="1754" w:type="pct"/>
            <w:vAlign w:val="center"/>
          </w:tcPr>
          <w:p>
            <w:pPr>
              <w:jc w:val="center"/>
              <w:rPr>
                <w:color w:val="FF0000"/>
                <w:spacing w:val="-4"/>
                <w:szCs w:val="21"/>
              </w:rPr>
            </w:pPr>
            <w:r>
              <w:rPr>
                <w:color w:val="FF0000"/>
                <w:kern w:val="0"/>
                <w:szCs w:val="21"/>
              </w:rPr>
              <w:t>城市绿化≤2.5（管网末端）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61" w:type="pct"/>
            <w:vAlign w:val="center"/>
          </w:tcPr>
          <w:p>
            <w:pPr>
              <w:jc w:val="center"/>
              <w:rPr>
                <w:color w:val="FF0000"/>
                <w:spacing w:val="-4"/>
                <w:szCs w:val="21"/>
              </w:rPr>
            </w:pPr>
            <w:r>
              <w:rPr>
                <w:color w:val="FF0000"/>
                <w:spacing w:val="-4"/>
                <w:szCs w:val="21"/>
              </w:rPr>
              <w:t>大肠埃希氏菌</w:t>
            </w:r>
          </w:p>
        </w:tc>
        <w:tc>
          <w:tcPr>
            <w:tcW w:w="1284" w:type="pct"/>
            <w:vAlign w:val="center"/>
          </w:tcPr>
          <w:p>
            <w:pPr>
              <w:jc w:val="center"/>
              <w:rPr>
                <w:color w:val="FF0000"/>
                <w:spacing w:val="-4"/>
                <w:szCs w:val="21"/>
              </w:rPr>
            </w:pPr>
            <w:r>
              <w:rPr>
                <w:color w:val="FF0000"/>
                <w:spacing w:val="-4"/>
                <w:szCs w:val="21"/>
              </w:rPr>
              <w:t>MPN/100mL，或CFU/100mL</w:t>
            </w:r>
          </w:p>
        </w:tc>
        <w:tc>
          <w:tcPr>
            <w:tcW w:w="1754" w:type="pct"/>
            <w:vAlign w:val="center"/>
          </w:tcPr>
          <w:p>
            <w:pPr>
              <w:jc w:val="center"/>
              <w:rPr>
                <w:color w:val="FF0000"/>
                <w:spacing w:val="-4"/>
                <w:szCs w:val="21"/>
              </w:rPr>
            </w:pPr>
            <w:r>
              <w:rPr>
                <w:color w:val="FF0000"/>
                <w:spacing w:val="-4"/>
                <w:szCs w:val="21"/>
              </w:rPr>
              <w:t>无</w:t>
            </w:r>
          </w:p>
        </w:tc>
      </w:tr>
    </w:tbl>
    <w:p/>
    <w:p>
      <w:pPr>
        <w:pStyle w:val="825"/>
        <w:ind w:firstLine="480"/>
      </w:pPr>
      <w:r>
        <w:rPr>
          <w:rFonts w:hint="eastAsia"/>
        </w:rPr>
        <w:t>3、</w:t>
      </w:r>
      <w:r>
        <w:t>噪声排放标准</w:t>
      </w:r>
    </w:p>
    <w:p>
      <w:pPr>
        <w:pStyle w:val="825"/>
        <w:ind w:firstLine="480"/>
        <w:rPr>
          <w:color w:val="FF0000"/>
        </w:rPr>
      </w:pPr>
      <w:r>
        <w:rPr>
          <w:color w:val="FF0000"/>
        </w:rPr>
        <w:t>运营期填埋作业区场界噪声执行《工业企业厂界环境噪声排放标准》(GB12348-2008)表1中2类声功能区噪声排放限值，即昼间60dB、夜间50dB的限值，见表2.2-6。</w:t>
      </w:r>
    </w:p>
    <w:p>
      <w:pPr>
        <w:spacing w:line="360" w:lineRule="exact"/>
        <w:ind w:firstLine="466"/>
        <w:jc w:val="center"/>
        <w:rPr>
          <w:b/>
          <w:bCs/>
          <w:spacing w:val="-4"/>
          <w:sz w:val="24"/>
        </w:rPr>
      </w:pPr>
      <w:r>
        <w:rPr>
          <w:b/>
          <w:bCs/>
          <w:spacing w:val="-4"/>
          <w:sz w:val="24"/>
        </w:rPr>
        <w:t>表2.2-6   工业企业厂界环境噪声排放标准</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424"/>
        <w:gridCol w:w="50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24" w:type="dxa"/>
            <w:vAlign w:val="center"/>
          </w:tcPr>
          <w:p>
            <w:pPr>
              <w:widowControl/>
              <w:jc w:val="center"/>
              <w:rPr>
                <w:bCs/>
                <w:kern w:val="0"/>
                <w:szCs w:val="21"/>
              </w:rPr>
            </w:pPr>
            <w:r>
              <w:rPr>
                <w:bCs/>
                <w:kern w:val="0"/>
                <w:szCs w:val="21"/>
              </w:rPr>
              <w:t>项目</w:t>
            </w:r>
          </w:p>
        </w:tc>
        <w:tc>
          <w:tcPr>
            <w:tcW w:w="5098" w:type="dxa"/>
            <w:vAlign w:val="center"/>
          </w:tcPr>
          <w:p>
            <w:pPr>
              <w:widowControl/>
              <w:jc w:val="center"/>
              <w:rPr>
                <w:bCs/>
                <w:kern w:val="0"/>
                <w:szCs w:val="21"/>
              </w:rPr>
            </w:pPr>
            <w:r>
              <w:rPr>
                <w:bCs/>
                <w:kern w:val="0"/>
                <w:szCs w:val="21"/>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24" w:type="dxa"/>
            <w:vAlign w:val="center"/>
          </w:tcPr>
          <w:p>
            <w:pPr>
              <w:widowControl/>
              <w:jc w:val="center"/>
              <w:rPr>
                <w:kern w:val="0"/>
                <w:szCs w:val="21"/>
              </w:rPr>
            </w:pPr>
            <w:r>
              <w:rPr>
                <w:kern w:val="0"/>
                <w:szCs w:val="21"/>
              </w:rPr>
              <w:t>昼间</w:t>
            </w:r>
          </w:p>
        </w:tc>
        <w:tc>
          <w:tcPr>
            <w:tcW w:w="5098" w:type="dxa"/>
            <w:vAlign w:val="center"/>
          </w:tcPr>
          <w:p>
            <w:pPr>
              <w:widowControl/>
              <w:jc w:val="center"/>
              <w:rPr>
                <w:kern w:val="0"/>
                <w:szCs w:val="21"/>
              </w:rPr>
            </w:pPr>
            <w:r>
              <w:rPr>
                <w:kern w:val="0"/>
                <w:szCs w:val="21"/>
              </w:rPr>
              <w:t>60dB（A）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24" w:type="dxa"/>
            <w:vAlign w:val="center"/>
          </w:tcPr>
          <w:p>
            <w:pPr>
              <w:widowControl/>
              <w:jc w:val="center"/>
              <w:rPr>
                <w:kern w:val="0"/>
                <w:szCs w:val="21"/>
              </w:rPr>
            </w:pPr>
            <w:r>
              <w:rPr>
                <w:kern w:val="0"/>
                <w:szCs w:val="21"/>
              </w:rPr>
              <w:t>夜间</w:t>
            </w:r>
          </w:p>
        </w:tc>
        <w:tc>
          <w:tcPr>
            <w:tcW w:w="5098" w:type="dxa"/>
            <w:vAlign w:val="center"/>
          </w:tcPr>
          <w:p>
            <w:pPr>
              <w:widowControl/>
              <w:jc w:val="center"/>
              <w:rPr>
                <w:kern w:val="0"/>
                <w:szCs w:val="21"/>
              </w:rPr>
            </w:pPr>
            <w:r>
              <w:rPr>
                <w:kern w:val="0"/>
                <w:szCs w:val="21"/>
              </w:rPr>
              <w:t>50dB（A）</w:t>
            </w:r>
          </w:p>
        </w:tc>
      </w:tr>
    </w:tbl>
    <w:p>
      <w:pPr>
        <w:pStyle w:val="831"/>
        <w:spacing w:before="156" w:beforeLines="50" w:after="156" w:afterLines="50" w:line="360" w:lineRule="auto"/>
        <w:rPr>
          <w:rFonts w:cs="Times New Roman"/>
        </w:rPr>
      </w:pPr>
      <w:bookmarkStart w:id="90" w:name="_Toc143762290"/>
      <w:r>
        <w:rPr>
          <w:rFonts w:cs="Times New Roman"/>
        </w:rPr>
        <w:t>2.2.3区域环境功能区划及评价标准</w:t>
      </w:r>
      <w:bookmarkEnd w:id="90"/>
    </w:p>
    <w:p>
      <w:pPr>
        <w:pStyle w:val="939"/>
        <w:ind w:firstLine="480"/>
      </w:pPr>
      <w:r>
        <w:t>1、环境空气</w:t>
      </w:r>
    </w:p>
    <w:p>
      <w:pPr>
        <w:pStyle w:val="939"/>
        <w:ind w:firstLine="480"/>
      </w:pPr>
      <w:r>
        <w:t>评价区环境空气未划分功能区</w:t>
      </w:r>
      <w:r>
        <w:rPr>
          <w:rFonts w:hint="eastAsia"/>
        </w:rPr>
        <w:t>，</w:t>
      </w:r>
      <w:r>
        <w:t>根据</w:t>
      </w:r>
      <w:r>
        <w:rPr>
          <w:rFonts w:hint="eastAsia"/>
        </w:rPr>
        <w:t>《环境空气质量标准》（GB3095-2012）本项目评价区环境空气</w:t>
      </w:r>
      <w:r>
        <w:t>质量</w:t>
      </w:r>
      <w:r>
        <w:rPr>
          <w:rFonts w:hint="eastAsia"/>
        </w:rPr>
        <w:t>适用于</w:t>
      </w:r>
      <w:r>
        <w:t>二类功能区。</w:t>
      </w:r>
    </w:p>
    <w:p>
      <w:pPr>
        <w:pStyle w:val="939"/>
        <w:ind w:firstLine="480"/>
      </w:pPr>
      <w:r>
        <w:t>2、声环境</w:t>
      </w:r>
    </w:p>
    <w:p>
      <w:pPr>
        <w:pStyle w:val="939"/>
        <w:ind w:firstLine="480"/>
      </w:pPr>
      <w:r>
        <w:t>评价区声环境未划分功能区</w:t>
      </w:r>
      <w:r>
        <w:rPr>
          <w:rFonts w:hint="eastAsia"/>
        </w:rPr>
        <w:t>，</w:t>
      </w:r>
      <w:r>
        <w:t>根据</w:t>
      </w:r>
      <w:r>
        <w:rPr>
          <w:rFonts w:hint="eastAsia"/>
        </w:rPr>
        <w:t>《声环境质量标准》（GB3096-2008）本项目声环境质量适用于二</w:t>
      </w:r>
      <w:r>
        <w:t>类功能区。</w:t>
      </w:r>
    </w:p>
    <w:p>
      <w:pPr>
        <w:pStyle w:val="939"/>
        <w:ind w:firstLine="480"/>
      </w:pPr>
      <w:r>
        <w:t>3、地下水</w:t>
      </w:r>
    </w:p>
    <w:p>
      <w:pPr>
        <w:pStyle w:val="939"/>
        <w:ind w:firstLine="480"/>
      </w:pPr>
      <w:r>
        <w:t>评价区</w:t>
      </w:r>
      <w:r>
        <w:rPr>
          <w:rFonts w:hint="eastAsia"/>
        </w:rPr>
        <w:t>地下水</w:t>
      </w:r>
      <w:r>
        <w:t>环境未划分功能区</w:t>
      </w:r>
      <w:r>
        <w:rPr>
          <w:rFonts w:hint="eastAsia"/>
        </w:rPr>
        <w:t>，</w:t>
      </w:r>
      <w:r>
        <w:t>根据</w:t>
      </w:r>
      <w:r>
        <w:rPr>
          <w:rFonts w:hint="eastAsia"/>
        </w:rPr>
        <w:t>《地下水质量标准》（GB/T14848-</w:t>
      </w:r>
      <w:r>
        <w:t>2017</w:t>
      </w:r>
      <w:r>
        <w:rPr>
          <w:rFonts w:hint="eastAsia"/>
        </w:rPr>
        <w:t>）本项目地下水适用于</w:t>
      </w:r>
      <w:r>
        <w:t>Ⅲ类功能区。</w:t>
      </w:r>
    </w:p>
    <w:p>
      <w:pPr>
        <w:pStyle w:val="939"/>
        <w:ind w:firstLine="480"/>
      </w:pPr>
      <w:r>
        <w:t>4、生态环境</w:t>
      </w:r>
    </w:p>
    <w:p>
      <w:pPr>
        <w:pStyle w:val="939"/>
        <w:ind w:firstLine="480"/>
        <w:rPr>
          <w:lang w:bidi="en-US"/>
        </w:rPr>
      </w:pPr>
      <w:r>
        <w:rPr>
          <w:lang w:bidi="en-US"/>
        </w:rPr>
        <w:t>评价区位于</w:t>
      </w:r>
      <w:r>
        <w:rPr>
          <w:rFonts w:hint="eastAsia"/>
          <w:lang w:bidi="en-US"/>
        </w:rPr>
        <w:t>五原县</w:t>
      </w:r>
      <w:r>
        <w:rPr>
          <w:lang w:bidi="en-US"/>
        </w:rPr>
        <w:t>复兴镇，根据《内蒙古生态功能区划图》，项目所处区域属于</w:t>
      </w:r>
      <w:r>
        <w:rPr>
          <w:rFonts w:hint="eastAsia"/>
          <w:lang w:bidi="en-US"/>
        </w:rPr>
        <w:t>河套平原灌溉生态功能区</w:t>
      </w:r>
      <w:r>
        <w:rPr>
          <w:lang w:bidi="en-US"/>
        </w:rPr>
        <w:t>。</w:t>
      </w:r>
    </w:p>
    <w:p>
      <w:pPr>
        <w:pStyle w:val="939"/>
        <w:ind w:firstLine="480"/>
        <w:rPr>
          <w:lang w:bidi="en-US"/>
        </w:rPr>
      </w:pPr>
      <w:r>
        <w:rPr>
          <w:lang w:bidi="en-US"/>
        </w:rPr>
        <w:t>内蒙古自治区生态功能区划见图2.2-1。</w:t>
      </w:r>
    </w:p>
    <w:bookmarkEnd w:id="86"/>
    <w:bookmarkEnd w:id="87"/>
    <w:p>
      <w:pPr>
        <w:pStyle w:val="347"/>
        <w:keepNext w:val="0"/>
        <w:topLinePunct w:val="0"/>
        <w:spacing w:before="156" w:beforeLines="50" w:after="156" w:afterLines="50" w:line="360" w:lineRule="auto"/>
        <w:rPr>
          <w:rFonts w:cs="Times New Roman"/>
        </w:rPr>
      </w:pPr>
      <w:bookmarkStart w:id="91" w:name="_Toc205715487"/>
      <w:bookmarkStart w:id="92" w:name="_Toc489432962"/>
      <w:bookmarkStart w:id="93" w:name="_Toc143762291"/>
      <w:bookmarkStart w:id="94" w:name="_Toc401478983"/>
      <w:r>
        <w:rPr>
          <w:rFonts w:cs="Times New Roman"/>
        </w:rPr>
        <w:t>2.3评价工作等级及评价范围</w:t>
      </w:r>
      <w:bookmarkEnd w:id="91"/>
      <w:bookmarkEnd w:id="92"/>
      <w:bookmarkEnd w:id="93"/>
      <w:bookmarkEnd w:id="94"/>
    </w:p>
    <w:p>
      <w:pPr>
        <w:pStyle w:val="831"/>
        <w:spacing w:before="156" w:beforeLines="50" w:after="156" w:afterLines="50" w:line="360" w:lineRule="auto"/>
        <w:rPr>
          <w:rFonts w:cs="Times New Roman"/>
        </w:rPr>
      </w:pPr>
      <w:bookmarkStart w:id="95" w:name="_Toc401478984"/>
      <w:bookmarkStart w:id="96" w:name="_Toc177143168"/>
      <w:bookmarkStart w:id="97" w:name="_Toc205715488"/>
      <w:bookmarkStart w:id="98" w:name="_Toc177187254"/>
      <w:bookmarkStart w:id="99" w:name="_Toc181516961"/>
      <w:bookmarkStart w:id="100" w:name="_Toc183524451"/>
      <w:bookmarkStart w:id="101" w:name="_Toc143762292"/>
      <w:bookmarkStart w:id="102" w:name="_Toc178390454"/>
      <w:bookmarkStart w:id="103" w:name="_Toc489432963"/>
      <w:r>
        <w:rPr>
          <w:rFonts w:cs="Times New Roman"/>
        </w:rPr>
        <w:t>2.3.1评价等级</w:t>
      </w:r>
      <w:bookmarkEnd w:id="95"/>
      <w:bookmarkEnd w:id="96"/>
      <w:bookmarkEnd w:id="97"/>
      <w:bookmarkEnd w:id="98"/>
      <w:bookmarkEnd w:id="99"/>
      <w:bookmarkEnd w:id="100"/>
      <w:bookmarkEnd w:id="101"/>
      <w:bookmarkEnd w:id="102"/>
      <w:bookmarkEnd w:id="103"/>
    </w:p>
    <w:p>
      <w:pPr>
        <w:spacing w:line="360" w:lineRule="auto"/>
        <w:ind w:firstLine="480"/>
        <w:rPr>
          <w:sz w:val="24"/>
        </w:rPr>
      </w:pPr>
      <w:r>
        <w:rPr>
          <w:sz w:val="24"/>
        </w:rPr>
        <w:t>1</w:t>
      </w:r>
      <w:r>
        <w:rPr>
          <w:rFonts w:ascii="宋体" w:hAnsi="宋体"/>
          <w:sz w:val="24"/>
        </w:rPr>
        <w:t>、</w:t>
      </w:r>
      <w:r>
        <w:rPr>
          <w:rFonts w:hint="eastAsia" w:ascii="宋体" w:hAnsi="宋体"/>
          <w:sz w:val="24"/>
        </w:rPr>
        <w:t>大气</w:t>
      </w:r>
      <w:r>
        <w:rPr>
          <w:rFonts w:ascii="宋体" w:hAnsi="宋体"/>
          <w:sz w:val="24"/>
        </w:rPr>
        <w:t>评价工作等级</w:t>
      </w:r>
    </w:p>
    <w:p>
      <w:pPr>
        <w:spacing w:line="360" w:lineRule="auto"/>
        <w:ind w:firstLine="480" w:firstLineChars="200"/>
        <w:rPr>
          <w:sz w:val="24"/>
        </w:rPr>
      </w:pPr>
      <w:r>
        <w:rPr>
          <w:rFonts w:ascii="宋体" w:hAnsi="宋体"/>
          <w:sz w:val="24"/>
        </w:rPr>
        <w:t>根据《环境影响评价技术导则</w:t>
      </w:r>
      <w:r>
        <w:rPr>
          <w:sz w:val="24"/>
        </w:rPr>
        <w:t>—</w:t>
      </w:r>
      <w:r>
        <w:rPr>
          <w:rFonts w:ascii="宋体" w:hAnsi="宋体"/>
          <w:sz w:val="24"/>
        </w:rPr>
        <w:t>大气环境》（</w:t>
      </w:r>
      <w:r>
        <w:rPr>
          <w:sz w:val="24"/>
        </w:rPr>
        <w:t>HJ2.2-2018</w:t>
      </w:r>
      <w:r>
        <w:rPr>
          <w:rFonts w:ascii="宋体" w:hAnsi="宋体"/>
          <w:sz w:val="24"/>
        </w:rPr>
        <w:t>），选择项目污染源正常排放的主要污染物及排放参数，采用附录</w:t>
      </w:r>
      <w:r>
        <w:rPr>
          <w:sz w:val="24"/>
        </w:rPr>
        <w:t xml:space="preserve">A </w:t>
      </w:r>
      <w:r>
        <w:rPr>
          <w:rFonts w:ascii="宋体" w:hAnsi="宋体"/>
          <w:sz w:val="24"/>
        </w:rPr>
        <w:t>推荐模型中估算模型分别计算项目污染源的最大环境影响，然后按评价工作分级判据进行分级。确定评价等级时需根据项目污染源初步调查结果，分别计算项目排放主要污染物的最大地面空气质量浓度占标率</w:t>
      </w:r>
      <w:r>
        <w:rPr>
          <w:i/>
          <w:iCs/>
          <w:sz w:val="24"/>
        </w:rPr>
        <w:t>Pi</w:t>
      </w:r>
      <w:r>
        <w:rPr>
          <w:rFonts w:ascii="宋体" w:hAnsi="宋体"/>
          <w:sz w:val="24"/>
        </w:rPr>
        <w:t>（第</w:t>
      </w:r>
      <w:r>
        <w:rPr>
          <w:i/>
          <w:iCs/>
          <w:sz w:val="24"/>
        </w:rPr>
        <w:t xml:space="preserve">i </w:t>
      </w:r>
      <w:r>
        <w:rPr>
          <w:rFonts w:ascii="宋体" w:hAnsi="宋体"/>
          <w:sz w:val="24"/>
        </w:rPr>
        <w:t>个污染物，简称</w:t>
      </w:r>
      <w:r>
        <w:rPr>
          <w:sz w:val="24"/>
        </w:rPr>
        <w:t>“</w:t>
      </w:r>
      <w:r>
        <w:rPr>
          <w:rFonts w:ascii="宋体" w:hAnsi="宋体"/>
          <w:sz w:val="24"/>
        </w:rPr>
        <w:t>最大浓度占标率</w:t>
      </w:r>
      <w:r>
        <w:rPr>
          <w:sz w:val="24"/>
        </w:rPr>
        <w:t>”</w:t>
      </w:r>
      <w:r>
        <w:rPr>
          <w:rFonts w:ascii="宋体" w:hAnsi="宋体"/>
          <w:sz w:val="24"/>
        </w:rPr>
        <w:t>），及第</w:t>
      </w:r>
      <w:r>
        <w:rPr>
          <w:i/>
          <w:iCs/>
          <w:sz w:val="24"/>
        </w:rPr>
        <w:t xml:space="preserve">i </w:t>
      </w:r>
      <w:r>
        <w:rPr>
          <w:rFonts w:ascii="宋体" w:hAnsi="宋体"/>
          <w:sz w:val="24"/>
        </w:rPr>
        <w:t>个污染物的地面空气质量浓度达到标准值的</w:t>
      </w:r>
      <w:r>
        <w:rPr>
          <w:sz w:val="24"/>
        </w:rPr>
        <w:t>10%</w:t>
      </w:r>
      <w:r>
        <w:rPr>
          <w:rFonts w:ascii="宋体" w:hAnsi="宋体"/>
          <w:sz w:val="24"/>
        </w:rPr>
        <w:t>时所对应的最远距离</w:t>
      </w:r>
      <w:r>
        <w:rPr>
          <w:i/>
          <w:iCs/>
          <w:sz w:val="24"/>
        </w:rPr>
        <w:t>D</w:t>
      </w:r>
      <w:r>
        <w:rPr>
          <w:iCs/>
          <w:sz w:val="24"/>
          <w:vertAlign w:val="subscript"/>
        </w:rPr>
        <w:t>10%</w:t>
      </w:r>
      <w:r>
        <w:rPr>
          <w:rFonts w:ascii="宋体" w:hAnsi="宋体"/>
          <w:sz w:val="24"/>
        </w:rPr>
        <w:t>。其中</w:t>
      </w:r>
      <w:r>
        <w:rPr>
          <w:i/>
          <w:iCs/>
          <w:sz w:val="24"/>
        </w:rPr>
        <w:t xml:space="preserve">Pi </w:t>
      </w:r>
      <w:r>
        <w:rPr>
          <w:rFonts w:ascii="宋体" w:hAnsi="宋体"/>
          <w:sz w:val="24"/>
        </w:rPr>
        <w:t>定义见公式：</w:t>
      </w:r>
    </w:p>
    <w:p>
      <w:pPr>
        <w:spacing w:line="360" w:lineRule="auto"/>
        <w:ind w:firstLine="200"/>
        <w:jc w:val="center"/>
        <w:rPr>
          <w:sz w:val="24"/>
        </w:rPr>
      </w:pPr>
      <w:r>
        <w:rPr>
          <w:sz w:val="24"/>
        </w:rPr>
        <w:t>P</w:t>
      </w:r>
      <w:r>
        <w:rPr>
          <w:sz w:val="24"/>
          <w:vertAlign w:val="subscript"/>
        </w:rPr>
        <w:t>i</w:t>
      </w:r>
      <w:r>
        <w:rPr>
          <w:sz w:val="24"/>
        </w:rPr>
        <w:t>=C</w:t>
      </w:r>
      <w:r>
        <w:rPr>
          <w:sz w:val="24"/>
          <w:vertAlign w:val="subscript"/>
        </w:rPr>
        <w:t>i</w:t>
      </w:r>
      <w:r>
        <w:rPr>
          <w:sz w:val="24"/>
        </w:rPr>
        <w:t>/C</w:t>
      </w:r>
      <w:r>
        <w:rPr>
          <w:sz w:val="24"/>
          <w:vertAlign w:val="subscript"/>
        </w:rPr>
        <w:t>oi</w:t>
      </w:r>
      <w:r>
        <w:rPr>
          <w:sz w:val="24"/>
        </w:rPr>
        <w:t>×100%</w:t>
      </w:r>
    </w:p>
    <w:p>
      <w:pPr>
        <w:spacing w:line="360" w:lineRule="auto"/>
        <w:ind w:firstLine="480" w:firstLineChars="200"/>
        <w:rPr>
          <w:kern w:val="0"/>
          <w:sz w:val="24"/>
        </w:rPr>
      </w:pPr>
      <w:r>
        <w:rPr>
          <w:rFonts w:ascii="宋体" w:hAnsi="宋体"/>
          <w:kern w:val="0"/>
          <w:sz w:val="24"/>
        </w:rPr>
        <w:t>式中：</w:t>
      </w:r>
      <w:r>
        <w:rPr>
          <w:i/>
          <w:iCs/>
          <w:kern w:val="0"/>
          <w:sz w:val="24"/>
        </w:rPr>
        <w:t xml:space="preserve">Pi —— </w:t>
      </w:r>
      <w:r>
        <w:rPr>
          <w:rFonts w:ascii="宋体" w:hAnsi="宋体"/>
          <w:kern w:val="0"/>
          <w:sz w:val="24"/>
        </w:rPr>
        <w:t>第</w:t>
      </w:r>
      <w:r>
        <w:rPr>
          <w:i/>
          <w:iCs/>
          <w:kern w:val="0"/>
          <w:sz w:val="24"/>
        </w:rPr>
        <w:t xml:space="preserve">i </w:t>
      </w:r>
      <w:r>
        <w:rPr>
          <w:rFonts w:ascii="宋体" w:hAnsi="宋体"/>
          <w:kern w:val="0"/>
          <w:sz w:val="24"/>
        </w:rPr>
        <w:t>个污染物的最大地面空气质量浓度占标率，</w:t>
      </w:r>
      <w:r>
        <w:rPr>
          <w:kern w:val="0"/>
          <w:sz w:val="24"/>
        </w:rPr>
        <w:t>%</w:t>
      </w:r>
      <w:r>
        <w:rPr>
          <w:rFonts w:ascii="宋体" w:hAnsi="宋体"/>
          <w:kern w:val="0"/>
          <w:sz w:val="24"/>
        </w:rPr>
        <w:t>；</w:t>
      </w:r>
    </w:p>
    <w:p>
      <w:pPr>
        <w:spacing w:line="360" w:lineRule="auto"/>
        <w:ind w:firstLine="480" w:firstLineChars="200"/>
        <w:rPr>
          <w:kern w:val="0"/>
          <w:sz w:val="24"/>
        </w:rPr>
      </w:pPr>
      <w:r>
        <w:rPr>
          <w:i/>
          <w:iCs/>
          <w:kern w:val="0"/>
          <w:sz w:val="24"/>
        </w:rPr>
        <w:t>C</w:t>
      </w:r>
      <w:r>
        <w:rPr>
          <w:i/>
          <w:iCs/>
          <w:kern w:val="0"/>
          <w:sz w:val="24"/>
          <w:vertAlign w:val="subscript"/>
        </w:rPr>
        <w:t>i</w:t>
      </w:r>
      <w:r>
        <w:rPr>
          <w:i/>
          <w:iCs/>
          <w:kern w:val="0"/>
          <w:sz w:val="24"/>
        </w:rPr>
        <w:t xml:space="preserve"> —— </w:t>
      </w:r>
      <w:r>
        <w:rPr>
          <w:rFonts w:ascii="宋体" w:hAnsi="宋体"/>
          <w:kern w:val="0"/>
          <w:sz w:val="24"/>
        </w:rPr>
        <w:t>采用估算模型计算出的第</w:t>
      </w:r>
      <w:r>
        <w:rPr>
          <w:i/>
          <w:iCs/>
          <w:kern w:val="0"/>
          <w:sz w:val="24"/>
        </w:rPr>
        <w:t xml:space="preserve">i </w:t>
      </w:r>
      <w:r>
        <w:rPr>
          <w:rFonts w:ascii="宋体" w:hAnsi="宋体"/>
          <w:kern w:val="0"/>
          <w:sz w:val="24"/>
        </w:rPr>
        <w:t>个污染物的最大</w:t>
      </w:r>
      <w:r>
        <w:rPr>
          <w:kern w:val="0"/>
          <w:sz w:val="24"/>
        </w:rPr>
        <w:t xml:space="preserve">1 h </w:t>
      </w:r>
      <w:r>
        <w:rPr>
          <w:rFonts w:ascii="宋体" w:hAnsi="宋体"/>
          <w:kern w:val="0"/>
          <w:sz w:val="24"/>
        </w:rPr>
        <w:t>地面空气质量浓度，</w:t>
      </w:r>
      <w:r>
        <w:rPr>
          <w:kern w:val="0"/>
          <w:sz w:val="24"/>
        </w:rPr>
        <w:t>μg/m</w:t>
      </w:r>
      <w:r>
        <w:rPr>
          <w:kern w:val="0"/>
          <w:sz w:val="24"/>
          <w:vertAlign w:val="superscript"/>
        </w:rPr>
        <w:t>3</w:t>
      </w:r>
      <w:r>
        <w:rPr>
          <w:rFonts w:ascii="宋体" w:hAnsi="宋体"/>
          <w:kern w:val="0"/>
          <w:sz w:val="24"/>
        </w:rPr>
        <w:t>；</w:t>
      </w:r>
    </w:p>
    <w:p>
      <w:pPr>
        <w:spacing w:line="360" w:lineRule="auto"/>
        <w:ind w:firstLine="480" w:firstLineChars="200"/>
        <w:rPr>
          <w:kern w:val="0"/>
          <w:sz w:val="24"/>
        </w:rPr>
      </w:pPr>
      <w:r>
        <w:rPr>
          <w:i/>
          <w:iCs/>
          <w:sz w:val="24"/>
        </w:rPr>
        <w:t>C</w:t>
      </w:r>
      <w:r>
        <w:rPr>
          <w:i/>
          <w:iCs/>
          <w:sz w:val="24"/>
          <w:vertAlign w:val="subscript"/>
        </w:rPr>
        <w:t>0i</w:t>
      </w:r>
      <w:r>
        <w:rPr>
          <w:i/>
          <w:iCs/>
          <w:sz w:val="24"/>
        </w:rPr>
        <w:t xml:space="preserve"> —— </w:t>
      </w:r>
      <w:r>
        <w:rPr>
          <w:rFonts w:ascii="宋体" w:hAnsi="宋体"/>
          <w:sz w:val="24"/>
        </w:rPr>
        <w:t>第</w:t>
      </w:r>
      <w:r>
        <w:rPr>
          <w:i/>
          <w:iCs/>
          <w:sz w:val="24"/>
        </w:rPr>
        <w:t xml:space="preserve">i </w:t>
      </w:r>
      <w:r>
        <w:rPr>
          <w:rFonts w:ascii="宋体" w:hAnsi="宋体"/>
          <w:sz w:val="24"/>
        </w:rPr>
        <w:t>个污染物的环境空气质量浓度标准，</w:t>
      </w:r>
      <w:r>
        <w:rPr>
          <w:sz w:val="24"/>
        </w:rPr>
        <w:t>μg/m</w:t>
      </w:r>
      <w:r>
        <w:rPr>
          <w:sz w:val="24"/>
          <w:vertAlign w:val="superscript"/>
        </w:rPr>
        <w:t>3</w:t>
      </w:r>
      <w:r>
        <w:rPr>
          <w:rFonts w:ascii="宋体" w:hAnsi="宋体"/>
          <w:sz w:val="24"/>
        </w:rPr>
        <w:t>。一般选用</w:t>
      </w:r>
      <w:r>
        <w:rPr>
          <w:sz w:val="24"/>
        </w:rPr>
        <w:t xml:space="preserve">GB 3095 </w:t>
      </w:r>
      <w:r>
        <w:rPr>
          <w:rFonts w:ascii="宋体" w:hAnsi="宋体"/>
          <w:sz w:val="24"/>
        </w:rPr>
        <w:t>中</w:t>
      </w:r>
      <w:r>
        <w:rPr>
          <w:sz w:val="24"/>
        </w:rPr>
        <w:t xml:space="preserve">1 h </w:t>
      </w:r>
      <w:r>
        <w:rPr>
          <w:rFonts w:ascii="宋体" w:hAnsi="宋体"/>
          <w:sz w:val="24"/>
        </w:rPr>
        <w:t>平均质量浓度的二级浓度限值，如项目位于一类环境空气功能区，应选择相应的一级浓度限值；对该标准中未包含的污染物，使用</w:t>
      </w:r>
      <w:r>
        <w:rPr>
          <w:sz w:val="24"/>
        </w:rPr>
        <w:t xml:space="preserve">5.2 </w:t>
      </w:r>
      <w:r>
        <w:rPr>
          <w:rFonts w:ascii="宋体" w:hAnsi="宋体"/>
          <w:sz w:val="24"/>
        </w:rPr>
        <w:t>确定的各评价因子</w:t>
      </w:r>
      <w:r>
        <w:rPr>
          <w:sz w:val="24"/>
        </w:rPr>
        <w:t xml:space="preserve">1 h </w:t>
      </w:r>
      <w:r>
        <w:rPr>
          <w:rFonts w:ascii="宋体" w:hAnsi="宋体"/>
          <w:sz w:val="24"/>
        </w:rPr>
        <w:t>平均质量浓度限值。对仅有</w:t>
      </w:r>
      <w:r>
        <w:rPr>
          <w:sz w:val="24"/>
        </w:rPr>
        <w:t xml:space="preserve">8 h </w:t>
      </w:r>
      <w:r>
        <w:rPr>
          <w:rFonts w:ascii="宋体" w:hAnsi="宋体"/>
          <w:sz w:val="24"/>
        </w:rPr>
        <w:t>平均质量浓度限值、日平均质量浓度限值或年平均质量浓度限值的，可分别按</w:t>
      </w:r>
      <w:r>
        <w:rPr>
          <w:sz w:val="24"/>
        </w:rPr>
        <w:t xml:space="preserve">2 </w:t>
      </w:r>
      <w:r>
        <w:rPr>
          <w:rFonts w:ascii="宋体" w:hAnsi="宋体"/>
          <w:sz w:val="24"/>
        </w:rPr>
        <w:t>倍、</w:t>
      </w:r>
      <w:r>
        <w:rPr>
          <w:sz w:val="24"/>
        </w:rPr>
        <w:t xml:space="preserve">3 </w:t>
      </w:r>
      <w:r>
        <w:rPr>
          <w:rFonts w:ascii="宋体" w:hAnsi="宋体"/>
          <w:sz w:val="24"/>
        </w:rPr>
        <w:t>倍、</w:t>
      </w:r>
      <w:r>
        <w:rPr>
          <w:sz w:val="24"/>
        </w:rPr>
        <w:t xml:space="preserve">6 </w:t>
      </w:r>
      <w:r>
        <w:rPr>
          <w:rFonts w:ascii="宋体" w:hAnsi="宋体"/>
          <w:sz w:val="24"/>
        </w:rPr>
        <w:t>倍折算为</w:t>
      </w:r>
      <w:r>
        <w:rPr>
          <w:sz w:val="24"/>
        </w:rPr>
        <w:t xml:space="preserve">1h </w:t>
      </w:r>
      <w:r>
        <w:rPr>
          <w:rFonts w:ascii="宋体" w:hAnsi="宋体"/>
          <w:sz w:val="24"/>
        </w:rPr>
        <w:t>平均质量浓度限值</w:t>
      </w:r>
      <w:r>
        <w:rPr>
          <w:rFonts w:ascii="宋体" w:hAnsi="宋体"/>
          <w:kern w:val="0"/>
          <w:sz w:val="24"/>
        </w:rPr>
        <w:t>。</w:t>
      </w:r>
    </w:p>
    <w:p>
      <w:pPr>
        <w:spacing w:line="360" w:lineRule="auto"/>
        <w:ind w:firstLine="480" w:firstLineChars="200"/>
        <w:rPr>
          <w:sz w:val="24"/>
        </w:rPr>
      </w:pPr>
      <w:r>
        <w:rPr>
          <w:rFonts w:ascii="宋体" w:hAnsi="宋体"/>
          <w:sz w:val="24"/>
        </w:rPr>
        <w:t>本项目大气污染源参数见表</w:t>
      </w:r>
      <w:r>
        <w:rPr>
          <w:sz w:val="24"/>
        </w:rPr>
        <w:t>2.3-1</w:t>
      </w:r>
      <w:r>
        <w:rPr>
          <w:rFonts w:ascii="宋体" w:hAnsi="宋体"/>
          <w:sz w:val="24"/>
        </w:rPr>
        <w:t>，计算结果见表</w:t>
      </w:r>
      <w:r>
        <w:rPr>
          <w:sz w:val="24"/>
        </w:rPr>
        <w:t>2.3-2</w:t>
      </w:r>
      <w:r>
        <w:rPr>
          <w:rFonts w:ascii="宋体" w:hAnsi="宋体"/>
          <w:sz w:val="24"/>
        </w:rPr>
        <w:t>，评价工作等级判定见表</w:t>
      </w:r>
      <w:r>
        <w:rPr>
          <w:sz w:val="24"/>
        </w:rPr>
        <w:t>2.3-3</w:t>
      </w:r>
      <w:r>
        <w:rPr>
          <w:rFonts w:ascii="宋体" w:hAnsi="宋体"/>
          <w:sz w:val="24"/>
        </w:rPr>
        <w:t>。</w:t>
      </w:r>
    </w:p>
    <w:p>
      <w:pPr>
        <w:keepNext/>
        <w:ind w:firstLine="482" w:firstLineChars="200"/>
        <w:jc w:val="center"/>
        <w:rPr>
          <w:rFonts w:ascii="宋体" w:hAnsi="宋体"/>
          <w:b/>
          <w:sz w:val="24"/>
        </w:rPr>
      </w:pPr>
      <w:r>
        <w:rPr>
          <w:rFonts w:ascii="宋体" w:hAnsi="宋体"/>
          <w:b/>
          <w:sz w:val="24"/>
        </w:rPr>
        <w:t>表</w:t>
      </w:r>
      <w:r>
        <w:rPr>
          <w:b/>
          <w:sz w:val="24"/>
        </w:rPr>
        <w:t xml:space="preserve">2.3-1  </w:t>
      </w:r>
      <w:r>
        <w:rPr>
          <w:rFonts w:ascii="宋体" w:hAnsi="宋体"/>
          <w:b/>
          <w:sz w:val="24"/>
        </w:rPr>
        <w:t>大气污染源基本情况</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651"/>
        <w:gridCol w:w="966"/>
        <w:gridCol w:w="852"/>
        <w:gridCol w:w="852"/>
        <w:gridCol w:w="854"/>
        <w:gridCol w:w="670"/>
        <w:gridCol w:w="701"/>
        <w:gridCol w:w="1118"/>
        <w:gridCol w:w="13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10"/>
            <w:shd w:val="clear" w:color="auto" w:fill="auto"/>
            <w:vAlign w:val="center"/>
          </w:tcPr>
          <w:p>
            <w:pPr>
              <w:autoSpaceDE w:val="0"/>
              <w:autoSpaceDN w:val="0"/>
              <w:adjustRightInd w:val="0"/>
              <w:snapToGrid w:val="0"/>
              <w:jc w:val="center"/>
              <w:rPr>
                <w:kern w:val="0"/>
                <w:szCs w:val="21"/>
              </w:rPr>
            </w:pPr>
            <w:r>
              <w:rPr>
                <w:rFonts w:hint="eastAsia"/>
                <w:kern w:val="0"/>
                <w:szCs w:val="21"/>
              </w:rPr>
              <w:t>填埋场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5" w:type="pct"/>
            <w:gridSpan w:val="2"/>
            <w:shd w:val="clear" w:color="auto" w:fill="auto"/>
            <w:vAlign w:val="center"/>
          </w:tcPr>
          <w:p>
            <w:pPr>
              <w:autoSpaceDE w:val="0"/>
              <w:autoSpaceDN w:val="0"/>
              <w:adjustRightInd w:val="0"/>
              <w:snapToGrid w:val="0"/>
              <w:jc w:val="center"/>
              <w:rPr>
                <w:kern w:val="0"/>
                <w:szCs w:val="21"/>
              </w:rPr>
            </w:pPr>
            <w:r>
              <w:rPr>
                <w:kern w:val="0"/>
                <w:szCs w:val="21"/>
              </w:rPr>
              <w:t>面源</w:t>
            </w:r>
            <w:r>
              <w:rPr>
                <w:rFonts w:hint="eastAsia"/>
                <w:kern w:val="0"/>
                <w:szCs w:val="21"/>
              </w:rPr>
              <w:t>起点坐标</w:t>
            </w:r>
          </w:p>
        </w:tc>
        <w:tc>
          <w:tcPr>
            <w:tcW w:w="577" w:type="pct"/>
            <w:vMerge w:val="restart"/>
            <w:vAlign w:val="center"/>
          </w:tcPr>
          <w:p>
            <w:pPr>
              <w:autoSpaceDE w:val="0"/>
              <w:autoSpaceDN w:val="0"/>
              <w:adjustRightInd w:val="0"/>
              <w:snapToGrid w:val="0"/>
              <w:jc w:val="center"/>
              <w:rPr>
                <w:kern w:val="0"/>
                <w:szCs w:val="21"/>
              </w:rPr>
            </w:pPr>
            <w:r>
              <w:rPr>
                <w:rFonts w:hint="eastAsia"/>
                <w:kern w:val="0"/>
                <w:szCs w:val="21"/>
              </w:rPr>
              <w:t>面源海拔高（m）</w:t>
            </w:r>
          </w:p>
        </w:tc>
        <w:tc>
          <w:tcPr>
            <w:tcW w:w="510" w:type="pct"/>
            <w:vMerge w:val="restart"/>
            <w:shd w:val="clear" w:color="auto" w:fill="auto"/>
            <w:vAlign w:val="center"/>
          </w:tcPr>
          <w:p>
            <w:pPr>
              <w:autoSpaceDE w:val="0"/>
              <w:autoSpaceDN w:val="0"/>
              <w:adjustRightInd w:val="0"/>
              <w:snapToGrid w:val="0"/>
              <w:jc w:val="center"/>
              <w:rPr>
                <w:kern w:val="0"/>
                <w:szCs w:val="21"/>
              </w:rPr>
            </w:pPr>
            <w:r>
              <w:rPr>
                <w:rFonts w:hint="eastAsia"/>
                <w:kern w:val="0"/>
                <w:szCs w:val="21"/>
              </w:rPr>
              <w:t>面源</w:t>
            </w:r>
            <w:r>
              <w:rPr>
                <w:kern w:val="0"/>
                <w:szCs w:val="21"/>
              </w:rPr>
              <w:t>宽度（m）</w:t>
            </w:r>
          </w:p>
        </w:tc>
        <w:tc>
          <w:tcPr>
            <w:tcW w:w="510" w:type="pct"/>
            <w:vMerge w:val="restart"/>
            <w:shd w:val="clear" w:color="auto" w:fill="auto"/>
            <w:vAlign w:val="center"/>
          </w:tcPr>
          <w:p>
            <w:pPr>
              <w:autoSpaceDE w:val="0"/>
              <w:autoSpaceDN w:val="0"/>
              <w:adjustRightInd w:val="0"/>
              <w:snapToGrid w:val="0"/>
              <w:jc w:val="center"/>
              <w:rPr>
                <w:kern w:val="0"/>
                <w:szCs w:val="21"/>
              </w:rPr>
            </w:pPr>
            <w:r>
              <w:rPr>
                <w:rFonts w:hint="eastAsia"/>
                <w:kern w:val="0"/>
                <w:szCs w:val="21"/>
              </w:rPr>
              <w:t>面源</w:t>
            </w:r>
            <w:r>
              <w:rPr>
                <w:kern w:val="0"/>
                <w:szCs w:val="21"/>
              </w:rPr>
              <w:t>长度（m）</w:t>
            </w:r>
          </w:p>
        </w:tc>
        <w:tc>
          <w:tcPr>
            <w:tcW w:w="511" w:type="pct"/>
            <w:vMerge w:val="restart"/>
            <w:shd w:val="clear" w:color="auto" w:fill="auto"/>
            <w:vAlign w:val="center"/>
          </w:tcPr>
          <w:p>
            <w:pPr>
              <w:autoSpaceDE w:val="0"/>
              <w:autoSpaceDN w:val="0"/>
              <w:adjustRightInd w:val="0"/>
              <w:snapToGrid w:val="0"/>
              <w:jc w:val="center"/>
              <w:rPr>
                <w:kern w:val="0"/>
                <w:szCs w:val="21"/>
              </w:rPr>
            </w:pPr>
            <w:r>
              <w:rPr>
                <w:kern w:val="0"/>
                <w:szCs w:val="21"/>
              </w:rPr>
              <w:t>面源</w:t>
            </w:r>
            <w:r>
              <w:rPr>
                <w:rFonts w:hint="eastAsia"/>
                <w:kern w:val="0"/>
                <w:szCs w:val="21"/>
              </w:rPr>
              <w:t>有效排放</w:t>
            </w:r>
            <w:r>
              <w:rPr>
                <w:kern w:val="0"/>
                <w:szCs w:val="21"/>
              </w:rPr>
              <w:t>高度（m）</w:t>
            </w:r>
          </w:p>
        </w:tc>
        <w:tc>
          <w:tcPr>
            <w:tcW w:w="403" w:type="pct"/>
            <w:vMerge w:val="restart"/>
            <w:vAlign w:val="center"/>
          </w:tcPr>
          <w:p>
            <w:pPr>
              <w:autoSpaceDE w:val="0"/>
              <w:autoSpaceDN w:val="0"/>
              <w:adjustRightInd w:val="0"/>
              <w:snapToGrid w:val="0"/>
              <w:jc w:val="center"/>
              <w:rPr>
                <w:kern w:val="0"/>
                <w:szCs w:val="21"/>
              </w:rPr>
            </w:pPr>
            <w:r>
              <w:rPr>
                <w:rFonts w:hint="eastAsia"/>
                <w:kern w:val="0"/>
                <w:szCs w:val="21"/>
              </w:rPr>
              <w:t>年排放小时数</w:t>
            </w:r>
          </w:p>
        </w:tc>
        <w:tc>
          <w:tcPr>
            <w:tcW w:w="421" w:type="pct"/>
            <w:vMerge w:val="restart"/>
            <w:vAlign w:val="center"/>
          </w:tcPr>
          <w:p>
            <w:pPr>
              <w:autoSpaceDE w:val="0"/>
              <w:autoSpaceDN w:val="0"/>
              <w:adjustRightInd w:val="0"/>
              <w:snapToGrid w:val="0"/>
              <w:jc w:val="center"/>
              <w:rPr>
                <w:kern w:val="0"/>
                <w:szCs w:val="21"/>
              </w:rPr>
            </w:pPr>
            <w:r>
              <w:rPr>
                <w:rFonts w:hint="eastAsia"/>
                <w:kern w:val="0"/>
                <w:szCs w:val="21"/>
              </w:rPr>
              <w:t>排放工况</w:t>
            </w:r>
          </w:p>
        </w:tc>
        <w:tc>
          <w:tcPr>
            <w:tcW w:w="1343" w:type="pct"/>
            <w:gridSpan w:val="2"/>
            <w:shd w:val="clear" w:color="auto" w:fill="auto"/>
            <w:vAlign w:val="center"/>
          </w:tcPr>
          <w:p>
            <w:pPr>
              <w:autoSpaceDE w:val="0"/>
              <w:autoSpaceDN w:val="0"/>
              <w:adjustRightInd w:val="0"/>
              <w:snapToGrid w:val="0"/>
              <w:jc w:val="center"/>
              <w:rPr>
                <w:kern w:val="0"/>
                <w:szCs w:val="21"/>
              </w:rPr>
            </w:pPr>
            <w:r>
              <w:rPr>
                <w:kern w:val="0"/>
                <w:szCs w:val="21"/>
              </w:rPr>
              <w:t>评价因子源强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kern w:val="0"/>
                <w:szCs w:val="21"/>
              </w:rPr>
            </w:pPr>
            <w:r>
              <w:rPr>
                <w:rFonts w:hint="eastAsia"/>
                <w:kern w:val="0"/>
                <w:szCs w:val="21"/>
              </w:rPr>
              <w:t>x</w:t>
            </w:r>
          </w:p>
        </w:tc>
        <w:tc>
          <w:tcPr>
            <w:tcW w:w="392" w:type="pct"/>
            <w:shd w:val="clear" w:color="auto" w:fill="auto"/>
            <w:vAlign w:val="center"/>
          </w:tcPr>
          <w:p>
            <w:pPr>
              <w:autoSpaceDE w:val="0"/>
              <w:autoSpaceDN w:val="0"/>
              <w:adjustRightInd w:val="0"/>
              <w:snapToGrid w:val="0"/>
              <w:jc w:val="center"/>
              <w:rPr>
                <w:kern w:val="0"/>
                <w:szCs w:val="21"/>
              </w:rPr>
            </w:pPr>
            <w:r>
              <w:rPr>
                <w:rFonts w:hint="eastAsia"/>
                <w:kern w:val="0"/>
                <w:szCs w:val="21"/>
              </w:rPr>
              <w:t>y</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autoSpaceDE w:val="0"/>
              <w:autoSpaceDN w:val="0"/>
              <w:adjustRightInd w:val="0"/>
              <w:snapToGrid w:val="0"/>
              <w:jc w:val="center"/>
              <w:rPr>
                <w:kern w:val="0"/>
                <w:szCs w:val="21"/>
              </w:rPr>
            </w:pPr>
          </w:p>
        </w:tc>
        <w:tc>
          <w:tcPr>
            <w:tcW w:w="421" w:type="pct"/>
            <w:vMerge w:val="continue"/>
            <w:vAlign w:val="center"/>
          </w:tcPr>
          <w:p>
            <w:pPr>
              <w:autoSpaceDE w:val="0"/>
              <w:autoSpaceDN w:val="0"/>
              <w:adjustRightInd w:val="0"/>
              <w:snapToGrid w:val="0"/>
              <w:jc w:val="center"/>
              <w:rPr>
                <w:kern w:val="0"/>
                <w:szCs w:val="21"/>
              </w:rPr>
            </w:pPr>
          </w:p>
        </w:tc>
        <w:tc>
          <w:tcPr>
            <w:tcW w:w="666" w:type="pct"/>
            <w:shd w:val="clear" w:color="auto" w:fill="auto"/>
            <w:vAlign w:val="center"/>
          </w:tcPr>
          <w:p>
            <w:pPr>
              <w:autoSpaceDE w:val="0"/>
              <w:autoSpaceDN w:val="0"/>
              <w:adjustRightInd w:val="0"/>
              <w:snapToGrid w:val="0"/>
              <w:jc w:val="center"/>
              <w:rPr>
                <w:kern w:val="0"/>
                <w:szCs w:val="21"/>
              </w:rPr>
            </w:pPr>
            <w:r>
              <w:rPr>
                <w:kern w:val="0"/>
                <w:szCs w:val="21"/>
              </w:rPr>
              <w:t>NH</w:t>
            </w:r>
            <w:r>
              <w:rPr>
                <w:kern w:val="0"/>
                <w:szCs w:val="21"/>
                <w:vertAlign w:val="subscript"/>
              </w:rPr>
              <w:t>3</w:t>
            </w:r>
            <w:r>
              <w:rPr>
                <w:kern w:val="0"/>
                <w:szCs w:val="21"/>
              </w:rPr>
              <w:t>(kg/h)</w:t>
            </w:r>
          </w:p>
        </w:tc>
        <w:tc>
          <w:tcPr>
            <w:tcW w:w="677" w:type="pct"/>
            <w:shd w:val="clear" w:color="auto" w:fill="auto"/>
            <w:vAlign w:val="center"/>
          </w:tcPr>
          <w:p>
            <w:pPr>
              <w:autoSpaceDE w:val="0"/>
              <w:autoSpaceDN w:val="0"/>
              <w:adjustRightInd w:val="0"/>
              <w:snapToGrid w:val="0"/>
              <w:jc w:val="center"/>
              <w:rPr>
                <w:kern w:val="0"/>
                <w:szCs w:val="21"/>
              </w:rPr>
            </w:pPr>
            <w:r>
              <w:rPr>
                <w:kern w:val="0"/>
                <w:szCs w:val="21"/>
              </w:rPr>
              <w:t>H</w:t>
            </w:r>
            <w:r>
              <w:rPr>
                <w:kern w:val="0"/>
                <w:szCs w:val="21"/>
                <w:vertAlign w:val="subscript"/>
              </w:rPr>
              <w:t>2</w:t>
            </w:r>
            <w:r>
              <w:rPr>
                <w:kern w:val="0"/>
                <w:szCs w:val="21"/>
              </w:rPr>
              <w:t>S( 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kern w:val="0"/>
                <w:szCs w:val="21"/>
              </w:rPr>
            </w:pPr>
            <w:r>
              <w:rPr>
                <w:rFonts w:hint="eastAsia"/>
                <w:kern w:val="0"/>
                <w:szCs w:val="21"/>
              </w:rPr>
              <w:t>-</w:t>
            </w:r>
            <w:r>
              <w:rPr>
                <w:kern w:val="0"/>
                <w:szCs w:val="21"/>
              </w:rPr>
              <w:t>76</w:t>
            </w:r>
          </w:p>
        </w:tc>
        <w:tc>
          <w:tcPr>
            <w:tcW w:w="392" w:type="pct"/>
            <w:vAlign w:val="center"/>
          </w:tcPr>
          <w:p>
            <w:pPr>
              <w:autoSpaceDE w:val="0"/>
              <w:autoSpaceDN w:val="0"/>
              <w:adjustRightInd w:val="0"/>
              <w:snapToGrid w:val="0"/>
              <w:jc w:val="center"/>
              <w:rPr>
                <w:kern w:val="0"/>
                <w:szCs w:val="21"/>
              </w:rPr>
            </w:pPr>
            <w:r>
              <w:rPr>
                <w:rFonts w:hint="eastAsia"/>
                <w:kern w:val="0"/>
                <w:szCs w:val="21"/>
              </w:rPr>
              <w:t>1</w:t>
            </w:r>
            <w:r>
              <w:rPr>
                <w:kern w:val="0"/>
                <w:szCs w:val="21"/>
              </w:rPr>
              <w:t>96</w:t>
            </w:r>
          </w:p>
        </w:tc>
        <w:tc>
          <w:tcPr>
            <w:tcW w:w="577" w:type="pct"/>
            <w:vMerge w:val="restart"/>
            <w:vAlign w:val="center"/>
          </w:tcPr>
          <w:p>
            <w:pPr>
              <w:autoSpaceDE w:val="0"/>
              <w:autoSpaceDN w:val="0"/>
              <w:adjustRightInd w:val="0"/>
              <w:snapToGrid w:val="0"/>
              <w:jc w:val="center"/>
              <w:rPr>
                <w:kern w:val="0"/>
                <w:szCs w:val="21"/>
              </w:rPr>
            </w:pPr>
            <w:r>
              <w:rPr>
                <w:rFonts w:hint="eastAsia"/>
                <w:kern w:val="0"/>
                <w:szCs w:val="21"/>
              </w:rPr>
              <w:t>1</w:t>
            </w:r>
            <w:r>
              <w:rPr>
                <w:kern w:val="0"/>
                <w:szCs w:val="21"/>
              </w:rPr>
              <w:t>029.35</w:t>
            </w:r>
          </w:p>
        </w:tc>
        <w:tc>
          <w:tcPr>
            <w:tcW w:w="510" w:type="pct"/>
            <w:vMerge w:val="restart"/>
            <w:shd w:val="clear" w:color="auto" w:fill="auto"/>
            <w:vAlign w:val="center"/>
          </w:tcPr>
          <w:p>
            <w:pPr>
              <w:autoSpaceDE w:val="0"/>
              <w:autoSpaceDN w:val="0"/>
              <w:adjustRightInd w:val="0"/>
              <w:snapToGrid w:val="0"/>
              <w:jc w:val="center"/>
              <w:rPr>
                <w:kern w:val="0"/>
                <w:szCs w:val="21"/>
              </w:rPr>
            </w:pPr>
            <w:r>
              <w:rPr>
                <w:kern w:val="0"/>
                <w:szCs w:val="21"/>
              </w:rPr>
              <w:t>133.87</w:t>
            </w:r>
          </w:p>
        </w:tc>
        <w:tc>
          <w:tcPr>
            <w:tcW w:w="510" w:type="pct"/>
            <w:vMerge w:val="restart"/>
            <w:shd w:val="clear" w:color="auto" w:fill="auto"/>
            <w:vAlign w:val="center"/>
          </w:tcPr>
          <w:p>
            <w:pPr>
              <w:autoSpaceDE w:val="0"/>
              <w:autoSpaceDN w:val="0"/>
              <w:adjustRightInd w:val="0"/>
              <w:snapToGrid w:val="0"/>
              <w:jc w:val="center"/>
              <w:rPr>
                <w:kern w:val="0"/>
                <w:szCs w:val="21"/>
              </w:rPr>
            </w:pPr>
            <w:r>
              <w:rPr>
                <w:kern w:val="0"/>
                <w:szCs w:val="21"/>
              </w:rPr>
              <w:t>277.89</w:t>
            </w:r>
          </w:p>
        </w:tc>
        <w:tc>
          <w:tcPr>
            <w:tcW w:w="511" w:type="pct"/>
            <w:vMerge w:val="restart"/>
            <w:shd w:val="clear" w:color="auto" w:fill="auto"/>
            <w:vAlign w:val="center"/>
          </w:tcPr>
          <w:p>
            <w:pPr>
              <w:autoSpaceDE w:val="0"/>
              <w:autoSpaceDN w:val="0"/>
              <w:adjustRightInd w:val="0"/>
              <w:snapToGrid w:val="0"/>
              <w:jc w:val="center"/>
              <w:rPr>
                <w:kern w:val="0"/>
                <w:szCs w:val="21"/>
              </w:rPr>
            </w:pPr>
            <w:r>
              <w:rPr>
                <w:kern w:val="0"/>
                <w:szCs w:val="21"/>
              </w:rPr>
              <w:t>6</w:t>
            </w:r>
          </w:p>
        </w:tc>
        <w:tc>
          <w:tcPr>
            <w:tcW w:w="403" w:type="pct"/>
            <w:vMerge w:val="restart"/>
            <w:vAlign w:val="center"/>
          </w:tcPr>
          <w:p>
            <w:pPr>
              <w:widowControl/>
              <w:adjustRightInd w:val="0"/>
              <w:snapToGrid w:val="0"/>
              <w:jc w:val="center"/>
              <w:rPr>
                <w:szCs w:val="21"/>
              </w:rPr>
            </w:pPr>
            <w:r>
              <w:rPr>
                <w:rFonts w:hint="eastAsia"/>
                <w:szCs w:val="21"/>
              </w:rPr>
              <w:t>8</w:t>
            </w:r>
            <w:r>
              <w:rPr>
                <w:szCs w:val="21"/>
              </w:rPr>
              <w:t>760</w:t>
            </w:r>
          </w:p>
        </w:tc>
        <w:tc>
          <w:tcPr>
            <w:tcW w:w="421" w:type="pct"/>
            <w:vMerge w:val="restart"/>
            <w:vAlign w:val="center"/>
          </w:tcPr>
          <w:p>
            <w:pPr>
              <w:widowControl/>
              <w:adjustRightInd w:val="0"/>
              <w:snapToGrid w:val="0"/>
              <w:jc w:val="center"/>
              <w:rPr>
                <w:szCs w:val="21"/>
              </w:rPr>
            </w:pPr>
            <w:r>
              <w:rPr>
                <w:rFonts w:hint="eastAsia"/>
                <w:szCs w:val="21"/>
              </w:rPr>
              <w:t>正常</w:t>
            </w:r>
          </w:p>
        </w:tc>
        <w:tc>
          <w:tcPr>
            <w:tcW w:w="666" w:type="pct"/>
            <w:vMerge w:val="restart"/>
            <w:shd w:val="clear" w:color="auto" w:fill="auto"/>
            <w:vAlign w:val="center"/>
          </w:tcPr>
          <w:p>
            <w:pPr>
              <w:widowControl/>
              <w:adjustRightInd w:val="0"/>
              <w:snapToGrid w:val="0"/>
              <w:jc w:val="center"/>
              <w:rPr>
                <w:kern w:val="0"/>
                <w:szCs w:val="21"/>
              </w:rPr>
            </w:pPr>
            <w:r>
              <w:rPr>
                <w:rFonts w:hint="eastAsia"/>
                <w:szCs w:val="21"/>
              </w:rPr>
              <w:t>0.</w:t>
            </w:r>
            <w:r>
              <w:rPr>
                <w:szCs w:val="21"/>
              </w:rPr>
              <w:t>1333</w:t>
            </w:r>
          </w:p>
        </w:tc>
        <w:tc>
          <w:tcPr>
            <w:tcW w:w="677" w:type="pct"/>
            <w:vMerge w:val="restart"/>
            <w:shd w:val="clear" w:color="auto" w:fill="auto"/>
            <w:vAlign w:val="center"/>
          </w:tcPr>
          <w:p>
            <w:pPr>
              <w:widowControl/>
              <w:adjustRightInd w:val="0"/>
              <w:snapToGrid w:val="0"/>
              <w:jc w:val="center"/>
              <w:rPr>
                <w:kern w:val="0"/>
                <w:szCs w:val="21"/>
              </w:rPr>
            </w:pPr>
            <w:r>
              <w:rPr>
                <w:rFonts w:hint="eastAsia"/>
                <w:szCs w:val="21"/>
              </w:rPr>
              <w:t>0.0</w:t>
            </w:r>
            <w:r>
              <w:rPr>
                <w:szCs w:val="21"/>
              </w:rPr>
              <w:t>094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kern w:val="0"/>
                <w:szCs w:val="21"/>
              </w:rPr>
            </w:pPr>
            <w:r>
              <w:rPr>
                <w:szCs w:val="21"/>
              </w:rPr>
              <w:t>64</w:t>
            </w:r>
          </w:p>
        </w:tc>
        <w:tc>
          <w:tcPr>
            <w:tcW w:w="392" w:type="pct"/>
            <w:vAlign w:val="center"/>
          </w:tcPr>
          <w:p>
            <w:pPr>
              <w:autoSpaceDE w:val="0"/>
              <w:autoSpaceDN w:val="0"/>
              <w:adjustRightInd w:val="0"/>
              <w:snapToGrid w:val="0"/>
              <w:jc w:val="center"/>
              <w:rPr>
                <w:kern w:val="0"/>
                <w:szCs w:val="21"/>
              </w:rPr>
            </w:pPr>
            <w:r>
              <w:rPr>
                <w:szCs w:val="21"/>
              </w:rPr>
              <w:t>144</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szCs w:val="21"/>
              </w:rPr>
            </w:pPr>
            <w:r>
              <w:rPr>
                <w:szCs w:val="21"/>
              </w:rPr>
              <w:t>98</w:t>
            </w:r>
          </w:p>
        </w:tc>
        <w:tc>
          <w:tcPr>
            <w:tcW w:w="392" w:type="pct"/>
            <w:vAlign w:val="center"/>
          </w:tcPr>
          <w:p>
            <w:pPr>
              <w:autoSpaceDE w:val="0"/>
              <w:autoSpaceDN w:val="0"/>
              <w:adjustRightInd w:val="0"/>
              <w:snapToGrid w:val="0"/>
              <w:jc w:val="center"/>
              <w:rPr>
                <w:szCs w:val="21"/>
              </w:rPr>
            </w:pPr>
            <w:r>
              <w:rPr>
                <w:szCs w:val="21"/>
              </w:rPr>
              <w:t>-79</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szCs w:val="21"/>
              </w:rPr>
            </w:pPr>
            <w:r>
              <w:rPr>
                <w:szCs w:val="21"/>
              </w:rPr>
              <w:t>-91</w:t>
            </w:r>
          </w:p>
        </w:tc>
        <w:tc>
          <w:tcPr>
            <w:tcW w:w="392" w:type="pct"/>
            <w:vAlign w:val="center"/>
          </w:tcPr>
          <w:p>
            <w:pPr>
              <w:autoSpaceDE w:val="0"/>
              <w:autoSpaceDN w:val="0"/>
              <w:adjustRightInd w:val="0"/>
              <w:snapToGrid w:val="0"/>
              <w:jc w:val="center"/>
              <w:rPr>
                <w:szCs w:val="21"/>
              </w:rPr>
            </w:pPr>
            <w:r>
              <w:rPr>
                <w:szCs w:val="21"/>
              </w:rPr>
              <w:t>-72</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10"/>
            <w:shd w:val="clear" w:color="auto" w:fill="auto"/>
          </w:tcPr>
          <w:p>
            <w:pPr>
              <w:widowControl/>
              <w:adjustRightInd w:val="0"/>
              <w:snapToGrid w:val="0"/>
              <w:jc w:val="center"/>
              <w:rPr>
                <w:szCs w:val="21"/>
              </w:rPr>
            </w:pPr>
            <w:r>
              <w:rPr>
                <w:rFonts w:hint="eastAsia"/>
                <w:szCs w:val="21"/>
              </w:rPr>
              <w:t>作业区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725" w:type="pct"/>
            <w:gridSpan w:val="2"/>
            <w:shd w:val="clear" w:color="auto" w:fill="auto"/>
            <w:vAlign w:val="center"/>
          </w:tcPr>
          <w:p>
            <w:pPr>
              <w:autoSpaceDE w:val="0"/>
              <w:autoSpaceDN w:val="0"/>
              <w:adjustRightInd w:val="0"/>
              <w:snapToGrid w:val="0"/>
              <w:jc w:val="center"/>
              <w:rPr>
                <w:color w:val="FF0000"/>
                <w:szCs w:val="21"/>
              </w:rPr>
            </w:pPr>
            <w:r>
              <w:rPr>
                <w:rFonts w:hint="eastAsia"/>
                <w:color w:val="FF0000"/>
                <w:szCs w:val="21"/>
              </w:rPr>
              <w:t>面源起点坐标</w:t>
            </w:r>
          </w:p>
        </w:tc>
        <w:tc>
          <w:tcPr>
            <w:tcW w:w="577"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面源海拔高</w:t>
            </w:r>
            <w:r>
              <w:rPr>
                <w:color w:val="FF0000"/>
                <w:kern w:val="0"/>
                <w:szCs w:val="21"/>
              </w:rPr>
              <w:t>（m）</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szCs w:val="21"/>
              </w:rPr>
              <w:t>面源宽度（m）</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szCs w:val="21"/>
              </w:rPr>
              <w:t>面源长度（m）</w:t>
            </w:r>
          </w:p>
        </w:tc>
        <w:tc>
          <w:tcPr>
            <w:tcW w:w="511"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szCs w:val="21"/>
              </w:rPr>
              <w:t>面源有效排放高度（m）</w:t>
            </w:r>
          </w:p>
        </w:tc>
        <w:tc>
          <w:tcPr>
            <w:tcW w:w="403" w:type="pct"/>
            <w:vMerge w:val="restart"/>
            <w:vAlign w:val="center"/>
          </w:tcPr>
          <w:p>
            <w:pPr>
              <w:widowControl/>
              <w:adjustRightInd w:val="0"/>
              <w:snapToGrid w:val="0"/>
              <w:jc w:val="center"/>
              <w:rPr>
                <w:color w:val="FF0000"/>
                <w:szCs w:val="21"/>
              </w:rPr>
            </w:pPr>
            <w:r>
              <w:rPr>
                <w:rFonts w:hint="eastAsia"/>
                <w:color w:val="FF0000"/>
                <w:szCs w:val="21"/>
              </w:rPr>
              <w:t>年排放小时数</w:t>
            </w:r>
          </w:p>
        </w:tc>
        <w:tc>
          <w:tcPr>
            <w:tcW w:w="421" w:type="pct"/>
            <w:vMerge w:val="restart"/>
            <w:vAlign w:val="center"/>
          </w:tcPr>
          <w:p>
            <w:pPr>
              <w:widowControl/>
              <w:adjustRightInd w:val="0"/>
              <w:snapToGrid w:val="0"/>
              <w:jc w:val="center"/>
              <w:rPr>
                <w:color w:val="FF0000"/>
                <w:szCs w:val="21"/>
              </w:rPr>
            </w:pPr>
            <w:r>
              <w:rPr>
                <w:rFonts w:hint="eastAsia"/>
                <w:color w:val="FF0000"/>
                <w:szCs w:val="21"/>
              </w:rPr>
              <w:t>排放工况</w:t>
            </w:r>
          </w:p>
        </w:tc>
        <w:tc>
          <w:tcPr>
            <w:tcW w:w="1343" w:type="pct"/>
            <w:gridSpan w:val="2"/>
            <w:shd w:val="clear" w:color="auto" w:fill="auto"/>
            <w:vAlign w:val="center"/>
          </w:tcPr>
          <w:p>
            <w:pPr>
              <w:widowControl/>
              <w:adjustRightInd w:val="0"/>
              <w:snapToGrid w:val="0"/>
              <w:jc w:val="center"/>
              <w:rPr>
                <w:color w:val="FF0000"/>
                <w:szCs w:val="21"/>
              </w:rPr>
            </w:pPr>
            <w:r>
              <w:rPr>
                <w:rFonts w:hint="eastAsia"/>
                <w:color w:val="FF0000"/>
                <w:szCs w:val="21"/>
              </w:rPr>
              <w:t>评价因子源强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333" w:type="pct"/>
            <w:shd w:val="clear" w:color="auto" w:fill="auto"/>
            <w:vAlign w:val="center"/>
          </w:tcPr>
          <w:p>
            <w:pPr>
              <w:autoSpaceDE w:val="0"/>
              <w:autoSpaceDN w:val="0"/>
              <w:adjustRightInd w:val="0"/>
              <w:snapToGrid w:val="0"/>
              <w:jc w:val="center"/>
              <w:rPr>
                <w:color w:val="FF0000"/>
                <w:szCs w:val="21"/>
              </w:rPr>
            </w:pPr>
            <w:r>
              <w:rPr>
                <w:rFonts w:hint="eastAsia"/>
                <w:color w:val="FF0000"/>
                <w:kern w:val="0"/>
                <w:szCs w:val="21"/>
              </w:rPr>
              <w:t>x</w:t>
            </w:r>
          </w:p>
        </w:tc>
        <w:tc>
          <w:tcPr>
            <w:tcW w:w="392" w:type="pct"/>
            <w:shd w:val="clear" w:color="auto" w:fill="auto"/>
            <w:vAlign w:val="center"/>
          </w:tcPr>
          <w:p>
            <w:pPr>
              <w:autoSpaceDE w:val="0"/>
              <w:autoSpaceDN w:val="0"/>
              <w:adjustRightInd w:val="0"/>
              <w:snapToGrid w:val="0"/>
              <w:jc w:val="center"/>
              <w:rPr>
                <w:color w:val="FF0000"/>
                <w:szCs w:val="21"/>
              </w:rPr>
            </w:pPr>
            <w:r>
              <w:rPr>
                <w:rFonts w:hint="eastAsia"/>
                <w:color w:val="FF0000"/>
                <w:kern w:val="0"/>
                <w:szCs w:val="21"/>
              </w:rPr>
              <w:t>y</w:t>
            </w:r>
          </w:p>
        </w:tc>
        <w:tc>
          <w:tcPr>
            <w:tcW w:w="577" w:type="pct"/>
            <w:vMerge w:val="continue"/>
            <w:vAlign w:val="center"/>
          </w:tcPr>
          <w:p>
            <w:pPr>
              <w:autoSpaceDE w:val="0"/>
              <w:autoSpaceDN w:val="0"/>
              <w:adjustRightInd w:val="0"/>
              <w:snapToGrid w:val="0"/>
              <w:jc w:val="center"/>
              <w:rPr>
                <w:color w:val="FF0000"/>
                <w:kern w:val="0"/>
                <w:szCs w:val="21"/>
              </w:rPr>
            </w:pPr>
          </w:p>
        </w:tc>
        <w:tc>
          <w:tcPr>
            <w:tcW w:w="510" w:type="pct"/>
            <w:vMerge w:val="continue"/>
            <w:shd w:val="clear" w:color="auto" w:fill="auto"/>
            <w:vAlign w:val="center"/>
          </w:tcPr>
          <w:p>
            <w:pPr>
              <w:autoSpaceDE w:val="0"/>
              <w:autoSpaceDN w:val="0"/>
              <w:adjustRightInd w:val="0"/>
              <w:snapToGrid w:val="0"/>
              <w:jc w:val="center"/>
              <w:rPr>
                <w:color w:val="FF0000"/>
                <w:szCs w:val="21"/>
              </w:rPr>
            </w:pPr>
          </w:p>
        </w:tc>
        <w:tc>
          <w:tcPr>
            <w:tcW w:w="510" w:type="pct"/>
            <w:vMerge w:val="continue"/>
            <w:shd w:val="clear" w:color="auto" w:fill="auto"/>
            <w:vAlign w:val="center"/>
          </w:tcPr>
          <w:p>
            <w:pPr>
              <w:autoSpaceDE w:val="0"/>
              <w:autoSpaceDN w:val="0"/>
              <w:adjustRightInd w:val="0"/>
              <w:snapToGrid w:val="0"/>
              <w:jc w:val="center"/>
              <w:rPr>
                <w:color w:val="FF0000"/>
                <w:szCs w:val="21"/>
              </w:rPr>
            </w:pPr>
          </w:p>
        </w:tc>
        <w:tc>
          <w:tcPr>
            <w:tcW w:w="511" w:type="pct"/>
            <w:vMerge w:val="continue"/>
            <w:shd w:val="clear" w:color="auto" w:fill="auto"/>
            <w:vAlign w:val="center"/>
          </w:tcPr>
          <w:p>
            <w:pPr>
              <w:autoSpaceDE w:val="0"/>
              <w:autoSpaceDN w:val="0"/>
              <w:adjustRightInd w:val="0"/>
              <w:snapToGrid w:val="0"/>
              <w:jc w:val="center"/>
              <w:rPr>
                <w:color w:val="FF000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color w:val="FF0000"/>
                <w:szCs w:val="21"/>
              </w:rPr>
            </w:pPr>
          </w:p>
        </w:tc>
        <w:tc>
          <w:tcPr>
            <w:tcW w:w="1343" w:type="pct"/>
            <w:gridSpan w:val="2"/>
            <w:shd w:val="clear" w:color="auto" w:fill="auto"/>
            <w:vAlign w:val="center"/>
          </w:tcPr>
          <w:p>
            <w:pPr>
              <w:widowControl/>
              <w:adjustRightInd w:val="0"/>
              <w:snapToGrid w:val="0"/>
              <w:jc w:val="center"/>
              <w:rPr>
                <w:color w:val="FF0000"/>
                <w:szCs w:val="21"/>
              </w:rPr>
            </w:pPr>
            <w:r>
              <w:rPr>
                <w:rFonts w:hint="eastAsia"/>
                <w:color w:val="FF0000"/>
                <w:szCs w:val="21"/>
              </w:rPr>
              <w:t>T</w:t>
            </w:r>
            <w:r>
              <w:rPr>
                <w:color w:val="FF0000"/>
                <w:szCs w:val="21"/>
              </w:rPr>
              <w:t>SP</w:t>
            </w:r>
            <w:r>
              <w:rPr>
                <w:color w:val="FF0000"/>
                <w:kern w:val="0"/>
                <w:szCs w:val="21"/>
              </w:rPr>
              <w:t>( 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333" w:type="pct"/>
            <w:shd w:val="clear" w:color="auto" w:fill="auto"/>
            <w:vAlign w:val="center"/>
          </w:tcPr>
          <w:p>
            <w:pPr>
              <w:autoSpaceDE w:val="0"/>
              <w:autoSpaceDN w:val="0"/>
              <w:adjustRightInd w:val="0"/>
              <w:snapToGrid w:val="0"/>
              <w:jc w:val="center"/>
              <w:rPr>
                <w:color w:val="FF0000"/>
                <w:szCs w:val="21"/>
              </w:rPr>
            </w:pPr>
            <w:r>
              <w:rPr>
                <w:rFonts w:hint="eastAsia"/>
                <w:color w:val="FF0000"/>
                <w:szCs w:val="21"/>
              </w:rPr>
              <w:t>0</w:t>
            </w:r>
          </w:p>
        </w:tc>
        <w:tc>
          <w:tcPr>
            <w:tcW w:w="392" w:type="pct"/>
            <w:shd w:val="clear" w:color="auto" w:fill="auto"/>
            <w:vAlign w:val="center"/>
          </w:tcPr>
          <w:p>
            <w:pPr>
              <w:autoSpaceDE w:val="0"/>
              <w:autoSpaceDN w:val="0"/>
              <w:adjustRightInd w:val="0"/>
              <w:snapToGrid w:val="0"/>
              <w:jc w:val="center"/>
              <w:rPr>
                <w:color w:val="FF0000"/>
                <w:szCs w:val="21"/>
              </w:rPr>
            </w:pPr>
            <w:r>
              <w:rPr>
                <w:rFonts w:hint="eastAsia"/>
                <w:color w:val="FF0000"/>
                <w:szCs w:val="21"/>
              </w:rPr>
              <w:t>0</w:t>
            </w:r>
          </w:p>
        </w:tc>
        <w:tc>
          <w:tcPr>
            <w:tcW w:w="577" w:type="pct"/>
            <w:vMerge w:val="restart"/>
            <w:vAlign w:val="center"/>
          </w:tcPr>
          <w:p>
            <w:pPr>
              <w:autoSpaceDE w:val="0"/>
              <w:autoSpaceDN w:val="0"/>
              <w:adjustRightInd w:val="0"/>
              <w:snapToGrid w:val="0"/>
              <w:jc w:val="center"/>
              <w:rPr>
                <w:color w:val="FF0000"/>
                <w:szCs w:val="21"/>
              </w:rPr>
            </w:pPr>
            <w:r>
              <w:rPr>
                <w:color w:val="FF0000"/>
                <w:szCs w:val="21"/>
              </w:rPr>
              <w:t>1029.35</w:t>
            </w:r>
          </w:p>
        </w:tc>
        <w:tc>
          <w:tcPr>
            <w:tcW w:w="510" w:type="pct"/>
            <w:vMerge w:val="restart"/>
            <w:shd w:val="clear" w:color="auto" w:fill="auto"/>
            <w:vAlign w:val="center"/>
          </w:tcPr>
          <w:p>
            <w:pPr>
              <w:autoSpaceDE w:val="0"/>
              <w:autoSpaceDN w:val="0"/>
              <w:adjustRightInd w:val="0"/>
              <w:snapToGrid w:val="0"/>
              <w:jc w:val="center"/>
              <w:rPr>
                <w:color w:val="FF0000"/>
                <w:szCs w:val="21"/>
              </w:rPr>
            </w:pPr>
            <w:r>
              <w:rPr>
                <w:color w:val="FF0000"/>
                <w:szCs w:val="21"/>
              </w:rPr>
              <w:t>10</w:t>
            </w:r>
          </w:p>
        </w:tc>
        <w:tc>
          <w:tcPr>
            <w:tcW w:w="510" w:type="pct"/>
            <w:vMerge w:val="restart"/>
            <w:shd w:val="clear" w:color="auto" w:fill="auto"/>
            <w:vAlign w:val="center"/>
          </w:tcPr>
          <w:p>
            <w:pPr>
              <w:autoSpaceDE w:val="0"/>
              <w:autoSpaceDN w:val="0"/>
              <w:adjustRightInd w:val="0"/>
              <w:snapToGrid w:val="0"/>
              <w:jc w:val="center"/>
              <w:rPr>
                <w:color w:val="FF0000"/>
                <w:szCs w:val="21"/>
              </w:rPr>
            </w:pPr>
            <w:r>
              <w:rPr>
                <w:color w:val="FF0000"/>
                <w:szCs w:val="21"/>
              </w:rPr>
              <w:t>10</w:t>
            </w:r>
          </w:p>
        </w:tc>
        <w:tc>
          <w:tcPr>
            <w:tcW w:w="511" w:type="pct"/>
            <w:vMerge w:val="restart"/>
            <w:shd w:val="clear" w:color="auto" w:fill="auto"/>
            <w:vAlign w:val="center"/>
          </w:tcPr>
          <w:p>
            <w:pPr>
              <w:autoSpaceDE w:val="0"/>
              <w:autoSpaceDN w:val="0"/>
              <w:adjustRightInd w:val="0"/>
              <w:snapToGrid w:val="0"/>
              <w:jc w:val="center"/>
              <w:rPr>
                <w:color w:val="FF0000"/>
                <w:szCs w:val="21"/>
              </w:rPr>
            </w:pPr>
            <w:r>
              <w:rPr>
                <w:rFonts w:hint="eastAsia"/>
                <w:color w:val="FF0000"/>
                <w:szCs w:val="21"/>
              </w:rPr>
              <w:t>6</w:t>
            </w:r>
          </w:p>
        </w:tc>
        <w:tc>
          <w:tcPr>
            <w:tcW w:w="403" w:type="pct"/>
            <w:vMerge w:val="restart"/>
            <w:vAlign w:val="center"/>
          </w:tcPr>
          <w:p>
            <w:pPr>
              <w:widowControl/>
              <w:adjustRightInd w:val="0"/>
              <w:snapToGrid w:val="0"/>
              <w:jc w:val="center"/>
              <w:rPr>
                <w:color w:val="FF0000"/>
                <w:szCs w:val="21"/>
              </w:rPr>
            </w:pPr>
            <w:r>
              <w:rPr>
                <w:rFonts w:hint="eastAsia"/>
                <w:color w:val="FF0000"/>
                <w:szCs w:val="21"/>
              </w:rPr>
              <w:t>1</w:t>
            </w:r>
            <w:r>
              <w:rPr>
                <w:color w:val="FF0000"/>
                <w:szCs w:val="21"/>
              </w:rPr>
              <w:t>460</w:t>
            </w:r>
          </w:p>
        </w:tc>
        <w:tc>
          <w:tcPr>
            <w:tcW w:w="421" w:type="pct"/>
            <w:vMerge w:val="restart"/>
            <w:vAlign w:val="center"/>
          </w:tcPr>
          <w:p>
            <w:pPr>
              <w:widowControl/>
              <w:adjustRightInd w:val="0"/>
              <w:snapToGrid w:val="0"/>
              <w:jc w:val="center"/>
              <w:rPr>
                <w:color w:val="FF0000"/>
                <w:szCs w:val="21"/>
              </w:rPr>
            </w:pPr>
            <w:r>
              <w:rPr>
                <w:rFonts w:hint="eastAsia"/>
                <w:color w:val="FF0000"/>
                <w:szCs w:val="21"/>
              </w:rPr>
              <w:t>正常</w:t>
            </w:r>
          </w:p>
        </w:tc>
        <w:tc>
          <w:tcPr>
            <w:tcW w:w="1343" w:type="pct"/>
            <w:gridSpan w:val="2"/>
            <w:vMerge w:val="restart"/>
            <w:shd w:val="clear" w:color="auto" w:fill="auto"/>
            <w:vAlign w:val="center"/>
          </w:tcPr>
          <w:p>
            <w:pPr>
              <w:widowControl/>
              <w:adjustRightInd w:val="0"/>
              <w:snapToGrid w:val="0"/>
              <w:jc w:val="center"/>
              <w:rPr>
                <w:color w:val="FF0000"/>
                <w:szCs w:val="21"/>
              </w:rPr>
            </w:pPr>
            <w:r>
              <w:rPr>
                <w:rFonts w:hint="eastAsia"/>
                <w:color w:val="FF0000"/>
                <w:szCs w:val="21"/>
              </w:rPr>
              <w:t>0</w:t>
            </w:r>
            <w:r>
              <w:rPr>
                <w:color w:val="FF0000"/>
                <w:szCs w:val="21"/>
              </w:rPr>
              <w:t>.055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333" w:type="pct"/>
            <w:shd w:val="clear" w:color="auto" w:fill="auto"/>
            <w:vAlign w:val="center"/>
          </w:tcPr>
          <w:p>
            <w:pPr>
              <w:autoSpaceDE w:val="0"/>
              <w:autoSpaceDN w:val="0"/>
              <w:adjustRightInd w:val="0"/>
              <w:snapToGrid w:val="0"/>
              <w:jc w:val="center"/>
              <w:rPr>
                <w:color w:val="FF0000"/>
                <w:szCs w:val="21"/>
              </w:rPr>
            </w:pPr>
            <w:r>
              <w:rPr>
                <w:rFonts w:hint="eastAsia"/>
                <w:color w:val="FF0000"/>
                <w:szCs w:val="21"/>
              </w:rPr>
              <w:t>1</w:t>
            </w:r>
            <w:r>
              <w:rPr>
                <w:color w:val="FF0000"/>
                <w:szCs w:val="21"/>
              </w:rPr>
              <w:t>0</w:t>
            </w:r>
          </w:p>
        </w:tc>
        <w:tc>
          <w:tcPr>
            <w:tcW w:w="392" w:type="pct"/>
            <w:shd w:val="clear" w:color="auto" w:fill="auto"/>
            <w:vAlign w:val="center"/>
          </w:tcPr>
          <w:p>
            <w:pPr>
              <w:autoSpaceDE w:val="0"/>
              <w:autoSpaceDN w:val="0"/>
              <w:adjustRightInd w:val="0"/>
              <w:snapToGrid w:val="0"/>
              <w:jc w:val="center"/>
              <w:rPr>
                <w:color w:val="FF0000"/>
                <w:szCs w:val="21"/>
              </w:rPr>
            </w:pPr>
            <w:r>
              <w:rPr>
                <w:rFonts w:hint="eastAsia"/>
                <w:color w:val="FF0000"/>
                <w:szCs w:val="21"/>
              </w:rPr>
              <w:t>0</w:t>
            </w:r>
          </w:p>
        </w:tc>
        <w:tc>
          <w:tcPr>
            <w:tcW w:w="577" w:type="pct"/>
            <w:vMerge w:val="continue"/>
            <w:vAlign w:val="center"/>
          </w:tcPr>
          <w:p>
            <w:pPr>
              <w:autoSpaceDE w:val="0"/>
              <w:autoSpaceDN w:val="0"/>
              <w:adjustRightInd w:val="0"/>
              <w:snapToGrid w:val="0"/>
              <w:jc w:val="center"/>
              <w:rPr>
                <w:szCs w:val="21"/>
              </w:rPr>
            </w:pPr>
          </w:p>
        </w:tc>
        <w:tc>
          <w:tcPr>
            <w:tcW w:w="510" w:type="pct"/>
            <w:vMerge w:val="continue"/>
            <w:shd w:val="clear" w:color="auto" w:fill="auto"/>
            <w:vAlign w:val="center"/>
          </w:tcPr>
          <w:p>
            <w:pPr>
              <w:autoSpaceDE w:val="0"/>
              <w:autoSpaceDN w:val="0"/>
              <w:adjustRightInd w:val="0"/>
              <w:snapToGrid w:val="0"/>
              <w:jc w:val="center"/>
              <w:rPr>
                <w:color w:val="FF0000"/>
                <w:szCs w:val="21"/>
              </w:rPr>
            </w:pPr>
          </w:p>
        </w:tc>
        <w:tc>
          <w:tcPr>
            <w:tcW w:w="510" w:type="pct"/>
            <w:vMerge w:val="continue"/>
            <w:shd w:val="clear" w:color="auto" w:fill="auto"/>
            <w:vAlign w:val="center"/>
          </w:tcPr>
          <w:p>
            <w:pPr>
              <w:autoSpaceDE w:val="0"/>
              <w:autoSpaceDN w:val="0"/>
              <w:adjustRightInd w:val="0"/>
              <w:snapToGrid w:val="0"/>
              <w:jc w:val="center"/>
              <w:rPr>
                <w:color w:val="FF0000"/>
                <w:szCs w:val="21"/>
              </w:rPr>
            </w:pPr>
          </w:p>
        </w:tc>
        <w:tc>
          <w:tcPr>
            <w:tcW w:w="511" w:type="pct"/>
            <w:vMerge w:val="continue"/>
            <w:shd w:val="clear" w:color="auto" w:fill="auto"/>
            <w:vAlign w:val="center"/>
          </w:tcPr>
          <w:p>
            <w:pPr>
              <w:autoSpaceDE w:val="0"/>
              <w:autoSpaceDN w:val="0"/>
              <w:adjustRightInd w:val="0"/>
              <w:snapToGrid w:val="0"/>
              <w:jc w:val="center"/>
              <w:rPr>
                <w:color w:val="FF000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color w:val="FF0000"/>
                <w:szCs w:val="21"/>
              </w:rPr>
            </w:pPr>
          </w:p>
        </w:tc>
        <w:tc>
          <w:tcPr>
            <w:tcW w:w="1343" w:type="pct"/>
            <w:gridSpan w:val="2"/>
            <w:vMerge w:val="continue"/>
            <w:shd w:val="clear" w:color="auto" w:fill="auto"/>
            <w:vAlign w:val="center"/>
          </w:tcPr>
          <w:p>
            <w:pPr>
              <w:widowControl/>
              <w:adjustRightInd w:val="0"/>
              <w:snapToGrid w:val="0"/>
              <w:jc w:val="center"/>
              <w:rPr>
                <w:color w:val="FF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333" w:type="pct"/>
            <w:shd w:val="clear" w:color="auto" w:fill="auto"/>
            <w:vAlign w:val="center"/>
          </w:tcPr>
          <w:p>
            <w:pPr>
              <w:autoSpaceDE w:val="0"/>
              <w:autoSpaceDN w:val="0"/>
              <w:adjustRightInd w:val="0"/>
              <w:snapToGrid w:val="0"/>
              <w:jc w:val="center"/>
              <w:rPr>
                <w:color w:val="FF0000"/>
                <w:szCs w:val="21"/>
              </w:rPr>
            </w:pPr>
            <w:r>
              <w:rPr>
                <w:rFonts w:hint="eastAsia"/>
                <w:color w:val="FF0000"/>
                <w:szCs w:val="21"/>
              </w:rPr>
              <w:t>1</w:t>
            </w:r>
            <w:r>
              <w:rPr>
                <w:color w:val="FF0000"/>
                <w:szCs w:val="21"/>
              </w:rPr>
              <w:t>0</w:t>
            </w:r>
          </w:p>
        </w:tc>
        <w:tc>
          <w:tcPr>
            <w:tcW w:w="392" w:type="pct"/>
            <w:shd w:val="clear" w:color="auto" w:fill="auto"/>
            <w:vAlign w:val="center"/>
          </w:tcPr>
          <w:p>
            <w:pPr>
              <w:autoSpaceDE w:val="0"/>
              <w:autoSpaceDN w:val="0"/>
              <w:adjustRightInd w:val="0"/>
              <w:snapToGrid w:val="0"/>
              <w:jc w:val="center"/>
              <w:rPr>
                <w:color w:val="FF0000"/>
                <w:szCs w:val="21"/>
              </w:rPr>
            </w:pPr>
            <w:r>
              <w:rPr>
                <w:rFonts w:hint="eastAsia"/>
                <w:color w:val="FF0000"/>
                <w:szCs w:val="21"/>
              </w:rPr>
              <w:t>8</w:t>
            </w:r>
          </w:p>
        </w:tc>
        <w:tc>
          <w:tcPr>
            <w:tcW w:w="577" w:type="pct"/>
            <w:vMerge w:val="continue"/>
            <w:vAlign w:val="center"/>
          </w:tcPr>
          <w:p>
            <w:pPr>
              <w:autoSpaceDE w:val="0"/>
              <w:autoSpaceDN w:val="0"/>
              <w:adjustRightInd w:val="0"/>
              <w:snapToGrid w:val="0"/>
              <w:jc w:val="center"/>
              <w:rPr>
                <w:szCs w:val="21"/>
              </w:rPr>
            </w:pPr>
          </w:p>
        </w:tc>
        <w:tc>
          <w:tcPr>
            <w:tcW w:w="510" w:type="pct"/>
            <w:vMerge w:val="continue"/>
            <w:shd w:val="clear" w:color="auto" w:fill="auto"/>
            <w:vAlign w:val="center"/>
          </w:tcPr>
          <w:p>
            <w:pPr>
              <w:autoSpaceDE w:val="0"/>
              <w:autoSpaceDN w:val="0"/>
              <w:adjustRightInd w:val="0"/>
              <w:snapToGrid w:val="0"/>
              <w:jc w:val="center"/>
              <w:rPr>
                <w:color w:val="FF0000"/>
                <w:szCs w:val="21"/>
              </w:rPr>
            </w:pPr>
          </w:p>
        </w:tc>
        <w:tc>
          <w:tcPr>
            <w:tcW w:w="510" w:type="pct"/>
            <w:vMerge w:val="continue"/>
            <w:shd w:val="clear" w:color="auto" w:fill="auto"/>
            <w:vAlign w:val="center"/>
          </w:tcPr>
          <w:p>
            <w:pPr>
              <w:autoSpaceDE w:val="0"/>
              <w:autoSpaceDN w:val="0"/>
              <w:adjustRightInd w:val="0"/>
              <w:snapToGrid w:val="0"/>
              <w:jc w:val="center"/>
              <w:rPr>
                <w:color w:val="FF0000"/>
                <w:szCs w:val="21"/>
              </w:rPr>
            </w:pPr>
          </w:p>
        </w:tc>
        <w:tc>
          <w:tcPr>
            <w:tcW w:w="511" w:type="pct"/>
            <w:vMerge w:val="continue"/>
            <w:shd w:val="clear" w:color="auto" w:fill="auto"/>
            <w:vAlign w:val="center"/>
          </w:tcPr>
          <w:p>
            <w:pPr>
              <w:autoSpaceDE w:val="0"/>
              <w:autoSpaceDN w:val="0"/>
              <w:adjustRightInd w:val="0"/>
              <w:snapToGrid w:val="0"/>
              <w:jc w:val="center"/>
              <w:rPr>
                <w:color w:val="FF000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color w:val="FF0000"/>
                <w:szCs w:val="21"/>
              </w:rPr>
            </w:pPr>
          </w:p>
        </w:tc>
        <w:tc>
          <w:tcPr>
            <w:tcW w:w="1343" w:type="pct"/>
            <w:gridSpan w:val="2"/>
            <w:vMerge w:val="continue"/>
            <w:shd w:val="clear" w:color="auto" w:fill="auto"/>
            <w:vAlign w:val="center"/>
          </w:tcPr>
          <w:p>
            <w:pPr>
              <w:widowControl/>
              <w:adjustRightInd w:val="0"/>
              <w:snapToGrid w:val="0"/>
              <w:jc w:val="center"/>
              <w:rPr>
                <w:color w:val="FF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333" w:type="pct"/>
            <w:shd w:val="clear" w:color="auto" w:fill="auto"/>
            <w:vAlign w:val="center"/>
          </w:tcPr>
          <w:p>
            <w:pPr>
              <w:autoSpaceDE w:val="0"/>
              <w:autoSpaceDN w:val="0"/>
              <w:adjustRightInd w:val="0"/>
              <w:snapToGrid w:val="0"/>
              <w:jc w:val="center"/>
              <w:rPr>
                <w:color w:val="FF0000"/>
                <w:szCs w:val="21"/>
              </w:rPr>
            </w:pPr>
            <w:r>
              <w:rPr>
                <w:rFonts w:hint="eastAsia"/>
                <w:color w:val="FF0000"/>
                <w:szCs w:val="21"/>
              </w:rPr>
              <w:t>0</w:t>
            </w:r>
          </w:p>
        </w:tc>
        <w:tc>
          <w:tcPr>
            <w:tcW w:w="392" w:type="pct"/>
            <w:shd w:val="clear" w:color="auto" w:fill="auto"/>
            <w:vAlign w:val="center"/>
          </w:tcPr>
          <w:p>
            <w:pPr>
              <w:autoSpaceDE w:val="0"/>
              <w:autoSpaceDN w:val="0"/>
              <w:adjustRightInd w:val="0"/>
              <w:snapToGrid w:val="0"/>
              <w:jc w:val="center"/>
              <w:rPr>
                <w:color w:val="FF0000"/>
                <w:szCs w:val="21"/>
              </w:rPr>
            </w:pPr>
            <w:r>
              <w:rPr>
                <w:rFonts w:hint="eastAsia"/>
                <w:color w:val="FF0000"/>
                <w:szCs w:val="21"/>
              </w:rPr>
              <w:t>8</w:t>
            </w:r>
          </w:p>
        </w:tc>
        <w:tc>
          <w:tcPr>
            <w:tcW w:w="577" w:type="pct"/>
            <w:vMerge w:val="continue"/>
            <w:vAlign w:val="center"/>
          </w:tcPr>
          <w:p>
            <w:pPr>
              <w:autoSpaceDE w:val="0"/>
              <w:autoSpaceDN w:val="0"/>
              <w:adjustRightInd w:val="0"/>
              <w:snapToGrid w:val="0"/>
              <w:jc w:val="center"/>
              <w:rPr>
                <w:color w:val="FF0000"/>
                <w:szCs w:val="21"/>
              </w:rPr>
            </w:pPr>
          </w:p>
        </w:tc>
        <w:tc>
          <w:tcPr>
            <w:tcW w:w="510" w:type="pct"/>
            <w:vMerge w:val="continue"/>
            <w:shd w:val="clear" w:color="auto" w:fill="auto"/>
            <w:vAlign w:val="center"/>
          </w:tcPr>
          <w:p>
            <w:pPr>
              <w:autoSpaceDE w:val="0"/>
              <w:autoSpaceDN w:val="0"/>
              <w:adjustRightInd w:val="0"/>
              <w:snapToGrid w:val="0"/>
              <w:jc w:val="center"/>
              <w:rPr>
                <w:color w:val="FF0000"/>
                <w:szCs w:val="21"/>
              </w:rPr>
            </w:pPr>
          </w:p>
        </w:tc>
        <w:tc>
          <w:tcPr>
            <w:tcW w:w="510" w:type="pct"/>
            <w:vMerge w:val="continue"/>
            <w:shd w:val="clear" w:color="auto" w:fill="auto"/>
            <w:vAlign w:val="center"/>
          </w:tcPr>
          <w:p>
            <w:pPr>
              <w:autoSpaceDE w:val="0"/>
              <w:autoSpaceDN w:val="0"/>
              <w:adjustRightInd w:val="0"/>
              <w:snapToGrid w:val="0"/>
              <w:jc w:val="center"/>
              <w:rPr>
                <w:color w:val="FF0000"/>
                <w:szCs w:val="21"/>
              </w:rPr>
            </w:pPr>
          </w:p>
        </w:tc>
        <w:tc>
          <w:tcPr>
            <w:tcW w:w="511" w:type="pct"/>
            <w:vMerge w:val="continue"/>
            <w:shd w:val="clear" w:color="auto" w:fill="auto"/>
            <w:vAlign w:val="center"/>
          </w:tcPr>
          <w:p>
            <w:pPr>
              <w:autoSpaceDE w:val="0"/>
              <w:autoSpaceDN w:val="0"/>
              <w:adjustRightInd w:val="0"/>
              <w:snapToGrid w:val="0"/>
              <w:jc w:val="center"/>
              <w:rPr>
                <w:color w:val="FF000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color w:val="FF0000"/>
                <w:szCs w:val="21"/>
              </w:rPr>
            </w:pPr>
          </w:p>
        </w:tc>
        <w:tc>
          <w:tcPr>
            <w:tcW w:w="1343" w:type="pct"/>
            <w:gridSpan w:val="2"/>
            <w:vMerge w:val="continue"/>
            <w:shd w:val="clear" w:color="auto" w:fill="auto"/>
            <w:vAlign w:val="center"/>
          </w:tcPr>
          <w:p>
            <w:pPr>
              <w:widowControl/>
              <w:adjustRightInd w:val="0"/>
              <w:snapToGrid w:val="0"/>
              <w:jc w:val="center"/>
              <w:rPr>
                <w:color w:val="FF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5000" w:type="pct"/>
            <w:gridSpan w:val="10"/>
            <w:shd w:val="clear" w:color="auto" w:fill="auto"/>
            <w:vAlign w:val="center"/>
          </w:tcPr>
          <w:p>
            <w:pPr>
              <w:widowControl/>
              <w:adjustRightInd w:val="0"/>
              <w:snapToGrid w:val="0"/>
              <w:jc w:val="center"/>
              <w:rPr>
                <w:color w:val="FF0000"/>
                <w:szCs w:val="21"/>
              </w:rPr>
            </w:pPr>
            <w:r>
              <w:rPr>
                <w:rFonts w:hint="eastAsia"/>
                <w:color w:val="FF0000"/>
                <w:szCs w:val="21"/>
              </w:rPr>
              <w:t>渗漏液处理站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5" w:type="pct"/>
            <w:gridSpan w:val="2"/>
            <w:shd w:val="clear" w:color="auto" w:fill="auto"/>
            <w:vAlign w:val="center"/>
          </w:tcPr>
          <w:p>
            <w:pPr>
              <w:autoSpaceDE w:val="0"/>
              <w:autoSpaceDN w:val="0"/>
              <w:adjustRightInd w:val="0"/>
              <w:snapToGrid w:val="0"/>
              <w:jc w:val="center"/>
              <w:rPr>
                <w:color w:val="FF0000"/>
                <w:kern w:val="0"/>
                <w:szCs w:val="21"/>
              </w:rPr>
            </w:pPr>
            <w:r>
              <w:rPr>
                <w:color w:val="FF0000"/>
                <w:kern w:val="0"/>
                <w:szCs w:val="21"/>
              </w:rPr>
              <w:t>面源</w:t>
            </w:r>
            <w:r>
              <w:rPr>
                <w:rFonts w:hint="eastAsia"/>
                <w:color w:val="FF0000"/>
                <w:kern w:val="0"/>
                <w:szCs w:val="21"/>
              </w:rPr>
              <w:t>起点坐标</w:t>
            </w:r>
          </w:p>
        </w:tc>
        <w:tc>
          <w:tcPr>
            <w:tcW w:w="577"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面源海拔高（m）</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面源</w:t>
            </w:r>
            <w:r>
              <w:rPr>
                <w:color w:val="FF0000"/>
                <w:kern w:val="0"/>
                <w:szCs w:val="21"/>
              </w:rPr>
              <w:t>宽度（m）</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面源</w:t>
            </w:r>
            <w:r>
              <w:rPr>
                <w:color w:val="FF0000"/>
                <w:kern w:val="0"/>
                <w:szCs w:val="21"/>
              </w:rPr>
              <w:t>长度（m）</w:t>
            </w:r>
          </w:p>
        </w:tc>
        <w:tc>
          <w:tcPr>
            <w:tcW w:w="511" w:type="pct"/>
            <w:vMerge w:val="restar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面源</w:t>
            </w:r>
            <w:r>
              <w:rPr>
                <w:rFonts w:hint="eastAsia"/>
                <w:color w:val="FF0000"/>
                <w:kern w:val="0"/>
                <w:szCs w:val="21"/>
              </w:rPr>
              <w:t>有效排放</w:t>
            </w:r>
            <w:r>
              <w:rPr>
                <w:color w:val="FF0000"/>
                <w:kern w:val="0"/>
                <w:szCs w:val="21"/>
              </w:rPr>
              <w:t>高度（m）</w:t>
            </w:r>
          </w:p>
        </w:tc>
        <w:tc>
          <w:tcPr>
            <w:tcW w:w="403"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年排放小时数</w:t>
            </w:r>
          </w:p>
        </w:tc>
        <w:tc>
          <w:tcPr>
            <w:tcW w:w="421"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排放工况</w:t>
            </w:r>
          </w:p>
        </w:tc>
        <w:tc>
          <w:tcPr>
            <w:tcW w:w="1343" w:type="pct"/>
            <w:gridSpan w:val="2"/>
            <w:shd w:val="clear" w:color="auto" w:fill="auto"/>
            <w:vAlign w:val="center"/>
          </w:tcPr>
          <w:p>
            <w:pPr>
              <w:autoSpaceDE w:val="0"/>
              <w:autoSpaceDN w:val="0"/>
              <w:adjustRightInd w:val="0"/>
              <w:snapToGrid w:val="0"/>
              <w:jc w:val="center"/>
              <w:rPr>
                <w:color w:val="FF0000"/>
                <w:kern w:val="0"/>
                <w:szCs w:val="21"/>
              </w:rPr>
            </w:pPr>
            <w:r>
              <w:rPr>
                <w:color w:val="FF0000"/>
                <w:kern w:val="0"/>
                <w:szCs w:val="21"/>
              </w:rPr>
              <w:t>评价因子源强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x</w:t>
            </w:r>
          </w:p>
        </w:tc>
        <w:tc>
          <w:tcPr>
            <w:tcW w:w="392"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y</w:t>
            </w:r>
          </w:p>
        </w:tc>
        <w:tc>
          <w:tcPr>
            <w:tcW w:w="577" w:type="pct"/>
            <w:vMerge w:val="continue"/>
            <w:vAlign w:val="center"/>
          </w:tcPr>
          <w:p>
            <w:pPr>
              <w:autoSpaceDE w:val="0"/>
              <w:autoSpaceDN w:val="0"/>
              <w:adjustRightInd w:val="0"/>
              <w:snapToGrid w:val="0"/>
              <w:jc w:val="center"/>
              <w:rPr>
                <w:color w:val="FF0000"/>
                <w:kern w:val="0"/>
                <w:szCs w:val="21"/>
              </w:rPr>
            </w:pPr>
          </w:p>
        </w:tc>
        <w:tc>
          <w:tcPr>
            <w:tcW w:w="510" w:type="pct"/>
            <w:vMerge w:val="continue"/>
            <w:shd w:val="clear" w:color="auto" w:fill="auto"/>
            <w:vAlign w:val="center"/>
          </w:tcPr>
          <w:p>
            <w:pPr>
              <w:autoSpaceDE w:val="0"/>
              <w:autoSpaceDN w:val="0"/>
              <w:adjustRightInd w:val="0"/>
              <w:snapToGrid w:val="0"/>
              <w:jc w:val="center"/>
              <w:rPr>
                <w:color w:val="FF0000"/>
                <w:kern w:val="0"/>
                <w:szCs w:val="21"/>
              </w:rPr>
            </w:pPr>
          </w:p>
        </w:tc>
        <w:tc>
          <w:tcPr>
            <w:tcW w:w="510" w:type="pct"/>
            <w:vMerge w:val="continue"/>
            <w:shd w:val="clear" w:color="auto" w:fill="auto"/>
            <w:vAlign w:val="center"/>
          </w:tcPr>
          <w:p>
            <w:pPr>
              <w:autoSpaceDE w:val="0"/>
              <w:autoSpaceDN w:val="0"/>
              <w:adjustRightInd w:val="0"/>
              <w:snapToGrid w:val="0"/>
              <w:jc w:val="center"/>
              <w:rPr>
                <w:color w:val="FF0000"/>
                <w:kern w:val="0"/>
                <w:szCs w:val="21"/>
              </w:rPr>
            </w:pPr>
          </w:p>
        </w:tc>
        <w:tc>
          <w:tcPr>
            <w:tcW w:w="511" w:type="pct"/>
            <w:vMerge w:val="continue"/>
            <w:shd w:val="clear" w:color="auto" w:fill="auto"/>
            <w:vAlign w:val="center"/>
          </w:tcPr>
          <w:p>
            <w:pPr>
              <w:autoSpaceDE w:val="0"/>
              <w:autoSpaceDN w:val="0"/>
              <w:adjustRightInd w:val="0"/>
              <w:snapToGrid w:val="0"/>
              <w:jc w:val="center"/>
              <w:rPr>
                <w:color w:val="FF0000"/>
                <w:kern w:val="0"/>
                <w:szCs w:val="21"/>
              </w:rPr>
            </w:pPr>
          </w:p>
        </w:tc>
        <w:tc>
          <w:tcPr>
            <w:tcW w:w="403" w:type="pct"/>
            <w:vMerge w:val="continue"/>
            <w:vAlign w:val="center"/>
          </w:tcPr>
          <w:p>
            <w:pPr>
              <w:autoSpaceDE w:val="0"/>
              <w:autoSpaceDN w:val="0"/>
              <w:adjustRightInd w:val="0"/>
              <w:snapToGrid w:val="0"/>
              <w:jc w:val="center"/>
              <w:rPr>
                <w:color w:val="FF0000"/>
                <w:kern w:val="0"/>
                <w:szCs w:val="21"/>
              </w:rPr>
            </w:pPr>
          </w:p>
        </w:tc>
        <w:tc>
          <w:tcPr>
            <w:tcW w:w="421" w:type="pct"/>
            <w:vMerge w:val="continue"/>
            <w:vAlign w:val="center"/>
          </w:tcPr>
          <w:p>
            <w:pPr>
              <w:autoSpaceDE w:val="0"/>
              <w:autoSpaceDN w:val="0"/>
              <w:adjustRightInd w:val="0"/>
              <w:snapToGrid w:val="0"/>
              <w:jc w:val="center"/>
              <w:rPr>
                <w:color w:val="FF0000"/>
                <w:kern w:val="0"/>
                <w:szCs w:val="21"/>
              </w:rPr>
            </w:pPr>
          </w:p>
        </w:tc>
        <w:tc>
          <w:tcPr>
            <w:tcW w:w="666"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NH</w:t>
            </w:r>
            <w:r>
              <w:rPr>
                <w:color w:val="FF0000"/>
                <w:kern w:val="0"/>
                <w:szCs w:val="21"/>
                <w:vertAlign w:val="subscript"/>
              </w:rPr>
              <w:t>3</w:t>
            </w:r>
            <w:r>
              <w:rPr>
                <w:color w:val="FF0000"/>
                <w:kern w:val="0"/>
                <w:szCs w:val="21"/>
              </w:rPr>
              <w:t>(kg/h)</w:t>
            </w:r>
          </w:p>
        </w:tc>
        <w:tc>
          <w:tcPr>
            <w:tcW w:w="677"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H</w:t>
            </w:r>
            <w:r>
              <w:rPr>
                <w:color w:val="FF0000"/>
                <w:kern w:val="0"/>
                <w:szCs w:val="21"/>
                <w:vertAlign w:val="subscript"/>
              </w:rPr>
              <w:t>2</w:t>
            </w:r>
            <w:r>
              <w:rPr>
                <w:color w:val="FF0000"/>
                <w:kern w:val="0"/>
                <w:szCs w:val="21"/>
              </w:rPr>
              <w:t>S( 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w:t>
            </w:r>
            <w:r>
              <w:rPr>
                <w:color w:val="FF0000"/>
                <w:kern w:val="0"/>
                <w:szCs w:val="21"/>
              </w:rPr>
              <w:t>56</w:t>
            </w:r>
          </w:p>
        </w:tc>
        <w:tc>
          <w:tcPr>
            <w:tcW w:w="392"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-110</w:t>
            </w:r>
          </w:p>
        </w:tc>
        <w:tc>
          <w:tcPr>
            <w:tcW w:w="577"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1</w:t>
            </w:r>
            <w:r>
              <w:rPr>
                <w:color w:val="FF0000"/>
                <w:kern w:val="0"/>
                <w:szCs w:val="21"/>
              </w:rPr>
              <w:t>029.35</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5</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10</w:t>
            </w:r>
          </w:p>
        </w:tc>
        <w:tc>
          <w:tcPr>
            <w:tcW w:w="511" w:type="pct"/>
            <w:vMerge w:val="restar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3</w:t>
            </w:r>
          </w:p>
        </w:tc>
        <w:tc>
          <w:tcPr>
            <w:tcW w:w="403" w:type="pct"/>
            <w:vMerge w:val="restart"/>
            <w:vAlign w:val="center"/>
          </w:tcPr>
          <w:p>
            <w:pPr>
              <w:widowControl/>
              <w:adjustRightInd w:val="0"/>
              <w:snapToGrid w:val="0"/>
              <w:jc w:val="center"/>
              <w:rPr>
                <w:color w:val="FF0000"/>
                <w:szCs w:val="21"/>
              </w:rPr>
            </w:pPr>
            <w:r>
              <w:rPr>
                <w:color w:val="FF0000"/>
                <w:szCs w:val="21"/>
              </w:rPr>
              <w:t>4205</w:t>
            </w:r>
          </w:p>
        </w:tc>
        <w:tc>
          <w:tcPr>
            <w:tcW w:w="421" w:type="pct"/>
            <w:vMerge w:val="restart"/>
            <w:vAlign w:val="center"/>
          </w:tcPr>
          <w:p>
            <w:pPr>
              <w:widowControl/>
              <w:adjustRightInd w:val="0"/>
              <w:snapToGrid w:val="0"/>
              <w:jc w:val="center"/>
              <w:rPr>
                <w:color w:val="FF0000"/>
                <w:szCs w:val="21"/>
              </w:rPr>
            </w:pPr>
            <w:r>
              <w:rPr>
                <w:rFonts w:hint="eastAsia"/>
                <w:color w:val="FF0000"/>
                <w:szCs w:val="21"/>
              </w:rPr>
              <w:t>正常</w:t>
            </w:r>
          </w:p>
        </w:tc>
        <w:tc>
          <w:tcPr>
            <w:tcW w:w="666" w:type="pct"/>
            <w:vMerge w:val="restart"/>
            <w:shd w:val="clear" w:color="auto" w:fill="auto"/>
            <w:vAlign w:val="center"/>
          </w:tcPr>
          <w:p>
            <w:pPr>
              <w:widowControl/>
              <w:adjustRightInd w:val="0"/>
              <w:snapToGrid w:val="0"/>
              <w:jc w:val="center"/>
              <w:rPr>
                <w:color w:val="FF0000"/>
                <w:kern w:val="0"/>
                <w:szCs w:val="21"/>
              </w:rPr>
            </w:pPr>
            <w:r>
              <w:rPr>
                <w:rFonts w:hint="eastAsia"/>
                <w:color w:val="FF0000"/>
                <w:szCs w:val="21"/>
              </w:rPr>
              <w:t>0.</w:t>
            </w:r>
            <w:r>
              <w:rPr>
                <w:color w:val="FF0000"/>
                <w:szCs w:val="21"/>
              </w:rPr>
              <w:t>0002</w:t>
            </w:r>
          </w:p>
        </w:tc>
        <w:tc>
          <w:tcPr>
            <w:tcW w:w="677" w:type="pct"/>
            <w:vMerge w:val="restart"/>
            <w:shd w:val="clear" w:color="auto" w:fill="auto"/>
            <w:vAlign w:val="center"/>
          </w:tcPr>
          <w:p>
            <w:pPr>
              <w:widowControl/>
              <w:adjustRightInd w:val="0"/>
              <w:snapToGrid w:val="0"/>
              <w:jc w:val="center"/>
              <w:rPr>
                <w:color w:val="FF0000"/>
                <w:kern w:val="0"/>
                <w:szCs w:val="21"/>
              </w:rPr>
            </w:pPr>
            <w:r>
              <w:rPr>
                <w:color w:val="FF0000"/>
                <w:szCs w:val="21"/>
              </w:rPr>
              <w:t>2.43282E-08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w:t>
            </w:r>
            <w:r>
              <w:rPr>
                <w:color w:val="FF0000"/>
                <w:kern w:val="0"/>
                <w:szCs w:val="21"/>
              </w:rPr>
              <w:t>51</w:t>
            </w:r>
          </w:p>
        </w:tc>
        <w:tc>
          <w:tcPr>
            <w:tcW w:w="392"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-110</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w:t>
            </w:r>
            <w:r>
              <w:rPr>
                <w:color w:val="FF0000"/>
                <w:kern w:val="0"/>
                <w:szCs w:val="21"/>
              </w:rPr>
              <w:t>51</w:t>
            </w:r>
          </w:p>
        </w:tc>
        <w:tc>
          <w:tcPr>
            <w:tcW w:w="392"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-100</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w:t>
            </w:r>
            <w:r>
              <w:rPr>
                <w:color w:val="FF0000"/>
                <w:kern w:val="0"/>
                <w:szCs w:val="21"/>
              </w:rPr>
              <w:t>56</w:t>
            </w:r>
          </w:p>
        </w:tc>
        <w:tc>
          <w:tcPr>
            <w:tcW w:w="392"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-100</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bl>
    <w:p>
      <w:pPr>
        <w:keepNext/>
        <w:ind w:firstLine="482" w:firstLineChars="200"/>
        <w:jc w:val="center"/>
        <w:rPr>
          <w:rFonts w:ascii="宋体" w:hAnsi="宋体"/>
          <w:b/>
          <w:sz w:val="24"/>
        </w:rPr>
      </w:pPr>
    </w:p>
    <w:p>
      <w:pPr>
        <w:keepNext/>
        <w:ind w:firstLine="482" w:firstLineChars="200"/>
        <w:jc w:val="center"/>
        <w:rPr>
          <w:b/>
          <w:sz w:val="24"/>
        </w:rPr>
      </w:pPr>
      <w:r>
        <w:rPr>
          <w:rFonts w:hint="eastAsia" w:ascii="宋体" w:hAnsi="宋体"/>
          <w:b/>
          <w:sz w:val="24"/>
        </w:rPr>
        <w:t>表</w:t>
      </w:r>
      <w:r>
        <w:rPr>
          <w:rFonts w:hint="eastAsia"/>
          <w:b/>
          <w:sz w:val="24"/>
        </w:rPr>
        <w:t>2.3-</w:t>
      </w:r>
      <w:r>
        <w:rPr>
          <w:b/>
          <w:sz w:val="24"/>
        </w:rPr>
        <w:t>2</w:t>
      </w:r>
      <w:r>
        <w:rPr>
          <w:rFonts w:hint="eastAsia"/>
          <w:b/>
          <w:sz w:val="24"/>
        </w:rPr>
        <w:t xml:space="preserve"> </w:t>
      </w:r>
      <w:r>
        <w:rPr>
          <w:rFonts w:ascii="宋体" w:hAnsi="宋体"/>
          <w:b/>
          <w:sz w:val="24"/>
        </w:rPr>
        <w:t>主要污染源估算模型计算结果表</w:t>
      </w:r>
    </w:p>
    <w:p>
      <w:pPr>
        <w:keepNext/>
        <w:autoSpaceDE w:val="0"/>
        <w:autoSpaceDN w:val="0"/>
        <w:adjustRightInd w:val="0"/>
        <w:spacing w:line="30" w:lineRule="exact"/>
        <w:rPr>
          <w:kern w:val="0"/>
          <w:sz w:val="3"/>
          <w:szCs w:val="3"/>
        </w:rPr>
      </w:pPr>
      <w:r>
        <w:rPr>
          <w:kern w:val="0"/>
          <w:sz w:val="3"/>
          <w:szCs w:val="3"/>
        </w:rPr>
        <w:t xml:space="preserve"> </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754"/>
        <w:gridCol w:w="1754"/>
        <w:gridCol w:w="1641"/>
        <w:gridCol w:w="1642"/>
        <w:gridCol w:w="15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5" w:hRule="atLeast"/>
        </w:trPr>
        <w:tc>
          <w:tcPr>
            <w:tcW w:w="1052" w:type="pct"/>
            <w:vMerge w:val="restart"/>
            <w:vAlign w:val="center"/>
          </w:tcPr>
          <w:p>
            <w:pPr>
              <w:adjustRightInd w:val="0"/>
              <w:snapToGrid w:val="0"/>
              <w:jc w:val="center"/>
              <w:rPr>
                <w:rFonts w:ascii="宋体" w:hAnsi="宋体"/>
                <w:bCs/>
                <w:szCs w:val="21"/>
              </w:rPr>
            </w:pPr>
            <w:r>
              <w:rPr>
                <w:rFonts w:hint="eastAsia" w:ascii="宋体" w:hAnsi="宋体"/>
                <w:bCs/>
                <w:szCs w:val="21"/>
              </w:rPr>
              <w:t>填埋场</w:t>
            </w:r>
          </w:p>
        </w:tc>
        <w:tc>
          <w:tcPr>
            <w:tcW w:w="1052" w:type="pct"/>
            <w:vMerge w:val="restart"/>
            <w:vAlign w:val="center"/>
          </w:tcPr>
          <w:p>
            <w:pPr>
              <w:adjustRightInd w:val="0"/>
              <w:snapToGrid w:val="0"/>
              <w:jc w:val="center"/>
              <w:rPr>
                <w:bCs/>
                <w:szCs w:val="21"/>
              </w:rPr>
            </w:pPr>
            <w:r>
              <w:rPr>
                <w:rFonts w:hint="eastAsia" w:ascii="宋体" w:hAnsi="宋体"/>
                <w:bCs/>
                <w:szCs w:val="21"/>
              </w:rPr>
              <w:t>最大值出现距离</w:t>
            </w:r>
            <w:r>
              <w:rPr>
                <w:rFonts w:hint="eastAsia"/>
                <w:bCs/>
                <w:szCs w:val="21"/>
              </w:rPr>
              <w:t>/m</w:t>
            </w:r>
          </w:p>
          <w:p>
            <w:pPr>
              <w:adjustRightInd w:val="0"/>
              <w:snapToGrid w:val="0"/>
              <w:jc w:val="center"/>
              <w:rPr>
                <w:bCs/>
                <w:szCs w:val="21"/>
              </w:rPr>
            </w:pPr>
            <w:r>
              <w:rPr>
                <w:szCs w:val="21"/>
              </w:rPr>
              <w:t>184</w:t>
            </w:r>
          </w:p>
        </w:tc>
        <w:tc>
          <w:tcPr>
            <w:tcW w:w="984" w:type="pct"/>
            <w:vAlign w:val="center"/>
          </w:tcPr>
          <w:p>
            <w:pPr>
              <w:adjustRightInd w:val="0"/>
              <w:snapToGrid w:val="0"/>
              <w:jc w:val="center"/>
              <w:rPr>
                <w:rFonts w:ascii="宋体" w:hAnsi="宋体"/>
                <w:szCs w:val="21"/>
              </w:rPr>
            </w:pPr>
            <w:r>
              <w:rPr>
                <w:rFonts w:hint="eastAsia" w:ascii="宋体" w:hAnsi="宋体"/>
                <w:szCs w:val="21"/>
              </w:rPr>
              <w:t>污染物</w:t>
            </w:r>
          </w:p>
        </w:tc>
        <w:tc>
          <w:tcPr>
            <w:tcW w:w="985" w:type="pct"/>
            <w:vAlign w:val="center"/>
          </w:tcPr>
          <w:p>
            <w:pPr>
              <w:adjustRightInd w:val="0"/>
              <w:snapToGrid w:val="0"/>
              <w:jc w:val="center"/>
              <w:rPr>
                <w:bCs/>
                <w:szCs w:val="21"/>
              </w:rPr>
            </w:pPr>
            <w:r>
              <w:rPr>
                <w:rFonts w:ascii="宋体" w:hAnsi="宋体"/>
                <w:szCs w:val="21"/>
              </w:rPr>
              <w:t>下风向预测浓度</w:t>
            </w:r>
            <w:r>
              <w:rPr>
                <w:szCs w:val="21"/>
              </w:rPr>
              <w:t>C/ug/m</w:t>
            </w:r>
            <w:r>
              <w:rPr>
                <w:szCs w:val="21"/>
                <w:vertAlign w:val="superscript"/>
              </w:rPr>
              <w:t>3</w:t>
            </w:r>
          </w:p>
        </w:tc>
        <w:tc>
          <w:tcPr>
            <w:tcW w:w="927" w:type="pct"/>
            <w:vAlign w:val="center"/>
          </w:tcPr>
          <w:p>
            <w:pPr>
              <w:adjustRightInd w:val="0"/>
              <w:snapToGrid w:val="0"/>
              <w:jc w:val="center"/>
              <w:rPr>
                <w:bCs/>
                <w:szCs w:val="21"/>
              </w:rPr>
            </w:pPr>
            <w:r>
              <w:rPr>
                <w:rFonts w:ascii="宋体" w:hAnsi="宋体"/>
                <w:szCs w:val="21"/>
              </w:rPr>
              <w:t>浓度占标率</w:t>
            </w:r>
            <w:r>
              <w:rPr>
                <w:szCs w:val="21"/>
              </w:rPr>
              <w: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2" w:type="pct"/>
            <w:vMerge w:val="continue"/>
            <w:vAlign w:val="center"/>
          </w:tcPr>
          <w:p>
            <w:pPr>
              <w:adjustRightInd w:val="0"/>
              <w:snapToGrid w:val="0"/>
              <w:jc w:val="center"/>
              <w:rPr>
                <w:szCs w:val="21"/>
              </w:rPr>
            </w:pPr>
          </w:p>
        </w:tc>
        <w:tc>
          <w:tcPr>
            <w:tcW w:w="1052" w:type="pct"/>
            <w:vMerge w:val="continue"/>
            <w:vAlign w:val="center"/>
          </w:tcPr>
          <w:p>
            <w:pPr>
              <w:adjustRightInd w:val="0"/>
              <w:snapToGrid w:val="0"/>
              <w:jc w:val="center"/>
              <w:rPr>
                <w:bCs/>
                <w:szCs w:val="21"/>
              </w:rPr>
            </w:pPr>
          </w:p>
        </w:tc>
        <w:tc>
          <w:tcPr>
            <w:tcW w:w="984" w:type="pct"/>
            <w:vAlign w:val="center"/>
          </w:tcPr>
          <w:p>
            <w:pPr>
              <w:jc w:val="center"/>
              <w:rPr>
                <w:szCs w:val="21"/>
              </w:rPr>
            </w:pPr>
            <w:r>
              <w:rPr>
                <w:rFonts w:eastAsia="等线"/>
                <w:kern w:val="0"/>
                <w:szCs w:val="21"/>
              </w:rPr>
              <w:t>NH</w:t>
            </w:r>
            <w:r>
              <w:rPr>
                <w:rFonts w:eastAsia="等线"/>
                <w:kern w:val="0"/>
                <w:szCs w:val="21"/>
                <w:vertAlign w:val="subscript"/>
              </w:rPr>
              <w:t>3</w:t>
            </w:r>
          </w:p>
        </w:tc>
        <w:tc>
          <w:tcPr>
            <w:tcW w:w="985" w:type="pct"/>
            <w:vAlign w:val="center"/>
          </w:tcPr>
          <w:p>
            <w:pPr>
              <w:jc w:val="center"/>
              <w:rPr>
                <w:szCs w:val="21"/>
              </w:rPr>
            </w:pPr>
            <w:r>
              <w:rPr>
                <w:szCs w:val="21"/>
              </w:rPr>
              <w:t>7.73</w:t>
            </w:r>
          </w:p>
        </w:tc>
        <w:tc>
          <w:tcPr>
            <w:tcW w:w="927" w:type="pct"/>
            <w:vAlign w:val="center"/>
          </w:tcPr>
          <w:p>
            <w:pPr>
              <w:jc w:val="center"/>
              <w:rPr>
                <w:szCs w:val="21"/>
              </w:rPr>
            </w:pPr>
            <w:r>
              <w:rPr>
                <w:szCs w:val="21"/>
              </w:rPr>
              <w:t>3.86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2" w:type="pct"/>
            <w:vMerge w:val="continue"/>
            <w:vAlign w:val="center"/>
          </w:tcPr>
          <w:p>
            <w:pPr>
              <w:adjustRightInd w:val="0"/>
              <w:snapToGrid w:val="0"/>
              <w:jc w:val="center"/>
              <w:rPr>
                <w:szCs w:val="21"/>
              </w:rPr>
            </w:pPr>
          </w:p>
        </w:tc>
        <w:tc>
          <w:tcPr>
            <w:tcW w:w="1052" w:type="pct"/>
            <w:vMerge w:val="continue"/>
            <w:vAlign w:val="center"/>
          </w:tcPr>
          <w:p>
            <w:pPr>
              <w:adjustRightInd w:val="0"/>
              <w:snapToGrid w:val="0"/>
              <w:jc w:val="center"/>
              <w:rPr>
                <w:szCs w:val="21"/>
              </w:rPr>
            </w:pPr>
          </w:p>
        </w:tc>
        <w:tc>
          <w:tcPr>
            <w:tcW w:w="984" w:type="pct"/>
            <w:vAlign w:val="center"/>
          </w:tcPr>
          <w:p>
            <w:pPr>
              <w:jc w:val="center"/>
              <w:rPr>
                <w:szCs w:val="21"/>
              </w:rPr>
            </w:pPr>
            <w:r>
              <w:rPr>
                <w:rFonts w:hint="eastAsia" w:eastAsia="等线"/>
                <w:kern w:val="0"/>
                <w:szCs w:val="21"/>
              </w:rPr>
              <w:t>H</w:t>
            </w:r>
            <w:r>
              <w:rPr>
                <w:rFonts w:eastAsia="等线"/>
                <w:kern w:val="0"/>
                <w:szCs w:val="21"/>
                <w:vertAlign w:val="subscript"/>
              </w:rPr>
              <w:t>2</w:t>
            </w:r>
            <w:r>
              <w:rPr>
                <w:rFonts w:eastAsia="等线"/>
                <w:kern w:val="0"/>
                <w:szCs w:val="21"/>
              </w:rPr>
              <w:t>S</w:t>
            </w:r>
          </w:p>
        </w:tc>
        <w:tc>
          <w:tcPr>
            <w:tcW w:w="985" w:type="pct"/>
            <w:vAlign w:val="center"/>
          </w:tcPr>
          <w:p>
            <w:pPr>
              <w:jc w:val="center"/>
              <w:rPr>
                <w:szCs w:val="21"/>
              </w:rPr>
            </w:pPr>
            <w:r>
              <w:rPr>
                <w:szCs w:val="21"/>
              </w:rPr>
              <w:t>0.54</w:t>
            </w:r>
          </w:p>
        </w:tc>
        <w:tc>
          <w:tcPr>
            <w:tcW w:w="927" w:type="pct"/>
            <w:vAlign w:val="center"/>
          </w:tcPr>
          <w:p>
            <w:pPr>
              <w:jc w:val="center"/>
              <w:rPr>
                <w:szCs w:val="21"/>
              </w:rPr>
            </w:pPr>
            <w:r>
              <w:rPr>
                <w:szCs w:val="21"/>
              </w:rPr>
              <w:t>5.54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2" w:type="pct"/>
            <w:vAlign w:val="center"/>
          </w:tcPr>
          <w:p>
            <w:pPr>
              <w:adjustRightInd w:val="0"/>
              <w:snapToGrid w:val="0"/>
              <w:jc w:val="center"/>
              <w:rPr>
                <w:szCs w:val="21"/>
              </w:rPr>
            </w:pPr>
            <w:r>
              <w:rPr>
                <w:rFonts w:hint="eastAsia"/>
                <w:szCs w:val="21"/>
              </w:rPr>
              <w:t>填埋作业</w:t>
            </w:r>
          </w:p>
        </w:tc>
        <w:tc>
          <w:tcPr>
            <w:tcW w:w="1052" w:type="pct"/>
            <w:vAlign w:val="center"/>
          </w:tcPr>
          <w:p>
            <w:pPr>
              <w:adjustRightInd w:val="0"/>
              <w:snapToGrid w:val="0"/>
              <w:jc w:val="center"/>
              <w:rPr>
                <w:bCs/>
                <w:color w:val="FF0000"/>
                <w:szCs w:val="21"/>
              </w:rPr>
            </w:pPr>
            <w:r>
              <w:rPr>
                <w:rFonts w:hint="eastAsia" w:ascii="宋体" w:hAnsi="宋体"/>
                <w:bCs/>
                <w:color w:val="FF0000"/>
                <w:szCs w:val="21"/>
              </w:rPr>
              <w:t>最大值出现距离</w:t>
            </w:r>
            <w:r>
              <w:rPr>
                <w:rFonts w:hint="eastAsia"/>
                <w:bCs/>
                <w:color w:val="FF0000"/>
                <w:szCs w:val="21"/>
              </w:rPr>
              <w:t>/m</w:t>
            </w:r>
          </w:p>
          <w:p>
            <w:pPr>
              <w:adjustRightInd w:val="0"/>
              <w:snapToGrid w:val="0"/>
              <w:jc w:val="center"/>
              <w:rPr>
                <w:color w:val="FF0000"/>
                <w:szCs w:val="21"/>
              </w:rPr>
            </w:pPr>
            <w:r>
              <w:rPr>
                <w:color w:val="FF0000"/>
                <w:szCs w:val="21"/>
              </w:rPr>
              <w:t>19</w:t>
            </w:r>
          </w:p>
        </w:tc>
        <w:tc>
          <w:tcPr>
            <w:tcW w:w="984" w:type="pct"/>
            <w:vAlign w:val="center"/>
          </w:tcPr>
          <w:p>
            <w:pPr>
              <w:jc w:val="center"/>
              <w:rPr>
                <w:rFonts w:eastAsia="等线"/>
                <w:color w:val="FF0000"/>
                <w:kern w:val="0"/>
                <w:szCs w:val="21"/>
              </w:rPr>
            </w:pPr>
            <w:r>
              <w:rPr>
                <w:rFonts w:hint="eastAsia" w:eastAsia="等线"/>
                <w:color w:val="FF0000"/>
                <w:kern w:val="0"/>
                <w:szCs w:val="21"/>
              </w:rPr>
              <w:t>T</w:t>
            </w:r>
            <w:r>
              <w:rPr>
                <w:rFonts w:eastAsia="等线"/>
                <w:color w:val="FF0000"/>
                <w:kern w:val="0"/>
                <w:szCs w:val="21"/>
              </w:rPr>
              <w:t>SP</w:t>
            </w:r>
          </w:p>
        </w:tc>
        <w:tc>
          <w:tcPr>
            <w:tcW w:w="985" w:type="pct"/>
            <w:vAlign w:val="center"/>
          </w:tcPr>
          <w:p>
            <w:pPr>
              <w:jc w:val="center"/>
              <w:rPr>
                <w:color w:val="FF0000"/>
                <w:szCs w:val="21"/>
              </w:rPr>
            </w:pPr>
            <w:r>
              <w:rPr>
                <w:color w:val="FF0000"/>
                <w:szCs w:val="21"/>
              </w:rPr>
              <w:t>27.31</w:t>
            </w:r>
          </w:p>
        </w:tc>
        <w:tc>
          <w:tcPr>
            <w:tcW w:w="927" w:type="pct"/>
            <w:vAlign w:val="center"/>
          </w:tcPr>
          <w:p>
            <w:pPr>
              <w:jc w:val="center"/>
              <w:rPr>
                <w:color w:val="FF0000"/>
                <w:szCs w:val="21"/>
              </w:rPr>
            </w:pPr>
            <w:r>
              <w:rPr>
                <w:color w:val="FF0000"/>
                <w:szCs w:val="21"/>
              </w:rPr>
              <w:t>3.03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2" w:type="pct"/>
            <w:vMerge w:val="restart"/>
            <w:vAlign w:val="center"/>
          </w:tcPr>
          <w:p>
            <w:pPr>
              <w:adjustRightInd w:val="0"/>
              <w:snapToGrid w:val="0"/>
              <w:jc w:val="center"/>
              <w:rPr>
                <w:szCs w:val="21"/>
              </w:rPr>
            </w:pPr>
            <w:r>
              <w:rPr>
                <w:rFonts w:hint="eastAsia"/>
                <w:szCs w:val="21"/>
              </w:rPr>
              <w:t>渗滤液处理站</w:t>
            </w:r>
          </w:p>
        </w:tc>
        <w:tc>
          <w:tcPr>
            <w:tcW w:w="1052" w:type="pct"/>
            <w:vMerge w:val="restart"/>
            <w:vAlign w:val="center"/>
          </w:tcPr>
          <w:p>
            <w:pPr>
              <w:adjustRightInd w:val="0"/>
              <w:snapToGrid w:val="0"/>
              <w:jc w:val="center"/>
              <w:rPr>
                <w:bCs/>
                <w:color w:val="FF0000"/>
                <w:szCs w:val="21"/>
              </w:rPr>
            </w:pPr>
            <w:r>
              <w:rPr>
                <w:rFonts w:hint="eastAsia" w:ascii="宋体" w:hAnsi="宋体"/>
                <w:bCs/>
                <w:color w:val="FF0000"/>
                <w:szCs w:val="21"/>
              </w:rPr>
              <w:t>最大值出现距离</w:t>
            </w:r>
            <w:r>
              <w:rPr>
                <w:rFonts w:hint="eastAsia"/>
                <w:bCs/>
                <w:color w:val="FF0000"/>
                <w:szCs w:val="21"/>
              </w:rPr>
              <w:t>/m</w:t>
            </w:r>
          </w:p>
          <w:p>
            <w:pPr>
              <w:adjustRightInd w:val="0"/>
              <w:snapToGrid w:val="0"/>
              <w:jc w:val="center"/>
              <w:rPr>
                <w:rFonts w:ascii="宋体" w:hAnsi="宋体"/>
                <w:bCs/>
                <w:color w:val="FF0000"/>
                <w:szCs w:val="21"/>
              </w:rPr>
            </w:pPr>
            <w:r>
              <w:rPr>
                <w:color w:val="FF0000"/>
                <w:szCs w:val="21"/>
              </w:rPr>
              <w:t>10</w:t>
            </w:r>
          </w:p>
        </w:tc>
        <w:tc>
          <w:tcPr>
            <w:tcW w:w="984" w:type="pct"/>
            <w:vAlign w:val="center"/>
          </w:tcPr>
          <w:p>
            <w:pPr>
              <w:jc w:val="center"/>
              <w:rPr>
                <w:color w:val="FF0000"/>
                <w:szCs w:val="21"/>
              </w:rPr>
            </w:pPr>
            <w:r>
              <w:rPr>
                <w:rFonts w:eastAsia="等线"/>
                <w:color w:val="FF0000"/>
                <w:kern w:val="0"/>
                <w:szCs w:val="21"/>
              </w:rPr>
              <w:t>NH</w:t>
            </w:r>
            <w:r>
              <w:rPr>
                <w:rFonts w:eastAsia="等线"/>
                <w:color w:val="FF0000"/>
                <w:kern w:val="0"/>
                <w:szCs w:val="21"/>
                <w:vertAlign w:val="subscript"/>
              </w:rPr>
              <w:t>3</w:t>
            </w:r>
          </w:p>
        </w:tc>
        <w:tc>
          <w:tcPr>
            <w:tcW w:w="985" w:type="pct"/>
            <w:vAlign w:val="center"/>
          </w:tcPr>
          <w:p>
            <w:pPr>
              <w:jc w:val="center"/>
              <w:rPr>
                <w:color w:val="FF0000"/>
                <w:szCs w:val="21"/>
              </w:rPr>
            </w:pPr>
            <w:r>
              <w:rPr>
                <w:color w:val="FF0000"/>
                <w:szCs w:val="21"/>
              </w:rPr>
              <w:t>0.37</w:t>
            </w:r>
          </w:p>
        </w:tc>
        <w:tc>
          <w:tcPr>
            <w:tcW w:w="927" w:type="pct"/>
            <w:vAlign w:val="center"/>
          </w:tcPr>
          <w:p>
            <w:pPr>
              <w:jc w:val="center"/>
              <w:rPr>
                <w:color w:val="FF0000"/>
                <w:szCs w:val="21"/>
              </w:rPr>
            </w:pPr>
            <w:r>
              <w:rPr>
                <w:rFonts w:hint="eastAsia"/>
                <w:color w:val="FF0000"/>
                <w:szCs w:val="21"/>
              </w:rPr>
              <w:t>0</w:t>
            </w:r>
            <w:r>
              <w:rPr>
                <w:color w:val="FF0000"/>
                <w:szCs w:val="21"/>
              </w:rPr>
              <w:t>.19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2" w:type="pct"/>
            <w:vMerge w:val="continue"/>
            <w:vAlign w:val="center"/>
          </w:tcPr>
          <w:p>
            <w:pPr>
              <w:adjustRightInd w:val="0"/>
              <w:snapToGrid w:val="0"/>
              <w:jc w:val="center"/>
              <w:rPr>
                <w:szCs w:val="21"/>
              </w:rPr>
            </w:pPr>
          </w:p>
        </w:tc>
        <w:tc>
          <w:tcPr>
            <w:tcW w:w="1052" w:type="pct"/>
            <w:vMerge w:val="continue"/>
            <w:vAlign w:val="center"/>
          </w:tcPr>
          <w:p>
            <w:pPr>
              <w:adjustRightInd w:val="0"/>
              <w:snapToGrid w:val="0"/>
              <w:jc w:val="center"/>
              <w:rPr>
                <w:rFonts w:ascii="宋体" w:hAnsi="宋体"/>
                <w:bCs/>
                <w:color w:val="FF0000"/>
                <w:szCs w:val="21"/>
              </w:rPr>
            </w:pPr>
          </w:p>
        </w:tc>
        <w:tc>
          <w:tcPr>
            <w:tcW w:w="984" w:type="pct"/>
            <w:vAlign w:val="center"/>
          </w:tcPr>
          <w:p>
            <w:pPr>
              <w:jc w:val="center"/>
              <w:rPr>
                <w:color w:val="FF0000"/>
                <w:szCs w:val="21"/>
              </w:rPr>
            </w:pPr>
            <w:r>
              <w:rPr>
                <w:rFonts w:hint="eastAsia" w:eastAsia="等线"/>
                <w:color w:val="FF0000"/>
                <w:kern w:val="0"/>
                <w:szCs w:val="21"/>
              </w:rPr>
              <w:t>H</w:t>
            </w:r>
            <w:r>
              <w:rPr>
                <w:rFonts w:eastAsia="等线"/>
                <w:color w:val="FF0000"/>
                <w:kern w:val="0"/>
                <w:szCs w:val="21"/>
                <w:vertAlign w:val="subscript"/>
              </w:rPr>
              <w:t>2</w:t>
            </w:r>
            <w:r>
              <w:rPr>
                <w:rFonts w:eastAsia="等线"/>
                <w:color w:val="FF0000"/>
                <w:kern w:val="0"/>
                <w:szCs w:val="21"/>
              </w:rPr>
              <w:t>S</w:t>
            </w:r>
          </w:p>
        </w:tc>
        <w:tc>
          <w:tcPr>
            <w:tcW w:w="985" w:type="pct"/>
            <w:vAlign w:val="center"/>
          </w:tcPr>
          <w:p>
            <w:pPr>
              <w:jc w:val="center"/>
              <w:rPr>
                <w:color w:val="FF0000"/>
                <w:szCs w:val="21"/>
              </w:rPr>
            </w:pPr>
            <w:r>
              <w:rPr>
                <w:rFonts w:hint="eastAsia"/>
                <w:color w:val="FF0000"/>
                <w:szCs w:val="21"/>
              </w:rPr>
              <w:t>0</w:t>
            </w:r>
          </w:p>
        </w:tc>
        <w:tc>
          <w:tcPr>
            <w:tcW w:w="927" w:type="pct"/>
            <w:vAlign w:val="center"/>
          </w:tcPr>
          <w:p>
            <w:pPr>
              <w:jc w:val="center"/>
              <w:rPr>
                <w:color w:val="FF0000"/>
                <w:szCs w:val="21"/>
              </w:rPr>
            </w:pPr>
            <w:r>
              <w:rPr>
                <w:rFonts w:hint="eastAsia"/>
                <w:color w:val="FF0000"/>
                <w:szCs w:val="21"/>
              </w:rPr>
              <w:t>0</w:t>
            </w:r>
          </w:p>
        </w:tc>
      </w:tr>
    </w:tbl>
    <w:p>
      <w:pPr>
        <w:keepNext/>
        <w:ind w:firstLine="482" w:firstLineChars="200"/>
        <w:jc w:val="center"/>
        <w:rPr>
          <w:b/>
          <w:sz w:val="24"/>
        </w:rPr>
      </w:pPr>
      <w:r>
        <w:rPr>
          <w:rFonts w:hint="eastAsia" w:ascii="宋体" w:hAnsi="宋体"/>
          <w:b/>
          <w:sz w:val="24"/>
        </w:rPr>
        <w:t>表</w:t>
      </w:r>
      <w:r>
        <w:rPr>
          <w:rFonts w:hint="eastAsia"/>
          <w:b/>
          <w:sz w:val="24"/>
        </w:rPr>
        <w:t>2.3-</w:t>
      </w:r>
      <w:r>
        <w:rPr>
          <w:b/>
          <w:sz w:val="24"/>
        </w:rPr>
        <w:t>3</w:t>
      </w:r>
      <w:r>
        <w:rPr>
          <w:rFonts w:hint="eastAsia"/>
          <w:b/>
          <w:sz w:val="24"/>
        </w:rPr>
        <w:t xml:space="preserve"> </w:t>
      </w:r>
      <w:r>
        <w:rPr>
          <w:rFonts w:hint="eastAsia" w:ascii="宋体" w:hAnsi="宋体"/>
          <w:b/>
          <w:sz w:val="24"/>
        </w:rPr>
        <w:t>等级判定</w:t>
      </w:r>
      <w:r>
        <w:rPr>
          <w:rFonts w:ascii="宋体" w:hAnsi="宋体"/>
          <w:b/>
          <w:sz w:val="24"/>
        </w:rPr>
        <w:t>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2487"/>
        <w:gridCol w:w="3194"/>
        <w:gridCol w:w="2841"/>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459" w:type="pct"/>
            <w:vAlign w:val="center"/>
          </w:tcPr>
          <w:p>
            <w:pPr>
              <w:adjustRightInd w:val="0"/>
              <w:snapToGrid w:val="0"/>
              <w:spacing w:before="62" w:beforeLines="20" w:after="62" w:afterLines="20"/>
              <w:jc w:val="center"/>
              <w:textAlignment w:val="baseline"/>
              <w:rPr>
                <w:szCs w:val="21"/>
              </w:rPr>
            </w:pPr>
            <w:r>
              <w:rPr>
                <w:rFonts w:ascii="宋体" w:hAnsi="宋体"/>
              </w:rPr>
              <w:t>评价工作等级</w:t>
            </w:r>
          </w:p>
        </w:tc>
        <w:tc>
          <w:tcPr>
            <w:tcW w:w="1874" w:type="pct"/>
            <w:vAlign w:val="center"/>
          </w:tcPr>
          <w:p>
            <w:pPr>
              <w:adjustRightInd w:val="0"/>
              <w:snapToGrid w:val="0"/>
              <w:spacing w:before="62" w:beforeLines="20" w:after="62" w:afterLines="20"/>
              <w:jc w:val="center"/>
              <w:textAlignment w:val="baseline"/>
            </w:pPr>
            <w:r>
              <w:rPr>
                <w:rFonts w:ascii="宋体" w:hAnsi="宋体"/>
              </w:rPr>
              <w:t>评价工作分级判据</w:t>
            </w:r>
          </w:p>
        </w:tc>
        <w:tc>
          <w:tcPr>
            <w:tcW w:w="1667" w:type="pct"/>
            <w:vAlign w:val="center"/>
          </w:tcPr>
          <w:p>
            <w:pPr>
              <w:adjustRightInd w:val="0"/>
              <w:snapToGrid w:val="0"/>
              <w:spacing w:before="62" w:beforeLines="20" w:after="62" w:afterLines="20"/>
              <w:jc w:val="center"/>
              <w:textAlignment w:val="baseline"/>
            </w:pPr>
            <w:r>
              <w:rPr>
                <w:rFonts w:hint="eastAsia" w:ascii="宋体" w:hAnsi="宋体"/>
              </w:rPr>
              <w:t>本项目评价等级</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459" w:type="pct"/>
            <w:vAlign w:val="center"/>
          </w:tcPr>
          <w:p>
            <w:pPr>
              <w:adjustRightInd w:val="0"/>
              <w:snapToGrid w:val="0"/>
              <w:spacing w:before="62" w:beforeLines="20" w:after="62" w:afterLines="20"/>
              <w:jc w:val="center"/>
              <w:textAlignment w:val="baseline"/>
            </w:pPr>
            <w:r>
              <w:rPr>
                <w:rFonts w:ascii="宋体" w:hAnsi="宋体"/>
              </w:rPr>
              <w:t>一级</w:t>
            </w:r>
          </w:p>
        </w:tc>
        <w:tc>
          <w:tcPr>
            <w:tcW w:w="1874" w:type="pct"/>
            <w:vAlign w:val="center"/>
          </w:tcPr>
          <w:p>
            <w:pPr>
              <w:adjustRightInd w:val="0"/>
              <w:snapToGrid w:val="0"/>
              <w:spacing w:before="62" w:beforeLines="20" w:after="62" w:afterLines="20"/>
              <w:jc w:val="center"/>
              <w:textAlignment w:val="baseline"/>
            </w:pPr>
            <w:r>
              <w:t>P</w:t>
            </w:r>
            <w:r>
              <w:rPr>
                <w:vertAlign w:val="subscript"/>
              </w:rPr>
              <w:t>max</w:t>
            </w:r>
            <w:r>
              <w:t>≥10%</w:t>
            </w:r>
          </w:p>
        </w:tc>
        <w:tc>
          <w:tcPr>
            <w:tcW w:w="1667" w:type="pct"/>
            <w:vMerge w:val="restart"/>
            <w:vAlign w:val="center"/>
          </w:tcPr>
          <w:p>
            <w:pPr>
              <w:adjustRightInd w:val="0"/>
              <w:snapToGrid w:val="0"/>
              <w:spacing w:before="62" w:beforeLines="20" w:after="62" w:afterLines="20"/>
              <w:jc w:val="center"/>
              <w:textAlignment w:val="baseline"/>
            </w:pPr>
            <w:r>
              <w:t>P</w:t>
            </w:r>
            <w:r>
              <w:rPr>
                <w:vertAlign w:val="subscript"/>
              </w:rPr>
              <w:t>max</w:t>
            </w:r>
            <w:r>
              <w:t>=5.54%</w:t>
            </w:r>
          </w:p>
          <w:p>
            <w:pPr>
              <w:adjustRightInd w:val="0"/>
              <w:snapToGrid w:val="0"/>
              <w:spacing w:before="62" w:beforeLines="20" w:after="62" w:afterLines="20"/>
              <w:jc w:val="center"/>
              <w:textAlignment w:val="baseline"/>
            </w:pPr>
            <w:r>
              <w:rPr>
                <w:rFonts w:hint="eastAsia" w:ascii="宋体" w:hAnsi="宋体"/>
              </w:rPr>
              <w:t>二级</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459" w:type="pct"/>
            <w:vAlign w:val="center"/>
          </w:tcPr>
          <w:p>
            <w:pPr>
              <w:adjustRightInd w:val="0"/>
              <w:snapToGrid w:val="0"/>
              <w:spacing w:before="62" w:beforeLines="20" w:after="62" w:afterLines="20"/>
              <w:jc w:val="center"/>
              <w:textAlignment w:val="baseline"/>
            </w:pPr>
            <w:r>
              <w:rPr>
                <w:rFonts w:ascii="宋体" w:hAnsi="宋体"/>
              </w:rPr>
              <w:t>二级</w:t>
            </w:r>
          </w:p>
        </w:tc>
        <w:tc>
          <w:tcPr>
            <w:tcW w:w="1874" w:type="pct"/>
            <w:vAlign w:val="center"/>
          </w:tcPr>
          <w:p>
            <w:pPr>
              <w:adjustRightInd w:val="0"/>
              <w:snapToGrid w:val="0"/>
              <w:spacing w:before="62" w:beforeLines="20" w:after="62" w:afterLines="20"/>
              <w:jc w:val="center"/>
              <w:textAlignment w:val="baseline"/>
            </w:pPr>
            <w:r>
              <w:t>1% ≤P</w:t>
            </w:r>
            <w:r>
              <w:rPr>
                <w:vertAlign w:val="subscript"/>
              </w:rPr>
              <w:t>max</w:t>
            </w:r>
            <w:r>
              <w:t xml:space="preserve"> &lt;10%</w:t>
            </w:r>
          </w:p>
        </w:tc>
        <w:tc>
          <w:tcPr>
            <w:tcW w:w="1667" w:type="pct"/>
            <w:vMerge w:val="continue"/>
            <w:vAlign w:val="center"/>
          </w:tcPr>
          <w:p>
            <w:pPr>
              <w:adjustRightInd w:val="0"/>
              <w:snapToGrid w:val="0"/>
              <w:rPr>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459" w:type="pct"/>
            <w:vAlign w:val="center"/>
          </w:tcPr>
          <w:p>
            <w:pPr>
              <w:adjustRightInd w:val="0"/>
              <w:snapToGrid w:val="0"/>
              <w:spacing w:before="62" w:beforeLines="20" w:after="62" w:afterLines="20"/>
              <w:jc w:val="center"/>
              <w:textAlignment w:val="baseline"/>
            </w:pPr>
            <w:r>
              <w:rPr>
                <w:rFonts w:ascii="宋体" w:hAnsi="宋体"/>
              </w:rPr>
              <w:t>三级</w:t>
            </w:r>
          </w:p>
        </w:tc>
        <w:tc>
          <w:tcPr>
            <w:tcW w:w="1874" w:type="pct"/>
            <w:vAlign w:val="center"/>
          </w:tcPr>
          <w:p>
            <w:pPr>
              <w:adjustRightInd w:val="0"/>
              <w:snapToGrid w:val="0"/>
              <w:spacing w:before="62" w:beforeLines="20" w:after="62" w:afterLines="20"/>
              <w:jc w:val="center"/>
              <w:textAlignment w:val="baseline"/>
            </w:pPr>
            <w:r>
              <w:t>P</w:t>
            </w:r>
            <w:r>
              <w:rPr>
                <w:vertAlign w:val="subscript"/>
              </w:rPr>
              <w:t>max</w:t>
            </w:r>
            <w:r>
              <w:t xml:space="preserve"> &lt;1%</w:t>
            </w:r>
          </w:p>
        </w:tc>
        <w:tc>
          <w:tcPr>
            <w:tcW w:w="1667" w:type="pct"/>
            <w:vMerge w:val="continue"/>
            <w:vAlign w:val="center"/>
          </w:tcPr>
          <w:p>
            <w:pPr>
              <w:adjustRightInd w:val="0"/>
              <w:snapToGrid w:val="0"/>
              <w:rPr>
                <w:szCs w:val="21"/>
              </w:rPr>
            </w:pPr>
          </w:p>
        </w:tc>
      </w:tr>
    </w:tbl>
    <w:p>
      <w:pPr>
        <w:adjustRightInd w:val="0"/>
        <w:snapToGrid w:val="0"/>
        <w:spacing w:line="360" w:lineRule="auto"/>
        <w:ind w:firstLine="480" w:firstLineChars="200"/>
        <w:rPr>
          <w:sz w:val="24"/>
        </w:rPr>
      </w:pPr>
      <w:r>
        <w:rPr>
          <w:rFonts w:ascii="宋体" w:hAnsi="宋体"/>
          <w:sz w:val="24"/>
        </w:rPr>
        <w:t>由表</w:t>
      </w:r>
      <w:r>
        <w:rPr>
          <w:sz w:val="24"/>
        </w:rPr>
        <w:t>2.3-</w:t>
      </w:r>
      <w:r>
        <w:rPr>
          <w:rFonts w:hint="eastAsia"/>
          <w:sz w:val="24"/>
        </w:rPr>
        <w:t>6</w:t>
      </w:r>
      <w:r>
        <w:rPr>
          <w:rFonts w:ascii="宋体" w:hAnsi="宋体"/>
          <w:sz w:val="24"/>
        </w:rPr>
        <w:t>可知，本项目排放的污染物落地浓度最</w:t>
      </w:r>
      <w:r>
        <w:rPr>
          <w:sz w:val="24"/>
        </w:rPr>
        <w:t>大的是填埋场的H</w:t>
      </w:r>
      <w:r>
        <w:rPr>
          <w:sz w:val="24"/>
          <w:vertAlign w:val="subscript"/>
        </w:rPr>
        <w:t>2</w:t>
      </w:r>
      <w:r>
        <w:rPr>
          <w:sz w:val="24"/>
        </w:rPr>
        <w:t>S，Pmax=5.54%，根据评价工作等级判定表2.3-3，确定该项目的评价等级为二级。</w:t>
      </w:r>
    </w:p>
    <w:p>
      <w:pPr>
        <w:pStyle w:val="44"/>
        <w:adjustRightInd w:val="0"/>
        <w:snapToGrid w:val="0"/>
        <w:ind w:firstLine="480"/>
        <w:rPr>
          <w:rFonts w:cs="Times New Roman"/>
        </w:rPr>
      </w:pPr>
      <w:bookmarkStart w:id="104" w:name="_Toc424484332"/>
      <w:r>
        <w:rPr>
          <w:rFonts w:cs="Times New Roman"/>
        </w:rPr>
        <w:t>2、地</w:t>
      </w:r>
      <w:r>
        <w:rPr>
          <w:rFonts w:hint="eastAsia" w:cs="Times New Roman"/>
        </w:rPr>
        <w:t>下</w:t>
      </w:r>
      <w:r>
        <w:rPr>
          <w:rFonts w:cs="Times New Roman"/>
        </w:rPr>
        <w:t>水评价工作等级</w:t>
      </w:r>
      <w:bookmarkEnd w:id="104"/>
    </w:p>
    <w:p>
      <w:pPr>
        <w:pStyle w:val="44"/>
        <w:adjustRightInd w:val="0"/>
        <w:snapToGrid w:val="0"/>
        <w:ind w:firstLine="480"/>
        <w:rPr>
          <w:kern w:val="0"/>
          <w:szCs w:val="24"/>
        </w:rPr>
      </w:pPr>
      <w:r>
        <w:rPr>
          <w:kern w:val="0"/>
        </w:rPr>
        <w:t>根据《环境影响评价技术导则地下水环境》（HJ610-2016）</w:t>
      </w:r>
      <w:r>
        <w:rPr>
          <w:szCs w:val="24"/>
        </w:rPr>
        <w:t>“</w:t>
      </w:r>
      <w:r>
        <w:rPr>
          <w:rFonts w:hAnsi="宋体"/>
          <w:szCs w:val="24"/>
        </w:rPr>
        <w:t>附录</w:t>
      </w:r>
      <w:r>
        <w:rPr>
          <w:szCs w:val="24"/>
        </w:rPr>
        <w:t xml:space="preserve">A </w:t>
      </w:r>
      <w:r>
        <w:rPr>
          <w:rFonts w:hAnsi="宋体"/>
          <w:szCs w:val="24"/>
        </w:rPr>
        <w:t>地下水环境影响评价行业分类表</w:t>
      </w:r>
      <w:r>
        <w:rPr>
          <w:szCs w:val="24"/>
        </w:rPr>
        <w:t>”</w:t>
      </w:r>
      <w:r>
        <w:rPr>
          <w:rFonts w:hAnsi="宋体"/>
          <w:szCs w:val="24"/>
        </w:rPr>
        <w:t>，项目属</w:t>
      </w:r>
      <w:r>
        <w:rPr>
          <w:szCs w:val="24"/>
        </w:rPr>
        <w:t xml:space="preserve">“U </w:t>
      </w:r>
      <w:r>
        <w:rPr>
          <w:rFonts w:hAnsi="宋体"/>
          <w:szCs w:val="24"/>
        </w:rPr>
        <w:t xml:space="preserve">城镇基础设施及房地产 </w:t>
      </w:r>
      <w:r>
        <w:rPr>
          <w:szCs w:val="24"/>
        </w:rPr>
        <w:t>149</w:t>
      </w:r>
      <w:r>
        <w:rPr>
          <w:rFonts w:hAnsi="宋体"/>
          <w:szCs w:val="24"/>
        </w:rPr>
        <w:t>、生活垃圾（含餐厨废弃物）集中处置 全部</w:t>
      </w:r>
      <w:r>
        <w:rPr>
          <w:szCs w:val="24"/>
        </w:rPr>
        <w:t>”</w:t>
      </w:r>
      <w:r>
        <w:rPr>
          <w:rFonts w:hAnsi="宋体"/>
          <w:szCs w:val="24"/>
        </w:rPr>
        <w:t>类别，属</w:t>
      </w:r>
      <w:r>
        <w:rPr>
          <w:szCs w:val="24"/>
        </w:rPr>
        <w:t>I</w:t>
      </w:r>
      <w:r>
        <w:rPr>
          <w:rFonts w:hAnsi="宋体"/>
          <w:szCs w:val="24"/>
        </w:rPr>
        <w:t>类项目。</w:t>
      </w:r>
    </w:p>
    <w:p>
      <w:pPr>
        <w:adjustRightInd w:val="0"/>
        <w:snapToGrid w:val="0"/>
        <w:spacing w:line="360" w:lineRule="auto"/>
        <w:ind w:firstLine="482"/>
        <w:rPr>
          <w:kern w:val="0"/>
          <w:sz w:val="24"/>
        </w:rPr>
      </w:pPr>
      <w:r>
        <w:rPr>
          <w:kern w:val="0"/>
          <w:sz w:val="24"/>
        </w:rPr>
        <w:t>本项目区不属于集中式饮用水源准保护区及其补给径流区、特殊地下水资源保护区及其它相关保护区，项目</w:t>
      </w:r>
      <w:r>
        <w:rPr>
          <w:rFonts w:hint="eastAsia"/>
          <w:kern w:val="0"/>
          <w:sz w:val="24"/>
        </w:rPr>
        <w:t>评价范围内有</w:t>
      </w:r>
      <w:r>
        <w:rPr>
          <w:kern w:val="0"/>
          <w:sz w:val="24"/>
        </w:rPr>
        <w:t>分散式饮用水水源；根据表2.3-4，建设项目场地的地下水环境敏感程度为“</w:t>
      </w:r>
      <w:r>
        <w:rPr>
          <w:rFonts w:hint="eastAsia"/>
          <w:kern w:val="0"/>
          <w:sz w:val="24"/>
        </w:rPr>
        <w:t>较</w:t>
      </w:r>
      <w:r>
        <w:rPr>
          <w:kern w:val="0"/>
          <w:sz w:val="24"/>
        </w:rPr>
        <w:t>敏感”。</w:t>
      </w:r>
    </w:p>
    <w:p>
      <w:pPr>
        <w:snapToGrid w:val="0"/>
        <w:spacing w:before="240"/>
        <w:jc w:val="center"/>
        <w:rPr>
          <w:b/>
          <w:sz w:val="24"/>
        </w:rPr>
      </w:pPr>
      <w:r>
        <w:rPr>
          <w:b/>
          <w:sz w:val="24"/>
        </w:rPr>
        <w:t>表2.3-4    地下水环境敏感程度分级</w:t>
      </w:r>
    </w:p>
    <w:tbl>
      <w:tblPr>
        <w:tblStyle w:val="87"/>
        <w:tblW w:w="8420"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57" w:type="dxa"/>
          <w:bottom w:w="0" w:type="dxa"/>
          <w:right w:w="57" w:type="dxa"/>
        </w:tblCellMar>
      </w:tblPr>
      <w:tblGrid>
        <w:gridCol w:w="807"/>
        <w:gridCol w:w="761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57" w:type="dxa"/>
            <w:bottom w:w="0" w:type="dxa"/>
            <w:right w:w="57" w:type="dxa"/>
          </w:tblCellMar>
        </w:tblPrEx>
        <w:trPr>
          <w:trHeight w:val="20" w:hRule="atLeast"/>
          <w:jc w:val="center"/>
        </w:trPr>
        <w:tc>
          <w:tcPr>
            <w:tcW w:w="807" w:type="dxa"/>
            <w:vAlign w:val="center"/>
          </w:tcPr>
          <w:p>
            <w:pPr>
              <w:pStyle w:val="2218"/>
              <w:jc w:val="both"/>
            </w:pPr>
            <w:r>
              <w:t>分级</w:t>
            </w:r>
          </w:p>
        </w:tc>
        <w:tc>
          <w:tcPr>
            <w:tcW w:w="7613" w:type="dxa"/>
            <w:vAlign w:val="center"/>
          </w:tcPr>
          <w:p>
            <w:pPr>
              <w:pStyle w:val="2218"/>
              <w:ind w:firstLine="480"/>
            </w:pPr>
            <w:r>
              <w:t>项目场地的地下水环境敏感特征</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57" w:type="dxa"/>
            <w:bottom w:w="0" w:type="dxa"/>
            <w:right w:w="57" w:type="dxa"/>
          </w:tblCellMar>
        </w:tblPrEx>
        <w:trPr>
          <w:trHeight w:val="20" w:hRule="atLeast"/>
          <w:jc w:val="center"/>
        </w:trPr>
        <w:tc>
          <w:tcPr>
            <w:tcW w:w="807" w:type="dxa"/>
            <w:vAlign w:val="center"/>
          </w:tcPr>
          <w:p>
            <w:pPr>
              <w:pStyle w:val="2218"/>
              <w:jc w:val="both"/>
            </w:pPr>
            <w:r>
              <w:t>敏感</w:t>
            </w:r>
          </w:p>
        </w:tc>
        <w:tc>
          <w:tcPr>
            <w:tcW w:w="7613" w:type="dxa"/>
            <w:vAlign w:val="center"/>
          </w:tcPr>
          <w:p>
            <w:pPr>
              <w:pStyle w:val="2218"/>
              <w:ind w:firstLine="480"/>
            </w:pPr>
            <w: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57" w:type="dxa"/>
            <w:bottom w:w="0" w:type="dxa"/>
            <w:right w:w="57" w:type="dxa"/>
          </w:tblCellMar>
        </w:tblPrEx>
        <w:trPr>
          <w:trHeight w:val="20" w:hRule="atLeast"/>
          <w:jc w:val="center"/>
        </w:trPr>
        <w:tc>
          <w:tcPr>
            <w:tcW w:w="807" w:type="dxa"/>
            <w:vAlign w:val="center"/>
          </w:tcPr>
          <w:p>
            <w:pPr>
              <w:pStyle w:val="2218"/>
              <w:jc w:val="both"/>
            </w:pPr>
            <w:r>
              <w:t>较敏感</w:t>
            </w:r>
          </w:p>
        </w:tc>
        <w:tc>
          <w:tcPr>
            <w:tcW w:w="7613" w:type="dxa"/>
            <w:vAlign w:val="center"/>
          </w:tcPr>
          <w:p>
            <w:pPr>
              <w:pStyle w:val="2218"/>
              <w:ind w:firstLine="480"/>
            </w:pPr>
            <w: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vertAlign w:val="superscript"/>
              </w:rPr>
              <w:t>a</w:t>
            </w:r>
            <w: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57" w:type="dxa"/>
            <w:bottom w:w="0" w:type="dxa"/>
            <w:right w:w="57" w:type="dxa"/>
          </w:tblCellMar>
        </w:tblPrEx>
        <w:trPr>
          <w:trHeight w:val="20" w:hRule="atLeast"/>
          <w:jc w:val="center"/>
        </w:trPr>
        <w:tc>
          <w:tcPr>
            <w:tcW w:w="807" w:type="dxa"/>
            <w:vAlign w:val="center"/>
          </w:tcPr>
          <w:p>
            <w:pPr>
              <w:pStyle w:val="2218"/>
              <w:jc w:val="both"/>
            </w:pPr>
            <w:r>
              <w:t>不敏感</w:t>
            </w:r>
          </w:p>
        </w:tc>
        <w:tc>
          <w:tcPr>
            <w:tcW w:w="7613" w:type="dxa"/>
            <w:vAlign w:val="center"/>
          </w:tcPr>
          <w:p>
            <w:pPr>
              <w:pStyle w:val="2218"/>
              <w:ind w:firstLine="480"/>
            </w:pPr>
            <w:r>
              <w:t>上述地区之外的其它地区。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57" w:type="dxa"/>
            <w:bottom w:w="0" w:type="dxa"/>
            <w:right w:w="57" w:type="dxa"/>
          </w:tblCellMar>
        </w:tblPrEx>
        <w:trPr>
          <w:trHeight w:val="20" w:hRule="atLeast"/>
          <w:jc w:val="center"/>
        </w:trPr>
        <w:tc>
          <w:tcPr>
            <w:tcW w:w="8420" w:type="dxa"/>
            <w:gridSpan w:val="2"/>
            <w:vAlign w:val="center"/>
          </w:tcPr>
          <w:p>
            <w:pPr>
              <w:pStyle w:val="2218"/>
              <w:ind w:firstLine="360"/>
              <w:rPr>
                <w:sz w:val="18"/>
                <w:szCs w:val="18"/>
              </w:rPr>
            </w:pPr>
            <w:r>
              <w:rPr>
                <w:sz w:val="18"/>
                <w:szCs w:val="18"/>
              </w:rPr>
              <w:t>注：a“环境敏感区”是指《建设项目环境影响评价分类管理名录》中所界定的涉及地下水的环境敏感区</w:t>
            </w:r>
          </w:p>
        </w:tc>
      </w:tr>
    </w:tbl>
    <w:p>
      <w:pPr>
        <w:snapToGrid w:val="0"/>
        <w:spacing w:before="240"/>
        <w:jc w:val="center"/>
        <w:rPr>
          <w:b/>
          <w:sz w:val="24"/>
        </w:rPr>
      </w:pPr>
      <w:r>
        <w:rPr>
          <w:b/>
          <w:sz w:val="24"/>
        </w:rPr>
        <w:t>表2.3-5    建设项目评价工作等级分级表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378"/>
        <w:gridCol w:w="2125"/>
        <w:gridCol w:w="1984"/>
        <w:gridCol w:w="20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95" w:type="pct"/>
            <w:tcBorders>
              <w:tl2br w:val="single" w:color="auto" w:sz="4" w:space="0"/>
            </w:tcBorders>
            <w:vAlign w:val="center"/>
          </w:tcPr>
          <w:p>
            <w:pPr>
              <w:ind w:firstLine="1050" w:firstLineChars="500"/>
              <w:jc w:val="center"/>
              <w:rPr>
                <w:kern w:val="0"/>
                <w:szCs w:val="21"/>
              </w:rPr>
            </w:pPr>
            <w:r>
              <w:rPr>
                <w:kern w:val="0"/>
                <w:szCs w:val="21"/>
              </w:rPr>
              <w:t>项目类别</w:t>
            </w:r>
          </w:p>
          <w:p>
            <w:pPr>
              <w:rPr>
                <w:kern w:val="0"/>
                <w:szCs w:val="21"/>
              </w:rPr>
            </w:pPr>
            <w:r>
              <w:rPr>
                <w:kern w:val="0"/>
                <w:szCs w:val="21"/>
              </w:rPr>
              <w:t>环境敏感程度</w:t>
            </w:r>
          </w:p>
        </w:tc>
        <w:tc>
          <w:tcPr>
            <w:tcW w:w="1247" w:type="pct"/>
            <w:vAlign w:val="center"/>
          </w:tcPr>
          <w:p>
            <w:pPr>
              <w:jc w:val="center"/>
              <w:rPr>
                <w:kern w:val="0"/>
                <w:szCs w:val="21"/>
              </w:rPr>
            </w:pPr>
            <w:r>
              <w:rPr>
                <w:rFonts w:hint="eastAsia" w:ascii="宋体" w:hAnsi="宋体" w:cs="宋体"/>
                <w:kern w:val="0"/>
                <w:szCs w:val="21"/>
              </w:rPr>
              <w:t>Ⅰ</w:t>
            </w:r>
            <w:r>
              <w:rPr>
                <w:kern w:val="0"/>
                <w:szCs w:val="21"/>
              </w:rPr>
              <w:t>类项目</w:t>
            </w:r>
          </w:p>
        </w:tc>
        <w:tc>
          <w:tcPr>
            <w:tcW w:w="1164" w:type="pct"/>
            <w:vAlign w:val="center"/>
          </w:tcPr>
          <w:p>
            <w:pPr>
              <w:jc w:val="center"/>
              <w:rPr>
                <w:kern w:val="0"/>
                <w:szCs w:val="21"/>
              </w:rPr>
            </w:pPr>
            <w:r>
              <w:rPr>
                <w:rFonts w:hint="eastAsia" w:ascii="宋体" w:hAnsi="宋体" w:cs="宋体"/>
                <w:kern w:val="0"/>
                <w:szCs w:val="21"/>
              </w:rPr>
              <w:t>Ⅱ</w:t>
            </w:r>
            <w:r>
              <w:rPr>
                <w:kern w:val="0"/>
                <w:szCs w:val="21"/>
              </w:rPr>
              <w:t>类项目</w:t>
            </w:r>
          </w:p>
        </w:tc>
        <w:tc>
          <w:tcPr>
            <w:tcW w:w="1194" w:type="pct"/>
            <w:vAlign w:val="center"/>
          </w:tcPr>
          <w:p>
            <w:pPr>
              <w:jc w:val="center"/>
              <w:rPr>
                <w:kern w:val="0"/>
                <w:szCs w:val="21"/>
              </w:rPr>
            </w:pPr>
            <w:r>
              <w:rPr>
                <w:rFonts w:hint="eastAsia" w:ascii="宋体" w:hAnsi="宋体" w:cs="宋体"/>
                <w:kern w:val="0"/>
                <w:szCs w:val="21"/>
              </w:rPr>
              <w:t>Ⅲ</w:t>
            </w:r>
            <w:r>
              <w:rPr>
                <w:kern w:val="0"/>
                <w:szCs w:val="21"/>
              </w:rPr>
              <w:t>类项目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95" w:type="pct"/>
            <w:vAlign w:val="center"/>
          </w:tcPr>
          <w:p>
            <w:pPr>
              <w:jc w:val="center"/>
              <w:rPr>
                <w:kern w:val="0"/>
                <w:szCs w:val="21"/>
              </w:rPr>
            </w:pPr>
            <w:r>
              <w:rPr>
                <w:kern w:val="0"/>
                <w:szCs w:val="21"/>
              </w:rPr>
              <w:t>敏感</w:t>
            </w:r>
          </w:p>
        </w:tc>
        <w:tc>
          <w:tcPr>
            <w:tcW w:w="1247" w:type="pct"/>
            <w:vAlign w:val="center"/>
          </w:tcPr>
          <w:p>
            <w:pPr>
              <w:jc w:val="center"/>
              <w:rPr>
                <w:kern w:val="0"/>
                <w:szCs w:val="21"/>
              </w:rPr>
            </w:pPr>
            <w:r>
              <w:rPr>
                <w:kern w:val="0"/>
                <w:szCs w:val="21"/>
              </w:rPr>
              <w:t>一</w:t>
            </w:r>
          </w:p>
        </w:tc>
        <w:tc>
          <w:tcPr>
            <w:tcW w:w="1164" w:type="pct"/>
            <w:vAlign w:val="center"/>
          </w:tcPr>
          <w:p>
            <w:pPr>
              <w:jc w:val="center"/>
              <w:rPr>
                <w:kern w:val="0"/>
                <w:szCs w:val="21"/>
              </w:rPr>
            </w:pPr>
            <w:r>
              <w:rPr>
                <w:kern w:val="0"/>
                <w:szCs w:val="21"/>
              </w:rPr>
              <w:t>一</w:t>
            </w:r>
          </w:p>
        </w:tc>
        <w:tc>
          <w:tcPr>
            <w:tcW w:w="1194" w:type="pct"/>
            <w:vAlign w:val="center"/>
          </w:tcPr>
          <w:p>
            <w:pPr>
              <w:jc w:val="center"/>
              <w:rPr>
                <w:kern w:val="0"/>
                <w:szCs w:val="21"/>
              </w:rPr>
            </w:pPr>
            <w:r>
              <w:rPr>
                <w:kern w:val="0"/>
                <w:szCs w:val="21"/>
              </w:rPr>
              <w:t>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95" w:type="pct"/>
            <w:vAlign w:val="center"/>
          </w:tcPr>
          <w:p>
            <w:pPr>
              <w:jc w:val="center"/>
              <w:rPr>
                <w:kern w:val="0"/>
                <w:szCs w:val="21"/>
              </w:rPr>
            </w:pPr>
            <w:r>
              <w:rPr>
                <w:kern w:val="0"/>
                <w:szCs w:val="21"/>
              </w:rPr>
              <w:t>较敏感</w:t>
            </w:r>
          </w:p>
        </w:tc>
        <w:tc>
          <w:tcPr>
            <w:tcW w:w="1247" w:type="pct"/>
            <w:vAlign w:val="center"/>
          </w:tcPr>
          <w:p>
            <w:pPr>
              <w:jc w:val="center"/>
              <w:rPr>
                <w:b/>
                <w:kern w:val="0"/>
                <w:szCs w:val="21"/>
              </w:rPr>
            </w:pPr>
            <w:r>
              <w:rPr>
                <w:b/>
                <w:kern w:val="0"/>
                <w:szCs w:val="21"/>
              </w:rPr>
              <w:t>一</w:t>
            </w:r>
          </w:p>
        </w:tc>
        <w:tc>
          <w:tcPr>
            <w:tcW w:w="1164" w:type="pct"/>
            <w:vAlign w:val="center"/>
          </w:tcPr>
          <w:p>
            <w:pPr>
              <w:jc w:val="center"/>
              <w:rPr>
                <w:kern w:val="0"/>
                <w:szCs w:val="21"/>
              </w:rPr>
            </w:pPr>
            <w:r>
              <w:rPr>
                <w:kern w:val="0"/>
                <w:szCs w:val="21"/>
              </w:rPr>
              <w:t>二</w:t>
            </w:r>
          </w:p>
        </w:tc>
        <w:tc>
          <w:tcPr>
            <w:tcW w:w="1194" w:type="pct"/>
            <w:vAlign w:val="center"/>
          </w:tcPr>
          <w:p>
            <w:pPr>
              <w:jc w:val="center"/>
              <w:rPr>
                <w:kern w:val="0"/>
                <w:szCs w:val="21"/>
              </w:rPr>
            </w:pPr>
            <w:r>
              <w:rPr>
                <w:kern w:val="0"/>
                <w:szCs w:val="21"/>
              </w:rPr>
              <w:t>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95" w:type="pct"/>
            <w:vAlign w:val="center"/>
          </w:tcPr>
          <w:p>
            <w:pPr>
              <w:jc w:val="center"/>
              <w:rPr>
                <w:kern w:val="0"/>
                <w:szCs w:val="21"/>
              </w:rPr>
            </w:pPr>
            <w:r>
              <w:rPr>
                <w:kern w:val="0"/>
                <w:szCs w:val="21"/>
              </w:rPr>
              <w:t>不敏感</w:t>
            </w:r>
          </w:p>
        </w:tc>
        <w:tc>
          <w:tcPr>
            <w:tcW w:w="1247" w:type="pct"/>
            <w:vAlign w:val="center"/>
          </w:tcPr>
          <w:p>
            <w:pPr>
              <w:jc w:val="center"/>
              <w:rPr>
                <w:kern w:val="0"/>
                <w:szCs w:val="21"/>
              </w:rPr>
            </w:pPr>
            <w:r>
              <w:rPr>
                <w:kern w:val="0"/>
                <w:szCs w:val="21"/>
              </w:rPr>
              <w:t>二</w:t>
            </w:r>
          </w:p>
        </w:tc>
        <w:tc>
          <w:tcPr>
            <w:tcW w:w="1164" w:type="pct"/>
            <w:vAlign w:val="center"/>
          </w:tcPr>
          <w:p>
            <w:pPr>
              <w:jc w:val="center"/>
              <w:rPr>
                <w:kern w:val="0"/>
                <w:szCs w:val="21"/>
              </w:rPr>
            </w:pPr>
            <w:r>
              <w:rPr>
                <w:kern w:val="0"/>
                <w:szCs w:val="21"/>
              </w:rPr>
              <w:t>三</w:t>
            </w:r>
          </w:p>
        </w:tc>
        <w:tc>
          <w:tcPr>
            <w:tcW w:w="1194" w:type="pct"/>
            <w:vAlign w:val="center"/>
          </w:tcPr>
          <w:p>
            <w:pPr>
              <w:jc w:val="center"/>
              <w:rPr>
                <w:kern w:val="0"/>
                <w:szCs w:val="21"/>
              </w:rPr>
            </w:pPr>
            <w:r>
              <w:rPr>
                <w:kern w:val="0"/>
                <w:szCs w:val="21"/>
              </w:rPr>
              <w:t>三</w:t>
            </w:r>
          </w:p>
        </w:tc>
      </w:tr>
    </w:tbl>
    <w:p>
      <w:pPr>
        <w:ind w:firstLine="480"/>
      </w:pPr>
    </w:p>
    <w:p>
      <w:pPr>
        <w:adjustRightInd w:val="0"/>
        <w:snapToGrid w:val="0"/>
        <w:spacing w:line="360" w:lineRule="auto"/>
        <w:ind w:firstLine="480" w:firstLineChars="200"/>
        <w:rPr>
          <w:kern w:val="0"/>
          <w:sz w:val="24"/>
        </w:rPr>
      </w:pPr>
      <w:r>
        <w:rPr>
          <w:kern w:val="0"/>
          <w:sz w:val="24"/>
        </w:rPr>
        <w:t>根据《环境影响评价技术导则地下水环境》（HJ610-2016），建设项目地下水环境影响评价工作等级的划分规定，本项目地下水评价等级为</w:t>
      </w:r>
      <w:r>
        <w:rPr>
          <w:rFonts w:hint="eastAsia"/>
          <w:kern w:val="0"/>
          <w:sz w:val="24"/>
        </w:rPr>
        <w:t>一</w:t>
      </w:r>
      <w:r>
        <w:rPr>
          <w:kern w:val="0"/>
          <w:sz w:val="24"/>
        </w:rPr>
        <w:t>级。</w:t>
      </w:r>
    </w:p>
    <w:p>
      <w:pPr>
        <w:adjustRightInd w:val="0"/>
        <w:snapToGrid w:val="0"/>
        <w:spacing w:line="360" w:lineRule="auto"/>
        <w:ind w:firstLine="480" w:firstLineChars="200"/>
        <w:rPr>
          <w:sz w:val="24"/>
        </w:rPr>
      </w:pPr>
      <w:r>
        <w:rPr>
          <w:rFonts w:hint="eastAsia"/>
          <w:sz w:val="24"/>
        </w:rPr>
        <w:t>3、地表水评价等级</w:t>
      </w:r>
    </w:p>
    <w:p>
      <w:pPr>
        <w:autoSpaceDE w:val="0"/>
        <w:autoSpaceDN w:val="0"/>
        <w:adjustRightInd w:val="0"/>
        <w:snapToGrid w:val="0"/>
        <w:spacing w:line="360" w:lineRule="auto"/>
        <w:ind w:firstLine="480" w:firstLineChars="200"/>
        <w:jc w:val="left"/>
        <w:rPr>
          <w:kern w:val="0"/>
          <w:sz w:val="24"/>
        </w:rPr>
      </w:pPr>
      <w:r>
        <w:rPr>
          <w:kern w:val="0"/>
          <w:sz w:val="24"/>
        </w:rPr>
        <w:t>本项目废水主要有渗滤液</w:t>
      </w:r>
      <w:r>
        <w:rPr>
          <w:rFonts w:hint="eastAsia"/>
          <w:kern w:val="0"/>
          <w:sz w:val="24"/>
        </w:rPr>
        <w:t>、</w:t>
      </w:r>
      <w:r>
        <w:rPr>
          <w:kern w:val="0"/>
          <w:sz w:val="24"/>
        </w:rPr>
        <w:t>生活污水</w:t>
      </w:r>
      <w:r>
        <w:rPr>
          <w:rFonts w:hint="eastAsia"/>
          <w:kern w:val="0"/>
          <w:sz w:val="24"/>
        </w:rPr>
        <w:t>、</w:t>
      </w:r>
      <w:r>
        <w:rPr>
          <w:rFonts w:hint="eastAsia"/>
          <w:color w:val="548235" w:themeColor="accent6" w:themeShade="BF"/>
          <w:kern w:val="0"/>
          <w:sz w:val="24"/>
        </w:rPr>
        <w:t>反渗透膜冲洗废水</w:t>
      </w:r>
      <w:r>
        <w:rPr>
          <w:kern w:val="0"/>
          <w:sz w:val="24"/>
        </w:rPr>
        <w:t>，</w:t>
      </w:r>
      <w:r>
        <w:rPr>
          <w:rFonts w:hint="eastAsia"/>
          <w:kern w:val="0"/>
          <w:sz w:val="24"/>
        </w:rPr>
        <w:t>废水均排入</w:t>
      </w:r>
      <w:r>
        <w:rPr>
          <w:kern w:val="0"/>
          <w:sz w:val="24"/>
        </w:rPr>
        <w:t>渗滤液处理</w:t>
      </w:r>
      <w:r>
        <w:rPr>
          <w:rFonts w:hint="eastAsia"/>
          <w:kern w:val="0"/>
          <w:sz w:val="24"/>
        </w:rPr>
        <w:t>站</w:t>
      </w:r>
      <w:r>
        <w:rPr>
          <w:kern w:val="0"/>
          <w:sz w:val="24"/>
        </w:rPr>
        <w:t>，处理达标后用于填埋场洒水抑尘、绿化等，以上废水均不会直接进入当地水环境，根据《环境影响评价技术导则-地表水环境》(HJ2.3-2018)的要求，本项目地表水环境影响评价等级为三级B。</w:t>
      </w:r>
    </w:p>
    <w:p>
      <w:pPr>
        <w:adjustRightInd w:val="0"/>
        <w:snapToGrid w:val="0"/>
        <w:spacing w:line="360" w:lineRule="auto"/>
        <w:ind w:firstLine="480" w:firstLineChars="200"/>
        <w:rPr>
          <w:sz w:val="24"/>
        </w:rPr>
      </w:pPr>
      <w:r>
        <w:rPr>
          <w:sz w:val="24"/>
        </w:rPr>
        <w:t>4、声环境</w:t>
      </w:r>
    </w:p>
    <w:p>
      <w:pPr>
        <w:adjustRightInd w:val="0"/>
        <w:snapToGrid w:val="0"/>
        <w:spacing w:line="360" w:lineRule="auto"/>
        <w:ind w:firstLine="480" w:firstLineChars="200"/>
        <w:rPr>
          <w:sz w:val="24"/>
        </w:rPr>
      </w:pPr>
      <w:r>
        <w:rPr>
          <w:sz w:val="24"/>
        </w:rPr>
        <w:t>项目位于</w:t>
      </w:r>
      <w:r>
        <w:rPr>
          <w:rFonts w:hint="eastAsia"/>
          <w:sz w:val="24"/>
        </w:rPr>
        <w:t>五原县</w:t>
      </w:r>
      <w:r>
        <w:rPr>
          <w:sz w:val="24"/>
        </w:rPr>
        <w:t>复兴镇，位于《声环境质量标准》（GB3096-2008）2类区，项目主要噪声为垃圾运输车辆噪声、垃圾填埋作业噪声及污水处理系统中泵、空压机等机械设备产生的噪声，项目运营后声敏感目标噪声级增加量在5dB(A)以下，受影响人口数量变化不大。根据《环境影响评价技术导则-声环境》（HJ2.4-2021）声环境影响评价工作等级的划分方法，本项目声环境影响评价等级为二级。</w:t>
      </w:r>
    </w:p>
    <w:p>
      <w:pPr>
        <w:pStyle w:val="838"/>
        <w:keepNext w:val="0"/>
        <w:adjustRightInd w:val="0"/>
        <w:snapToGrid w:val="0"/>
        <w:ind w:firstLine="480"/>
        <w:rPr>
          <w:rFonts w:ascii="Times New Roman" w:hAnsi="Times New Roman" w:eastAsia="宋体" w:cs="Times New Roman"/>
          <w:color w:val="auto"/>
          <w:kern w:val="0"/>
        </w:rPr>
      </w:pPr>
      <w:r>
        <w:rPr>
          <w:rFonts w:hint="eastAsia" w:ascii="Times New Roman" w:hAnsi="Times New Roman" w:eastAsia="宋体" w:cs="Times New Roman"/>
          <w:color w:val="auto"/>
          <w:kern w:val="0"/>
        </w:rPr>
        <w:t>5、土壤环境</w:t>
      </w:r>
    </w:p>
    <w:p>
      <w:pPr>
        <w:autoSpaceDE w:val="0"/>
        <w:autoSpaceDN w:val="0"/>
        <w:adjustRightInd w:val="0"/>
        <w:snapToGrid w:val="0"/>
        <w:spacing w:line="360" w:lineRule="auto"/>
        <w:ind w:firstLine="480" w:firstLineChars="200"/>
        <w:jc w:val="left"/>
        <w:rPr>
          <w:kern w:val="0"/>
          <w:sz w:val="24"/>
        </w:rPr>
      </w:pPr>
      <w:r>
        <w:rPr>
          <w:kern w:val="0"/>
          <w:sz w:val="24"/>
        </w:rPr>
        <w:t>根据</w:t>
      </w:r>
      <w:r>
        <w:rPr>
          <w:sz w:val="24"/>
        </w:rPr>
        <w:t>《</w:t>
      </w:r>
      <w:r>
        <w:rPr>
          <w:rFonts w:hint="eastAsia"/>
          <w:sz w:val="24"/>
        </w:rPr>
        <w:t>环境影响评价技术导则-土壤影响</w:t>
      </w:r>
      <w:r>
        <w:rPr>
          <w:sz w:val="24"/>
        </w:rPr>
        <w:t>》（HJ964-2018）</w:t>
      </w:r>
      <w:r>
        <w:rPr>
          <w:kern w:val="0"/>
          <w:sz w:val="24"/>
        </w:rPr>
        <w:t>，本项目属于Ⅱ类项目，项目总占地面积</w:t>
      </w:r>
      <w:r>
        <w:rPr>
          <w:color w:val="FF0000"/>
          <w:kern w:val="0"/>
          <w:sz w:val="24"/>
        </w:rPr>
        <w:t>6.49</w:t>
      </w:r>
      <w:r>
        <w:rPr>
          <w:kern w:val="0"/>
          <w:sz w:val="24"/>
        </w:rPr>
        <w:t>hm</w:t>
      </w:r>
      <w:r>
        <w:rPr>
          <w:kern w:val="0"/>
          <w:sz w:val="24"/>
          <w:vertAlign w:val="superscript"/>
        </w:rPr>
        <w:t>2</w:t>
      </w:r>
      <w:r>
        <w:rPr>
          <w:kern w:val="0"/>
          <w:sz w:val="24"/>
        </w:rPr>
        <w:t>，建设项目占地规模属于中型（5—50hm</w:t>
      </w:r>
      <w:r>
        <w:rPr>
          <w:kern w:val="0"/>
          <w:sz w:val="24"/>
          <w:vertAlign w:val="superscript"/>
        </w:rPr>
        <w:t>2</w:t>
      </w:r>
      <w:r>
        <w:rPr>
          <w:kern w:val="0"/>
          <w:sz w:val="24"/>
        </w:rPr>
        <w:t>）；本项目周边</w:t>
      </w:r>
      <w:r>
        <w:rPr>
          <w:rFonts w:hint="eastAsia"/>
          <w:kern w:val="0"/>
          <w:sz w:val="24"/>
        </w:rPr>
        <w:t>存在耕</w:t>
      </w:r>
      <w:r>
        <w:rPr>
          <w:kern w:val="0"/>
          <w:sz w:val="24"/>
        </w:rPr>
        <w:t>地，土壤环境敏感程度为敏感</w:t>
      </w:r>
      <w:r>
        <w:rPr>
          <w:rFonts w:hint="eastAsia"/>
          <w:kern w:val="0"/>
          <w:sz w:val="24"/>
        </w:rPr>
        <w:t>，确定</w:t>
      </w:r>
      <w:r>
        <w:rPr>
          <w:kern w:val="0"/>
          <w:sz w:val="24"/>
        </w:rPr>
        <w:t>本项目的土壤环境影响评价等级为二级。</w:t>
      </w:r>
    </w:p>
    <w:p>
      <w:pPr>
        <w:pStyle w:val="838"/>
        <w:keepNext w:val="0"/>
        <w:ind w:firstLine="480"/>
        <w:rPr>
          <w:rFonts w:ascii="Times New Roman" w:hAnsi="Times New Roman" w:eastAsia="宋体" w:cs="Times New Roman"/>
          <w:color w:val="auto"/>
          <w:kern w:val="0"/>
        </w:rPr>
      </w:pPr>
      <w:r>
        <w:rPr>
          <w:rFonts w:ascii="Times New Roman" w:hAnsi="Times New Roman" w:eastAsia="宋体" w:cs="Times New Roman"/>
          <w:color w:val="auto"/>
          <w:kern w:val="0"/>
        </w:rPr>
        <w:t>6、生态评价工作等级</w:t>
      </w:r>
    </w:p>
    <w:p>
      <w:pPr>
        <w:widowControl/>
        <w:spacing w:line="360" w:lineRule="auto"/>
        <w:ind w:firstLine="480"/>
        <w:jc w:val="left"/>
        <w:rPr>
          <w:kern w:val="0"/>
          <w:sz w:val="24"/>
        </w:rPr>
      </w:pPr>
      <w:r>
        <w:rPr>
          <w:rFonts w:hint="eastAsia" w:ascii="宋体" w:hAnsi="宋体"/>
          <w:kern w:val="0"/>
          <w:sz w:val="24"/>
        </w:rPr>
        <w:t>本项目不涉及国家公园、自然保护区、世界自然遗产、重要生境、自然公园、生态红线、法定生态保护区域、地下水或土壤影响范围内没有分布天然林、公益林、湿地等生态保护目标，项目占地</w:t>
      </w:r>
      <w:r>
        <w:rPr>
          <w:kern w:val="0"/>
          <w:sz w:val="24"/>
        </w:rPr>
        <w:t>面积</w:t>
      </w:r>
      <w:r>
        <w:rPr>
          <w:rFonts w:hint="eastAsia"/>
          <w:kern w:val="0"/>
          <w:sz w:val="24"/>
        </w:rPr>
        <w:t>约</w:t>
      </w:r>
      <w:r>
        <w:rPr>
          <w:kern w:val="0"/>
          <w:sz w:val="24"/>
        </w:rPr>
        <w:t>为</w:t>
      </w:r>
      <w:r>
        <w:rPr>
          <w:rFonts w:hint="eastAsia"/>
          <w:kern w:val="0"/>
          <w:sz w:val="24"/>
        </w:rPr>
        <w:t>0</w:t>
      </w:r>
      <w:r>
        <w:rPr>
          <w:kern w:val="0"/>
          <w:sz w:val="24"/>
        </w:rPr>
        <w:t>.065km</w:t>
      </w:r>
      <w:r>
        <w:rPr>
          <w:kern w:val="0"/>
          <w:sz w:val="24"/>
          <w:vertAlign w:val="superscript"/>
        </w:rPr>
        <w:t>2</w:t>
      </w:r>
      <w:r>
        <w:rPr>
          <w:kern w:val="0"/>
          <w:sz w:val="24"/>
        </w:rPr>
        <w:t>，</w:t>
      </w:r>
      <w:r>
        <w:rPr>
          <w:rFonts w:hint="eastAsia" w:ascii="宋体" w:hAnsi="宋体"/>
          <w:kern w:val="0"/>
          <w:sz w:val="24"/>
        </w:rPr>
        <w:t>根据《环境影响评价技术导则</w:t>
      </w:r>
      <w:r>
        <w:rPr>
          <w:kern w:val="0"/>
          <w:sz w:val="24"/>
        </w:rPr>
        <w:t xml:space="preserve"> </w:t>
      </w:r>
      <w:r>
        <w:rPr>
          <w:rFonts w:hint="eastAsia" w:ascii="宋体" w:hAnsi="宋体"/>
          <w:kern w:val="0"/>
          <w:sz w:val="24"/>
        </w:rPr>
        <w:t>生态影响》（</w:t>
      </w:r>
      <w:r>
        <w:rPr>
          <w:kern w:val="0"/>
          <w:sz w:val="24"/>
        </w:rPr>
        <w:t>HJ19</w:t>
      </w:r>
      <w:r>
        <w:rPr>
          <w:rFonts w:hint="eastAsia" w:ascii="宋体" w:hAnsi="宋体"/>
          <w:kern w:val="0"/>
          <w:sz w:val="24"/>
        </w:rPr>
        <w:t>－</w:t>
      </w:r>
      <w:r>
        <w:rPr>
          <w:kern w:val="0"/>
          <w:sz w:val="24"/>
        </w:rPr>
        <w:t>2022</w:t>
      </w:r>
      <w:r>
        <w:rPr>
          <w:rFonts w:hint="eastAsia" w:ascii="宋体" w:hAnsi="宋体"/>
          <w:kern w:val="0"/>
          <w:sz w:val="24"/>
        </w:rPr>
        <w:t>）相关判定要求，确定生态评价等级为三级。</w:t>
      </w:r>
    </w:p>
    <w:p>
      <w:pPr>
        <w:pStyle w:val="838"/>
        <w:keepNext w:val="0"/>
        <w:ind w:firstLine="480"/>
        <w:rPr>
          <w:rFonts w:ascii="Times New Roman" w:hAnsi="Times New Roman" w:eastAsia="宋体" w:cs="Times New Roman"/>
          <w:color w:val="auto"/>
          <w:kern w:val="0"/>
        </w:rPr>
      </w:pPr>
      <w:bookmarkStart w:id="105" w:name="_Toc144834433"/>
      <w:bookmarkStart w:id="106" w:name="_Toc283389346"/>
      <w:bookmarkStart w:id="107" w:name="_Toc144835037"/>
      <w:bookmarkStart w:id="108" w:name="_Toc280543835"/>
      <w:bookmarkStart w:id="109" w:name="_Toc144833699"/>
      <w:bookmarkStart w:id="110" w:name="_Toc169078553"/>
      <w:bookmarkStart w:id="111" w:name="_Toc145169408"/>
      <w:bookmarkStart w:id="112" w:name="_Toc401478985"/>
      <w:bookmarkStart w:id="113" w:name="_Toc148972435"/>
      <w:r>
        <w:rPr>
          <w:rFonts w:ascii="Times New Roman" w:hAnsi="Times New Roman" w:eastAsia="宋体" w:cs="Times New Roman"/>
          <w:color w:val="auto"/>
          <w:kern w:val="0"/>
        </w:rPr>
        <w:t>7、环境风险</w:t>
      </w:r>
    </w:p>
    <w:p>
      <w:pPr>
        <w:spacing w:line="360" w:lineRule="auto"/>
        <w:ind w:firstLine="480"/>
        <w:rPr>
          <w:sz w:val="24"/>
        </w:rPr>
      </w:pPr>
      <w:r>
        <w:rPr>
          <w:rFonts w:hint="eastAsia"/>
          <w:sz w:val="24"/>
        </w:rPr>
        <w:t>根据《危险化学品重大危险源辨识》（</w:t>
      </w:r>
      <w:r>
        <w:rPr>
          <w:sz w:val="24"/>
        </w:rPr>
        <w:t>GB18218</w:t>
      </w:r>
      <w:r>
        <w:rPr>
          <w:rFonts w:hint="eastAsia"/>
          <w:sz w:val="24"/>
        </w:rPr>
        <w:t>-2018）及</w:t>
      </w:r>
      <w:r>
        <w:rPr>
          <w:sz w:val="24"/>
        </w:rPr>
        <w:t>《建设项目环境风险评价技术导则》（HJ169-2018）</w:t>
      </w:r>
      <w:r>
        <w:rPr>
          <w:rFonts w:hint="eastAsia"/>
          <w:sz w:val="24"/>
        </w:rPr>
        <w:t>中附录</w:t>
      </w:r>
      <w:r>
        <w:rPr>
          <w:sz w:val="24"/>
        </w:rPr>
        <w:t>B</w:t>
      </w:r>
      <w:r>
        <w:rPr>
          <w:rFonts w:hint="eastAsia"/>
          <w:sz w:val="24"/>
        </w:rPr>
        <w:t>，本项目涉及风险物质为渗滤液及填埋气甲烷、氨气、硫化氢。根据本次对渗滤液实测数据</w:t>
      </w:r>
      <w:r>
        <w:rPr>
          <w:sz w:val="24"/>
        </w:rPr>
        <w:t>NH</w:t>
      </w:r>
      <w:r>
        <w:rPr>
          <w:sz w:val="24"/>
          <w:vertAlign w:val="subscript"/>
        </w:rPr>
        <w:t>3</w:t>
      </w:r>
      <w:r>
        <w:rPr>
          <w:sz w:val="24"/>
        </w:rPr>
        <w:t>-N</w:t>
      </w:r>
      <w:r>
        <w:rPr>
          <w:rFonts w:hint="eastAsia"/>
          <w:sz w:val="24"/>
        </w:rPr>
        <w:t>为</w:t>
      </w:r>
      <w:r>
        <w:rPr>
          <w:sz w:val="24"/>
        </w:rPr>
        <w:t>470mg/L，</w:t>
      </w:r>
      <w:r>
        <w:rPr>
          <w:rFonts w:hint="eastAsia"/>
          <w:sz w:val="24"/>
        </w:rPr>
        <w:t>小于</w:t>
      </w:r>
      <w:r>
        <w:rPr>
          <w:sz w:val="24"/>
        </w:rPr>
        <w:t>2000</w:t>
      </w:r>
      <w:r>
        <w:t xml:space="preserve"> </w:t>
      </w:r>
      <w:r>
        <w:rPr>
          <w:sz w:val="24"/>
        </w:rPr>
        <w:t>mg/L</w:t>
      </w:r>
      <w:r>
        <w:rPr>
          <w:rFonts w:hint="eastAsia"/>
          <w:sz w:val="24"/>
        </w:rPr>
        <w:t>，因此不作为重点关注的危险物质，不对其进行Q值计算。填埋气甲烷、氨气、硫化氢通过导气石笼有序导排，不存储。项目</w:t>
      </w:r>
      <w:r>
        <w:rPr>
          <w:sz w:val="24"/>
        </w:rPr>
        <w:t>环境风险潜势为I，</w:t>
      </w:r>
      <w:r>
        <w:rPr>
          <w:rFonts w:hint="eastAsia"/>
          <w:sz w:val="24"/>
        </w:rPr>
        <w:t>进行简单评价</w:t>
      </w:r>
      <w:r>
        <w:rPr>
          <w:sz w:val="24"/>
        </w:rPr>
        <w:t>。</w:t>
      </w:r>
    </w:p>
    <w:p>
      <w:pPr>
        <w:pStyle w:val="831"/>
        <w:keepNext w:val="0"/>
        <w:spacing w:before="156" w:beforeLines="50" w:after="156" w:afterLines="50" w:line="360" w:lineRule="auto"/>
        <w:rPr>
          <w:rFonts w:cs="Times New Roman"/>
        </w:rPr>
      </w:pPr>
      <w:bookmarkStart w:id="114" w:name="_Toc489432964"/>
      <w:bookmarkStart w:id="115" w:name="_Toc143762293"/>
      <w:r>
        <w:rPr>
          <w:rFonts w:cs="Times New Roman"/>
        </w:rPr>
        <w:t>2.3.2评价范围</w:t>
      </w:r>
      <w:bookmarkEnd w:id="105"/>
      <w:bookmarkEnd w:id="106"/>
      <w:bookmarkEnd w:id="107"/>
      <w:bookmarkEnd w:id="108"/>
      <w:bookmarkEnd w:id="109"/>
      <w:bookmarkEnd w:id="110"/>
      <w:bookmarkEnd w:id="111"/>
      <w:bookmarkEnd w:id="112"/>
      <w:bookmarkEnd w:id="113"/>
      <w:bookmarkEnd w:id="114"/>
      <w:bookmarkEnd w:id="115"/>
    </w:p>
    <w:p>
      <w:pPr>
        <w:pStyle w:val="838"/>
        <w:keepNext w:val="0"/>
        <w:ind w:firstLine="480"/>
        <w:rPr>
          <w:rFonts w:ascii="Times New Roman" w:hAnsi="Times New Roman" w:eastAsia="宋体" w:cs="Times New Roman"/>
          <w:color w:val="auto"/>
        </w:rPr>
      </w:pPr>
      <w:r>
        <w:rPr>
          <w:rFonts w:ascii="Times New Roman" w:hAnsi="Times New Roman" w:eastAsia="宋体" w:cs="Times New Roman"/>
          <w:color w:val="auto"/>
        </w:rPr>
        <w:t>根据</w:t>
      </w:r>
      <w:r>
        <w:rPr>
          <w:rFonts w:hint="eastAsia" w:ascii="Times New Roman" w:hAnsi="Times New Roman" w:eastAsia="宋体" w:cs="Times New Roman"/>
          <w:color w:val="auto"/>
        </w:rPr>
        <w:t>各环境要素导则</w:t>
      </w:r>
      <w:r>
        <w:rPr>
          <w:rFonts w:ascii="Times New Roman" w:hAnsi="Times New Roman" w:eastAsia="宋体" w:cs="Times New Roman"/>
          <w:color w:val="auto"/>
        </w:rPr>
        <w:t>中有关评价工作中的规定及评价等级，确定本次评价范围，详见表2.3-6。</w:t>
      </w:r>
    </w:p>
    <w:p>
      <w:pPr>
        <w:pStyle w:val="44"/>
        <w:adjustRightInd w:val="0"/>
        <w:snapToGrid w:val="0"/>
        <w:spacing w:line="240" w:lineRule="auto"/>
        <w:ind w:firstLine="361" w:firstLineChars="150"/>
        <w:jc w:val="center"/>
        <w:rPr>
          <w:rFonts w:cs="Times New Roman"/>
          <w:b/>
          <w:szCs w:val="24"/>
        </w:rPr>
      </w:pPr>
      <w:r>
        <w:rPr>
          <w:rFonts w:cs="Times New Roman"/>
          <w:b/>
          <w:szCs w:val="24"/>
        </w:rPr>
        <w:t>表2.3-6  环境影响评价范围表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5"/>
        <w:gridCol w:w="70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pct"/>
            <w:vAlign w:val="center"/>
          </w:tcPr>
          <w:p>
            <w:pPr>
              <w:adjustRightInd w:val="0"/>
              <w:snapToGrid w:val="0"/>
              <w:jc w:val="center"/>
              <w:rPr>
                <w:szCs w:val="21"/>
              </w:rPr>
            </w:pPr>
            <w:r>
              <w:rPr>
                <w:szCs w:val="21"/>
              </w:rPr>
              <w:t>环境类别</w:t>
            </w:r>
          </w:p>
        </w:tc>
        <w:tc>
          <w:tcPr>
            <w:tcW w:w="4152" w:type="pct"/>
            <w:vAlign w:val="center"/>
          </w:tcPr>
          <w:p>
            <w:pPr>
              <w:adjustRightInd w:val="0"/>
              <w:snapToGrid w:val="0"/>
              <w:jc w:val="center"/>
              <w:rPr>
                <w:szCs w:val="21"/>
              </w:rPr>
            </w:pPr>
            <w:r>
              <w:rPr>
                <w:szCs w:val="21"/>
              </w:rPr>
              <w:t>评价范围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pct"/>
            <w:vAlign w:val="center"/>
          </w:tcPr>
          <w:p>
            <w:pPr>
              <w:jc w:val="center"/>
              <w:rPr>
                <w:szCs w:val="21"/>
              </w:rPr>
            </w:pPr>
            <w:r>
              <w:rPr>
                <w:szCs w:val="21"/>
              </w:rPr>
              <w:t>大气环境</w:t>
            </w:r>
          </w:p>
        </w:tc>
        <w:tc>
          <w:tcPr>
            <w:tcW w:w="4152" w:type="pct"/>
            <w:vAlign w:val="center"/>
          </w:tcPr>
          <w:p>
            <w:pPr>
              <w:jc w:val="center"/>
              <w:rPr>
                <w:szCs w:val="21"/>
              </w:rPr>
            </w:pPr>
            <w:r>
              <w:rPr>
                <w:rFonts w:hint="eastAsia"/>
                <w:szCs w:val="21"/>
              </w:rPr>
              <w:t>评价范围为以厂区为中心，边长5km的区域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pct"/>
            <w:vAlign w:val="center"/>
          </w:tcPr>
          <w:p>
            <w:pPr>
              <w:jc w:val="center"/>
              <w:rPr>
                <w:szCs w:val="21"/>
              </w:rPr>
            </w:pPr>
            <w:r>
              <w:rPr>
                <w:szCs w:val="21"/>
              </w:rPr>
              <w:t>地下水环境</w:t>
            </w:r>
          </w:p>
        </w:tc>
        <w:tc>
          <w:tcPr>
            <w:tcW w:w="4152" w:type="pct"/>
            <w:vAlign w:val="center"/>
          </w:tcPr>
          <w:p>
            <w:pPr>
              <w:adjustRightInd w:val="0"/>
              <w:snapToGrid w:val="0"/>
              <w:ind w:firstLine="420" w:firstLineChars="200"/>
              <w:rPr>
                <w:szCs w:val="21"/>
              </w:rPr>
            </w:pPr>
            <w:r>
              <w:rPr>
                <w:rFonts w:hint="eastAsia"/>
                <w:szCs w:val="21"/>
              </w:rPr>
              <w:t>评价区地下水流向总的趋势为自南向北径流。本次地下水评价区范围的确定，一方面需尽可能包含项目所能影响到的地下水环境保护目标，另一方面考虑水文地质单元的完整性及预测模拟的可操作性。因此，本次分别划定模拟评价范围和调查评价范围。</w:t>
            </w:r>
          </w:p>
          <w:p>
            <w:pPr>
              <w:adjustRightInd w:val="0"/>
              <w:snapToGrid w:val="0"/>
              <w:ind w:firstLine="420" w:firstLineChars="200"/>
              <w:rPr>
                <w:szCs w:val="21"/>
              </w:rPr>
            </w:pPr>
            <w:r>
              <w:rPr>
                <w:rFonts w:hint="eastAsia"/>
                <w:szCs w:val="21"/>
              </w:rPr>
              <w:t>模拟评价范围：采用自定义法划定，根据项目所在区域地下水流场特征并考虑周围的地下水环境敏感目标，确定了本次工作地下水模拟评价范围：南侧、北侧边界平行于地下等水位线，西侧、东侧边界垂直于地下水等水位线，形成的地下水模拟评价范围面积约6.34km</w:t>
            </w:r>
            <w:r>
              <w:rPr>
                <w:rFonts w:hint="eastAsia"/>
                <w:szCs w:val="21"/>
                <w:vertAlign w:val="superscript"/>
              </w:rPr>
              <w:t>2</w:t>
            </w:r>
            <w:r>
              <w:rPr>
                <w:rFonts w:hint="eastAsia"/>
                <w:szCs w:val="21"/>
              </w:rPr>
              <w:t>。</w:t>
            </w:r>
          </w:p>
          <w:p>
            <w:pPr>
              <w:adjustRightInd w:val="0"/>
              <w:snapToGrid w:val="0"/>
              <w:ind w:firstLine="420" w:firstLineChars="200"/>
              <w:rPr>
                <w:szCs w:val="21"/>
              </w:rPr>
            </w:pPr>
            <w:r>
              <w:rPr>
                <w:rFonts w:hint="eastAsia"/>
                <w:szCs w:val="21"/>
              </w:rPr>
              <w:t>调查评价范围：在模拟评价范围基础上外扩一定距离，将所有地下水调查点位包括进调查范围内，共划定调查范围面积为12.82km</w:t>
            </w:r>
            <w:r>
              <w:rPr>
                <w:rFonts w:hint="eastAsia"/>
                <w:szCs w:val="21"/>
                <w:vertAlign w:val="superscript"/>
              </w:rPr>
              <w:t>2</w:t>
            </w:r>
            <w:r>
              <w:rPr>
                <w:rFonts w:hint="eastAsia"/>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pct"/>
            <w:vAlign w:val="center"/>
          </w:tcPr>
          <w:p>
            <w:pPr>
              <w:jc w:val="center"/>
              <w:rPr>
                <w:szCs w:val="21"/>
              </w:rPr>
            </w:pPr>
            <w:r>
              <w:rPr>
                <w:szCs w:val="21"/>
              </w:rPr>
              <w:t>声环境</w:t>
            </w:r>
          </w:p>
        </w:tc>
        <w:tc>
          <w:tcPr>
            <w:tcW w:w="4152" w:type="pct"/>
            <w:vAlign w:val="center"/>
          </w:tcPr>
          <w:p>
            <w:pPr>
              <w:jc w:val="center"/>
              <w:rPr>
                <w:szCs w:val="21"/>
              </w:rPr>
            </w:pPr>
            <w:r>
              <w:rPr>
                <w:szCs w:val="21"/>
              </w:rPr>
              <w:t>厂界200m</w:t>
            </w:r>
            <w:r>
              <w:rPr>
                <w:rFonts w:hint="eastAsia"/>
                <w:szCs w:val="21"/>
              </w:rPr>
              <w:t>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pct"/>
            <w:vAlign w:val="center"/>
          </w:tcPr>
          <w:p>
            <w:pPr>
              <w:jc w:val="center"/>
              <w:rPr>
                <w:szCs w:val="21"/>
              </w:rPr>
            </w:pPr>
            <w:r>
              <w:rPr>
                <w:rFonts w:hint="eastAsia"/>
                <w:szCs w:val="21"/>
              </w:rPr>
              <w:t>土壤环境</w:t>
            </w:r>
          </w:p>
        </w:tc>
        <w:tc>
          <w:tcPr>
            <w:tcW w:w="4152" w:type="pct"/>
            <w:vAlign w:val="center"/>
          </w:tcPr>
          <w:p>
            <w:pPr>
              <w:jc w:val="center"/>
              <w:rPr>
                <w:szCs w:val="21"/>
              </w:rPr>
            </w:pPr>
            <w:r>
              <w:rPr>
                <w:rFonts w:hint="eastAsia"/>
                <w:szCs w:val="21"/>
              </w:rPr>
              <w:t>厂界外2</w:t>
            </w:r>
            <w:r>
              <w:rPr>
                <w:szCs w:val="21"/>
              </w:rPr>
              <w:t>00m</w:t>
            </w:r>
            <w:r>
              <w:rPr>
                <w:rFonts w:hint="eastAsia"/>
                <w:szCs w:val="21"/>
              </w:rPr>
              <w:t>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848" w:type="pct"/>
            <w:vAlign w:val="center"/>
          </w:tcPr>
          <w:p>
            <w:pPr>
              <w:jc w:val="center"/>
              <w:rPr>
                <w:szCs w:val="21"/>
              </w:rPr>
            </w:pPr>
            <w:r>
              <w:rPr>
                <w:szCs w:val="21"/>
              </w:rPr>
              <w:t>生态环境</w:t>
            </w:r>
          </w:p>
        </w:tc>
        <w:tc>
          <w:tcPr>
            <w:tcW w:w="4152" w:type="pct"/>
            <w:vAlign w:val="center"/>
          </w:tcPr>
          <w:p>
            <w:pPr>
              <w:jc w:val="center"/>
              <w:rPr>
                <w:szCs w:val="21"/>
              </w:rPr>
            </w:pPr>
            <w:r>
              <w:rPr>
                <w:rFonts w:hint="eastAsia"/>
                <w:szCs w:val="21"/>
              </w:rPr>
              <w:t>厂界外1</w:t>
            </w:r>
            <w:r>
              <w:rPr>
                <w:szCs w:val="21"/>
              </w:rPr>
              <w:t>000m</w:t>
            </w:r>
            <w:r>
              <w:rPr>
                <w:rFonts w:hint="eastAsia"/>
                <w:szCs w:val="21"/>
              </w:rPr>
              <w:t>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8" w:type="pct"/>
            <w:vAlign w:val="center"/>
          </w:tcPr>
          <w:p>
            <w:pPr>
              <w:jc w:val="center"/>
              <w:rPr>
                <w:szCs w:val="21"/>
              </w:rPr>
            </w:pPr>
            <w:r>
              <w:rPr>
                <w:szCs w:val="21"/>
              </w:rPr>
              <w:t>风险评价</w:t>
            </w:r>
          </w:p>
        </w:tc>
        <w:tc>
          <w:tcPr>
            <w:tcW w:w="4152" w:type="pct"/>
            <w:vAlign w:val="center"/>
          </w:tcPr>
          <w:p>
            <w:pPr>
              <w:jc w:val="center"/>
              <w:rPr>
                <w:szCs w:val="21"/>
              </w:rPr>
            </w:pPr>
            <w:r>
              <w:rPr>
                <w:rFonts w:hint="eastAsia"/>
                <w:szCs w:val="21"/>
              </w:rPr>
              <w:t>/</w:t>
            </w:r>
          </w:p>
        </w:tc>
      </w:tr>
    </w:tbl>
    <w:p>
      <w:pPr>
        <w:pStyle w:val="44"/>
        <w:ind w:firstLine="0" w:firstLineChars="0"/>
        <w:rPr>
          <w:rFonts w:cs="Times New Roman"/>
          <w:b/>
          <w:szCs w:val="24"/>
        </w:rPr>
      </w:pPr>
    </w:p>
    <w:p>
      <w:pPr>
        <w:pStyle w:val="347"/>
        <w:keepNext w:val="0"/>
        <w:topLinePunct w:val="0"/>
        <w:spacing w:before="156" w:beforeLines="50" w:after="156" w:afterLines="50" w:line="360" w:lineRule="auto"/>
        <w:rPr>
          <w:rFonts w:cs="Times New Roman"/>
        </w:rPr>
      </w:pPr>
      <w:bookmarkStart w:id="116" w:name="_Toc401478986"/>
      <w:bookmarkStart w:id="117" w:name="_Toc143762294"/>
      <w:bookmarkStart w:id="118" w:name="_Toc489432965"/>
      <w:bookmarkStart w:id="119" w:name="_Toc205715491"/>
      <w:r>
        <w:rPr>
          <w:rFonts w:cs="Times New Roman"/>
        </w:rPr>
        <w:t>2.4主要环境保护目标</w:t>
      </w:r>
      <w:bookmarkEnd w:id="116"/>
      <w:bookmarkEnd w:id="117"/>
      <w:bookmarkEnd w:id="118"/>
      <w:bookmarkEnd w:id="119"/>
    </w:p>
    <w:p>
      <w:pPr>
        <w:spacing w:line="360" w:lineRule="auto"/>
        <w:ind w:firstLine="480" w:firstLineChars="200"/>
        <w:rPr>
          <w:sz w:val="24"/>
        </w:rPr>
        <w:sectPr>
          <w:footerReference r:id="rId7" w:type="default"/>
          <w:pgSz w:w="11906" w:h="16838"/>
          <w:pgMar w:top="1440" w:right="1800" w:bottom="1440" w:left="1800" w:header="851" w:footer="992" w:gutter="0"/>
          <w:cols w:space="720" w:num="1"/>
          <w:docGrid w:type="lines" w:linePitch="312" w:charSpace="0"/>
        </w:sectPr>
      </w:pPr>
      <w:bookmarkStart w:id="120" w:name="_Toc233166495"/>
      <w:bookmarkStart w:id="121" w:name="_Toc233120172"/>
      <w:bookmarkStart w:id="122" w:name="_Toc233163317"/>
      <w:bookmarkStart w:id="123" w:name="_Toc230326892"/>
      <w:bookmarkStart w:id="124" w:name="_Toc230399260"/>
      <w:r>
        <w:rPr>
          <w:sz w:val="24"/>
        </w:rPr>
        <w:t>项目位于内蒙古自治区巴彦淖尔市五原县复兴镇</w:t>
      </w:r>
      <w:r>
        <w:rPr>
          <w:rFonts w:hint="eastAsia"/>
          <w:color w:val="0000FF"/>
          <w:sz w:val="24"/>
        </w:rPr>
        <w:t>和胜村五社</w:t>
      </w:r>
      <w:r>
        <w:rPr>
          <w:sz w:val="24"/>
        </w:rPr>
        <w:t>，根据建设单位提供资料及现场踏勘</w:t>
      </w:r>
      <w:bookmarkEnd w:id="120"/>
      <w:bookmarkEnd w:id="121"/>
      <w:bookmarkEnd w:id="122"/>
      <w:bookmarkEnd w:id="123"/>
      <w:bookmarkEnd w:id="124"/>
      <w:r>
        <w:rPr>
          <w:sz w:val="24"/>
        </w:rPr>
        <w:t>和项目所在地区外环境关系分析，确定主要的环境敏感目标。主要环境敏感目标见表2.4-1和图2.4-1。</w:t>
      </w:r>
    </w:p>
    <w:p>
      <w:pPr>
        <w:pStyle w:val="44"/>
        <w:ind w:firstLine="360" w:firstLineChars="150"/>
        <w:jc w:val="center"/>
        <w:rPr>
          <w:rFonts w:cs="Times New Roman"/>
          <w:b/>
          <w:szCs w:val="24"/>
        </w:rPr>
      </w:pPr>
      <w:r>
        <w:rPr>
          <w:rFonts w:cs="Times New Roman"/>
          <w:b/>
          <w:szCs w:val="24"/>
        </w:rPr>
        <w:t>表2.4-1    环境保护目标</w:t>
      </w:r>
    </w:p>
    <w:tbl>
      <w:tblPr>
        <w:tblStyle w:val="87"/>
        <w:tblpPr w:leftFromText="180" w:rightFromText="180" w:vertAnchor="text" w:tblpXSpec="center" w:tblpY="1"/>
        <w:tblOverlap w:val="never"/>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895"/>
        <w:gridCol w:w="2117"/>
        <w:gridCol w:w="2288"/>
        <w:gridCol w:w="1559"/>
        <w:gridCol w:w="797"/>
        <w:gridCol w:w="984"/>
        <w:gridCol w:w="1443"/>
        <w:gridCol w:w="1157"/>
        <w:gridCol w:w="293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316" w:type="pct"/>
            <w:vMerge w:val="restart"/>
            <w:vAlign w:val="center"/>
          </w:tcPr>
          <w:p>
            <w:pPr>
              <w:adjustRightInd w:val="0"/>
              <w:snapToGrid w:val="0"/>
              <w:jc w:val="center"/>
              <w:rPr>
                <w:szCs w:val="21"/>
              </w:rPr>
            </w:pPr>
            <w:r>
              <w:rPr>
                <w:szCs w:val="21"/>
              </w:rPr>
              <w:t>环境要素</w:t>
            </w:r>
          </w:p>
        </w:tc>
        <w:tc>
          <w:tcPr>
            <w:tcW w:w="747" w:type="pct"/>
            <w:vMerge w:val="restart"/>
            <w:vAlign w:val="center"/>
          </w:tcPr>
          <w:p>
            <w:pPr>
              <w:adjustRightInd w:val="0"/>
              <w:snapToGrid w:val="0"/>
              <w:jc w:val="center"/>
              <w:rPr>
                <w:szCs w:val="21"/>
              </w:rPr>
            </w:pPr>
            <w:r>
              <w:rPr>
                <w:szCs w:val="21"/>
              </w:rPr>
              <w:t>评价范围</w:t>
            </w:r>
          </w:p>
        </w:tc>
        <w:tc>
          <w:tcPr>
            <w:tcW w:w="1985" w:type="pct"/>
            <w:gridSpan w:val="4"/>
          </w:tcPr>
          <w:p>
            <w:pPr>
              <w:adjustRightInd w:val="0"/>
              <w:snapToGrid w:val="0"/>
              <w:jc w:val="center"/>
              <w:rPr>
                <w:szCs w:val="21"/>
              </w:rPr>
            </w:pPr>
            <w:r>
              <w:rPr>
                <w:szCs w:val="21"/>
              </w:rPr>
              <w:t>敏感点</w:t>
            </w:r>
          </w:p>
        </w:tc>
        <w:tc>
          <w:tcPr>
            <w:tcW w:w="509" w:type="pct"/>
            <w:vMerge w:val="restart"/>
            <w:vAlign w:val="center"/>
          </w:tcPr>
          <w:p>
            <w:pPr>
              <w:adjustRightInd w:val="0"/>
              <w:snapToGrid w:val="0"/>
              <w:jc w:val="center"/>
              <w:rPr>
                <w:szCs w:val="21"/>
              </w:rPr>
            </w:pPr>
            <w:r>
              <w:rPr>
                <w:szCs w:val="21"/>
              </w:rPr>
              <w:t>最近距离</w:t>
            </w:r>
          </w:p>
        </w:tc>
        <w:tc>
          <w:tcPr>
            <w:tcW w:w="408" w:type="pct"/>
            <w:vMerge w:val="restart"/>
            <w:tcBorders>
              <w:right w:val="single" w:color="auto" w:sz="4" w:space="0"/>
            </w:tcBorders>
            <w:vAlign w:val="center"/>
          </w:tcPr>
          <w:p>
            <w:pPr>
              <w:adjustRightInd w:val="0"/>
              <w:snapToGrid w:val="0"/>
              <w:jc w:val="center"/>
              <w:rPr>
                <w:szCs w:val="21"/>
              </w:rPr>
            </w:pPr>
            <w:r>
              <w:rPr>
                <w:szCs w:val="21"/>
              </w:rPr>
              <w:t>功能区划</w:t>
            </w:r>
          </w:p>
        </w:tc>
        <w:tc>
          <w:tcPr>
            <w:tcW w:w="1035" w:type="pct"/>
            <w:vMerge w:val="restart"/>
            <w:tcBorders>
              <w:left w:val="single" w:color="auto" w:sz="4" w:space="0"/>
            </w:tcBorders>
            <w:vAlign w:val="center"/>
          </w:tcPr>
          <w:p>
            <w:pPr>
              <w:adjustRightInd w:val="0"/>
              <w:snapToGrid w:val="0"/>
              <w:jc w:val="center"/>
              <w:rPr>
                <w:szCs w:val="21"/>
              </w:rPr>
            </w:pPr>
            <w:r>
              <w:rPr>
                <w:szCs w:val="21"/>
              </w:rPr>
              <w:t>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tcPr>
          <w:p>
            <w:pPr>
              <w:adjustRightInd w:val="0"/>
              <w:snapToGrid w:val="0"/>
              <w:jc w:val="center"/>
              <w:rPr>
                <w:szCs w:val="21"/>
              </w:rPr>
            </w:pPr>
            <w:r>
              <w:rPr>
                <w:rFonts w:hint="eastAsia"/>
                <w:szCs w:val="21"/>
              </w:rPr>
              <w:t>坐标</w:t>
            </w:r>
          </w:p>
        </w:tc>
        <w:tc>
          <w:tcPr>
            <w:tcW w:w="550" w:type="pct"/>
            <w:vAlign w:val="center"/>
          </w:tcPr>
          <w:p>
            <w:pPr>
              <w:adjustRightInd w:val="0"/>
              <w:snapToGrid w:val="0"/>
              <w:jc w:val="center"/>
              <w:rPr>
                <w:szCs w:val="21"/>
              </w:rPr>
            </w:pPr>
            <w:r>
              <w:rPr>
                <w:szCs w:val="21"/>
              </w:rPr>
              <w:t>保护对象</w:t>
            </w:r>
          </w:p>
        </w:tc>
        <w:tc>
          <w:tcPr>
            <w:tcW w:w="281" w:type="pct"/>
            <w:vAlign w:val="center"/>
          </w:tcPr>
          <w:p>
            <w:pPr>
              <w:adjustRightInd w:val="0"/>
              <w:snapToGrid w:val="0"/>
              <w:jc w:val="center"/>
              <w:rPr>
                <w:szCs w:val="21"/>
              </w:rPr>
            </w:pPr>
            <w:r>
              <w:rPr>
                <w:szCs w:val="21"/>
              </w:rPr>
              <w:t>户数</w:t>
            </w:r>
          </w:p>
        </w:tc>
        <w:tc>
          <w:tcPr>
            <w:tcW w:w="347" w:type="pct"/>
            <w:vAlign w:val="center"/>
          </w:tcPr>
          <w:p>
            <w:pPr>
              <w:adjustRightInd w:val="0"/>
              <w:snapToGrid w:val="0"/>
              <w:jc w:val="center"/>
              <w:rPr>
                <w:szCs w:val="21"/>
              </w:rPr>
            </w:pPr>
            <w:r>
              <w:rPr>
                <w:szCs w:val="21"/>
              </w:rPr>
              <w:t>人口</w:t>
            </w:r>
          </w:p>
        </w:tc>
        <w:tc>
          <w:tcPr>
            <w:tcW w:w="509" w:type="pct"/>
            <w:vMerge w:val="continue"/>
            <w:vAlign w:val="center"/>
          </w:tcPr>
          <w:p>
            <w:pPr>
              <w:adjustRightInd w:val="0"/>
              <w:snapToGrid w:val="0"/>
              <w:jc w:val="center"/>
              <w:rPr>
                <w:szCs w:val="21"/>
              </w:rPr>
            </w:pP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16" w:type="pct"/>
            <w:vMerge w:val="restart"/>
            <w:vAlign w:val="center"/>
          </w:tcPr>
          <w:p>
            <w:pPr>
              <w:adjustRightInd w:val="0"/>
              <w:snapToGrid w:val="0"/>
              <w:jc w:val="center"/>
              <w:rPr>
                <w:szCs w:val="21"/>
              </w:rPr>
            </w:pPr>
            <w:r>
              <w:rPr>
                <w:szCs w:val="21"/>
              </w:rPr>
              <w:t>环境空气</w:t>
            </w:r>
          </w:p>
        </w:tc>
        <w:tc>
          <w:tcPr>
            <w:tcW w:w="747" w:type="pct"/>
            <w:vMerge w:val="restart"/>
            <w:vAlign w:val="center"/>
          </w:tcPr>
          <w:p>
            <w:pPr>
              <w:adjustRightInd w:val="0"/>
              <w:snapToGrid w:val="0"/>
              <w:jc w:val="center"/>
              <w:rPr>
                <w:szCs w:val="21"/>
              </w:rPr>
            </w:pPr>
            <w:r>
              <w:rPr>
                <w:rFonts w:hint="eastAsia"/>
                <w:szCs w:val="21"/>
              </w:rPr>
              <w:t>评价范围为以厂区为中心，边长5km的矩形区域</w:t>
            </w:r>
          </w:p>
        </w:tc>
        <w:tc>
          <w:tcPr>
            <w:tcW w:w="807" w:type="pct"/>
            <w:vAlign w:val="center"/>
          </w:tcPr>
          <w:p>
            <w:pPr>
              <w:adjustRightInd w:val="0"/>
              <w:snapToGrid w:val="0"/>
              <w:jc w:val="center"/>
              <w:rPr>
                <w:color w:val="FF0000"/>
                <w:szCs w:val="21"/>
              </w:rPr>
            </w:pPr>
            <w:r>
              <w:rPr>
                <w:color w:val="FF0000"/>
                <w:szCs w:val="21"/>
              </w:rPr>
              <w:t>E107.9296,N40.9884</w:t>
            </w:r>
          </w:p>
        </w:tc>
        <w:tc>
          <w:tcPr>
            <w:tcW w:w="550" w:type="pct"/>
            <w:vAlign w:val="center"/>
          </w:tcPr>
          <w:p>
            <w:pPr>
              <w:adjustRightInd w:val="0"/>
              <w:snapToGrid w:val="0"/>
              <w:jc w:val="center"/>
              <w:rPr>
                <w:szCs w:val="21"/>
              </w:rPr>
            </w:pPr>
            <w:r>
              <w:rPr>
                <w:rFonts w:hint="eastAsia"/>
                <w:szCs w:val="21"/>
              </w:rPr>
              <w:t>西樊贵</w:t>
            </w:r>
          </w:p>
        </w:tc>
        <w:tc>
          <w:tcPr>
            <w:tcW w:w="281" w:type="pct"/>
            <w:vAlign w:val="center"/>
          </w:tcPr>
          <w:p>
            <w:pPr>
              <w:adjustRightInd w:val="0"/>
              <w:snapToGrid w:val="0"/>
              <w:jc w:val="center"/>
              <w:rPr>
                <w:szCs w:val="21"/>
              </w:rPr>
            </w:pPr>
            <w:r>
              <w:rPr>
                <w:szCs w:val="21"/>
              </w:rPr>
              <w:t>34</w:t>
            </w:r>
          </w:p>
        </w:tc>
        <w:tc>
          <w:tcPr>
            <w:tcW w:w="347" w:type="pct"/>
            <w:vAlign w:val="center"/>
          </w:tcPr>
          <w:p>
            <w:pPr>
              <w:adjustRightInd w:val="0"/>
              <w:snapToGrid w:val="0"/>
              <w:jc w:val="center"/>
              <w:rPr>
                <w:szCs w:val="21"/>
              </w:rPr>
            </w:pPr>
            <w:r>
              <w:rPr>
                <w:szCs w:val="21"/>
              </w:rPr>
              <w:t>71</w:t>
            </w:r>
          </w:p>
        </w:tc>
        <w:tc>
          <w:tcPr>
            <w:tcW w:w="509" w:type="pct"/>
            <w:vAlign w:val="center"/>
          </w:tcPr>
          <w:p>
            <w:pPr>
              <w:adjustRightInd w:val="0"/>
              <w:snapToGrid w:val="0"/>
              <w:jc w:val="center"/>
              <w:rPr>
                <w:szCs w:val="21"/>
              </w:rPr>
            </w:pPr>
            <w:r>
              <w:rPr>
                <w:szCs w:val="21"/>
              </w:rPr>
              <w:t>SE1.12km</w:t>
            </w:r>
          </w:p>
        </w:tc>
        <w:tc>
          <w:tcPr>
            <w:tcW w:w="408" w:type="pct"/>
            <w:vMerge w:val="restart"/>
            <w:tcBorders>
              <w:right w:val="single" w:color="auto" w:sz="4" w:space="0"/>
            </w:tcBorders>
            <w:vAlign w:val="center"/>
          </w:tcPr>
          <w:p>
            <w:pPr>
              <w:adjustRightInd w:val="0"/>
              <w:snapToGrid w:val="0"/>
              <w:jc w:val="center"/>
              <w:rPr>
                <w:szCs w:val="21"/>
              </w:rPr>
            </w:pPr>
            <w:r>
              <w:rPr>
                <w:szCs w:val="21"/>
              </w:rPr>
              <w:t>二类区</w:t>
            </w:r>
          </w:p>
        </w:tc>
        <w:tc>
          <w:tcPr>
            <w:tcW w:w="1035" w:type="pct"/>
            <w:vMerge w:val="restart"/>
            <w:tcBorders>
              <w:left w:val="single" w:color="auto" w:sz="4" w:space="0"/>
            </w:tcBorders>
            <w:vAlign w:val="center"/>
          </w:tcPr>
          <w:p>
            <w:pPr>
              <w:adjustRightInd w:val="0"/>
              <w:snapToGrid w:val="0"/>
              <w:jc w:val="center"/>
              <w:rPr>
                <w:szCs w:val="21"/>
              </w:rPr>
            </w:pPr>
            <w:r>
              <w:rPr>
                <w:szCs w:val="21"/>
              </w:rPr>
              <w:t>GB3095-2012中二级标准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E107.9457,N40.9922</w:t>
            </w:r>
          </w:p>
        </w:tc>
        <w:tc>
          <w:tcPr>
            <w:tcW w:w="550" w:type="pct"/>
            <w:vAlign w:val="center"/>
          </w:tcPr>
          <w:p>
            <w:pPr>
              <w:adjustRightInd w:val="0"/>
              <w:snapToGrid w:val="0"/>
              <w:jc w:val="center"/>
              <w:rPr>
                <w:szCs w:val="21"/>
              </w:rPr>
            </w:pPr>
            <w:r>
              <w:rPr>
                <w:rFonts w:hint="eastAsia"/>
                <w:szCs w:val="21"/>
              </w:rPr>
              <w:t>东樊贵</w:t>
            </w:r>
          </w:p>
        </w:tc>
        <w:tc>
          <w:tcPr>
            <w:tcW w:w="281" w:type="pct"/>
            <w:vAlign w:val="center"/>
          </w:tcPr>
          <w:p>
            <w:pPr>
              <w:adjustRightInd w:val="0"/>
              <w:snapToGrid w:val="0"/>
              <w:jc w:val="center"/>
              <w:rPr>
                <w:szCs w:val="21"/>
              </w:rPr>
            </w:pPr>
            <w:r>
              <w:rPr>
                <w:szCs w:val="21"/>
              </w:rPr>
              <w:t>10</w:t>
            </w:r>
          </w:p>
        </w:tc>
        <w:tc>
          <w:tcPr>
            <w:tcW w:w="347" w:type="pct"/>
            <w:vAlign w:val="center"/>
          </w:tcPr>
          <w:p>
            <w:pPr>
              <w:adjustRightInd w:val="0"/>
              <w:snapToGrid w:val="0"/>
              <w:jc w:val="center"/>
              <w:rPr>
                <w:szCs w:val="21"/>
              </w:rPr>
            </w:pPr>
            <w:r>
              <w:rPr>
                <w:szCs w:val="21"/>
              </w:rPr>
              <w:t>20</w:t>
            </w:r>
          </w:p>
        </w:tc>
        <w:tc>
          <w:tcPr>
            <w:tcW w:w="509" w:type="pct"/>
            <w:vAlign w:val="center"/>
          </w:tcPr>
          <w:p>
            <w:pPr>
              <w:adjustRightInd w:val="0"/>
              <w:snapToGrid w:val="0"/>
              <w:jc w:val="center"/>
              <w:rPr>
                <w:szCs w:val="21"/>
              </w:rPr>
            </w:pPr>
            <w:r>
              <w:rPr>
                <w:szCs w:val="21"/>
              </w:rPr>
              <w:t>E2.31km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E107.9135,N40.9775</w:t>
            </w:r>
          </w:p>
        </w:tc>
        <w:tc>
          <w:tcPr>
            <w:tcW w:w="550" w:type="pct"/>
            <w:vAlign w:val="center"/>
          </w:tcPr>
          <w:p>
            <w:pPr>
              <w:adjustRightInd w:val="0"/>
              <w:snapToGrid w:val="0"/>
              <w:jc w:val="center"/>
              <w:rPr>
                <w:szCs w:val="21"/>
              </w:rPr>
            </w:pPr>
            <w:r>
              <w:rPr>
                <w:rFonts w:hint="eastAsia"/>
                <w:szCs w:val="21"/>
              </w:rPr>
              <w:t>大牛圪旦</w:t>
            </w:r>
          </w:p>
        </w:tc>
        <w:tc>
          <w:tcPr>
            <w:tcW w:w="281" w:type="pct"/>
            <w:vAlign w:val="center"/>
          </w:tcPr>
          <w:p>
            <w:pPr>
              <w:adjustRightInd w:val="0"/>
              <w:snapToGrid w:val="0"/>
              <w:jc w:val="center"/>
              <w:rPr>
                <w:szCs w:val="21"/>
              </w:rPr>
            </w:pPr>
            <w:r>
              <w:rPr>
                <w:szCs w:val="21"/>
              </w:rPr>
              <w:t>73</w:t>
            </w:r>
          </w:p>
        </w:tc>
        <w:tc>
          <w:tcPr>
            <w:tcW w:w="347" w:type="pct"/>
            <w:vAlign w:val="center"/>
          </w:tcPr>
          <w:p>
            <w:pPr>
              <w:adjustRightInd w:val="0"/>
              <w:snapToGrid w:val="0"/>
              <w:jc w:val="center"/>
              <w:rPr>
                <w:szCs w:val="21"/>
              </w:rPr>
            </w:pPr>
            <w:r>
              <w:rPr>
                <w:szCs w:val="21"/>
              </w:rPr>
              <w:t>156</w:t>
            </w:r>
          </w:p>
        </w:tc>
        <w:tc>
          <w:tcPr>
            <w:tcW w:w="509" w:type="pct"/>
            <w:vAlign w:val="center"/>
          </w:tcPr>
          <w:p>
            <w:pPr>
              <w:adjustRightInd w:val="0"/>
              <w:snapToGrid w:val="0"/>
              <w:jc w:val="center"/>
              <w:rPr>
                <w:szCs w:val="21"/>
              </w:rPr>
            </w:pPr>
            <w:r>
              <w:rPr>
                <w:szCs w:val="21"/>
              </w:rPr>
              <w:t>SW1.59km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E107.8955,N40.9767</w:t>
            </w:r>
          </w:p>
        </w:tc>
        <w:tc>
          <w:tcPr>
            <w:tcW w:w="550" w:type="pct"/>
            <w:vAlign w:val="center"/>
          </w:tcPr>
          <w:p>
            <w:pPr>
              <w:adjustRightInd w:val="0"/>
              <w:snapToGrid w:val="0"/>
              <w:jc w:val="center"/>
              <w:rPr>
                <w:szCs w:val="21"/>
              </w:rPr>
            </w:pPr>
            <w:r>
              <w:rPr>
                <w:rFonts w:hint="eastAsia"/>
                <w:szCs w:val="21"/>
              </w:rPr>
              <w:t>三牛圪旦</w:t>
            </w:r>
          </w:p>
        </w:tc>
        <w:tc>
          <w:tcPr>
            <w:tcW w:w="281" w:type="pct"/>
            <w:vAlign w:val="center"/>
          </w:tcPr>
          <w:p>
            <w:pPr>
              <w:adjustRightInd w:val="0"/>
              <w:snapToGrid w:val="0"/>
              <w:jc w:val="center"/>
              <w:rPr>
                <w:szCs w:val="21"/>
              </w:rPr>
            </w:pPr>
            <w:r>
              <w:rPr>
                <w:rFonts w:hint="eastAsia"/>
                <w:szCs w:val="21"/>
              </w:rPr>
              <w:t>5</w:t>
            </w:r>
          </w:p>
        </w:tc>
        <w:tc>
          <w:tcPr>
            <w:tcW w:w="347" w:type="pct"/>
            <w:vAlign w:val="center"/>
          </w:tcPr>
          <w:p>
            <w:pPr>
              <w:adjustRightInd w:val="0"/>
              <w:snapToGrid w:val="0"/>
              <w:jc w:val="center"/>
              <w:rPr>
                <w:szCs w:val="21"/>
              </w:rPr>
            </w:pPr>
            <w:r>
              <w:rPr>
                <w:rFonts w:hint="eastAsia"/>
                <w:szCs w:val="21"/>
              </w:rPr>
              <w:t>1</w:t>
            </w:r>
            <w:r>
              <w:rPr>
                <w:szCs w:val="21"/>
              </w:rPr>
              <w:t>0</w:t>
            </w:r>
          </w:p>
        </w:tc>
        <w:tc>
          <w:tcPr>
            <w:tcW w:w="509" w:type="pct"/>
            <w:vAlign w:val="center"/>
          </w:tcPr>
          <w:p>
            <w:pPr>
              <w:adjustRightInd w:val="0"/>
              <w:snapToGrid w:val="0"/>
              <w:jc w:val="center"/>
              <w:rPr>
                <w:szCs w:val="21"/>
              </w:rPr>
            </w:pPr>
            <w:r>
              <w:rPr>
                <w:szCs w:val="21"/>
              </w:rPr>
              <w:t>SW2.38km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E107.8967,N41.0017</w:t>
            </w:r>
          </w:p>
        </w:tc>
        <w:tc>
          <w:tcPr>
            <w:tcW w:w="550" w:type="pct"/>
            <w:vAlign w:val="center"/>
          </w:tcPr>
          <w:p>
            <w:pPr>
              <w:adjustRightInd w:val="0"/>
              <w:snapToGrid w:val="0"/>
              <w:jc w:val="center"/>
              <w:rPr>
                <w:szCs w:val="21"/>
              </w:rPr>
            </w:pPr>
            <w:r>
              <w:rPr>
                <w:rFonts w:hint="eastAsia"/>
                <w:szCs w:val="21"/>
              </w:rPr>
              <w:t>李柜</w:t>
            </w:r>
          </w:p>
        </w:tc>
        <w:tc>
          <w:tcPr>
            <w:tcW w:w="281" w:type="pct"/>
            <w:vAlign w:val="center"/>
          </w:tcPr>
          <w:p>
            <w:pPr>
              <w:adjustRightInd w:val="0"/>
              <w:snapToGrid w:val="0"/>
              <w:jc w:val="center"/>
              <w:rPr>
                <w:szCs w:val="21"/>
              </w:rPr>
            </w:pPr>
            <w:r>
              <w:rPr>
                <w:szCs w:val="21"/>
              </w:rPr>
              <w:t>43</w:t>
            </w:r>
          </w:p>
        </w:tc>
        <w:tc>
          <w:tcPr>
            <w:tcW w:w="347" w:type="pct"/>
            <w:vAlign w:val="center"/>
          </w:tcPr>
          <w:p>
            <w:pPr>
              <w:adjustRightInd w:val="0"/>
              <w:snapToGrid w:val="0"/>
              <w:jc w:val="center"/>
              <w:rPr>
                <w:szCs w:val="21"/>
              </w:rPr>
            </w:pPr>
            <w:r>
              <w:rPr>
                <w:szCs w:val="21"/>
              </w:rPr>
              <w:t>88</w:t>
            </w:r>
          </w:p>
        </w:tc>
        <w:tc>
          <w:tcPr>
            <w:tcW w:w="509" w:type="pct"/>
            <w:vAlign w:val="center"/>
          </w:tcPr>
          <w:p>
            <w:pPr>
              <w:adjustRightInd w:val="0"/>
              <w:snapToGrid w:val="0"/>
              <w:jc w:val="center"/>
              <w:rPr>
                <w:szCs w:val="21"/>
              </w:rPr>
            </w:pPr>
            <w:r>
              <w:rPr>
                <w:szCs w:val="21"/>
              </w:rPr>
              <w:t>NW1.82km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E107.9099,N41.0014</w:t>
            </w:r>
          </w:p>
        </w:tc>
        <w:tc>
          <w:tcPr>
            <w:tcW w:w="550" w:type="pct"/>
            <w:vAlign w:val="center"/>
          </w:tcPr>
          <w:p>
            <w:pPr>
              <w:adjustRightInd w:val="0"/>
              <w:snapToGrid w:val="0"/>
              <w:jc w:val="center"/>
              <w:rPr>
                <w:szCs w:val="21"/>
              </w:rPr>
            </w:pPr>
            <w:r>
              <w:rPr>
                <w:rFonts w:hint="eastAsia"/>
                <w:szCs w:val="21"/>
              </w:rPr>
              <w:t>金联村</w:t>
            </w:r>
          </w:p>
        </w:tc>
        <w:tc>
          <w:tcPr>
            <w:tcW w:w="281" w:type="pct"/>
            <w:vAlign w:val="center"/>
          </w:tcPr>
          <w:p>
            <w:pPr>
              <w:adjustRightInd w:val="0"/>
              <w:snapToGrid w:val="0"/>
              <w:jc w:val="center"/>
              <w:rPr>
                <w:szCs w:val="21"/>
              </w:rPr>
            </w:pPr>
            <w:r>
              <w:rPr>
                <w:rFonts w:hint="eastAsia"/>
                <w:szCs w:val="21"/>
              </w:rPr>
              <w:t>102</w:t>
            </w:r>
          </w:p>
        </w:tc>
        <w:tc>
          <w:tcPr>
            <w:tcW w:w="347" w:type="pct"/>
            <w:vAlign w:val="center"/>
          </w:tcPr>
          <w:p>
            <w:pPr>
              <w:adjustRightInd w:val="0"/>
              <w:snapToGrid w:val="0"/>
              <w:jc w:val="center"/>
              <w:rPr>
                <w:szCs w:val="21"/>
              </w:rPr>
            </w:pPr>
            <w:r>
              <w:rPr>
                <w:rFonts w:hint="eastAsia"/>
                <w:szCs w:val="21"/>
              </w:rPr>
              <w:t>212</w:t>
            </w:r>
          </w:p>
        </w:tc>
        <w:tc>
          <w:tcPr>
            <w:tcW w:w="509" w:type="pct"/>
            <w:vAlign w:val="center"/>
          </w:tcPr>
          <w:p>
            <w:pPr>
              <w:adjustRightInd w:val="0"/>
              <w:snapToGrid w:val="0"/>
              <w:jc w:val="center"/>
              <w:rPr>
                <w:szCs w:val="21"/>
              </w:rPr>
            </w:pPr>
            <w:r>
              <w:rPr>
                <w:rFonts w:hint="eastAsia"/>
                <w:szCs w:val="21"/>
              </w:rPr>
              <w:t>N</w:t>
            </w:r>
            <w:r>
              <w:rPr>
                <w:szCs w:val="21"/>
              </w:rPr>
              <w:t>W0.84km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E107.9278,N41.0085</w:t>
            </w:r>
          </w:p>
        </w:tc>
        <w:tc>
          <w:tcPr>
            <w:tcW w:w="550" w:type="pct"/>
            <w:vAlign w:val="center"/>
          </w:tcPr>
          <w:p>
            <w:pPr>
              <w:adjustRightInd w:val="0"/>
              <w:snapToGrid w:val="0"/>
              <w:jc w:val="center"/>
              <w:rPr>
                <w:szCs w:val="21"/>
              </w:rPr>
            </w:pPr>
            <w:r>
              <w:rPr>
                <w:rFonts w:hint="eastAsia"/>
                <w:szCs w:val="21"/>
              </w:rPr>
              <w:t>李三柜</w:t>
            </w:r>
          </w:p>
        </w:tc>
        <w:tc>
          <w:tcPr>
            <w:tcW w:w="281" w:type="pct"/>
            <w:vAlign w:val="center"/>
          </w:tcPr>
          <w:p>
            <w:pPr>
              <w:adjustRightInd w:val="0"/>
              <w:snapToGrid w:val="0"/>
              <w:jc w:val="center"/>
              <w:rPr>
                <w:szCs w:val="21"/>
              </w:rPr>
            </w:pPr>
            <w:r>
              <w:rPr>
                <w:szCs w:val="21"/>
              </w:rPr>
              <w:t>90</w:t>
            </w:r>
          </w:p>
        </w:tc>
        <w:tc>
          <w:tcPr>
            <w:tcW w:w="347" w:type="pct"/>
            <w:vAlign w:val="center"/>
          </w:tcPr>
          <w:p>
            <w:pPr>
              <w:adjustRightInd w:val="0"/>
              <w:snapToGrid w:val="0"/>
              <w:jc w:val="center"/>
              <w:rPr>
                <w:szCs w:val="21"/>
              </w:rPr>
            </w:pPr>
            <w:r>
              <w:rPr>
                <w:szCs w:val="21"/>
              </w:rPr>
              <w:t>180</w:t>
            </w:r>
          </w:p>
        </w:tc>
        <w:tc>
          <w:tcPr>
            <w:tcW w:w="509" w:type="pct"/>
            <w:vAlign w:val="center"/>
          </w:tcPr>
          <w:p>
            <w:pPr>
              <w:adjustRightInd w:val="0"/>
              <w:snapToGrid w:val="0"/>
              <w:jc w:val="center"/>
              <w:rPr>
                <w:szCs w:val="21"/>
              </w:rPr>
            </w:pPr>
            <w:r>
              <w:rPr>
                <w:szCs w:val="21"/>
              </w:rPr>
              <w:t>NE</w:t>
            </w:r>
            <w:r>
              <w:rPr>
                <w:rFonts w:hint="eastAsia"/>
                <w:szCs w:val="21"/>
              </w:rPr>
              <w:t>1.66km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E107.9381,N40.9755</w:t>
            </w:r>
          </w:p>
        </w:tc>
        <w:tc>
          <w:tcPr>
            <w:tcW w:w="550" w:type="pct"/>
            <w:vAlign w:val="center"/>
          </w:tcPr>
          <w:p>
            <w:pPr>
              <w:adjustRightInd w:val="0"/>
              <w:snapToGrid w:val="0"/>
              <w:jc w:val="center"/>
              <w:rPr>
                <w:szCs w:val="21"/>
              </w:rPr>
            </w:pPr>
            <w:r>
              <w:rPr>
                <w:rFonts w:hint="eastAsia"/>
                <w:szCs w:val="21"/>
              </w:rPr>
              <w:t>陈双鱼</w:t>
            </w:r>
          </w:p>
        </w:tc>
        <w:tc>
          <w:tcPr>
            <w:tcW w:w="281" w:type="pct"/>
            <w:vAlign w:val="center"/>
          </w:tcPr>
          <w:p>
            <w:pPr>
              <w:adjustRightInd w:val="0"/>
              <w:snapToGrid w:val="0"/>
              <w:jc w:val="center"/>
              <w:rPr>
                <w:szCs w:val="21"/>
              </w:rPr>
            </w:pPr>
            <w:r>
              <w:rPr>
                <w:rFonts w:hint="eastAsia"/>
                <w:szCs w:val="21"/>
              </w:rPr>
              <w:t>3</w:t>
            </w:r>
            <w:r>
              <w:rPr>
                <w:szCs w:val="21"/>
              </w:rPr>
              <w:t>0</w:t>
            </w:r>
          </w:p>
        </w:tc>
        <w:tc>
          <w:tcPr>
            <w:tcW w:w="347" w:type="pct"/>
            <w:vAlign w:val="center"/>
          </w:tcPr>
          <w:p>
            <w:pPr>
              <w:adjustRightInd w:val="0"/>
              <w:snapToGrid w:val="0"/>
              <w:jc w:val="center"/>
              <w:rPr>
                <w:szCs w:val="21"/>
              </w:rPr>
            </w:pPr>
            <w:r>
              <w:rPr>
                <w:szCs w:val="21"/>
              </w:rPr>
              <w:t>55</w:t>
            </w:r>
          </w:p>
        </w:tc>
        <w:tc>
          <w:tcPr>
            <w:tcW w:w="509" w:type="pct"/>
            <w:vAlign w:val="center"/>
          </w:tcPr>
          <w:p>
            <w:pPr>
              <w:adjustRightInd w:val="0"/>
              <w:snapToGrid w:val="0"/>
              <w:jc w:val="center"/>
              <w:rPr>
                <w:szCs w:val="21"/>
              </w:rPr>
            </w:pPr>
            <w:r>
              <w:rPr>
                <w:szCs w:val="21"/>
              </w:rPr>
              <w:t>SE2.41km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E107.8873,N41.0135</w:t>
            </w:r>
          </w:p>
        </w:tc>
        <w:tc>
          <w:tcPr>
            <w:tcW w:w="550" w:type="pct"/>
            <w:vAlign w:val="center"/>
          </w:tcPr>
          <w:p>
            <w:pPr>
              <w:adjustRightInd w:val="0"/>
              <w:snapToGrid w:val="0"/>
              <w:jc w:val="center"/>
              <w:rPr>
                <w:szCs w:val="21"/>
              </w:rPr>
            </w:pPr>
            <w:r>
              <w:rPr>
                <w:rFonts w:hint="eastAsia"/>
                <w:szCs w:val="21"/>
              </w:rPr>
              <w:t>常子营圪旦</w:t>
            </w:r>
          </w:p>
        </w:tc>
        <w:tc>
          <w:tcPr>
            <w:tcW w:w="281" w:type="pct"/>
            <w:vAlign w:val="center"/>
          </w:tcPr>
          <w:p>
            <w:pPr>
              <w:adjustRightInd w:val="0"/>
              <w:snapToGrid w:val="0"/>
              <w:jc w:val="center"/>
              <w:rPr>
                <w:szCs w:val="21"/>
              </w:rPr>
            </w:pPr>
            <w:r>
              <w:rPr>
                <w:szCs w:val="21"/>
              </w:rPr>
              <w:t>11</w:t>
            </w:r>
          </w:p>
        </w:tc>
        <w:tc>
          <w:tcPr>
            <w:tcW w:w="347" w:type="pct"/>
            <w:vAlign w:val="center"/>
          </w:tcPr>
          <w:p>
            <w:pPr>
              <w:adjustRightInd w:val="0"/>
              <w:snapToGrid w:val="0"/>
              <w:jc w:val="center"/>
              <w:rPr>
                <w:szCs w:val="21"/>
              </w:rPr>
            </w:pPr>
            <w:r>
              <w:rPr>
                <w:szCs w:val="21"/>
              </w:rPr>
              <w:t>23</w:t>
            </w:r>
          </w:p>
        </w:tc>
        <w:tc>
          <w:tcPr>
            <w:tcW w:w="509" w:type="pct"/>
            <w:vAlign w:val="center"/>
          </w:tcPr>
          <w:p>
            <w:pPr>
              <w:adjustRightInd w:val="0"/>
              <w:snapToGrid w:val="0"/>
              <w:jc w:val="center"/>
              <w:rPr>
                <w:szCs w:val="21"/>
              </w:rPr>
            </w:pPr>
            <w:r>
              <w:rPr>
                <w:szCs w:val="21"/>
              </w:rPr>
              <w:t>NW3.18km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53" w:hRule="atLeast"/>
        </w:trPr>
        <w:tc>
          <w:tcPr>
            <w:tcW w:w="316" w:type="pct"/>
            <w:vMerge w:val="continue"/>
            <w:vAlign w:val="center"/>
          </w:tcPr>
          <w:p>
            <w:pPr>
              <w:adjustRightInd w:val="0"/>
              <w:snapToGrid w:val="0"/>
              <w:jc w:val="center"/>
              <w:rPr>
                <w:szCs w:val="21"/>
              </w:rPr>
            </w:pPr>
          </w:p>
        </w:tc>
        <w:tc>
          <w:tcPr>
            <w:tcW w:w="747" w:type="pct"/>
            <w:vMerge w:val="continue"/>
            <w:vAlign w:val="center"/>
          </w:tcPr>
          <w:p>
            <w:pPr>
              <w:adjustRightInd w:val="0"/>
              <w:snapToGrid w:val="0"/>
              <w:jc w:val="center"/>
              <w:rPr>
                <w:szCs w:val="21"/>
              </w:rPr>
            </w:pPr>
          </w:p>
        </w:tc>
        <w:tc>
          <w:tcPr>
            <w:tcW w:w="807" w:type="pct"/>
            <w:vAlign w:val="center"/>
          </w:tcPr>
          <w:p>
            <w:pPr>
              <w:adjustRightInd w:val="0"/>
              <w:snapToGrid w:val="0"/>
              <w:jc w:val="center"/>
              <w:rPr>
                <w:color w:val="FF0000"/>
                <w:szCs w:val="21"/>
              </w:rPr>
            </w:pPr>
            <w:r>
              <w:rPr>
                <w:color w:val="FF0000"/>
                <w:szCs w:val="21"/>
              </w:rPr>
              <w:t>E107.9099,N40.9939</w:t>
            </w:r>
          </w:p>
        </w:tc>
        <w:tc>
          <w:tcPr>
            <w:tcW w:w="550" w:type="pct"/>
            <w:vAlign w:val="center"/>
          </w:tcPr>
          <w:p>
            <w:pPr>
              <w:adjustRightInd w:val="0"/>
              <w:snapToGrid w:val="0"/>
              <w:jc w:val="center"/>
              <w:rPr>
                <w:color w:val="FF0000"/>
                <w:szCs w:val="21"/>
              </w:rPr>
            </w:pPr>
            <w:r>
              <w:rPr>
                <w:rFonts w:hint="eastAsia"/>
                <w:color w:val="FF0000"/>
                <w:szCs w:val="21"/>
              </w:rPr>
              <w:t>李建国家（现已租赁作为养殖场）</w:t>
            </w:r>
          </w:p>
        </w:tc>
        <w:tc>
          <w:tcPr>
            <w:tcW w:w="281" w:type="pct"/>
            <w:vAlign w:val="center"/>
          </w:tcPr>
          <w:p>
            <w:pPr>
              <w:adjustRightInd w:val="0"/>
              <w:snapToGrid w:val="0"/>
              <w:jc w:val="center"/>
              <w:rPr>
                <w:color w:val="FF0000"/>
                <w:szCs w:val="21"/>
              </w:rPr>
            </w:pPr>
            <w:r>
              <w:rPr>
                <w:color w:val="FF0000"/>
                <w:szCs w:val="21"/>
              </w:rPr>
              <w:t>1</w:t>
            </w:r>
          </w:p>
        </w:tc>
        <w:tc>
          <w:tcPr>
            <w:tcW w:w="347" w:type="pct"/>
            <w:vAlign w:val="center"/>
          </w:tcPr>
          <w:p>
            <w:pPr>
              <w:adjustRightInd w:val="0"/>
              <w:snapToGrid w:val="0"/>
              <w:jc w:val="center"/>
              <w:rPr>
                <w:color w:val="FF0000"/>
                <w:szCs w:val="21"/>
              </w:rPr>
            </w:pPr>
            <w:r>
              <w:rPr>
                <w:rFonts w:hint="eastAsia"/>
                <w:color w:val="FF0000"/>
                <w:szCs w:val="21"/>
              </w:rPr>
              <w:t>2</w:t>
            </w:r>
          </w:p>
        </w:tc>
        <w:tc>
          <w:tcPr>
            <w:tcW w:w="509" w:type="pct"/>
            <w:vAlign w:val="center"/>
          </w:tcPr>
          <w:p>
            <w:pPr>
              <w:adjustRightInd w:val="0"/>
              <w:snapToGrid w:val="0"/>
              <w:jc w:val="center"/>
              <w:rPr>
                <w:color w:val="FF0000"/>
                <w:szCs w:val="21"/>
              </w:rPr>
            </w:pPr>
            <w:r>
              <w:rPr>
                <w:color w:val="FF0000"/>
                <w:szCs w:val="21"/>
              </w:rPr>
              <w:t>W580</w:t>
            </w:r>
            <w:r>
              <w:rPr>
                <w:rFonts w:hint="eastAsia"/>
                <w:color w:val="FF0000"/>
                <w:szCs w:val="21"/>
              </w:rPr>
              <w:t>m</w:t>
            </w:r>
          </w:p>
        </w:tc>
        <w:tc>
          <w:tcPr>
            <w:tcW w:w="408" w:type="pct"/>
            <w:vMerge w:val="continue"/>
            <w:tcBorders>
              <w:right w:val="single" w:color="auto" w:sz="4" w:space="0"/>
            </w:tcBorders>
            <w:vAlign w:val="center"/>
          </w:tcPr>
          <w:p>
            <w:pPr>
              <w:adjustRightInd w:val="0"/>
              <w:snapToGrid w:val="0"/>
              <w:jc w:val="center"/>
              <w:rPr>
                <w:szCs w:val="21"/>
              </w:rPr>
            </w:pPr>
          </w:p>
        </w:tc>
        <w:tc>
          <w:tcPr>
            <w:tcW w:w="1035" w:type="pct"/>
            <w:vMerge w:val="continue"/>
            <w:tcBorders>
              <w:left w:val="single" w:color="auto" w:sz="4" w:space="0"/>
            </w:tcBorders>
            <w:vAlign w:val="center"/>
          </w:tcPr>
          <w:p>
            <w:pPr>
              <w:adjustRightInd w:val="0"/>
              <w:snapToGrid w:val="0"/>
              <w:jc w:val="center"/>
              <w:rPr>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316" w:type="pct"/>
            <w:vAlign w:val="center"/>
          </w:tcPr>
          <w:p>
            <w:pPr>
              <w:adjustRightInd w:val="0"/>
              <w:snapToGrid w:val="0"/>
              <w:jc w:val="center"/>
              <w:rPr>
                <w:szCs w:val="21"/>
              </w:rPr>
            </w:pPr>
            <w:r>
              <w:rPr>
                <w:szCs w:val="21"/>
              </w:rPr>
              <w:t>声环境</w:t>
            </w:r>
          </w:p>
        </w:tc>
        <w:tc>
          <w:tcPr>
            <w:tcW w:w="747" w:type="pct"/>
            <w:vAlign w:val="center"/>
          </w:tcPr>
          <w:p>
            <w:pPr>
              <w:adjustRightInd w:val="0"/>
              <w:snapToGrid w:val="0"/>
              <w:jc w:val="center"/>
              <w:rPr>
                <w:szCs w:val="21"/>
              </w:rPr>
            </w:pPr>
            <w:r>
              <w:rPr>
                <w:szCs w:val="21"/>
              </w:rPr>
              <w:t>填埋场边界周围外扩200m范围内区域</w:t>
            </w:r>
          </w:p>
        </w:tc>
        <w:tc>
          <w:tcPr>
            <w:tcW w:w="1985" w:type="pct"/>
            <w:gridSpan w:val="4"/>
            <w:vAlign w:val="center"/>
          </w:tcPr>
          <w:p>
            <w:pPr>
              <w:adjustRightInd w:val="0"/>
              <w:snapToGrid w:val="0"/>
              <w:jc w:val="center"/>
              <w:rPr>
                <w:szCs w:val="21"/>
              </w:rPr>
            </w:pPr>
            <w:r>
              <w:rPr>
                <w:szCs w:val="21"/>
              </w:rPr>
              <w:t>无敏感点</w:t>
            </w:r>
          </w:p>
        </w:tc>
        <w:tc>
          <w:tcPr>
            <w:tcW w:w="509" w:type="pct"/>
            <w:vAlign w:val="center"/>
          </w:tcPr>
          <w:p>
            <w:pPr>
              <w:adjustRightInd w:val="0"/>
              <w:snapToGrid w:val="0"/>
              <w:jc w:val="center"/>
              <w:rPr>
                <w:szCs w:val="21"/>
              </w:rPr>
            </w:pPr>
            <w:r>
              <w:rPr>
                <w:szCs w:val="21"/>
              </w:rPr>
              <w:t>—</w:t>
            </w:r>
          </w:p>
        </w:tc>
        <w:tc>
          <w:tcPr>
            <w:tcW w:w="408" w:type="pct"/>
            <w:tcBorders>
              <w:right w:val="single" w:color="auto" w:sz="4" w:space="0"/>
            </w:tcBorders>
            <w:vAlign w:val="center"/>
          </w:tcPr>
          <w:p>
            <w:pPr>
              <w:adjustRightInd w:val="0"/>
              <w:snapToGrid w:val="0"/>
              <w:jc w:val="center"/>
              <w:rPr>
                <w:color w:val="FF0000"/>
                <w:szCs w:val="21"/>
              </w:rPr>
            </w:pPr>
            <w:r>
              <w:rPr>
                <w:rFonts w:hint="eastAsia"/>
                <w:color w:val="FF0000"/>
                <w:szCs w:val="21"/>
              </w:rPr>
              <w:t>二</w:t>
            </w:r>
            <w:r>
              <w:rPr>
                <w:color w:val="FF0000"/>
                <w:szCs w:val="21"/>
              </w:rPr>
              <w:t>类区</w:t>
            </w:r>
          </w:p>
        </w:tc>
        <w:tc>
          <w:tcPr>
            <w:tcW w:w="1035" w:type="pct"/>
            <w:tcBorders>
              <w:left w:val="single" w:color="auto" w:sz="4" w:space="0"/>
            </w:tcBorders>
            <w:vAlign w:val="center"/>
          </w:tcPr>
          <w:p>
            <w:pPr>
              <w:adjustRightInd w:val="0"/>
              <w:snapToGrid w:val="0"/>
              <w:jc w:val="center"/>
              <w:rPr>
                <w:color w:val="FF0000"/>
                <w:szCs w:val="21"/>
              </w:rPr>
            </w:pPr>
            <w:r>
              <w:rPr>
                <w:color w:val="FF0000"/>
                <w:szCs w:val="21"/>
              </w:rPr>
              <w:t>GB3096-2008中2类标准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81" w:hRule="atLeast"/>
        </w:trPr>
        <w:tc>
          <w:tcPr>
            <w:tcW w:w="316" w:type="pct"/>
            <w:vAlign w:val="center"/>
          </w:tcPr>
          <w:p>
            <w:pPr>
              <w:adjustRightInd w:val="0"/>
              <w:snapToGrid w:val="0"/>
              <w:jc w:val="center"/>
              <w:rPr>
                <w:szCs w:val="21"/>
              </w:rPr>
            </w:pPr>
            <w:r>
              <w:rPr>
                <w:rFonts w:hint="eastAsia"/>
                <w:szCs w:val="21"/>
              </w:rPr>
              <w:t>土壤环境</w:t>
            </w:r>
          </w:p>
        </w:tc>
        <w:tc>
          <w:tcPr>
            <w:tcW w:w="747" w:type="pct"/>
            <w:vAlign w:val="center"/>
          </w:tcPr>
          <w:p>
            <w:pPr>
              <w:adjustRightInd w:val="0"/>
              <w:snapToGrid w:val="0"/>
              <w:jc w:val="center"/>
              <w:rPr>
                <w:szCs w:val="21"/>
              </w:rPr>
            </w:pPr>
            <w:r>
              <w:rPr>
                <w:rFonts w:hint="eastAsia"/>
                <w:szCs w:val="21"/>
              </w:rPr>
              <w:t>厂界外200m范围内</w:t>
            </w:r>
          </w:p>
        </w:tc>
        <w:tc>
          <w:tcPr>
            <w:tcW w:w="1985" w:type="pct"/>
            <w:gridSpan w:val="4"/>
            <w:vAlign w:val="center"/>
          </w:tcPr>
          <w:p>
            <w:pPr>
              <w:adjustRightInd w:val="0"/>
              <w:snapToGrid w:val="0"/>
              <w:jc w:val="center"/>
              <w:rPr>
                <w:szCs w:val="21"/>
              </w:rPr>
            </w:pPr>
            <w:r>
              <w:rPr>
                <w:rFonts w:hint="eastAsia"/>
                <w:szCs w:val="21"/>
              </w:rPr>
              <w:t>耕地</w:t>
            </w:r>
          </w:p>
        </w:tc>
        <w:tc>
          <w:tcPr>
            <w:tcW w:w="509" w:type="pct"/>
            <w:vAlign w:val="center"/>
          </w:tcPr>
          <w:p>
            <w:pPr>
              <w:adjustRightInd w:val="0"/>
              <w:snapToGrid w:val="0"/>
              <w:jc w:val="center"/>
              <w:rPr>
                <w:szCs w:val="21"/>
              </w:rPr>
            </w:pPr>
            <w:r>
              <w:rPr>
                <w:rFonts w:hint="eastAsia"/>
                <w:szCs w:val="21"/>
              </w:rPr>
              <w:t>相邻</w:t>
            </w:r>
          </w:p>
        </w:tc>
        <w:tc>
          <w:tcPr>
            <w:tcW w:w="408" w:type="pct"/>
            <w:tcBorders>
              <w:right w:val="single" w:color="auto" w:sz="4" w:space="0"/>
            </w:tcBorders>
            <w:vAlign w:val="center"/>
          </w:tcPr>
          <w:p>
            <w:pPr>
              <w:adjustRightInd w:val="0"/>
              <w:snapToGrid w:val="0"/>
              <w:jc w:val="center"/>
              <w:rPr>
                <w:szCs w:val="21"/>
              </w:rPr>
            </w:pPr>
            <w:r>
              <w:rPr>
                <w:rFonts w:hint="eastAsia"/>
                <w:szCs w:val="21"/>
              </w:rPr>
              <w:t>农用地</w:t>
            </w:r>
          </w:p>
        </w:tc>
        <w:tc>
          <w:tcPr>
            <w:tcW w:w="1035" w:type="pct"/>
            <w:tcBorders>
              <w:left w:val="single" w:color="auto" w:sz="4" w:space="0"/>
            </w:tcBorders>
            <w:vAlign w:val="center"/>
          </w:tcPr>
          <w:p>
            <w:pPr>
              <w:adjustRightInd w:val="0"/>
              <w:snapToGrid w:val="0"/>
              <w:jc w:val="center"/>
              <w:rPr>
                <w:szCs w:val="21"/>
              </w:rPr>
            </w:pPr>
            <w:r>
              <w:rPr>
                <w:rFonts w:hint="eastAsia"/>
                <w:szCs w:val="21"/>
              </w:rPr>
              <w:t>《土壤环境质量农用地土壤污染风险管控标准（试行）》（GB15618-2018）风险筛选值。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316" w:type="pct"/>
            <w:vAlign w:val="center"/>
          </w:tcPr>
          <w:p>
            <w:pPr>
              <w:adjustRightInd w:val="0"/>
              <w:snapToGrid w:val="0"/>
              <w:jc w:val="center"/>
              <w:rPr>
                <w:szCs w:val="21"/>
              </w:rPr>
            </w:pPr>
            <w:r>
              <w:rPr>
                <w:szCs w:val="21"/>
              </w:rPr>
              <w:t>生态环境</w:t>
            </w:r>
          </w:p>
        </w:tc>
        <w:tc>
          <w:tcPr>
            <w:tcW w:w="747" w:type="pct"/>
            <w:vAlign w:val="center"/>
          </w:tcPr>
          <w:p>
            <w:pPr>
              <w:adjustRightInd w:val="0"/>
              <w:snapToGrid w:val="0"/>
              <w:jc w:val="center"/>
              <w:rPr>
                <w:kern w:val="0"/>
                <w:szCs w:val="21"/>
              </w:rPr>
            </w:pPr>
            <w:r>
              <w:rPr>
                <w:szCs w:val="21"/>
              </w:rPr>
              <w:t>场区及场界外1km范围内</w:t>
            </w:r>
          </w:p>
        </w:tc>
        <w:tc>
          <w:tcPr>
            <w:tcW w:w="1985" w:type="pct"/>
            <w:gridSpan w:val="4"/>
            <w:vAlign w:val="center"/>
          </w:tcPr>
          <w:p>
            <w:pPr>
              <w:adjustRightInd w:val="0"/>
              <w:snapToGrid w:val="0"/>
              <w:jc w:val="center"/>
              <w:rPr>
                <w:szCs w:val="21"/>
              </w:rPr>
            </w:pPr>
            <w:r>
              <w:rPr>
                <w:rFonts w:hint="eastAsia"/>
                <w:szCs w:val="21"/>
              </w:rPr>
              <w:t>评价范围</w:t>
            </w:r>
            <w:r>
              <w:rPr>
                <w:szCs w:val="21"/>
              </w:rPr>
              <w:t>内</w:t>
            </w:r>
            <w:r>
              <w:rPr>
                <w:rFonts w:hint="eastAsia"/>
                <w:szCs w:val="21"/>
              </w:rPr>
              <w:t>耕地</w:t>
            </w:r>
            <w:r>
              <w:rPr>
                <w:szCs w:val="21"/>
              </w:rPr>
              <w:t>、土地资源、野生动物、土壤等</w:t>
            </w:r>
          </w:p>
        </w:tc>
        <w:tc>
          <w:tcPr>
            <w:tcW w:w="509" w:type="pct"/>
            <w:vAlign w:val="center"/>
          </w:tcPr>
          <w:p>
            <w:pPr>
              <w:adjustRightInd w:val="0"/>
              <w:snapToGrid w:val="0"/>
              <w:jc w:val="center"/>
              <w:rPr>
                <w:szCs w:val="21"/>
              </w:rPr>
            </w:pPr>
            <w:r>
              <w:rPr>
                <w:szCs w:val="21"/>
              </w:rPr>
              <w:t>—</w:t>
            </w:r>
          </w:p>
        </w:tc>
        <w:tc>
          <w:tcPr>
            <w:tcW w:w="408" w:type="pct"/>
            <w:tcBorders>
              <w:right w:val="single" w:color="auto" w:sz="4" w:space="0"/>
            </w:tcBorders>
            <w:vAlign w:val="center"/>
          </w:tcPr>
          <w:p>
            <w:pPr>
              <w:adjustRightInd w:val="0"/>
              <w:snapToGrid w:val="0"/>
              <w:jc w:val="center"/>
              <w:rPr>
                <w:szCs w:val="21"/>
              </w:rPr>
            </w:pPr>
            <w:r>
              <w:rPr>
                <w:rFonts w:hint="eastAsia"/>
                <w:lang w:bidi="en-US"/>
              </w:rPr>
              <w:t>河套平原灌溉生态功能区</w:t>
            </w:r>
          </w:p>
        </w:tc>
        <w:tc>
          <w:tcPr>
            <w:tcW w:w="1035" w:type="pct"/>
            <w:tcBorders>
              <w:left w:val="single" w:color="auto" w:sz="4" w:space="0"/>
            </w:tcBorders>
            <w:vAlign w:val="center"/>
          </w:tcPr>
          <w:p>
            <w:pPr>
              <w:adjustRightInd w:val="0"/>
              <w:snapToGrid w:val="0"/>
              <w:jc w:val="center"/>
              <w:rPr>
                <w:szCs w:val="21"/>
              </w:rPr>
            </w:pPr>
            <w:r>
              <w:rPr>
                <w:szCs w:val="21"/>
              </w:rPr>
              <w:t>——</w:t>
            </w:r>
          </w:p>
        </w:tc>
      </w:tr>
    </w:tbl>
    <w:p>
      <w:pPr>
        <w:pStyle w:val="44"/>
        <w:ind w:firstLine="360" w:firstLineChars="150"/>
        <w:jc w:val="center"/>
        <w:rPr>
          <w:rFonts w:cs="Times New Roman"/>
          <w:b/>
          <w:szCs w:val="24"/>
        </w:rPr>
      </w:pPr>
    </w:p>
    <w:p>
      <w:pPr>
        <w:pStyle w:val="44"/>
        <w:ind w:firstLine="360" w:firstLineChars="150"/>
        <w:jc w:val="center"/>
        <w:rPr>
          <w:rFonts w:cs="Times New Roman"/>
          <w:b/>
          <w:szCs w:val="24"/>
        </w:rPr>
      </w:pPr>
      <w:r>
        <w:rPr>
          <w:rFonts w:hint="eastAsia" w:cs="Times New Roman"/>
          <w:b/>
          <w:szCs w:val="24"/>
        </w:rPr>
        <w:t>表</w:t>
      </w:r>
      <w:r>
        <w:rPr>
          <w:rFonts w:cs="Times New Roman"/>
          <w:b/>
          <w:szCs w:val="24"/>
        </w:rPr>
        <w:t>2.4-2 评价区地下水保护目标</w:t>
      </w:r>
    </w:p>
    <w:tbl>
      <w:tblPr>
        <w:tblStyle w:val="2244"/>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11"/>
        <w:gridCol w:w="2624"/>
        <w:gridCol w:w="2870"/>
        <w:gridCol w:w="1435"/>
        <w:gridCol w:w="2613"/>
        <w:gridCol w:w="1908"/>
        <w:gridCol w:w="18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序号</w:t>
            </w:r>
          </w:p>
        </w:tc>
        <w:tc>
          <w:tcPr>
            <w:tcW w:w="938"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名称</w:t>
            </w:r>
          </w:p>
        </w:tc>
        <w:tc>
          <w:tcPr>
            <w:tcW w:w="1026"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方位及距离（m）</w:t>
            </w:r>
          </w:p>
        </w:tc>
        <w:tc>
          <w:tcPr>
            <w:tcW w:w="51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井深（m）</w:t>
            </w:r>
          </w:p>
        </w:tc>
        <w:tc>
          <w:tcPr>
            <w:tcW w:w="93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取水层位</w:t>
            </w:r>
          </w:p>
        </w:tc>
        <w:tc>
          <w:tcPr>
            <w:tcW w:w="682"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水井用途</w:t>
            </w:r>
          </w:p>
        </w:tc>
        <w:tc>
          <w:tcPr>
            <w:tcW w:w="65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供水人口（人）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000" w:type="pct"/>
            <w:gridSpan w:val="7"/>
            <w:vAlign w:val="center"/>
          </w:tcPr>
          <w:p>
            <w:pPr>
              <w:adjustRightInd w:val="0"/>
              <w:snapToGrid w:val="0"/>
              <w:jc w:val="center"/>
              <w:rPr>
                <w:rFonts w:ascii="Calibri" w:hAnsi="Calibri"/>
                <w:b/>
                <w:kern w:val="0"/>
                <w:szCs w:val="21"/>
                <w:lang w:eastAsia="en-US"/>
              </w:rPr>
            </w:pPr>
            <w:r>
              <w:rPr>
                <w:rFonts w:ascii="Calibri" w:hAnsi="Calibri"/>
                <w:b/>
                <w:kern w:val="0"/>
                <w:szCs w:val="21"/>
                <w:lang w:eastAsia="en-US"/>
              </w:rPr>
              <w:t>分散式水源井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1</w:t>
            </w:r>
          </w:p>
        </w:tc>
        <w:tc>
          <w:tcPr>
            <w:tcW w:w="938"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李柜村水井</w:t>
            </w:r>
          </w:p>
        </w:tc>
        <w:tc>
          <w:tcPr>
            <w:tcW w:w="1026"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NW1747（侧向）</w:t>
            </w:r>
          </w:p>
        </w:tc>
        <w:tc>
          <w:tcPr>
            <w:tcW w:w="51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26</w:t>
            </w:r>
          </w:p>
        </w:tc>
        <w:tc>
          <w:tcPr>
            <w:tcW w:w="934" w:type="pct"/>
            <w:vAlign w:val="center"/>
          </w:tcPr>
          <w:p>
            <w:pPr>
              <w:adjustRightInd w:val="0"/>
              <w:snapToGrid w:val="0"/>
              <w:jc w:val="center"/>
              <w:rPr>
                <w:rFonts w:ascii="Calibri" w:hAnsi="Calibri"/>
                <w:kern w:val="0"/>
                <w:szCs w:val="21"/>
                <w:vertAlign w:val="subscript"/>
                <w:lang w:eastAsia="en-US"/>
              </w:rPr>
            </w:pPr>
            <w:r>
              <w:rPr>
                <w:rFonts w:ascii="Calibri" w:hAnsi="Calibri"/>
                <w:kern w:val="0"/>
                <w:szCs w:val="21"/>
                <w:lang w:eastAsia="en-US"/>
              </w:rPr>
              <w:t>Q</w:t>
            </w:r>
            <w:r>
              <w:rPr>
                <w:rFonts w:ascii="Calibri" w:hAnsi="Calibri"/>
                <w:kern w:val="0"/>
                <w:szCs w:val="21"/>
                <w:vertAlign w:val="subscript"/>
                <w:lang w:eastAsia="en-US"/>
              </w:rPr>
              <w:t>3-4</w:t>
            </w:r>
          </w:p>
        </w:tc>
        <w:tc>
          <w:tcPr>
            <w:tcW w:w="682"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生活饮用</w:t>
            </w:r>
          </w:p>
        </w:tc>
        <w:tc>
          <w:tcPr>
            <w:tcW w:w="65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2</w:t>
            </w:r>
          </w:p>
        </w:tc>
        <w:tc>
          <w:tcPr>
            <w:tcW w:w="938"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金联村水井</w:t>
            </w:r>
          </w:p>
        </w:tc>
        <w:tc>
          <w:tcPr>
            <w:tcW w:w="1026"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NW864（下游）</w:t>
            </w:r>
          </w:p>
        </w:tc>
        <w:tc>
          <w:tcPr>
            <w:tcW w:w="51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25</w:t>
            </w:r>
          </w:p>
        </w:tc>
        <w:tc>
          <w:tcPr>
            <w:tcW w:w="93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Q</w:t>
            </w:r>
            <w:r>
              <w:rPr>
                <w:rFonts w:ascii="Calibri" w:hAnsi="Calibri"/>
                <w:kern w:val="0"/>
                <w:szCs w:val="21"/>
                <w:vertAlign w:val="subscript"/>
                <w:lang w:eastAsia="en-US"/>
              </w:rPr>
              <w:t>3-4</w:t>
            </w:r>
          </w:p>
        </w:tc>
        <w:tc>
          <w:tcPr>
            <w:tcW w:w="682"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生活饮用</w:t>
            </w:r>
          </w:p>
        </w:tc>
        <w:tc>
          <w:tcPr>
            <w:tcW w:w="65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212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3</w:t>
            </w:r>
          </w:p>
        </w:tc>
        <w:tc>
          <w:tcPr>
            <w:tcW w:w="938"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李</w:t>
            </w:r>
            <w:r>
              <w:rPr>
                <w:rFonts w:hint="eastAsia" w:ascii="Calibri" w:hAnsi="Calibri"/>
                <w:kern w:val="0"/>
                <w:szCs w:val="21"/>
                <w:lang w:eastAsia="en-US"/>
              </w:rPr>
              <w:t>三</w:t>
            </w:r>
            <w:r>
              <w:rPr>
                <w:rFonts w:ascii="Calibri" w:hAnsi="Calibri"/>
                <w:kern w:val="0"/>
                <w:szCs w:val="21"/>
                <w:lang w:eastAsia="en-US"/>
              </w:rPr>
              <w:t>柜村水井</w:t>
            </w:r>
          </w:p>
        </w:tc>
        <w:tc>
          <w:tcPr>
            <w:tcW w:w="1026"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NE1735（下游）</w:t>
            </w:r>
          </w:p>
        </w:tc>
        <w:tc>
          <w:tcPr>
            <w:tcW w:w="51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30</w:t>
            </w:r>
          </w:p>
        </w:tc>
        <w:tc>
          <w:tcPr>
            <w:tcW w:w="93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Q</w:t>
            </w:r>
            <w:r>
              <w:rPr>
                <w:rFonts w:ascii="Calibri" w:hAnsi="Calibri"/>
                <w:kern w:val="0"/>
                <w:szCs w:val="21"/>
                <w:vertAlign w:val="subscript"/>
                <w:lang w:eastAsia="en-US"/>
              </w:rPr>
              <w:t>3-4</w:t>
            </w:r>
          </w:p>
        </w:tc>
        <w:tc>
          <w:tcPr>
            <w:tcW w:w="682"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生活饮用</w:t>
            </w:r>
          </w:p>
        </w:tc>
        <w:tc>
          <w:tcPr>
            <w:tcW w:w="65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180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4</w:t>
            </w:r>
          </w:p>
        </w:tc>
        <w:tc>
          <w:tcPr>
            <w:tcW w:w="938"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三牛圪旦村水井</w:t>
            </w:r>
          </w:p>
        </w:tc>
        <w:tc>
          <w:tcPr>
            <w:tcW w:w="1026"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SW2230（上游）</w:t>
            </w:r>
          </w:p>
        </w:tc>
        <w:tc>
          <w:tcPr>
            <w:tcW w:w="51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30</w:t>
            </w:r>
          </w:p>
        </w:tc>
        <w:tc>
          <w:tcPr>
            <w:tcW w:w="93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Q</w:t>
            </w:r>
            <w:r>
              <w:rPr>
                <w:rFonts w:ascii="Calibri" w:hAnsi="Calibri"/>
                <w:kern w:val="0"/>
                <w:szCs w:val="21"/>
                <w:vertAlign w:val="subscript"/>
                <w:lang w:eastAsia="en-US"/>
              </w:rPr>
              <w:t>3-4</w:t>
            </w:r>
          </w:p>
        </w:tc>
        <w:tc>
          <w:tcPr>
            <w:tcW w:w="682"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生活饮用</w:t>
            </w:r>
          </w:p>
        </w:tc>
        <w:tc>
          <w:tcPr>
            <w:tcW w:w="65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5</w:t>
            </w:r>
          </w:p>
        </w:tc>
        <w:tc>
          <w:tcPr>
            <w:tcW w:w="938"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大牛圪旦村水井</w:t>
            </w:r>
          </w:p>
        </w:tc>
        <w:tc>
          <w:tcPr>
            <w:tcW w:w="1026"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S1494（上游）</w:t>
            </w:r>
          </w:p>
        </w:tc>
        <w:tc>
          <w:tcPr>
            <w:tcW w:w="51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31</w:t>
            </w:r>
          </w:p>
        </w:tc>
        <w:tc>
          <w:tcPr>
            <w:tcW w:w="93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Q</w:t>
            </w:r>
            <w:r>
              <w:rPr>
                <w:rFonts w:ascii="Calibri" w:hAnsi="Calibri"/>
                <w:kern w:val="0"/>
                <w:szCs w:val="21"/>
                <w:vertAlign w:val="subscript"/>
                <w:lang w:eastAsia="en-US"/>
              </w:rPr>
              <w:t>3-4</w:t>
            </w:r>
          </w:p>
        </w:tc>
        <w:tc>
          <w:tcPr>
            <w:tcW w:w="682"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生活饮用</w:t>
            </w:r>
          </w:p>
        </w:tc>
        <w:tc>
          <w:tcPr>
            <w:tcW w:w="65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156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6</w:t>
            </w:r>
          </w:p>
        </w:tc>
        <w:tc>
          <w:tcPr>
            <w:tcW w:w="938"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西樊贵村水井</w:t>
            </w:r>
          </w:p>
        </w:tc>
        <w:tc>
          <w:tcPr>
            <w:tcW w:w="1026"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SE843（上游）</w:t>
            </w:r>
          </w:p>
        </w:tc>
        <w:tc>
          <w:tcPr>
            <w:tcW w:w="51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28</w:t>
            </w:r>
          </w:p>
        </w:tc>
        <w:tc>
          <w:tcPr>
            <w:tcW w:w="93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Q</w:t>
            </w:r>
            <w:r>
              <w:rPr>
                <w:rFonts w:ascii="Calibri" w:hAnsi="Calibri"/>
                <w:kern w:val="0"/>
                <w:szCs w:val="21"/>
                <w:vertAlign w:val="subscript"/>
                <w:lang w:eastAsia="en-US"/>
              </w:rPr>
              <w:t>3-4</w:t>
            </w:r>
          </w:p>
        </w:tc>
        <w:tc>
          <w:tcPr>
            <w:tcW w:w="682"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生活饮用</w:t>
            </w:r>
          </w:p>
        </w:tc>
        <w:tc>
          <w:tcPr>
            <w:tcW w:w="65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7</w:t>
            </w:r>
          </w:p>
        </w:tc>
        <w:tc>
          <w:tcPr>
            <w:tcW w:w="938"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永丰村水井</w:t>
            </w:r>
          </w:p>
        </w:tc>
        <w:tc>
          <w:tcPr>
            <w:tcW w:w="1026"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E2261（侧向）</w:t>
            </w:r>
          </w:p>
        </w:tc>
        <w:tc>
          <w:tcPr>
            <w:tcW w:w="51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25</w:t>
            </w:r>
          </w:p>
        </w:tc>
        <w:tc>
          <w:tcPr>
            <w:tcW w:w="93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Q</w:t>
            </w:r>
            <w:r>
              <w:rPr>
                <w:rFonts w:ascii="Calibri" w:hAnsi="Calibri"/>
                <w:kern w:val="0"/>
                <w:szCs w:val="21"/>
                <w:vertAlign w:val="subscript"/>
                <w:lang w:eastAsia="en-US"/>
              </w:rPr>
              <w:t>3-4</w:t>
            </w:r>
          </w:p>
        </w:tc>
        <w:tc>
          <w:tcPr>
            <w:tcW w:w="682"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生活饮用</w:t>
            </w:r>
          </w:p>
        </w:tc>
        <w:tc>
          <w:tcPr>
            <w:tcW w:w="653"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270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54" w:type="pct"/>
            <w:vAlign w:val="center"/>
          </w:tcPr>
          <w:p>
            <w:pPr>
              <w:adjustRightInd w:val="0"/>
              <w:snapToGrid w:val="0"/>
              <w:jc w:val="center"/>
              <w:rPr>
                <w:rFonts w:ascii="Calibri" w:hAnsi="Calibri"/>
                <w:kern w:val="0"/>
                <w:szCs w:val="21"/>
                <w:lang w:eastAsia="en-US"/>
              </w:rPr>
            </w:pPr>
            <w:r>
              <w:rPr>
                <w:rFonts w:ascii="Calibri" w:hAnsi="Calibri"/>
                <w:kern w:val="0"/>
                <w:szCs w:val="21"/>
                <w:lang w:eastAsia="en-US"/>
              </w:rPr>
              <w:t>8</w:t>
            </w:r>
          </w:p>
        </w:tc>
        <w:tc>
          <w:tcPr>
            <w:tcW w:w="938" w:type="pct"/>
            <w:vAlign w:val="center"/>
          </w:tcPr>
          <w:p>
            <w:pPr>
              <w:adjustRightInd w:val="0"/>
              <w:snapToGrid w:val="0"/>
              <w:jc w:val="center"/>
              <w:rPr>
                <w:rFonts w:ascii="Calibri" w:hAnsi="Calibri"/>
                <w:color w:val="FF0000"/>
                <w:kern w:val="0"/>
                <w:szCs w:val="21"/>
                <w:lang w:eastAsia="en-US"/>
              </w:rPr>
            </w:pPr>
            <w:r>
              <w:rPr>
                <w:rFonts w:ascii="Calibri" w:hAnsi="Calibri"/>
                <w:color w:val="FF0000"/>
                <w:kern w:val="0"/>
                <w:szCs w:val="21"/>
                <w:lang w:eastAsia="en-US"/>
              </w:rPr>
              <w:t>李建国家水井</w:t>
            </w:r>
          </w:p>
        </w:tc>
        <w:tc>
          <w:tcPr>
            <w:tcW w:w="1026" w:type="pct"/>
            <w:vAlign w:val="center"/>
          </w:tcPr>
          <w:p>
            <w:pPr>
              <w:adjustRightInd w:val="0"/>
              <w:snapToGrid w:val="0"/>
              <w:jc w:val="center"/>
              <w:rPr>
                <w:rFonts w:ascii="Calibri" w:hAnsi="Calibri"/>
                <w:color w:val="FF0000"/>
                <w:kern w:val="0"/>
                <w:szCs w:val="21"/>
                <w:lang w:eastAsia="en-US"/>
              </w:rPr>
            </w:pPr>
            <w:r>
              <w:rPr>
                <w:rFonts w:ascii="Calibri" w:hAnsi="Calibri"/>
                <w:color w:val="FF0000"/>
                <w:kern w:val="0"/>
                <w:szCs w:val="21"/>
                <w:lang w:eastAsia="en-US"/>
              </w:rPr>
              <w:t>W580（侧向）</w:t>
            </w:r>
          </w:p>
        </w:tc>
        <w:tc>
          <w:tcPr>
            <w:tcW w:w="513" w:type="pct"/>
            <w:vAlign w:val="center"/>
          </w:tcPr>
          <w:p>
            <w:pPr>
              <w:adjustRightInd w:val="0"/>
              <w:snapToGrid w:val="0"/>
              <w:jc w:val="center"/>
              <w:rPr>
                <w:rFonts w:ascii="Calibri" w:hAnsi="Calibri"/>
                <w:kern w:val="0"/>
                <w:szCs w:val="21"/>
                <w:lang w:eastAsia="en-US"/>
              </w:rPr>
            </w:pPr>
            <w:r>
              <w:rPr>
                <w:rFonts w:ascii="Calibri" w:hAnsi="Calibri"/>
                <w:szCs w:val="21"/>
                <w:lang w:eastAsia="en-US"/>
              </w:rPr>
              <w:t>13</w:t>
            </w:r>
          </w:p>
        </w:tc>
        <w:tc>
          <w:tcPr>
            <w:tcW w:w="934" w:type="pct"/>
            <w:vAlign w:val="center"/>
          </w:tcPr>
          <w:p>
            <w:pPr>
              <w:adjustRightInd w:val="0"/>
              <w:snapToGrid w:val="0"/>
              <w:jc w:val="center"/>
              <w:rPr>
                <w:rFonts w:ascii="Calibri" w:hAnsi="Calibri"/>
                <w:kern w:val="0"/>
                <w:szCs w:val="21"/>
                <w:lang w:eastAsia="en-US"/>
              </w:rPr>
            </w:pPr>
            <w:r>
              <w:rPr>
                <w:rFonts w:ascii="Calibri" w:hAnsi="Calibri"/>
                <w:szCs w:val="21"/>
                <w:lang w:eastAsia="en-US"/>
              </w:rPr>
              <w:t>Q3-4</w:t>
            </w:r>
          </w:p>
        </w:tc>
        <w:tc>
          <w:tcPr>
            <w:tcW w:w="682" w:type="pct"/>
            <w:vAlign w:val="center"/>
          </w:tcPr>
          <w:p>
            <w:pPr>
              <w:adjustRightInd w:val="0"/>
              <w:snapToGrid w:val="0"/>
              <w:jc w:val="center"/>
              <w:rPr>
                <w:rFonts w:ascii="Calibri" w:hAnsi="Calibri"/>
                <w:kern w:val="0"/>
                <w:szCs w:val="21"/>
                <w:lang w:eastAsia="en-US"/>
              </w:rPr>
            </w:pPr>
            <w:r>
              <w:rPr>
                <w:rFonts w:ascii="Calibri" w:hAnsi="Calibri"/>
                <w:color w:val="FF0000"/>
                <w:szCs w:val="21"/>
                <w:lang w:eastAsia="en-US"/>
              </w:rPr>
              <w:t>生活饮用</w:t>
            </w:r>
            <w:r>
              <w:rPr>
                <w:rFonts w:hint="eastAsia" w:ascii="Calibri" w:hAnsi="Calibri"/>
                <w:color w:val="FF0000"/>
                <w:szCs w:val="21"/>
                <w:lang w:eastAsia="en-US"/>
              </w:rPr>
              <w:t>、养羊</w:t>
            </w:r>
          </w:p>
        </w:tc>
        <w:tc>
          <w:tcPr>
            <w:tcW w:w="653" w:type="pct"/>
            <w:vAlign w:val="center"/>
          </w:tcPr>
          <w:p>
            <w:pPr>
              <w:adjustRightInd w:val="0"/>
              <w:snapToGrid w:val="0"/>
              <w:jc w:val="center"/>
              <w:rPr>
                <w:rFonts w:ascii="Calibri" w:hAnsi="Calibri"/>
                <w:kern w:val="0"/>
                <w:szCs w:val="21"/>
                <w:lang w:eastAsia="en-US"/>
              </w:rPr>
            </w:pPr>
            <w:r>
              <w:rPr>
                <w:rFonts w:ascii="Calibri" w:hAnsi="Calibri"/>
                <w:color w:val="FF0000"/>
                <w:kern w:val="0"/>
                <w:szCs w:val="21"/>
                <w:lang w:eastAsia="en-US"/>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000" w:type="pct"/>
            <w:gridSpan w:val="7"/>
            <w:vAlign w:val="center"/>
          </w:tcPr>
          <w:p>
            <w:pPr>
              <w:adjustRightInd w:val="0"/>
              <w:snapToGrid w:val="0"/>
              <w:jc w:val="center"/>
              <w:rPr>
                <w:rFonts w:ascii="Calibri" w:hAnsi="Calibri"/>
                <w:b/>
                <w:kern w:val="0"/>
                <w:szCs w:val="21"/>
                <w:lang w:eastAsia="en-US"/>
              </w:rPr>
            </w:pPr>
            <w:r>
              <w:rPr>
                <w:rFonts w:ascii="Calibri" w:hAnsi="Calibri"/>
                <w:b/>
                <w:kern w:val="0"/>
                <w:szCs w:val="21"/>
                <w:lang w:eastAsia="en-US"/>
              </w:rPr>
              <w:t>含水层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5000" w:type="pct"/>
            <w:gridSpan w:val="7"/>
            <w:vAlign w:val="center"/>
          </w:tcPr>
          <w:p>
            <w:pPr>
              <w:adjustRightInd w:val="0"/>
              <w:snapToGrid w:val="0"/>
              <w:jc w:val="center"/>
              <w:rPr>
                <w:rFonts w:ascii="Calibri" w:hAnsi="Calibri"/>
                <w:spacing w:val="12"/>
                <w:kern w:val="0"/>
                <w:szCs w:val="21"/>
                <w:lang w:eastAsia="zh-CN"/>
              </w:rPr>
            </w:pPr>
            <w:r>
              <w:rPr>
                <w:rFonts w:ascii="Calibri" w:hAnsi="Calibri"/>
                <w:kern w:val="0"/>
                <w:szCs w:val="21"/>
                <w:lang w:eastAsia="zh-CN"/>
              </w:rPr>
              <w:t>上更新统至全新统松散岩类孔隙水含水层</w:t>
            </w:r>
          </w:p>
        </w:tc>
      </w:tr>
    </w:tbl>
    <w:p>
      <w:pPr>
        <w:pStyle w:val="44"/>
        <w:ind w:firstLine="360" w:firstLineChars="150"/>
        <w:jc w:val="center"/>
        <w:rPr>
          <w:rFonts w:cs="Times New Roman"/>
          <w:b/>
          <w:szCs w:val="24"/>
        </w:rPr>
      </w:pPr>
    </w:p>
    <w:p>
      <w:pPr>
        <w:pStyle w:val="44"/>
        <w:ind w:firstLine="360" w:firstLineChars="150"/>
        <w:jc w:val="center"/>
        <w:rPr>
          <w:rFonts w:cs="Times New Roman"/>
          <w:b/>
          <w:szCs w:val="24"/>
        </w:rPr>
      </w:pPr>
    </w:p>
    <w:p>
      <w:pPr>
        <w:pStyle w:val="2235"/>
        <w:ind w:firstLine="480"/>
        <w:sectPr>
          <w:pgSz w:w="16838" w:h="11906" w:orient="landscape"/>
          <w:pgMar w:top="1797" w:right="1440" w:bottom="1797" w:left="1440" w:header="851" w:footer="992" w:gutter="0"/>
          <w:cols w:space="720" w:num="1"/>
          <w:docGrid w:type="linesAndChars" w:linePitch="312" w:charSpace="0"/>
        </w:sectPr>
      </w:pPr>
    </w:p>
    <w:p>
      <w:pPr>
        <w:pStyle w:val="2235"/>
        <w:tabs>
          <w:tab w:val="left" w:pos="1260"/>
        </w:tabs>
        <w:ind w:firstLine="480"/>
        <w:jc w:val="center"/>
      </w:pPr>
      <w:r>
        <mc:AlternateContent>
          <mc:Choice Requires="wps">
            <w:drawing>
              <wp:anchor distT="0" distB="0" distL="114300" distR="114300" simplePos="0" relativeHeight="251703296" behindDoc="0" locked="0" layoutInCell="1" allowOverlap="1">
                <wp:simplePos x="0" y="0"/>
                <wp:positionH relativeFrom="margin">
                  <wp:posOffset>3838575</wp:posOffset>
                </wp:positionH>
                <wp:positionV relativeFrom="paragraph">
                  <wp:posOffset>2640330</wp:posOffset>
                </wp:positionV>
                <wp:extent cx="1104900" cy="61912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104900" cy="619125"/>
                        </a:xfrm>
                        <a:prstGeom prst="rect">
                          <a:avLst/>
                        </a:prstGeom>
                        <a:noFill/>
                        <a:ln w="6350">
                          <a:noFill/>
                        </a:ln>
                      </wps:spPr>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李</w:t>
                            </w:r>
                            <w:r>
                              <w:rPr>
                                <w:color w:val="FFFFFF" w:themeColor="background1"/>
                                <w14:textFill>
                                  <w14:solidFill>
                                    <w14:schemeClr w14:val="bg1"/>
                                  </w14:solidFill>
                                </w14:textFill>
                              </w:rPr>
                              <w:t>建国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25pt;margin-top:207.9pt;height:48.75pt;width:87pt;mso-position-horizontal-relative:margin;z-index:251703296;mso-width-relative:page;mso-height-relative:page;" filled="f" stroked="f" coordsize="21600,21600" o:gfxdata="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v525h3AAAAAsBAAAPAAAAAAAAAAEAIAAAACIAAABk&#10;cnMvZG93bnJldi54bWxQSwECFAAUAAAACACHTuJA5LIDkDsCAABoBAAADgAAAAAAAAABACAAAAAr&#10;AQAAZHJzL2Uyb0RvYy54bWxQSwUGAAAAAAYABgBZAQAA2A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李</w:t>
                      </w:r>
                      <w:r>
                        <w:rPr>
                          <w:color w:val="FFFFFF" w:themeColor="background1"/>
                          <w14:textFill>
                            <w14:solidFill>
                              <w14:schemeClr w14:val="bg1"/>
                            </w14:solidFill>
                          </w14:textFill>
                        </w:rPr>
                        <w:t>建国</w:t>
                      </w:r>
                    </w:p>
                  </w:txbxContent>
                </v:textbox>
              </v:shape>
            </w:pict>
          </mc:Fallback>
        </mc:AlternateContent>
      </w:r>
      <w:r>
        <mc:AlternateContent>
          <mc:Choice Requires="wps">
            <w:drawing>
              <wp:anchor distT="0" distB="0" distL="114300" distR="114300" simplePos="0" relativeHeight="251702272" behindDoc="0" locked="0" layoutInCell="1" allowOverlap="1">
                <wp:simplePos x="0" y="0"/>
                <wp:positionH relativeFrom="margin">
                  <wp:posOffset>4203065</wp:posOffset>
                </wp:positionH>
                <wp:positionV relativeFrom="paragraph">
                  <wp:posOffset>2487930</wp:posOffset>
                </wp:positionV>
                <wp:extent cx="161925" cy="161925"/>
                <wp:effectExtent l="19050" t="19050" r="47625" b="28575"/>
                <wp:wrapNone/>
                <wp:docPr id="5" name="等腰三角形 5"/>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30.95pt;margin-top:195.9pt;height:12.75pt;width:12.75pt;mso-position-horizontal-relative:margin;z-index:251702272;v-text-anchor:middle;mso-width-relative:page;mso-height-relative:page;" fillcolor="#F937CF" filled="t" stroked="t" coordsize="21600,21600" o:gfxdata="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NHkL89cAAAALAQAADwAAAAAAAAABACAAAAAiAAAAZHJzL2Rvd25yZXYueG1sUEsBAhQAFAAA&#10;AAgAh07iQFd4796bAgAALwUAAA4AAAAAAAAAAQAgAAAAJgEAAGRycy9lMm9Eb2MueG1sUEsFBgAA&#10;AAAGAAYAWQEAADMGAAAAAA==&#10;" adj="10800">
                <v:fill on="t" focussize="0,0"/>
                <v:stroke weight="1pt" color="#41719C" miterlimit="8" joinstyle="miter"/>
                <v:imagedata o:title=""/>
                <o:lock v:ext="edit" aspectratio="f"/>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3686175</wp:posOffset>
                </wp:positionH>
                <wp:positionV relativeFrom="paragraph">
                  <wp:posOffset>4983480</wp:posOffset>
                </wp:positionV>
                <wp:extent cx="2247900" cy="285750"/>
                <wp:effectExtent l="0" t="0" r="19050" b="19050"/>
                <wp:wrapNone/>
                <wp:docPr id="312" name="文本框 312"/>
                <wp:cNvGraphicFramePr/>
                <a:graphic xmlns:a="http://schemas.openxmlformats.org/drawingml/2006/main">
                  <a:graphicData uri="http://schemas.microsoft.com/office/word/2010/wordprocessingShape">
                    <wps:wsp>
                      <wps:cNvSpPr txBox="1"/>
                      <wps:spPr>
                        <a:xfrm>
                          <a:off x="0" y="0"/>
                          <a:ext cx="2247900" cy="285750"/>
                        </a:xfrm>
                        <a:prstGeom prst="rect">
                          <a:avLst/>
                        </a:prstGeom>
                        <a:solidFill>
                          <a:schemeClr val="lt1"/>
                        </a:solidFill>
                        <a:ln w="6350">
                          <a:solidFill>
                            <a:prstClr val="black"/>
                          </a:solidFill>
                        </a:ln>
                      </wps:spPr>
                      <wps:txbx>
                        <w:txbxContent>
                          <w:p>
                            <w:pPr>
                              <w:rPr>
                                <w:b/>
                              </w:rPr>
                            </w:pPr>
                            <w:r>
                              <w:rPr>
                                <w:rFonts w:hint="eastAsia"/>
                                <w:b/>
                              </w:rPr>
                              <w:t xml:space="preserve">图2.4-1 </w:t>
                            </w:r>
                            <w:r>
                              <w:rPr>
                                <w:b/>
                              </w:rPr>
                              <w:t>评价范围及环保目标图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25pt;margin-top:392.4pt;height:22.5pt;width:177pt;z-index:251701248;mso-width-relative:page;mso-height-relative:page;" fillcolor="#FFFFFF [3201]" filled="t" stroked="t" coordsize="21600,21600" o:gfxdata="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TH6s&#10;Z9gAAAALAQAADwAAAAAAAAABACAAAAAiAAAAZHJzL2Rvd25yZXYueG1sUEsBAhQAFAAAAAgAh07i&#10;QIAmvDdbAgAAuwQAAA4AAAAAAAAAAQAgAAAAJwEAAGRycy9lMm9Eb2MueG1sUEsFBgAAAAAGAAYA&#10;WQEAAPQFAAAAAA==&#10;">
                <v:fill on="t" focussize="0,0"/>
                <v:stroke weight="0.5pt" color="#000000" joinstyle="round"/>
                <v:imagedata o:title=""/>
                <o:lock v:ext="edit" aspectratio="f"/>
                <v:textbox>
                  <w:txbxContent>
                    <w:p>
                      <w:pPr>
                        <w:rPr>
                          <w:b/>
                        </w:rPr>
                      </w:pPr>
                      <w:r>
                        <w:rPr>
                          <w:rFonts w:hint="eastAsia"/>
                          <w:b/>
                        </w:rPr>
                        <w:t xml:space="preserve">图2.4-1 </w:t>
                      </w:r>
                      <w:r>
                        <w:rPr>
                          <w:b/>
                        </w:rPr>
                        <w:t>评价范围及环保目标图</w:t>
                      </w: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margin">
                  <wp:posOffset>2295525</wp:posOffset>
                </wp:positionH>
                <wp:positionV relativeFrom="paragraph">
                  <wp:posOffset>639445</wp:posOffset>
                </wp:positionV>
                <wp:extent cx="161925" cy="161925"/>
                <wp:effectExtent l="19050" t="19050" r="47625" b="28575"/>
                <wp:wrapNone/>
                <wp:docPr id="310" name="等腰三角形 310"/>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80.75pt;margin-top:50.35pt;height:12.75pt;width:12.75pt;mso-position-horizontal-relative:margin;z-index:251699200;v-text-anchor:middle;mso-width-relative:page;mso-height-relative:page;" fillcolor="#F937CF" filled="t" stroked="t" coordsize="21600,21600" o:gfxdata="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M1u&#10;UkbWAAAACwEAAA8AAAAAAAAAAQAgAAAAIgAAAGRycy9kb3ducmV2LnhtbFBLAQIUABQAAAAIAIdO&#10;4kCipkMQlwIAACUFAAAOAAAAAAAAAAEAIAAAACUBAABkcnMvZTJvRG9jLnhtbFBLBQYAAAAABgAG&#10;AFkBAAAuBg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700224" behindDoc="0" locked="0" layoutInCell="1" allowOverlap="1">
                <wp:simplePos x="0" y="0"/>
                <wp:positionH relativeFrom="margin">
                  <wp:posOffset>2162175</wp:posOffset>
                </wp:positionH>
                <wp:positionV relativeFrom="paragraph">
                  <wp:posOffset>287655</wp:posOffset>
                </wp:positionV>
                <wp:extent cx="1104900" cy="314325"/>
                <wp:effectExtent l="0" t="0" r="0" b="0"/>
                <wp:wrapNone/>
                <wp:docPr id="311" name="文本框 311"/>
                <wp:cNvGraphicFramePr/>
                <a:graphic xmlns:a="http://schemas.openxmlformats.org/drawingml/2006/main">
                  <a:graphicData uri="http://schemas.microsoft.com/office/word/2010/wordprocessingShape">
                    <wps:wsp>
                      <wps:cNvSpPr txBox="1"/>
                      <wps:spPr>
                        <a:xfrm>
                          <a:off x="0" y="0"/>
                          <a:ext cx="1104900" cy="314325"/>
                        </a:xfrm>
                        <a:prstGeom prst="rect">
                          <a:avLst/>
                        </a:prstGeom>
                        <a:noFill/>
                        <a:ln w="6350">
                          <a:noFill/>
                        </a:ln>
                      </wps:spPr>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常子营圪旦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25pt;margin-top:22.65pt;height:24.75pt;width:87pt;mso-position-horizontal-relative:margin;z-index:251700224;mso-width-relative:page;mso-height-relative:page;" filled="f" stroked="f" coordsize="21600,21600" o:gfxdata="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&#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2dTbtsAAAAJAQAADwAAAAAAAAABACAAAAAiAAAA&#10;ZHJzL2Rvd25yZXYueG1sUEsBAhQAFAAAAAgAh07iQHIhHZ49AgAAagQAAA4AAAAAAAAAAQAgAAAA&#10;KgEAAGRycy9lMm9Eb2MueG1sUEsFBgAAAAAGAAYAWQEAANkFA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常子营圪旦</w:t>
                      </w: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margin">
                  <wp:posOffset>4095750</wp:posOffset>
                </wp:positionH>
                <wp:positionV relativeFrom="paragraph">
                  <wp:posOffset>4231005</wp:posOffset>
                </wp:positionV>
                <wp:extent cx="1104900" cy="619125"/>
                <wp:effectExtent l="0" t="0" r="0" b="0"/>
                <wp:wrapNone/>
                <wp:docPr id="309" name="文本框 309"/>
                <wp:cNvGraphicFramePr/>
                <a:graphic xmlns:a="http://schemas.openxmlformats.org/drawingml/2006/main">
                  <a:graphicData uri="http://schemas.microsoft.com/office/word/2010/wordprocessingShape">
                    <wps:wsp>
                      <wps:cNvSpPr txBox="1"/>
                      <wps:spPr>
                        <a:xfrm>
                          <a:off x="0" y="0"/>
                          <a:ext cx="1104900" cy="619125"/>
                        </a:xfrm>
                        <a:prstGeom prst="rect">
                          <a:avLst/>
                        </a:prstGeom>
                        <a:noFill/>
                        <a:ln w="6350">
                          <a:noFill/>
                        </a:ln>
                      </wps:spPr>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大</w:t>
                            </w:r>
                            <w:r>
                              <w:rPr>
                                <w:color w:val="FFFFFF" w:themeColor="background1"/>
                                <w14:textFill>
                                  <w14:solidFill>
                                    <w14:schemeClr w14:val="bg1"/>
                                  </w14:solidFill>
                                </w14:textFill>
                              </w:rPr>
                              <w:t>牛</w:t>
                            </w:r>
                            <w:r>
                              <w:rPr>
                                <w:rFonts w:hint="eastAsia"/>
                                <w:color w:val="FFFFFF" w:themeColor="background1"/>
                                <w14:textFill>
                                  <w14:solidFill>
                                    <w14:schemeClr w14:val="bg1"/>
                                  </w14:solidFill>
                                </w14:textFill>
                              </w:rPr>
                              <w:t>圪旦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5pt;margin-top:333.15pt;height:48.75pt;width:87pt;mso-position-horizontal-relative:margin;z-index:251698176;mso-width-relative:page;mso-height-relative:page;" filled="f" stroked="f" coordsize="21600,21600" o:gfxdata="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&#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rq4htwAAAALAQAADwAAAAAAAAABACAAAAAiAAAA&#10;ZHJzL2Rvd25yZXYueG1sUEsBAhQAFAAAAAgAh07iQMqpOEk8AgAAagQAAA4AAAAAAAAAAQAgAAAA&#10;KwEAAGRycy9lMm9Eb2MueG1sUEsFBgAAAAAGAAYAWQEAANkFA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大</w:t>
                      </w:r>
                      <w:r>
                        <w:rPr>
                          <w:color w:val="FFFFFF" w:themeColor="background1"/>
                          <w14:textFill>
                            <w14:solidFill>
                              <w14:schemeClr w14:val="bg1"/>
                            </w14:solidFill>
                          </w14:textFill>
                        </w:rPr>
                        <w:t>牛</w:t>
                      </w:r>
                      <w:r>
                        <w:rPr>
                          <w:rFonts w:hint="eastAsia"/>
                          <w:color w:val="FFFFFF" w:themeColor="background1"/>
                          <w14:textFill>
                            <w14:solidFill>
                              <w14:schemeClr w14:val="bg1"/>
                            </w14:solidFill>
                          </w14:textFill>
                        </w:rPr>
                        <w:t>圪旦</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6972300</wp:posOffset>
                </wp:positionH>
                <wp:positionV relativeFrom="paragraph">
                  <wp:posOffset>2221230</wp:posOffset>
                </wp:positionV>
                <wp:extent cx="666750" cy="714375"/>
                <wp:effectExtent l="0" t="0" r="0" b="0"/>
                <wp:wrapNone/>
                <wp:docPr id="308" name="文本框 308"/>
                <wp:cNvGraphicFramePr/>
                <a:graphic xmlns:a="http://schemas.openxmlformats.org/drawingml/2006/main">
                  <a:graphicData uri="http://schemas.microsoft.com/office/word/2010/wordprocessingShape">
                    <wps:wsp>
                      <wps:cNvSpPr txBox="1"/>
                      <wps:spPr>
                        <a:xfrm>
                          <a:off x="0" y="0"/>
                          <a:ext cx="666750" cy="714375"/>
                        </a:xfrm>
                        <a:prstGeom prst="rect">
                          <a:avLst/>
                        </a:prstGeom>
                        <a:noFill/>
                        <a:ln w="6350">
                          <a:noFill/>
                        </a:ln>
                      </wps:spPr>
                      <wps:txbx>
                        <w:txbxContent>
                          <w:p>
                            <w:pPr>
                              <w:rPr>
                                <w:color w:val="FFFFFF" w:themeColor="background1"/>
                                <w14:textFill>
                                  <w14:solidFill>
                                    <w14:schemeClr w14:val="bg1"/>
                                  </w14:solidFill>
                                </w14:textFill>
                              </w:rPr>
                            </w:pPr>
                            <w:r>
                              <w:rPr>
                                <w:color w:val="FFFFFF" w:themeColor="background1"/>
                                <w14:textFill>
                                  <w14:solidFill>
                                    <w14:schemeClr w14:val="bg1"/>
                                  </w14:solidFill>
                                </w14:textFill>
                              </w:rPr>
                              <w:t>东樊</w:t>
                            </w:r>
                            <w:r>
                              <w:rPr>
                                <w:rFonts w:hint="eastAsia"/>
                                <w:color w:val="FFFFFF" w:themeColor="background1"/>
                                <w14:textFill>
                                  <w14:solidFill>
                                    <w14:schemeClr w14:val="bg1"/>
                                  </w14:solidFill>
                                </w14:textFill>
                              </w:rPr>
                              <w:t>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9pt;margin-top:174.9pt;height:56.25pt;width:52.5pt;z-index:251697152;mso-width-relative:page;mso-height-relative:page;" filled="f" stroked="f" coordsize="21600,21600" o:gfxdata="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1VJwJN0AAAANAQAADwAAAAAAAAABACAAAAAiAAAA&#10;ZHJzL2Rvd25yZXYueG1sUEsBAhQAFAAAAAgAh07iQN4A14w7AgAAaQQAAA4AAAAAAAAAAQAgAAAA&#10;LAEAAGRycy9lMm9Eb2MueG1sUEsFBgAAAAAGAAYAWQEAANkFAAAAAA==&#10;">
                <v:fill on="f" focussize="0,0"/>
                <v:stroke on="f" weight="0.5pt"/>
                <v:imagedata o:title=""/>
                <o:lock v:ext="edit" aspectratio="f"/>
                <v:textbox>
                  <w:txbxContent>
                    <w:p>
                      <w:pPr>
                        <w:rPr>
                          <w:color w:val="FFFFFF" w:themeColor="background1"/>
                          <w14:textFill>
                            <w14:solidFill>
                              <w14:schemeClr w14:val="bg1"/>
                            </w14:solidFill>
                          </w14:textFill>
                        </w:rPr>
                      </w:pPr>
                      <w:r>
                        <w:rPr>
                          <w:color w:val="FFFFFF" w:themeColor="background1"/>
                          <w14:textFill>
                            <w14:solidFill>
                              <w14:schemeClr w14:val="bg1"/>
                            </w14:solidFill>
                          </w14:textFill>
                        </w:rPr>
                        <w:t>东樊</w:t>
                      </w:r>
                      <w:r>
                        <w:rPr>
                          <w:rFonts w:hint="eastAsia"/>
                          <w:color w:val="FFFFFF" w:themeColor="background1"/>
                          <w14:textFill>
                            <w14:solidFill>
                              <w14:schemeClr w14:val="bg1"/>
                            </w14:solidFill>
                          </w14:textFill>
                        </w:rPr>
                        <w:t>贵</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4019550</wp:posOffset>
                </wp:positionH>
                <wp:positionV relativeFrom="paragraph">
                  <wp:posOffset>1592580</wp:posOffset>
                </wp:positionV>
                <wp:extent cx="161925" cy="161925"/>
                <wp:effectExtent l="19050" t="19050" r="47625" b="28575"/>
                <wp:wrapNone/>
                <wp:docPr id="301" name="等腰三角形 301"/>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16.5pt;margin-top:125.4pt;height:12.75pt;width:12.75pt;z-index:251689984;v-text-anchor:middle;mso-width-relative:page;mso-height-relative:page;" fillcolor="#F937CF" filled="t" stroked="t" coordsize="21600,21600" o:gfxdata="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7&#10;T5tO1wAAAAsBAAAPAAAAAAAAAAEAIAAAACIAAABkcnMvZG93bnJldi54bWxQSwECFAAUAAAACACH&#10;TuJAVXcl25cCAAAlBQAADgAAAAAAAAABACAAAAAmAQAAZHJzL2Uyb0RvYy54bWxQSwUGAAAAAAYA&#10;BgBZAQAALwY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438150</wp:posOffset>
                </wp:positionH>
                <wp:positionV relativeFrom="paragraph">
                  <wp:posOffset>5012055</wp:posOffset>
                </wp:positionV>
                <wp:extent cx="161925" cy="161925"/>
                <wp:effectExtent l="19050" t="19050" r="47625" b="28575"/>
                <wp:wrapNone/>
                <wp:docPr id="307" name="等腰三角形 307"/>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5pt;margin-top:394.65pt;height:12.75pt;width:12.75pt;z-index:251696128;v-text-anchor:middle;mso-width-relative:page;mso-height-relative:page;" fillcolor="#F937CF" filled="t" stroked="t" coordsize="21600,21600" o:gfxdata="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UD2XBdcAAAAJAQAADwAAAAAAAAABACAAAAAiAAAAZHJzL2Rvd25yZXYueG1sUEsBAhQAFAAAAAgA&#10;h07iQCBAeS2YAgAAJQUAAA4AAAAAAAAAAQAgAAAAJgEAAGRycy9lMm9Eb2MueG1sUEsFBgAAAAAG&#10;AAYAWQEAADAGA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4078605</wp:posOffset>
                </wp:positionV>
                <wp:extent cx="161925" cy="161925"/>
                <wp:effectExtent l="19050" t="19050" r="47625" b="28575"/>
                <wp:wrapNone/>
                <wp:docPr id="306" name="等腰三角形 306"/>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top:321.15pt;height:12.75pt;width:12.75pt;mso-position-horizontal:center;mso-position-horizontal-relative:margin;z-index:251695104;v-text-anchor:middle;mso-width-relative:page;mso-height-relative:page;" fillcolor="#F937CF" filled="t" stroked="t" coordsize="21600,21600" o:gfxdata="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YYr0&#10;BNQAAAAHAQAADwAAAAAAAAABACAAAAAiAAAAZHJzL2Rvd25yZXYueG1sUEsBAhQAFAAAAAgAh07i&#10;QGnK2+mYAgAAJQUAAA4AAAAAAAAAAQAgAAAAIwEAAGRycy9lMm9Eb2MueG1sUEsFBgAAAAAGAAYA&#10;WQEAAC0GA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7305675</wp:posOffset>
                </wp:positionH>
                <wp:positionV relativeFrom="paragraph">
                  <wp:posOffset>2487930</wp:posOffset>
                </wp:positionV>
                <wp:extent cx="161925" cy="161925"/>
                <wp:effectExtent l="19050" t="19050" r="47625" b="28575"/>
                <wp:wrapNone/>
                <wp:docPr id="305" name="等腰三角形 305"/>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75.25pt;margin-top:195.9pt;height:12.75pt;width:12.75pt;z-index:251694080;v-text-anchor:middle;mso-width-relative:page;mso-height-relative:page;" fillcolor="#F937CF" filled="t" stroked="t" coordsize="21600,21600" o:gfxdata="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Y&#10;IqK81wAAAA0BAAAPAAAAAAAAAAEAIAAAACIAAABkcnMvZG93bnJldi54bWxQSwECFAAUAAAACACH&#10;TuJA81JNf5cCAAAlBQAADgAAAAAAAAABACAAAAAmAQAAZHJzL2Uyb0RvYy54bWxQSwUGAAAAAAYA&#10;BgBZAQAALwY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2933700</wp:posOffset>
                </wp:positionH>
                <wp:positionV relativeFrom="paragraph">
                  <wp:posOffset>1878330</wp:posOffset>
                </wp:positionV>
                <wp:extent cx="161925" cy="161925"/>
                <wp:effectExtent l="19050" t="19050" r="47625" b="28575"/>
                <wp:wrapNone/>
                <wp:docPr id="300" name="等腰三角形 300"/>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1pt;margin-top:147.9pt;height:12.75pt;width:12.75pt;z-index:251688960;v-text-anchor:middle;mso-width-relative:page;mso-height-relative:page;" fillcolor="#F937CF" filled="t" stroked="t" coordsize="21600,21600" o:gfxdata="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sBVMyNkAAAALAQAADwAAAAAAAAABACAAAAAiAAAAZHJzL2Rvd25yZXYueG1sUEsBAhQAFAAAAAgA&#10;h07iQBz9hx+WAgAAJQUAAA4AAAAAAAAAAQAgAAAAKAEAAGRycy9lMm9Eb2MueG1sUEsFBgAAAAAG&#10;AAYAWQEAADAGA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2762250</wp:posOffset>
                </wp:positionH>
                <wp:positionV relativeFrom="paragraph">
                  <wp:posOffset>3964305</wp:posOffset>
                </wp:positionV>
                <wp:extent cx="161925" cy="161925"/>
                <wp:effectExtent l="19050" t="19050" r="47625" b="28575"/>
                <wp:wrapNone/>
                <wp:docPr id="302" name="等腰三角形 302"/>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7.5pt;margin-top:312.15pt;height:12.75pt;width:12.75pt;z-index:251691008;v-text-anchor:middle;mso-width-relative:page;mso-height-relative:page;" fillcolor="#F937CF" filled="t" stroked="t" coordsize="21600,21600" o:gfxdata="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CH5YB7YAAAACwEAAA8AAAAAAAAAAQAgAAAAIgAAAGRycy9kb3ducmV2LnhtbFBLAQIUABQAAAAI&#10;AIdO4kDP77NNmAIAACUFAAAOAAAAAAAAAAEAIAAAACcBAABkcnMvZTJvRG9jLnhtbFBLBQYAAAAA&#10;BgAGAFkBAAAxBg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6896100</wp:posOffset>
                </wp:positionH>
                <wp:positionV relativeFrom="paragraph">
                  <wp:posOffset>4297680</wp:posOffset>
                </wp:positionV>
                <wp:extent cx="161925" cy="161925"/>
                <wp:effectExtent l="19050" t="19050" r="47625" b="28575"/>
                <wp:wrapNone/>
                <wp:docPr id="303" name="等腰三角形 303"/>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43pt;margin-top:338.4pt;height:12.75pt;width:12.75pt;z-index:251692032;v-text-anchor:middle;mso-width-relative:page;mso-height-relative:page;" fillcolor="#F937CF" filled="t" stroked="t" coordsize="21600,21600" o:gfxdata="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4DuWztcAAAANAQAADwAAAAAAAAABACAAAAAiAAAAZHJzL2Rvd25yZXYueG1sUEsBAhQAFAAAAAgA&#10;h07iQIZlEYmYAgAAJQUAAA4AAAAAAAAAAQAgAAAAJgEAAGRycy9lMm9Eb2MueG1sUEsFBgAAAAAG&#10;AAYAWQEAADAGA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6477000</wp:posOffset>
                </wp:positionH>
                <wp:positionV relativeFrom="paragraph">
                  <wp:posOffset>2878455</wp:posOffset>
                </wp:positionV>
                <wp:extent cx="161925" cy="161925"/>
                <wp:effectExtent l="19050" t="19050" r="47625" b="28575"/>
                <wp:wrapNone/>
                <wp:docPr id="304" name="等腰三角形 304"/>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10pt;margin-top:226.65pt;height:12.75pt;width:12.75pt;z-index:251693056;v-text-anchor:middle;mso-width-relative:page;mso-height-relative:page;" fillcolor="#F937CF" filled="t" stroked="t" coordsize="21600,21600" o:gfxdata="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AJN8MXYAAAADQEAAA8AAAAAAAAAAQAgAAAAIgAAAGRycy9kb3ducmV2LnhtbFBLAQIUABQAAAAI&#10;AIdO4kC62O+7mAIAACUFAAAOAAAAAAAAAAEAIAAAACcBAABkcnMvZTJvRG9jLnhtbFBLBQYAAAAA&#10;BgAGAFkBAAAxBg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5819775</wp:posOffset>
                </wp:positionH>
                <wp:positionV relativeFrom="paragraph">
                  <wp:posOffset>963930</wp:posOffset>
                </wp:positionV>
                <wp:extent cx="161925" cy="161925"/>
                <wp:effectExtent l="19050" t="19050" r="47625" b="28575"/>
                <wp:wrapNone/>
                <wp:docPr id="299" name="等腰三角形 299"/>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rgbClr val="F937C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58.25pt;margin-top:75.9pt;height:12.75pt;width:12.75pt;z-index:251687936;v-text-anchor:middle;mso-width-relative:page;mso-height-relative:page;" fillcolor="#F937CF" filled="t" stroked="t" coordsize="21600,21600" o:gfxdata="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EHN1NdcAAAALAQAADwAAAAAAAAABACAAAAAiAAAAZHJzL2Rvd25yZXYueG1sUEsBAhQAFAAAAAgA&#10;h07iQMbmtBWYAgAAJQUAAA4AAAAAAAAAAQAgAAAAJgEAAGRycy9lMm9Eb2MueG1sUEsFBgAAAAAG&#10;AAYAWQEAADAGAAAAAA==&#10;" adj="10800">
                <v:fill on="t" focussize="0,0"/>
                <v:stroke weight="1pt" color="#41719C [3204]" miterlimit="8" joinstyle="miter"/>
                <v:imagedata o:title=""/>
                <o:lock v:ext="edit" aspectratio="f"/>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447675</wp:posOffset>
                </wp:positionH>
                <wp:positionV relativeFrom="paragraph">
                  <wp:posOffset>4878705</wp:posOffset>
                </wp:positionV>
                <wp:extent cx="190500" cy="0"/>
                <wp:effectExtent l="0" t="0" r="19050" b="19050"/>
                <wp:wrapNone/>
                <wp:docPr id="298" name="直接连接符 298"/>
                <wp:cNvGraphicFramePr/>
                <a:graphic xmlns:a="http://schemas.openxmlformats.org/drawingml/2006/main">
                  <a:graphicData uri="http://schemas.microsoft.com/office/word/2010/wordprocessingShape">
                    <wps:wsp>
                      <wps:cNvCnPr/>
                      <wps:spPr>
                        <a:xfrm>
                          <a:off x="0" y="0"/>
                          <a:ext cx="190500" cy="0"/>
                        </a:xfrm>
                        <a:prstGeom prst="line">
                          <a:avLst/>
                        </a:prstGeom>
                        <a:ln w="19050">
                          <a:solidFill>
                            <a:srgbClr val="42DEE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25pt;margin-top:384.15pt;height:0pt;width:15pt;z-index:251686912;mso-width-relative:page;mso-height-relative:page;" filled="f" stroked="t" coordsize="21600,21600" o:gfxdata="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sjMGENUAAAAK&#10;AQAADwAAAAAAAAABACAAAAAiAAAAZHJzL2Rvd25yZXYueG1sUEsBAhQAFAAAAAgAh07iQJuWxRLm&#10;AQAAtQMAAA4AAAAAAAAAAQAgAAAAJAEAAGRycy9lMm9Eb2MueG1sUEsFBgAAAAAGAAYAWQEAAHwF&#10;AAAAAA==&#10;">
                <v:fill on="f" focussize="0,0"/>
                <v:stroke weight="1.5pt" color="#42DEEE [3204]" miterlimit="8" joinstyle="miter"/>
                <v:imagedata o:title=""/>
                <o:lock v:ext="edit" aspectratio="f"/>
              </v:lin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419100</wp:posOffset>
                </wp:positionH>
                <wp:positionV relativeFrom="paragraph">
                  <wp:posOffset>4678680</wp:posOffset>
                </wp:positionV>
                <wp:extent cx="161925" cy="0"/>
                <wp:effectExtent l="0" t="19050" r="28575" b="19050"/>
                <wp:wrapNone/>
                <wp:docPr id="297" name="直接连接符 297"/>
                <wp:cNvGraphicFramePr/>
                <a:graphic xmlns:a="http://schemas.openxmlformats.org/drawingml/2006/main">
                  <a:graphicData uri="http://schemas.microsoft.com/office/word/2010/wordprocessingShape">
                    <wps:wsp>
                      <wps:cNvCnPr/>
                      <wps:spPr>
                        <a:xfrm>
                          <a:off x="0" y="0"/>
                          <a:ext cx="161925"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3pt;margin-top:368.4pt;height:0pt;width:12.75pt;z-index:251685888;mso-width-relative:page;mso-height-relative:page;" filled="f" stroked="t" coordsize="21600,21600" o:gfxdata="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FCDe7W&#10;AAAACQEAAA8AAAAAAAAAAQAgAAAAIgAAAGRycy9kb3ducmV2LnhtbFBLAQIUABQAAAAIAIdO4kAe&#10;9l4L6QEAALUDAAAOAAAAAAAAAAEAIAAAACUBAABkcnMvZTJvRG9jLnhtbFBLBQYAAAAABgAGAFkB&#10;AACABQAAAAA=&#10;">
                <v:fill on="f" focussize="0,0"/>
                <v:stroke weight="2.25pt" color="#FFFF00 [3204]" miterlimit="8" joinstyle="miter"/>
                <v:imagedata o:title=""/>
                <o:lock v:ext="edit" aspectratio="f"/>
              </v:lin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438150</wp:posOffset>
                </wp:positionH>
                <wp:positionV relativeFrom="paragraph">
                  <wp:posOffset>4488180</wp:posOffset>
                </wp:positionV>
                <wp:extent cx="190500" cy="0"/>
                <wp:effectExtent l="0" t="19050" r="19050" b="19050"/>
                <wp:wrapNone/>
                <wp:docPr id="296" name="直接连接符 296"/>
                <wp:cNvGraphicFramePr/>
                <a:graphic xmlns:a="http://schemas.openxmlformats.org/drawingml/2006/main">
                  <a:graphicData uri="http://schemas.microsoft.com/office/word/2010/wordprocessingShape">
                    <wps:wsp>
                      <wps:cNvCnPr/>
                      <wps:spPr>
                        <a:xfrm>
                          <a:off x="0" y="0"/>
                          <a:ext cx="190500" cy="0"/>
                        </a:xfrm>
                        <a:prstGeom prst="line">
                          <a:avLst/>
                        </a:prstGeom>
                        <a:ln w="28575">
                          <a:solidFill>
                            <a:srgbClr val="10AC0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4.5pt;margin-top:353.4pt;height:0pt;width:15pt;z-index:251684864;mso-width-relative:page;mso-height-relative:page;" filled="f" stroked="t" coordsize="21600,21600" o:gfxdata="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Ig&#10;pnvXAAAACQEAAA8AAAAAAAAAAQAgAAAAIgAAAGRycy9kb3ducmV2LnhtbFBLAQIUABQAAAAIAIdO&#10;4kAXVnCI6wEAALUDAAAOAAAAAAAAAAEAIAAAACYBAABkcnMvZTJvRG9jLnhtbFBLBQYAAAAABgAG&#10;AFkBAACDBQAAAAA=&#10;">
                <v:fill on="f" focussize="0,0"/>
                <v:stroke weight="2.25pt" color="#10AC04 [3204]" miterlimit="8" joinstyle="miter"/>
                <v:imagedata o:title=""/>
                <o:lock v:ext="edit" aspectratio="f"/>
              </v:lin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400050</wp:posOffset>
                </wp:positionH>
                <wp:positionV relativeFrom="paragraph">
                  <wp:posOffset>4126230</wp:posOffset>
                </wp:positionV>
                <wp:extent cx="1543050" cy="1133475"/>
                <wp:effectExtent l="0" t="0" r="19050" b="28575"/>
                <wp:wrapNone/>
                <wp:docPr id="295" name="文本框 295"/>
                <wp:cNvGraphicFramePr/>
                <a:graphic xmlns:a="http://schemas.openxmlformats.org/drawingml/2006/main">
                  <a:graphicData uri="http://schemas.microsoft.com/office/word/2010/wordprocessingShape">
                    <wps:wsp>
                      <wps:cNvSpPr txBox="1"/>
                      <wps:spPr>
                        <a:xfrm>
                          <a:off x="0" y="0"/>
                          <a:ext cx="1543050" cy="1133475"/>
                        </a:xfrm>
                        <a:prstGeom prst="rect">
                          <a:avLst/>
                        </a:prstGeom>
                        <a:solidFill>
                          <a:schemeClr val="lt1"/>
                        </a:solidFill>
                        <a:ln w="6350">
                          <a:solidFill>
                            <a:prstClr val="black"/>
                          </a:solidFill>
                        </a:ln>
                      </wps:spPr>
                      <wps:txbx>
                        <w:txbxContent>
                          <w:p>
                            <w:r>
                              <w:rPr>
                                <w:rFonts w:hint="eastAsia"/>
                              </w:rPr>
                              <w:t>图例</w:t>
                            </w:r>
                            <w:r>
                              <w:t>：</w:t>
                            </w:r>
                          </w:p>
                          <w:p>
                            <w:pPr>
                              <w:ind w:firstLine="210" w:firstLineChars="100"/>
                            </w:pPr>
                            <w:r>
                              <w:t>大气评价范围</w:t>
                            </w:r>
                          </w:p>
                          <w:p>
                            <w:pPr>
                              <w:ind w:firstLine="210" w:firstLineChars="100"/>
                            </w:pPr>
                            <w:r>
                              <w:rPr>
                                <w:rFonts w:hint="eastAsia"/>
                              </w:rPr>
                              <w:t>噪声/</w:t>
                            </w:r>
                            <w:r>
                              <w:t>土壤评价范围</w:t>
                            </w:r>
                          </w:p>
                          <w:p>
                            <w:pPr>
                              <w:ind w:firstLine="210" w:firstLineChars="100"/>
                            </w:pPr>
                            <w:r>
                              <w:rPr>
                                <w:rFonts w:hint="eastAsia"/>
                              </w:rPr>
                              <w:t>生态</w:t>
                            </w:r>
                            <w:r>
                              <w:t>评价范围</w:t>
                            </w:r>
                          </w:p>
                          <w:p>
                            <w:pPr>
                              <w:ind w:firstLine="210" w:firstLineChars="100"/>
                            </w:pPr>
                            <w:r>
                              <w:rPr>
                                <w:rFonts w:hint="eastAsia"/>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pt;margin-top:324.9pt;height:89.25pt;width:121.5pt;z-index:251683840;mso-width-relative:page;mso-height-relative:page;" fillcolor="#FFFFFF [3201]" filled="t" stroked="t" coordsize="21600,21600" o:gfxdata="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FhNguDW&#10;AAAACgEAAA8AAAAAAAAAAQAgAAAAIgAAAGRycy9kb3ducmV2LnhtbFBLAQIUABQAAAAIAIdO4kDV&#10;CSiRWwIAALwEAAAOAAAAAAAAAAEAIAAAACUBAABkcnMvZTJvRG9jLnhtbFBLBQYAAAAABgAGAFkB&#10;AADyBQAAAAA=&#10;">
                <v:fill on="t" focussize="0,0"/>
                <v:stroke weight="0.5pt" color="#000000" joinstyle="round"/>
                <v:imagedata o:title=""/>
                <o:lock v:ext="edit" aspectratio="f"/>
                <v:textbox>
                  <w:txbxContent>
                    <w:p>
                      <w:r>
                        <w:rPr>
                          <w:rFonts w:hint="eastAsia"/>
                        </w:rPr>
                        <w:t>图例</w:t>
                      </w:r>
                      <w:r>
                        <w:t>：</w:t>
                      </w:r>
                    </w:p>
                    <w:p>
                      <w:pPr>
                        <w:ind w:firstLine="210" w:firstLineChars="100"/>
                      </w:pPr>
                      <w:r>
                        <w:t>大气评价范围</w:t>
                      </w:r>
                    </w:p>
                    <w:p>
                      <w:pPr>
                        <w:ind w:firstLine="210" w:firstLineChars="100"/>
                      </w:pPr>
                      <w:r>
                        <w:rPr>
                          <w:rFonts w:hint="eastAsia"/>
                        </w:rPr>
                        <w:t>噪声/</w:t>
                      </w:r>
                      <w:r>
                        <w:t>土壤评价范围</w:t>
                      </w:r>
                    </w:p>
                    <w:p>
                      <w:pPr>
                        <w:ind w:firstLine="210" w:firstLineChars="100"/>
                      </w:pPr>
                      <w:r>
                        <w:rPr>
                          <w:rFonts w:hint="eastAsia"/>
                        </w:rPr>
                        <w:t>生态</w:t>
                      </w:r>
                      <w:r>
                        <w:t>评价范围</w:t>
                      </w:r>
                    </w:p>
                    <w:p>
                      <w:pPr>
                        <w:ind w:firstLine="210" w:firstLineChars="100"/>
                      </w:pPr>
                      <w:r>
                        <w:rPr>
                          <w:rFonts w:hint="eastAsia"/>
                        </w:rPr>
                        <w:t>敏感目标</w:t>
                      </w:r>
                    </w:p>
                  </w:txbxContent>
                </v:textbox>
              </v:shape>
            </w:pict>
          </mc:Fallback>
        </mc:AlternateContent>
      </w:r>
      <w:r>
        <w:drawing>
          <wp:anchor distT="0" distB="0" distL="114300" distR="114300" simplePos="0" relativeHeight="251682816" behindDoc="0" locked="0" layoutInCell="1" allowOverlap="1">
            <wp:simplePos x="0" y="0"/>
            <wp:positionH relativeFrom="margin">
              <wp:posOffset>8116570</wp:posOffset>
            </wp:positionH>
            <wp:positionV relativeFrom="paragraph">
              <wp:posOffset>11430</wp:posOffset>
            </wp:positionV>
            <wp:extent cx="655955" cy="676275"/>
            <wp:effectExtent l="0" t="0" r="0" b="0"/>
            <wp:wrapNone/>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5871" cy="676096"/>
                    </a:xfrm>
                    <a:prstGeom prst="rect">
                      <a:avLst/>
                    </a:prstGeom>
                  </pic:spPr>
                </pic:pic>
              </a:graphicData>
            </a:graphic>
          </wp:anchor>
        </w:drawing>
      </w:r>
      <w:r>
        <w:drawing>
          <wp:inline distT="0" distB="0" distL="0" distR="0">
            <wp:extent cx="8371840" cy="527812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23"/>
                    <a:stretch>
                      <a:fillRect/>
                    </a:stretch>
                  </pic:blipFill>
                  <pic:spPr>
                    <a:xfrm>
                      <a:off x="0" y="0"/>
                      <a:ext cx="8371840" cy="5278120"/>
                    </a:xfrm>
                    <a:prstGeom prst="rect">
                      <a:avLst/>
                    </a:prstGeom>
                  </pic:spPr>
                </pic:pic>
              </a:graphicData>
            </a:graphic>
          </wp:inline>
        </w:drawing>
      </w:r>
    </w:p>
    <w:p>
      <w:pPr>
        <w:tabs>
          <w:tab w:val="left" w:pos="1260"/>
        </w:tabs>
        <w:sectPr>
          <w:pgSz w:w="16838" w:h="11906" w:orient="landscape"/>
          <w:pgMar w:top="1797" w:right="1440" w:bottom="1797" w:left="1440" w:header="851" w:footer="992" w:gutter="0"/>
          <w:cols w:space="720" w:num="1"/>
          <w:docGrid w:type="linesAndChars" w:linePitch="312" w:charSpace="0"/>
        </w:sectPr>
      </w:pPr>
    </w:p>
    <w:p>
      <w:pPr>
        <w:pStyle w:val="2235"/>
        <w:ind w:firstLine="0" w:firstLineChars="0"/>
        <w:rPr>
          <w:b/>
        </w:rPr>
      </w:pPr>
      <w:r>
        <w:rPr>
          <w:b/>
        </w:rPr>
        <w:drawing>
          <wp:inline distT="0" distB="0" distL="0" distR="0">
            <wp:extent cx="5278120" cy="520255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4"/>
                    <a:stretch>
                      <a:fillRect/>
                    </a:stretch>
                  </pic:blipFill>
                  <pic:spPr>
                    <a:xfrm>
                      <a:off x="0" y="0"/>
                      <a:ext cx="5278120" cy="5202555"/>
                    </a:xfrm>
                    <a:prstGeom prst="rect">
                      <a:avLst/>
                    </a:prstGeom>
                  </pic:spPr>
                </pic:pic>
              </a:graphicData>
            </a:graphic>
          </wp:inline>
        </w:drawing>
      </w:r>
    </w:p>
    <w:p>
      <w:pPr>
        <w:spacing w:line="360" w:lineRule="auto"/>
        <w:jc w:val="center"/>
        <w:rPr>
          <w:color w:val="FF0000"/>
          <w:sz w:val="24"/>
        </w:rPr>
      </w:pPr>
      <w:r>
        <w:rPr>
          <w:b/>
          <w:color w:val="FF0000"/>
          <w:sz w:val="24"/>
        </w:rPr>
        <w:t>图2.4-2  地下水评价范围及保护目标示意图</w:t>
      </w:r>
    </w:p>
    <w:p>
      <w:pPr>
        <w:pStyle w:val="2235"/>
        <w:ind w:firstLine="0" w:firstLineChars="0"/>
        <w:rPr>
          <w:b/>
        </w:rPr>
        <w:sectPr>
          <w:pgSz w:w="11906" w:h="16838"/>
          <w:pgMar w:top="1440" w:right="1797" w:bottom="1440" w:left="1797" w:header="851" w:footer="992" w:gutter="0"/>
          <w:cols w:space="720" w:num="1"/>
          <w:docGrid w:type="linesAndChars" w:linePitch="312" w:charSpace="0"/>
        </w:sectPr>
      </w:pPr>
    </w:p>
    <w:p>
      <w:pPr>
        <w:pStyle w:val="823"/>
        <w:adjustRightInd/>
        <w:spacing w:before="156" w:beforeLines="50" w:after="156" w:afterLines="50" w:line="360" w:lineRule="auto"/>
        <w:rPr>
          <w:rFonts w:cs="Times New Roman"/>
        </w:rPr>
      </w:pPr>
      <w:bookmarkStart w:id="125" w:name="_Toc489432966"/>
      <w:bookmarkStart w:id="126" w:name="_Toc143762295"/>
      <w:r>
        <w:rPr>
          <w:rFonts w:cs="Times New Roman"/>
        </w:rPr>
        <w:t>3项目概况及工程分析</w:t>
      </w:r>
      <w:bookmarkEnd w:id="125"/>
      <w:bookmarkEnd w:id="126"/>
    </w:p>
    <w:p>
      <w:pPr>
        <w:pStyle w:val="347"/>
        <w:keepNext w:val="0"/>
        <w:topLinePunct w:val="0"/>
        <w:spacing w:before="156" w:beforeLines="50" w:after="156" w:afterLines="50" w:line="360" w:lineRule="auto"/>
        <w:rPr>
          <w:rFonts w:cs="Times New Roman"/>
        </w:rPr>
      </w:pPr>
      <w:bookmarkStart w:id="127" w:name="_Toc489432967"/>
      <w:bookmarkStart w:id="128" w:name="_Toc143762296"/>
      <w:r>
        <w:rPr>
          <w:rFonts w:cs="Times New Roman"/>
        </w:rPr>
        <w:t>3.1项目概况</w:t>
      </w:r>
      <w:bookmarkEnd w:id="127"/>
      <w:bookmarkEnd w:id="128"/>
    </w:p>
    <w:p>
      <w:pPr>
        <w:pStyle w:val="831"/>
        <w:keepNext w:val="0"/>
        <w:spacing w:before="156" w:beforeLines="50" w:after="156" w:afterLines="50" w:line="360" w:lineRule="auto"/>
        <w:rPr>
          <w:rFonts w:cs="Times New Roman"/>
        </w:rPr>
      </w:pPr>
      <w:bookmarkStart w:id="129" w:name="_Toc143762297"/>
      <w:bookmarkStart w:id="130" w:name="_Toc202589523"/>
      <w:bookmarkStart w:id="131" w:name="_Toc489432968"/>
      <w:r>
        <w:rPr>
          <w:rFonts w:cs="Times New Roman"/>
        </w:rPr>
        <w:t>3.1.1项目名称、地点及建设性质</w:t>
      </w:r>
      <w:bookmarkEnd w:id="129"/>
      <w:bookmarkEnd w:id="130"/>
      <w:bookmarkEnd w:id="131"/>
    </w:p>
    <w:p>
      <w:pPr>
        <w:spacing w:line="360" w:lineRule="auto"/>
        <w:ind w:firstLine="480" w:firstLineChars="200"/>
        <w:rPr>
          <w:sz w:val="24"/>
        </w:rPr>
      </w:pPr>
      <w:r>
        <w:rPr>
          <w:sz w:val="24"/>
        </w:rPr>
        <w:t>项目名称：</w:t>
      </w:r>
      <w:r>
        <w:rPr>
          <w:rFonts w:hint="eastAsia"/>
          <w:sz w:val="24"/>
        </w:rPr>
        <w:t>五原县</w:t>
      </w:r>
      <w:r>
        <w:rPr>
          <w:sz w:val="24"/>
        </w:rPr>
        <w:t>复兴镇生活垃圾无害化处理项目</w:t>
      </w:r>
    </w:p>
    <w:p>
      <w:pPr>
        <w:spacing w:line="360" w:lineRule="auto"/>
        <w:ind w:firstLine="480" w:firstLineChars="200"/>
        <w:rPr>
          <w:sz w:val="24"/>
        </w:rPr>
      </w:pPr>
      <w:r>
        <w:rPr>
          <w:sz w:val="24"/>
        </w:rPr>
        <w:t>建设单位：</w:t>
      </w:r>
      <w:r>
        <w:rPr>
          <w:rFonts w:hint="eastAsia"/>
          <w:sz w:val="24"/>
        </w:rPr>
        <w:t>五原县环境卫生服务中心</w:t>
      </w:r>
    </w:p>
    <w:p>
      <w:pPr>
        <w:spacing w:line="360" w:lineRule="auto"/>
        <w:ind w:firstLine="480" w:firstLineChars="200"/>
        <w:rPr>
          <w:sz w:val="24"/>
        </w:rPr>
      </w:pPr>
      <w:r>
        <w:rPr>
          <w:sz w:val="24"/>
        </w:rPr>
        <w:t>建设性质：新建</w:t>
      </w:r>
    </w:p>
    <w:p>
      <w:pPr>
        <w:spacing w:line="360" w:lineRule="auto"/>
        <w:ind w:firstLine="480" w:firstLineChars="200"/>
        <w:rPr>
          <w:sz w:val="24"/>
        </w:rPr>
      </w:pPr>
      <w:r>
        <w:rPr>
          <w:sz w:val="24"/>
        </w:rPr>
        <w:t>建设地点：</w:t>
      </w:r>
      <w:r>
        <w:rPr>
          <w:rFonts w:hint="eastAsia"/>
          <w:sz w:val="24"/>
        </w:rPr>
        <w:t>巴彦淖尔市</w:t>
      </w:r>
      <w:r>
        <w:rPr>
          <w:sz w:val="24"/>
        </w:rPr>
        <w:t>五原县</w:t>
      </w:r>
      <w:r>
        <w:rPr>
          <w:rFonts w:hint="eastAsia"/>
          <w:sz w:val="24"/>
        </w:rPr>
        <w:t>复兴镇</w:t>
      </w:r>
      <w:r>
        <w:rPr>
          <w:rFonts w:hint="eastAsia"/>
          <w:color w:val="0000FF"/>
          <w:sz w:val="24"/>
        </w:rPr>
        <w:t>和胜村五社</w:t>
      </w:r>
    </w:p>
    <w:p>
      <w:pPr>
        <w:spacing w:line="360" w:lineRule="auto"/>
        <w:ind w:firstLine="480" w:firstLineChars="200"/>
        <w:rPr>
          <w:sz w:val="24"/>
        </w:rPr>
      </w:pPr>
      <w:r>
        <w:rPr>
          <w:sz w:val="24"/>
        </w:rPr>
        <w:t>项目投资：项目总投资2097万元；</w:t>
      </w:r>
    </w:p>
    <w:p>
      <w:pPr>
        <w:spacing w:line="360" w:lineRule="auto"/>
        <w:ind w:firstLine="480" w:firstLineChars="200"/>
        <w:rPr>
          <w:sz w:val="24"/>
        </w:rPr>
      </w:pPr>
      <w:r>
        <w:rPr>
          <w:sz w:val="24"/>
        </w:rPr>
        <w:t>占地面积：</w:t>
      </w:r>
      <w:r>
        <w:rPr>
          <w:rFonts w:hint="eastAsia"/>
          <w:sz w:val="24"/>
        </w:rPr>
        <w:t>总占地面积</w:t>
      </w:r>
      <w:r>
        <w:rPr>
          <w:sz w:val="24"/>
        </w:rPr>
        <w:t>64858</w:t>
      </w:r>
      <w:r>
        <w:rPr>
          <w:rFonts w:hint="eastAsia"/>
          <w:sz w:val="24"/>
        </w:rPr>
        <w:t>平方米</w:t>
      </w:r>
      <w:r>
        <w:rPr>
          <w:sz w:val="24"/>
        </w:rPr>
        <w:t>；</w:t>
      </w:r>
    </w:p>
    <w:p>
      <w:pPr>
        <w:pStyle w:val="34"/>
        <w:spacing w:line="360" w:lineRule="auto"/>
        <w:ind w:firstLine="480" w:firstLineChars="200"/>
        <w:rPr>
          <w:rFonts w:ascii="Times New Roman" w:hAnsi="Times New Roman"/>
        </w:rPr>
      </w:pPr>
      <w:r>
        <w:rPr>
          <w:rFonts w:hint="eastAsia" w:ascii="Times New Roman" w:hAnsi="Times New Roman"/>
        </w:rPr>
        <w:t>服务范围</w:t>
      </w:r>
      <w:r>
        <w:rPr>
          <w:rFonts w:ascii="Times New Roman" w:hAnsi="Times New Roman"/>
        </w:rPr>
        <w:t>：</w:t>
      </w:r>
      <w:r>
        <w:rPr>
          <w:rFonts w:hint="eastAsia" w:ascii="Times New Roman" w:hAnsi="Times New Roman"/>
        </w:rPr>
        <w:t>项目的服务范围为覆盖复兴镇、巴彦套海镇、塔尔湖镇、天吉泰镇、新公中镇、银定图镇、丰裕办事处等7个乡镇产生的生活垃圾。</w:t>
      </w:r>
    </w:p>
    <w:p>
      <w:pPr>
        <w:pStyle w:val="34"/>
        <w:spacing w:line="360" w:lineRule="auto"/>
        <w:ind w:firstLine="480" w:firstLineChars="200"/>
        <w:rPr>
          <w:rFonts w:ascii="Times New Roman" w:hAnsi="Times New Roman"/>
        </w:rPr>
      </w:pPr>
      <w:r>
        <w:rPr>
          <w:rFonts w:hint="eastAsia" w:ascii="Times New Roman" w:hAnsi="Times New Roman"/>
        </w:rPr>
        <w:t>建设及运行情况：填埋场于2018年建成，2019年投入运行，运行状态正常。</w:t>
      </w:r>
    </w:p>
    <w:p>
      <w:pPr>
        <w:spacing w:line="360" w:lineRule="auto"/>
        <w:ind w:firstLine="480" w:firstLineChars="200"/>
        <w:rPr>
          <w:sz w:val="24"/>
        </w:rPr>
      </w:pPr>
      <w:r>
        <w:rPr>
          <w:sz w:val="24"/>
        </w:rPr>
        <w:t>建设规模：日均处理垃圾量50t，填埋场总库容30.5万</w:t>
      </w:r>
      <w:r>
        <w:rPr>
          <w:rFonts w:hint="eastAsia"/>
          <w:sz w:val="24"/>
        </w:rPr>
        <w:t>m</w:t>
      </w:r>
      <w:r>
        <w:rPr>
          <w:rFonts w:hint="eastAsia"/>
          <w:sz w:val="24"/>
          <w:vertAlign w:val="superscript"/>
        </w:rPr>
        <w:t>3</w:t>
      </w:r>
      <w:r>
        <w:rPr>
          <w:sz w:val="24"/>
        </w:rPr>
        <w:t>，</w:t>
      </w:r>
      <w:r>
        <w:rPr>
          <w:rFonts w:hint="eastAsia"/>
          <w:sz w:val="24"/>
        </w:rPr>
        <w:t>已填埋量</w:t>
      </w:r>
      <w:r>
        <w:rPr>
          <w:sz w:val="24"/>
        </w:rPr>
        <w:t>4</w:t>
      </w:r>
      <w:r>
        <w:rPr>
          <w:rFonts w:hint="eastAsia"/>
          <w:sz w:val="24"/>
        </w:rPr>
        <w:t>.</w:t>
      </w:r>
      <w:r>
        <w:rPr>
          <w:sz w:val="24"/>
        </w:rPr>
        <w:t>05</w:t>
      </w:r>
      <w:r>
        <w:rPr>
          <w:rFonts w:hint="eastAsia"/>
          <w:sz w:val="24"/>
        </w:rPr>
        <w:t>万m</w:t>
      </w:r>
      <w:r>
        <w:rPr>
          <w:rFonts w:hint="eastAsia"/>
          <w:sz w:val="24"/>
          <w:vertAlign w:val="superscript"/>
        </w:rPr>
        <w:t>3</w:t>
      </w:r>
      <w:r>
        <w:rPr>
          <w:rFonts w:hint="eastAsia"/>
          <w:sz w:val="24"/>
        </w:rPr>
        <w:t>，剩余</w:t>
      </w:r>
      <w:r>
        <w:rPr>
          <w:sz w:val="24"/>
        </w:rPr>
        <w:t>使用期限为12年。</w:t>
      </w:r>
    </w:p>
    <w:p>
      <w:pPr>
        <w:pStyle w:val="831"/>
        <w:keepNext w:val="0"/>
        <w:spacing w:before="156" w:beforeLines="50" w:after="156" w:afterLines="50" w:line="360" w:lineRule="auto"/>
        <w:rPr>
          <w:rFonts w:cs="Times New Roman"/>
        </w:rPr>
      </w:pPr>
      <w:bookmarkStart w:id="132" w:name="_Toc143762298"/>
      <w:bookmarkStart w:id="133" w:name="_Toc489432969"/>
      <w:r>
        <w:rPr>
          <w:rFonts w:cs="Times New Roman"/>
        </w:rPr>
        <w:t>3.1.2项目地理位置</w:t>
      </w:r>
      <w:bookmarkEnd w:id="132"/>
      <w:bookmarkEnd w:id="133"/>
    </w:p>
    <w:p>
      <w:pPr>
        <w:spacing w:line="360" w:lineRule="auto"/>
        <w:ind w:firstLine="480" w:firstLineChars="200"/>
        <w:rPr>
          <w:sz w:val="24"/>
        </w:rPr>
        <w:sectPr>
          <w:headerReference r:id="rId8" w:type="default"/>
          <w:pgSz w:w="11906" w:h="16838"/>
          <w:pgMar w:top="1440" w:right="1800" w:bottom="1440" w:left="1800" w:header="851" w:footer="992" w:gutter="0"/>
          <w:cols w:space="720" w:num="1"/>
          <w:docGrid w:type="lines" w:linePitch="312" w:charSpace="0"/>
        </w:sectPr>
      </w:pPr>
      <w:r>
        <w:rPr>
          <w:sz w:val="24"/>
        </w:rPr>
        <w:t>本项目位于</w:t>
      </w:r>
      <w:r>
        <w:rPr>
          <w:rFonts w:hint="eastAsia"/>
          <w:sz w:val="24"/>
        </w:rPr>
        <w:t>五原县</w:t>
      </w:r>
      <w:r>
        <w:rPr>
          <w:sz w:val="24"/>
        </w:rPr>
        <w:t>复兴镇</w:t>
      </w:r>
      <w:r>
        <w:rPr>
          <w:rFonts w:hint="eastAsia"/>
          <w:color w:val="0000FF"/>
          <w:sz w:val="24"/>
        </w:rPr>
        <w:t>和胜村五社</w:t>
      </w:r>
      <w:r>
        <w:rPr>
          <w:sz w:val="24"/>
        </w:rPr>
        <w:t>。项目垃圾填埋场地理坐标为东经107°54′58.97′′，北纬40°59′29.46′′。地理位置</w:t>
      </w:r>
      <w:r>
        <w:rPr>
          <w:rFonts w:hint="eastAsia"/>
          <w:sz w:val="24"/>
        </w:rPr>
        <w:t>见</w:t>
      </w:r>
      <w:r>
        <w:rPr>
          <w:sz w:val="24"/>
        </w:rPr>
        <w:t>图3.1-1。</w:t>
      </w:r>
      <w:r>
        <w:rPr>
          <w:rFonts w:hint="eastAsia"/>
          <w:color w:val="FF0000"/>
          <w:sz w:val="24"/>
        </w:rPr>
        <w:t>项目西侧为废弃养殖场，其余为空地，四邻关系见图3</w:t>
      </w:r>
      <w:r>
        <w:rPr>
          <w:color w:val="FF0000"/>
          <w:sz w:val="24"/>
        </w:rPr>
        <w:t>.1-2</w:t>
      </w:r>
      <w:r>
        <w:rPr>
          <w:rFonts w:hint="eastAsia"/>
          <w:color w:val="FF0000"/>
          <w:sz w:val="24"/>
        </w:rPr>
        <w:t>。</w:t>
      </w:r>
    </w:p>
    <w:p>
      <w:pPr>
        <w:jc w:val="center"/>
      </w:pPr>
      <w:r>
        <mc:AlternateContent>
          <mc:Choice Requires="wpg">
            <w:drawing>
              <wp:anchor distT="0" distB="0" distL="114300" distR="114300" simplePos="0" relativeHeight="251671552" behindDoc="0" locked="0" layoutInCell="1" allowOverlap="1">
                <wp:simplePos x="0" y="0"/>
                <wp:positionH relativeFrom="column">
                  <wp:posOffset>2936240</wp:posOffset>
                </wp:positionH>
                <wp:positionV relativeFrom="paragraph">
                  <wp:posOffset>2108835</wp:posOffset>
                </wp:positionV>
                <wp:extent cx="959485" cy="527050"/>
                <wp:effectExtent l="12065" t="7620" r="9525" b="27305"/>
                <wp:wrapNone/>
                <wp:docPr id="53" name="组合 4"/>
                <wp:cNvGraphicFramePr/>
                <a:graphic xmlns:a="http://schemas.openxmlformats.org/drawingml/2006/main">
                  <a:graphicData uri="http://schemas.microsoft.com/office/word/2010/wordprocessingGroup">
                    <wpg:wgp>
                      <wpg:cNvGrpSpPr/>
                      <wpg:grpSpPr>
                        <a:xfrm>
                          <a:off x="0" y="0"/>
                          <a:ext cx="959485" cy="527050"/>
                          <a:chOff x="0" y="0"/>
                          <a:chExt cx="13455" cy="5993"/>
                        </a:xfrm>
                      </wpg:grpSpPr>
                      <wps:wsp>
                        <wps:cNvPr id="54" name="五角星 2"/>
                        <wps:cNvSpPr/>
                        <wps:spPr bwMode="auto">
                          <a:xfrm>
                            <a:off x="901" y="5344"/>
                            <a:ext cx="649" cy="649"/>
                          </a:xfrm>
                          <a:custGeom>
                            <a:avLst/>
                            <a:gdLst>
                              <a:gd name="T0" fmla="*/ 0 w 64911"/>
                              <a:gd name="T1" fmla="*/ 24794 h 64911"/>
                              <a:gd name="T2" fmla="*/ 24794 w 64911"/>
                              <a:gd name="T3" fmla="*/ 24794 h 64911"/>
                              <a:gd name="T4" fmla="*/ 32456 w 64911"/>
                              <a:gd name="T5" fmla="*/ 0 h 64911"/>
                              <a:gd name="T6" fmla="*/ 40117 w 64911"/>
                              <a:gd name="T7" fmla="*/ 24794 h 64911"/>
                              <a:gd name="T8" fmla="*/ 64911 w 64911"/>
                              <a:gd name="T9" fmla="*/ 24794 h 64911"/>
                              <a:gd name="T10" fmla="*/ 44852 w 64911"/>
                              <a:gd name="T11" fmla="*/ 40117 h 64911"/>
                              <a:gd name="T12" fmla="*/ 52514 w 64911"/>
                              <a:gd name="T13" fmla="*/ 64911 h 64911"/>
                              <a:gd name="T14" fmla="*/ 32456 w 64911"/>
                              <a:gd name="T15" fmla="*/ 49587 h 64911"/>
                              <a:gd name="T16" fmla="*/ 12397 w 64911"/>
                              <a:gd name="T17" fmla="*/ 64911 h 64911"/>
                              <a:gd name="T18" fmla="*/ 20059 w 64911"/>
                              <a:gd name="T19" fmla="*/ 40117 h 64911"/>
                              <a:gd name="T20" fmla="*/ 0 w 64911"/>
                              <a:gd name="T21" fmla="*/ 24794 h 6491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911" h="64911">
                                <a:moveTo>
                                  <a:pt x="0" y="24794"/>
                                </a:moveTo>
                                <a:lnTo>
                                  <a:pt x="24794" y="24794"/>
                                </a:lnTo>
                                <a:lnTo>
                                  <a:pt x="32456" y="0"/>
                                </a:lnTo>
                                <a:lnTo>
                                  <a:pt x="40117" y="24794"/>
                                </a:lnTo>
                                <a:lnTo>
                                  <a:pt x="64911" y="24794"/>
                                </a:lnTo>
                                <a:lnTo>
                                  <a:pt x="44852" y="40117"/>
                                </a:lnTo>
                                <a:lnTo>
                                  <a:pt x="52514" y="64911"/>
                                </a:lnTo>
                                <a:lnTo>
                                  <a:pt x="32456" y="49587"/>
                                </a:lnTo>
                                <a:lnTo>
                                  <a:pt x="12397" y="64911"/>
                                </a:lnTo>
                                <a:lnTo>
                                  <a:pt x="20059" y="40117"/>
                                </a:lnTo>
                                <a:lnTo>
                                  <a:pt x="0" y="24794"/>
                                </a:lnTo>
                                <a:close/>
                              </a:path>
                            </a:pathLst>
                          </a:custGeom>
                          <a:noFill/>
                          <a:ln w="12700">
                            <a:solidFill>
                              <a:srgbClr val="FF0000"/>
                            </a:solidFill>
                            <a:miter lim="800000"/>
                          </a:ln>
                        </wps:spPr>
                        <wps:bodyPr rot="0" vert="horz" wrap="square" lIns="91440" tIns="45720" rIns="91440" bIns="45720" anchor="ctr" anchorCtr="0" upright="1">
                          <a:noAutofit/>
                        </wps:bodyPr>
                      </wps:wsp>
                      <wps:wsp>
                        <wps:cNvPr id="55" name="圆角矩形标注 3"/>
                        <wps:cNvSpPr>
                          <a:spLocks noChangeArrowheads="1"/>
                        </wps:cNvSpPr>
                        <wps:spPr bwMode="auto">
                          <a:xfrm>
                            <a:off x="0" y="0"/>
                            <a:ext cx="13455" cy="2959"/>
                          </a:xfrm>
                          <a:prstGeom prst="wedgeRoundRectCallout">
                            <a:avLst>
                              <a:gd name="adj1" fmla="val -40361"/>
                              <a:gd name="adj2" fmla="val 138065"/>
                              <a:gd name="adj3" fmla="val 16667"/>
                            </a:avLst>
                          </a:prstGeom>
                          <a:noFill/>
                          <a:ln w="12700">
                            <a:solidFill>
                              <a:srgbClr val="FF0000"/>
                            </a:solidFill>
                            <a:miter lim="800000"/>
                          </a:ln>
                        </wps:spPr>
                        <wps:txbx>
                          <w:txbxContent>
                            <w:p>
                              <w:pPr>
                                <w:rPr>
                                  <w:b/>
                                  <w:sz w:val="24"/>
                                </w:rPr>
                              </w:pPr>
                              <w:r>
                                <w:rPr>
                                  <w:rFonts w:hint="eastAsia"/>
                                  <w:b/>
                                  <w:sz w:val="24"/>
                                </w:rPr>
                                <w:t>垃圾填埋场</w:t>
                              </w:r>
                            </w:p>
                          </w:txbxContent>
                        </wps:txbx>
                        <wps:bodyPr rot="0" vert="horz" wrap="square" lIns="91440" tIns="45720" rIns="91440" bIns="45720" anchor="ctr" anchorCtr="0" upright="1">
                          <a:noAutofit/>
                        </wps:bodyPr>
                      </wps:wsp>
                    </wpg:wgp>
                  </a:graphicData>
                </a:graphic>
              </wp:anchor>
            </w:drawing>
          </mc:Choice>
          <mc:Fallback>
            <w:pict>
              <v:group id="组合 4" o:spid="_x0000_s1026" o:spt="203" style="position:absolute;left:0pt;margin-left:231.2pt;margin-top:166.05pt;height:41.5pt;width:75.55pt;z-index:251671552;mso-width-relative:page;mso-height-relative:page;" coordsize="13455,5993" o:gfxdata="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">
                <o:lock v:ext="edit" aspectratio="f"/>
                <v:shape id="五角星 2" o:spid="_x0000_s1026" o:spt="100" style="position:absolute;left:901;top:5344;height:649;width:649;v-text-anchor:middle;" filled="f" stroked="t" coordsize="64911,64911" o:gfxdata="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n8xy/&#10;AAAA2wAAAA8AAAAAAAAAAQAgAAAAIgAAAGRycy9kb3ducmV2LnhtbFBLAQIUABQAAAAIAIdO4kAz&#10;LwWeOwAAADkAAAAQAAAAAAAAAAEAIAAAAA4BAABkcnMvc2hhcGV4bWwueG1sUEsFBgAAAAAGAAYA&#10;WwEAALgDAAAAAA==&#10;" path="m0,24794l24794,24794,32456,0,40117,24794,64911,24794,44852,40117,52514,64911,32456,49587,12397,64911,20059,40117,0,24794xe">
                  <v:path o:connectlocs="0,247;247,247;324,0;401,247;649,247;448,401;525,649;324,495;123,649;200,401;0,247" o:connectangles="0,0,0,0,0,0,0,0,0,0,0"/>
                  <v:fill on="f" focussize="0,0"/>
                  <v:stroke weight="1pt" color="#FF0000" miterlimit="8" joinstyle="miter"/>
                  <v:imagedata o:title=""/>
                  <o:lock v:ext="edit" aspectratio="f"/>
                </v:shape>
                <v:shape id="圆角矩形标注 3" o:spid="_x0000_s1026" o:spt="62" type="#_x0000_t62" style="position:absolute;left:0;top:0;height:2959;width:13455;v-text-anchor:middle;" filled="f" stroked="t" coordsize="21600,21600" o:gfxdata="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4YGeLsAAADb&#10;AAAADwAAAAAAAAABACAAAAAiAAAAZHJzL2Rvd25yZXYueG1sUEsBAhQAFAAAAAgAh07iQDMvBZ47&#10;AAAAOQAAABAAAAAAAAAAAQAgAAAACgEAAGRycy9zaGFwZXhtbC54bWxQSwUGAAAAAAYABgBbAQAA&#10;tAMAAAAA&#10;" adj="2082,40622,14400">
                  <v:fill on="f" focussize="0,0"/>
                  <v:stroke weight="1pt" color="#FF0000" miterlimit="8" joinstyle="miter"/>
                  <v:imagedata o:title=""/>
                  <o:lock v:ext="edit" aspectratio="f"/>
                  <v:textbox>
                    <w:txbxContent>
                      <w:p>
                        <w:pPr>
                          <w:rPr>
                            <w:b/>
                            <w:sz w:val="24"/>
                          </w:rPr>
                        </w:pPr>
                        <w:r>
                          <w:rPr>
                            <w:rFonts w:hint="eastAsia"/>
                            <w:b/>
                            <w:sz w:val="24"/>
                          </w:rPr>
                          <w:t>垃圾填埋场</w:t>
                        </w:r>
                      </w:p>
                    </w:txbxContent>
                  </v:textbox>
                </v:shape>
              </v:group>
            </w:pict>
          </mc:Fallback>
        </mc:AlternateContent>
      </w:r>
      <w:r>
        <w:drawing>
          <wp:inline distT="0" distB="0" distL="0" distR="0">
            <wp:extent cx="6948805" cy="491680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6961954" cy="4926013"/>
                    </a:xfrm>
                    <a:prstGeom prst="rect">
                      <a:avLst/>
                    </a:prstGeom>
                    <a:noFill/>
                    <a:ln>
                      <a:noFill/>
                    </a:ln>
                  </pic:spPr>
                </pic:pic>
              </a:graphicData>
            </a:graphic>
          </wp:inline>
        </w:drawing>
      </w:r>
    </w:p>
    <w:p>
      <w:pPr>
        <w:jc w:val="center"/>
        <w:rPr>
          <w:b/>
          <w:sz w:val="24"/>
        </w:rPr>
      </w:pPr>
      <w:r>
        <w:rPr>
          <w:b/>
          <w:sz w:val="24"/>
        </w:rPr>
        <w:t>图3.1-1地理位置图</w:t>
      </w:r>
    </w:p>
    <w:p>
      <w:pPr>
        <w:spacing w:line="360" w:lineRule="auto"/>
        <w:ind w:firstLine="480" w:firstLineChars="200"/>
        <w:rPr>
          <w:sz w:val="24"/>
          <w:lang w:bidi="en-US"/>
        </w:rPr>
        <w:sectPr>
          <w:pgSz w:w="16838" w:h="11906" w:orient="landscape"/>
          <w:pgMar w:top="1800" w:right="1440" w:bottom="1800" w:left="1440" w:header="851" w:footer="992" w:gutter="0"/>
          <w:cols w:space="720" w:num="1"/>
          <w:docGrid w:type="lines" w:linePitch="312" w:charSpace="0"/>
        </w:sectPr>
      </w:pPr>
    </w:p>
    <w:p>
      <w:pPr>
        <w:adjustRightInd w:val="0"/>
        <w:snapToGrid w:val="0"/>
        <w:spacing w:line="360" w:lineRule="auto"/>
        <w:ind w:firstLine="480" w:firstLineChars="200"/>
        <w:jc w:val="center"/>
        <w:rPr>
          <w:sz w:val="24"/>
          <w:lang w:bidi="en-US"/>
        </w:rPr>
      </w:pPr>
      <w:r>
        <w:rPr>
          <w:sz w:val="24"/>
        </w:rPr>
        <mc:AlternateContent>
          <mc:Choice Requires="wps">
            <w:drawing>
              <wp:anchor distT="0" distB="0" distL="114300" distR="114300" simplePos="0" relativeHeight="251714560" behindDoc="0" locked="0" layoutInCell="1" allowOverlap="1">
                <wp:simplePos x="0" y="0"/>
                <wp:positionH relativeFrom="column">
                  <wp:posOffset>4550410</wp:posOffset>
                </wp:positionH>
                <wp:positionV relativeFrom="paragraph">
                  <wp:posOffset>2342515</wp:posOffset>
                </wp:positionV>
                <wp:extent cx="1060450" cy="543560"/>
                <wp:effectExtent l="0" t="0" r="0" b="0"/>
                <wp:wrapNone/>
                <wp:docPr id="333" name="文本框 333"/>
                <wp:cNvGraphicFramePr/>
                <a:graphic xmlns:a="http://schemas.openxmlformats.org/drawingml/2006/main">
                  <a:graphicData uri="http://schemas.microsoft.com/office/word/2010/wordprocessingShape">
                    <wps:wsp>
                      <wps:cNvSpPr txBox="1"/>
                      <wps:spPr>
                        <a:xfrm>
                          <a:off x="0" y="0"/>
                          <a:ext cx="1060450" cy="543464"/>
                        </a:xfrm>
                        <a:prstGeom prst="rect">
                          <a:avLst/>
                        </a:prstGeom>
                        <a:noFill/>
                        <a:ln w="6350">
                          <a:noFill/>
                        </a:ln>
                      </wps:spPr>
                      <wps:txbx>
                        <w:txbxContent>
                          <w:p>
                            <w:pPr>
                              <w:rPr>
                                <w:b/>
                                <w:color w:val="FF0000"/>
                              </w:rPr>
                            </w:pPr>
                            <w:r>
                              <w:rPr>
                                <w:rFonts w:hint="eastAsia"/>
                                <w:b/>
                                <w:color w:val="FF0000"/>
                              </w:rPr>
                              <w:t>填埋</w:t>
                            </w:r>
                            <w:r>
                              <w:rPr>
                                <w:b/>
                                <w:color w:val="FF0000"/>
                              </w:rPr>
                              <w:t>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8.3pt;margin-top:184.45pt;height:42.8pt;width:83.5pt;z-index:251714560;mso-width-relative:page;mso-height-relative:page;" filled="f" stroked="f" coordsize="21600,21600" o:gfxdata="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&#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iu+oK3AAAAAsBAAAPAAAAAAAAAAEAIAAAACIAAABk&#10;cnMvZG93bnJldi54bWxQSwECFAAUAAAACACHTuJAgOxbDzsCAABqBAAADgAAAAAAAAABACAAAAAr&#10;AQAAZHJzL2Uyb0RvYy54bWxQSwUGAAAAAAYABgBZAQAA2AUAAAAA&#10;">
                <v:fill on="f" focussize="0,0"/>
                <v:stroke on="f" weight="0.5pt"/>
                <v:imagedata o:title=""/>
                <o:lock v:ext="edit" aspectratio="f"/>
                <v:textbox>
                  <w:txbxContent>
                    <w:p>
                      <w:pPr>
                        <w:rPr>
                          <w:b/>
                          <w:color w:val="FF0000"/>
                        </w:rPr>
                      </w:pPr>
                      <w:r>
                        <w:rPr>
                          <w:rFonts w:hint="eastAsia"/>
                          <w:b/>
                          <w:color w:val="FF0000"/>
                        </w:rPr>
                        <w:t>填埋</w:t>
                      </w:r>
                      <w:r>
                        <w:rPr>
                          <w:b/>
                          <w:color w:val="FF0000"/>
                        </w:rPr>
                        <w:t>场</w:t>
                      </w:r>
                    </w:p>
                  </w:txbxContent>
                </v:textbox>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3422650</wp:posOffset>
                </wp:positionH>
                <wp:positionV relativeFrom="paragraph">
                  <wp:posOffset>2548890</wp:posOffset>
                </wp:positionV>
                <wp:extent cx="1060450" cy="543560"/>
                <wp:effectExtent l="0" t="0" r="0" b="0"/>
                <wp:wrapNone/>
                <wp:docPr id="332" name="文本框 332"/>
                <wp:cNvGraphicFramePr/>
                <a:graphic xmlns:a="http://schemas.openxmlformats.org/drawingml/2006/main">
                  <a:graphicData uri="http://schemas.microsoft.com/office/word/2010/wordprocessingShape">
                    <wps:wsp>
                      <wps:cNvSpPr txBox="1"/>
                      <wps:spPr>
                        <a:xfrm>
                          <a:off x="0" y="0"/>
                          <a:ext cx="1060450" cy="543464"/>
                        </a:xfrm>
                        <a:prstGeom prst="rect">
                          <a:avLst/>
                        </a:prstGeom>
                        <a:noFill/>
                        <a:ln w="6350">
                          <a:noFill/>
                        </a:ln>
                      </wps:spPr>
                      <wps:txbx>
                        <w:txbxContent>
                          <w:p>
                            <w:pPr>
                              <w:rPr>
                                <w:b/>
                                <w:color w:val="FF00FF"/>
                              </w:rPr>
                            </w:pPr>
                            <w:r>
                              <w:rPr>
                                <w:rFonts w:hint="eastAsia"/>
                                <w:b/>
                                <w:color w:val="FF00FF"/>
                              </w:rPr>
                              <w:t>废弃</w:t>
                            </w:r>
                            <w:r>
                              <w:rPr>
                                <w:b/>
                                <w:color w:val="FF00FF"/>
                              </w:rPr>
                              <w:t>养殖场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5pt;margin-top:200.7pt;height:42.8pt;width:83.5pt;z-index:251713536;mso-width-relative:page;mso-height-relative:page;" filled="f" stroked="f" coordsize="21600,21600" o:gfxdata="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&#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qGve23AAAAAsBAAAPAAAAAAAAAAEAIAAAACIAAABk&#10;cnMvZG93bnJldi54bWxQSwECFAAUAAAACACHTuJAEgtknDsCAABqBAAADgAAAAAAAAABACAAAAAr&#10;AQAAZHJzL2Uyb0RvYy54bWxQSwUGAAAAAAYABgBZAQAA2AUAAAAA&#10;">
                <v:fill on="f" focussize="0,0"/>
                <v:stroke on="f" weight="0.5pt"/>
                <v:imagedata o:title=""/>
                <o:lock v:ext="edit" aspectratio="f"/>
                <v:textbox>
                  <w:txbxContent>
                    <w:p>
                      <w:pPr>
                        <w:rPr>
                          <w:b/>
                          <w:color w:val="FF00FF"/>
                        </w:rPr>
                      </w:pPr>
                      <w:r>
                        <w:rPr>
                          <w:rFonts w:hint="eastAsia"/>
                          <w:b/>
                          <w:color w:val="FF00FF"/>
                        </w:rPr>
                        <w:t>废弃</w:t>
                      </w:r>
                      <w:r>
                        <w:rPr>
                          <w:b/>
                          <w:color w:val="FF00FF"/>
                        </w:rPr>
                        <w:t>养殖场</w:t>
                      </w:r>
                    </w:p>
                  </w:txbxContent>
                </v:textbox>
              </v:shape>
            </w:pict>
          </mc:Fallback>
        </mc:AlternateContent>
      </w:r>
      <w:r>
        <w:rPr>
          <w:sz w:val="24"/>
        </w:rPr>
        <w:drawing>
          <wp:anchor distT="0" distB="0" distL="114300" distR="114300" simplePos="0" relativeHeight="251712512" behindDoc="0" locked="0" layoutInCell="1" allowOverlap="1">
            <wp:simplePos x="0" y="0"/>
            <wp:positionH relativeFrom="margin">
              <wp:posOffset>7651115</wp:posOffset>
            </wp:positionH>
            <wp:positionV relativeFrom="paragraph">
              <wp:posOffset>3810</wp:posOffset>
            </wp:positionV>
            <wp:extent cx="655955" cy="676275"/>
            <wp:effectExtent l="0" t="0" r="0" b="0"/>
            <wp:wrapNone/>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5955" cy="676275"/>
                    </a:xfrm>
                    <a:prstGeom prst="rect">
                      <a:avLst/>
                    </a:prstGeom>
                  </pic:spPr>
                </pic:pic>
              </a:graphicData>
            </a:graphic>
          </wp:anchor>
        </w:drawing>
      </w:r>
      <w:r>
        <w:rPr>
          <w:sz w:val="24"/>
        </w:rPr>
        <mc:AlternateContent>
          <mc:Choice Requires="wps">
            <w:drawing>
              <wp:anchor distT="0" distB="0" distL="114300" distR="114300" simplePos="0" relativeHeight="251711488" behindDoc="0" locked="0" layoutInCell="1" allowOverlap="1">
                <wp:simplePos x="0" y="0"/>
                <wp:positionH relativeFrom="column">
                  <wp:posOffset>3898900</wp:posOffset>
                </wp:positionH>
                <wp:positionV relativeFrom="paragraph">
                  <wp:posOffset>5039360</wp:posOffset>
                </wp:positionV>
                <wp:extent cx="1898015" cy="250190"/>
                <wp:effectExtent l="0" t="0" r="26670" b="17145"/>
                <wp:wrapNone/>
                <wp:docPr id="330" name="文本框 330"/>
                <wp:cNvGraphicFramePr/>
                <a:graphic xmlns:a="http://schemas.openxmlformats.org/drawingml/2006/main">
                  <a:graphicData uri="http://schemas.microsoft.com/office/word/2010/wordprocessingShape">
                    <wps:wsp>
                      <wps:cNvSpPr txBox="1"/>
                      <wps:spPr>
                        <a:xfrm>
                          <a:off x="0" y="0"/>
                          <a:ext cx="1897811" cy="250166"/>
                        </a:xfrm>
                        <a:prstGeom prst="rect">
                          <a:avLst/>
                        </a:prstGeom>
                        <a:solidFill>
                          <a:schemeClr val="lt1"/>
                        </a:solidFill>
                        <a:ln w="6350">
                          <a:solidFill>
                            <a:prstClr val="black"/>
                          </a:solidFill>
                        </a:ln>
                      </wps:spPr>
                      <wps:txbx>
                        <w:txbxContent>
                          <w:p>
                            <w:pPr>
                              <w:rPr>
                                <w:b/>
                                <w:sz w:val="24"/>
                              </w:rPr>
                            </w:pPr>
                            <w:r>
                              <w:rPr>
                                <w:b/>
                                <w:sz w:val="24"/>
                              </w:rPr>
                              <w:t>图3.1-2</w:t>
                            </w:r>
                            <w:r>
                              <w:rPr>
                                <w:rFonts w:hint="eastAsia"/>
                                <w:b/>
                                <w:sz w:val="24"/>
                              </w:rPr>
                              <w:t>项目</w:t>
                            </w:r>
                            <w:r>
                              <w:rPr>
                                <w:b/>
                                <w:sz w:val="24"/>
                              </w:rPr>
                              <w:t>四邻关系图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pt;margin-top:396.8pt;height:19.7pt;width:149.45pt;z-index:251711488;mso-width-relative:page;mso-height-relative:page;" fillcolor="#FFFFFF [3201]" filled="t" stroked="t" coordsize="21600,21600" o:gfxdata="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FTHIQ&#10;2AAAAAsBAAAPAAAAAAAAAAEAIAAAACIAAABkcnMvZG93bnJldi54bWxQSwECFAAUAAAACACHTuJA&#10;K8k/J1oCAAC7BAAADgAAAAAAAAABACAAAAAnAQAAZHJzL2Uyb0RvYy54bWxQSwUGAAAAAAYABgBZ&#10;AQAA8wUAAAAA&#10;">
                <v:fill on="t" focussize="0,0"/>
                <v:stroke weight="0.5pt" color="#000000" joinstyle="round"/>
                <v:imagedata o:title=""/>
                <o:lock v:ext="edit" aspectratio="f"/>
                <v:textbox>
                  <w:txbxContent>
                    <w:p>
                      <w:pPr>
                        <w:rPr>
                          <w:b/>
                          <w:sz w:val="24"/>
                        </w:rPr>
                      </w:pPr>
                      <w:r>
                        <w:rPr>
                          <w:b/>
                          <w:sz w:val="24"/>
                        </w:rPr>
                        <w:t>图3.1-2</w:t>
                      </w:r>
                      <w:r>
                        <w:rPr>
                          <w:rFonts w:hint="eastAsia"/>
                          <w:b/>
                          <w:sz w:val="24"/>
                        </w:rPr>
                        <w:t>项目</w:t>
                      </w:r>
                      <w:r>
                        <w:rPr>
                          <w:b/>
                          <w:sz w:val="24"/>
                        </w:rPr>
                        <w:t>四邻关系图</w:t>
                      </w:r>
                    </w:p>
                  </w:txbxContent>
                </v:textbox>
              </v:shape>
            </w:pict>
          </mc:Fallback>
        </mc:AlternateContent>
      </w:r>
      <w:r>
        <w:rPr>
          <w:sz w:val="24"/>
        </w:rPr>
        <w:drawing>
          <wp:inline distT="0" distB="0" distL="0" distR="0">
            <wp:extent cx="7435850" cy="5274310"/>
            <wp:effectExtent l="0" t="0" r="0" b="254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26"/>
                    <a:stretch>
                      <a:fillRect/>
                    </a:stretch>
                  </pic:blipFill>
                  <pic:spPr>
                    <a:xfrm>
                      <a:off x="0" y="0"/>
                      <a:ext cx="7435850" cy="5274310"/>
                    </a:xfrm>
                    <a:prstGeom prst="rect">
                      <a:avLst/>
                    </a:prstGeom>
                  </pic:spPr>
                </pic:pic>
              </a:graphicData>
            </a:graphic>
          </wp:inline>
        </w:drawing>
      </w:r>
    </w:p>
    <w:p>
      <w:pPr>
        <w:spacing w:line="360" w:lineRule="auto"/>
        <w:ind w:firstLine="480" w:firstLineChars="200"/>
        <w:jc w:val="center"/>
        <w:rPr>
          <w:sz w:val="24"/>
          <w:lang w:bidi="en-US"/>
        </w:rPr>
        <w:sectPr>
          <w:pgSz w:w="16838" w:h="11906" w:orient="landscape"/>
          <w:pgMar w:top="1800" w:right="1440" w:bottom="1800" w:left="1440" w:header="851" w:footer="992" w:gutter="0"/>
          <w:cols w:space="720" w:num="1"/>
          <w:docGrid w:type="lines" w:linePitch="312" w:charSpace="0"/>
        </w:sectPr>
      </w:pPr>
    </w:p>
    <w:p>
      <w:pPr>
        <w:pStyle w:val="831"/>
        <w:keepNext w:val="0"/>
        <w:spacing w:before="156" w:beforeLines="50" w:after="156" w:afterLines="50" w:line="360" w:lineRule="auto"/>
        <w:rPr>
          <w:rFonts w:cs="Times New Roman"/>
        </w:rPr>
      </w:pPr>
      <w:bookmarkStart w:id="134" w:name="_Toc489432970"/>
      <w:bookmarkStart w:id="135" w:name="_Toc143762299"/>
      <w:r>
        <w:rPr>
          <w:rFonts w:cs="Times New Roman"/>
        </w:rPr>
        <w:t>3.1.3工程组成及建设规模</w:t>
      </w:r>
      <w:bookmarkEnd w:id="134"/>
      <w:bookmarkEnd w:id="135"/>
    </w:p>
    <w:p>
      <w:pPr>
        <w:spacing w:line="360" w:lineRule="auto"/>
        <w:rPr>
          <w:b/>
          <w:sz w:val="24"/>
        </w:rPr>
      </w:pPr>
      <w:r>
        <w:rPr>
          <w:b/>
          <w:sz w:val="24"/>
        </w:rPr>
        <w:t>3.1.3.1工程组成</w:t>
      </w:r>
    </w:p>
    <w:p>
      <w:pPr>
        <w:pStyle w:val="825"/>
        <w:ind w:firstLine="480"/>
      </w:pPr>
      <w:r>
        <w:t>本项目垃圾处理场工程主要包括管理区、填埋场区及渗滤液处理区三大部分。</w:t>
      </w:r>
    </w:p>
    <w:p>
      <w:pPr>
        <w:pStyle w:val="825"/>
        <w:ind w:firstLine="480"/>
      </w:pPr>
      <w:r>
        <w:fldChar w:fldCharType="begin"/>
      </w:r>
      <w:r>
        <w:instrText xml:space="preserve"> = 1 \* GB2 </w:instrText>
      </w:r>
      <w:r>
        <w:fldChar w:fldCharType="separate"/>
      </w:r>
      <w:r>
        <w:rPr>
          <w:rFonts w:hint="eastAsia" w:ascii="宋体" w:hAnsi="宋体" w:cs="宋体"/>
        </w:rPr>
        <w:t>⑴</w:t>
      </w:r>
      <w:r>
        <w:fldChar w:fldCharType="end"/>
      </w:r>
      <w:r>
        <w:t>管理区</w:t>
      </w:r>
    </w:p>
    <w:p>
      <w:pPr>
        <w:pStyle w:val="825"/>
        <w:ind w:firstLine="480"/>
      </w:pPr>
      <w:r>
        <w:t>管理区主要包括综合用房、门卫</w:t>
      </w:r>
      <w:r>
        <w:rPr>
          <w:rFonts w:hint="eastAsia"/>
        </w:rPr>
        <w:t>室、车库</w:t>
      </w:r>
      <w:r>
        <w:t>和</w:t>
      </w:r>
      <w:r>
        <w:rPr>
          <w:rFonts w:hint="eastAsia"/>
        </w:rPr>
        <w:t>计量间</w:t>
      </w:r>
      <w:r>
        <w:t>等，另外，进场及场内道路工程以及库区平整等也可认为是管理区一部分。</w:t>
      </w:r>
    </w:p>
    <w:p>
      <w:pPr>
        <w:pStyle w:val="825"/>
        <w:ind w:firstLine="480"/>
      </w:pPr>
      <w:r>
        <w:fldChar w:fldCharType="begin"/>
      </w:r>
      <w:r>
        <w:instrText xml:space="preserve"> = 2 \* GB2 </w:instrText>
      </w:r>
      <w:r>
        <w:fldChar w:fldCharType="separate"/>
      </w:r>
      <w:r>
        <w:rPr>
          <w:rFonts w:hint="eastAsia" w:ascii="宋体" w:hAnsi="宋体" w:cs="宋体"/>
        </w:rPr>
        <w:t>⑵</w:t>
      </w:r>
      <w:r>
        <w:fldChar w:fldCharType="end"/>
      </w:r>
      <w:r>
        <w:t>填埋场区</w:t>
      </w:r>
    </w:p>
    <w:p>
      <w:pPr>
        <w:pStyle w:val="825"/>
        <w:ind w:firstLine="480"/>
      </w:pPr>
      <w:r>
        <w:t>填埋区工程主要有垃圾坝、调节池、防渗系统、渗滤液导排、填埋气体导排以及终场覆盖工程。</w:t>
      </w:r>
    </w:p>
    <w:p>
      <w:pPr>
        <w:pStyle w:val="825"/>
        <w:ind w:firstLine="480"/>
      </w:pPr>
      <w:r>
        <w:fldChar w:fldCharType="begin"/>
      </w:r>
      <w:r>
        <w:instrText xml:space="preserve"> = 3 \* GB2 </w:instrText>
      </w:r>
      <w:r>
        <w:fldChar w:fldCharType="separate"/>
      </w:r>
      <w:r>
        <w:rPr>
          <w:rFonts w:hint="eastAsia" w:ascii="宋体" w:hAnsi="宋体" w:cs="宋体"/>
        </w:rPr>
        <w:t>⑶</w:t>
      </w:r>
      <w:r>
        <w:fldChar w:fldCharType="end"/>
      </w:r>
      <w:r>
        <w:t>渗滤液处理区</w:t>
      </w:r>
    </w:p>
    <w:p>
      <w:pPr>
        <w:pStyle w:val="825"/>
        <w:ind w:firstLine="480"/>
      </w:pPr>
      <w:r>
        <w:t>主要为渗滤液处理工程。</w:t>
      </w:r>
    </w:p>
    <w:p>
      <w:pPr>
        <w:pStyle w:val="825"/>
        <w:ind w:firstLine="480"/>
      </w:pPr>
      <w:r>
        <w:rPr>
          <w:rFonts w:hint="eastAsia"/>
        </w:rPr>
        <w:t>复兴镇</w:t>
      </w:r>
      <w:r>
        <w:t>生活垃圾处理场工程具体建设内容见表3.1-1。处理场工程平面布置见图3.1-2。</w:t>
      </w:r>
    </w:p>
    <w:p>
      <w:pPr>
        <w:jc w:val="center"/>
        <w:rPr>
          <w:sz w:val="24"/>
        </w:rPr>
      </w:pPr>
      <w:r>
        <w:rPr>
          <w:b/>
          <w:sz w:val="24"/>
        </w:rPr>
        <w:t xml:space="preserve">表3.1-1  </w:t>
      </w:r>
      <w:r>
        <w:rPr>
          <w:rFonts w:hint="eastAsia"/>
          <w:b/>
          <w:sz w:val="24"/>
        </w:rPr>
        <w:t>项目建设内容</w:t>
      </w:r>
    </w:p>
    <w:tbl>
      <w:tblPr>
        <w:tblStyle w:val="87"/>
        <w:tblW w:w="5044"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71"/>
        <w:gridCol w:w="574"/>
        <w:gridCol w:w="401"/>
        <w:gridCol w:w="843"/>
        <w:gridCol w:w="5318"/>
        <w:gridCol w:w="5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tcBorders>
              <w:top w:val="single" w:color="auto" w:sz="12" w:space="0"/>
            </w:tcBorders>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工程内容</w:t>
            </w:r>
          </w:p>
        </w:tc>
        <w:tc>
          <w:tcPr>
            <w:tcW w:w="567" w:type="pct"/>
            <w:gridSpan w:val="2"/>
            <w:tcBorders>
              <w:top w:val="single" w:color="auto" w:sz="12" w:space="0"/>
            </w:tcBorders>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工程名称</w:t>
            </w:r>
          </w:p>
        </w:tc>
        <w:tc>
          <w:tcPr>
            <w:tcW w:w="3583" w:type="pct"/>
            <w:gridSpan w:val="2"/>
            <w:tcBorders>
              <w:top w:val="single" w:color="auto" w:sz="12" w:space="0"/>
            </w:tcBorders>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建设内容</w:t>
            </w:r>
          </w:p>
        </w:tc>
        <w:tc>
          <w:tcPr>
            <w:tcW w:w="343" w:type="pct"/>
            <w:tcBorders>
              <w:top w:val="single" w:color="auto" w:sz="12" w:space="0"/>
            </w:tcBorders>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restart"/>
            <w:tcBorders>
              <w:top w:val="single" w:color="auto" w:sz="12" w:space="0"/>
            </w:tcBorders>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主体工程</w:t>
            </w:r>
          </w:p>
        </w:tc>
        <w:tc>
          <w:tcPr>
            <w:tcW w:w="567" w:type="pct"/>
            <w:gridSpan w:val="2"/>
            <w:tcBorders>
              <w:top w:val="single" w:color="auto" w:sz="12" w:space="0"/>
            </w:tcBorders>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color w:val="FF0000"/>
                <w:sz w:val="21"/>
              </w:rPr>
              <w:t>填埋场库区</w:t>
            </w:r>
          </w:p>
        </w:tc>
        <w:tc>
          <w:tcPr>
            <w:tcW w:w="3583" w:type="pct"/>
            <w:gridSpan w:val="2"/>
            <w:tcBorders>
              <w:top w:val="single" w:color="auto" w:sz="12" w:space="0"/>
            </w:tcBorders>
            <w:vAlign w:val="center"/>
          </w:tcPr>
          <w:p>
            <w:pPr>
              <w:autoSpaceDE w:val="0"/>
              <w:autoSpaceDN w:val="0"/>
              <w:adjustRightInd w:val="0"/>
              <w:rPr>
                <w:color w:val="FF0000"/>
              </w:rPr>
            </w:pPr>
            <w:r>
              <w:rPr>
                <w:rFonts w:hint="eastAsia"/>
                <w:color w:val="FF0000"/>
              </w:rPr>
              <w:t>1座平原型填埋场，总库容30.5万m</w:t>
            </w:r>
            <w:r>
              <w:rPr>
                <w:color w:val="FF0000"/>
                <w:vertAlign w:val="superscript"/>
              </w:rPr>
              <w:t>3</w:t>
            </w:r>
            <w:r>
              <w:rPr>
                <w:rFonts w:hint="eastAsia"/>
                <w:color w:val="FF0000"/>
              </w:rPr>
              <w:t>，库区占地41856m</w:t>
            </w:r>
            <w:r>
              <w:rPr>
                <w:color w:val="FF0000"/>
                <w:vertAlign w:val="superscript"/>
              </w:rPr>
              <w:t>2</w:t>
            </w:r>
            <w:r>
              <w:rPr>
                <w:rFonts w:hint="eastAsia"/>
                <w:color w:val="FF0000"/>
              </w:rPr>
              <w:t>，其中库底面积为25477.0m</w:t>
            </w:r>
            <w:r>
              <w:rPr>
                <w:rFonts w:hint="eastAsia"/>
                <w:color w:val="FF0000"/>
                <w:vertAlign w:val="superscript"/>
              </w:rPr>
              <w:t>2</w:t>
            </w:r>
            <w:r>
              <w:rPr>
                <w:rFonts w:hint="eastAsia"/>
                <w:color w:val="FF0000"/>
              </w:rPr>
              <w:t>，设置2个填埋区，在场区中间设置分区坝，分区填埋。</w:t>
            </w:r>
          </w:p>
          <w:p>
            <w:pPr>
              <w:autoSpaceDE w:val="0"/>
              <w:autoSpaceDN w:val="0"/>
              <w:adjustRightInd w:val="0"/>
              <w:rPr>
                <w:color w:val="FF0000"/>
              </w:rPr>
            </w:pPr>
            <w:r>
              <w:rPr>
                <w:rFonts w:hint="eastAsia"/>
                <w:color w:val="FF0000"/>
              </w:rPr>
              <w:t>根据地勘及设计资料，建设场地地下水埋深在天然地表下1.77～2.24m之间，地下水标高1024.68</w:t>
            </w:r>
            <w:r>
              <w:rPr>
                <w:color w:val="FF0000"/>
              </w:rPr>
              <w:t>m</w:t>
            </w:r>
            <w:r>
              <w:rPr>
                <w:rFonts w:hint="eastAsia"/>
                <w:color w:val="FF0000"/>
              </w:rPr>
              <w:t>左右，库底整平标高为1</w:t>
            </w:r>
            <w:r>
              <w:rPr>
                <w:color w:val="FF0000"/>
              </w:rPr>
              <w:t>026.7m</w:t>
            </w:r>
            <w:r>
              <w:rPr>
                <w:rFonts w:hint="eastAsia"/>
                <w:color w:val="FF0000"/>
              </w:rPr>
              <w:t>，高于地下水水位埋深1m以上，因此本工程未建设地下水导排系统。</w:t>
            </w:r>
          </w:p>
        </w:tc>
        <w:tc>
          <w:tcPr>
            <w:tcW w:w="343" w:type="pct"/>
            <w:tcBorders>
              <w:top w:val="single" w:color="auto" w:sz="12" w:space="0"/>
            </w:tcBorders>
            <w:vAlign w:val="center"/>
          </w:tcPr>
          <w:p>
            <w:pPr>
              <w:kinsoku w:val="0"/>
              <w:overflowPunct w:val="0"/>
              <w:autoSpaceDE w:val="0"/>
              <w:autoSpaceDN w:val="0"/>
              <w:adjustRightInd w:val="0"/>
              <w:snapToGrid w:val="0"/>
              <w:jc w:val="center"/>
              <w:rPr>
                <w:color w:val="FF0000"/>
              </w:rPr>
            </w:pPr>
            <w:r>
              <w:rPr>
                <w:color w:val="FF0000"/>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567"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垃圾坝</w:t>
            </w:r>
          </w:p>
        </w:tc>
        <w:tc>
          <w:tcPr>
            <w:tcW w:w="3583" w:type="pct"/>
            <w:gridSpan w:val="2"/>
            <w:vAlign w:val="center"/>
          </w:tcPr>
          <w:p>
            <w:pPr>
              <w:kinsoku w:val="0"/>
              <w:overflowPunct w:val="0"/>
              <w:autoSpaceDE w:val="0"/>
              <w:autoSpaceDN w:val="0"/>
              <w:adjustRightInd w:val="0"/>
              <w:snapToGrid w:val="0"/>
              <w:ind w:firstLine="420" w:firstLineChars="200"/>
              <w:rPr>
                <w:szCs w:val="21"/>
              </w:rPr>
            </w:pPr>
            <w:r>
              <w:rPr>
                <w:szCs w:val="21"/>
              </w:rPr>
              <w:t>环场垃圾坝采用断面为梯形的粘土均质坝，平均坝高出自然地面4.0m，坝顶宽5.0m，底最宽处21m，坝体长度821m。坝体外坡面面积共为7900m</w:t>
            </w:r>
            <w:r>
              <w:rPr>
                <w:szCs w:val="21"/>
                <w:vertAlign w:val="superscript"/>
              </w:rPr>
              <w:t>2</w:t>
            </w:r>
            <w:r>
              <w:rPr>
                <w:szCs w:val="21"/>
              </w:rPr>
              <w:t>。</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渗滤液防渗系统</w:t>
            </w:r>
          </w:p>
        </w:tc>
        <w:tc>
          <w:tcPr>
            <w:tcW w:w="3583" w:type="pct"/>
            <w:gridSpan w:val="2"/>
            <w:vAlign w:val="center"/>
          </w:tcPr>
          <w:p>
            <w:pPr>
              <w:kinsoku w:val="0"/>
              <w:overflowPunct w:val="0"/>
              <w:autoSpaceDE w:val="0"/>
              <w:autoSpaceDN w:val="0"/>
              <w:adjustRightInd w:val="0"/>
              <w:snapToGrid w:val="0"/>
              <w:ind w:firstLine="420" w:firstLineChars="200"/>
              <w:rPr>
                <w:szCs w:val="21"/>
              </w:rPr>
            </w:pPr>
            <w:r>
              <w:rPr>
                <w:szCs w:val="21"/>
              </w:rPr>
              <w:t>采用单层复合衬层结构防渗层结构由上向下为：(1) 600g/m</w:t>
            </w:r>
            <w:r>
              <w:rPr>
                <w:szCs w:val="21"/>
                <w:vertAlign w:val="superscript"/>
              </w:rPr>
              <w:t>2</w:t>
            </w:r>
            <w:r>
              <w:rPr>
                <w:szCs w:val="21"/>
              </w:rPr>
              <w:t>短纤非织造土工布作为保护层（边坡保护加装土编织袋满铺）；(2) 1.5mm厚HDPE土工膜为主防渗层；(3)渗透系数为10</w:t>
            </w:r>
            <w:r>
              <w:rPr>
                <w:szCs w:val="21"/>
                <w:vertAlign w:val="superscript"/>
              </w:rPr>
              <w:t>-11</w:t>
            </w:r>
            <w:r>
              <w:rPr>
                <w:szCs w:val="21"/>
              </w:rPr>
              <w:t>m/s的钠基膨润土防水毯；(4) 复合土工膜； (5)压实后的原土层。</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Merge w:val="restar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渗滤液收集（含调节池）和导排</w:t>
            </w:r>
          </w:p>
        </w:tc>
        <w:tc>
          <w:tcPr>
            <w:tcW w:w="3583" w:type="pct"/>
            <w:gridSpan w:val="2"/>
            <w:vAlign w:val="center"/>
          </w:tcPr>
          <w:p>
            <w:pPr>
              <w:kinsoku w:val="0"/>
              <w:overflowPunct w:val="0"/>
              <w:autoSpaceDE w:val="0"/>
              <w:autoSpaceDN w:val="0"/>
              <w:adjustRightInd w:val="0"/>
              <w:snapToGrid w:val="0"/>
              <w:ind w:firstLine="420" w:firstLineChars="200"/>
              <w:rPr>
                <w:szCs w:val="21"/>
              </w:rPr>
            </w:pPr>
            <w:r>
              <w:rPr>
                <w:szCs w:val="21"/>
              </w:rPr>
              <w:t>在防渗层上铺高渗导流层，使渗滤液快速排至调节池。场底集水采用河卵石（粒径20-60mm）和HDPE导渗管，河卵石在填埋区底部满铺，厚度300mm，大石在下，小石在上，防止垃圾堵塞石缝而影响导流。垃圾渗滤液经支渠中支管或导流层流向干渠中主管后排入调节池。</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3583" w:type="pct"/>
            <w:gridSpan w:val="2"/>
            <w:vAlign w:val="center"/>
          </w:tcPr>
          <w:p>
            <w:pPr>
              <w:kinsoku w:val="0"/>
              <w:overflowPunct w:val="0"/>
              <w:autoSpaceDE w:val="0"/>
              <w:autoSpaceDN w:val="0"/>
              <w:adjustRightInd w:val="0"/>
              <w:snapToGrid w:val="0"/>
              <w:ind w:firstLine="420" w:firstLineChars="200"/>
              <w:rPr>
                <w:szCs w:val="21"/>
              </w:rPr>
            </w:pPr>
            <w:r>
              <w:rPr>
                <w:szCs w:val="21"/>
              </w:rPr>
              <w:t>调节池：设置两个渗滤液调节池，分别布置在填埋场北侧及南侧。每个调节池的有效容积为500m</w:t>
            </w:r>
            <w:r>
              <w:rPr>
                <w:szCs w:val="21"/>
                <w:vertAlign w:val="superscript"/>
              </w:rPr>
              <w:t>3</w:t>
            </w:r>
            <w:r>
              <w:rPr>
                <w:szCs w:val="21"/>
              </w:rPr>
              <w:t>，采用防渗混凝土池体</w:t>
            </w:r>
            <w:r>
              <w:rPr>
                <w:rFonts w:hint="eastAsia"/>
                <w:szCs w:val="21"/>
              </w:rPr>
              <w:t>，</w:t>
            </w:r>
            <w:r>
              <w:rPr>
                <w:szCs w:val="21"/>
              </w:rPr>
              <w:t>。结构形式为钢筋混凝土剪力墙，基础为钢筋混凝土筏板基础。</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填埋气收集、导排系统</w:t>
            </w:r>
          </w:p>
        </w:tc>
        <w:tc>
          <w:tcPr>
            <w:tcW w:w="3583" w:type="pct"/>
            <w:gridSpan w:val="2"/>
            <w:vAlign w:val="center"/>
          </w:tcPr>
          <w:p>
            <w:pPr>
              <w:kinsoku w:val="0"/>
              <w:overflowPunct w:val="0"/>
              <w:autoSpaceDE w:val="0"/>
              <w:autoSpaceDN w:val="0"/>
              <w:adjustRightInd w:val="0"/>
              <w:snapToGrid w:val="0"/>
              <w:ind w:firstLine="420" w:firstLineChars="200"/>
              <w:rPr>
                <w:szCs w:val="21"/>
              </w:rPr>
            </w:pPr>
            <w:r>
              <w:rPr>
                <w:szCs w:val="21"/>
              </w:rPr>
              <w:t>垂直导气管安装在渗滤液收集盲沟旁（同时起竖向集水作用），纵横间距为30m左右设置，导气管管材采用HDPE花管，</w:t>
            </w:r>
            <w:r>
              <w:rPr>
                <w:color w:val="FF0000"/>
                <w:szCs w:val="21"/>
              </w:rPr>
              <w:t>管径为200mrn，</w:t>
            </w:r>
            <w:r>
              <w:rPr>
                <w:szCs w:val="21"/>
              </w:rPr>
              <w:t>每根导气管初期长度</w:t>
            </w:r>
            <w:r>
              <w:rPr>
                <w:color w:val="FF0000"/>
                <w:szCs w:val="21"/>
              </w:rPr>
              <w:t>为2.0m。</w:t>
            </w:r>
            <w:r>
              <w:rPr>
                <w:szCs w:val="21"/>
              </w:rPr>
              <w:t>导气管四周设石笼透气层。导气系统的铺设是随着填埋作业面逐层上升而逐段加高的，导气管最大高度为露出场顶面1.0m以上。导气石笼设置20个。</w:t>
            </w:r>
            <w:r>
              <w:rPr>
                <w:rFonts w:hint="eastAsia"/>
                <w:color w:val="FF0000"/>
                <w:szCs w:val="21"/>
              </w:rPr>
              <w:t>终场后导气管高度约为5</w:t>
            </w:r>
            <w:r>
              <w:rPr>
                <w:color w:val="FF0000"/>
                <w:szCs w:val="21"/>
              </w:rPr>
              <w:t>m</w:t>
            </w:r>
            <w:r>
              <w:rPr>
                <w:rFonts w:hint="eastAsia"/>
                <w:color w:val="FF0000"/>
                <w:szCs w:val="21"/>
              </w:rPr>
              <w:t>。</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封场系统</w:t>
            </w:r>
          </w:p>
        </w:tc>
        <w:tc>
          <w:tcPr>
            <w:tcW w:w="3583" w:type="pct"/>
            <w:gridSpan w:val="2"/>
            <w:vAlign w:val="center"/>
          </w:tcPr>
          <w:p>
            <w:pPr>
              <w:kinsoku w:val="0"/>
              <w:overflowPunct w:val="0"/>
              <w:autoSpaceDE w:val="0"/>
              <w:autoSpaceDN w:val="0"/>
              <w:adjustRightInd w:val="0"/>
              <w:snapToGrid w:val="0"/>
              <w:ind w:firstLine="420" w:firstLineChars="200"/>
              <w:rPr>
                <w:szCs w:val="21"/>
              </w:rPr>
            </w:pPr>
            <w:r>
              <w:rPr>
                <w:szCs w:val="21"/>
              </w:rPr>
              <w:t>生活垃圾堆体整形：(1)在垃圾填埋场封场前要对垃圾堆体进行整形处理，在整形处理过程中采用低渗透性的材料进行临时覆盖；(2)在垃圾堆体整形过程中，挖出的垃圾应及时回填。垃圾堆体不均匀沉降造成的裂缝、沟坎、空洞等要充填密实；(3)堆体在整形处理后，要求堆体项面坡度不小于5%;堆体边坡坡度为1：3，堆体每升高5米，设置3米宽台阶。</w:t>
            </w:r>
          </w:p>
          <w:p>
            <w:pPr>
              <w:kinsoku w:val="0"/>
              <w:overflowPunct w:val="0"/>
              <w:autoSpaceDE w:val="0"/>
              <w:autoSpaceDN w:val="0"/>
              <w:adjustRightInd w:val="0"/>
              <w:snapToGrid w:val="0"/>
              <w:ind w:firstLine="420" w:firstLineChars="200"/>
              <w:rPr>
                <w:szCs w:val="21"/>
              </w:rPr>
            </w:pPr>
            <w:r>
              <w:rPr>
                <w:szCs w:val="21"/>
              </w:rPr>
              <w:t>对垃圾堆体整形处理后进行封场覆盖，封场覆盖系统由垃圾堆体表面至顶表面依次为：(1)排气层：排气层采用粒径为25-50mm的级配石，厚度为300mm；(2)防渗层：防渗层使用500厚的压实粘性土，渗透系数小于1×1 0</w:t>
            </w:r>
            <w:r>
              <w:rPr>
                <w:szCs w:val="21"/>
                <w:vertAlign w:val="superscript"/>
              </w:rPr>
              <w:t>-7</w:t>
            </w:r>
            <w:r>
              <w:rPr>
                <w:szCs w:val="21"/>
              </w:rPr>
              <w:t>cm/s；(3)排水层；排水层在堆体项部采用300mm厚的级配石，上下分别铺设200g/m</w:t>
            </w:r>
            <w:r>
              <w:rPr>
                <w:szCs w:val="21"/>
                <w:vertAlign w:val="superscript"/>
              </w:rPr>
              <w:t>2</w:t>
            </w:r>
            <w:r>
              <w:rPr>
                <w:szCs w:val="21"/>
              </w:rPr>
              <w:t>的短纤非织造土工布作为反滤层，在边坡处采用土工复合排水网，排水网通入库区四周的截水沟；(4)植被层：植被层由下到上为覆盖支持土层和营养植被土层。覆盖支持土层由压实土构成，厚度500cm，渗透系数大于1×10</w:t>
            </w:r>
            <w:r>
              <w:rPr>
                <w:szCs w:val="21"/>
                <w:vertAlign w:val="superscript"/>
              </w:rPr>
              <w:t>-4</w:t>
            </w:r>
            <w:r>
              <w:rPr>
                <w:szCs w:val="21"/>
              </w:rPr>
              <w:t>cm/s；营养植被土应利于植被生长，厚度500mm，植被层应压实。</w:t>
            </w:r>
          </w:p>
        </w:tc>
        <w:tc>
          <w:tcPr>
            <w:tcW w:w="343" w:type="pct"/>
            <w:vAlign w:val="center"/>
          </w:tcPr>
          <w:p>
            <w:pPr>
              <w:kinsoku w:val="0"/>
              <w:overflowPunct w:val="0"/>
              <w:autoSpaceDE w:val="0"/>
              <w:autoSpaceDN w:val="0"/>
              <w:adjustRightInd w:val="0"/>
              <w:snapToGrid w:val="0"/>
              <w:jc w:val="center"/>
              <w:rPr>
                <w:szCs w:val="21"/>
              </w:rPr>
            </w:pPr>
            <w:r>
              <w:rPr>
                <w:szCs w:val="21"/>
              </w:rPr>
              <w:t>封场期建设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restart"/>
            <w:vAlign w:val="center"/>
          </w:tcPr>
          <w:p>
            <w:pPr>
              <w:pStyle w:val="44"/>
              <w:kinsoku w:val="0"/>
              <w:overflowPunct w:val="0"/>
              <w:autoSpaceDE w:val="0"/>
              <w:autoSpaceDN w:val="0"/>
              <w:adjustRightInd w:val="0"/>
              <w:snapToGrid w:val="0"/>
              <w:spacing w:line="240" w:lineRule="auto"/>
              <w:ind w:firstLine="0" w:firstLineChars="0"/>
              <w:jc w:val="center"/>
            </w:pPr>
            <w:r>
              <w:rPr>
                <w:rFonts w:cs="Times New Roman"/>
                <w:sz w:val="21"/>
              </w:rPr>
              <w:t>辅助工程</w:t>
            </w:r>
          </w:p>
        </w:tc>
        <w:tc>
          <w:tcPr>
            <w:tcW w:w="567"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防护围栏</w:t>
            </w:r>
          </w:p>
        </w:tc>
        <w:tc>
          <w:tcPr>
            <w:tcW w:w="3583" w:type="pct"/>
            <w:gridSpan w:val="2"/>
            <w:vAlign w:val="center"/>
          </w:tcPr>
          <w:p>
            <w:pPr>
              <w:kinsoku w:val="0"/>
              <w:overflowPunct w:val="0"/>
              <w:autoSpaceDE w:val="0"/>
              <w:autoSpaceDN w:val="0"/>
              <w:adjustRightInd w:val="0"/>
              <w:snapToGrid w:val="0"/>
              <w:ind w:firstLine="420" w:firstLineChars="200"/>
              <w:rPr>
                <w:szCs w:val="21"/>
              </w:rPr>
            </w:pPr>
            <w:r>
              <w:rPr>
                <w:rFonts w:hint="eastAsia"/>
                <w:color w:val="FF0000"/>
                <w:szCs w:val="21"/>
              </w:rPr>
              <w:t>项目厂界四周</w:t>
            </w:r>
            <w:r>
              <w:rPr>
                <w:rFonts w:hint="eastAsia"/>
                <w:szCs w:val="21"/>
              </w:rPr>
              <w:t>设2</w:t>
            </w:r>
            <w:r>
              <w:rPr>
                <w:szCs w:val="21"/>
              </w:rPr>
              <w:t>.5m</w:t>
            </w:r>
            <w:r>
              <w:rPr>
                <w:rFonts w:hint="eastAsia"/>
                <w:szCs w:val="21"/>
              </w:rPr>
              <w:t>高围栏，总长约</w:t>
            </w:r>
            <w:r>
              <w:rPr>
                <w:szCs w:val="21"/>
              </w:rPr>
              <w:t>1185m</w:t>
            </w:r>
            <w:r>
              <w:rPr>
                <w:rFonts w:hint="eastAsia"/>
                <w:szCs w:val="21"/>
              </w:rPr>
              <w:t>。</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567"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导排系统</w:t>
            </w:r>
          </w:p>
        </w:tc>
        <w:tc>
          <w:tcPr>
            <w:tcW w:w="490" w:type="pct"/>
            <w:vAlign w:val="center"/>
          </w:tcPr>
          <w:p>
            <w:pPr>
              <w:kinsoku w:val="0"/>
              <w:overflowPunct w:val="0"/>
              <w:autoSpaceDE w:val="0"/>
              <w:autoSpaceDN w:val="0"/>
              <w:adjustRightInd w:val="0"/>
              <w:snapToGrid w:val="0"/>
              <w:jc w:val="center"/>
              <w:rPr>
                <w:szCs w:val="21"/>
              </w:rPr>
            </w:pPr>
            <w:r>
              <w:rPr>
                <w:szCs w:val="21"/>
              </w:rPr>
              <w:t>截水沟</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在填埋场四周修建截水沟，截水沟位于坝体外侧，距坝体外侧坡脚0.3米左右，截水沟材料为浆砌毛石，过水面积为0. 24m</w:t>
            </w:r>
            <w:r>
              <w:rPr>
                <w:szCs w:val="21"/>
                <w:vertAlign w:val="superscript"/>
              </w:rPr>
              <w:t>2</w:t>
            </w:r>
            <w:r>
              <w:rPr>
                <w:szCs w:val="21"/>
              </w:rPr>
              <w:t>，壁厚400mm，在截水沟外侧作防冻中砂层。本项目截水沟总长度为852.0米</w:t>
            </w:r>
            <w:r>
              <w:rPr>
                <w:color w:val="FF0000"/>
                <w:szCs w:val="21"/>
              </w:rPr>
              <w:t>。</w:t>
            </w:r>
            <w:r>
              <w:rPr>
                <w:rFonts w:hint="eastAsia"/>
                <w:color w:val="FF0000"/>
                <w:szCs w:val="21"/>
              </w:rPr>
              <w:t>截水排出场外。</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Merge w:val="restar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道路</w:t>
            </w:r>
          </w:p>
        </w:tc>
        <w:tc>
          <w:tcPr>
            <w:tcW w:w="490" w:type="pc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进场道路</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进场路长560m，路基宽为4m，路面类型为水泥砼路面。</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490" w:type="pc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场区道路</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从库区东侧围堤设计一条道路进入填埋库区，以满足填埋作业需要，长度约350m，路基宽为4m，路面类型为水泥砼路面。</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1057" w:type="pct"/>
            <w:gridSpan w:val="3"/>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临时堆土区</w:t>
            </w:r>
          </w:p>
        </w:tc>
        <w:tc>
          <w:tcPr>
            <w:tcW w:w="3093" w:type="pct"/>
            <w:vAlign w:val="center"/>
          </w:tcPr>
          <w:p>
            <w:pPr>
              <w:kinsoku w:val="0"/>
              <w:overflowPunct w:val="0"/>
              <w:autoSpaceDE w:val="0"/>
              <w:autoSpaceDN w:val="0"/>
              <w:adjustRightInd w:val="0"/>
              <w:snapToGrid w:val="0"/>
              <w:ind w:firstLine="420" w:firstLineChars="200"/>
              <w:rPr>
                <w:szCs w:val="21"/>
              </w:rPr>
            </w:pPr>
            <w:r>
              <w:rPr>
                <w:rFonts w:hint="eastAsia"/>
                <w:szCs w:val="21"/>
              </w:rPr>
              <w:t>位于填埋场南侧，用于分层覆土，占地面积约</w:t>
            </w:r>
            <w:r>
              <w:rPr>
                <w:szCs w:val="21"/>
              </w:rPr>
              <w:t>600m</w:t>
            </w:r>
            <w:r>
              <w:rPr>
                <w:szCs w:val="21"/>
                <w:vertAlign w:val="superscript"/>
              </w:rPr>
              <w:t>2</w:t>
            </w:r>
            <w:r>
              <w:rPr>
                <w:rFonts w:hint="eastAsia"/>
                <w:szCs w:val="21"/>
              </w:rPr>
              <w:t>。覆盖防尘网保存。</w:t>
            </w:r>
            <w:r>
              <w:rPr>
                <w:rFonts w:hint="eastAsia"/>
                <w:color w:val="FF0000"/>
                <w:szCs w:val="21"/>
              </w:rPr>
              <w:t>填埋场覆土来源于土地整改中的余土，建筑工程的基坑土等。</w:t>
            </w:r>
          </w:p>
        </w:tc>
        <w:tc>
          <w:tcPr>
            <w:tcW w:w="343" w:type="pct"/>
            <w:vAlign w:val="center"/>
          </w:tcPr>
          <w:p>
            <w:pPr>
              <w:kinsoku w:val="0"/>
              <w:overflowPunct w:val="0"/>
              <w:autoSpaceDE w:val="0"/>
              <w:autoSpaceDN w:val="0"/>
              <w:adjustRightInd w:val="0"/>
              <w:snapToGrid w:val="0"/>
              <w:jc w:val="center"/>
              <w:rPr>
                <w:szCs w:val="21"/>
              </w:rPr>
            </w:pPr>
            <w:r>
              <w:rPr>
                <w:rFonts w:hint="eastAsia"/>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Merge w:val="restart"/>
            <w:vAlign w:val="center"/>
          </w:tcPr>
          <w:p>
            <w:pPr>
              <w:kinsoku w:val="0"/>
              <w:overflowPunct w:val="0"/>
              <w:autoSpaceDE w:val="0"/>
              <w:autoSpaceDN w:val="0"/>
              <w:adjustRightInd w:val="0"/>
              <w:snapToGrid w:val="0"/>
              <w:jc w:val="center"/>
              <w:rPr>
                <w:szCs w:val="21"/>
              </w:rPr>
            </w:pPr>
            <w:r>
              <w:rPr>
                <w:szCs w:val="21"/>
              </w:rPr>
              <w:t>办公管理区</w:t>
            </w:r>
          </w:p>
        </w:tc>
        <w:tc>
          <w:tcPr>
            <w:tcW w:w="490" w:type="pct"/>
            <w:vAlign w:val="center"/>
          </w:tcPr>
          <w:p>
            <w:pPr>
              <w:kinsoku w:val="0"/>
              <w:overflowPunct w:val="0"/>
              <w:autoSpaceDE w:val="0"/>
              <w:autoSpaceDN w:val="0"/>
              <w:adjustRightInd w:val="0"/>
              <w:snapToGrid w:val="0"/>
              <w:jc w:val="center"/>
              <w:rPr>
                <w:szCs w:val="21"/>
              </w:rPr>
            </w:pPr>
            <w:r>
              <w:rPr>
                <w:szCs w:val="21"/>
              </w:rPr>
              <w:t>办公及综合用房</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综合用房建筑面积450平方米，地上一层，结构形式为砖混结构，基础为混凝土毛石基础</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Merge w:val="continue"/>
            <w:vAlign w:val="center"/>
          </w:tcPr>
          <w:p>
            <w:pPr>
              <w:kinsoku w:val="0"/>
              <w:overflowPunct w:val="0"/>
              <w:autoSpaceDE w:val="0"/>
              <w:autoSpaceDN w:val="0"/>
              <w:adjustRightInd w:val="0"/>
              <w:snapToGrid w:val="0"/>
              <w:jc w:val="center"/>
              <w:rPr>
                <w:szCs w:val="21"/>
              </w:rPr>
            </w:pPr>
          </w:p>
        </w:tc>
        <w:tc>
          <w:tcPr>
            <w:tcW w:w="490" w:type="pct"/>
            <w:vAlign w:val="center"/>
          </w:tcPr>
          <w:p>
            <w:pPr>
              <w:kinsoku w:val="0"/>
              <w:overflowPunct w:val="0"/>
              <w:autoSpaceDE w:val="0"/>
              <w:autoSpaceDN w:val="0"/>
              <w:adjustRightInd w:val="0"/>
              <w:snapToGrid w:val="0"/>
              <w:jc w:val="center"/>
              <w:rPr>
                <w:szCs w:val="21"/>
              </w:rPr>
            </w:pPr>
            <w:r>
              <w:rPr>
                <w:szCs w:val="21"/>
              </w:rPr>
              <w:t>仓库</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建筑面积312平方米，地上一层，结构形式为砖混结构，基础为混凝土毛石基础</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Merge w:val="continue"/>
            <w:vAlign w:val="center"/>
          </w:tcPr>
          <w:p>
            <w:pPr>
              <w:kinsoku w:val="0"/>
              <w:overflowPunct w:val="0"/>
              <w:autoSpaceDE w:val="0"/>
              <w:autoSpaceDN w:val="0"/>
              <w:adjustRightInd w:val="0"/>
              <w:snapToGrid w:val="0"/>
              <w:jc w:val="center"/>
              <w:rPr>
                <w:szCs w:val="21"/>
              </w:rPr>
            </w:pPr>
          </w:p>
        </w:tc>
        <w:tc>
          <w:tcPr>
            <w:tcW w:w="490" w:type="pct"/>
            <w:vAlign w:val="center"/>
          </w:tcPr>
          <w:p>
            <w:pPr>
              <w:kinsoku w:val="0"/>
              <w:overflowPunct w:val="0"/>
              <w:autoSpaceDE w:val="0"/>
              <w:autoSpaceDN w:val="0"/>
              <w:adjustRightInd w:val="0"/>
              <w:snapToGrid w:val="0"/>
              <w:jc w:val="center"/>
              <w:rPr>
                <w:szCs w:val="21"/>
              </w:rPr>
            </w:pPr>
            <w:r>
              <w:rPr>
                <w:szCs w:val="21"/>
              </w:rPr>
              <w:t>门卫</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门房建筑面积45平方米，地上一层，结构形式为砖混结构，基础为混凝土毛石基础</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567" w:type="pct"/>
            <w:gridSpan w:val="2"/>
            <w:vMerge w:val="continue"/>
            <w:vAlign w:val="center"/>
          </w:tcPr>
          <w:p>
            <w:pPr>
              <w:kinsoku w:val="0"/>
              <w:overflowPunct w:val="0"/>
              <w:autoSpaceDE w:val="0"/>
              <w:autoSpaceDN w:val="0"/>
              <w:adjustRightInd w:val="0"/>
              <w:snapToGrid w:val="0"/>
              <w:jc w:val="center"/>
              <w:rPr>
                <w:szCs w:val="21"/>
              </w:rPr>
            </w:pPr>
          </w:p>
        </w:tc>
        <w:tc>
          <w:tcPr>
            <w:tcW w:w="490" w:type="pct"/>
            <w:vAlign w:val="center"/>
          </w:tcPr>
          <w:p>
            <w:pPr>
              <w:kinsoku w:val="0"/>
              <w:overflowPunct w:val="0"/>
              <w:autoSpaceDE w:val="0"/>
              <w:autoSpaceDN w:val="0"/>
              <w:adjustRightInd w:val="0"/>
              <w:snapToGrid w:val="0"/>
              <w:jc w:val="center"/>
              <w:rPr>
                <w:szCs w:val="21"/>
              </w:rPr>
            </w:pPr>
            <w:r>
              <w:rPr>
                <w:szCs w:val="21"/>
              </w:rPr>
              <w:t>过磅室</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建筑面积21平方米，地上一层，结构形式为砖混结构，基础为混凝土毛石基础</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restar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公用工程</w:t>
            </w:r>
          </w:p>
        </w:tc>
        <w:tc>
          <w:tcPr>
            <w:tcW w:w="1057" w:type="pct"/>
            <w:gridSpan w:val="3"/>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给水</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垃圾处理场用水主要为生活用水、抑尘及绿化用水，</w:t>
            </w:r>
            <w:r>
              <w:rPr>
                <w:rFonts w:hint="eastAsia"/>
                <w:szCs w:val="21"/>
              </w:rPr>
              <w:t>用水来源为一口取水井</w:t>
            </w:r>
            <w:r>
              <w:rPr>
                <w:szCs w:val="21"/>
              </w:rPr>
              <w:t>。</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334" w:type="pct"/>
            <w:vMerge w:val="restar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排水</w:t>
            </w: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生活污水</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生活污水通过污水管道排至厂区北侧化粪池，</w:t>
            </w:r>
            <w:r>
              <w:rPr>
                <w:color w:val="FF0000"/>
                <w:szCs w:val="21"/>
              </w:rPr>
              <w:t>化粪池容积为8m</w:t>
            </w:r>
            <w:r>
              <w:rPr>
                <w:color w:val="FF0000"/>
                <w:szCs w:val="21"/>
                <w:vertAlign w:val="superscript"/>
              </w:rPr>
              <w:t>3</w:t>
            </w:r>
            <w:r>
              <w:rPr>
                <w:color w:val="FF0000"/>
                <w:szCs w:val="21"/>
              </w:rPr>
              <w:t>。</w:t>
            </w:r>
            <w:r>
              <w:rPr>
                <w:rFonts w:hint="eastAsia"/>
                <w:color w:val="FF0000"/>
                <w:szCs w:val="21"/>
              </w:rPr>
              <w:t>待渗滤液站建成后，排入渗滤液处理站处理。</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334"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渗滤液</w:t>
            </w:r>
          </w:p>
        </w:tc>
        <w:tc>
          <w:tcPr>
            <w:tcW w:w="3093" w:type="pct"/>
            <w:vAlign w:val="center"/>
          </w:tcPr>
          <w:p>
            <w:pPr>
              <w:kinsoku w:val="0"/>
              <w:overflowPunct w:val="0"/>
              <w:autoSpaceDE w:val="0"/>
              <w:autoSpaceDN w:val="0"/>
              <w:adjustRightInd w:val="0"/>
              <w:snapToGrid w:val="0"/>
              <w:ind w:firstLine="420" w:firstLineChars="200"/>
              <w:rPr>
                <w:szCs w:val="21"/>
              </w:rPr>
            </w:pPr>
            <w:r>
              <w:rPr>
                <w:rFonts w:hint="eastAsia"/>
                <w:szCs w:val="21"/>
              </w:rPr>
              <w:t>项目现渗滤液依托五原县隆兴昌镇生活垃圾填埋场渗滤液处理工程处理。</w:t>
            </w:r>
            <w:r>
              <w:rPr>
                <w:color w:val="FF0000"/>
                <w:szCs w:val="21"/>
              </w:rPr>
              <w:t>本次新建一座3m</w:t>
            </w:r>
            <w:r>
              <w:rPr>
                <w:color w:val="FF0000"/>
                <w:szCs w:val="21"/>
                <w:vertAlign w:val="superscript"/>
              </w:rPr>
              <w:t>3</w:t>
            </w:r>
            <w:r>
              <w:rPr>
                <w:color w:val="FF0000"/>
                <w:szCs w:val="21"/>
              </w:rPr>
              <w:t xml:space="preserve">/d </w:t>
            </w:r>
            <w:r>
              <w:rPr>
                <w:rFonts w:hint="eastAsia"/>
                <w:color w:val="FF0000"/>
                <w:szCs w:val="21"/>
              </w:rPr>
              <w:t>渗滤液处理站</w:t>
            </w:r>
            <w:r>
              <w:rPr>
                <w:color w:val="FF0000"/>
                <w:szCs w:val="21"/>
              </w:rPr>
              <w:t>，</w:t>
            </w:r>
            <w:r>
              <w:rPr>
                <w:rFonts w:hint="eastAsia"/>
                <w:color w:val="FF0000"/>
                <w:szCs w:val="21"/>
              </w:rPr>
              <w:t>处理工艺为“预处理+一级反渗透+二级反渗透+清水脱气及</w:t>
            </w:r>
            <w:r>
              <w:rPr>
                <w:color w:val="FF0000"/>
                <w:szCs w:val="21"/>
              </w:rPr>
              <w:t>pH</w:t>
            </w:r>
            <w:r>
              <w:rPr>
                <w:rFonts w:hint="eastAsia"/>
                <w:color w:val="FF0000"/>
                <w:szCs w:val="21"/>
              </w:rPr>
              <w:t>调节+消毒”的处理工艺，处理达标后回用。</w:t>
            </w:r>
          </w:p>
        </w:tc>
        <w:tc>
          <w:tcPr>
            <w:tcW w:w="343" w:type="pct"/>
            <w:vAlign w:val="center"/>
          </w:tcPr>
          <w:p>
            <w:pPr>
              <w:kinsoku w:val="0"/>
              <w:overflowPunct w:val="0"/>
              <w:autoSpaceDE w:val="0"/>
              <w:autoSpaceDN w:val="0"/>
              <w:adjustRightInd w:val="0"/>
              <w:snapToGrid w:val="0"/>
              <w:jc w:val="center"/>
              <w:rPr>
                <w:szCs w:val="21"/>
              </w:rPr>
            </w:pPr>
            <w:r>
              <w:rPr>
                <w:rFonts w:hint="eastAsia"/>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1057" w:type="pct"/>
            <w:gridSpan w:val="3"/>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供电</w:t>
            </w:r>
          </w:p>
        </w:tc>
        <w:tc>
          <w:tcPr>
            <w:tcW w:w="3093" w:type="pct"/>
            <w:vAlign w:val="center"/>
          </w:tcPr>
          <w:p>
            <w:pPr>
              <w:kinsoku w:val="0"/>
              <w:overflowPunct w:val="0"/>
              <w:autoSpaceDE w:val="0"/>
              <w:autoSpaceDN w:val="0"/>
              <w:adjustRightInd w:val="0"/>
              <w:snapToGrid w:val="0"/>
              <w:ind w:firstLine="420" w:firstLineChars="200"/>
              <w:jc w:val="center"/>
              <w:rPr>
                <w:szCs w:val="21"/>
              </w:rPr>
            </w:pPr>
            <w:r>
              <w:rPr>
                <w:szCs w:val="21"/>
              </w:rPr>
              <w:t>垃圾处理场供电电源接入附近10KV电源。</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1057" w:type="pct"/>
            <w:gridSpan w:val="3"/>
            <w:vAlign w:val="center"/>
          </w:tcPr>
          <w:p>
            <w:pPr>
              <w:pStyle w:val="44"/>
              <w:kinsoku w:val="0"/>
              <w:overflowPunct w:val="0"/>
              <w:autoSpaceDE w:val="0"/>
              <w:autoSpaceDN w:val="0"/>
              <w:adjustRightInd w:val="0"/>
              <w:snapToGrid w:val="0"/>
              <w:spacing w:line="240" w:lineRule="auto"/>
              <w:ind w:firstLine="0" w:firstLineChars="0"/>
              <w:jc w:val="center"/>
              <w:rPr>
                <w:rFonts w:cs="Times New Roman"/>
                <w:color w:val="FF0000"/>
                <w:sz w:val="21"/>
              </w:rPr>
            </w:pPr>
            <w:r>
              <w:rPr>
                <w:rFonts w:cs="Times New Roman"/>
                <w:color w:val="FF0000"/>
                <w:sz w:val="21"/>
              </w:rPr>
              <w:t>供暖</w:t>
            </w:r>
          </w:p>
        </w:tc>
        <w:tc>
          <w:tcPr>
            <w:tcW w:w="3093" w:type="pct"/>
            <w:vAlign w:val="center"/>
          </w:tcPr>
          <w:p>
            <w:pPr>
              <w:kinsoku w:val="0"/>
              <w:overflowPunct w:val="0"/>
              <w:autoSpaceDE w:val="0"/>
              <w:autoSpaceDN w:val="0"/>
              <w:adjustRightInd w:val="0"/>
              <w:snapToGrid w:val="0"/>
              <w:ind w:firstLine="420" w:firstLineChars="200"/>
              <w:jc w:val="center"/>
              <w:rPr>
                <w:color w:val="FF0000"/>
                <w:szCs w:val="21"/>
              </w:rPr>
            </w:pPr>
            <w:r>
              <w:rPr>
                <w:rFonts w:hint="eastAsia"/>
                <w:color w:val="FF0000"/>
                <w:szCs w:val="21"/>
              </w:rPr>
              <w:t>采用电锅炉供暖</w:t>
            </w:r>
          </w:p>
        </w:tc>
        <w:tc>
          <w:tcPr>
            <w:tcW w:w="343" w:type="pct"/>
            <w:vAlign w:val="center"/>
          </w:tcPr>
          <w:p>
            <w:pPr>
              <w:kinsoku w:val="0"/>
              <w:overflowPunct w:val="0"/>
              <w:autoSpaceDE w:val="0"/>
              <w:autoSpaceDN w:val="0"/>
              <w:adjustRightInd w:val="0"/>
              <w:snapToGrid w:val="0"/>
              <w:jc w:val="center"/>
              <w:rPr>
                <w:color w:val="FF0000"/>
                <w:szCs w:val="21"/>
              </w:rPr>
            </w:pPr>
            <w:r>
              <w:rPr>
                <w:color w:val="FF0000"/>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1057" w:type="pct"/>
            <w:gridSpan w:val="3"/>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消防</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在场区沿填埋场终端锚固平台外侧设置10米宽防火隔离带，在办公区布置地下式消火栓1座，可涵盖办公区范围，消火栓供水管网为DN100管径；在车库、综合用房配备干粉灭火器</w:t>
            </w:r>
          </w:p>
        </w:tc>
        <w:tc>
          <w:tcPr>
            <w:tcW w:w="343" w:type="pct"/>
            <w:vAlign w:val="center"/>
          </w:tcPr>
          <w:p>
            <w:pPr>
              <w:kinsoku w:val="0"/>
              <w:overflowPunct w:val="0"/>
              <w:autoSpaceDE w:val="0"/>
              <w:autoSpaceDN w:val="0"/>
              <w:adjustRightInd w:val="0"/>
              <w:snapToGrid w:val="0"/>
              <w:jc w:val="center"/>
              <w:rPr>
                <w:szCs w:val="21"/>
              </w:rPr>
            </w:pPr>
            <w:r>
              <w:rPr>
                <w:rFonts w:hint="eastAsia"/>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restart"/>
            <w:vAlign w:val="center"/>
          </w:tcPr>
          <w:p>
            <w:pPr>
              <w:pStyle w:val="44"/>
              <w:kinsoku w:val="0"/>
              <w:overflowPunct w:val="0"/>
              <w:autoSpaceDE w:val="0"/>
              <w:autoSpaceDN w:val="0"/>
              <w:adjustRightInd w:val="0"/>
              <w:snapToGrid w:val="0"/>
              <w:spacing w:line="240" w:lineRule="auto"/>
              <w:ind w:firstLine="0" w:firstLineChars="0"/>
              <w:jc w:val="center"/>
            </w:pPr>
            <w:r>
              <w:rPr>
                <w:rFonts w:cs="Times New Roman"/>
                <w:sz w:val="21"/>
              </w:rPr>
              <w:t>环保工程</w:t>
            </w:r>
          </w:p>
        </w:tc>
        <w:tc>
          <w:tcPr>
            <w:tcW w:w="334" w:type="pct"/>
            <w:vMerge w:val="restar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废气</w:t>
            </w: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r>
              <w:rPr>
                <w:rFonts w:hint="eastAsia" w:cs="Times New Roman"/>
                <w:sz w:val="21"/>
              </w:rPr>
              <w:t>填埋废气</w:t>
            </w:r>
          </w:p>
        </w:tc>
        <w:tc>
          <w:tcPr>
            <w:tcW w:w="3093" w:type="pct"/>
            <w:vAlign w:val="center"/>
          </w:tcPr>
          <w:p>
            <w:pPr>
              <w:kinsoku w:val="0"/>
              <w:overflowPunct w:val="0"/>
              <w:autoSpaceDE w:val="0"/>
              <w:autoSpaceDN w:val="0"/>
              <w:adjustRightInd w:val="0"/>
              <w:snapToGrid w:val="0"/>
              <w:ind w:firstLine="420" w:firstLineChars="200"/>
              <w:rPr>
                <w:szCs w:val="21"/>
              </w:rPr>
            </w:pPr>
            <w:r>
              <w:rPr>
                <w:rFonts w:hint="eastAsia"/>
                <w:szCs w:val="21"/>
              </w:rPr>
              <w:t>在垃圾填埋场隔30m设一个导气石笼，设置高度高出垃圾填埋场填埋面1m以上；定期喷洒消臭、脱臭剂。</w:t>
            </w:r>
            <w:r>
              <w:rPr>
                <w:rFonts w:hint="eastAsia"/>
                <w:color w:val="FF0000"/>
                <w:szCs w:val="21"/>
              </w:rPr>
              <w:t>每日覆土以抑制臭味散发，防止蚊蝇孽生。</w:t>
            </w:r>
          </w:p>
        </w:tc>
        <w:tc>
          <w:tcPr>
            <w:tcW w:w="343" w:type="pct"/>
            <w:vAlign w:val="center"/>
          </w:tcPr>
          <w:p>
            <w:pPr>
              <w:kinsoku w:val="0"/>
              <w:overflowPunct w:val="0"/>
              <w:autoSpaceDE w:val="0"/>
              <w:autoSpaceDN w:val="0"/>
              <w:adjustRightInd w:val="0"/>
              <w:snapToGrid w:val="0"/>
              <w:jc w:val="center"/>
              <w:rPr>
                <w:szCs w:val="21"/>
              </w:rPr>
            </w:pPr>
            <w:r>
              <w:rPr>
                <w:rFonts w:hint="eastAsia"/>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填埋作业粉尘</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在填埋场</w:t>
            </w:r>
            <w:r>
              <w:rPr>
                <w:rFonts w:hint="eastAsia"/>
                <w:szCs w:val="21"/>
              </w:rPr>
              <w:t>库区</w:t>
            </w:r>
            <w:r>
              <w:rPr>
                <w:szCs w:val="21"/>
              </w:rPr>
              <w:t>四周建设防飞散网，高6.0m，共810m。</w:t>
            </w:r>
            <w:r>
              <w:rPr>
                <w:rFonts w:hint="eastAsia"/>
                <w:szCs w:val="21"/>
              </w:rPr>
              <w:t>定期洒水。</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调节池废气</w:t>
            </w:r>
          </w:p>
        </w:tc>
        <w:tc>
          <w:tcPr>
            <w:tcW w:w="3093" w:type="pct"/>
            <w:vAlign w:val="center"/>
          </w:tcPr>
          <w:p>
            <w:pPr>
              <w:kinsoku w:val="0"/>
              <w:overflowPunct w:val="0"/>
              <w:autoSpaceDE w:val="0"/>
              <w:autoSpaceDN w:val="0"/>
              <w:adjustRightInd w:val="0"/>
              <w:snapToGrid w:val="0"/>
              <w:ind w:firstLine="420" w:firstLineChars="200"/>
              <w:rPr>
                <w:szCs w:val="21"/>
              </w:rPr>
            </w:pPr>
            <w:r>
              <w:rPr>
                <w:rFonts w:hint="eastAsia"/>
                <w:szCs w:val="21"/>
              </w:rPr>
              <w:t>地埋式加盖密封，减少无组织废气逸散</w:t>
            </w:r>
          </w:p>
        </w:tc>
        <w:tc>
          <w:tcPr>
            <w:tcW w:w="343" w:type="pct"/>
            <w:vAlign w:val="center"/>
          </w:tcPr>
          <w:p>
            <w:pPr>
              <w:kinsoku w:val="0"/>
              <w:overflowPunct w:val="0"/>
              <w:autoSpaceDE w:val="0"/>
              <w:autoSpaceDN w:val="0"/>
              <w:adjustRightInd w:val="0"/>
              <w:snapToGrid w:val="0"/>
              <w:jc w:val="center"/>
              <w:rPr>
                <w:szCs w:val="21"/>
              </w:rPr>
            </w:pPr>
            <w:r>
              <w:rPr>
                <w:rFonts w:hint="eastAsia"/>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临时堆土区</w:t>
            </w:r>
          </w:p>
        </w:tc>
        <w:tc>
          <w:tcPr>
            <w:tcW w:w="3093" w:type="pct"/>
            <w:vAlign w:val="center"/>
          </w:tcPr>
          <w:p>
            <w:pPr>
              <w:kinsoku w:val="0"/>
              <w:overflowPunct w:val="0"/>
              <w:autoSpaceDE w:val="0"/>
              <w:autoSpaceDN w:val="0"/>
              <w:adjustRightInd w:val="0"/>
              <w:snapToGrid w:val="0"/>
              <w:ind w:firstLine="420" w:firstLineChars="200"/>
              <w:rPr>
                <w:szCs w:val="21"/>
              </w:rPr>
            </w:pPr>
            <w:r>
              <w:rPr>
                <w:rFonts w:hint="eastAsia"/>
                <w:szCs w:val="21"/>
              </w:rPr>
              <w:t>覆盖防尘网保存，定期洒水抑尘。</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restar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废水</w:t>
            </w: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生活污水</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生活污水经化粪池处理，</w:t>
            </w:r>
            <w:r>
              <w:rPr>
                <w:rFonts w:hint="eastAsia"/>
                <w:szCs w:val="21"/>
              </w:rPr>
              <w:t>待渗滤液处理站建成后排入处理站处理。</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渗滤液</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项目现</w:t>
            </w:r>
            <w:r>
              <w:rPr>
                <w:rFonts w:hint="eastAsia"/>
                <w:szCs w:val="21"/>
              </w:rPr>
              <w:t>渗滤液依托五原县隆兴昌镇生活垃圾填埋场渗滤液处理工程处理，</w:t>
            </w:r>
            <w:r>
              <w:rPr>
                <w:rFonts w:hint="eastAsia"/>
                <w:color w:val="FF0000"/>
                <w:szCs w:val="21"/>
              </w:rPr>
              <w:t>本次新建一座3m</w:t>
            </w:r>
            <w:r>
              <w:rPr>
                <w:rFonts w:hint="eastAsia"/>
                <w:color w:val="FF0000"/>
                <w:szCs w:val="21"/>
                <w:vertAlign w:val="superscript"/>
              </w:rPr>
              <w:t>3</w:t>
            </w:r>
            <w:r>
              <w:rPr>
                <w:rFonts w:hint="eastAsia"/>
                <w:color w:val="FF0000"/>
                <w:szCs w:val="21"/>
              </w:rPr>
              <w:t>/d 移动渗滤液处理站，处理工艺为“预处理+一级反渗透+二级反渗透+清水脱气及pH调节+消毒”的处理工艺，处理达标后回用，不外排。</w:t>
            </w:r>
          </w:p>
        </w:tc>
        <w:tc>
          <w:tcPr>
            <w:tcW w:w="343" w:type="pct"/>
            <w:vAlign w:val="center"/>
          </w:tcPr>
          <w:p>
            <w:pPr>
              <w:kinsoku w:val="0"/>
              <w:overflowPunct w:val="0"/>
              <w:autoSpaceDE w:val="0"/>
              <w:autoSpaceDN w:val="0"/>
              <w:adjustRightInd w:val="0"/>
              <w:snapToGrid w:val="0"/>
              <w:jc w:val="center"/>
              <w:rPr>
                <w:szCs w:val="21"/>
              </w:rPr>
            </w:pPr>
            <w:r>
              <w:rPr>
                <w:rFonts w:hint="eastAsia"/>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hint="eastAsia" w:cs="Times New Roman"/>
                <w:sz w:val="21"/>
              </w:rPr>
            </w:pPr>
            <w:r>
              <w:rPr>
                <w:rFonts w:hint="eastAsia" w:cs="Times New Roman"/>
                <w:color w:val="548235" w:themeColor="accent6" w:themeShade="BF"/>
                <w:sz w:val="21"/>
              </w:rPr>
              <w:t>反渗透膜冲洗废水</w:t>
            </w:r>
          </w:p>
        </w:tc>
        <w:tc>
          <w:tcPr>
            <w:tcW w:w="3093" w:type="pct"/>
            <w:vAlign w:val="center"/>
          </w:tcPr>
          <w:p>
            <w:pPr>
              <w:kinsoku w:val="0"/>
              <w:overflowPunct w:val="0"/>
              <w:autoSpaceDE w:val="0"/>
              <w:autoSpaceDN w:val="0"/>
              <w:adjustRightInd w:val="0"/>
              <w:snapToGrid w:val="0"/>
              <w:ind w:firstLine="420" w:firstLineChars="200"/>
              <w:rPr>
                <w:szCs w:val="21"/>
              </w:rPr>
            </w:pPr>
            <w:r>
              <w:rPr>
                <w:rFonts w:hint="eastAsia"/>
                <w:color w:val="548235" w:themeColor="accent6" w:themeShade="BF"/>
                <w:szCs w:val="21"/>
              </w:rPr>
              <w:t>排入渗滤液处理站处理，废水处理达标后用于绿化、填埋场洒水抑尘。</w:t>
            </w:r>
          </w:p>
        </w:tc>
        <w:tc>
          <w:tcPr>
            <w:tcW w:w="343" w:type="pct"/>
            <w:vAlign w:val="center"/>
          </w:tcPr>
          <w:p>
            <w:pPr>
              <w:kinsoku w:val="0"/>
              <w:overflowPunct w:val="0"/>
              <w:autoSpaceDE w:val="0"/>
              <w:autoSpaceDN w:val="0"/>
              <w:adjustRightInd w:val="0"/>
              <w:snapToGrid w:val="0"/>
              <w:jc w:val="center"/>
              <w:rPr>
                <w:rFonts w:hint="eastAsia"/>
                <w:szCs w:val="21"/>
              </w:rPr>
            </w:pPr>
            <w:r>
              <w:rPr>
                <w:rFonts w:hint="eastAsia"/>
                <w:color w:val="548235" w:themeColor="accent6" w:themeShade="BF"/>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restar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固废</w:t>
            </w: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生活垃圾</w:t>
            </w:r>
          </w:p>
        </w:tc>
        <w:tc>
          <w:tcPr>
            <w:tcW w:w="3093" w:type="pct"/>
            <w:vAlign w:val="center"/>
          </w:tcPr>
          <w:p>
            <w:pPr>
              <w:kinsoku w:val="0"/>
              <w:overflowPunct w:val="0"/>
              <w:autoSpaceDE w:val="0"/>
              <w:autoSpaceDN w:val="0"/>
              <w:adjustRightInd w:val="0"/>
              <w:snapToGrid w:val="0"/>
              <w:ind w:firstLine="420" w:firstLineChars="200"/>
              <w:rPr>
                <w:szCs w:val="21"/>
              </w:rPr>
            </w:pPr>
            <w:r>
              <w:rPr>
                <w:rFonts w:hint="eastAsia"/>
                <w:szCs w:val="21"/>
              </w:rPr>
              <w:t>员工生活垃圾运至本项目生活垃圾填埋库区卫生填埋。</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污泥</w:t>
            </w:r>
          </w:p>
        </w:tc>
        <w:tc>
          <w:tcPr>
            <w:tcW w:w="3093" w:type="pct"/>
            <w:vAlign w:val="center"/>
          </w:tcPr>
          <w:p>
            <w:pPr>
              <w:kinsoku w:val="0"/>
              <w:overflowPunct w:val="0"/>
              <w:autoSpaceDE w:val="0"/>
              <w:autoSpaceDN w:val="0"/>
              <w:adjustRightInd w:val="0"/>
              <w:snapToGrid w:val="0"/>
              <w:ind w:firstLine="420" w:firstLineChars="200"/>
              <w:rPr>
                <w:szCs w:val="21"/>
              </w:rPr>
            </w:pPr>
            <w:r>
              <w:rPr>
                <w:rFonts w:hint="eastAsia"/>
                <w:szCs w:val="21"/>
              </w:rPr>
              <w:t>渗滤液调节池污泥经板框压滤机脱水后含水率小于60%，运至生活垃圾填埋库区卫生填埋。</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6"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723" w:type="pct"/>
            <w:gridSpan w:val="2"/>
            <w:vAlign w:val="center"/>
          </w:tcPr>
          <w:p>
            <w:pPr>
              <w:pStyle w:val="44"/>
              <w:kinsoku w:val="0"/>
              <w:overflowPunct w:val="0"/>
              <w:autoSpaceDE w:val="0"/>
              <w:autoSpaceDN w:val="0"/>
              <w:adjustRightInd w:val="0"/>
              <w:snapToGrid w:val="0"/>
              <w:spacing w:line="240" w:lineRule="auto"/>
              <w:ind w:firstLine="0" w:firstLineChars="0"/>
              <w:jc w:val="center"/>
              <w:rPr>
                <w:rFonts w:cs="Times New Roman"/>
                <w:color w:val="FF0000"/>
                <w:sz w:val="21"/>
              </w:rPr>
            </w:pPr>
            <w:r>
              <w:rPr>
                <w:rFonts w:hint="eastAsia" w:cs="Times New Roman"/>
                <w:color w:val="FF0000"/>
                <w:sz w:val="21"/>
              </w:rPr>
              <w:t>废旧反渗透膜</w:t>
            </w:r>
          </w:p>
        </w:tc>
        <w:tc>
          <w:tcPr>
            <w:tcW w:w="3093" w:type="pct"/>
            <w:vAlign w:val="center"/>
          </w:tcPr>
          <w:p>
            <w:pPr>
              <w:kinsoku w:val="0"/>
              <w:overflowPunct w:val="0"/>
              <w:autoSpaceDE w:val="0"/>
              <w:autoSpaceDN w:val="0"/>
              <w:adjustRightInd w:val="0"/>
              <w:snapToGrid w:val="0"/>
              <w:ind w:firstLine="420" w:firstLineChars="200"/>
              <w:rPr>
                <w:color w:val="FF0000"/>
                <w:szCs w:val="21"/>
              </w:rPr>
            </w:pPr>
            <w:r>
              <w:rPr>
                <w:rFonts w:hint="eastAsia"/>
                <w:color w:val="FF0000"/>
                <w:szCs w:val="21"/>
              </w:rPr>
              <w:t>渗滤液处理车间处理产生的废旧反渗透膜，由厂家定期更换回收，不在项目区存储。</w:t>
            </w:r>
          </w:p>
        </w:tc>
        <w:tc>
          <w:tcPr>
            <w:tcW w:w="343" w:type="pct"/>
            <w:vAlign w:val="center"/>
          </w:tcPr>
          <w:p>
            <w:pPr>
              <w:kinsoku w:val="0"/>
              <w:overflowPunct w:val="0"/>
              <w:autoSpaceDE w:val="0"/>
              <w:autoSpaceDN w:val="0"/>
              <w:adjustRightInd w:val="0"/>
              <w:snapToGrid w:val="0"/>
              <w:jc w:val="center"/>
              <w:rPr>
                <w:color w:val="FF0000"/>
                <w:szCs w:val="21"/>
              </w:rPr>
            </w:pPr>
            <w:r>
              <w:rPr>
                <w:rFonts w:hint="eastAsia"/>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p>
        </w:tc>
        <w:tc>
          <w:tcPr>
            <w:tcW w:w="334" w:type="pct"/>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噪声</w:t>
            </w:r>
          </w:p>
        </w:tc>
        <w:tc>
          <w:tcPr>
            <w:tcW w:w="3816" w:type="pct"/>
            <w:gridSpan w:val="3"/>
            <w:vAlign w:val="center"/>
          </w:tcPr>
          <w:p>
            <w:pPr>
              <w:kinsoku w:val="0"/>
              <w:overflowPunct w:val="0"/>
              <w:autoSpaceDE w:val="0"/>
              <w:autoSpaceDN w:val="0"/>
              <w:adjustRightInd w:val="0"/>
              <w:snapToGrid w:val="0"/>
              <w:ind w:firstLine="420" w:firstLineChars="200"/>
              <w:jc w:val="center"/>
              <w:rPr>
                <w:szCs w:val="21"/>
              </w:rPr>
            </w:pPr>
            <w:r>
              <w:rPr>
                <w:rFonts w:hint="eastAsia"/>
                <w:szCs w:val="21"/>
              </w:rPr>
              <w:t>采取选用低噪音设备、绿化隔音等措施。</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c>
          <w:tcPr>
            <w:tcW w:w="1057" w:type="pct"/>
            <w:gridSpan w:val="3"/>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水质监测井</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设置5处：本底井一眼，设在填埋场区的南侧30m处、地下水流向的上游。污染扩散井两眼，设在填埋场区的西、东侧各30m处。污染监测井两眼，设在填埋场区的东侧30m及北侧50m处、地下水流向的下游。</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507" w:type="pct"/>
            <w:vMerge w:val="continue"/>
            <w:vAlign w:val="center"/>
          </w:tcPr>
          <w:p>
            <w:pPr>
              <w:kinsoku w:val="0"/>
              <w:overflowPunct w:val="0"/>
              <w:autoSpaceDE w:val="0"/>
              <w:autoSpaceDN w:val="0"/>
              <w:adjustRightInd w:val="0"/>
              <w:snapToGrid w:val="0"/>
              <w:jc w:val="center"/>
              <w:rPr>
                <w:szCs w:val="21"/>
              </w:rPr>
            </w:pPr>
          </w:p>
        </w:tc>
        <w:tc>
          <w:tcPr>
            <w:tcW w:w="1057" w:type="pct"/>
            <w:gridSpan w:val="3"/>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厂区绿化（包含绿化带）</w:t>
            </w:r>
          </w:p>
        </w:tc>
        <w:tc>
          <w:tcPr>
            <w:tcW w:w="3093" w:type="pct"/>
            <w:vAlign w:val="center"/>
          </w:tcPr>
          <w:p>
            <w:pPr>
              <w:kinsoku w:val="0"/>
              <w:overflowPunct w:val="0"/>
              <w:autoSpaceDE w:val="0"/>
              <w:autoSpaceDN w:val="0"/>
              <w:adjustRightInd w:val="0"/>
              <w:snapToGrid w:val="0"/>
              <w:ind w:firstLine="420" w:firstLineChars="200"/>
              <w:rPr>
                <w:szCs w:val="21"/>
              </w:rPr>
            </w:pPr>
            <w:r>
              <w:rPr>
                <w:szCs w:val="21"/>
              </w:rPr>
              <w:t>主要为场界及填埋区旁、办公区空地的绿化，绿化面积11850m</w:t>
            </w:r>
            <w:r>
              <w:rPr>
                <w:szCs w:val="21"/>
                <w:vertAlign w:val="superscript"/>
              </w:rPr>
              <w:t>2</w:t>
            </w:r>
            <w:r>
              <w:rPr>
                <w:szCs w:val="21"/>
              </w:rPr>
              <w:t>。</w:t>
            </w:r>
          </w:p>
        </w:tc>
        <w:tc>
          <w:tcPr>
            <w:tcW w:w="343" w:type="pct"/>
            <w:vAlign w:val="center"/>
          </w:tcPr>
          <w:p>
            <w:pPr>
              <w:kinsoku w:val="0"/>
              <w:overflowPunct w:val="0"/>
              <w:autoSpaceDE w:val="0"/>
              <w:autoSpaceDN w:val="0"/>
              <w:adjustRightInd w:val="0"/>
              <w:snapToGrid w:val="0"/>
              <w:jc w:val="center"/>
              <w:rPr>
                <w:szCs w:val="21"/>
              </w:rPr>
            </w:pPr>
            <w:r>
              <w:rPr>
                <w:szCs w:val="21"/>
              </w:rPr>
              <w:t>已建</w:t>
            </w:r>
          </w:p>
        </w:tc>
      </w:tr>
    </w:tbl>
    <w:p>
      <w:pPr>
        <w:pStyle w:val="825"/>
        <w:ind w:firstLine="480"/>
        <w:sectPr>
          <w:pgSz w:w="11906" w:h="16838"/>
          <w:pgMar w:top="1440" w:right="1800" w:bottom="1440" w:left="1800" w:header="851" w:footer="992" w:gutter="0"/>
          <w:cols w:space="720" w:num="1"/>
          <w:docGrid w:type="lines" w:linePitch="312" w:charSpace="0"/>
        </w:sectPr>
      </w:pPr>
    </w:p>
    <w:p>
      <w:pPr>
        <w:spacing w:line="360" w:lineRule="auto"/>
        <w:rPr>
          <w:sz w:val="24"/>
          <w:vertAlign w:val="superscript"/>
        </w:rPr>
        <w:sectPr>
          <w:type w:val="continuous"/>
          <w:pgSz w:w="11906" w:h="16838"/>
          <w:pgMar w:top="1440" w:right="1800" w:bottom="1440" w:left="1800" w:header="851" w:footer="992" w:gutter="0"/>
          <w:cols w:space="720" w:num="1"/>
          <w:docGrid w:type="lines" w:linePitch="312" w:charSpace="0"/>
        </w:sectPr>
      </w:pPr>
    </w:p>
    <w:p>
      <w:pPr>
        <w:spacing w:line="360" w:lineRule="auto"/>
        <w:rPr>
          <w:b/>
          <w:sz w:val="24"/>
        </w:rPr>
      </w:pPr>
      <w:r>
        <w:rPr>
          <w:b/>
          <w:sz w:val="24"/>
        </w:rPr>
        <mc:AlternateContent>
          <mc:Choice Requires="wps">
            <w:drawing>
              <wp:anchor distT="0" distB="0" distL="114300" distR="114300" simplePos="0" relativeHeight="251672576" behindDoc="0" locked="0" layoutInCell="1" allowOverlap="1">
                <wp:simplePos x="0" y="0"/>
                <wp:positionH relativeFrom="column">
                  <wp:posOffset>3326130</wp:posOffset>
                </wp:positionH>
                <wp:positionV relativeFrom="paragraph">
                  <wp:posOffset>2488565</wp:posOffset>
                </wp:positionV>
                <wp:extent cx="1168400" cy="293370"/>
                <wp:effectExtent l="0" t="0" r="0" b="0"/>
                <wp:wrapNone/>
                <wp:docPr id="49" name="Text Box 393"/>
                <wp:cNvGraphicFramePr/>
                <a:graphic xmlns:a="http://schemas.openxmlformats.org/drawingml/2006/main">
                  <a:graphicData uri="http://schemas.microsoft.com/office/word/2010/wordprocessingShape">
                    <wps:wsp>
                      <wps:cNvSpPr txBox="1">
                        <a:spLocks noChangeArrowheads="1"/>
                      </wps:cNvSpPr>
                      <wps:spPr bwMode="auto">
                        <a:xfrm>
                          <a:off x="0" y="0"/>
                          <a:ext cx="1168400" cy="293370"/>
                        </a:xfrm>
                        <a:prstGeom prst="rect">
                          <a:avLst/>
                        </a:prstGeom>
                        <a:noFill/>
                        <a:ln>
                          <a:noFill/>
                        </a:ln>
                      </wps:spPr>
                      <wps:txbx>
                        <w:txbxContent>
                          <w:p>
                            <w:pPr>
                              <w:rPr>
                                <w:b/>
                                <w:color w:val="FF0000"/>
                              </w:rPr>
                            </w:pPr>
                            <w:r>
                              <w:rPr>
                                <w:rFonts w:hint="eastAsia"/>
                                <w:b/>
                                <w:color w:val="FF0000"/>
                              </w:rPr>
                              <w:t>填埋区</w:t>
                            </w:r>
                          </w:p>
                        </w:txbxContent>
                      </wps:txbx>
                      <wps:bodyPr rot="0" vert="horz" wrap="square" lIns="91440" tIns="45720" rIns="91440" bIns="45720" anchor="t" anchorCtr="0" upright="1">
                        <a:noAutofit/>
                      </wps:bodyPr>
                    </wps:wsp>
                  </a:graphicData>
                </a:graphic>
              </wp:anchor>
            </w:drawing>
          </mc:Choice>
          <mc:Fallback>
            <w:pict>
              <v:shape id="Text Box 393" o:spid="_x0000_s1026" o:spt="202" type="#_x0000_t202" style="position:absolute;left:0pt;margin-left:261.9pt;margin-top:195.95pt;height:23.1pt;width:92pt;z-index:251672576;mso-width-relative:page;mso-height-relative:page;" filled="f" stroked="f" coordsize="21600,21600" o:gfxdata="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caCdtkAAAALAQAADwAAAAAAAAABACAAAAAi&#10;AAAAZHJzL2Rvd25yZXYueG1sUEsBAhQAFAAAAAgAh07iQAw6dlUJAgAAFwQAAA4AAAAAAAAAAQAg&#10;AAAAKAEAAGRycy9lMm9Eb2MueG1sUEsFBgAAAAAGAAYAWQEAAKMFAAAAAA==&#10;">
                <v:fill on="f" focussize="0,0"/>
                <v:stroke on="f"/>
                <v:imagedata o:title=""/>
                <o:lock v:ext="edit" aspectratio="f"/>
                <v:textbox>
                  <w:txbxContent>
                    <w:p>
                      <w:pPr>
                        <w:rPr>
                          <w:b/>
                          <w:color w:val="FF0000"/>
                        </w:rPr>
                      </w:pPr>
                      <w:r>
                        <w:rPr>
                          <w:rFonts w:hint="eastAsia"/>
                          <w:b/>
                          <w:color w:val="FF0000"/>
                        </w:rPr>
                        <w:t>填埋区</w:t>
                      </w:r>
                    </w:p>
                  </w:txbxContent>
                </v:textbox>
              </v:shape>
            </w:pict>
          </mc:Fallback>
        </mc:AlternateContent>
      </w:r>
      <w:r>
        <w:rPr>
          <w:b/>
          <w:sz w:val="24"/>
        </w:rPr>
        <mc:AlternateContent>
          <mc:Choice Requires="wps">
            <w:drawing>
              <wp:anchor distT="0" distB="0" distL="114300" distR="114300" simplePos="0" relativeHeight="251675648" behindDoc="0" locked="0" layoutInCell="1" allowOverlap="1">
                <wp:simplePos x="0" y="0"/>
                <wp:positionH relativeFrom="column">
                  <wp:posOffset>511810</wp:posOffset>
                </wp:positionH>
                <wp:positionV relativeFrom="paragraph">
                  <wp:posOffset>2444115</wp:posOffset>
                </wp:positionV>
                <wp:extent cx="1168400" cy="293370"/>
                <wp:effectExtent l="2540" t="0" r="635" b="3810"/>
                <wp:wrapNone/>
                <wp:docPr id="52" name="Text Box 396"/>
                <wp:cNvGraphicFramePr/>
                <a:graphic xmlns:a="http://schemas.openxmlformats.org/drawingml/2006/main">
                  <a:graphicData uri="http://schemas.microsoft.com/office/word/2010/wordprocessingShape">
                    <wps:wsp>
                      <wps:cNvSpPr txBox="1">
                        <a:spLocks noChangeArrowheads="1"/>
                      </wps:cNvSpPr>
                      <wps:spPr bwMode="auto">
                        <a:xfrm>
                          <a:off x="0" y="0"/>
                          <a:ext cx="1168400" cy="293370"/>
                        </a:xfrm>
                        <a:prstGeom prst="rect">
                          <a:avLst/>
                        </a:prstGeom>
                        <a:noFill/>
                        <a:ln>
                          <a:noFill/>
                        </a:ln>
                      </wps:spPr>
                      <wps:txbx>
                        <w:txbxContent>
                          <w:p>
                            <w:pPr>
                              <w:rPr>
                                <w:b/>
                                <w:color w:val="FF0000"/>
                              </w:rPr>
                            </w:pPr>
                            <w:r>
                              <w:rPr>
                                <w:rFonts w:hint="eastAsia"/>
                                <w:b/>
                                <w:color w:val="FF0000"/>
                              </w:rPr>
                              <w:t>调节池</w:t>
                            </w:r>
                          </w:p>
                        </w:txbxContent>
                      </wps:txbx>
                      <wps:bodyPr rot="0" vert="horz" wrap="square" lIns="91440" tIns="45720" rIns="91440" bIns="45720" anchor="t" anchorCtr="0" upright="1">
                        <a:noAutofit/>
                      </wps:bodyPr>
                    </wps:wsp>
                  </a:graphicData>
                </a:graphic>
              </wp:anchor>
            </w:drawing>
          </mc:Choice>
          <mc:Fallback>
            <w:pict>
              <v:shape id="Text Box 396" o:spid="_x0000_s1026" o:spt="202" type="#_x0000_t202" style="position:absolute;left:0pt;margin-left:40.3pt;margin-top:192.45pt;height:23.1pt;width:92pt;z-index:251675648;mso-width-relative:page;mso-height-relative:page;" filled="f" stroked="f" coordsize="21600,21600" o:gfxdata="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xf/eC1wAAAAoBAAAPAAAAAAAAAAEAIAAAACIA&#10;AABkcnMvZG93bnJldi54bWxQSwECFAAUAAAACACHTuJArYuNOQoCAAAXBAAADgAAAAAAAAABACAA&#10;AAAmAQAAZHJzL2Uyb0RvYy54bWxQSwUGAAAAAAYABgBZAQAAogUAAAAA&#10;">
                <v:fill on="f" focussize="0,0"/>
                <v:stroke on="f"/>
                <v:imagedata o:title=""/>
                <o:lock v:ext="edit" aspectratio="f"/>
                <v:textbox>
                  <w:txbxContent>
                    <w:p>
                      <w:pPr>
                        <w:rPr>
                          <w:b/>
                          <w:color w:val="FF0000"/>
                        </w:rPr>
                      </w:pPr>
                      <w:r>
                        <w:rPr>
                          <w:rFonts w:hint="eastAsia"/>
                          <w:b/>
                          <w:color w:val="FF0000"/>
                        </w:rPr>
                        <w:t>调节池</w:t>
                      </w:r>
                    </w:p>
                  </w:txbxContent>
                </v:textbox>
              </v:shape>
            </w:pict>
          </mc:Fallback>
        </mc:AlternateContent>
      </w:r>
      <w:r>
        <w:rPr>
          <w:b/>
          <w:sz w:val="24"/>
        </w:rPr>
        <mc:AlternateContent>
          <mc:Choice Requires="wps">
            <w:drawing>
              <wp:anchor distT="0" distB="0" distL="114300" distR="114300" simplePos="0" relativeHeight="251674624" behindDoc="0" locked="0" layoutInCell="1" allowOverlap="1">
                <wp:simplePos x="0" y="0"/>
                <wp:positionH relativeFrom="column">
                  <wp:posOffset>6442075</wp:posOffset>
                </wp:positionH>
                <wp:positionV relativeFrom="paragraph">
                  <wp:posOffset>1965960</wp:posOffset>
                </wp:positionV>
                <wp:extent cx="1168400" cy="293370"/>
                <wp:effectExtent l="1905" t="0" r="1270" b="0"/>
                <wp:wrapNone/>
                <wp:docPr id="51" name="Text Box 395"/>
                <wp:cNvGraphicFramePr/>
                <a:graphic xmlns:a="http://schemas.openxmlformats.org/drawingml/2006/main">
                  <a:graphicData uri="http://schemas.microsoft.com/office/word/2010/wordprocessingShape">
                    <wps:wsp>
                      <wps:cNvSpPr txBox="1">
                        <a:spLocks noChangeArrowheads="1"/>
                      </wps:cNvSpPr>
                      <wps:spPr bwMode="auto">
                        <a:xfrm>
                          <a:off x="0" y="0"/>
                          <a:ext cx="1168400" cy="293370"/>
                        </a:xfrm>
                        <a:prstGeom prst="rect">
                          <a:avLst/>
                        </a:prstGeom>
                        <a:noFill/>
                        <a:ln>
                          <a:noFill/>
                        </a:ln>
                      </wps:spPr>
                      <wps:txbx>
                        <w:txbxContent>
                          <w:p>
                            <w:pPr>
                              <w:rPr>
                                <w:b/>
                                <w:color w:val="FF0000"/>
                              </w:rPr>
                            </w:pPr>
                            <w:r>
                              <w:rPr>
                                <w:rFonts w:hint="eastAsia"/>
                                <w:b/>
                                <w:color w:val="FF0000"/>
                              </w:rPr>
                              <w:t>调节池</w:t>
                            </w:r>
                          </w:p>
                        </w:txbxContent>
                      </wps:txbx>
                      <wps:bodyPr rot="0" vert="horz" wrap="square" lIns="91440" tIns="45720" rIns="91440" bIns="45720" anchor="t" anchorCtr="0" upright="1">
                        <a:noAutofit/>
                      </wps:bodyPr>
                    </wps:wsp>
                  </a:graphicData>
                </a:graphic>
              </wp:anchor>
            </w:drawing>
          </mc:Choice>
          <mc:Fallback>
            <w:pict>
              <v:shape id="Text Box 395" o:spid="_x0000_s1026" o:spt="202" type="#_x0000_t202" style="position:absolute;left:0pt;margin-left:507.25pt;margin-top:154.8pt;height:23.1pt;width:92pt;z-index:251674624;mso-width-relative:page;mso-height-relative:page;" filled="f" stroked="f" coordsize="21600,21600" o:gfxdata="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bPLVNgAAAANAQAADwAAAAAAAAABACAAAAAi&#10;AAAAZHJzL2Rvd25yZXYueG1sUEsBAhQAFAAAAAgAh07iQJE/QMEKAgAAFwQAAA4AAAAAAAAAAQAg&#10;AAAAJwEAAGRycy9lMm9Eb2MueG1sUEsFBgAAAAAGAAYAWQEAAKMFAAAAAA==&#10;">
                <v:fill on="f" focussize="0,0"/>
                <v:stroke on="f"/>
                <v:imagedata o:title=""/>
                <o:lock v:ext="edit" aspectratio="f"/>
                <v:textbox>
                  <w:txbxContent>
                    <w:p>
                      <w:pPr>
                        <w:rPr>
                          <w:b/>
                          <w:color w:val="FF0000"/>
                        </w:rPr>
                      </w:pPr>
                      <w:r>
                        <w:rPr>
                          <w:rFonts w:hint="eastAsia"/>
                          <w:b/>
                          <w:color w:val="FF0000"/>
                        </w:rPr>
                        <w:t>调节池</w:t>
                      </w:r>
                    </w:p>
                  </w:txbxContent>
                </v:textbox>
              </v:shape>
            </w:pict>
          </mc:Fallback>
        </mc:AlternateContent>
      </w:r>
      <w:r>
        <w:rPr>
          <w:b/>
          <w:sz w:val="24"/>
        </w:rPr>
        <mc:AlternateContent>
          <mc:Choice Requires="wps">
            <w:drawing>
              <wp:anchor distT="0" distB="0" distL="114300" distR="114300" simplePos="0" relativeHeight="251673600" behindDoc="0" locked="0" layoutInCell="1" allowOverlap="1">
                <wp:simplePos x="0" y="0"/>
                <wp:positionH relativeFrom="column">
                  <wp:posOffset>7030720</wp:posOffset>
                </wp:positionH>
                <wp:positionV relativeFrom="paragraph">
                  <wp:posOffset>2896870</wp:posOffset>
                </wp:positionV>
                <wp:extent cx="1168400" cy="293370"/>
                <wp:effectExtent l="0" t="0" r="0" b="0"/>
                <wp:wrapNone/>
                <wp:docPr id="50" name="Text Box 394"/>
                <wp:cNvGraphicFramePr/>
                <a:graphic xmlns:a="http://schemas.openxmlformats.org/drawingml/2006/main">
                  <a:graphicData uri="http://schemas.microsoft.com/office/word/2010/wordprocessingShape">
                    <wps:wsp>
                      <wps:cNvSpPr txBox="1">
                        <a:spLocks noChangeArrowheads="1"/>
                      </wps:cNvSpPr>
                      <wps:spPr bwMode="auto">
                        <a:xfrm>
                          <a:off x="0" y="0"/>
                          <a:ext cx="1168400" cy="293370"/>
                        </a:xfrm>
                        <a:prstGeom prst="rect">
                          <a:avLst/>
                        </a:prstGeom>
                        <a:noFill/>
                        <a:ln>
                          <a:noFill/>
                        </a:ln>
                      </wps:spPr>
                      <wps:txbx>
                        <w:txbxContent>
                          <w:p>
                            <w:pPr>
                              <w:rPr>
                                <w:b/>
                                <w:color w:val="FF0000"/>
                              </w:rPr>
                            </w:pPr>
                            <w:r>
                              <w:rPr>
                                <w:rFonts w:hint="eastAsia"/>
                                <w:b/>
                                <w:color w:val="FF0000"/>
                              </w:rPr>
                              <w:t>办公管理区</w:t>
                            </w:r>
                          </w:p>
                        </w:txbxContent>
                      </wps:txbx>
                      <wps:bodyPr rot="0" vert="horz" wrap="square" lIns="91440" tIns="45720" rIns="91440" bIns="45720" anchor="t" anchorCtr="0" upright="1">
                        <a:noAutofit/>
                      </wps:bodyPr>
                    </wps:wsp>
                  </a:graphicData>
                </a:graphic>
              </wp:anchor>
            </w:drawing>
          </mc:Choice>
          <mc:Fallback>
            <w:pict>
              <v:shape id="Text Box 394" o:spid="_x0000_s1026" o:spt="202" type="#_x0000_t202" style="position:absolute;left:0pt;margin-left:553.6pt;margin-top:228.1pt;height:23.1pt;width:92pt;z-index:251673600;mso-width-relative:page;mso-height-relative:page;" filled="f" stroked="f" coordsize="21600,21600" o:gfxdata="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QjV4C2AAAAA0BAAAPAAAAAAAAAAEAIAAAACIA&#10;AABkcnMvZG93bnJldi54bWxQSwECFAAUAAAACACHTuJAhVP7lgkCAAAXBAAADgAAAAAAAAABACAA&#10;AAAnAQAAZHJzL2Uyb0RvYy54bWxQSwUGAAAAAAYABgBZAQAAogUAAAAA&#10;">
                <v:fill on="f" focussize="0,0"/>
                <v:stroke on="f"/>
                <v:imagedata o:title=""/>
                <o:lock v:ext="edit" aspectratio="f"/>
                <v:textbox>
                  <w:txbxContent>
                    <w:p>
                      <w:pPr>
                        <w:rPr>
                          <w:b/>
                          <w:color w:val="FF0000"/>
                        </w:rPr>
                      </w:pPr>
                      <w:r>
                        <w:rPr>
                          <w:rFonts w:hint="eastAsia"/>
                          <w:b/>
                          <w:color w:val="FF0000"/>
                        </w:rPr>
                        <w:t>办公管理区</w:t>
                      </w:r>
                    </w:p>
                  </w:txbxContent>
                </v:textbox>
              </v:shape>
            </w:pict>
          </mc:Fallback>
        </mc:AlternateContent>
      </w:r>
      <w:r>
        <w:rPr>
          <w:b/>
          <w:sz w:val="24"/>
        </w:rPr>
        <w:drawing>
          <wp:inline distT="0" distB="0" distL="0" distR="0">
            <wp:extent cx="8863330" cy="438658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7"/>
                    <a:stretch>
                      <a:fillRect/>
                    </a:stretch>
                  </pic:blipFill>
                  <pic:spPr>
                    <a:xfrm>
                      <a:off x="0" y="0"/>
                      <a:ext cx="8863330" cy="4386580"/>
                    </a:xfrm>
                    <a:prstGeom prst="rect">
                      <a:avLst/>
                    </a:prstGeom>
                  </pic:spPr>
                </pic:pic>
              </a:graphicData>
            </a:graphic>
          </wp:inline>
        </w:drawing>
      </w:r>
    </w:p>
    <w:p>
      <w:pPr>
        <w:jc w:val="center"/>
        <w:rPr>
          <w:b/>
          <w:sz w:val="24"/>
        </w:rPr>
      </w:pPr>
      <w:r>
        <w:rPr>
          <w:b/>
          <w:sz w:val="24"/>
        </w:rPr>
        <w:t xml:space="preserve">图3.1-3 </w:t>
      </w:r>
      <w:r>
        <w:rPr>
          <w:rFonts w:hint="eastAsia"/>
          <w:b/>
          <w:sz w:val="24"/>
        </w:rPr>
        <w:t>平面布置</w:t>
      </w:r>
      <w:r>
        <w:rPr>
          <w:b/>
          <w:sz w:val="24"/>
        </w:rPr>
        <w:t>图</w:t>
      </w:r>
    </w:p>
    <w:p>
      <w:pPr>
        <w:spacing w:line="360" w:lineRule="auto"/>
        <w:rPr>
          <w:b/>
          <w:sz w:val="24"/>
        </w:rPr>
      </w:pPr>
    </w:p>
    <w:p>
      <w:pPr>
        <w:spacing w:line="360" w:lineRule="auto"/>
        <w:rPr>
          <w:b/>
          <w:sz w:val="24"/>
        </w:rPr>
        <w:sectPr>
          <w:pgSz w:w="16838" w:h="11906" w:orient="landscape"/>
          <w:pgMar w:top="1800" w:right="1440" w:bottom="1800" w:left="1440" w:header="851" w:footer="992" w:gutter="0"/>
          <w:cols w:space="720" w:num="1"/>
          <w:docGrid w:type="lines" w:linePitch="312" w:charSpace="0"/>
        </w:sectPr>
      </w:pPr>
    </w:p>
    <w:p>
      <w:pPr>
        <w:spacing w:line="360" w:lineRule="auto"/>
        <w:rPr>
          <w:b/>
          <w:sz w:val="24"/>
        </w:rPr>
      </w:pPr>
      <w:r>
        <w:rPr>
          <w:b/>
          <w:sz w:val="24"/>
        </w:rPr>
        <mc:AlternateContent>
          <mc:Choice Requires="wps">
            <w:drawing>
              <wp:anchor distT="0" distB="0" distL="114300" distR="114300" simplePos="0" relativeHeight="251669504" behindDoc="0" locked="0" layoutInCell="1" allowOverlap="1">
                <wp:simplePos x="0" y="0"/>
                <wp:positionH relativeFrom="column">
                  <wp:posOffset>3533775</wp:posOffset>
                </wp:positionH>
                <wp:positionV relativeFrom="paragraph">
                  <wp:posOffset>1181100</wp:posOffset>
                </wp:positionV>
                <wp:extent cx="765175" cy="274320"/>
                <wp:effectExtent l="3810" t="0" r="2540" b="4445"/>
                <wp:wrapNone/>
                <wp:docPr id="48" name="Text Box 331"/>
                <wp:cNvGraphicFramePr/>
                <a:graphic xmlns:a="http://schemas.openxmlformats.org/drawingml/2006/main">
                  <a:graphicData uri="http://schemas.microsoft.com/office/word/2010/wordprocessingShape">
                    <wps:wsp>
                      <wps:cNvSpPr txBox="1">
                        <a:spLocks noChangeArrowheads="1"/>
                      </wps:cNvSpPr>
                      <wps:spPr bwMode="auto">
                        <a:xfrm>
                          <a:off x="0" y="0"/>
                          <a:ext cx="765175" cy="274320"/>
                        </a:xfrm>
                        <a:prstGeom prst="rect">
                          <a:avLst/>
                        </a:prstGeom>
                        <a:noFill/>
                        <a:ln>
                          <a:noFill/>
                        </a:ln>
                      </wps:spPr>
                      <wps:txbx>
                        <w:txbxContent>
                          <w:p>
                            <w:pPr>
                              <w:rPr>
                                <w:color w:val="66FF33"/>
                              </w:rPr>
                            </w:pPr>
                            <w:r>
                              <w:rPr>
                                <w:rFonts w:hint="eastAsia"/>
                                <w:color w:val="66FF33"/>
                              </w:rPr>
                              <w:t>导气管</w:t>
                            </w:r>
                          </w:p>
                        </w:txbxContent>
                      </wps:txbx>
                      <wps:bodyPr rot="0" vert="horz" wrap="square" lIns="91440" tIns="45720" rIns="91440" bIns="45720" anchor="t" anchorCtr="0" upright="1">
                        <a:noAutofit/>
                      </wps:bodyPr>
                    </wps:wsp>
                  </a:graphicData>
                </a:graphic>
              </wp:anchor>
            </w:drawing>
          </mc:Choice>
          <mc:Fallback>
            <w:pict>
              <v:shape id="Text Box 331" o:spid="_x0000_s1026" o:spt="202" type="#_x0000_t202" style="position:absolute;left:0pt;margin-left:278.25pt;margin-top:93pt;height:21.6pt;width:60.25pt;z-index:251669504;mso-width-relative:page;mso-height-relative:page;" filled="f" stroked="f" coordsize="21600,21600" o:gfxdata="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e4ETe2AAAAAsBAAAPAAAAAAAAAAEAIAAAACIA&#10;AABkcnMvZG93bnJldi54bWxQSwECFAAUAAAACACHTuJA2LaxfwkCAAAWBAAADgAAAAAAAAABACAA&#10;AAAnAQAAZHJzL2Uyb0RvYy54bWxQSwUGAAAAAAYABgBZAQAAogUAAAAA&#10;">
                <v:fill on="f" focussize="0,0"/>
                <v:stroke on="f"/>
                <v:imagedata o:title=""/>
                <o:lock v:ext="edit" aspectratio="f"/>
                <v:textbox>
                  <w:txbxContent>
                    <w:p>
                      <w:pPr>
                        <w:rPr>
                          <w:color w:val="66FF33"/>
                        </w:rPr>
                      </w:pPr>
                      <w:r>
                        <w:rPr>
                          <w:rFonts w:hint="eastAsia"/>
                          <w:color w:val="66FF33"/>
                        </w:rPr>
                        <w:t>导气管</w:t>
                      </w:r>
                    </w:p>
                  </w:txbxContent>
                </v:textbox>
              </v:shape>
            </w:pict>
          </mc:Fallback>
        </mc:AlternateContent>
      </w:r>
      <w:r>
        <w:rPr>
          <w:b/>
          <w:sz w:val="24"/>
        </w:rPr>
        <mc:AlternateContent>
          <mc:Choice Requires="wps">
            <w:drawing>
              <wp:anchor distT="0" distB="0" distL="114300" distR="114300" simplePos="0" relativeHeight="251668480" behindDoc="0" locked="0" layoutInCell="1" allowOverlap="1">
                <wp:simplePos x="0" y="0"/>
                <wp:positionH relativeFrom="column">
                  <wp:posOffset>695325</wp:posOffset>
                </wp:positionH>
                <wp:positionV relativeFrom="paragraph">
                  <wp:posOffset>1466850</wp:posOffset>
                </wp:positionV>
                <wp:extent cx="765175" cy="274320"/>
                <wp:effectExtent l="0" t="1270" r="0" b="635"/>
                <wp:wrapNone/>
                <wp:docPr id="38" name="Text Box 330"/>
                <wp:cNvGraphicFramePr/>
                <a:graphic xmlns:a="http://schemas.openxmlformats.org/drawingml/2006/main">
                  <a:graphicData uri="http://schemas.microsoft.com/office/word/2010/wordprocessingShape">
                    <wps:wsp>
                      <wps:cNvSpPr txBox="1">
                        <a:spLocks noChangeArrowheads="1"/>
                      </wps:cNvSpPr>
                      <wps:spPr bwMode="auto">
                        <a:xfrm>
                          <a:off x="0" y="0"/>
                          <a:ext cx="765175" cy="274320"/>
                        </a:xfrm>
                        <a:prstGeom prst="rect">
                          <a:avLst/>
                        </a:prstGeom>
                        <a:noFill/>
                        <a:ln>
                          <a:noFill/>
                        </a:ln>
                      </wps:spPr>
                      <wps:txbx>
                        <w:txbxContent>
                          <w:p>
                            <w:pPr>
                              <w:rPr>
                                <w:color w:val="66FF33"/>
                              </w:rPr>
                            </w:pPr>
                            <w:r>
                              <w:rPr>
                                <w:rFonts w:hint="eastAsia"/>
                                <w:color w:val="66FF33"/>
                              </w:rPr>
                              <w:t>截水沟</w:t>
                            </w:r>
                          </w:p>
                        </w:txbxContent>
                      </wps:txbx>
                      <wps:bodyPr rot="0" vert="horz" wrap="square" lIns="91440" tIns="45720" rIns="91440" bIns="45720" anchor="t" anchorCtr="0" upright="1">
                        <a:noAutofit/>
                      </wps:bodyPr>
                    </wps:wsp>
                  </a:graphicData>
                </a:graphic>
              </wp:anchor>
            </w:drawing>
          </mc:Choice>
          <mc:Fallback>
            <w:pict>
              <v:shape id="Text Box 330" o:spid="_x0000_s1026" o:spt="202" type="#_x0000_t202" style="position:absolute;left:0pt;margin-left:54.75pt;margin-top:115.5pt;height:21.6pt;width:60.25pt;z-index:251668480;mso-width-relative:page;mso-height-relative:page;" filled="f" stroked="f" coordsize="21600,21600" o:gfxdata="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jJWYjXAAAACwEAAA8AAAAAAAAAAQAgAAAAIgAA&#10;AGRycy9kb3ducmV2LnhtbFBLAQIUABQAAAAIAIdO4kApkmS6CQIAABYEAAAOAAAAAAAAAAEAIAAA&#10;ACYBAABkcnMvZTJvRG9jLnhtbFBLBQYAAAAABgAGAFkBAAChBQAAAAA=&#10;">
                <v:fill on="f" focussize="0,0"/>
                <v:stroke on="f"/>
                <v:imagedata o:title=""/>
                <o:lock v:ext="edit" aspectratio="f"/>
                <v:textbox>
                  <w:txbxContent>
                    <w:p>
                      <w:pPr>
                        <w:rPr>
                          <w:color w:val="66FF33"/>
                        </w:rPr>
                      </w:pPr>
                      <w:r>
                        <w:rPr>
                          <w:rFonts w:hint="eastAsia"/>
                          <w:color w:val="66FF33"/>
                        </w:rPr>
                        <w:t>截水沟</w:t>
                      </w:r>
                    </w:p>
                  </w:txbxContent>
                </v:textbox>
              </v:shape>
            </w:pict>
          </mc:Fallback>
        </mc:AlternateContent>
      </w:r>
      <w:r>
        <w:rPr>
          <w:b/>
          <w:sz w:val="24"/>
        </w:rPr>
        <mc:AlternateContent>
          <mc:Choice Requires="wps">
            <w:drawing>
              <wp:anchor distT="0" distB="0" distL="114300" distR="114300" simplePos="0" relativeHeight="251666432" behindDoc="0" locked="0" layoutInCell="1" allowOverlap="1">
                <wp:simplePos x="0" y="0"/>
                <wp:positionH relativeFrom="column">
                  <wp:posOffset>1057275</wp:posOffset>
                </wp:positionH>
                <wp:positionV relativeFrom="paragraph">
                  <wp:posOffset>676275</wp:posOffset>
                </wp:positionV>
                <wp:extent cx="765175" cy="274320"/>
                <wp:effectExtent l="0" t="3810" r="635" b="0"/>
                <wp:wrapNone/>
                <wp:docPr id="36" name="Text Box 328"/>
                <wp:cNvGraphicFramePr/>
                <a:graphic xmlns:a="http://schemas.openxmlformats.org/drawingml/2006/main">
                  <a:graphicData uri="http://schemas.microsoft.com/office/word/2010/wordprocessingShape">
                    <wps:wsp>
                      <wps:cNvSpPr txBox="1">
                        <a:spLocks noChangeArrowheads="1"/>
                      </wps:cNvSpPr>
                      <wps:spPr bwMode="auto">
                        <a:xfrm>
                          <a:off x="0" y="0"/>
                          <a:ext cx="765175" cy="274320"/>
                        </a:xfrm>
                        <a:prstGeom prst="rect">
                          <a:avLst/>
                        </a:prstGeom>
                        <a:noFill/>
                        <a:ln>
                          <a:noFill/>
                        </a:ln>
                      </wps:spPr>
                      <wps:txbx>
                        <w:txbxContent>
                          <w:p>
                            <w:pPr>
                              <w:rPr>
                                <w:color w:val="66FF33"/>
                              </w:rPr>
                            </w:pPr>
                            <w:r>
                              <w:rPr>
                                <w:rFonts w:hint="eastAsia"/>
                                <w:color w:val="66FF33"/>
                              </w:rPr>
                              <w:t>防飞散网</w:t>
                            </w:r>
                          </w:p>
                        </w:txbxContent>
                      </wps:txbx>
                      <wps:bodyPr rot="0" vert="horz" wrap="square" lIns="91440" tIns="45720" rIns="91440" bIns="45720" anchor="t" anchorCtr="0" upright="1">
                        <a:noAutofit/>
                      </wps:bodyPr>
                    </wps:wsp>
                  </a:graphicData>
                </a:graphic>
              </wp:anchor>
            </w:drawing>
          </mc:Choice>
          <mc:Fallback>
            <w:pict>
              <v:shape id="Text Box 328" o:spid="_x0000_s1026" o:spt="202" type="#_x0000_t202" style="position:absolute;left:0pt;margin-left:83.25pt;margin-top:53.25pt;height:21.6pt;width:60.25pt;z-index:251666432;mso-width-relative:page;mso-height-relative:page;" filled="f" stroked="f" coordsize="21600,21600" o:gfxdata="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&#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fRBl41QAAAAsBAAAPAAAAAAAAAAEAIAAAACIAAABk&#10;cnMvZG93bnJldi54bWxQSwECFAAUAAAACACHTuJA5+QPmAkCAAAWBAAADgAAAAAAAAABACAAAAAk&#10;AQAAZHJzL2Uyb0RvYy54bWxQSwUGAAAAAAYABgBZAQAAnwUAAAAA&#10;">
                <v:fill on="f" focussize="0,0"/>
                <v:stroke on="f"/>
                <v:imagedata o:title=""/>
                <o:lock v:ext="edit" aspectratio="f"/>
                <v:textbox>
                  <w:txbxContent>
                    <w:p>
                      <w:pPr>
                        <w:rPr>
                          <w:color w:val="66FF33"/>
                        </w:rPr>
                      </w:pPr>
                      <w:r>
                        <w:rPr>
                          <w:rFonts w:hint="eastAsia"/>
                          <w:color w:val="66FF33"/>
                        </w:rPr>
                        <w:t>防飞散网</w:t>
                      </w:r>
                    </w:p>
                  </w:txbxContent>
                </v:textbox>
              </v:shape>
            </w:pict>
          </mc:Fallback>
        </mc:AlternateContent>
      </w:r>
      <w:r>
        <w:rPr>
          <w:b/>
          <w:sz w:val="24"/>
        </w:rPr>
        <mc:AlternateContent>
          <mc:Choice Requires="wps">
            <w:drawing>
              <wp:anchor distT="0" distB="0" distL="114300" distR="114300" simplePos="0" relativeHeight="251667456" behindDoc="0" locked="0" layoutInCell="1" allowOverlap="1">
                <wp:simplePos x="0" y="0"/>
                <wp:positionH relativeFrom="column">
                  <wp:posOffset>1666875</wp:posOffset>
                </wp:positionH>
                <wp:positionV relativeFrom="paragraph">
                  <wp:posOffset>1181100</wp:posOffset>
                </wp:positionV>
                <wp:extent cx="765175" cy="274320"/>
                <wp:effectExtent l="0" t="0" r="1270" b="4445"/>
                <wp:wrapNone/>
                <wp:docPr id="28" name="Text Box 329"/>
                <wp:cNvGraphicFramePr/>
                <a:graphic xmlns:a="http://schemas.openxmlformats.org/drawingml/2006/main">
                  <a:graphicData uri="http://schemas.microsoft.com/office/word/2010/wordprocessingShape">
                    <wps:wsp>
                      <wps:cNvSpPr txBox="1">
                        <a:spLocks noChangeArrowheads="1"/>
                      </wps:cNvSpPr>
                      <wps:spPr bwMode="auto">
                        <a:xfrm>
                          <a:off x="0" y="0"/>
                          <a:ext cx="765175" cy="274320"/>
                        </a:xfrm>
                        <a:prstGeom prst="rect">
                          <a:avLst/>
                        </a:prstGeom>
                        <a:noFill/>
                        <a:ln>
                          <a:noFill/>
                        </a:ln>
                      </wps:spPr>
                      <wps:txbx>
                        <w:txbxContent>
                          <w:p>
                            <w:pPr>
                              <w:rPr>
                                <w:color w:val="66FF33"/>
                              </w:rPr>
                            </w:pPr>
                            <w:r>
                              <w:rPr>
                                <w:rFonts w:hint="eastAsia"/>
                                <w:color w:val="66FF33"/>
                              </w:rPr>
                              <w:t>垃圾坝</w:t>
                            </w:r>
                          </w:p>
                        </w:txbxContent>
                      </wps:txbx>
                      <wps:bodyPr rot="0" vert="horz" wrap="square" lIns="91440" tIns="45720" rIns="91440" bIns="45720" anchor="t" anchorCtr="0" upright="1">
                        <a:noAutofit/>
                      </wps:bodyPr>
                    </wps:wsp>
                  </a:graphicData>
                </a:graphic>
              </wp:anchor>
            </w:drawing>
          </mc:Choice>
          <mc:Fallback>
            <w:pict>
              <v:shape id="Text Box 329" o:spid="_x0000_s1026" o:spt="202" type="#_x0000_t202" style="position:absolute;left:0pt;margin-left:131.25pt;margin-top:93pt;height:21.6pt;width:60.25pt;z-index:251667456;mso-width-relative:page;mso-height-relative:page;" filled="f" stroked="f" coordsize="21600,21600" o:gfxdata="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poSsT1wAAAAsBAAAPAAAAAAAAAAEAIAAAACIA&#10;AABkcnMvZG93bnJldi54bWxQSwECFAAUAAAACACHTuJAQCUhWwoCAAAWBAAADgAAAAAAAAABACAA&#10;AAAmAQAAZHJzL2Uyb0RvYy54bWxQSwUGAAAAAAYABgBZAQAAogUAAAAA&#10;">
                <v:fill on="f" focussize="0,0"/>
                <v:stroke on="f"/>
                <v:imagedata o:title=""/>
                <o:lock v:ext="edit" aspectratio="f"/>
                <v:textbox>
                  <w:txbxContent>
                    <w:p>
                      <w:pPr>
                        <w:rPr>
                          <w:color w:val="66FF33"/>
                        </w:rPr>
                      </w:pPr>
                      <w:r>
                        <w:rPr>
                          <w:rFonts w:hint="eastAsia"/>
                          <w:color w:val="66FF33"/>
                        </w:rPr>
                        <w:t>垃圾坝</w:t>
                      </w:r>
                    </w:p>
                  </w:txbxContent>
                </v:textbox>
              </v:shape>
            </w:pict>
          </mc:Fallback>
        </mc:AlternateContent>
      </w:r>
      <w:r>
        <w:rPr>
          <w:b/>
          <w:sz w:val="24"/>
        </w:rPr>
        <w:drawing>
          <wp:inline distT="0" distB="0" distL="0" distR="0">
            <wp:extent cx="2586990" cy="1940560"/>
            <wp:effectExtent l="0" t="0" r="0" b="0"/>
            <wp:docPr id="25" name="图片 25" descr="D:\项目\五原生活垃圾填埋场\环评\现场照片\IMG_20230321_16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项目\五原生活垃圾填埋场\环评\现场照片\IMG_20230321_16034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591013" cy="1943733"/>
                    </a:xfrm>
                    <a:prstGeom prst="rect">
                      <a:avLst/>
                    </a:prstGeom>
                    <a:noFill/>
                    <a:ln>
                      <a:noFill/>
                    </a:ln>
                  </pic:spPr>
                </pic:pic>
              </a:graphicData>
            </a:graphic>
          </wp:inline>
        </w:drawing>
      </w:r>
      <w:r>
        <w:rPr>
          <w:b/>
          <w:sz w:val="24"/>
        </w:rPr>
        <w:drawing>
          <wp:inline distT="0" distB="0" distL="0" distR="0">
            <wp:extent cx="2614930" cy="1961515"/>
            <wp:effectExtent l="0" t="0" r="0" b="0"/>
            <wp:docPr id="23" name="图片 23" descr="D:\项目\五原生活垃圾填埋场\环评\现场照片\IMG_20230321_16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项目\五原生活垃圾填埋场\环评\现场照片\IMG_20230321_1600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626388" cy="1970272"/>
                    </a:xfrm>
                    <a:prstGeom prst="rect">
                      <a:avLst/>
                    </a:prstGeom>
                    <a:noFill/>
                    <a:ln>
                      <a:noFill/>
                    </a:ln>
                  </pic:spPr>
                </pic:pic>
              </a:graphicData>
            </a:graphic>
          </wp:inline>
        </w:drawing>
      </w:r>
    </w:p>
    <w:p>
      <w:pPr>
        <w:spacing w:line="360" w:lineRule="auto"/>
        <w:ind w:firstLine="1446" w:firstLineChars="600"/>
        <w:jc w:val="left"/>
        <w:rPr>
          <w:b/>
          <w:sz w:val="24"/>
        </w:rPr>
      </w:pPr>
      <w:r>
        <w:rPr>
          <w:rFonts w:hint="eastAsia"/>
          <w:b/>
          <w:sz w:val="24"/>
        </w:rPr>
        <w:t>填埋场</w:t>
      </w:r>
      <w:r>
        <w:rPr>
          <w:b/>
          <w:sz w:val="24"/>
        </w:rPr>
        <w:t xml:space="preserve">                                  </w:t>
      </w:r>
      <w:r>
        <w:rPr>
          <w:rFonts w:hint="eastAsia"/>
          <w:b/>
          <w:sz w:val="24"/>
        </w:rPr>
        <w:t>填埋场内部</w:t>
      </w:r>
    </w:p>
    <w:p>
      <w:pPr>
        <w:spacing w:line="360" w:lineRule="auto"/>
        <w:rPr>
          <w:b/>
          <w:sz w:val="24"/>
        </w:rPr>
      </w:pPr>
      <w:r>
        <w:rPr>
          <w:b/>
          <w:sz w:val="24"/>
        </w:rPr>
        <w:drawing>
          <wp:inline distT="0" distB="0" distL="0" distR="0">
            <wp:extent cx="2604770" cy="1954530"/>
            <wp:effectExtent l="0" t="0" r="0" b="5080"/>
            <wp:docPr id="18" name="图片 18" descr="D:\项目\五原生活垃圾填埋场\环评\现场照片\IMG_20230321_16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项目\五原生活垃圾填埋场\环评\现场照片\IMG_20230321_1603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605403" cy="1954530"/>
                    </a:xfrm>
                    <a:prstGeom prst="rect">
                      <a:avLst/>
                    </a:prstGeom>
                    <a:noFill/>
                    <a:ln>
                      <a:noFill/>
                    </a:ln>
                  </pic:spPr>
                </pic:pic>
              </a:graphicData>
            </a:graphic>
          </wp:inline>
        </w:drawing>
      </w:r>
      <w:r>
        <w:rPr>
          <w:b/>
          <w:sz w:val="24"/>
        </w:rPr>
        <w:drawing>
          <wp:inline distT="0" distB="0" distL="0" distR="0">
            <wp:extent cx="2567305" cy="1925320"/>
            <wp:effectExtent l="0" t="0" r="0" b="0"/>
            <wp:docPr id="20" name="图片 20" descr="C:\Users\众成环境\AppData\Local\Temp\WeChat Files\042e836c82d224afb4b83ecc7e9a4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众成环境\AppData\Local\Temp\WeChat Files\042e836c82d224afb4b83ecc7e9a4e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rot="10800000">
                      <a:off x="0" y="0"/>
                      <a:ext cx="2586007" cy="1939505"/>
                    </a:xfrm>
                    <a:prstGeom prst="rect">
                      <a:avLst/>
                    </a:prstGeom>
                    <a:noFill/>
                    <a:ln>
                      <a:noFill/>
                    </a:ln>
                  </pic:spPr>
                </pic:pic>
              </a:graphicData>
            </a:graphic>
          </wp:inline>
        </w:drawing>
      </w:r>
    </w:p>
    <w:p>
      <w:pPr>
        <w:spacing w:line="360" w:lineRule="auto"/>
        <w:jc w:val="center"/>
        <w:rPr>
          <w:b/>
          <w:sz w:val="24"/>
        </w:rPr>
      </w:pPr>
      <w:r>
        <w:rPr>
          <w:rFonts w:hint="eastAsia"/>
          <w:b/>
          <w:sz w:val="24"/>
        </w:rPr>
        <w:t xml:space="preserve">渗滤液调节池（南） </w:t>
      </w:r>
      <w:r>
        <w:rPr>
          <w:b/>
          <w:sz w:val="24"/>
        </w:rPr>
        <w:t xml:space="preserve">          </w:t>
      </w:r>
      <w:r>
        <w:rPr>
          <w:rFonts w:hint="eastAsia"/>
          <w:b/>
          <w:sz w:val="24"/>
        </w:rPr>
        <w:t>渗滤液调节池（北）</w:t>
      </w:r>
    </w:p>
    <w:p>
      <w:pPr>
        <w:adjustRightInd w:val="0"/>
        <w:snapToGrid w:val="0"/>
        <w:jc w:val="center"/>
        <w:rPr>
          <w:b/>
          <w:sz w:val="24"/>
        </w:rPr>
      </w:pPr>
      <w:r>
        <w:rPr>
          <w:b/>
          <w:sz w:val="24"/>
        </w:rPr>
        <w:drawing>
          <wp:inline distT="0" distB="0" distL="0" distR="0">
            <wp:extent cx="2279650" cy="2498725"/>
            <wp:effectExtent l="4762" t="0" r="0" b="0"/>
            <wp:docPr id="21" name="图片 21" descr="C:\Users\众成环境\AppData\Local\Temp\WeChat Files\d8c46ba5d5e180b97bb2f353504b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众成环境\AppData\Local\Temp\WeChat Files\d8c46ba5d5e180b97bb2f353504b52c.jpg"/>
                    <pic:cNvPicPr>
                      <a:picLocks noChangeAspect="1" noChangeArrowheads="1"/>
                    </pic:cNvPicPr>
                  </pic:nvPicPr>
                  <pic:blipFill>
                    <a:blip r:embed="rId32" cstate="print">
                      <a:extLst>
                        <a:ext uri="{28A0092B-C50C-407E-A947-70E740481C1C}">
                          <a14:useLocalDpi xmlns:a14="http://schemas.microsoft.com/office/drawing/2010/main" val="0"/>
                        </a:ext>
                      </a:extLst>
                    </a:blip>
                    <a:srcRect r="26490"/>
                    <a:stretch>
                      <a:fillRect/>
                    </a:stretch>
                  </pic:blipFill>
                  <pic:spPr>
                    <a:xfrm rot="5400000">
                      <a:off x="0" y="0"/>
                      <a:ext cx="2330330" cy="2554094"/>
                    </a:xfrm>
                    <a:prstGeom prst="rect">
                      <a:avLst/>
                    </a:prstGeom>
                    <a:noFill/>
                    <a:ln>
                      <a:noFill/>
                    </a:ln>
                  </pic:spPr>
                </pic:pic>
              </a:graphicData>
            </a:graphic>
          </wp:inline>
        </w:drawing>
      </w:r>
      <w:r>
        <w:rPr>
          <w:b/>
          <w:sz w:val="24"/>
        </w:rPr>
        <w:t xml:space="preserve"> </w:t>
      </w:r>
      <w:r>
        <w:rPr>
          <w:b/>
          <w:sz w:val="24"/>
        </w:rPr>
        <w:drawing>
          <wp:inline distT="0" distB="0" distL="0" distR="0">
            <wp:extent cx="2255520" cy="2413000"/>
            <wp:effectExtent l="0" t="0" r="0" b="6350"/>
            <wp:docPr id="24" name="图片 24" descr="D:\项目\五原生活垃圾填埋场\环评\现场照片\IMG_20230321_16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项目\五原生活垃圾填埋场\环评\现场照片\IMG_20230321_160132.jpg"/>
                    <pic:cNvPicPr>
                      <a:picLocks noChangeAspect="1" noChangeArrowheads="1"/>
                    </pic:cNvPicPr>
                  </pic:nvPicPr>
                  <pic:blipFill>
                    <a:blip r:embed="rId33" cstate="print">
                      <a:extLst>
                        <a:ext uri="{28A0092B-C50C-407E-A947-70E740481C1C}">
                          <a14:useLocalDpi xmlns:a14="http://schemas.microsoft.com/office/drawing/2010/main" val="0"/>
                        </a:ext>
                      </a:extLst>
                    </a:blip>
                    <a:srcRect b="12776"/>
                    <a:stretch>
                      <a:fillRect/>
                    </a:stretch>
                  </pic:blipFill>
                  <pic:spPr>
                    <a:xfrm>
                      <a:off x="0" y="0"/>
                      <a:ext cx="2308403" cy="2469955"/>
                    </a:xfrm>
                    <a:prstGeom prst="rect">
                      <a:avLst/>
                    </a:prstGeom>
                    <a:noFill/>
                    <a:ln>
                      <a:noFill/>
                    </a:ln>
                  </pic:spPr>
                </pic:pic>
              </a:graphicData>
            </a:graphic>
          </wp:inline>
        </w:drawing>
      </w:r>
    </w:p>
    <w:p>
      <w:pPr>
        <w:ind w:firstLine="1205" w:firstLineChars="500"/>
        <w:rPr>
          <w:b/>
          <w:sz w:val="24"/>
        </w:rPr>
      </w:pPr>
      <w:r>
        <w:rPr>
          <w:rFonts w:hint="eastAsia"/>
          <w:b/>
          <w:sz w:val="24"/>
        </w:rPr>
        <w:t xml:space="preserve">地下水监测井 </w:t>
      </w:r>
      <w:r>
        <w:rPr>
          <w:b/>
          <w:sz w:val="24"/>
        </w:rPr>
        <w:t xml:space="preserve">                            </w:t>
      </w:r>
      <w:r>
        <w:rPr>
          <w:rFonts w:hint="eastAsia"/>
          <w:b/>
          <w:sz w:val="24"/>
        </w:rPr>
        <w:t>场区道路</w:t>
      </w:r>
    </w:p>
    <w:p>
      <w:pPr>
        <w:jc w:val="center"/>
        <w:rPr>
          <w:b/>
          <w:sz w:val="24"/>
        </w:rPr>
      </w:pPr>
    </w:p>
    <w:p>
      <w:pPr>
        <w:jc w:val="center"/>
        <w:rPr>
          <w:b/>
          <w:sz w:val="24"/>
        </w:rPr>
      </w:pPr>
    </w:p>
    <w:p>
      <w:pPr>
        <w:jc w:val="center"/>
        <w:rPr>
          <w:b/>
          <w:sz w:val="24"/>
        </w:rPr>
      </w:pPr>
      <w:r>
        <w:rPr>
          <w:b/>
          <w:sz w:val="24"/>
        </w:rPr>
        <w:t xml:space="preserve">图3.1-4 </w:t>
      </w:r>
      <w:r>
        <w:rPr>
          <w:rFonts w:hint="eastAsia"/>
          <w:b/>
          <w:sz w:val="24"/>
        </w:rPr>
        <w:t>项目建设情况</w:t>
      </w:r>
    </w:p>
    <w:p>
      <w:pPr>
        <w:spacing w:line="360" w:lineRule="auto"/>
        <w:jc w:val="center"/>
        <w:rPr>
          <w:b/>
          <w:sz w:val="24"/>
        </w:rPr>
      </w:pPr>
    </w:p>
    <w:p>
      <w:pPr>
        <w:spacing w:line="360" w:lineRule="auto"/>
        <w:rPr>
          <w:rFonts w:eastAsia="Times New Roman"/>
          <w:snapToGrid w:val="0"/>
          <w:w w:val="0"/>
          <w:kern w:val="0"/>
          <w:sz w:val="0"/>
          <w:szCs w:val="0"/>
          <w:u w:color="000000"/>
          <w:shd w:val="clear" w:color="000000" w:fill="000000"/>
          <w:lang w:val="zh-CN" w:bidi="zh-CN"/>
        </w:rPr>
      </w:pPr>
      <w:r>
        <w:rPr>
          <w:rFonts w:eastAsia="Times New Roman"/>
          <w:snapToGrid w:val="0"/>
          <w:w w:val="0"/>
          <w:kern w:val="0"/>
          <w:sz w:val="0"/>
          <w:szCs w:val="0"/>
          <w:u w:color="000000"/>
          <w:shd w:val="clear" w:color="000000" w:fill="000000"/>
          <w:lang w:val="zh-CN" w:bidi="zh-CN"/>
        </w:rPr>
        <w:t xml:space="preserve">                            </w:t>
      </w:r>
    </w:p>
    <w:p>
      <w:pPr>
        <w:spacing w:line="360" w:lineRule="auto"/>
        <w:rPr>
          <w:b/>
          <w:sz w:val="24"/>
        </w:rPr>
      </w:pPr>
    </w:p>
    <w:p>
      <w:pPr>
        <w:spacing w:line="360" w:lineRule="auto"/>
        <w:rPr>
          <w:b/>
          <w:sz w:val="24"/>
        </w:rPr>
      </w:pPr>
      <w:r>
        <w:rPr>
          <w:b/>
          <w:sz w:val="24"/>
        </w:rPr>
        <w:t>3.1.3.2建设规模</w:t>
      </w:r>
    </w:p>
    <w:p>
      <w:pPr>
        <w:spacing w:line="360" w:lineRule="auto"/>
        <w:ind w:firstLine="470" w:firstLineChars="196"/>
        <w:rPr>
          <w:sz w:val="24"/>
        </w:rPr>
      </w:pPr>
      <w:r>
        <w:rPr>
          <w:rFonts w:hint="eastAsia"/>
          <w:sz w:val="24"/>
        </w:rPr>
        <w:t>项目</w:t>
      </w:r>
      <w:r>
        <w:rPr>
          <w:sz w:val="24"/>
        </w:rPr>
        <w:t>各部分用地面积见表3.1-2。</w:t>
      </w:r>
    </w:p>
    <w:p>
      <w:pPr>
        <w:spacing w:line="360" w:lineRule="auto"/>
        <w:ind w:firstLine="472" w:firstLineChars="196"/>
        <w:jc w:val="center"/>
        <w:rPr>
          <w:b/>
          <w:sz w:val="24"/>
        </w:rPr>
      </w:pPr>
      <w:r>
        <w:rPr>
          <w:b/>
          <w:sz w:val="24"/>
        </w:rPr>
        <w:t xml:space="preserve">表3.1-2 </w:t>
      </w:r>
      <w:r>
        <w:rPr>
          <w:rFonts w:hint="eastAsia"/>
          <w:b/>
          <w:sz w:val="24"/>
        </w:rPr>
        <w:t>填埋场</w:t>
      </w:r>
      <w:r>
        <w:rPr>
          <w:b/>
          <w:sz w:val="24"/>
        </w:rPr>
        <w:t>各组成部分用地情况表</w:t>
      </w:r>
    </w:p>
    <w:tbl>
      <w:tblPr>
        <w:tblStyle w:val="8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38"/>
        <w:gridCol w:w="3750"/>
        <w:gridCol w:w="1778"/>
        <w:gridCol w:w="12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338" w:type="dxa"/>
          </w:tcPr>
          <w:p>
            <w:pPr>
              <w:jc w:val="center"/>
              <w:rPr>
                <w:szCs w:val="21"/>
              </w:rPr>
            </w:pPr>
            <w:r>
              <w:rPr>
                <w:szCs w:val="21"/>
              </w:rPr>
              <w:t>序号</w:t>
            </w:r>
          </w:p>
        </w:tc>
        <w:tc>
          <w:tcPr>
            <w:tcW w:w="3750" w:type="dxa"/>
          </w:tcPr>
          <w:p>
            <w:pPr>
              <w:jc w:val="center"/>
              <w:rPr>
                <w:szCs w:val="21"/>
              </w:rPr>
            </w:pPr>
            <w:r>
              <w:rPr>
                <w:szCs w:val="21"/>
              </w:rPr>
              <w:t>名称</w:t>
            </w:r>
          </w:p>
        </w:tc>
        <w:tc>
          <w:tcPr>
            <w:tcW w:w="1778" w:type="dxa"/>
          </w:tcPr>
          <w:p>
            <w:pPr>
              <w:jc w:val="center"/>
              <w:rPr>
                <w:szCs w:val="21"/>
              </w:rPr>
            </w:pPr>
            <w:r>
              <w:rPr>
                <w:szCs w:val="21"/>
              </w:rPr>
              <w:t>用地面积</w:t>
            </w:r>
            <w:r>
              <w:rPr>
                <w:rFonts w:hint="eastAsia"/>
                <w:szCs w:val="21"/>
              </w:rPr>
              <w:t>（m</w:t>
            </w:r>
            <w:r>
              <w:rPr>
                <w:rFonts w:hint="eastAsia"/>
                <w:szCs w:val="21"/>
                <w:vertAlign w:val="superscript"/>
              </w:rPr>
              <w:t>2</w:t>
            </w:r>
            <w:r>
              <w:rPr>
                <w:rFonts w:hint="eastAsia"/>
                <w:szCs w:val="21"/>
              </w:rPr>
              <w:t>）</w:t>
            </w:r>
          </w:p>
        </w:tc>
        <w:tc>
          <w:tcPr>
            <w:tcW w:w="1280" w:type="dxa"/>
          </w:tcPr>
          <w:p>
            <w:pPr>
              <w:jc w:val="center"/>
              <w:rPr>
                <w:szCs w:val="21"/>
              </w:rPr>
            </w:pPr>
            <w:r>
              <w:rPr>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338" w:type="dxa"/>
          </w:tcPr>
          <w:p>
            <w:pPr>
              <w:jc w:val="center"/>
              <w:rPr>
                <w:szCs w:val="21"/>
              </w:rPr>
            </w:pPr>
            <w:r>
              <w:rPr>
                <w:rFonts w:hint="eastAsia"/>
                <w:szCs w:val="21"/>
              </w:rPr>
              <w:t>一</w:t>
            </w:r>
          </w:p>
        </w:tc>
        <w:tc>
          <w:tcPr>
            <w:tcW w:w="3750" w:type="dxa"/>
          </w:tcPr>
          <w:p>
            <w:pPr>
              <w:jc w:val="center"/>
              <w:rPr>
                <w:szCs w:val="21"/>
              </w:rPr>
            </w:pPr>
            <w:r>
              <w:rPr>
                <w:rFonts w:hint="eastAsia"/>
                <w:szCs w:val="21"/>
              </w:rPr>
              <w:t>填埋库区</w:t>
            </w:r>
            <w:r>
              <w:rPr>
                <w:szCs w:val="21"/>
              </w:rPr>
              <w:t>占地面积</w:t>
            </w:r>
          </w:p>
        </w:tc>
        <w:tc>
          <w:tcPr>
            <w:tcW w:w="1778" w:type="dxa"/>
          </w:tcPr>
          <w:p>
            <w:pPr>
              <w:jc w:val="center"/>
              <w:rPr>
                <w:szCs w:val="21"/>
              </w:rPr>
            </w:pPr>
            <w:r>
              <w:rPr>
                <w:szCs w:val="21"/>
              </w:rPr>
              <w:t>41856</w:t>
            </w:r>
          </w:p>
        </w:tc>
        <w:tc>
          <w:tcPr>
            <w:tcW w:w="1280" w:type="dxa"/>
          </w:tcPr>
          <w:p>
            <w:pPr>
              <w:jc w:val="center"/>
              <w:rPr>
                <w:szCs w:val="21"/>
              </w:rPr>
            </w:pPr>
            <w:r>
              <w:rPr>
                <w:rFonts w:hint="eastAsia"/>
                <w:szCs w:val="21"/>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338" w:type="dxa"/>
          </w:tcPr>
          <w:p>
            <w:pPr>
              <w:jc w:val="center"/>
              <w:rPr>
                <w:szCs w:val="21"/>
              </w:rPr>
            </w:pPr>
            <w:r>
              <w:rPr>
                <w:szCs w:val="21"/>
              </w:rPr>
              <w:t>二</w:t>
            </w:r>
          </w:p>
        </w:tc>
        <w:tc>
          <w:tcPr>
            <w:tcW w:w="3750" w:type="dxa"/>
          </w:tcPr>
          <w:p>
            <w:pPr>
              <w:jc w:val="center"/>
              <w:rPr>
                <w:szCs w:val="21"/>
              </w:rPr>
            </w:pPr>
            <w:r>
              <w:rPr>
                <w:rFonts w:hint="eastAsia"/>
                <w:szCs w:val="21"/>
              </w:rPr>
              <w:t>办公及管理区</w:t>
            </w:r>
            <w:r>
              <w:rPr>
                <w:szCs w:val="21"/>
              </w:rPr>
              <w:t>占地面积</w:t>
            </w:r>
            <w:r>
              <w:rPr>
                <w:rFonts w:hint="eastAsia"/>
                <w:szCs w:val="21"/>
              </w:rPr>
              <w:t>（含硬化区）</w:t>
            </w:r>
          </w:p>
        </w:tc>
        <w:tc>
          <w:tcPr>
            <w:tcW w:w="1778" w:type="dxa"/>
          </w:tcPr>
          <w:p>
            <w:pPr>
              <w:jc w:val="center"/>
              <w:rPr>
                <w:szCs w:val="21"/>
              </w:rPr>
            </w:pPr>
            <w:r>
              <w:rPr>
                <w:szCs w:val="21"/>
              </w:rPr>
              <w:t>2883</w:t>
            </w:r>
          </w:p>
        </w:tc>
        <w:tc>
          <w:tcPr>
            <w:tcW w:w="1280" w:type="dxa"/>
          </w:tcPr>
          <w:p>
            <w:pPr>
              <w:jc w:val="center"/>
              <w:rPr>
                <w:szCs w:val="21"/>
              </w:rPr>
            </w:pPr>
            <w:r>
              <w:rPr>
                <w:rFonts w:hint="eastAsia"/>
                <w:szCs w:val="21"/>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338" w:type="dxa"/>
          </w:tcPr>
          <w:p>
            <w:pPr>
              <w:jc w:val="center"/>
              <w:rPr>
                <w:szCs w:val="21"/>
              </w:rPr>
            </w:pPr>
            <w:r>
              <w:rPr>
                <w:rFonts w:hint="eastAsia"/>
                <w:szCs w:val="21"/>
              </w:rPr>
              <w:t>三</w:t>
            </w:r>
          </w:p>
        </w:tc>
        <w:tc>
          <w:tcPr>
            <w:tcW w:w="3750" w:type="dxa"/>
          </w:tcPr>
          <w:p>
            <w:pPr>
              <w:jc w:val="center"/>
              <w:rPr>
                <w:szCs w:val="21"/>
              </w:rPr>
            </w:pPr>
            <w:r>
              <w:rPr>
                <w:rFonts w:hint="eastAsia"/>
                <w:szCs w:val="21"/>
              </w:rPr>
              <w:t>调节池</w:t>
            </w:r>
          </w:p>
        </w:tc>
        <w:tc>
          <w:tcPr>
            <w:tcW w:w="1778" w:type="dxa"/>
          </w:tcPr>
          <w:p>
            <w:pPr>
              <w:jc w:val="center"/>
              <w:rPr>
                <w:szCs w:val="21"/>
              </w:rPr>
            </w:pPr>
            <w:r>
              <w:rPr>
                <w:szCs w:val="21"/>
              </w:rPr>
              <w:t>396</w:t>
            </w:r>
          </w:p>
        </w:tc>
        <w:tc>
          <w:tcPr>
            <w:tcW w:w="1280" w:type="dxa"/>
          </w:tcPr>
          <w:p>
            <w:pPr>
              <w:jc w:val="center"/>
              <w:rPr>
                <w:szCs w:val="21"/>
              </w:rPr>
            </w:pPr>
            <w:r>
              <w:rPr>
                <w:rFonts w:hint="eastAsia"/>
                <w:szCs w:val="21"/>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338" w:type="dxa"/>
          </w:tcPr>
          <w:p>
            <w:pPr>
              <w:jc w:val="center"/>
              <w:rPr>
                <w:szCs w:val="21"/>
              </w:rPr>
            </w:pPr>
            <w:r>
              <w:rPr>
                <w:rFonts w:hint="eastAsia"/>
                <w:szCs w:val="21"/>
              </w:rPr>
              <w:t>四</w:t>
            </w:r>
          </w:p>
        </w:tc>
        <w:tc>
          <w:tcPr>
            <w:tcW w:w="3750" w:type="dxa"/>
          </w:tcPr>
          <w:p>
            <w:pPr>
              <w:jc w:val="center"/>
              <w:rPr>
                <w:szCs w:val="21"/>
              </w:rPr>
            </w:pPr>
            <w:r>
              <w:rPr>
                <w:rFonts w:hint="eastAsia"/>
                <w:szCs w:val="21"/>
              </w:rPr>
              <w:t>场区道路</w:t>
            </w:r>
          </w:p>
        </w:tc>
        <w:tc>
          <w:tcPr>
            <w:tcW w:w="1778" w:type="dxa"/>
          </w:tcPr>
          <w:p>
            <w:pPr>
              <w:jc w:val="center"/>
              <w:rPr>
                <w:szCs w:val="21"/>
              </w:rPr>
            </w:pPr>
            <w:r>
              <w:rPr>
                <w:szCs w:val="21"/>
              </w:rPr>
              <w:t>7273</w:t>
            </w:r>
          </w:p>
        </w:tc>
        <w:tc>
          <w:tcPr>
            <w:tcW w:w="1280" w:type="dxa"/>
          </w:tcPr>
          <w:p>
            <w:pPr>
              <w:jc w:val="center"/>
              <w:rPr>
                <w:szCs w:val="21"/>
              </w:rPr>
            </w:pPr>
            <w:r>
              <w:rPr>
                <w:rFonts w:hint="eastAsia"/>
                <w:szCs w:val="21"/>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338" w:type="dxa"/>
          </w:tcPr>
          <w:p>
            <w:pPr>
              <w:jc w:val="center"/>
              <w:rPr>
                <w:szCs w:val="21"/>
              </w:rPr>
            </w:pPr>
            <w:r>
              <w:rPr>
                <w:rFonts w:hint="eastAsia"/>
                <w:szCs w:val="21"/>
              </w:rPr>
              <w:t>五</w:t>
            </w:r>
          </w:p>
        </w:tc>
        <w:tc>
          <w:tcPr>
            <w:tcW w:w="3750" w:type="dxa"/>
          </w:tcPr>
          <w:p>
            <w:pPr>
              <w:jc w:val="center"/>
              <w:rPr>
                <w:szCs w:val="21"/>
              </w:rPr>
            </w:pPr>
            <w:r>
              <w:rPr>
                <w:rFonts w:hint="eastAsia"/>
                <w:szCs w:val="21"/>
              </w:rPr>
              <w:t>临时堆土区</w:t>
            </w:r>
          </w:p>
        </w:tc>
        <w:tc>
          <w:tcPr>
            <w:tcW w:w="1778" w:type="dxa"/>
          </w:tcPr>
          <w:p>
            <w:pPr>
              <w:jc w:val="center"/>
              <w:rPr>
                <w:szCs w:val="21"/>
              </w:rPr>
            </w:pPr>
            <w:r>
              <w:rPr>
                <w:rFonts w:hint="eastAsia"/>
                <w:szCs w:val="21"/>
              </w:rPr>
              <w:t>6</w:t>
            </w:r>
            <w:r>
              <w:rPr>
                <w:szCs w:val="21"/>
              </w:rPr>
              <w:t>00</w:t>
            </w:r>
          </w:p>
        </w:tc>
        <w:tc>
          <w:tcPr>
            <w:tcW w:w="1280" w:type="dxa"/>
          </w:tcPr>
          <w:p>
            <w:pPr>
              <w:jc w:val="center"/>
              <w:rPr>
                <w:szCs w:val="21"/>
              </w:rPr>
            </w:pPr>
            <w:r>
              <w:rPr>
                <w:rFonts w:hint="eastAsia"/>
                <w:szCs w:val="21"/>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338" w:type="dxa"/>
          </w:tcPr>
          <w:p>
            <w:pPr>
              <w:jc w:val="center"/>
              <w:rPr>
                <w:szCs w:val="21"/>
              </w:rPr>
            </w:pPr>
            <w:r>
              <w:rPr>
                <w:rFonts w:hint="eastAsia"/>
                <w:szCs w:val="21"/>
              </w:rPr>
              <w:t>六</w:t>
            </w:r>
          </w:p>
        </w:tc>
        <w:tc>
          <w:tcPr>
            <w:tcW w:w="3750" w:type="dxa"/>
          </w:tcPr>
          <w:p>
            <w:pPr>
              <w:jc w:val="center"/>
              <w:rPr>
                <w:szCs w:val="21"/>
              </w:rPr>
            </w:pPr>
            <w:r>
              <w:rPr>
                <w:rFonts w:hint="eastAsia"/>
                <w:szCs w:val="21"/>
              </w:rPr>
              <w:t>绿化用地</w:t>
            </w:r>
            <w:r>
              <w:rPr>
                <w:szCs w:val="21"/>
              </w:rPr>
              <w:t>面积</w:t>
            </w:r>
          </w:p>
        </w:tc>
        <w:tc>
          <w:tcPr>
            <w:tcW w:w="1778" w:type="dxa"/>
          </w:tcPr>
          <w:p>
            <w:pPr>
              <w:jc w:val="center"/>
              <w:rPr>
                <w:szCs w:val="21"/>
              </w:rPr>
            </w:pPr>
            <w:r>
              <w:rPr>
                <w:szCs w:val="21"/>
              </w:rPr>
              <w:t>11850</w:t>
            </w:r>
          </w:p>
        </w:tc>
        <w:tc>
          <w:tcPr>
            <w:tcW w:w="1280" w:type="dxa"/>
          </w:tcPr>
          <w:p>
            <w:pPr>
              <w:jc w:val="center"/>
              <w:rPr>
                <w:szCs w:val="21"/>
              </w:rPr>
            </w:pPr>
            <w:r>
              <w:rPr>
                <w:rFonts w:hint="eastAsia"/>
                <w:szCs w:val="21"/>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338" w:type="dxa"/>
          </w:tcPr>
          <w:p>
            <w:pPr>
              <w:jc w:val="center"/>
              <w:rPr>
                <w:szCs w:val="21"/>
              </w:rPr>
            </w:pPr>
            <w:r>
              <w:rPr>
                <w:rFonts w:hint="eastAsia"/>
                <w:szCs w:val="21"/>
              </w:rPr>
              <w:t>合计</w:t>
            </w:r>
          </w:p>
        </w:tc>
        <w:tc>
          <w:tcPr>
            <w:tcW w:w="3750" w:type="dxa"/>
          </w:tcPr>
          <w:p>
            <w:pPr>
              <w:jc w:val="center"/>
              <w:rPr>
                <w:szCs w:val="21"/>
              </w:rPr>
            </w:pPr>
          </w:p>
        </w:tc>
        <w:tc>
          <w:tcPr>
            <w:tcW w:w="1778" w:type="dxa"/>
          </w:tcPr>
          <w:p>
            <w:pPr>
              <w:jc w:val="center"/>
              <w:rPr>
                <w:szCs w:val="21"/>
              </w:rPr>
            </w:pPr>
            <w:r>
              <w:rPr>
                <w:szCs w:val="21"/>
              </w:rPr>
              <w:t>64858</w:t>
            </w:r>
          </w:p>
        </w:tc>
        <w:tc>
          <w:tcPr>
            <w:tcW w:w="1280" w:type="dxa"/>
          </w:tcPr>
          <w:p>
            <w:pPr>
              <w:jc w:val="center"/>
              <w:rPr>
                <w:szCs w:val="21"/>
              </w:rPr>
            </w:pPr>
          </w:p>
        </w:tc>
      </w:tr>
    </w:tbl>
    <w:p>
      <w:pPr>
        <w:pStyle w:val="831"/>
        <w:keepNext w:val="0"/>
        <w:spacing w:before="156" w:beforeLines="50" w:after="156" w:afterLines="50" w:line="360" w:lineRule="auto"/>
        <w:rPr>
          <w:rFonts w:cs="Times New Roman"/>
        </w:rPr>
      </w:pPr>
      <w:bookmarkStart w:id="136" w:name="_Toc489432971"/>
      <w:bookmarkStart w:id="137" w:name="_Toc143762300"/>
      <w:r>
        <w:rPr>
          <w:rFonts w:cs="Times New Roman"/>
        </w:rPr>
        <w:t>3.1.4</w:t>
      </w:r>
      <w:bookmarkEnd w:id="136"/>
      <w:r>
        <w:rPr>
          <w:rFonts w:hint="eastAsia" w:cs="Times New Roman"/>
        </w:rPr>
        <w:t>服务范围及现状填埋情况</w:t>
      </w:r>
      <w:bookmarkEnd w:id="137"/>
    </w:p>
    <w:p>
      <w:pPr>
        <w:pStyle w:val="825"/>
        <w:adjustRightInd w:val="0"/>
        <w:snapToGrid w:val="0"/>
        <w:ind w:firstLine="480"/>
      </w:pPr>
      <w:r>
        <w:t>项目的服务范围为</w:t>
      </w:r>
      <w:r>
        <w:rPr>
          <w:rFonts w:hint="eastAsia"/>
        </w:rPr>
        <w:t>覆盖复兴镇、巴彦套海镇、塔尔湖镇、天吉泰镇、新公中镇、银定图镇、丰裕办事处等7个乡镇办事处260个村组7.5万农村居民。</w:t>
      </w:r>
    </w:p>
    <w:p>
      <w:pPr>
        <w:adjustRightInd w:val="0"/>
        <w:snapToGrid w:val="0"/>
        <w:spacing w:line="360" w:lineRule="auto"/>
        <w:ind w:firstLine="480" w:firstLineChars="200"/>
        <w:rPr>
          <w:color w:val="FF0000"/>
          <w:sz w:val="24"/>
        </w:rPr>
      </w:pPr>
      <w:r>
        <w:rPr>
          <w:rFonts w:hint="eastAsia"/>
          <w:sz w:val="24"/>
        </w:rPr>
        <w:t>填埋场于2</w:t>
      </w:r>
      <w:r>
        <w:rPr>
          <w:sz w:val="24"/>
        </w:rPr>
        <w:t>019</w:t>
      </w:r>
      <w:r>
        <w:rPr>
          <w:rFonts w:hint="eastAsia"/>
          <w:sz w:val="24"/>
        </w:rPr>
        <w:t>年投入运营，根据建设单位提供数据，</w:t>
      </w:r>
      <w:r>
        <w:rPr>
          <w:rFonts w:hint="eastAsia"/>
          <w:color w:val="FF0000"/>
          <w:sz w:val="24"/>
        </w:rPr>
        <w:t>填埋场2</w:t>
      </w:r>
      <w:r>
        <w:rPr>
          <w:color w:val="FF0000"/>
          <w:sz w:val="24"/>
        </w:rPr>
        <w:t>0</w:t>
      </w:r>
      <w:r>
        <w:rPr>
          <w:rFonts w:hint="eastAsia"/>
          <w:color w:val="FF0000"/>
          <w:sz w:val="24"/>
        </w:rPr>
        <w:t>1</w:t>
      </w:r>
      <w:r>
        <w:rPr>
          <w:color w:val="FF0000"/>
          <w:sz w:val="24"/>
        </w:rPr>
        <w:t>9</w:t>
      </w:r>
      <w:r>
        <w:rPr>
          <w:rFonts w:hint="eastAsia"/>
          <w:color w:val="FF0000"/>
          <w:sz w:val="24"/>
        </w:rPr>
        <w:t>年日均垃圾填埋量约</w:t>
      </w:r>
      <w:r>
        <w:rPr>
          <w:color w:val="FF0000"/>
          <w:sz w:val="24"/>
        </w:rPr>
        <w:t>13</w:t>
      </w:r>
      <w:r>
        <w:rPr>
          <w:rFonts w:hint="eastAsia"/>
          <w:color w:val="FF0000"/>
          <w:sz w:val="24"/>
        </w:rPr>
        <w:t>吨左右，2</w:t>
      </w:r>
      <w:r>
        <w:rPr>
          <w:color w:val="FF0000"/>
          <w:sz w:val="24"/>
        </w:rPr>
        <w:t>0</w:t>
      </w:r>
      <w:r>
        <w:rPr>
          <w:rFonts w:hint="eastAsia"/>
          <w:color w:val="FF0000"/>
          <w:sz w:val="24"/>
        </w:rPr>
        <w:t>2</w:t>
      </w:r>
      <w:r>
        <w:rPr>
          <w:color w:val="FF0000"/>
          <w:sz w:val="24"/>
        </w:rPr>
        <w:t>0</w:t>
      </w:r>
      <w:r>
        <w:rPr>
          <w:rFonts w:hint="eastAsia"/>
          <w:color w:val="FF0000"/>
          <w:sz w:val="24"/>
        </w:rPr>
        <w:t>年日均填埋量约2</w:t>
      </w:r>
      <w:r>
        <w:rPr>
          <w:color w:val="FF0000"/>
          <w:sz w:val="24"/>
        </w:rPr>
        <w:t>8</w:t>
      </w:r>
      <w:r>
        <w:rPr>
          <w:rFonts w:hint="eastAsia"/>
          <w:color w:val="FF0000"/>
          <w:sz w:val="24"/>
        </w:rPr>
        <w:t>吨，2</w:t>
      </w:r>
      <w:r>
        <w:rPr>
          <w:color w:val="FF0000"/>
          <w:sz w:val="24"/>
        </w:rPr>
        <w:t>0</w:t>
      </w:r>
      <w:r>
        <w:rPr>
          <w:rFonts w:hint="eastAsia"/>
          <w:color w:val="FF0000"/>
          <w:sz w:val="24"/>
        </w:rPr>
        <w:t>2</w:t>
      </w:r>
      <w:r>
        <w:rPr>
          <w:color w:val="FF0000"/>
          <w:sz w:val="24"/>
        </w:rPr>
        <w:t>1</w:t>
      </w:r>
      <w:r>
        <w:rPr>
          <w:rFonts w:hint="eastAsia"/>
          <w:color w:val="FF0000"/>
          <w:sz w:val="24"/>
        </w:rPr>
        <w:t>年日均填埋量约3</w:t>
      </w:r>
      <w:r>
        <w:rPr>
          <w:color w:val="FF0000"/>
          <w:sz w:val="24"/>
        </w:rPr>
        <w:t>3</w:t>
      </w:r>
      <w:r>
        <w:rPr>
          <w:rFonts w:hint="eastAsia"/>
          <w:color w:val="FF0000"/>
          <w:sz w:val="24"/>
        </w:rPr>
        <w:t>吨，2</w:t>
      </w:r>
      <w:r>
        <w:rPr>
          <w:color w:val="FF0000"/>
          <w:sz w:val="24"/>
        </w:rPr>
        <w:t>0</w:t>
      </w:r>
      <w:r>
        <w:rPr>
          <w:rFonts w:hint="eastAsia"/>
          <w:color w:val="FF0000"/>
          <w:sz w:val="24"/>
        </w:rPr>
        <w:t>2</w:t>
      </w:r>
      <w:r>
        <w:rPr>
          <w:color w:val="FF0000"/>
          <w:sz w:val="24"/>
        </w:rPr>
        <w:t>2</w:t>
      </w:r>
      <w:r>
        <w:rPr>
          <w:rFonts w:hint="eastAsia"/>
          <w:color w:val="FF0000"/>
          <w:sz w:val="24"/>
        </w:rPr>
        <w:t>年日填埋量约3</w:t>
      </w:r>
      <w:r>
        <w:rPr>
          <w:color w:val="FF0000"/>
          <w:sz w:val="24"/>
        </w:rPr>
        <w:t>7</w:t>
      </w:r>
      <w:r>
        <w:rPr>
          <w:rFonts w:hint="eastAsia"/>
          <w:color w:val="FF0000"/>
          <w:sz w:val="24"/>
        </w:rPr>
        <w:t>吨。</w:t>
      </w:r>
    </w:p>
    <w:p>
      <w:pPr>
        <w:spacing w:line="360" w:lineRule="auto"/>
        <w:ind w:firstLine="472" w:firstLineChars="196"/>
        <w:jc w:val="center"/>
        <w:rPr>
          <w:b/>
          <w:sz w:val="24"/>
        </w:rPr>
      </w:pPr>
      <w:r>
        <w:rPr>
          <w:b/>
          <w:sz w:val="24"/>
        </w:rPr>
        <w:t xml:space="preserve">表3.1-3 </w:t>
      </w:r>
      <w:r>
        <w:rPr>
          <w:rFonts w:hint="eastAsia"/>
          <w:b/>
          <w:sz w:val="24"/>
        </w:rPr>
        <w:t>现状填埋情况</w:t>
      </w:r>
    </w:p>
    <w:tbl>
      <w:tblPr>
        <w:tblStyle w:val="8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80"/>
        <w:gridCol w:w="1701"/>
        <w:gridCol w:w="2126"/>
        <w:gridCol w:w="28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80" w:type="dxa"/>
          </w:tcPr>
          <w:p>
            <w:pPr>
              <w:kinsoku w:val="0"/>
              <w:overflowPunct w:val="0"/>
              <w:autoSpaceDE w:val="0"/>
              <w:autoSpaceDN w:val="0"/>
              <w:adjustRightInd w:val="0"/>
              <w:snapToGrid w:val="0"/>
              <w:jc w:val="center"/>
              <w:rPr>
                <w:szCs w:val="21"/>
              </w:rPr>
            </w:pPr>
            <w:r>
              <w:rPr>
                <w:szCs w:val="21"/>
              </w:rPr>
              <w:t>序号</w:t>
            </w:r>
          </w:p>
        </w:tc>
        <w:tc>
          <w:tcPr>
            <w:tcW w:w="1701" w:type="dxa"/>
          </w:tcPr>
          <w:p>
            <w:pPr>
              <w:kinsoku w:val="0"/>
              <w:overflowPunct w:val="0"/>
              <w:autoSpaceDE w:val="0"/>
              <w:autoSpaceDN w:val="0"/>
              <w:adjustRightInd w:val="0"/>
              <w:snapToGrid w:val="0"/>
              <w:jc w:val="center"/>
              <w:rPr>
                <w:szCs w:val="21"/>
              </w:rPr>
            </w:pPr>
            <w:r>
              <w:rPr>
                <w:szCs w:val="21"/>
              </w:rPr>
              <w:t>年份</w:t>
            </w:r>
          </w:p>
        </w:tc>
        <w:tc>
          <w:tcPr>
            <w:tcW w:w="2126" w:type="dxa"/>
          </w:tcPr>
          <w:p>
            <w:pPr>
              <w:kinsoku w:val="0"/>
              <w:overflowPunct w:val="0"/>
              <w:autoSpaceDE w:val="0"/>
              <w:autoSpaceDN w:val="0"/>
              <w:adjustRightInd w:val="0"/>
              <w:snapToGrid w:val="0"/>
              <w:jc w:val="center"/>
              <w:rPr>
                <w:szCs w:val="21"/>
              </w:rPr>
            </w:pPr>
            <w:r>
              <w:rPr>
                <w:szCs w:val="21"/>
              </w:rPr>
              <w:t>日均填埋量（吨）</w:t>
            </w:r>
          </w:p>
        </w:tc>
        <w:tc>
          <w:tcPr>
            <w:tcW w:w="2839" w:type="dxa"/>
          </w:tcPr>
          <w:p>
            <w:pPr>
              <w:kinsoku w:val="0"/>
              <w:overflowPunct w:val="0"/>
              <w:autoSpaceDE w:val="0"/>
              <w:autoSpaceDN w:val="0"/>
              <w:adjustRightInd w:val="0"/>
              <w:snapToGrid w:val="0"/>
              <w:jc w:val="center"/>
              <w:rPr>
                <w:szCs w:val="21"/>
              </w:rPr>
            </w:pPr>
            <w:r>
              <w:rPr>
                <w:szCs w:val="21"/>
              </w:rPr>
              <w:t>年填埋量（吨）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80" w:type="dxa"/>
          </w:tcPr>
          <w:p>
            <w:pPr>
              <w:kinsoku w:val="0"/>
              <w:overflowPunct w:val="0"/>
              <w:autoSpaceDE w:val="0"/>
              <w:autoSpaceDN w:val="0"/>
              <w:adjustRightInd w:val="0"/>
              <w:snapToGrid w:val="0"/>
              <w:jc w:val="center"/>
              <w:rPr>
                <w:szCs w:val="21"/>
              </w:rPr>
            </w:pPr>
            <w:r>
              <w:rPr>
                <w:szCs w:val="21"/>
              </w:rPr>
              <w:t>1</w:t>
            </w:r>
          </w:p>
        </w:tc>
        <w:tc>
          <w:tcPr>
            <w:tcW w:w="1701" w:type="dxa"/>
          </w:tcPr>
          <w:p>
            <w:pPr>
              <w:kinsoku w:val="0"/>
              <w:overflowPunct w:val="0"/>
              <w:autoSpaceDE w:val="0"/>
              <w:autoSpaceDN w:val="0"/>
              <w:adjustRightInd w:val="0"/>
              <w:snapToGrid w:val="0"/>
              <w:jc w:val="center"/>
              <w:rPr>
                <w:szCs w:val="21"/>
              </w:rPr>
            </w:pPr>
            <w:r>
              <w:rPr>
                <w:szCs w:val="21"/>
              </w:rPr>
              <w:t>2019</w:t>
            </w:r>
          </w:p>
        </w:tc>
        <w:tc>
          <w:tcPr>
            <w:tcW w:w="2126" w:type="dxa"/>
          </w:tcPr>
          <w:p>
            <w:pPr>
              <w:kinsoku w:val="0"/>
              <w:overflowPunct w:val="0"/>
              <w:autoSpaceDE w:val="0"/>
              <w:autoSpaceDN w:val="0"/>
              <w:adjustRightInd w:val="0"/>
              <w:snapToGrid w:val="0"/>
              <w:jc w:val="center"/>
              <w:rPr>
                <w:szCs w:val="21"/>
              </w:rPr>
            </w:pPr>
            <w:r>
              <w:rPr>
                <w:szCs w:val="21"/>
              </w:rPr>
              <w:t>13</w:t>
            </w:r>
          </w:p>
        </w:tc>
        <w:tc>
          <w:tcPr>
            <w:tcW w:w="2839" w:type="dxa"/>
            <w:vAlign w:val="center"/>
          </w:tcPr>
          <w:p>
            <w:pPr>
              <w:kinsoku w:val="0"/>
              <w:overflowPunct w:val="0"/>
              <w:autoSpaceDE w:val="0"/>
              <w:autoSpaceDN w:val="0"/>
              <w:adjustRightInd w:val="0"/>
              <w:snapToGrid w:val="0"/>
              <w:jc w:val="center"/>
              <w:rPr>
                <w:szCs w:val="21"/>
              </w:rPr>
            </w:pPr>
            <w:r>
              <w:rPr>
                <w:rFonts w:eastAsia="等线"/>
                <w:szCs w:val="21"/>
              </w:rPr>
              <w:t>4745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80" w:type="dxa"/>
          </w:tcPr>
          <w:p>
            <w:pPr>
              <w:kinsoku w:val="0"/>
              <w:overflowPunct w:val="0"/>
              <w:autoSpaceDE w:val="0"/>
              <w:autoSpaceDN w:val="0"/>
              <w:adjustRightInd w:val="0"/>
              <w:snapToGrid w:val="0"/>
              <w:jc w:val="center"/>
              <w:rPr>
                <w:szCs w:val="21"/>
              </w:rPr>
            </w:pPr>
            <w:r>
              <w:rPr>
                <w:szCs w:val="21"/>
              </w:rPr>
              <w:t>2</w:t>
            </w:r>
          </w:p>
        </w:tc>
        <w:tc>
          <w:tcPr>
            <w:tcW w:w="1701" w:type="dxa"/>
          </w:tcPr>
          <w:p>
            <w:pPr>
              <w:kinsoku w:val="0"/>
              <w:overflowPunct w:val="0"/>
              <w:autoSpaceDE w:val="0"/>
              <w:autoSpaceDN w:val="0"/>
              <w:adjustRightInd w:val="0"/>
              <w:snapToGrid w:val="0"/>
              <w:jc w:val="center"/>
              <w:rPr>
                <w:szCs w:val="21"/>
              </w:rPr>
            </w:pPr>
            <w:r>
              <w:rPr>
                <w:szCs w:val="21"/>
              </w:rPr>
              <w:t>2020</w:t>
            </w:r>
          </w:p>
        </w:tc>
        <w:tc>
          <w:tcPr>
            <w:tcW w:w="2126" w:type="dxa"/>
          </w:tcPr>
          <w:p>
            <w:pPr>
              <w:kinsoku w:val="0"/>
              <w:overflowPunct w:val="0"/>
              <w:autoSpaceDE w:val="0"/>
              <w:autoSpaceDN w:val="0"/>
              <w:adjustRightInd w:val="0"/>
              <w:snapToGrid w:val="0"/>
              <w:jc w:val="center"/>
              <w:rPr>
                <w:szCs w:val="21"/>
              </w:rPr>
            </w:pPr>
            <w:r>
              <w:rPr>
                <w:szCs w:val="21"/>
              </w:rPr>
              <w:t>28</w:t>
            </w:r>
          </w:p>
        </w:tc>
        <w:tc>
          <w:tcPr>
            <w:tcW w:w="2839" w:type="dxa"/>
            <w:vAlign w:val="center"/>
          </w:tcPr>
          <w:p>
            <w:pPr>
              <w:kinsoku w:val="0"/>
              <w:overflowPunct w:val="0"/>
              <w:autoSpaceDE w:val="0"/>
              <w:autoSpaceDN w:val="0"/>
              <w:adjustRightInd w:val="0"/>
              <w:snapToGrid w:val="0"/>
              <w:jc w:val="center"/>
              <w:rPr>
                <w:szCs w:val="21"/>
              </w:rPr>
            </w:pPr>
            <w:r>
              <w:rPr>
                <w:rFonts w:eastAsia="等线"/>
                <w:szCs w:val="21"/>
              </w:rPr>
              <w:t>10220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80" w:type="dxa"/>
          </w:tcPr>
          <w:p>
            <w:pPr>
              <w:kinsoku w:val="0"/>
              <w:overflowPunct w:val="0"/>
              <w:autoSpaceDE w:val="0"/>
              <w:autoSpaceDN w:val="0"/>
              <w:adjustRightInd w:val="0"/>
              <w:snapToGrid w:val="0"/>
              <w:jc w:val="center"/>
              <w:rPr>
                <w:szCs w:val="21"/>
              </w:rPr>
            </w:pPr>
            <w:r>
              <w:rPr>
                <w:szCs w:val="21"/>
              </w:rPr>
              <w:t>3</w:t>
            </w:r>
          </w:p>
        </w:tc>
        <w:tc>
          <w:tcPr>
            <w:tcW w:w="1701" w:type="dxa"/>
          </w:tcPr>
          <w:p>
            <w:pPr>
              <w:kinsoku w:val="0"/>
              <w:overflowPunct w:val="0"/>
              <w:autoSpaceDE w:val="0"/>
              <w:autoSpaceDN w:val="0"/>
              <w:adjustRightInd w:val="0"/>
              <w:snapToGrid w:val="0"/>
              <w:jc w:val="center"/>
              <w:rPr>
                <w:szCs w:val="21"/>
              </w:rPr>
            </w:pPr>
            <w:r>
              <w:rPr>
                <w:szCs w:val="21"/>
              </w:rPr>
              <w:t>2021</w:t>
            </w:r>
          </w:p>
        </w:tc>
        <w:tc>
          <w:tcPr>
            <w:tcW w:w="2126" w:type="dxa"/>
          </w:tcPr>
          <w:p>
            <w:pPr>
              <w:kinsoku w:val="0"/>
              <w:overflowPunct w:val="0"/>
              <w:autoSpaceDE w:val="0"/>
              <w:autoSpaceDN w:val="0"/>
              <w:adjustRightInd w:val="0"/>
              <w:snapToGrid w:val="0"/>
              <w:jc w:val="center"/>
              <w:rPr>
                <w:szCs w:val="21"/>
              </w:rPr>
            </w:pPr>
            <w:r>
              <w:rPr>
                <w:szCs w:val="21"/>
              </w:rPr>
              <w:t>33</w:t>
            </w:r>
          </w:p>
        </w:tc>
        <w:tc>
          <w:tcPr>
            <w:tcW w:w="2839" w:type="dxa"/>
            <w:vAlign w:val="center"/>
          </w:tcPr>
          <w:p>
            <w:pPr>
              <w:kinsoku w:val="0"/>
              <w:overflowPunct w:val="0"/>
              <w:autoSpaceDE w:val="0"/>
              <w:autoSpaceDN w:val="0"/>
              <w:adjustRightInd w:val="0"/>
              <w:snapToGrid w:val="0"/>
              <w:jc w:val="center"/>
              <w:rPr>
                <w:szCs w:val="21"/>
              </w:rPr>
            </w:pPr>
            <w:r>
              <w:rPr>
                <w:rFonts w:eastAsia="等线"/>
                <w:szCs w:val="21"/>
              </w:rPr>
              <w:t>12045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80" w:type="dxa"/>
          </w:tcPr>
          <w:p>
            <w:pPr>
              <w:kinsoku w:val="0"/>
              <w:overflowPunct w:val="0"/>
              <w:autoSpaceDE w:val="0"/>
              <w:autoSpaceDN w:val="0"/>
              <w:adjustRightInd w:val="0"/>
              <w:snapToGrid w:val="0"/>
              <w:jc w:val="center"/>
              <w:rPr>
                <w:szCs w:val="21"/>
              </w:rPr>
            </w:pPr>
            <w:r>
              <w:rPr>
                <w:szCs w:val="21"/>
              </w:rPr>
              <w:t>4</w:t>
            </w:r>
          </w:p>
        </w:tc>
        <w:tc>
          <w:tcPr>
            <w:tcW w:w="1701" w:type="dxa"/>
          </w:tcPr>
          <w:p>
            <w:pPr>
              <w:kinsoku w:val="0"/>
              <w:overflowPunct w:val="0"/>
              <w:autoSpaceDE w:val="0"/>
              <w:autoSpaceDN w:val="0"/>
              <w:adjustRightInd w:val="0"/>
              <w:snapToGrid w:val="0"/>
              <w:jc w:val="center"/>
              <w:rPr>
                <w:szCs w:val="21"/>
              </w:rPr>
            </w:pPr>
            <w:r>
              <w:rPr>
                <w:szCs w:val="21"/>
              </w:rPr>
              <w:t>2022</w:t>
            </w:r>
          </w:p>
        </w:tc>
        <w:tc>
          <w:tcPr>
            <w:tcW w:w="2126" w:type="dxa"/>
          </w:tcPr>
          <w:p>
            <w:pPr>
              <w:kinsoku w:val="0"/>
              <w:overflowPunct w:val="0"/>
              <w:autoSpaceDE w:val="0"/>
              <w:autoSpaceDN w:val="0"/>
              <w:adjustRightInd w:val="0"/>
              <w:snapToGrid w:val="0"/>
              <w:jc w:val="center"/>
              <w:rPr>
                <w:szCs w:val="21"/>
              </w:rPr>
            </w:pPr>
            <w:r>
              <w:rPr>
                <w:szCs w:val="21"/>
              </w:rPr>
              <w:t>37</w:t>
            </w:r>
          </w:p>
        </w:tc>
        <w:tc>
          <w:tcPr>
            <w:tcW w:w="2839" w:type="dxa"/>
            <w:vAlign w:val="center"/>
          </w:tcPr>
          <w:p>
            <w:pPr>
              <w:kinsoku w:val="0"/>
              <w:overflowPunct w:val="0"/>
              <w:autoSpaceDE w:val="0"/>
              <w:autoSpaceDN w:val="0"/>
              <w:adjustRightInd w:val="0"/>
              <w:snapToGrid w:val="0"/>
              <w:jc w:val="center"/>
              <w:rPr>
                <w:szCs w:val="21"/>
              </w:rPr>
            </w:pPr>
            <w:r>
              <w:rPr>
                <w:rFonts w:eastAsia="等线"/>
                <w:szCs w:val="21"/>
              </w:rPr>
              <w:t>13505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480" w:type="dxa"/>
          </w:tcPr>
          <w:p>
            <w:pPr>
              <w:kinsoku w:val="0"/>
              <w:overflowPunct w:val="0"/>
              <w:autoSpaceDE w:val="0"/>
              <w:autoSpaceDN w:val="0"/>
              <w:adjustRightInd w:val="0"/>
              <w:snapToGrid w:val="0"/>
              <w:jc w:val="center"/>
              <w:rPr>
                <w:szCs w:val="21"/>
              </w:rPr>
            </w:pPr>
            <w:r>
              <w:rPr>
                <w:szCs w:val="21"/>
              </w:rPr>
              <w:t>合计</w:t>
            </w:r>
          </w:p>
        </w:tc>
        <w:tc>
          <w:tcPr>
            <w:tcW w:w="1701" w:type="dxa"/>
          </w:tcPr>
          <w:p>
            <w:pPr>
              <w:kinsoku w:val="0"/>
              <w:overflowPunct w:val="0"/>
              <w:autoSpaceDE w:val="0"/>
              <w:autoSpaceDN w:val="0"/>
              <w:adjustRightInd w:val="0"/>
              <w:snapToGrid w:val="0"/>
              <w:jc w:val="center"/>
              <w:rPr>
                <w:szCs w:val="21"/>
              </w:rPr>
            </w:pPr>
          </w:p>
        </w:tc>
        <w:tc>
          <w:tcPr>
            <w:tcW w:w="2126" w:type="dxa"/>
          </w:tcPr>
          <w:p>
            <w:pPr>
              <w:kinsoku w:val="0"/>
              <w:overflowPunct w:val="0"/>
              <w:autoSpaceDE w:val="0"/>
              <w:autoSpaceDN w:val="0"/>
              <w:adjustRightInd w:val="0"/>
              <w:snapToGrid w:val="0"/>
              <w:jc w:val="center"/>
              <w:rPr>
                <w:szCs w:val="21"/>
              </w:rPr>
            </w:pPr>
          </w:p>
        </w:tc>
        <w:tc>
          <w:tcPr>
            <w:tcW w:w="2839" w:type="dxa"/>
          </w:tcPr>
          <w:p>
            <w:pPr>
              <w:kinsoku w:val="0"/>
              <w:overflowPunct w:val="0"/>
              <w:autoSpaceDE w:val="0"/>
              <w:autoSpaceDN w:val="0"/>
              <w:adjustRightInd w:val="0"/>
              <w:snapToGrid w:val="0"/>
              <w:jc w:val="center"/>
              <w:rPr>
                <w:szCs w:val="21"/>
              </w:rPr>
            </w:pPr>
            <w:r>
              <w:rPr>
                <w:rFonts w:hint="eastAsia"/>
                <w:szCs w:val="21"/>
              </w:rPr>
              <w:t>4</w:t>
            </w:r>
            <w:r>
              <w:rPr>
                <w:szCs w:val="21"/>
              </w:rPr>
              <w:t>0515</w:t>
            </w:r>
          </w:p>
        </w:tc>
      </w:tr>
    </w:tbl>
    <w:p>
      <w:pPr>
        <w:pStyle w:val="2235"/>
        <w:ind w:firstLine="480"/>
        <w:rPr>
          <w:rFonts w:ascii="Times New Roman" w:hAnsi="Times New Roman"/>
        </w:rPr>
      </w:pPr>
      <w:bookmarkStart w:id="138" w:name="_Toc489432972"/>
      <w:bookmarkStart w:id="139" w:name="_Toc196468494"/>
      <w:bookmarkStart w:id="140" w:name="_Toc318700545"/>
      <w:bookmarkStart w:id="141" w:name="_Toc208456899"/>
      <w:bookmarkStart w:id="142" w:name="_Toc318446887"/>
      <w:bookmarkStart w:id="143" w:name="_Toc139878950"/>
    </w:p>
    <w:p>
      <w:pPr>
        <w:pStyle w:val="2235"/>
        <w:ind w:firstLine="480"/>
        <w:rPr>
          <w:rFonts w:ascii="Times New Roman" w:hAnsi="Times New Roman"/>
        </w:rPr>
      </w:pPr>
      <w:r>
        <w:rPr>
          <w:rFonts w:hint="eastAsia" w:ascii="Times New Roman" w:hAnsi="Times New Roman"/>
        </w:rPr>
        <w:t>根据设计资料，项目</w:t>
      </w:r>
      <w:r>
        <w:rPr>
          <w:rFonts w:ascii="Times New Roman" w:hAnsi="Times New Roman"/>
        </w:rPr>
        <w:t>总填埋容量为30.5万m</w:t>
      </w:r>
      <w:r>
        <w:rPr>
          <w:rFonts w:ascii="Times New Roman" w:hAnsi="Times New Roman"/>
          <w:vertAlign w:val="superscript"/>
        </w:rPr>
        <w:t>3</w:t>
      </w:r>
      <w:r>
        <w:rPr>
          <w:rFonts w:hint="eastAsia" w:ascii="Times New Roman" w:hAnsi="Times New Roman"/>
        </w:rPr>
        <w:t>。设计</w:t>
      </w:r>
      <w:r>
        <w:rPr>
          <w:rFonts w:ascii="Times New Roman" w:hAnsi="Times New Roman"/>
        </w:rPr>
        <w:t>日处理量50.0</w:t>
      </w:r>
      <w:r>
        <w:rPr>
          <w:rFonts w:hint="eastAsia" w:ascii="Times New Roman" w:hAnsi="Times New Roman"/>
        </w:rPr>
        <w:t>t/</w:t>
      </w:r>
      <w:r>
        <w:rPr>
          <w:rFonts w:ascii="Times New Roman" w:hAnsi="Times New Roman"/>
        </w:rPr>
        <w:t>日，压实后垃圾容重为0.8t</w:t>
      </w:r>
      <w:r>
        <w:rPr>
          <w:rFonts w:hint="eastAsia" w:ascii="Times New Roman" w:hAnsi="Times New Roman"/>
        </w:rPr>
        <w:t>/</w:t>
      </w:r>
      <w:r>
        <w:rPr>
          <w:rFonts w:ascii="Times New Roman" w:hAnsi="Times New Roman"/>
        </w:rPr>
        <w:t>m</w:t>
      </w:r>
      <w:r>
        <w:rPr>
          <w:rFonts w:ascii="Times New Roman" w:hAnsi="Times New Roman"/>
          <w:vertAlign w:val="superscript"/>
        </w:rPr>
        <w:t>3</w:t>
      </w:r>
      <w:r>
        <w:rPr>
          <w:rFonts w:hint="eastAsia" w:ascii="Times New Roman" w:hAnsi="Times New Roman"/>
        </w:rPr>
        <w:t>，则服务年限计算结果见下表：</w:t>
      </w:r>
    </w:p>
    <w:p>
      <w:pPr>
        <w:spacing w:line="360" w:lineRule="auto"/>
        <w:ind w:firstLine="472" w:firstLineChars="196"/>
        <w:jc w:val="center"/>
        <w:rPr>
          <w:b/>
          <w:sz w:val="24"/>
        </w:rPr>
      </w:pPr>
      <w:r>
        <w:rPr>
          <w:b/>
          <w:sz w:val="24"/>
        </w:rPr>
        <w:t xml:space="preserve">表3.1-4 </w:t>
      </w:r>
      <w:r>
        <w:rPr>
          <w:rFonts w:hint="eastAsia"/>
          <w:b/>
          <w:sz w:val="24"/>
        </w:rPr>
        <w:t>填埋库区库容量及服务年限计算表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91"/>
        <w:gridCol w:w="2577"/>
        <w:gridCol w:w="2459"/>
        <w:gridCol w:w="17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2"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分期</w:t>
            </w:r>
          </w:p>
        </w:tc>
        <w:tc>
          <w:tcPr>
            <w:tcW w:w="1512"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容积（万m</w:t>
            </w:r>
            <w:r>
              <w:rPr>
                <w:rFonts w:ascii="Times New Roman" w:hAnsi="Times New Roman"/>
                <w:sz w:val="21"/>
                <w:szCs w:val="21"/>
                <w:vertAlign w:val="superscript"/>
              </w:rPr>
              <w:t>3</w:t>
            </w:r>
            <w:r>
              <w:rPr>
                <w:rFonts w:ascii="Times New Roman" w:hAnsi="Times New Roman"/>
                <w:sz w:val="21"/>
                <w:szCs w:val="21"/>
              </w:rPr>
              <w:t>）</w:t>
            </w:r>
          </w:p>
        </w:tc>
        <w:tc>
          <w:tcPr>
            <w:tcW w:w="1443"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垃圾库容（t）</w:t>
            </w:r>
          </w:p>
        </w:tc>
        <w:tc>
          <w:tcPr>
            <w:tcW w:w="1053"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服务年限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92" w:type="pct"/>
            <w:vMerge w:val="restar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初期</w:t>
            </w:r>
          </w:p>
        </w:tc>
        <w:tc>
          <w:tcPr>
            <w:tcW w:w="1512"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50643.75</w:t>
            </w:r>
          </w:p>
        </w:tc>
        <w:tc>
          <w:tcPr>
            <w:tcW w:w="1443"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40515</w:t>
            </w:r>
          </w:p>
        </w:tc>
        <w:tc>
          <w:tcPr>
            <w:tcW w:w="1053"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2019-2022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92" w:type="pct"/>
            <w:vMerge w:val="continue"/>
            <w:vAlign w:val="center"/>
          </w:tcPr>
          <w:p>
            <w:pPr>
              <w:pStyle w:val="2235"/>
              <w:spacing w:line="240" w:lineRule="auto"/>
              <w:ind w:firstLine="0" w:firstLineChars="0"/>
              <w:jc w:val="center"/>
              <w:rPr>
                <w:rFonts w:ascii="Times New Roman" w:hAnsi="Times New Roman"/>
                <w:sz w:val="21"/>
                <w:szCs w:val="21"/>
              </w:rPr>
            </w:pPr>
          </w:p>
        </w:tc>
        <w:tc>
          <w:tcPr>
            <w:tcW w:w="1512" w:type="pct"/>
            <w:vAlign w:val="center"/>
          </w:tcPr>
          <w:p>
            <w:pPr>
              <w:widowControl/>
              <w:jc w:val="center"/>
              <w:rPr>
                <w:rFonts w:eastAsia="等线"/>
                <w:kern w:val="0"/>
                <w:szCs w:val="21"/>
              </w:rPr>
            </w:pPr>
            <w:r>
              <w:rPr>
                <w:rFonts w:eastAsia="等线"/>
                <w:szCs w:val="21"/>
              </w:rPr>
              <w:t>73456.25</w:t>
            </w:r>
          </w:p>
        </w:tc>
        <w:tc>
          <w:tcPr>
            <w:tcW w:w="1443" w:type="pct"/>
            <w:vAlign w:val="center"/>
          </w:tcPr>
          <w:p>
            <w:pPr>
              <w:widowControl/>
              <w:jc w:val="center"/>
              <w:rPr>
                <w:rFonts w:eastAsia="等线"/>
                <w:kern w:val="0"/>
                <w:szCs w:val="21"/>
              </w:rPr>
            </w:pPr>
            <w:r>
              <w:rPr>
                <w:rFonts w:eastAsia="等线"/>
                <w:szCs w:val="21"/>
              </w:rPr>
              <w:t>58765</w:t>
            </w:r>
          </w:p>
        </w:tc>
        <w:tc>
          <w:tcPr>
            <w:tcW w:w="1053"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2022-2023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92"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中后期</w:t>
            </w:r>
          </w:p>
        </w:tc>
        <w:tc>
          <w:tcPr>
            <w:tcW w:w="1512" w:type="pct"/>
            <w:vAlign w:val="center"/>
          </w:tcPr>
          <w:p>
            <w:pPr>
              <w:pStyle w:val="2235"/>
              <w:spacing w:line="240" w:lineRule="auto"/>
              <w:ind w:firstLine="0" w:firstLineChars="0"/>
              <w:jc w:val="center"/>
              <w:rPr>
                <w:rFonts w:ascii="Times New Roman" w:hAnsi="Times New Roman"/>
                <w:sz w:val="21"/>
                <w:szCs w:val="21"/>
              </w:rPr>
            </w:pPr>
            <w:r>
              <w:rPr>
                <w:rFonts w:ascii="Times New Roman" w:hAnsi="Times New Roman"/>
                <w:sz w:val="21"/>
                <w:szCs w:val="21"/>
              </w:rPr>
              <w:t>305000</w:t>
            </w:r>
          </w:p>
        </w:tc>
        <w:tc>
          <w:tcPr>
            <w:tcW w:w="1443" w:type="pct"/>
            <w:vAlign w:val="center"/>
          </w:tcPr>
          <w:p>
            <w:pPr>
              <w:widowControl/>
              <w:jc w:val="center"/>
              <w:rPr>
                <w:rFonts w:eastAsia="等线"/>
                <w:kern w:val="0"/>
                <w:szCs w:val="21"/>
              </w:rPr>
            </w:pPr>
            <w:r>
              <w:rPr>
                <w:rFonts w:eastAsia="等线"/>
                <w:szCs w:val="21"/>
              </w:rPr>
              <w:t>244000</w:t>
            </w:r>
          </w:p>
        </w:tc>
        <w:tc>
          <w:tcPr>
            <w:tcW w:w="1053" w:type="pct"/>
            <w:vAlign w:val="center"/>
          </w:tcPr>
          <w:p>
            <w:pPr>
              <w:pStyle w:val="2235"/>
              <w:spacing w:line="240" w:lineRule="auto"/>
              <w:ind w:firstLine="0" w:firstLineChars="0"/>
              <w:jc w:val="center"/>
              <w:rPr>
                <w:rFonts w:ascii="Times New Roman" w:hAnsi="Times New Roman"/>
                <w:sz w:val="21"/>
                <w:szCs w:val="21"/>
              </w:rPr>
            </w:pPr>
            <w:r>
              <w:rPr>
                <w:rFonts w:hint="eastAsia" w:ascii="Times New Roman" w:hAnsi="Times New Roman"/>
                <w:sz w:val="21"/>
                <w:szCs w:val="21"/>
              </w:rPr>
              <w:t>2</w:t>
            </w:r>
            <w:r>
              <w:rPr>
                <w:rFonts w:ascii="Times New Roman" w:hAnsi="Times New Roman"/>
                <w:sz w:val="21"/>
                <w:szCs w:val="21"/>
              </w:rPr>
              <w:t>023-2034</w:t>
            </w:r>
          </w:p>
        </w:tc>
      </w:tr>
    </w:tbl>
    <w:p>
      <w:pPr>
        <w:pStyle w:val="2235"/>
        <w:ind w:firstLine="480"/>
        <w:rPr>
          <w:rFonts w:ascii="Times New Roman" w:hAnsi="Times New Roman"/>
        </w:rPr>
      </w:pPr>
    </w:p>
    <w:p>
      <w:pPr>
        <w:pStyle w:val="831"/>
        <w:spacing w:before="156" w:beforeLines="50" w:after="156" w:afterLines="50" w:line="360" w:lineRule="auto"/>
        <w:rPr>
          <w:rFonts w:cs="Times New Roman"/>
        </w:rPr>
      </w:pPr>
      <w:bookmarkStart w:id="144" w:name="_Toc143762301"/>
      <w:r>
        <w:rPr>
          <w:rFonts w:cs="Times New Roman"/>
        </w:rPr>
        <w:t>3.1.5垃圾处理工艺</w:t>
      </w:r>
      <w:bookmarkEnd w:id="138"/>
      <w:bookmarkEnd w:id="139"/>
      <w:bookmarkEnd w:id="140"/>
      <w:bookmarkEnd w:id="141"/>
      <w:bookmarkEnd w:id="142"/>
      <w:bookmarkEnd w:id="144"/>
      <w:bookmarkStart w:id="145" w:name="_Toc283116770"/>
      <w:bookmarkStart w:id="146" w:name="_Toc424484382"/>
      <w:bookmarkStart w:id="147" w:name="_Toc196468496"/>
    </w:p>
    <w:p>
      <w:pPr>
        <w:autoSpaceDE w:val="0"/>
        <w:autoSpaceDN w:val="0"/>
        <w:spacing w:line="360" w:lineRule="auto"/>
        <w:rPr>
          <w:b/>
          <w:sz w:val="24"/>
        </w:rPr>
      </w:pPr>
      <w:r>
        <w:rPr>
          <w:b/>
          <w:sz w:val="24"/>
        </w:rPr>
        <w:t xml:space="preserve">3.1.5.1 </w:t>
      </w:r>
      <w:bookmarkEnd w:id="145"/>
      <w:r>
        <w:rPr>
          <w:rFonts w:hint="eastAsia"/>
          <w:b/>
          <w:sz w:val="24"/>
        </w:rPr>
        <w:t>填埋工艺</w:t>
      </w:r>
    </w:p>
    <w:p>
      <w:pPr>
        <w:spacing w:line="360" w:lineRule="auto"/>
        <w:ind w:firstLine="480" w:firstLineChars="200"/>
        <w:rPr>
          <w:sz w:val="24"/>
        </w:rPr>
      </w:pPr>
      <w:r>
        <w:rPr>
          <w:rFonts w:hint="eastAsia"/>
          <w:sz w:val="24"/>
        </w:rPr>
        <w:t>垃圾卫生填埋采用机械化作业，主要作业机械有环卫型推土机、垃圾压实机、挖掘机、自卸汽车及装载机、洒水、喷药车等，垃圾卫生填埋工艺是：</w:t>
      </w:r>
    </w:p>
    <w:p>
      <w:pPr>
        <w:spacing w:line="360" w:lineRule="auto"/>
        <w:rPr>
          <w:sz w:val="24"/>
        </w:rPr>
      </w:pPr>
      <w:r>
        <w:rPr>
          <w:sz w:val="24"/>
        </w:rPr>
        <mc:AlternateContent>
          <mc:Choice Requires="wps">
            <w:drawing>
              <wp:anchor distT="0" distB="0" distL="114300" distR="114300" simplePos="0" relativeHeight="251660288" behindDoc="1" locked="0" layoutInCell="1" allowOverlap="1">
                <wp:simplePos x="0" y="0"/>
                <wp:positionH relativeFrom="column">
                  <wp:posOffset>1372235</wp:posOffset>
                </wp:positionH>
                <wp:positionV relativeFrom="paragraph">
                  <wp:posOffset>43180</wp:posOffset>
                </wp:positionV>
                <wp:extent cx="1280795" cy="201930"/>
                <wp:effectExtent l="0" t="0" r="0" b="0"/>
                <wp:wrapNone/>
                <wp:docPr id="261" name="自选图形 32"/>
                <wp:cNvGraphicFramePr/>
                <a:graphic xmlns:a="http://schemas.openxmlformats.org/drawingml/2006/main">
                  <a:graphicData uri="http://schemas.microsoft.com/office/word/2010/wordprocessingShape">
                    <wps:wsp>
                      <wps:cNvSpPr>
                        <a:spLocks noChangeArrowheads="1"/>
                      </wps:cNvSpPr>
                      <wps:spPr bwMode="auto">
                        <a:xfrm>
                          <a:off x="0" y="0"/>
                          <a:ext cx="1280795" cy="201930"/>
                        </a:xfrm>
                        <a:prstGeom prst="flowChartProcess">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自选图形 32" o:spid="_x0000_s1026" o:spt="109" type="#_x0000_t109" style="position:absolute;left:0pt;margin-left:108.05pt;margin-top:3.4pt;height:15.9pt;width:100.85pt;z-index:-251656192;mso-width-relative:page;mso-height-relative:page;" fillcolor="#FFFFFF" filled="t" stroked="t" coordsize="21600,21600" o:gfxdata="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QcauUNgAAAAIAQAADwAAAAAAAAAB&#10;ACAAAAAiAAAAZHJzL2Rvd25yZXYueG1sUEsBAhQAFAAAAAgAh07iQHUA+apJAgAAhAQAAA4AAAAA&#10;AAAAAQAgAAAAJwEAAGRycy9lMm9Eb2MueG1sUEsFBgAAAAAGAAYAWQEAAOIFAAAAAA==&#10;">
                <v:fill on="t" focussize="0,0"/>
                <v:stroke color="#000000" miterlimit="8" joinstyle="miter"/>
                <v:imagedata o:title=""/>
                <o:lock v:ext="edit" aspectratio="f"/>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3143885</wp:posOffset>
                </wp:positionH>
                <wp:positionV relativeFrom="paragraph">
                  <wp:posOffset>174625</wp:posOffset>
                </wp:positionV>
                <wp:extent cx="302895" cy="0"/>
                <wp:effectExtent l="0" t="76200" r="0" b="76200"/>
                <wp:wrapNone/>
                <wp:docPr id="262" name="自选图形 36"/>
                <wp:cNvGraphicFramePr/>
                <a:graphic xmlns:a="http://schemas.openxmlformats.org/drawingml/2006/main">
                  <a:graphicData uri="http://schemas.microsoft.com/office/word/2010/wordprocessingShape">
                    <wps:wsp>
                      <wps:cNvCnPr>
                        <a:cxnSpLocks noChangeShapeType="1"/>
                      </wps:cNvCnPr>
                      <wps:spPr bwMode="auto">
                        <a:xfrm>
                          <a:off x="0" y="0"/>
                          <a:ext cx="302895" cy="0"/>
                        </a:xfrm>
                        <a:prstGeom prst="straightConnector1">
                          <a:avLst/>
                        </a:prstGeom>
                        <a:noFill/>
                        <a:ln w="9525">
                          <a:solidFill>
                            <a:srgbClr val="000000"/>
                          </a:solidFill>
                          <a:round/>
                          <a:tailEnd type="triangle" w="med" len="med"/>
                        </a:ln>
                      </wps:spPr>
                      <wps:bodyPr/>
                    </wps:wsp>
                  </a:graphicData>
                </a:graphic>
              </wp:anchor>
            </w:drawing>
          </mc:Choice>
          <mc:Fallback>
            <w:pict>
              <v:shape id="自选图形 36" o:spid="_x0000_s1026" o:spt="32" type="#_x0000_t32" style="position:absolute;left:0pt;margin-left:247.55pt;margin-top:13.75pt;height:0pt;width:23.85pt;z-index:251664384;mso-width-relative:page;mso-height-relative:page;" filled="f" stroked="t" coordsize="21600,21600" o:gfxdata="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34pc5NkAAAAJAQAADwAAAAAAAAABACAAAAAi&#10;AAAAZHJzL2Rvd25yZXYueG1sUEsBAhQAFAAAAAgAh07iQHjv+VkJAgAA5QMAAA4AAAAAAAAAAQAg&#10;AAAAKAEAAGRycy9lMm9Eb2MueG1sUEsFBgAAAAAGAAYAWQEAAKMFAAAAAA==&#10;">
                <v:fill on="f" focussize="0,0"/>
                <v:stroke color="#000000" joinstyle="round" endarrow="block"/>
                <v:imagedata o:title=""/>
                <o:lock v:ext="edit" aspectratio="f"/>
              </v:shape>
            </w:pict>
          </mc:Fallback>
        </mc:AlternateContent>
      </w:r>
      <w:r>
        <w:rPr>
          <w:sz w:val="24"/>
        </w:rPr>
        <mc:AlternateContent>
          <mc:Choice Requires="wps">
            <w:drawing>
              <wp:anchor distT="0" distB="0" distL="114300" distR="114300" simplePos="0" relativeHeight="251661312" behindDoc="1" locked="0" layoutInCell="1" allowOverlap="1">
                <wp:simplePos x="0" y="0"/>
                <wp:positionH relativeFrom="column">
                  <wp:posOffset>3562350</wp:posOffset>
                </wp:positionH>
                <wp:positionV relativeFrom="paragraph">
                  <wp:posOffset>43180</wp:posOffset>
                </wp:positionV>
                <wp:extent cx="891540" cy="201930"/>
                <wp:effectExtent l="0" t="0" r="9525" b="0"/>
                <wp:wrapNone/>
                <wp:docPr id="263" name="自选图形 33"/>
                <wp:cNvGraphicFramePr/>
                <a:graphic xmlns:a="http://schemas.openxmlformats.org/drawingml/2006/main">
                  <a:graphicData uri="http://schemas.microsoft.com/office/word/2010/wordprocessingShape">
                    <wps:wsp>
                      <wps:cNvSpPr>
                        <a:spLocks noChangeArrowheads="1"/>
                      </wps:cNvSpPr>
                      <wps:spPr bwMode="auto">
                        <a:xfrm>
                          <a:off x="0" y="0"/>
                          <a:ext cx="891540" cy="201930"/>
                        </a:xfrm>
                        <a:prstGeom prst="flowChartProcess">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自选图形 33" o:spid="_x0000_s1026" o:spt="109" type="#_x0000_t109" style="position:absolute;left:0pt;margin-left:280.5pt;margin-top:3.4pt;height:15.9pt;width:70.2pt;z-index:-251655168;mso-width-relative:page;mso-height-relative:page;" fillcolor="#FFFFFF" filled="t" stroked="t" coordsize="21600,21600" o:gfxdata="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98exONgAAAAIAQAADwAAAAAAAAABACAA&#10;AAAiAAAAZHJzL2Rvd25yZXYueG1sUEsBAhQAFAAAAAgAh07iQPWZaP5GAgAAgwQAAA4AAAAAAAAA&#10;AQAgAAAAJwEAAGRycy9lMm9Eb2MueG1sUEsFBgAAAAAGAAYAWQEAAN8FAAAAAA==&#10;">
                <v:fill on="t" focussize="0,0"/>
                <v:stroke color="#000000" miterlimit="8" joinstyle="miter"/>
                <v:imagedata o:title=""/>
                <o:lock v:ext="edit" aspectratio="f"/>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982980</wp:posOffset>
                </wp:positionH>
                <wp:positionV relativeFrom="paragraph">
                  <wp:posOffset>174625</wp:posOffset>
                </wp:positionV>
                <wp:extent cx="302895" cy="0"/>
                <wp:effectExtent l="0" t="76200" r="0" b="76200"/>
                <wp:wrapNone/>
                <wp:docPr id="260" name="自选图形 35"/>
                <wp:cNvGraphicFramePr/>
                <a:graphic xmlns:a="http://schemas.openxmlformats.org/drawingml/2006/main">
                  <a:graphicData uri="http://schemas.microsoft.com/office/word/2010/wordprocessingShape">
                    <wps:wsp>
                      <wps:cNvCnPr>
                        <a:cxnSpLocks noChangeShapeType="1"/>
                      </wps:cNvCnPr>
                      <wps:spPr bwMode="auto">
                        <a:xfrm>
                          <a:off x="0" y="0"/>
                          <a:ext cx="302895" cy="0"/>
                        </a:xfrm>
                        <a:prstGeom prst="straightConnector1">
                          <a:avLst/>
                        </a:prstGeom>
                        <a:noFill/>
                        <a:ln w="9525">
                          <a:solidFill>
                            <a:srgbClr val="000000"/>
                          </a:solidFill>
                          <a:round/>
                          <a:tailEnd type="triangle" w="med" len="med"/>
                        </a:ln>
                      </wps:spPr>
                      <wps:bodyPr/>
                    </wps:wsp>
                  </a:graphicData>
                </a:graphic>
              </wp:anchor>
            </w:drawing>
          </mc:Choice>
          <mc:Fallback>
            <w:pict>
              <v:shape id="自选图形 35" o:spid="_x0000_s1026" o:spt="32" type="#_x0000_t32" style="position:absolute;left:0pt;margin-left:77.4pt;margin-top:13.75pt;height:0pt;width:23.85pt;z-index:251663360;mso-width-relative:page;mso-height-relative:page;" filled="f" stroked="t" coordsize="21600,21600" o:gfxdata="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CqxLPYAAAACQEAAA8AAAAAAAAAAQAgAAAAIgAA&#10;AGRycy9kb3ducmV2LnhtbFBLAQIUABQAAAAIAIdO4kC9htU1CAIAAOUDAAAOAAAAAAAAAAEAIAAA&#10;ACcBAABkcnMvZTJvRG9jLnhtbFBLBQYAAAAABgAGAFkBAAChBQAAAAA=&#10;">
                <v:fill on="f" focussize="0,0"/>
                <v:stroke color="#000000" joinstyle="round" endarrow="block"/>
                <v:imagedata o:title=""/>
                <o:lock v:ext="edit" aspectratio="f"/>
              </v:shape>
            </w:pict>
          </mc:Fallback>
        </mc:AlternateContent>
      </w:r>
      <w:r>
        <w:rPr>
          <w:sz w:val="24"/>
        </w:rPr>
        <mc:AlternateContent>
          <mc:Choice Requires="wps">
            <w:drawing>
              <wp:anchor distT="0" distB="0" distL="114300" distR="114300" simplePos="0" relativeHeight="251659264" behindDoc="1" locked="0" layoutInCell="1" allowOverlap="1">
                <wp:simplePos x="0" y="0"/>
                <wp:positionH relativeFrom="column">
                  <wp:posOffset>-22860</wp:posOffset>
                </wp:positionH>
                <wp:positionV relativeFrom="paragraph">
                  <wp:posOffset>34925</wp:posOffset>
                </wp:positionV>
                <wp:extent cx="784225" cy="201930"/>
                <wp:effectExtent l="0" t="0" r="0" b="0"/>
                <wp:wrapNone/>
                <wp:docPr id="259" name="自选图形 31"/>
                <wp:cNvGraphicFramePr/>
                <a:graphic xmlns:a="http://schemas.openxmlformats.org/drawingml/2006/main">
                  <a:graphicData uri="http://schemas.microsoft.com/office/word/2010/wordprocessingShape">
                    <wps:wsp>
                      <wps:cNvSpPr>
                        <a:spLocks noChangeArrowheads="1"/>
                      </wps:cNvSpPr>
                      <wps:spPr bwMode="auto">
                        <a:xfrm>
                          <a:off x="0" y="0"/>
                          <a:ext cx="784225" cy="201930"/>
                        </a:xfrm>
                        <a:prstGeom prst="flowChartProcess">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自选图形 31" o:spid="_x0000_s1026" o:spt="109" type="#_x0000_t109" style="position:absolute;left:0pt;margin-left:-1.8pt;margin-top:2.75pt;height:15.9pt;width:61.75pt;z-index:-251657216;mso-width-relative:page;mso-height-relative:page;" fillcolor="#FFFFFF" filled="t" stroked="t" coordsize="21600,21600" o:gfxdata="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zia3jdcAAAAHAQAADwAAAAAAAAABACAAAAAi&#10;AAAAZHJzL2Rvd25yZXYueG1sUEsBAhQAFAAAAAgAh07iQAZzPkhEAgAAgwQAAA4AAAAAAAAAAQAg&#10;AAAAJgEAAGRycy9lMm9Eb2MueG1sUEsFBgAAAAAGAAYAWQEAANwFAAAAAA==&#10;">
                <v:fill on="t" focussize="0,0"/>
                <v:stroke color="#000000" miterlimit="8" joinstyle="miter"/>
                <v:imagedata o:title=""/>
                <o:lock v:ext="edit" aspectratio="f"/>
              </v:shape>
            </w:pict>
          </mc:Fallback>
        </mc:AlternateContent>
      </w:r>
      <w:r>
        <w:rPr>
          <w:rFonts w:hint="eastAsia"/>
          <w:sz w:val="24"/>
        </w:rPr>
        <w:t xml:space="preserve">垃圾运输卸料       推土机推运卸料垃圾   </w:t>
      </w:r>
      <w:r>
        <w:rPr>
          <w:sz w:val="24"/>
        </w:rPr>
        <w:t xml:space="preserve">       </w:t>
      </w:r>
      <w:r>
        <w:rPr>
          <w:rFonts w:hint="eastAsia"/>
          <w:sz w:val="24"/>
        </w:rPr>
        <w:t>压实机碾压</w:t>
      </w:r>
    </w:p>
    <w:p>
      <w:pPr>
        <w:spacing w:line="360" w:lineRule="auto"/>
        <w:ind w:firstLine="1920" w:firstLineChars="800"/>
        <w:rPr>
          <w:sz w:val="24"/>
        </w:rPr>
      </w:pPr>
    </w:p>
    <w:p>
      <w:pPr>
        <w:spacing w:line="360" w:lineRule="auto"/>
        <w:ind w:firstLine="1920" w:firstLineChars="800"/>
        <w:rPr>
          <w:sz w:val="24"/>
        </w:rPr>
      </w:pPr>
      <w:r>
        <w:rPr>
          <w:sz w:val="24"/>
        </w:rPr>
        <mc:AlternateContent>
          <mc:Choice Requires="wps">
            <w:drawing>
              <wp:anchor distT="0" distB="0" distL="114300" distR="114300" simplePos="0" relativeHeight="251662336" behindDoc="1" locked="0" layoutInCell="1" allowOverlap="1">
                <wp:simplePos x="0" y="0"/>
                <wp:positionH relativeFrom="column">
                  <wp:posOffset>1216660</wp:posOffset>
                </wp:positionH>
                <wp:positionV relativeFrom="paragraph">
                  <wp:posOffset>24130</wp:posOffset>
                </wp:positionV>
                <wp:extent cx="1081405" cy="195580"/>
                <wp:effectExtent l="0" t="0" r="0" b="0"/>
                <wp:wrapNone/>
                <wp:docPr id="258" name="自选图形 34"/>
                <wp:cNvGraphicFramePr/>
                <a:graphic xmlns:a="http://schemas.openxmlformats.org/drawingml/2006/main">
                  <a:graphicData uri="http://schemas.microsoft.com/office/word/2010/wordprocessingShape">
                    <wps:wsp>
                      <wps:cNvSpPr>
                        <a:spLocks noChangeArrowheads="1"/>
                      </wps:cNvSpPr>
                      <wps:spPr bwMode="auto">
                        <a:xfrm>
                          <a:off x="0" y="0"/>
                          <a:ext cx="1081405" cy="195580"/>
                        </a:xfrm>
                        <a:prstGeom prst="flowChartProcess">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自选图形 34" o:spid="_x0000_s1026" o:spt="109" type="#_x0000_t109" style="position:absolute;left:0pt;margin-left:95.8pt;margin-top:1.9pt;height:15.4pt;width:85.15pt;z-index:-251654144;mso-width-relative:page;mso-height-relative:page;" fillcolor="#FFFFFF" filled="t" stroked="t" coordsize="21600,21600" o:gfxdata="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ydIQXXAAAACAEAAA8AAAAAAAAAAQAg&#10;AAAAIgAAAGRycy9kb3ducmV2LnhtbFBLAQIUABQAAAAIAIdO4kA3DMrCSAIAAIQEAAAOAAAAAAAA&#10;AAEAIAAAACYBAABkcnMvZTJvRG9jLnhtbFBLBQYAAAAABgAGAFkBAADgBQAAAAA=&#10;">
                <v:fill on="t" focussize="0,0"/>
                <v:stroke color="#000000" miterlimit="8" joinstyle="miter"/>
                <v:imagedata o:title=""/>
                <o:lock v:ext="edit" aspectratio="f"/>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828040</wp:posOffset>
                </wp:positionH>
                <wp:positionV relativeFrom="paragraph">
                  <wp:posOffset>152400</wp:posOffset>
                </wp:positionV>
                <wp:extent cx="302895" cy="0"/>
                <wp:effectExtent l="0" t="76200" r="0" b="76200"/>
                <wp:wrapNone/>
                <wp:docPr id="257" name="自选图形 37"/>
                <wp:cNvGraphicFramePr/>
                <a:graphic xmlns:a="http://schemas.openxmlformats.org/drawingml/2006/main">
                  <a:graphicData uri="http://schemas.microsoft.com/office/word/2010/wordprocessingShape">
                    <wps:wsp>
                      <wps:cNvCnPr>
                        <a:cxnSpLocks noChangeShapeType="1"/>
                      </wps:cNvCnPr>
                      <wps:spPr bwMode="auto">
                        <a:xfrm>
                          <a:off x="0" y="0"/>
                          <a:ext cx="302895" cy="0"/>
                        </a:xfrm>
                        <a:prstGeom prst="straightConnector1">
                          <a:avLst/>
                        </a:prstGeom>
                        <a:noFill/>
                        <a:ln w="9525">
                          <a:solidFill>
                            <a:srgbClr val="000000"/>
                          </a:solidFill>
                          <a:round/>
                          <a:tailEnd type="triangle" w="med" len="med"/>
                        </a:ln>
                      </wps:spPr>
                      <wps:bodyPr/>
                    </wps:wsp>
                  </a:graphicData>
                </a:graphic>
              </wp:anchor>
            </w:drawing>
          </mc:Choice>
          <mc:Fallback>
            <w:pict>
              <v:shape id="自选图形 37" o:spid="_x0000_s1026" o:spt="32" type="#_x0000_t32" style="position:absolute;left:0pt;margin-left:65.2pt;margin-top:12pt;height:0pt;width:23.85pt;z-index:251665408;mso-width-relative:page;mso-height-relative:page;" filled="f" stroked="t" coordsize="21600,21600" o:gfxdata="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BXHsW2AAAAAkBAAAPAAAAAAAAAAEAIAAAACIA&#10;AABkcnMvZG93bnJldi54bWxQSwECFAAUAAAACACHTuJAopQblgkCAADlAwAADgAAAAAAAAABACAA&#10;AAAnAQAAZHJzL2Uyb0RvYy54bWxQSwUGAAAAAAYABgBZAQAAogUAAAAA&#10;">
                <v:fill on="f" focussize="0,0"/>
                <v:stroke color="#000000" joinstyle="round" endarrow="block"/>
                <v:imagedata o:title=""/>
                <o:lock v:ext="edit" aspectratio="f"/>
              </v:shape>
            </w:pict>
          </mc:Fallback>
        </mc:AlternateContent>
      </w:r>
      <w:r>
        <w:rPr>
          <w:rFonts w:hint="eastAsia"/>
          <w:sz w:val="24"/>
        </w:rPr>
        <w:t>覆盖土层并压实平整</w:t>
      </w:r>
    </w:p>
    <w:p>
      <w:pPr>
        <w:spacing w:line="360" w:lineRule="auto"/>
        <w:ind w:firstLine="1920" w:firstLineChars="800"/>
        <w:rPr>
          <w:sz w:val="24"/>
        </w:rPr>
      </w:pPr>
      <w:r>
        <w:rPr>
          <w:rFonts w:hint="eastAsia"/>
          <w:sz w:val="24"/>
        </w:rPr>
        <w:t xml:space="preserve"> </w:t>
      </w:r>
    </w:p>
    <w:p>
      <w:pPr>
        <w:spacing w:line="360" w:lineRule="auto"/>
        <w:rPr>
          <w:b/>
          <w:sz w:val="24"/>
        </w:rPr>
      </w:pPr>
      <w:r>
        <w:rPr>
          <w:rFonts w:hint="eastAsia"/>
          <w:b/>
          <w:sz w:val="24"/>
        </w:rPr>
        <w:t>3.1.5.</w:t>
      </w:r>
      <w:r>
        <w:rPr>
          <w:b/>
          <w:sz w:val="24"/>
        </w:rPr>
        <w:t>2</w:t>
      </w:r>
      <w:r>
        <w:rPr>
          <w:rFonts w:hint="eastAsia"/>
          <w:b/>
          <w:sz w:val="24"/>
        </w:rPr>
        <w:t>填埋方法</w:t>
      </w:r>
    </w:p>
    <w:p>
      <w:pPr>
        <w:autoSpaceDE w:val="0"/>
        <w:autoSpaceDN w:val="0"/>
        <w:adjustRightInd w:val="0"/>
        <w:snapToGrid w:val="0"/>
        <w:spacing w:line="360" w:lineRule="auto"/>
        <w:ind w:firstLine="480" w:firstLineChars="200"/>
        <w:rPr>
          <w:sz w:val="24"/>
        </w:rPr>
      </w:pPr>
      <w:r>
        <w:rPr>
          <w:sz w:val="24"/>
        </w:rPr>
        <w:t>进场垃圾采用分区分单元分层作业，填埋单元作业工序为卸车、分层摊铺、压实。每层垃圾摊铺厚度根据填埋作业设备的压实性能、压实次数及生活垃圾的可压缩性确定，分层填埋填埋厚度为2.0米左右，填埋单元的作业方法以下推式斜面作业法与平地覆盖作业法为主。垃圾倾卸后由推土机进行推摊，推距控制在30米以内。将垃圾分层摊铺，每层厚度控制在0.4-0.6米以内，然后进行3-5次碾压，压实密度不小于0.80t/m</w:t>
      </w:r>
      <w:r>
        <w:rPr>
          <w:sz w:val="24"/>
          <w:vertAlign w:val="superscript"/>
        </w:rPr>
        <w:t>3</w:t>
      </w:r>
      <w:r>
        <w:rPr>
          <w:sz w:val="24"/>
        </w:rPr>
        <w:t>，按此程序每天压实厚度约为1.1米，作业单元为8.0m×10.0m。</w:t>
      </w:r>
    </w:p>
    <w:p>
      <w:pPr>
        <w:autoSpaceDE w:val="0"/>
        <w:autoSpaceDN w:val="0"/>
        <w:adjustRightInd w:val="0"/>
        <w:snapToGrid w:val="0"/>
        <w:spacing w:line="360" w:lineRule="auto"/>
        <w:ind w:firstLine="480" w:firstLineChars="200"/>
        <w:rPr>
          <w:rFonts w:ascii="宋体" w:cs="宋体"/>
          <w:kern w:val="0"/>
          <w:sz w:val="24"/>
        </w:rPr>
      </w:pPr>
      <w:r>
        <w:rPr>
          <w:rFonts w:ascii="宋体" w:cs="宋体"/>
          <w:kern w:val="0"/>
          <w:sz w:val="24"/>
        </w:rPr>
        <w:fldChar w:fldCharType="begin"/>
      </w:r>
      <w:r>
        <w:rPr>
          <w:rFonts w:ascii="宋体" w:cs="宋体"/>
          <w:kern w:val="0"/>
          <w:sz w:val="24"/>
        </w:rPr>
        <w:instrText xml:space="preserve"> </w:instrText>
      </w:r>
      <w:r>
        <w:rPr>
          <w:rFonts w:hint="eastAsia" w:ascii="宋体" w:cs="宋体"/>
          <w:kern w:val="0"/>
          <w:sz w:val="24"/>
        </w:rPr>
        <w:instrText xml:space="preserve">= 1 \* GB3</w:instrText>
      </w:r>
      <w:r>
        <w:rPr>
          <w:rFonts w:ascii="宋体" w:cs="宋体"/>
          <w:kern w:val="0"/>
          <w:sz w:val="24"/>
        </w:rPr>
        <w:instrText xml:space="preserve"> </w:instrText>
      </w:r>
      <w:r>
        <w:rPr>
          <w:rFonts w:ascii="宋体" w:cs="宋体"/>
          <w:kern w:val="0"/>
          <w:sz w:val="24"/>
        </w:rPr>
        <w:fldChar w:fldCharType="separate"/>
      </w:r>
      <w:r>
        <w:rPr>
          <w:rFonts w:hint="eastAsia" w:ascii="宋体" w:cs="宋体"/>
          <w:kern w:val="0"/>
          <w:sz w:val="24"/>
        </w:rPr>
        <w:t>①</w:t>
      </w:r>
      <w:r>
        <w:rPr>
          <w:rFonts w:ascii="宋体" w:cs="宋体"/>
          <w:kern w:val="0"/>
          <w:sz w:val="24"/>
        </w:rPr>
        <w:fldChar w:fldCharType="end"/>
      </w:r>
      <w:r>
        <w:rPr>
          <w:rFonts w:hint="eastAsia" w:ascii="宋体" w:cs="宋体"/>
          <w:kern w:val="0"/>
          <w:sz w:val="24"/>
        </w:rPr>
        <w:t>垃圾倾倒与摊铺</w:t>
      </w:r>
    </w:p>
    <w:p>
      <w:pPr>
        <w:autoSpaceDE w:val="0"/>
        <w:autoSpaceDN w:val="0"/>
        <w:adjustRightInd w:val="0"/>
        <w:snapToGrid w:val="0"/>
        <w:spacing w:line="360" w:lineRule="auto"/>
        <w:ind w:firstLine="480" w:firstLineChars="200"/>
        <w:rPr>
          <w:rFonts w:ascii="宋体" w:cs="宋体"/>
          <w:kern w:val="0"/>
          <w:sz w:val="24"/>
        </w:rPr>
      </w:pPr>
      <w:r>
        <w:rPr>
          <w:rFonts w:hint="eastAsia" w:ascii="宋体" w:cs="宋体"/>
          <w:kern w:val="0"/>
          <w:sz w:val="24"/>
        </w:rPr>
        <w:t>填埋作业从用垃圾运输车将垃圾倾倒到指定的地点开始，宜从作业单元的边坡底部到顶部摊铺。倾倒点和压实点应保持一定的安全距离。这有助于防止事故发生，确保运输车和压实机间的移动空间，也有助于运输车司机和压实机司机能相互看得见。</w:t>
      </w:r>
    </w:p>
    <w:p>
      <w:pPr>
        <w:autoSpaceDE w:val="0"/>
        <w:autoSpaceDN w:val="0"/>
        <w:adjustRightInd w:val="0"/>
        <w:snapToGrid w:val="0"/>
        <w:spacing w:line="360" w:lineRule="auto"/>
        <w:ind w:firstLine="480" w:firstLineChars="200"/>
        <w:rPr>
          <w:rFonts w:ascii="宋体" w:cs="宋体"/>
          <w:kern w:val="0"/>
          <w:sz w:val="24"/>
        </w:rPr>
      </w:pPr>
      <w:r>
        <w:rPr>
          <w:rFonts w:hint="eastAsia" w:ascii="宋体" w:cs="宋体"/>
          <w:kern w:val="0"/>
          <w:sz w:val="24"/>
        </w:rPr>
        <w:t>转运卡车将垃圾运至填埋作业区之后，要按照工作计划及现场指挥的要求，倾倒在适当的位置．垃圾需要用推土机或压实机摊铺成薄层，以便于压实机进行压实操作。要注意摊铺厚度应满足压实机工作参数的要求，并考虑垃圾性质和成分的影响。另外，摊铺位置与临时道路（路基箱）要保持一定的距离，否则会影响推土机的行走。</w:t>
      </w:r>
    </w:p>
    <w:p>
      <w:pPr>
        <w:autoSpaceDE w:val="0"/>
        <w:autoSpaceDN w:val="0"/>
        <w:adjustRightInd w:val="0"/>
        <w:snapToGrid w:val="0"/>
        <w:spacing w:line="360" w:lineRule="auto"/>
        <w:ind w:firstLine="480" w:firstLineChars="200"/>
        <w:rPr>
          <w:rFonts w:ascii="宋体" w:cs="宋体"/>
          <w:kern w:val="0"/>
          <w:sz w:val="24"/>
        </w:rPr>
      </w:pPr>
      <w:r>
        <w:rPr>
          <w:rFonts w:ascii="宋体" w:cs="宋体"/>
          <w:kern w:val="0"/>
          <w:sz w:val="24"/>
        </w:rPr>
        <w:fldChar w:fldCharType="begin"/>
      </w:r>
      <w:r>
        <w:rPr>
          <w:rFonts w:ascii="宋体" w:cs="宋体"/>
          <w:kern w:val="0"/>
          <w:sz w:val="24"/>
        </w:rPr>
        <w:instrText xml:space="preserve"> </w:instrText>
      </w:r>
      <w:r>
        <w:rPr>
          <w:rFonts w:hint="eastAsia" w:ascii="宋体" w:cs="宋体"/>
          <w:kern w:val="0"/>
          <w:sz w:val="24"/>
        </w:rPr>
        <w:instrText xml:space="preserve">= 2 \* GB3</w:instrText>
      </w:r>
      <w:r>
        <w:rPr>
          <w:rFonts w:ascii="宋体" w:cs="宋体"/>
          <w:kern w:val="0"/>
          <w:sz w:val="24"/>
        </w:rPr>
        <w:instrText xml:space="preserve"> </w:instrText>
      </w:r>
      <w:r>
        <w:rPr>
          <w:rFonts w:ascii="宋体" w:cs="宋体"/>
          <w:kern w:val="0"/>
          <w:sz w:val="24"/>
        </w:rPr>
        <w:fldChar w:fldCharType="separate"/>
      </w:r>
      <w:r>
        <w:rPr>
          <w:rFonts w:hint="eastAsia" w:ascii="宋体" w:cs="宋体"/>
          <w:kern w:val="0"/>
          <w:sz w:val="24"/>
        </w:rPr>
        <w:t>②</w:t>
      </w:r>
      <w:r>
        <w:rPr>
          <w:rFonts w:ascii="宋体" w:cs="宋体"/>
          <w:kern w:val="0"/>
          <w:sz w:val="24"/>
        </w:rPr>
        <w:fldChar w:fldCharType="end"/>
      </w:r>
      <w:r>
        <w:rPr>
          <w:rFonts w:hint="eastAsia" w:ascii="宋体" w:cs="宋体"/>
          <w:kern w:val="0"/>
          <w:sz w:val="24"/>
        </w:rPr>
        <w:t>压实</w:t>
      </w:r>
    </w:p>
    <w:p>
      <w:pPr>
        <w:autoSpaceDE w:val="0"/>
        <w:autoSpaceDN w:val="0"/>
        <w:adjustRightInd w:val="0"/>
        <w:snapToGrid w:val="0"/>
        <w:spacing w:line="360" w:lineRule="auto"/>
        <w:ind w:firstLine="480" w:firstLineChars="200"/>
        <w:rPr>
          <w:rFonts w:ascii="宋体" w:cs="宋体"/>
          <w:kern w:val="0"/>
          <w:sz w:val="24"/>
        </w:rPr>
      </w:pPr>
      <w:r>
        <w:rPr>
          <w:rFonts w:hint="eastAsia" w:ascii="宋体" w:cs="宋体"/>
          <w:kern w:val="0"/>
          <w:sz w:val="24"/>
        </w:rPr>
        <w:t>垃圾压实的目的：</w:t>
      </w:r>
    </w:p>
    <w:p>
      <w:pPr>
        <w:autoSpaceDE w:val="0"/>
        <w:autoSpaceDN w:val="0"/>
        <w:adjustRightInd w:val="0"/>
        <w:snapToGrid w:val="0"/>
        <w:spacing w:line="360" w:lineRule="auto"/>
        <w:ind w:firstLine="480" w:firstLineChars="200"/>
        <w:rPr>
          <w:rFonts w:ascii="宋体" w:cs="宋体"/>
          <w:kern w:val="0"/>
          <w:sz w:val="24"/>
        </w:rPr>
      </w:pPr>
      <w:r>
        <w:rPr>
          <w:rFonts w:ascii="宋体" w:cs="宋体"/>
          <w:kern w:val="0"/>
          <w:sz w:val="24"/>
        </w:rPr>
        <w:t>A</w:t>
      </w:r>
      <w:r>
        <w:rPr>
          <w:rFonts w:hint="eastAsia" w:ascii="宋体" w:cs="宋体"/>
          <w:kern w:val="0"/>
          <w:sz w:val="24"/>
        </w:rPr>
        <w:t>、增加填埋堆体的稳定性</w:t>
      </w:r>
    </w:p>
    <w:p>
      <w:pPr>
        <w:autoSpaceDE w:val="0"/>
        <w:autoSpaceDN w:val="0"/>
        <w:adjustRightInd w:val="0"/>
        <w:snapToGrid w:val="0"/>
        <w:spacing w:line="360" w:lineRule="auto"/>
        <w:ind w:firstLine="480" w:firstLineChars="200"/>
        <w:jc w:val="left"/>
        <w:rPr>
          <w:rFonts w:ascii="宋体" w:cs="宋体"/>
          <w:kern w:val="0"/>
          <w:sz w:val="24"/>
        </w:rPr>
      </w:pPr>
      <w:r>
        <w:rPr>
          <w:rFonts w:ascii="宋体" w:cs="宋体"/>
          <w:kern w:val="0"/>
          <w:sz w:val="24"/>
        </w:rPr>
        <w:t>B</w:t>
      </w:r>
      <w:r>
        <w:rPr>
          <w:rFonts w:hint="eastAsia" w:ascii="宋体" w:cs="宋体"/>
          <w:kern w:val="0"/>
          <w:sz w:val="24"/>
        </w:rPr>
        <w:t>、减小垃圾体积，增大填埋场的使用时间</w:t>
      </w:r>
    </w:p>
    <w:p>
      <w:pPr>
        <w:autoSpaceDE w:val="0"/>
        <w:autoSpaceDN w:val="0"/>
        <w:adjustRightInd w:val="0"/>
        <w:snapToGrid w:val="0"/>
        <w:spacing w:line="360" w:lineRule="auto"/>
        <w:ind w:firstLine="480" w:firstLineChars="200"/>
        <w:jc w:val="left"/>
        <w:rPr>
          <w:rFonts w:ascii="宋体" w:cs="宋体"/>
          <w:kern w:val="0"/>
          <w:sz w:val="24"/>
        </w:rPr>
      </w:pPr>
      <w:r>
        <w:rPr>
          <w:rFonts w:ascii="宋体" w:cs="宋体"/>
          <w:kern w:val="0"/>
          <w:sz w:val="24"/>
        </w:rPr>
        <w:t>C</w:t>
      </w:r>
      <w:r>
        <w:rPr>
          <w:rFonts w:hint="eastAsia" w:ascii="宋体" w:cs="宋体"/>
          <w:kern w:val="0"/>
          <w:sz w:val="24"/>
        </w:rPr>
        <w:t>、减少将来的沉降</w:t>
      </w:r>
    </w:p>
    <w:p>
      <w:pPr>
        <w:autoSpaceDE w:val="0"/>
        <w:autoSpaceDN w:val="0"/>
        <w:adjustRightInd w:val="0"/>
        <w:snapToGrid w:val="0"/>
        <w:spacing w:line="360" w:lineRule="auto"/>
        <w:ind w:firstLine="480" w:firstLineChars="200"/>
        <w:jc w:val="left"/>
        <w:rPr>
          <w:rFonts w:ascii="宋体" w:cs="宋体"/>
          <w:kern w:val="0"/>
          <w:sz w:val="24"/>
        </w:rPr>
      </w:pPr>
      <w:r>
        <w:rPr>
          <w:rFonts w:ascii="宋体" w:cs="宋体"/>
          <w:kern w:val="0"/>
          <w:sz w:val="24"/>
        </w:rPr>
        <w:t>D</w:t>
      </w:r>
      <w:r>
        <w:rPr>
          <w:rFonts w:hint="eastAsia" w:ascii="宋体" w:cs="宋体"/>
          <w:kern w:val="0"/>
          <w:sz w:val="24"/>
        </w:rPr>
        <w:t>、破碎垃圾</w:t>
      </w:r>
    </w:p>
    <w:p>
      <w:pPr>
        <w:autoSpaceDE w:val="0"/>
        <w:autoSpaceDN w:val="0"/>
        <w:adjustRightInd w:val="0"/>
        <w:snapToGrid w:val="0"/>
        <w:spacing w:line="360" w:lineRule="auto"/>
        <w:ind w:firstLine="480" w:firstLineChars="200"/>
        <w:rPr>
          <w:kern w:val="0"/>
          <w:sz w:val="24"/>
        </w:rPr>
      </w:pPr>
      <w:r>
        <w:rPr>
          <w:kern w:val="0"/>
          <w:sz w:val="24"/>
        </w:rPr>
        <w:t>E、减少排出物量，如，减少降雨的渗透性，这将会减少渗滤液的产生量；纸张和轻垃圾的飘飞；昆虫和鼠类导致的疾病的传播；火灾危险。</w:t>
      </w:r>
    </w:p>
    <w:p>
      <w:pPr>
        <w:autoSpaceDE w:val="0"/>
        <w:autoSpaceDN w:val="0"/>
        <w:adjustRightInd w:val="0"/>
        <w:snapToGrid w:val="0"/>
        <w:spacing w:line="360" w:lineRule="auto"/>
        <w:ind w:firstLine="480" w:firstLineChars="200"/>
        <w:rPr>
          <w:kern w:val="0"/>
          <w:sz w:val="24"/>
        </w:rPr>
      </w:pPr>
      <w:r>
        <w:rPr>
          <w:kern w:val="0"/>
          <w:sz w:val="24"/>
        </w:rPr>
        <w:t>垃圾压实时必须考虑垃圾层的厚度、压实次数、压实机行走速度。在运行中压实次数根据实际情况而定，一般为3-5 个压实来回。压实机司机在将垃圾推到压实点前应先目测垃圾的质量，在压实地点每次摊铺垃圾厚度约0.4～6 m，然后压实机在其上压实 3-5 个来回，将其压实到最小，如果有粗大的物体，需增加压实次数。压实作业时要特别注意，压实机不能在坑内边坡位置2m 范围内通过，不能在填埋气管周围lm 范围内通过。</w:t>
      </w:r>
    </w:p>
    <w:p>
      <w:pPr>
        <w:autoSpaceDE w:val="0"/>
        <w:autoSpaceDN w:val="0"/>
        <w:adjustRightInd w:val="0"/>
        <w:snapToGrid w:val="0"/>
        <w:spacing w:line="360" w:lineRule="auto"/>
        <w:ind w:firstLine="480" w:firstLineChars="200"/>
        <w:rPr>
          <w:kern w:val="0"/>
          <w:sz w:val="24"/>
        </w:rPr>
      </w:pPr>
      <w:r>
        <w:rPr>
          <w:kern w:val="0"/>
          <w:sz w:val="24"/>
        </w:rPr>
        <w:fldChar w:fldCharType="begin"/>
      </w:r>
      <w:r>
        <w:rPr>
          <w:kern w:val="0"/>
          <w:sz w:val="24"/>
        </w:rPr>
        <w:instrText xml:space="preserve"> </w:instrText>
      </w:r>
      <w:r>
        <w:rPr>
          <w:rFonts w:hint="eastAsia"/>
          <w:kern w:val="0"/>
          <w:sz w:val="24"/>
        </w:rPr>
        <w:instrText xml:space="preserve">= 3 \* GB3</w:instrText>
      </w:r>
      <w:r>
        <w:rPr>
          <w:kern w:val="0"/>
          <w:sz w:val="24"/>
        </w:rPr>
        <w:instrText xml:space="preserve"> </w:instrText>
      </w:r>
      <w:r>
        <w:rPr>
          <w:kern w:val="0"/>
          <w:sz w:val="24"/>
        </w:rPr>
        <w:fldChar w:fldCharType="separate"/>
      </w:r>
      <w:r>
        <w:rPr>
          <w:rFonts w:hint="eastAsia"/>
          <w:kern w:val="0"/>
          <w:sz w:val="24"/>
        </w:rPr>
        <w:t>③</w:t>
      </w:r>
      <w:r>
        <w:rPr>
          <w:kern w:val="0"/>
          <w:sz w:val="24"/>
        </w:rPr>
        <w:fldChar w:fldCharType="end"/>
      </w:r>
      <w:r>
        <w:rPr>
          <w:rFonts w:hint="eastAsia"/>
          <w:kern w:val="0"/>
          <w:sz w:val="24"/>
        </w:rPr>
        <w:t>每日覆盖与中间覆盖</w:t>
      </w:r>
    </w:p>
    <w:p>
      <w:pPr>
        <w:autoSpaceDE w:val="0"/>
        <w:autoSpaceDN w:val="0"/>
        <w:adjustRightInd w:val="0"/>
        <w:snapToGrid w:val="0"/>
        <w:spacing w:line="360" w:lineRule="auto"/>
        <w:ind w:firstLine="480" w:firstLineChars="200"/>
        <w:rPr>
          <w:color w:val="FF0000"/>
          <w:sz w:val="24"/>
        </w:rPr>
      </w:pPr>
      <w:r>
        <w:rPr>
          <w:color w:val="FF0000"/>
          <w:sz w:val="24"/>
        </w:rPr>
        <w:t>当到达2.2米左右进行0.2米后的</w:t>
      </w:r>
      <w:r>
        <w:rPr>
          <w:rFonts w:hint="eastAsia"/>
          <w:color w:val="FF0000"/>
          <w:sz w:val="24"/>
        </w:rPr>
        <w:t>中间</w:t>
      </w:r>
      <w:r>
        <w:rPr>
          <w:color w:val="FF0000"/>
          <w:sz w:val="24"/>
        </w:rPr>
        <w:t>覆土。然后在堆体上由压实机压出4米宽的临时道路以便展开新一单元的填埋作业</w:t>
      </w:r>
      <w:r>
        <w:rPr>
          <w:rFonts w:hint="eastAsia"/>
          <w:color w:val="FF0000"/>
          <w:sz w:val="24"/>
        </w:rPr>
        <w:t>。</w:t>
      </w:r>
      <w:r>
        <w:rPr>
          <w:color w:val="FF0000"/>
          <w:sz w:val="24"/>
        </w:rPr>
        <w:t>每日</w:t>
      </w:r>
      <w:r>
        <w:rPr>
          <w:rFonts w:hint="eastAsia"/>
          <w:color w:val="FF0000"/>
          <w:sz w:val="24"/>
        </w:rPr>
        <w:t>表层</w:t>
      </w:r>
      <w:r>
        <w:rPr>
          <w:color w:val="FF0000"/>
          <w:sz w:val="24"/>
        </w:rPr>
        <w:t>覆土保持每天作业面清洁，抑制臭味散发，防止蚊蝇孽生。</w:t>
      </w:r>
      <w:r>
        <w:rPr>
          <w:rFonts w:hint="eastAsia"/>
          <w:color w:val="FF0000"/>
          <w:sz w:val="24"/>
        </w:rPr>
        <w:t>覆土来源于周边土地整改中的余土，建筑工程的基坑土等。</w:t>
      </w:r>
    </w:p>
    <w:p>
      <w:pPr>
        <w:autoSpaceDE w:val="0"/>
        <w:autoSpaceDN w:val="0"/>
        <w:adjustRightInd w:val="0"/>
        <w:snapToGrid w:val="0"/>
        <w:spacing w:line="360" w:lineRule="auto"/>
        <w:ind w:firstLine="480" w:firstLineChars="200"/>
        <w:rPr>
          <w:sz w:val="24"/>
        </w:rPr>
      </w:pPr>
      <w:r>
        <w:rPr>
          <w:rFonts w:hint="eastAsia"/>
          <w:sz w:val="24"/>
        </w:rPr>
        <w:t>在填埋作业期间，随着填埋的不断推进，要及时续接导气管，以保证填埋场气体的排出，依照国家对填埋气体和液体的处理要求，完成引出系统的设置，并及时清运、处理调节池中的渗滤液。</w:t>
      </w:r>
    </w:p>
    <w:p>
      <w:pPr>
        <w:pStyle w:val="831"/>
        <w:keepNext w:val="0"/>
        <w:spacing w:before="156" w:beforeLines="50" w:after="156" w:afterLines="50" w:line="360" w:lineRule="auto"/>
        <w:rPr>
          <w:rFonts w:cs="Times New Roman"/>
        </w:rPr>
      </w:pPr>
      <w:bookmarkStart w:id="148" w:name="_Toc143762302"/>
      <w:bookmarkStart w:id="149" w:name="_Toc489432973"/>
      <w:r>
        <w:rPr>
          <w:rFonts w:cs="Times New Roman"/>
        </w:rPr>
        <w:t>3.1.6防渗工程</w:t>
      </w:r>
      <w:bookmarkEnd w:id="148"/>
      <w:bookmarkEnd w:id="149"/>
    </w:p>
    <w:p>
      <w:pPr>
        <w:spacing w:line="360" w:lineRule="auto"/>
        <w:ind w:firstLine="480" w:firstLineChars="200"/>
        <w:rPr>
          <w:sz w:val="24"/>
        </w:rPr>
      </w:pPr>
      <w:r>
        <w:rPr>
          <w:rFonts w:hint="eastAsia"/>
          <w:sz w:val="24"/>
        </w:rPr>
        <w:t>（1）防渗工程内容</w:t>
      </w:r>
    </w:p>
    <w:p>
      <w:pPr>
        <w:spacing w:line="360" w:lineRule="auto"/>
        <w:ind w:firstLine="480" w:firstLineChars="200"/>
        <w:rPr>
          <w:sz w:val="24"/>
        </w:rPr>
      </w:pPr>
      <w:r>
        <w:rPr>
          <w:rFonts w:hint="eastAsia"/>
          <w:sz w:val="24"/>
        </w:rPr>
        <w:t>本工程采用人工水平防渗。防渗层结构由上向下为：</w:t>
      </w:r>
    </w:p>
    <w:p>
      <w:pPr>
        <w:spacing w:line="360" w:lineRule="auto"/>
        <w:ind w:firstLine="480" w:firstLineChars="200"/>
        <w:rPr>
          <w:sz w:val="24"/>
        </w:rPr>
      </w:pPr>
      <w:r>
        <w:rPr>
          <w:rFonts w:hint="eastAsia"/>
          <w:sz w:val="24"/>
        </w:rPr>
        <w:t>① 600g/m</w:t>
      </w:r>
      <w:r>
        <w:rPr>
          <w:rFonts w:hint="eastAsia"/>
          <w:sz w:val="24"/>
          <w:vertAlign w:val="superscript"/>
        </w:rPr>
        <w:t>2</w:t>
      </w:r>
      <w:r>
        <w:rPr>
          <w:rFonts w:hint="eastAsia"/>
          <w:sz w:val="24"/>
        </w:rPr>
        <w:t>短纤非织造土工布作为保护层（边坡保护加装土编织袋满铺）</w:t>
      </w:r>
    </w:p>
    <w:p>
      <w:pPr>
        <w:spacing w:line="360" w:lineRule="auto"/>
        <w:ind w:firstLine="480" w:firstLineChars="200"/>
        <w:rPr>
          <w:sz w:val="24"/>
        </w:rPr>
      </w:pPr>
      <w:r>
        <w:rPr>
          <w:rFonts w:hint="eastAsia"/>
          <w:sz w:val="24"/>
        </w:rPr>
        <w:t>②1.5mm厚HDPE土工膜为主防渗层</w:t>
      </w:r>
    </w:p>
    <w:p>
      <w:pPr>
        <w:spacing w:line="360" w:lineRule="auto"/>
        <w:ind w:firstLine="480" w:firstLineChars="200"/>
        <w:rPr>
          <w:sz w:val="24"/>
        </w:rPr>
      </w:pPr>
      <w:r>
        <w:rPr>
          <w:rFonts w:hint="eastAsia"/>
          <w:sz w:val="24"/>
        </w:rPr>
        <w:t>③渗透系数为10</w:t>
      </w:r>
      <w:r>
        <w:rPr>
          <w:rFonts w:hint="eastAsia"/>
          <w:sz w:val="24"/>
          <w:vertAlign w:val="superscript"/>
        </w:rPr>
        <w:t>-11</w:t>
      </w:r>
      <w:r>
        <w:rPr>
          <w:sz w:val="24"/>
        </w:rPr>
        <w:t>cm</w:t>
      </w:r>
      <w:r>
        <w:rPr>
          <w:rFonts w:hint="eastAsia"/>
          <w:sz w:val="24"/>
        </w:rPr>
        <w:t>/</w:t>
      </w:r>
      <w:r>
        <w:rPr>
          <w:sz w:val="24"/>
        </w:rPr>
        <w:t>s</w:t>
      </w:r>
      <w:r>
        <w:rPr>
          <w:rFonts w:hint="eastAsia"/>
          <w:sz w:val="24"/>
        </w:rPr>
        <w:t>的钠基膨润土防水毯。</w:t>
      </w:r>
    </w:p>
    <w:p>
      <w:pPr>
        <w:spacing w:line="360" w:lineRule="auto"/>
        <w:ind w:firstLine="480" w:firstLineChars="200"/>
        <w:rPr>
          <w:sz w:val="24"/>
        </w:rPr>
      </w:pPr>
      <w:r>
        <w:rPr>
          <w:rFonts w:hint="eastAsia"/>
          <w:sz w:val="24"/>
        </w:rPr>
        <w:t>④复合土工膜</w:t>
      </w:r>
    </w:p>
    <w:p>
      <w:pPr>
        <w:pStyle w:val="825"/>
        <w:ind w:firstLine="480"/>
      </w:pPr>
      <w:r>
        <w:rPr>
          <w:rFonts w:hint="eastAsia"/>
        </w:rPr>
        <w:t>⑤压实后的原土层</w:t>
      </w:r>
    </w:p>
    <w:p>
      <w:pPr>
        <w:spacing w:line="360" w:lineRule="auto"/>
        <w:ind w:firstLine="480" w:firstLineChars="200"/>
        <w:rPr>
          <w:sz w:val="24"/>
        </w:rPr>
      </w:pPr>
      <w:r>
        <w:rPr>
          <w:rFonts w:hint="eastAsia"/>
          <w:sz w:val="24"/>
        </w:rPr>
        <w:t>水平防渗工程采用的材料主要有高密度聚乙烯膜、土工布，并在边坡的衬材层上码放土袋作为保护层。</w:t>
      </w:r>
    </w:p>
    <w:p>
      <w:pPr>
        <w:spacing w:line="360" w:lineRule="auto"/>
        <w:ind w:firstLine="480" w:firstLineChars="200"/>
        <w:rPr>
          <w:sz w:val="24"/>
        </w:rPr>
      </w:pPr>
      <w:r>
        <w:rPr>
          <w:rFonts w:hint="eastAsia"/>
          <w:sz w:val="24"/>
        </w:rPr>
        <w:t>（</w:t>
      </w:r>
      <w:r>
        <w:rPr>
          <w:sz w:val="24"/>
        </w:rPr>
        <w:t>2</w:t>
      </w:r>
      <w:r>
        <w:rPr>
          <w:rFonts w:hint="eastAsia"/>
          <w:sz w:val="24"/>
        </w:rPr>
        <w:t>）主要工程量</w:t>
      </w:r>
    </w:p>
    <w:p>
      <w:pPr>
        <w:spacing w:line="360" w:lineRule="auto"/>
        <w:ind w:firstLine="480" w:firstLineChars="200"/>
        <w:rPr>
          <w:sz w:val="24"/>
        </w:rPr>
      </w:pPr>
      <w:r>
        <w:rPr>
          <w:rFonts w:hint="eastAsia"/>
          <w:sz w:val="24"/>
        </w:rPr>
        <w:t>①钠基膨润土防水毯32900.00m</w:t>
      </w:r>
      <w:r>
        <w:rPr>
          <w:rFonts w:hint="eastAsia"/>
          <w:sz w:val="24"/>
          <w:vertAlign w:val="superscript"/>
        </w:rPr>
        <w:t>2</w:t>
      </w:r>
      <w:r>
        <w:rPr>
          <w:rFonts w:hint="eastAsia"/>
          <w:sz w:val="24"/>
        </w:rPr>
        <w:t>;</w:t>
      </w:r>
    </w:p>
    <w:p>
      <w:pPr>
        <w:spacing w:line="360" w:lineRule="auto"/>
        <w:ind w:firstLine="480" w:firstLineChars="200"/>
        <w:rPr>
          <w:sz w:val="24"/>
        </w:rPr>
      </w:pPr>
      <w:r>
        <w:rPr>
          <w:rFonts w:hint="eastAsia"/>
          <w:sz w:val="24"/>
        </w:rPr>
        <w:t>②1.5mmHDPE土工膜32900.00m</w:t>
      </w:r>
      <w:r>
        <w:rPr>
          <w:rFonts w:hint="eastAsia"/>
          <w:sz w:val="24"/>
          <w:vertAlign w:val="superscript"/>
        </w:rPr>
        <w:t>2</w:t>
      </w:r>
      <w:r>
        <w:rPr>
          <w:rFonts w:hint="eastAsia"/>
          <w:sz w:val="24"/>
        </w:rPr>
        <w:t>；</w:t>
      </w:r>
    </w:p>
    <w:p>
      <w:pPr>
        <w:spacing w:line="360" w:lineRule="auto"/>
        <w:ind w:firstLine="480" w:firstLineChars="200"/>
        <w:rPr>
          <w:sz w:val="24"/>
        </w:rPr>
      </w:pPr>
      <w:r>
        <w:rPr>
          <w:rFonts w:hint="eastAsia"/>
          <w:sz w:val="24"/>
        </w:rPr>
        <w:t>③600 g/m</w:t>
      </w:r>
      <w:r>
        <w:rPr>
          <w:rFonts w:hint="eastAsia"/>
          <w:sz w:val="24"/>
          <w:vertAlign w:val="superscript"/>
        </w:rPr>
        <w:t>2</w:t>
      </w:r>
      <w:r>
        <w:rPr>
          <w:rFonts w:hint="eastAsia"/>
          <w:sz w:val="24"/>
        </w:rPr>
        <w:t>无纺土工布32900.00m</w:t>
      </w:r>
      <w:r>
        <w:rPr>
          <w:rFonts w:hint="eastAsia"/>
          <w:sz w:val="24"/>
          <w:vertAlign w:val="superscript"/>
        </w:rPr>
        <w:t>2</w:t>
      </w:r>
      <w:r>
        <w:rPr>
          <w:rFonts w:hint="eastAsia"/>
          <w:sz w:val="24"/>
        </w:rPr>
        <w:t>;</w:t>
      </w:r>
    </w:p>
    <w:p>
      <w:pPr>
        <w:spacing w:line="360" w:lineRule="auto"/>
        <w:ind w:firstLine="480" w:firstLineChars="200"/>
        <w:rPr>
          <w:sz w:val="24"/>
        </w:rPr>
      </w:pPr>
      <w:r>
        <w:rPr>
          <w:rFonts w:hint="eastAsia"/>
          <w:sz w:val="24"/>
        </w:rPr>
        <w:t>④600 g/m</w:t>
      </w:r>
      <w:r>
        <w:rPr>
          <w:rFonts w:hint="eastAsia"/>
          <w:sz w:val="24"/>
          <w:vertAlign w:val="superscript"/>
        </w:rPr>
        <w:t>2</w:t>
      </w:r>
      <w:r>
        <w:rPr>
          <w:rFonts w:hint="eastAsia"/>
          <w:sz w:val="24"/>
        </w:rPr>
        <w:t>复合土工膜（结构：分三层150g土工布、0.3mmHDPE膜、150g土工布）32900.00m</w:t>
      </w:r>
      <w:r>
        <w:rPr>
          <w:rFonts w:hint="eastAsia"/>
          <w:sz w:val="24"/>
          <w:vertAlign w:val="superscript"/>
        </w:rPr>
        <w:t>2</w:t>
      </w:r>
      <w:r>
        <w:rPr>
          <w:rFonts w:hint="eastAsia"/>
          <w:sz w:val="24"/>
        </w:rPr>
        <w:t>；</w:t>
      </w:r>
    </w:p>
    <w:p>
      <w:pPr>
        <w:spacing w:line="360" w:lineRule="auto"/>
        <w:ind w:firstLine="480" w:firstLineChars="200"/>
        <w:rPr>
          <w:sz w:val="24"/>
        </w:rPr>
      </w:pPr>
      <w:r>
        <w:rPr>
          <w:rFonts w:hint="eastAsia"/>
          <w:sz w:val="24"/>
        </w:rPr>
        <w:t>⑤编织袋9600个。</w:t>
      </w:r>
    </w:p>
    <w:p>
      <w:pPr>
        <w:spacing w:line="360" w:lineRule="auto"/>
        <w:ind w:firstLine="480" w:firstLineChars="200"/>
        <w:rPr>
          <w:color w:val="FF0000"/>
          <w:sz w:val="24"/>
        </w:rPr>
      </w:pPr>
      <w:r>
        <w:rPr>
          <w:rFonts w:hint="eastAsia"/>
          <w:color w:val="FF0000"/>
          <w:sz w:val="24"/>
        </w:rPr>
        <w:t>项目施工由内蒙古科立京工程咨询监理有限公司进行监理，填埋场防渗层施工监理照片如下：</w:t>
      </w:r>
    </w:p>
    <w:p>
      <w:pPr>
        <w:spacing w:line="360" w:lineRule="auto"/>
        <w:jc w:val="center"/>
      </w:pPr>
      <w:r>
        <w:drawing>
          <wp:inline distT="0" distB="0" distL="0" distR="0">
            <wp:extent cx="3435350" cy="193230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4"/>
                    <a:stretch>
                      <a:fillRect/>
                    </a:stretch>
                  </pic:blipFill>
                  <pic:spPr>
                    <a:xfrm>
                      <a:off x="0" y="0"/>
                      <a:ext cx="3442911" cy="1936586"/>
                    </a:xfrm>
                    <a:prstGeom prst="rect">
                      <a:avLst/>
                    </a:prstGeom>
                  </pic:spPr>
                </pic:pic>
              </a:graphicData>
            </a:graphic>
          </wp:inline>
        </w:drawing>
      </w:r>
      <w:r>
        <w:t xml:space="preserve"> </w:t>
      </w:r>
      <w:r>
        <w:drawing>
          <wp:inline distT="0" distB="0" distL="0" distR="0">
            <wp:extent cx="3563620" cy="200469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5"/>
                    <a:stretch>
                      <a:fillRect/>
                    </a:stretch>
                  </pic:blipFill>
                  <pic:spPr>
                    <a:xfrm>
                      <a:off x="0" y="0"/>
                      <a:ext cx="3594435" cy="2021815"/>
                    </a:xfrm>
                    <a:prstGeom prst="rect">
                      <a:avLst/>
                    </a:prstGeom>
                  </pic:spPr>
                </pic:pic>
              </a:graphicData>
            </a:graphic>
          </wp:inline>
        </w:drawing>
      </w:r>
    </w:p>
    <w:p>
      <w:pPr>
        <w:spacing w:line="360" w:lineRule="auto"/>
        <w:jc w:val="center"/>
        <w:rPr>
          <w:b/>
          <w:color w:val="FF0000"/>
          <w:sz w:val="24"/>
        </w:rPr>
      </w:pPr>
      <w:r>
        <w:rPr>
          <w:rFonts w:hint="eastAsia"/>
          <w:b/>
          <w:color w:val="FF0000"/>
          <w:sz w:val="24"/>
        </w:rPr>
        <w:t>图3</w:t>
      </w:r>
      <w:r>
        <w:rPr>
          <w:b/>
          <w:color w:val="FF0000"/>
          <w:sz w:val="24"/>
        </w:rPr>
        <w:t xml:space="preserve">.1-5 </w:t>
      </w:r>
      <w:r>
        <w:rPr>
          <w:rFonts w:hint="eastAsia"/>
          <w:b/>
          <w:color w:val="FF0000"/>
          <w:sz w:val="24"/>
        </w:rPr>
        <w:t>土工布施工图</w:t>
      </w:r>
    </w:p>
    <w:p>
      <w:pPr>
        <w:pStyle w:val="831"/>
        <w:keepNext w:val="0"/>
        <w:spacing w:before="156" w:beforeLines="50" w:after="156" w:afterLines="50" w:line="360" w:lineRule="auto"/>
        <w:rPr>
          <w:rFonts w:cs="Times New Roman"/>
        </w:rPr>
      </w:pPr>
      <w:bookmarkStart w:id="150" w:name="_Toc489432974"/>
      <w:bookmarkStart w:id="151" w:name="_Toc143762303"/>
      <w:r>
        <w:rPr>
          <w:rFonts w:cs="Times New Roman"/>
        </w:rPr>
        <w:t>3.1.7渗滤液收集和导排系统</w:t>
      </w:r>
      <w:bookmarkEnd w:id="150"/>
      <w:bookmarkEnd w:id="151"/>
    </w:p>
    <w:p>
      <w:pPr>
        <w:spacing w:line="360" w:lineRule="auto"/>
        <w:ind w:firstLine="480" w:firstLineChars="200"/>
        <w:rPr>
          <w:sz w:val="24"/>
        </w:rPr>
      </w:pPr>
      <w:r>
        <w:rPr>
          <w:sz w:val="24"/>
        </w:rPr>
        <w:fldChar w:fldCharType="begin"/>
      </w:r>
      <w:r>
        <w:rPr>
          <w:sz w:val="24"/>
        </w:rPr>
        <w:instrText xml:space="preserve"> = 1 \* Arabic </w:instrText>
      </w:r>
      <w:r>
        <w:rPr>
          <w:sz w:val="24"/>
        </w:rPr>
        <w:fldChar w:fldCharType="separate"/>
      </w:r>
      <w:r>
        <w:rPr>
          <w:sz w:val="24"/>
        </w:rPr>
        <w:t>1</w:t>
      </w:r>
      <w:r>
        <w:rPr>
          <w:sz w:val="24"/>
        </w:rPr>
        <w:fldChar w:fldCharType="end"/>
      </w:r>
      <w:r>
        <w:rPr>
          <w:sz w:val="24"/>
        </w:rPr>
        <w:t>、渗滤液系统收集和导排系统</w:t>
      </w:r>
    </w:p>
    <w:p>
      <w:pPr>
        <w:spacing w:line="360" w:lineRule="auto"/>
        <w:ind w:firstLine="480" w:firstLineChars="200"/>
        <w:rPr>
          <w:sz w:val="24"/>
        </w:rPr>
      </w:pPr>
      <w:r>
        <w:rPr>
          <w:rFonts w:hint="eastAsia"/>
          <w:sz w:val="24"/>
        </w:rPr>
        <w:t>在防渗层上铺导流层，使渗滤液快速排至调节池，防止污染地下水，场底集水采用河卵石（粒径20-60mm）和HDPE导渗管，河卵石在填埋区底部满铺，厚度300mm，大石在下，小石在上，防止垃圾堵塞石缝而影响导流。垃圾渗滤液经支渠中支管或导流层流向干渠中主管后排入调节池。</w:t>
      </w:r>
    </w:p>
    <w:p>
      <w:pPr>
        <w:spacing w:line="360" w:lineRule="auto"/>
        <w:rPr>
          <w:sz w:val="24"/>
        </w:rPr>
      </w:pPr>
      <w:r>
        <w:rPr>
          <w:rFonts w:hint="eastAsia"/>
          <w:sz w:val="24"/>
        </w:rPr>
        <w:t>主要工程量如下：</w:t>
      </w:r>
    </w:p>
    <w:p>
      <w:pPr>
        <w:adjustRightInd w:val="0"/>
        <w:snapToGrid w:val="0"/>
        <w:spacing w:line="360" w:lineRule="auto"/>
        <w:ind w:firstLine="480" w:firstLineChars="200"/>
        <w:rPr>
          <w:sz w:val="24"/>
        </w:rPr>
      </w:pPr>
      <w:r>
        <w:rPr>
          <w:rFonts w:hint="eastAsia" w:ascii="宋体" w:hAnsi="宋体"/>
          <w:sz w:val="24"/>
        </w:rPr>
        <w:t>ф</w:t>
      </w:r>
      <w:r>
        <w:rPr>
          <w:rFonts w:hint="eastAsia"/>
          <w:sz w:val="24"/>
        </w:rPr>
        <w:t>315mmHDPE主管：（实壁）100.0m；</w:t>
      </w:r>
    </w:p>
    <w:p>
      <w:pPr>
        <w:adjustRightInd w:val="0"/>
        <w:snapToGrid w:val="0"/>
        <w:spacing w:line="360" w:lineRule="auto"/>
        <w:ind w:firstLine="480" w:firstLineChars="200"/>
        <w:rPr>
          <w:sz w:val="24"/>
        </w:rPr>
      </w:pPr>
      <w:r>
        <w:rPr>
          <w:rFonts w:hint="eastAsia"/>
          <w:sz w:val="24"/>
        </w:rPr>
        <w:t>（打孔花管）343.0m；</w:t>
      </w:r>
    </w:p>
    <w:p>
      <w:pPr>
        <w:adjustRightInd w:val="0"/>
        <w:snapToGrid w:val="0"/>
        <w:spacing w:line="360" w:lineRule="auto"/>
        <w:ind w:firstLine="480" w:firstLineChars="200"/>
        <w:rPr>
          <w:sz w:val="24"/>
        </w:rPr>
      </w:pPr>
      <w:r>
        <w:rPr>
          <w:rFonts w:hint="eastAsia" w:ascii="宋体" w:hAnsi="宋体"/>
          <w:sz w:val="24"/>
        </w:rPr>
        <w:t>ф</w:t>
      </w:r>
      <w:r>
        <w:rPr>
          <w:rFonts w:hint="eastAsia"/>
          <w:sz w:val="24"/>
        </w:rPr>
        <w:t>260mmHDPE支管：（打孔花管）812.0m；</w:t>
      </w:r>
    </w:p>
    <w:p>
      <w:pPr>
        <w:spacing w:line="360" w:lineRule="auto"/>
        <w:rPr>
          <w:sz w:val="24"/>
        </w:rPr>
      </w:pPr>
      <w:r>
        <w:rPr>
          <w:rFonts w:hint="eastAsia"/>
          <w:sz w:val="24"/>
        </w:rPr>
        <w:t xml:space="preserve">    300mm厚级配石：7700.0m</w:t>
      </w:r>
      <w:r>
        <w:rPr>
          <w:rFonts w:hint="eastAsia"/>
          <w:sz w:val="24"/>
          <w:vertAlign w:val="superscript"/>
        </w:rPr>
        <w:t>3</w:t>
      </w:r>
      <w:r>
        <w:rPr>
          <w:rFonts w:hint="eastAsia"/>
          <w:sz w:val="24"/>
        </w:rPr>
        <w:t>；</w:t>
      </w:r>
    </w:p>
    <w:p>
      <w:pPr>
        <w:spacing w:line="360" w:lineRule="auto"/>
        <w:rPr>
          <w:sz w:val="24"/>
        </w:rPr>
      </w:pPr>
      <w:r>
        <w:rPr>
          <w:rFonts w:hint="eastAsia"/>
          <w:sz w:val="24"/>
        </w:rPr>
        <w:t xml:space="preserve">    200g/ m</w:t>
      </w:r>
      <w:r>
        <w:rPr>
          <w:rFonts w:hint="eastAsia"/>
          <w:sz w:val="24"/>
          <w:vertAlign w:val="superscript"/>
        </w:rPr>
        <w:t>2</w:t>
      </w:r>
      <w:r>
        <w:rPr>
          <w:rFonts w:hint="eastAsia"/>
          <w:sz w:val="24"/>
        </w:rPr>
        <w:t>短纤无纺土工布：5082.0m</w:t>
      </w:r>
      <w:r>
        <w:rPr>
          <w:rFonts w:hint="eastAsia"/>
          <w:sz w:val="24"/>
          <w:vertAlign w:val="superscript"/>
        </w:rPr>
        <w:t>2</w:t>
      </w:r>
      <w:r>
        <w:rPr>
          <w:rFonts w:hint="eastAsia"/>
          <w:sz w:val="24"/>
        </w:rPr>
        <w:t>(包裹级配石盲沟用)。</w:t>
      </w:r>
    </w:p>
    <w:p>
      <w:pPr>
        <w:adjustRightInd w:val="0"/>
        <w:snapToGrid w:val="0"/>
        <w:spacing w:line="360" w:lineRule="auto"/>
        <w:ind w:firstLine="465"/>
        <w:rPr>
          <w:sz w:val="24"/>
        </w:rPr>
      </w:pPr>
      <w:r>
        <w:rPr>
          <w:sz w:val="24"/>
        </w:rPr>
        <w:t>2、渗滤液调节池</w:t>
      </w:r>
      <w:r>
        <w:rPr>
          <w:rFonts w:hint="eastAsia"/>
          <w:sz w:val="24"/>
        </w:rPr>
        <w:t>及处理站</w:t>
      </w:r>
    </w:p>
    <w:p>
      <w:pPr>
        <w:adjustRightInd w:val="0"/>
        <w:snapToGrid w:val="0"/>
        <w:spacing w:line="360" w:lineRule="auto"/>
        <w:ind w:right="99" w:rightChars="47" w:firstLine="480" w:firstLineChars="200"/>
        <w:rPr>
          <w:sz w:val="24"/>
        </w:rPr>
      </w:pPr>
      <w:r>
        <w:rPr>
          <w:rFonts w:hint="eastAsia"/>
          <w:sz w:val="24"/>
        </w:rPr>
        <w:t>本项目设置两个渗滤液调节池，分别布置在填埋区的北侧及南侧。每个调节池有效容积为500m</w:t>
      </w:r>
      <w:r>
        <w:rPr>
          <w:rFonts w:hint="eastAsia"/>
          <w:sz w:val="24"/>
          <w:vertAlign w:val="superscript"/>
        </w:rPr>
        <w:t>3</w:t>
      </w:r>
      <w:r>
        <w:rPr>
          <w:rFonts w:hint="eastAsia"/>
          <w:sz w:val="24"/>
        </w:rPr>
        <w:t>，采用防渗混凝土池体，结构形式为钢筋混凝土剪力墙，基础为钢筋混凝土筏板基础。为减少恶臭，杜绝蚊蝇的滋生，在调节池上设置盖板。</w:t>
      </w:r>
    </w:p>
    <w:p>
      <w:pPr>
        <w:adjustRightInd w:val="0"/>
        <w:snapToGrid w:val="0"/>
        <w:spacing w:line="360" w:lineRule="auto"/>
        <w:ind w:firstLine="480" w:firstLineChars="200"/>
        <w:rPr>
          <w:color w:val="FF0000"/>
          <w:sz w:val="24"/>
        </w:rPr>
      </w:pPr>
      <w:r>
        <w:rPr>
          <w:rFonts w:hint="eastAsia"/>
          <w:color w:val="FF0000"/>
          <w:sz w:val="24"/>
        </w:rPr>
        <w:t>由于填埋场现已建成，考虑到现场布局限制及管道建设成本，项目设计新建1座移动式渗滤液处理站，处理规模为3</w:t>
      </w:r>
      <w:r>
        <w:rPr>
          <w:color w:val="FF0000"/>
          <w:sz w:val="24"/>
        </w:rPr>
        <w:t>m</w:t>
      </w:r>
      <w:r>
        <w:rPr>
          <w:color w:val="FF0000"/>
          <w:sz w:val="24"/>
          <w:vertAlign w:val="superscript"/>
        </w:rPr>
        <w:t>3</w:t>
      </w:r>
      <w:r>
        <w:rPr>
          <w:color w:val="FF0000"/>
          <w:sz w:val="24"/>
        </w:rPr>
        <w:t>/d</w:t>
      </w:r>
      <w:r>
        <w:rPr>
          <w:rFonts w:hint="eastAsia"/>
          <w:color w:val="FF0000"/>
          <w:sz w:val="24"/>
        </w:rPr>
        <w:t>，处理工艺为“预处理+一级反渗透+二级反渗透+清水脱气及pH调节+消毒”的处理工艺，处理站年运行1</w:t>
      </w:r>
      <w:r>
        <w:rPr>
          <w:color w:val="FF0000"/>
          <w:sz w:val="24"/>
        </w:rPr>
        <w:t>46d</w:t>
      </w:r>
      <w:r>
        <w:rPr>
          <w:rFonts w:hint="eastAsia"/>
          <w:color w:val="FF0000"/>
          <w:sz w:val="24"/>
        </w:rPr>
        <w:t>，渗滤液处理达标后回用。</w:t>
      </w:r>
    </w:p>
    <w:p>
      <w:pPr>
        <w:pStyle w:val="831"/>
        <w:keepNext w:val="0"/>
        <w:spacing w:before="156" w:beforeLines="50" w:after="156" w:afterLines="50" w:line="360" w:lineRule="auto"/>
        <w:rPr>
          <w:rFonts w:cs="Times New Roman"/>
        </w:rPr>
      </w:pPr>
      <w:bookmarkStart w:id="152" w:name="_Toc489432975"/>
      <w:bookmarkStart w:id="153" w:name="_Toc143762304"/>
      <w:r>
        <w:rPr>
          <w:rFonts w:cs="Times New Roman"/>
        </w:rPr>
        <w:t>3.1.8填埋气导排系统</w:t>
      </w:r>
      <w:bookmarkEnd w:id="152"/>
      <w:bookmarkEnd w:id="153"/>
    </w:p>
    <w:p>
      <w:pPr>
        <w:spacing w:line="360" w:lineRule="auto"/>
        <w:ind w:firstLine="480" w:firstLineChars="200"/>
        <w:rPr>
          <w:sz w:val="24"/>
        </w:rPr>
      </w:pPr>
      <w:r>
        <w:rPr>
          <w:rFonts w:hint="eastAsia"/>
          <w:sz w:val="24"/>
        </w:rPr>
        <w:t>导气系统由垂直导气管组成。垂直导气管安装在渗滤液收集盲沟旁（同时起竖向集水作用），纵横间距为30m左右设置，导气管管材采用HDPE花管，管径为200mrn，每根导气管初期长度为2.0mm。导气管四周设石笼透气层。导气系统的铺设是随着填埋作业面逐层上升而逐段加高的，导气管最大高度为露出场顶面1.0m以上。</w:t>
      </w:r>
    </w:p>
    <w:p>
      <w:pPr>
        <w:spacing w:line="360" w:lineRule="auto"/>
        <w:ind w:firstLine="480" w:firstLineChars="200"/>
        <w:rPr>
          <w:sz w:val="24"/>
        </w:rPr>
      </w:pPr>
      <w:r>
        <w:rPr>
          <w:rFonts w:hint="eastAsia"/>
          <w:sz w:val="24"/>
        </w:rPr>
        <w:t>由于本填埋场是位于荒地上，并且填埋场附近无大的热源要求场所，因此暂不考虑垃圾气的处理及利用，排气系统采用分散排放方式，即每根导气管设一根排气管，有利于有害气体的扩散。在垃圾填埋过程中，对气体进行检测，一但发现易爆、有毒气体含量较高时，及时改为集中排放方式，同时对产生气体进行燃烧处理。</w:t>
      </w:r>
    </w:p>
    <w:p>
      <w:pPr>
        <w:spacing w:line="360" w:lineRule="auto"/>
        <w:ind w:firstLine="480" w:firstLineChars="200"/>
        <w:rPr>
          <w:sz w:val="24"/>
        </w:rPr>
      </w:pPr>
      <w:r>
        <w:rPr>
          <w:rFonts w:hint="eastAsia"/>
          <w:sz w:val="24"/>
        </w:rPr>
        <w:t>排气管管材采用</w:t>
      </w:r>
      <w:r>
        <w:rPr>
          <w:sz w:val="24"/>
        </w:rPr>
        <w:t>PVC</w:t>
      </w:r>
      <w:r>
        <w:rPr>
          <w:rFonts w:hint="eastAsia"/>
          <w:sz w:val="24"/>
        </w:rPr>
        <w:t>花管，管径为150mm，要求排放口高出最终覆盖面1.0 m以上。导气石笼设置20个，其中主要材料工程量为：</w:t>
      </w:r>
    </w:p>
    <w:p>
      <w:pPr>
        <w:spacing w:line="360" w:lineRule="auto"/>
        <w:ind w:firstLine="480" w:firstLineChars="200"/>
        <w:rPr>
          <w:sz w:val="24"/>
        </w:rPr>
      </w:pPr>
      <w:r>
        <w:rPr>
          <w:rFonts w:hint="eastAsia"/>
          <w:sz w:val="24"/>
        </w:rPr>
        <w:t>DN200 HDPE花管20×2.5(m)=50.0m；</w:t>
      </w:r>
    </w:p>
    <w:p>
      <w:pPr>
        <w:spacing w:line="360" w:lineRule="auto"/>
        <w:ind w:firstLine="480" w:firstLineChars="200"/>
        <w:rPr>
          <w:sz w:val="24"/>
        </w:rPr>
      </w:pPr>
      <w:r>
        <w:rPr>
          <w:rFonts w:hint="eastAsia"/>
          <w:sz w:val="24"/>
        </w:rPr>
        <w:t>级配石20×1.0(m</w:t>
      </w:r>
      <w:r>
        <w:rPr>
          <w:rFonts w:hint="eastAsia"/>
          <w:sz w:val="24"/>
          <w:vertAlign w:val="superscript"/>
        </w:rPr>
        <w:t>3</w:t>
      </w:r>
      <w:r>
        <w:rPr>
          <w:rFonts w:hint="eastAsia"/>
          <w:sz w:val="24"/>
        </w:rPr>
        <w:t>)=7700.0m</w:t>
      </w:r>
      <w:r>
        <w:rPr>
          <w:rFonts w:hint="eastAsia"/>
          <w:sz w:val="24"/>
          <w:vertAlign w:val="superscript"/>
        </w:rPr>
        <w:t>3</w:t>
      </w:r>
      <w:r>
        <w:rPr>
          <w:rFonts w:hint="eastAsia"/>
          <w:sz w:val="24"/>
        </w:rPr>
        <w:t>；</w:t>
      </w:r>
    </w:p>
    <w:p>
      <w:pPr>
        <w:spacing w:line="360" w:lineRule="auto"/>
        <w:ind w:firstLine="480" w:firstLineChars="200"/>
        <w:rPr>
          <w:sz w:val="24"/>
        </w:rPr>
      </w:pPr>
      <w:r>
        <w:rPr>
          <w:rFonts w:hint="eastAsia"/>
          <w:sz w:val="24"/>
        </w:rPr>
        <w:t>铅丝网20×5.22(m</w:t>
      </w:r>
      <w:r>
        <w:rPr>
          <w:rFonts w:hint="eastAsia"/>
          <w:sz w:val="24"/>
          <w:vertAlign w:val="superscript"/>
        </w:rPr>
        <w:t>2</w:t>
      </w:r>
      <w:r>
        <w:rPr>
          <w:rFonts w:hint="eastAsia"/>
          <w:sz w:val="24"/>
        </w:rPr>
        <w:t>)=100.44m</w:t>
      </w:r>
      <w:r>
        <w:rPr>
          <w:rFonts w:hint="eastAsia"/>
          <w:sz w:val="24"/>
          <w:vertAlign w:val="superscript"/>
        </w:rPr>
        <w:t>2</w:t>
      </w:r>
      <w:r>
        <w:rPr>
          <w:rFonts w:hint="eastAsia"/>
          <w:sz w:val="24"/>
        </w:rPr>
        <w:t>。</w:t>
      </w:r>
    </w:p>
    <w:p>
      <w:pPr>
        <w:pStyle w:val="831"/>
        <w:keepNext w:val="0"/>
        <w:spacing w:before="156" w:beforeLines="50" w:after="156" w:afterLines="50" w:line="360" w:lineRule="auto"/>
        <w:rPr>
          <w:rFonts w:cs="Times New Roman"/>
        </w:rPr>
      </w:pPr>
      <w:bookmarkStart w:id="154" w:name="_Toc143762305"/>
      <w:bookmarkStart w:id="155" w:name="_Toc489432976"/>
      <w:r>
        <w:rPr>
          <w:rFonts w:cs="Times New Roman"/>
        </w:rPr>
        <w:t>3.1.9场区排水工程</w:t>
      </w:r>
      <w:bookmarkEnd w:id="154"/>
      <w:bookmarkEnd w:id="155"/>
    </w:p>
    <w:p>
      <w:pPr>
        <w:spacing w:line="360" w:lineRule="auto"/>
        <w:ind w:firstLine="480" w:firstLineChars="200"/>
        <w:rPr>
          <w:sz w:val="24"/>
        </w:rPr>
      </w:pPr>
      <w:r>
        <w:rPr>
          <w:sz w:val="24"/>
        </w:rPr>
        <w:t>1、截水沟</w:t>
      </w:r>
    </w:p>
    <w:p>
      <w:pPr>
        <w:spacing w:line="360" w:lineRule="auto"/>
        <w:ind w:firstLine="480" w:firstLineChars="200"/>
        <w:rPr>
          <w:sz w:val="24"/>
        </w:rPr>
      </w:pPr>
      <w:r>
        <w:rPr>
          <w:sz w:val="24"/>
        </w:rPr>
        <w:t>在填埋场四周修建截水沟，截水沟位于坝体外侧，距坝体外侧坡脚0.3米左右，可有效地防止库区外雨水对坝体坡脚的浸泡。截水沟按重现期20年进行设计，截水沟的水向东沿自然地势走向排出场外。截水沟材料为浆砌毛石，过水面积为0. 24m</w:t>
      </w:r>
      <w:r>
        <w:rPr>
          <w:sz w:val="24"/>
          <w:vertAlign w:val="superscript"/>
        </w:rPr>
        <w:t>2</w:t>
      </w:r>
      <w:r>
        <w:rPr>
          <w:sz w:val="24"/>
        </w:rPr>
        <w:t>，壁厚400mm，在截水沟外侧作防冻中砂层。本项目截水沟总长度为852.0米。</w:t>
      </w:r>
    </w:p>
    <w:p>
      <w:pPr>
        <w:spacing w:line="360" w:lineRule="auto"/>
        <w:ind w:right="99" w:rightChars="47" w:firstLine="480" w:firstLineChars="200"/>
        <w:jc w:val="left"/>
        <w:rPr>
          <w:sz w:val="24"/>
        </w:rPr>
      </w:pPr>
      <w:r>
        <w:rPr>
          <w:sz w:val="24"/>
        </w:rPr>
        <w:t>2、生活污水</w:t>
      </w:r>
    </w:p>
    <w:p>
      <w:pPr>
        <w:adjustRightInd w:val="0"/>
        <w:snapToGrid w:val="0"/>
        <w:spacing w:line="360" w:lineRule="auto"/>
        <w:ind w:right="99" w:rightChars="47" w:firstLine="480" w:firstLineChars="200"/>
        <w:jc w:val="left"/>
        <w:rPr>
          <w:color w:val="FF0000"/>
          <w:sz w:val="24"/>
        </w:rPr>
      </w:pPr>
      <w:r>
        <w:rPr>
          <w:sz w:val="24"/>
        </w:rPr>
        <w:t>生活污水进入化粪池，</w:t>
      </w:r>
      <w:r>
        <w:rPr>
          <w:color w:val="FF0000"/>
          <w:sz w:val="24"/>
        </w:rPr>
        <w:t>渗滤液处理站建成后排入渗滤液处理站处理。</w:t>
      </w:r>
    </w:p>
    <w:p>
      <w:pPr>
        <w:adjustRightInd w:val="0"/>
        <w:snapToGrid w:val="0"/>
        <w:spacing w:line="360" w:lineRule="auto"/>
        <w:ind w:right="99" w:rightChars="47" w:firstLine="480" w:firstLineChars="200"/>
        <w:rPr>
          <w:color w:val="FF0000"/>
          <w:sz w:val="24"/>
        </w:rPr>
      </w:pPr>
      <w:r>
        <w:rPr>
          <w:color w:val="FF0000"/>
          <w:sz w:val="24"/>
        </w:rPr>
        <w:t>3、</w:t>
      </w:r>
      <w:r>
        <w:rPr>
          <w:rFonts w:hint="eastAsia"/>
          <w:color w:val="FF0000"/>
          <w:sz w:val="24"/>
        </w:rPr>
        <w:t>渗滤液</w:t>
      </w:r>
    </w:p>
    <w:p>
      <w:pPr>
        <w:adjustRightInd w:val="0"/>
        <w:snapToGrid w:val="0"/>
        <w:spacing w:line="360" w:lineRule="auto"/>
        <w:ind w:right="99" w:rightChars="47" w:firstLine="480" w:firstLineChars="200"/>
        <w:rPr>
          <w:sz w:val="24"/>
        </w:rPr>
      </w:pPr>
      <w:r>
        <w:rPr>
          <w:rFonts w:hint="eastAsia"/>
          <w:color w:val="FF0000"/>
          <w:sz w:val="24"/>
        </w:rPr>
        <w:t>新建1座移动式渗滤液处理站，处理规模为3</w:t>
      </w:r>
      <w:r>
        <w:rPr>
          <w:color w:val="FF0000"/>
          <w:sz w:val="24"/>
        </w:rPr>
        <w:t>m</w:t>
      </w:r>
      <w:r>
        <w:rPr>
          <w:color w:val="FF0000"/>
          <w:sz w:val="24"/>
          <w:vertAlign w:val="superscript"/>
        </w:rPr>
        <w:t>3</w:t>
      </w:r>
      <w:r>
        <w:rPr>
          <w:color w:val="FF0000"/>
          <w:sz w:val="24"/>
        </w:rPr>
        <w:t>d</w:t>
      </w:r>
      <w:r>
        <w:rPr>
          <w:rFonts w:hint="eastAsia"/>
          <w:color w:val="FF0000"/>
          <w:sz w:val="24"/>
        </w:rPr>
        <w:t>，处理工艺为“预处理+一级反渗透+二级反渗透+清水脱气及pH调节+消毒”的处理工艺，渗滤液处理达标后回用。</w:t>
      </w:r>
    </w:p>
    <w:p>
      <w:pPr>
        <w:pStyle w:val="831"/>
        <w:keepNext w:val="0"/>
        <w:adjustRightInd w:val="0"/>
        <w:snapToGrid w:val="0"/>
        <w:spacing w:line="360" w:lineRule="auto"/>
        <w:rPr>
          <w:rFonts w:cs="Times New Roman"/>
        </w:rPr>
      </w:pPr>
      <w:bookmarkStart w:id="156" w:name="_Toc489432977"/>
      <w:bookmarkStart w:id="157" w:name="_Toc143762306"/>
      <w:r>
        <w:rPr>
          <w:rFonts w:cs="Times New Roman"/>
        </w:rPr>
        <w:t>3.1.10地下水导排系统</w:t>
      </w:r>
      <w:bookmarkEnd w:id="156"/>
      <w:bookmarkEnd w:id="157"/>
    </w:p>
    <w:p>
      <w:pPr>
        <w:pStyle w:val="44"/>
        <w:adjustRightInd w:val="0"/>
        <w:snapToGrid w:val="0"/>
        <w:ind w:firstLine="480"/>
        <w:rPr>
          <w:rFonts w:cs="Times New Roman"/>
          <w:color w:val="FF0000"/>
        </w:rPr>
      </w:pPr>
      <w:r>
        <w:rPr>
          <w:rFonts w:cs="Times New Roman"/>
          <w:color w:val="FF0000"/>
          <w:szCs w:val="24"/>
        </w:rPr>
        <w:t>根据地勘及设计资料，建设场地地下水埋深在天然地表下1.77～2.24m之间，地下水标高1024.68m左右，库底整平标高最低为1026.45m，高于地下水水位埋深1m以上，因此本工程不建设地下水导排系统。</w:t>
      </w:r>
    </w:p>
    <w:p>
      <w:pPr>
        <w:pStyle w:val="831"/>
        <w:keepNext w:val="0"/>
        <w:spacing w:before="156" w:beforeLines="50" w:after="156" w:afterLines="50" w:line="360" w:lineRule="auto"/>
        <w:jc w:val="both"/>
        <w:rPr>
          <w:rFonts w:cs="Times New Roman"/>
        </w:rPr>
      </w:pPr>
      <w:bookmarkStart w:id="158" w:name="_Toc489432978"/>
      <w:bookmarkStart w:id="159" w:name="_Toc143762307"/>
      <w:r>
        <w:rPr>
          <w:rFonts w:cs="Times New Roman"/>
        </w:rPr>
        <w:t>3.1.11填埋场封场工程</w:t>
      </w:r>
      <w:bookmarkEnd w:id="158"/>
      <w:bookmarkEnd w:id="159"/>
    </w:p>
    <w:p>
      <w:pPr>
        <w:snapToGrid w:val="0"/>
        <w:spacing w:line="360" w:lineRule="auto"/>
        <w:ind w:firstLine="480" w:firstLineChars="200"/>
        <w:rPr>
          <w:sz w:val="24"/>
        </w:rPr>
      </w:pPr>
      <w:r>
        <w:rPr>
          <w:rFonts w:hint="eastAsia"/>
          <w:sz w:val="24"/>
        </w:rPr>
        <w:t>1、生活垃圾堆体整形与处理</w:t>
      </w:r>
    </w:p>
    <w:p>
      <w:pPr>
        <w:snapToGrid w:val="0"/>
        <w:spacing w:line="360" w:lineRule="auto"/>
        <w:ind w:firstLine="480" w:firstLineChars="200"/>
        <w:rPr>
          <w:sz w:val="24"/>
        </w:rPr>
      </w:pPr>
      <w:r>
        <w:rPr>
          <w:rFonts w:hint="eastAsia"/>
          <w:sz w:val="24"/>
        </w:rPr>
        <w:t>(1)在垃圾填埋场封场前要对垃圾堆体进行整形处理，在整形处理过程中采用低渗透性的材料进行临时覆盖。</w:t>
      </w:r>
    </w:p>
    <w:p>
      <w:pPr>
        <w:snapToGrid w:val="0"/>
        <w:spacing w:line="360" w:lineRule="auto"/>
        <w:ind w:firstLine="480" w:firstLineChars="200"/>
        <w:rPr>
          <w:sz w:val="24"/>
        </w:rPr>
      </w:pPr>
      <w:r>
        <w:rPr>
          <w:rFonts w:hint="eastAsia"/>
          <w:sz w:val="24"/>
        </w:rPr>
        <w:t>(2)在垃圾堆体整形过程中，挖出的垃圾应及时回填。垃圾堆体不均匀沉降造成的裂缝、沟坎、空洞等要充填密实。</w:t>
      </w:r>
    </w:p>
    <w:p>
      <w:pPr>
        <w:snapToGrid w:val="0"/>
        <w:spacing w:line="360" w:lineRule="auto"/>
        <w:ind w:firstLine="480" w:firstLineChars="200"/>
        <w:rPr>
          <w:sz w:val="24"/>
        </w:rPr>
      </w:pPr>
      <w:r>
        <w:rPr>
          <w:rFonts w:hint="eastAsia"/>
          <w:sz w:val="24"/>
        </w:rPr>
        <w:t>(3)堆体在整形处理后，要求堆体项面坡度不小于5%;堆体边坡坡度为1：3，堆体每升高5米，设置3米宽台阶。</w:t>
      </w:r>
    </w:p>
    <w:p>
      <w:pPr>
        <w:snapToGrid w:val="0"/>
        <w:spacing w:line="360" w:lineRule="auto"/>
        <w:ind w:firstLine="480" w:firstLineChars="200"/>
        <w:rPr>
          <w:sz w:val="24"/>
        </w:rPr>
      </w:pPr>
      <w:r>
        <w:rPr>
          <w:rFonts w:hint="eastAsia"/>
          <w:sz w:val="24"/>
        </w:rPr>
        <w:t>2、封场覆盖系统</w:t>
      </w:r>
    </w:p>
    <w:p>
      <w:pPr>
        <w:snapToGrid w:val="0"/>
        <w:spacing w:line="360" w:lineRule="auto"/>
        <w:ind w:firstLine="480" w:firstLineChars="200"/>
        <w:rPr>
          <w:sz w:val="24"/>
        </w:rPr>
      </w:pPr>
      <w:r>
        <w:rPr>
          <w:rFonts w:hint="eastAsia"/>
          <w:sz w:val="24"/>
        </w:rPr>
        <w:t>对垃圾堆体整形处理后进行封场覆盖，封场覆盖系统由垃圾堆体表面至顶表面依次为：</w:t>
      </w:r>
    </w:p>
    <w:p>
      <w:pPr>
        <w:snapToGrid w:val="0"/>
        <w:spacing w:line="360" w:lineRule="auto"/>
        <w:ind w:firstLine="480" w:firstLineChars="200"/>
        <w:rPr>
          <w:sz w:val="24"/>
        </w:rPr>
      </w:pPr>
      <w:r>
        <w:rPr>
          <w:rFonts w:hint="eastAsia"/>
          <w:sz w:val="24"/>
        </w:rPr>
        <w:t>(1)排气层：排气层采用粒径为25-50mm的级配石，厚度为300mm；</w:t>
      </w:r>
    </w:p>
    <w:p>
      <w:pPr>
        <w:snapToGrid w:val="0"/>
        <w:spacing w:line="360" w:lineRule="auto"/>
        <w:ind w:firstLine="480" w:firstLineChars="200"/>
        <w:rPr>
          <w:sz w:val="24"/>
        </w:rPr>
      </w:pPr>
      <w:r>
        <w:rPr>
          <w:rFonts w:hint="eastAsia"/>
          <w:sz w:val="24"/>
        </w:rPr>
        <w:t>(2)防渗层：防渗层使用500厚的压实粘性土，渗透系数小于1×1 0</w:t>
      </w:r>
      <w:r>
        <w:rPr>
          <w:rFonts w:hint="eastAsia"/>
          <w:sz w:val="24"/>
          <w:vertAlign w:val="superscript"/>
        </w:rPr>
        <w:t>-7</w:t>
      </w:r>
      <w:r>
        <w:rPr>
          <w:rFonts w:hint="eastAsia"/>
          <w:sz w:val="24"/>
        </w:rPr>
        <w:t>cm／s；</w:t>
      </w:r>
    </w:p>
    <w:p>
      <w:pPr>
        <w:snapToGrid w:val="0"/>
        <w:spacing w:line="360" w:lineRule="auto"/>
        <w:ind w:firstLine="480" w:firstLineChars="200"/>
        <w:rPr>
          <w:sz w:val="24"/>
        </w:rPr>
      </w:pPr>
      <w:r>
        <w:rPr>
          <w:rFonts w:hint="eastAsia"/>
          <w:sz w:val="24"/>
        </w:rPr>
        <w:t>(3)排水层；排水层在堆体项部采用300mm厚的级配石，上下分别铺设200g/m</w:t>
      </w:r>
      <w:r>
        <w:rPr>
          <w:rFonts w:hint="eastAsia"/>
          <w:sz w:val="24"/>
          <w:vertAlign w:val="superscript"/>
        </w:rPr>
        <w:t>2</w:t>
      </w:r>
      <w:r>
        <w:rPr>
          <w:rFonts w:hint="eastAsia"/>
          <w:sz w:val="24"/>
        </w:rPr>
        <w:t>的短纤非织造土工布作为反滤层，在边坡处采用土工复合排水网，排水网通入库区四周的截水沟；</w:t>
      </w:r>
    </w:p>
    <w:p>
      <w:pPr>
        <w:snapToGrid w:val="0"/>
        <w:spacing w:line="360" w:lineRule="auto"/>
        <w:ind w:firstLine="480" w:firstLineChars="200"/>
        <w:rPr>
          <w:sz w:val="24"/>
        </w:rPr>
      </w:pPr>
      <w:r>
        <w:rPr>
          <w:rFonts w:hint="eastAsia"/>
          <w:sz w:val="24"/>
        </w:rPr>
        <w:t>(4)植被层：植被层由下到上为覆盖支持土层和营养植被土层。覆盖支持土层由压实土构成，</w:t>
      </w:r>
      <w:r>
        <w:rPr>
          <w:rFonts w:hint="eastAsia"/>
          <w:color w:val="FF0000"/>
          <w:sz w:val="24"/>
        </w:rPr>
        <w:t>厚度500</w:t>
      </w:r>
      <w:r>
        <w:rPr>
          <w:color w:val="FF0000"/>
        </w:rPr>
        <w:t xml:space="preserve"> </w:t>
      </w:r>
      <w:r>
        <w:rPr>
          <w:color w:val="FF0000"/>
          <w:sz w:val="24"/>
        </w:rPr>
        <w:t>mm</w:t>
      </w:r>
      <w:r>
        <w:rPr>
          <w:rFonts w:hint="eastAsia"/>
          <w:color w:val="FF0000"/>
          <w:sz w:val="24"/>
        </w:rPr>
        <w:t>，</w:t>
      </w:r>
      <w:r>
        <w:rPr>
          <w:rFonts w:hint="eastAsia"/>
          <w:sz w:val="24"/>
        </w:rPr>
        <w:t>渗透系数大于1×10</w:t>
      </w:r>
      <w:r>
        <w:rPr>
          <w:rFonts w:hint="eastAsia"/>
          <w:sz w:val="24"/>
          <w:vertAlign w:val="superscript"/>
        </w:rPr>
        <w:t>-4</w:t>
      </w:r>
      <w:r>
        <w:rPr>
          <w:rFonts w:hint="eastAsia"/>
          <w:sz w:val="24"/>
        </w:rPr>
        <w:t>cm/s；营养植被土应利于植被生长，厚度500mm，植被层应压实。</w:t>
      </w:r>
    </w:p>
    <w:p>
      <w:pPr>
        <w:adjustRightInd w:val="0"/>
        <w:snapToGrid w:val="0"/>
        <w:spacing w:line="360" w:lineRule="auto"/>
        <w:rPr>
          <w:sz w:val="24"/>
        </w:rPr>
      </w:pPr>
      <w:r>
        <w:rPr>
          <w:sz w:val="24"/>
        </w:rPr>
        <w:drawing>
          <wp:inline distT="0" distB="0" distL="0" distR="0">
            <wp:extent cx="5274310" cy="3095625"/>
            <wp:effectExtent l="0" t="0" r="254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6"/>
                    <a:stretch>
                      <a:fillRect/>
                    </a:stretch>
                  </pic:blipFill>
                  <pic:spPr>
                    <a:xfrm>
                      <a:off x="0" y="0"/>
                      <a:ext cx="5274310" cy="3095625"/>
                    </a:xfrm>
                    <a:prstGeom prst="rect">
                      <a:avLst/>
                    </a:prstGeom>
                  </pic:spPr>
                </pic:pic>
              </a:graphicData>
            </a:graphic>
          </wp:inline>
        </w:drawing>
      </w:r>
    </w:p>
    <w:p>
      <w:pPr>
        <w:adjustRightInd w:val="0"/>
        <w:snapToGrid w:val="0"/>
        <w:spacing w:line="360" w:lineRule="auto"/>
        <w:jc w:val="center"/>
        <w:rPr>
          <w:b/>
          <w:color w:val="FF0000"/>
          <w:sz w:val="24"/>
        </w:rPr>
      </w:pPr>
      <w:r>
        <w:rPr>
          <w:rFonts w:hint="eastAsia"/>
          <w:b/>
          <w:color w:val="FF0000"/>
          <w:sz w:val="24"/>
        </w:rPr>
        <w:t>图3</w:t>
      </w:r>
      <w:r>
        <w:rPr>
          <w:b/>
          <w:color w:val="FF0000"/>
          <w:sz w:val="24"/>
        </w:rPr>
        <w:t xml:space="preserve">.1-5 </w:t>
      </w:r>
      <w:r>
        <w:rPr>
          <w:rFonts w:hint="eastAsia"/>
          <w:b/>
          <w:color w:val="FF0000"/>
          <w:sz w:val="24"/>
        </w:rPr>
        <w:t>封场工程示意图</w:t>
      </w:r>
    </w:p>
    <w:p>
      <w:pPr>
        <w:pStyle w:val="831"/>
        <w:keepNext w:val="0"/>
        <w:spacing w:before="156" w:beforeLines="50" w:after="156" w:afterLines="50" w:line="360" w:lineRule="auto"/>
        <w:rPr>
          <w:rFonts w:cs="Times New Roman"/>
        </w:rPr>
      </w:pPr>
      <w:bookmarkStart w:id="160" w:name="_Toc489432979"/>
      <w:bookmarkStart w:id="161" w:name="_Toc143762308"/>
      <w:r>
        <w:rPr>
          <w:rFonts w:cs="Times New Roman"/>
        </w:rPr>
        <w:t>3.1.12</w:t>
      </w:r>
      <w:r>
        <w:rPr>
          <w:rFonts w:hint="eastAsia" w:cs="Times New Roman"/>
        </w:rPr>
        <w:t>机械</w:t>
      </w:r>
      <w:r>
        <w:rPr>
          <w:rFonts w:cs="Times New Roman"/>
        </w:rPr>
        <w:t>设备</w:t>
      </w:r>
      <w:bookmarkEnd w:id="160"/>
      <w:bookmarkEnd w:id="161"/>
    </w:p>
    <w:p>
      <w:pPr>
        <w:pStyle w:val="825"/>
        <w:adjustRightInd w:val="0"/>
        <w:snapToGrid w:val="0"/>
        <w:ind w:firstLine="480"/>
      </w:pPr>
      <w:r>
        <w:t>填埋作业的主要机械设备见表3.1-5。</w:t>
      </w:r>
    </w:p>
    <w:p>
      <w:pPr>
        <w:adjustRightInd w:val="0"/>
        <w:snapToGrid w:val="0"/>
        <w:spacing w:line="360" w:lineRule="auto"/>
        <w:ind w:firstLine="482"/>
        <w:jc w:val="center"/>
        <w:rPr>
          <w:b/>
          <w:sz w:val="24"/>
        </w:rPr>
      </w:pPr>
      <w:r>
        <w:rPr>
          <w:b/>
          <w:sz w:val="24"/>
        </w:rPr>
        <w:t>表3.1-5填埋作业主要机械设备表</w:t>
      </w:r>
    </w:p>
    <w:tbl>
      <w:tblPr>
        <w:tblStyle w:val="87"/>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28" w:type="dxa"/>
          <w:bottom w:w="0" w:type="dxa"/>
          <w:right w:w="28" w:type="dxa"/>
        </w:tblCellMar>
      </w:tblPr>
      <w:tblGrid>
        <w:gridCol w:w="1233"/>
        <w:gridCol w:w="3331"/>
        <w:gridCol w:w="2694"/>
        <w:gridCol w:w="110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737" w:type="pct"/>
            <w:vAlign w:val="center"/>
          </w:tcPr>
          <w:p>
            <w:pPr>
              <w:adjustRightInd w:val="0"/>
              <w:snapToGrid w:val="0"/>
              <w:jc w:val="center"/>
              <w:rPr>
                <w:szCs w:val="21"/>
              </w:rPr>
            </w:pPr>
            <w:r>
              <w:rPr>
                <w:szCs w:val="21"/>
              </w:rPr>
              <w:t>编号</w:t>
            </w:r>
          </w:p>
        </w:tc>
        <w:tc>
          <w:tcPr>
            <w:tcW w:w="1992" w:type="pct"/>
            <w:vAlign w:val="center"/>
          </w:tcPr>
          <w:p>
            <w:pPr>
              <w:adjustRightInd w:val="0"/>
              <w:snapToGrid w:val="0"/>
              <w:jc w:val="center"/>
              <w:rPr>
                <w:szCs w:val="21"/>
              </w:rPr>
            </w:pPr>
            <w:r>
              <w:rPr>
                <w:szCs w:val="21"/>
              </w:rPr>
              <w:t>名　　称</w:t>
            </w:r>
          </w:p>
        </w:tc>
        <w:tc>
          <w:tcPr>
            <w:tcW w:w="1611" w:type="pct"/>
            <w:vAlign w:val="center"/>
          </w:tcPr>
          <w:p>
            <w:pPr>
              <w:adjustRightInd w:val="0"/>
              <w:snapToGrid w:val="0"/>
              <w:jc w:val="center"/>
              <w:rPr>
                <w:szCs w:val="21"/>
              </w:rPr>
            </w:pPr>
            <w:r>
              <w:rPr>
                <w:rFonts w:hint="eastAsia"/>
                <w:szCs w:val="21"/>
              </w:rPr>
              <w:t>单位</w:t>
            </w:r>
          </w:p>
        </w:tc>
        <w:tc>
          <w:tcPr>
            <w:tcW w:w="660" w:type="pct"/>
            <w:vAlign w:val="center"/>
          </w:tcPr>
          <w:p>
            <w:pPr>
              <w:adjustRightInd w:val="0"/>
              <w:snapToGrid w:val="0"/>
              <w:jc w:val="center"/>
              <w:rPr>
                <w:szCs w:val="21"/>
              </w:rPr>
            </w:pPr>
            <w:r>
              <w:rPr>
                <w:rFonts w:hint="eastAsia"/>
                <w:szCs w:val="21"/>
              </w:rPr>
              <w:t>数量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trPr>
        <w:tc>
          <w:tcPr>
            <w:tcW w:w="737" w:type="pct"/>
            <w:vAlign w:val="center"/>
          </w:tcPr>
          <w:p>
            <w:pPr>
              <w:jc w:val="center"/>
              <w:rPr>
                <w:rFonts w:cs="宋体"/>
                <w:szCs w:val="21"/>
              </w:rPr>
            </w:pPr>
            <w:r>
              <w:rPr>
                <w:szCs w:val="21"/>
              </w:rPr>
              <w:t>1</w:t>
            </w:r>
          </w:p>
        </w:tc>
        <w:tc>
          <w:tcPr>
            <w:tcW w:w="1992" w:type="pct"/>
            <w:vAlign w:val="center"/>
          </w:tcPr>
          <w:p>
            <w:pPr>
              <w:jc w:val="center"/>
              <w:rPr>
                <w:rFonts w:ascii="宋体" w:hAnsi="宋体" w:cs="宋体"/>
                <w:szCs w:val="21"/>
              </w:rPr>
            </w:pPr>
            <w:r>
              <w:rPr>
                <w:rFonts w:hint="eastAsia"/>
                <w:szCs w:val="21"/>
              </w:rPr>
              <w:t>装载机</w:t>
            </w:r>
          </w:p>
        </w:tc>
        <w:tc>
          <w:tcPr>
            <w:tcW w:w="1611" w:type="pct"/>
            <w:vAlign w:val="center"/>
          </w:tcPr>
          <w:p>
            <w:pPr>
              <w:jc w:val="center"/>
              <w:rPr>
                <w:rFonts w:ascii="宋体" w:hAnsi="宋体" w:cs="宋体"/>
                <w:szCs w:val="21"/>
              </w:rPr>
            </w:pPr>
            <w:r>
              <w:rPr>
                <w:rFonts w:hint="eastAsia"/>
                <w:szCs w:val="21"/>
              </w:rPr>
              <w:t>台</w:t>
            </w:r>
          </w:p>
        </w:tc>
        <w:tc>
          <w:tcPr>
            <w:tcW w:w="660" w:type="pct"/>
            <w:vAlign w:val="center"/>
          </w:tcPr>
          <w:p>
            <w:pPr>
              <w:jc w:val="center"/>
              <w:rPr>
                <w:rFonts w:cs="宋体"/>
                <w:szCs w:val="21"/>
              </w:rPr>
            </w:pPr>
            <w:r>
              <w:rPr>
                <w:szCs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737" w:type="pct"/>
            <w:vAlign w:val="center"/>
          </w:tcPr>
          <w:p>
            <w:pPr>
              <w:jc w:val="center"/>
              <w:rPr>
                <w:rFonts w:cs="宋体"/>
                <w:szCs w:val="21"/>
              </w:rPr>
            </w:pPr>
            <w:r>
              <w:rPr>
                <w:szCs w:val="21"/>
              </w:rPr>
              <w:t>2</w:t>
            </w:r>
          </w:p>
        </w:tc>
        <w:tc>
          <w:tcPr>
            <w:tcW w:w="1992" w:type="pct"/>
            <w:vAlign w:val="center"/>
          </w:tcPr>
          <w:p>
            <w:pPr>
              <w:jc w:val="center"/>
              <w:rPr>
                <w:rFonts w:ascii="宋体" w:hAnsi="宋体" w:cs="宋体"/>
                <w:szCs w:val="21"/>
              </w:rPr>
            </w:pPr>
            <w:r>
              <w:rPr>
                <w:rFonts w:hint="eastAsia"/>
                <w:szCs w:val="21"/>
              </w:rPr>
              <w:t>自卸车</w:t>
            </w:r>
          </w:p>
        </w:tc>
        <w:tc>
          <w:tcPr>
            <w:tcW w:w="1611" w:type="pct"/>
            <w:vAlign w:val="center"/>
          </w:tcPr>
          <w:p>
            <w:pPr>
              <w:jc w:val="center"/>
              <w:rPr>
                <w:rFonts w:ascii="宋体" w:hAnsi="宋体" w:cs="宋体"/>
                <w:szCs w:val="21"/>
              </w:rPr>
            </w:pPr>
            <w:r>
              <w:rPr>
                <w:rFonts w:hint="eastAsia"/>
                <w:szCs w:val="21"/>
              </w:rPr>
              <w:t>辆</w:t>
            </w:r>
          </w:p>
        </w:tc>
        <w:tc>
          <w:tcPr>
            <w:tcW w:w="660" w:type="pct"/>
            <w:vAlign w:val="center"/>
          </w:tcPr>
          <w:p>
            <w:pPr>
              <w:jc w:val="center"/>
              <w:rPr>
                <w:rFonts w:cs="宋体"/>
                <w:szCs w:val="21"/>
              </w:rPr>
            </w:pPr>
            <w:r>
              <w:rPr>
                <w:szCs w:val="21"/>
              </w:rPr>
              <w:t>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737" w:type="pct"/>
            <w:vAlign w:val="center"/>
          </w:tcPr>
          <w:p>
            <w:pPr>
              <w:jc w:val="center"/>
              <w:rPr>
                <w:rFonts w:cs="宋体"/>
                <w:szCs w:val="21"/>
              </w:rPr>
            </w:pPr>
            <w:r>
              <w:rPr>
                <w:szCs w:val="21"/>
              </w:rPr>
              <w:t>3</w:t>
            </w:r>
          </w:p>
        </w:tc>
        <w:tc>
          <w:tcPr>
            <w:tcW w:w="1992" w:type="pct"/>
            <w:vAlign w:val="center"/>
          </w:tcPr>
          <w:p>
            <w:pPr>
              <w:jc w:val="center"/>
              <w:rPr>
                <w:rFonts w:ascii="宋体" w:hAnsi="宋体" w:cs="宋体"/>
                <w:szCs w:val="21"/>
              </w:rPr>
            </w:pPr>
            <w:r>
              <w:rPr>
                <w:rFonts w:hint="eastAsia"/>
                <w:szCs w:val="21"/>
              </w:rPr>
              <w:t>工具车</w:t>
            </w:r>
          </w:p>
        </w:tc>
        <w:tc>
          <w:tcPr>
            <w:tcW w:w="1611" w:type="pct"/>
            <w:vAlign w:val="center"/>
          </w:tcPr>
          <w:p>
            <w:pPr>
              <w:jc w:val="center"/>
              <w:rPr>
                <w:rFonts w:ascii="宋体" w:hAnsi="宋体" w:cs="宋体"/>
                <w:szCs w:val="21"/>
              </w:rPr>
            </w:pPr>
            <w:r>
              <w:rPr>
                <w:rFonts w:hint="eastAsia"/>
                <w:szCs w:val="21"/>
              </w:rPr>
              <w:t>辆</w:t>
            </w:r>
          </w:p>
        </w:tc>
        <w:tc>
          <w:tcPr>
            <w:tcW w:w="660" w:type="pct"/>
            <w:vAlign w:val="center"/>
          </w:tcPr>
          <w:p>
            <w:pPr>
              <w:jc w:val="center"/>
              <w:rPr>
                <w:rFonts w:cs="宋体"/>
                <w:szCs w:val="21"/>
              </w:rPr>
            </w:pPr>
            <w:r>
              <w:rPr>
                <w:szCs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737" w:type="pct"/>
            <w:vAlign w:val="center"/>
          </w:tcPr>
          <w:p>
            <w:pPr>
              <w:jc w:val="center"/>
              <w:rPr>
                <w:rFonts w:cs="宋体"/>
                <w:szCs w:val="21"/>
              </w:rPr>
            </w:pPr>
            <w:r>
              <w:rPr>
                <w:szCs w:val="21"/>
              </w:rPr>
              <w:t>4</w:t>
            </w:r>
          </w:p>
        </w:tc>
        <w:tc>
          <w:tcPr>
            <w:tcW w:w="1992" w:type="pct"/>
            <w:vAlign w:val="center"/>
          </w:tcPr>
          <w:p>
            <w:pPr>
              <w:jc w:val="center"/>
              <w:rPr>
                <w:rFonts w:ascii="宋体" w:hAnsi="宋体" w:cs="宋体"/>
                <w:szCs w:val="21"/>
              </w:rPr>
            </w:pPr>
            <w:r>
              <w:rPr>
                <w:rFonts w:hint="eastAsia"/>
                <w:szCs w:val="21"/>
              </w:rPr>
              <w:t>洒水车</w:t>
            </w:r>
          </w:p>
        </w:tc>
        <w:tc>
          <w:tcPr>
            <w:tcW w:w="1611" w:type="pct"/>
            <w:vAlign w:val="center"/>
          </w:tcPr>
          <w:p>
            <w:pPr>
              <w:jc w:val="center"/>
              <w:rPr>
                <w:rFonts w:ascii="宋体" w:hAnsi="宋体" w:cs="宋体"/>
                <w:szCs w:val="21"/>
              </w:rPr>
            </w:pPr>
            <w:r>
              <w:rPr>
                <w:rFonts w:hint="eastAsia"/>
                <w:szCs w:val="21"/>
              </w:rPr>
              <w:t>辆</w:t>
            </w:r>
          </w:p>
        </w:tc>
        <w:tc>
          <w:tcPr>
            <w:tcW w:w="660" w:type="pct"/>
            <w:vAlign w:val="center"/>
          </w:tcPr>
          <w:p>
            <w:pPr>
              <w:jc w:val="center"/>
              <w:rPr>
                <w:rFonts w:cs="宋体"/>
                <w:szCs w:val="21"/>
              </w:rPr>
            </w:pPr>
            <w:r>
              <w:rPr>
                <w:szCs w:val="21"/>
              </w:rPr>
              <w:t>1</w:t>
            </w:r>
          </w:p>
        </w:tc>
      </w:tr>
    </w:tbl>
    <w:p>
      <w:pPr>
        <w:rPr>
          <w:b/>
          <w:sz w:val="24"/>
        </w:rPr>
      </w:pPr>
    </w:p>
    <w:p>
      <w:pPr>
        <w:pStyle w:val="831"/>
        <w:keepNext w:val="0"/>
        <w:spacing w:before="156" w:beforeLines="50" w:after="156" w:afterLines="50" w:line="360" w:lineRule="auto"/>
        <w:rPr>
          <w:rFonts w:cs="Times New Roman"/>
        </w:rPr>
      </w:pPr>
      <w:bookmarkStart w:id="162" w:name="_Toc143762309"/>
      <w:bookmarkStart w:id="163" w:name="_Toc489432981"/>
      <w:r>
        <w:rPr>
          <w:rFonts w:cs="Times New Roman"/>
        </w:rPr>
        <w:t>3.1.13辅助及公用工程</w:t>
      </w:r>
      <w:bookmarkEnd w:id="162"/>
      <w:bookmarkEnd w:id="163"/>
    </w:p>
    <w:p>
      <w:pPr>
        <w:pStyle w:val="825"/>
        <w:adjustRightInd w:val="0"/>
        <w:snapToGrid w:val="0"/>
        <w:ind w:firstLine="480"/>
      </w:pPr>
      <w:r>
        <w:fldChar w:fldCharType="begin"/>
      </w:r>
      <w:r>
        <w:instrText xml:space="preserve"> = 1 \* GB2 </w:instrText>
      </w:r>
      <w:r>
        <w:fldChar w:fldCharType="separate"/>
      </w:r>
      <w:r>
        <w:rPr>
          <w:rFonts w:hint="eastAsia" w:ascii="宋体" w:hAnsi="宋体" w:cs="宋体"/>
        </w:rPr>
        <w:t>⑴</w:t>
      </w:r>
      <w:r>
        <w:fldChar w:fldCharType="end"/>
      </w:r>
      <w:r>
        <w:t>道路工程</w:t>
      </w:r>
    </w:p>
    <w:p>
      <w:pPr>
        <w:pStyle w:val="825"/>
        <w:adjustRightInd w:val="0"/>
        <w:snapToGrid w:val="0"/>
        <w:ind w:firstLine="480"/>
      </w:pPr>
      <w:r>
        <w:rPr>
          <w:rFonts w:hint="eastAsia"/>
        </w:rPr>
        <w:t>填埋场</w:t>
      </w:r>
      <w:r>
        <w:t>进场路长560m，路基宽为4m，路面类型为水泥砼路面；场内道路长度约350m，路基宽为4m，路面类型为水泥砼路面。</w:t>
      </w:r>
    </w:p>
    <w:p>
      <w:pPr>
        <w:pStyle w:val="825"/>
        <w:adjustRightInd w:val="0"/>
        <w:snapToGrid w:val="0"/>
        <w:ind w:firstLine="480"/>
      </w:pPr>
      <w:r>
        <w:fldChar w:fldCharType="begin"/>
      </w:r>
      <w:r>
        <w:instrText xml:space="preserve"> = 2 \* GB2 </w:instrText>
      </w:r>
      <w:r>
        <w:fldChar w:fldCharType="separate"/>
      </w:r>
      <w:r>
        <w:rPr>
          <w:rFonts w:hint="eastAsia" w:ascii="宋体" w:hAnsi="宋体" w:cs="宋体"/>
        </w:rPr>
        <w:t>⑵</w:t>
      </w:r>
      <w:r>
        <w:fldChar w:fldCharType="end"/>
      </w:r>
      <w:r>
        <w:t>给排水</w:t>
      </w:r>
    </w:p>
    <w:p>
      <w:pPr>
        <w:pStyle w:val="939"/>
        <w:adjustRightInd w:val="0"/>
        <w:snapToGrid w:val="0"/>
        <w:ind w:firstLine="480"/>
        <w:jc w:val="left"/>
        <w:rPr>
          <w:color w:val="FF0000"/>
        </w:rPr>
      </w:pPr>
      <w:r>
        <w:rPr>
          <w:color w:val="FF0000"/>
        </w:rPr>
        <w:t>本项目填埋区生活用水</w:t>
      </w:r>
      <w:r>
        <w:rPr>
          <w:rFonts w:hint="eastAsia"/>
          <w:color w:val="FF0000"/>
        </w:rPr>
        <w:t>、部分绿化用水、渗滤液处理站反渗透膜冲洗用水取用新鲜水</w:t>
      </w:r>
      <w:r>
        <w:rPr>
          <w:color w:val="FF0000"/>
        </w:rPr>
        <w:t>，</w:t>
      </w:r>
      <w:r>
        <w:rPr>
          <w:rFonts w:hint="eastAsia"/>
          <w:color w:val="FF0000"/>
        </w:rPr>
        <w:t>新鲜水年用水量为3</w:t>
      </w:r>
      <w:r>
        <w:rPr>
          <w:color w:val="FF0000"/>
        </w:rPr>
        <w:t>39.45m</w:t>
      </w:r>
      <w:r>
        <w:rPr>
          <w:color w:val="FF0000"/>
          <w:vertAlign w:val="superscript"/>
        </w:rPr>
        <w:t>3</w:t>
      </w:r>
      <w:r>
        <w:rPr>
          <w:color w:val="FF0000"/>
        </w:rPr>
        <w:t>/a</w:t>
      </w:r>
      <w:r>
        <w:rPr>
          <w:rFonts w:hint="eastAsia"/>
          <w:color w:val="FF0000"/>
        </w:rPr>
        <w:t>；抑尘及部分绿化采用渗滤液处理站出水回用水，回用水量4</w:t>
      </w:r>
      <w:r>
        <w:rPr>
          <w:color w:val="FF0000"/>
        </w:rPr>
        <w:t>74.5 m</w:t>
      </w:r>
      <w:r>
        <w:rPr>
          <w:color w:val="FF0000"/>
          <w:vertAlign w:val="superscript"/>
        </w:rPr>
        <w:t>3</w:t>
      </w:r>
      <w:r>
        <w:rPr>
          <w:color w:val="FF0000"/>
        </w:rPr>
        <w:t>/a。</w:t>
      </w:r>
    </w:p>
    <w:p>
      <w:pPr>
        <w:pStyle w:val="939"/>
        <w:adjustRightInd w:val="0"/>
        <w:snapToGrid w:val="0"/>
        <w:ind w:firstLine="480"/>
        <w:jc w:val="left"/>
      </w:pPr>
      <w:r>
        <w:t>本工程室外消防用水由室外地下消防水池提供，消防用水量为15L/S，灭火时间为2h,消防水池的有效储水量为225m³。</w:t>
      </w:r>
    </w:p>
    <w:p>
      <w:pPr>
        <w:pStyle w:val="825"/>
        <w:adjustRightInd w:val="0"/>
        <w:snapToGrid w:val="0"/>
        <w:ind w:firstLine="480"/>
      </w:pPr>
      <w:r>
        <w:fldChar w:fldCharType="begin"/>
      </w:r>
      <w:r>
        <w:instrText xml:space="preserve"> = 3 \* GB2 </w:instrText>
      </w:r>
      <w:r>
        <w:fldChar w:fldCharType="separate"/>
      </w:r>
      <w:r>
        <w:rPr>
          <w:rFonts w:hint="eastAsia" w:ascii="宋体" w:hAnsi="宋体" w:cs="宋体"/>
        </w:rPr>
        <w:t>⑶</w:t>
      </w:r>
      <w:r>
        <w:fldChar w:fldCharType="end"/>
      </w:r>
      <w:r>
        <w:t>供电</w:t>
      </w:r>
    </w:p>
    <w:p>
      <w:pPr>
        <w:pStyle w:val="825"/>
        <w:adjustRightInd w:val="0"/>
        <w:snapToGrid w:val="0"/>
        <w:ind w:firstLine="480"/>
      </w:pPr>
      <w:r>
        <w:t>垃圾处理场供电电源拟由场区西侧的养殖场10KV电源供给。供电外线长度100.0米。</w:t>
      </w:r>
    </w:p>
    <w:p>
      <w:pPr>
        <w:adjustRightInd w:val="0"/>
        <w:snapToGrid w:val="0"/>
        <w:spacing w:line="360" w:lineRule="auto"/>
        <w:ind w:firstLine="480" w:firstLineChars="200"/>
        <w:rPr>
          <w:color w:val="FF0000"/>
          <w:sz w:val="24"/>
        </w:rPr>
      </w:pPr>
      <w:r>
        <w:rPr>
          <w:color w:val="FF0000"/>
          <w:sz w:val="24"/>
        </w:rPr>
        <w:fldChar w:fldCharType="begin"/>
      </w:r>
      <w:r>
        <w:rPr>
          <w:color w:val="FF0000"/>
          <w:sz w:val="24"/>
        </w:rPr>
        <w:instrText xml:space="preserve"> = 4 \* GB2 </w:instrText>
      </w:r>
      <w:r>
        <w:rPr>
          <w:color w:val="FF0000"/>
          <w:sz w:val="24"/>
        </w:rPr>
        <w:fldChar w:fldCharType="separate"/>
      </w:r>
      <w:r>
        <w:rPr>
          <w:rFonts w:hint="eastAsia" w:ascii="宋体" w:hAnsi="宋体" w:cs="宋体"/>
          <w:color w:val="FF0000"/>
          <w:sz w:val="24"/>
        </w:rPr>
        <w:t>⑷</w:t>
      </w:r>
      <w:r>
        <w:rPr>
          <w:color w:val="FF0000"/>
          <w:sz w:val="24"/>
        </w:rPr>
        <w:fldChar w:fldCharType="end"/>
      </w:r>
      <w:r>
        <w:rPr>
          <w:color w:val="FF0000"/>
          <w:sz w:val="24"/>
        </w:rPr>
        <w:t>供暖</w:t>
      </w:r>
    </w:p>
    <w:p>
      <w:pPr>
        <w:adjustRightInd w:val="0"/>
        <w:snapToGrid w:val="0"/>
        <w:spacing w:line="360" w:lineRule="auto"/>
        <w:ind w:firstLine="480" w:firstLineChars="200"/>
        <w:rPr>
          <w:color w:val="FF0000"/>
          <w:sz w:val="24"/>
        </w:rPr>
      </w:pPr>
      <w:r>
        <w:rPr>
          <w:color w:val="FF0000"/>
          <w:sz w:val="24"/>
        </w:rPr>
        <w:t>采用</w:t>
      </w:r>
      <w:r>
        <w:rPr>
          <w:rFonts w:hint="eastAsia"/>
          <w:color w:val="FF0000"/>
          <w:sz w:val="24"/>
        </w:rPr>
        <w:t>电锅炉供暖</w:t>
      </w:r>
      <w:r>
        <w:rPr>
          <w:color w:val="FF0000"/>
          <w:sz w:val="24"/>
        </w:rPr>
        <w:t>。</w:t>
      </w:r>
    </w:p>
    <w:p>
      <w:pPr>
        <w:pStyle w:val="831"/>
        <w:keepNext w:val="0"/>
        <w:spacing w:before="156" w:beforeLines="50" w:after="156" w:afterLines="50" w:line="360" w:lineRule="auto"/>
        <w:rPr>
          <w:rFonts w:cs="Times New Roman"/>
        </w:rPr>
      </w:pPr>
      <w:bookmarkStart w:id="164" w:name="_Toc489432982"/>
      <w:bookmarkStart w:id="165" w:name="_Toc143762310"/>
      <w:r>
        <w:rPr>
          <w:rFonts w:cs="Times New Roman"/>
        </w:rPr>
        <w:t>3.1.14劳动定员与工作制度</w:t>
      </w:r>
      <w:bookmarkEnd w:id="164"/>
      <w:bookmarkEnd w:id="165"/>
    </w:p>
    <w:p>
      <w:pPr>
        <w:spacing w:line="360" w:lineRule="auto"/>
        <w:ind w:firstLine="480" w:firstLineChars="200"/>
        <w:rPr>
          <w:sz w:val="24"/>
        </w:rPr>
      </w:pPr>
      <w:r>
        <w:rPr>
          <w:sz w:val="24"/>
        </w:rPr>
        <w:t>填埋场实行一班制，年运行天数为365天</w:t>
      </w:r>
      <w:r>
        <w:rPr>
          <w:rFonts w:hint="eastAsia"/>
          <w:sz w:val="24"/>
        </w:rPr>
        <w:t>，运行时间为8小时，</w:t>
      </w:r>
      <w:r>
        <w:rPr>
          <w:sz w:val="24"/>
        </w:rPr>
        <w:t>工作人员</w:t>
      </w:r>
      <w:r>
        <w:rPr>
          <w:rFonts w:hint="eastAsia"/>
          <w:sz w:val="24"/>
        </w:rPr>
        <w:t>为3</w:t>
      </w:r>
      <w:r>
        <w:rPr>
          <w:sz w:val="24"/>
        </w:rPr>
        <w:t>人。</w:t>
      </w:r>
    </w:p>
    <w:p>
      <w:pPr>
        <w:pStyle w:val="831"/>
        <w:keepNext w:val="0"/>
        <w:spacing w:before="156" w:beforeLines="50" w:after="156" w:afterLines="50" w:line="360" w:lineRule="auto"/>
        <w:rPr>
          <w:rFonts w:cs="Times New Roman"/>
        </w:rPr>
      </w:pPr>
      <w:bookmarkStart w:id="166" w:name="_Toc143762311"/>
      <w:bookmarkStart w:id="167" w:name="_Toc489432983"/>
      <w:r>
        <w:rPr>
          <w:rFonts w:cs="Times New Roman"/>
        </w:rPr>
        <w:t>3.1.15项目主要技术经济指标</w:t>
      </w:r>
      <w:bookmarkEnd w:id="166"/>
      <w:bookmarkEnd w:id="167"/>
    </w:p>
    <w:p>
      <w:pPr>
        <w:spacing w:line="360" w:lineRule="auto"/>
        <w:ind w:firstLine="480" w:firstLineChars="200"/>
        <w:rPr>
          <w:sz w:val="24"/>
        </w:rPr>
      </w:pPr>
      <w:r>
        <w:rPr>
          <w:rFonts w:hint="eastAsia"/>
          <w:sz w:val="24"/>
        </w:rPr>
        <w:t>本项目</w:t>
      </w:r>
      <w:r>
        <w:rPr>
          <w:sz w:val="24"/>
        </w:rPr>
        <w:t>总投资</w:t>
      </w:r>
      <w:r>
        <w:rPr>
          <w:rFonts w:hint="eastAsia"/>
          <w:sz w:val="24"/>
        </w:rPr>
        <w:t>2097万元。</w:t>
      </w:r>
    </w:p>
    <w:p>
      <w:pPr>
        <w:adjustRightInd w:val="0"/>
        <w:snapToGrid w:val="0"/>
        <w:jc w:val="center"/>
        <w:rPr>
          <w:b/>
          <w:sz w:val="24"/>
        </w:rPr>
      </w:pPr>
      <w:r>
        <w:rPr>
          <w:b/>
          <w:sz w:val="24"/>
        </w:rPr>
        <w:t>表3.1-6 主要技术经济指标</w:t>
      </w:r>
    </w:p>
    <w:tbl>
      <w:tblPr>
        <w:tblStyle w:val="87"/>
        <w:tblpPr w:leftFromText="180" w:rightFromText="180" w:vertAnchor="text" w:horzAnchor="page" w:tblpX="1564" w:tblpY="132"/>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15" w:type="dxa"/>
          <w:left w:w="15" w:type="dxa"/>
          <w:bottom w:w="15" w:type="dxa"/>
          <w:right w:w="15" w:type="dxa"/>
        </w:tblCellMar>
      </w:tblPr>
      <w:tblGrid>
        <w:gridCol w:w="979"/>
        <w:gridCol w:w="4903"/>
        <w:gridCol w:w="972"/>
        <w:gridCol w:w="14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vMerge w:val="restart"/>
            <w:vAlign w:val="center"/>
          </w:tcPr>
          <w:p>
            <w:pPr>
              <w:widowControl/>
              <w:adjustRightInd w:val="0"/>
              <w:snapToGrid w:val="0"/>
              <w:jc w:val="center"/>
              <w:textAlignment w:val="center"/>
              <w:rPr>
                <w:szCs w:val="21"/>
              </w:rPr>
            </w:pPr>
            <w:r>
              <w:rPr>
                <w:kern w:val="0"/>
                <w:szCs w:val="21"/>
              </w:rPr>
              <w:t>序号</w:t>
            </w:r>
          </w:p>
        </w:tc>
        <w:tc>
          <w:tcPr>
            <w:tcW w:w="2941" w:type="pct"/>
            <w:vMerge w:val="restart"/>
            <w:vAlign w:val="center"/>
          </w:tcPr>
          <w:p>
            <w:pPr>
              <w:widowControl/>
              <w:adjustRightInd w:val="0"/>
              <w:snapToGrid w:val="0"/>
              <w:jc w:val="center"/>
              <w:textAlignment w:val="center"/>
              <w:rPr>
                <w:szCs w:val="21"/>
              </w:rPr>
            </w:pPr>
            <w:r>
              <w:rPr>
                <w:rStyle w:val="2220"/>
                <w:rFonts w:ascii="Times New Roman" w:hAnsi="Times New Roman" w:cs="Times New Roman"/>
                <w:color w:val="auto"/>
                <w:sz w:val="21"/>
                <w:szCs w:val="21"/>
              </w:rPr>
              <w:t>工程或费用名称</w:t>
            </w:r>
          </w:p>
        </w:tc>
        <w:tc>
          <w:tcPr>
            <w:tcW w:w="583" w:type="pct"/>
            <w:vAlign w:val="center"/>
          </w:tcPr>
          <w:p>
            <w:pPr>
              <w:widowControl/>
              <w:adjustRightInd w:val="0"/>
              <w:snapToGrid w:val="0"/>
              <w:jc w:val="center"/>
              <w:textAlignment w:val="center"/>
              <w:rPr>
                <w:szCs w:val="21"/>
              </w:rPr>
            </w:pPr>
          </w:p>
        </w:tc>
        <w:tc>
          <w:tcPr>
            <w:tcW w:w="889" w:type="pct"/>
            <w:vAlign w:val="center"/>
          </w:tcPr>
          <w:p>
            <w:pPr>
              <w:widowControl/>
              <w:adjustRightInd w:val="0"/>
              <w:snapToGrid w:val="0"/>
              <w:jc w:val="center"/>
              <w:textAlignment w:val="center"/>
              <w:rPr>
                <w:szCs w:val="21"/>
              </w:rPr>
            </w:pPr>
            <w:r>
              <w:rPr>
                <w:kern w:val="0"/>
                <w:szCs w:val="21"/>
              </w:rPr>
              <w:t>技术经济指标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vMerge w:val="continue"/>
            <w:vAlign w:val="center"/>
          </w:tcPr>
          <w:p>
            <w:pPr>
              <w:jc w:val="center"/>
              <w:rPr>
                <w:szCs w:val="21"/>
              </w:rPr>
            </w:pPr>
          </w:p>
        </w:tc>
        <w:tc>
          <w:tcPr>
            <w:tcW w:w="2941" w:type="pct"/>
            <w:vMerge w:val="continue"/>
            <w:vAlign w:val="center"/>
          </w:tcPr>
          <w:p>
            <w:pPr>
              <w:jc w:val="center"/>
              <w:rPr>
                <w:szCs w:val="21"/>
              </w:rPr>
            </w:pPr>
          </w:p>
        </w:tc>
        <w:tc>
          <w:tcPr>
            <w:tcW w:w="583" w:type="pct"/>
            <w:vAlign w:val="center"/>
          </w:tcPr>
          <w:p>
            <w:pPr>
              <w:widowControl/>
              <w:jc w:val="center"/>
              <w:textAlignment w:val="center"/>
              <w:rPr>
                <w:szCs w:val="21"/>
              </w:rPr>
            </w:pPr>
            <w:r>
              <w:rPr>
                <w:kern w:val="0"/>
                <w:szCs w:val="21"/>
              </w:rPr>
              <w:t>单位</w:t>
            </w:r>
          </w:p>
        </w:tc>
        <w:tc>
          <w:tcPr>
            <w:tcW w:w="889" w:type="pct"/>
            <w:vAlign w:val="center"/>
          </w:tcPr>
          <w:p>
            <w:pPr>
              <w:widowControl/>
              <w:jc w:val="center"/>
              <w:textAlignment w:val="center"/>
              <w:rPr>
                <w:szCs w:val="21"/>
              </w:rPr>
            </w:pPr>
            <w:r>
              <w:rPr>
                <w:kern w:val="0"/>
                <w:szCs w:val="21"/>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一</w:t>
            </w:r>
          </w:p>
        </w:tc>
        <w:tc>
          <w:tcPr>
            <w:tcW w:w="2941" w:type="pct"/>
            <w:shd w:val="clear" w:color="auto" w:fill="auto"/>
            <w:vAlign w:val="center"/>
          </w:tcPr>
          <w:p>
            <w:pPr>
              <w:widowControl/>
              <w:textAlignment w:val="center"/>
              <w:rPr>
                <w:szCs w:val="21"/>
              </w:rPr>
            </w:pPr>
            <w:r>
              <w:rPr>
                <w:kern w:val="0"/>
                <w:szCs w:val="21"/>
              </w:rPr>
              <w:t>填埋场主体工程</w:t>
            </w:r>
          </w:p>
        </w:tc>
        <w:tc>
          <w:tcPr>
            <w:tcW w:w="583" w:type="pct"/>
            <w:shd w:val="clear" w:color="auto" w:fill="auto"/>
            <w:vAlign w:val="center"/>
          </w:tcPr>
          <w:p>
            <w:pPr>
              <w:rPr>
                <w:szCs w:val="21"/>
              </w:rPr>
            </w:pPr>
          </w:p>
        </w:tc>
        <w:tc>
          <w:tcPr>
            <w:tcW w:w="889" w:type="pct"/>
            <w:shd w:val="clear" w:color="auto" w:fill="auto"/>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1</w:t>
            </w:r>
          </w:p>
        </w:tc>
        <w:tc>
          <w:tcPr>
            <w:tcW w:w="2941" w:type="pct"/>
            <w:shd w:val="clear" w:color="auto" w:fill="auto"/>
            <w:vAlign w:val="center"/>
          </w:tcPr>
          <w:p>
            <w:pPr>
              <w:widowControl/>
              <w:textAlignment w:val="center"/>
              <w:rPr>
                <w:szCs w:val="21"/>
              </w:rPr>
            </w:pPr>
            <w:r>
              <w:rPr>
                <w:rStyle w:val="2221"/>
                <w:rFonts w:ascii="Times New Roman" w:hAnsi="Times New Roman" w:cs="Times New Roman"/>
                <w:color w:val="auto"/>
              </w:rPr>
              <w:t>场区道路（</w:t>
            </w:r>
            <w:r>
              <w:rPr>
                <w:rStyle w:val="2224"/>
                <w:rFonts w:ascii="Times New Roman" w:hAnsi="Times New Roman" w:cs="Times New Roman"/>
                <w:color w:val="auto"/>
              </w:rPr>
              <w:t>24cm</w:t>
            </w:r>
            <w:r>
              <w:rPr>
                <w:rStyle w:val="2221"/>
                <w:rFonts w:ascii="Times New Roman" w:hAnsi="Times New Roman" w:cs="Times New Roman"/>
                <w:color w:val="auto"/>
              </w:rPr>
              <w:t>混凝土，</w:t>
            </w:r>
            <w:r>
              <w:rPr>
                <w:rStyle w:val="2224"/>
                <w:rFonts w:ascii="Times New Roman" w:hAnsi="Times New Roman" w:cs="Times New Roman"/>
                <w:color w:val="auto"/>
              </w:rPr>
              <w:t>20cm</w:t>
            </w:r>
            <w:r>
              <w:rPr>
                <w:rStyle w:val="2221"/>
                <w:rFonts w:ascii="Times New Roman" w:hAnsi="Times New Roman" w:cs="Times New Roman"/>
                <w:color w:val="auto"/>
              </w:rPr>
              <w:t>水泥二灰稳定级配砂砾基层，</w:t>
            </w:r>
            <w:r>
              <w:rPr>
                <w:rStyle w:val="2224"/>
                <w:rFonts w:ascii="Times New Roman" w:hAnsi="Times New Roman" w:cs="Times New Roman"/>
                <w:color w:val="auto"/>
              </w:rPr>
              <w:t>20cm</w:t>
            </w:r>
            <w:r>
              <w:rPr>
                <w:rStyle w:val="2221"/>
                <w:rFonts w:ascii="Times New Roman" w:hAnsi="Times New Roman" w:cs="Times New Roman"/>
                <w:color w:val="auto"/>
              </w:rPr>
              <w:t>水泥二灰稳定级配砂砾底基层。）</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1520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2</w:t>
            </w:r>
          </w:p>
        </w:tc>
        <w:tc>
          <w:tcPr>
            <w:tcW w:w="2941" w:type="pct"/>
            <w:shd w:val="clear" w:color="auto" w:fill="auto"/>
            <w:vAlign w:val="center"/>
          </w:tcPr>
          <w:p>
            <w:pPr>
              <w:widowControl/>
              <w:textAlignment w:val="center"/>
              <w:rPr>
                <w:rStyle w:val="2221"/>
                <w:rFonts w:ascii="Times New Roman" w:hAnsi="Times New Roman" w:cs="Times New Roman"/>
                <w:color w:val="auto"/>
              </w:rPr>
            </w:pPr>
            <w:r>
              <w:rPr>
                <w:rStyle w:val="2221"/>
                <w:rFonts w:ascii="Times New Roman" w:hAnsi="Times New Roman" w:cs="Times New Roman"/>
                <w:color w:val="auto"/>
              </w:rPr>
              <w:t>防渗工程</w:t>
            </w:r>
          </w:p>
          <w:p>
            <w:pPr>
              <w:widowControl/>
              <w:textAlignment w:val="center"/>
              <w:rPr>
                <w:szCs w:val="21"/>
              </w:rPr>
            </w:pPr>
            <w:r>
              <w:rPr>
                <w:rStyle w:val="2221"/>
                <w:rFonts w:ascii="Times New Roman" w:hAnsi="Times New Roman" w:cs="Times New Roman"/>
                <w:color w:val="auto"/>
              </w:rPr>
              <w:t>(1) 600g/m</w:t>
            </w:r>
            <w:r>
              <w:rPr>
                <w:rStyle w:val="2225"/>
                <w:rFonts w:ascii="Times New Roman" w:hAnsi="Times New Roman" w:cs="Times New Roman"/>
                <w:color w:val="auto"/>
              </w:rPr>
              <w:t>2</w:t>
            </w:r>
            <w:r>
              <w:rPr>
                <w:rStyle w:val="2221"/>
                <w:rFonts w:ascii="Times New Roman" w:hAnsi="Times New Roman" w:cs="Times New Roman"/>
                <w:color w:val="auto"/>
              </w:rPr>
              <w:t>短纤非织造土工布作为保护层</w:t>
            </w:r>
            <w:r>
              <w:rPr>
                <w:rStyle w:val="2221"/>
                <w:rFonts w:ascii="Times New Roman" w:hAnsi="Times New Roman" w:cs="Times New Roman"/>
                <w:color w:val="auto"/>
              </w:rPr>
              <w:br w:type="textWrapping"/>
            </w:r>
            <w:r>
              <w:rPr>
                <w:rStyle w:val="2221"/>
                <w:rFonts w:ascii="Times New Roman" w:hAnsi="Times New Roman" w:cs="Times New Roman"/>
                <w:color w:val="auto"/>
              </w:rPr>
              <w:t>（边坡保护加装土编织袋满铺）</w:t>
            </w:r>
            <w:r>
              <w:rPr>
                <w:rStyle w:val="2221"/>
                <w:rFonts w:ascii="Times New Roman" w:hAnsi="Times New Roman" w:cs="Times New Roman"/>
                <w:color w:val="auto"/>
              </w:rPr>
              <w:br w:type="textWrapping"/>
            </w:r>
            <w:r>
              <w:rPr>
                <w:rStyle w:val="2221"/>
                <w:rFonts w:ascii="Times New Roman" w:hAnsi="Times New Roman" w:cs="Times New Roman"/>
                <w:color w:val="auto"/>
              </w:rPr>
              <w:t>(2) 1.5mm厚HDPE土工膜为主防渗层</w:t>
            </w:r>
            <w:r>
              <w:rPr>
                <w:rStyle w:val="2221"/>
                <w:rFonts w:ascii="Times New Roman" w:hAnsi="Times New Roman" w:cs="Times New Roman"/>
                <w:color w:val="auto"/>
              </w:rPr>
              <w:br w:type="textWrapping"/>
            </w:r>
            <w:r>
              <w:rPr>
                <w:rStyle w:val="2221"/>
                <w:rFonts w:ascii="Times New Roman" w:hAnsi="Times New Roman" w:cs="Times New Roman"/>
                <w:color w:val="auto"/>
              </w:rPr>
              <w:t>(3)渗透系数为10</w:t>
            </w:r>
            <w:r>
              <w:rPr>
                <w:rStyle w:val="2225"/>
                <w:rFonts w:ascii="Times New Roman" w:hAnsi="Times New Roman" w:cs="Times New Roman"/>
                <w:color w:val="auto"/>
              </w:rPr>
              <w:t>-11</w:t>
            </w:r>
            <w:r>
              <w:rPr>
                <w:rStyle w:val="2221"/>
                <w:color w:val="auto"/>
              </w:rPr>
              <w:t>cm</w:t>
            </w:r>
            <w:r>
              <w:rPr>
                <w:rStyle w:val="2221"/>
                <w:rFonts w:ascii="Times New Roman" w:hAnsi="Times New Roman" w:cs="Times New Roman"/>
                <w:color w:val="auto"/>
              </w:rPr>
              <w:t>/s的钠基膨润土防水毯。</w:t>
            </w:r>
            <w:r>
              <w:rPr>
                <w:rStyle w:val="2221"/>
                <w:rFonts w:ascii="Times New Roman" w:hAnsi="Times New Roman" w:cs="Times New Roman"/>
                <w:color w:val="auto"/>
              </w:rPr>
              <w:br w:type="textWrapping"/>
            </w:r>
            <w:r>
              <w:rPr>
                <w:rStyle w:val="2221"/>
                <w:rFonts w:ascii="Times New Roman" w:hAnsi="Times New Roman" w:cs="Times New Roman"/>
                <w:color w:val="auto"/>
              </w:rPr>
              <w:t>(4)</w:t>
            </w:r>
            <w:r>
              <w:rPr>
                <w:rFonts w:hint="eastAsia"/>
                <w:szCs w:val="21"/>
              </w:rPr>
              <w:t>复合土工膜</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32900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3</w:t>
            </w:r>
          </w:p>
        </w:tc>
        <w:tc>
          <w:tcPr>
            <w:tcW w:w="2941" w:type="pct"/>
            <w:shd w:val="clear" w:color="auto" w:fill="auto"/>
            <w:vAlign w:val="center"/>
          </w:tcPr>
          <w:p>
            <w:pPr>
              <w:widowControl/>
              <w:textAlignment w:val="center"/>
              <w:rPr>
                <w:szCs w:val="21"/>
              </w:rPr>
            </w:pPr>
            <w:r>
              <w:rPr>
                <w:kern w:val="0"/>
                <w:szCs w:val="21"/>
              </w:rPr>
              <w:t>监测井</w:t>
            </w:r>
          </w:p>
        </w:tc>
        <w:tc>
          <w:tcPr>
            <w:tcW w:w="583" w:type="pct"/>
            <w:shd w:val="clear" w:color="auto" w:fill="auto"/>
            <w:vAlign w:val="center"/>
          </w:tcPr>
          <w:p>
            <w:pPr>
              <w:widowControl/>
              <w:jc w:val="center"/>
              <w:textAlignment w:val="center"/>
              <w:rPr>
                <w:szCs w:val="21"/>
              </w:rPr>
            </w:pPr>
            <w:r>
              <w:rPr>
                <w:kern w:val="0"/>
                <w:szCs w:val="21"/>
              </w:rPr>
              <w:t>座</w:t>
            </w:r>
          </w:p>
        </w:tc>
        <w:tc>
          <w:tcPr>
            <w:tcW w:w="889" w:type="pct"/>
            <w:shd w:val="clear" w:color="auto" w:fill="auto"/>
            <w:vAlign w:val="center"/>
          </w:tcPr>
          <w:p>
            <w:pPr>
              <w:widowControl/>
              <w:jc w:val="center"/>
              <w:textAlignment w:val="center"/>
              <w:rPr>
                <w:szCs w:val="21"/>
              </w:rPr>
            </w:pPr>
            <w:r>
              <w:rPr>
                <w:kern w:val="0"/>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4</w:t>
            </w:r>
          </w:p>
        </w:tc>
        <w:tc>
          <w:tcPr>
            <w:tcW w:w="2941" w:type="pct"/>
            <w:shd w:val="clear" w:color="auto" w:fill="auto"/>
            <w:vAlign w:val="center"/>
          </w:tcPr>
          <w:p>
            <w:pPr>
              <w:widowControl/>
              <w:textAlignment w:val="center"/>
              <w:rPr>
                <w:szCs w:val="21"/>
              </w:rPr>
            </w:pPr>
            <w:r>
              <w:rPr>
                <w:kern w:val="0"/>
                <w:szCs w:val="21"/>
              </w:rPr>
              <w:t>填埋周边绿化及栽种植被</w:t>
            </w:r>
          </w:p>
        </w:tc>
        <w:tc>
          <w:tcPr>
            <w:tcW w:w="583" w:type="pct"/>
            <w:shd w:val="clear" w:color="auto" w:fill="auto"/>
            <w:vAlign w:val="center"/>
          </w:tcPr>
          <w:p>
            <w:pPr>
              <w:widowControl/>
              <w:jc w:val="center"/>
              <w:textAlignment w:val="center"/>
              <w:rPr>
                <w:szCs w:val="21"/>
              </w:rPr>
            </w:pPr>
            <w:r>
              <w:rPr>
                <w:rStyle w:val="2226"/>
                <w:rFonts w:ascii="Times New Roman" w:hAnsi="Times New Roman" w:cs="Times New Roman"/>
                <w:color w:val="auto"/>
              </w:rPr>
              <w:t>m</w:t>
            </w:r>
            <w:r>
              <w:rPr>
                <w:rStyle w:val="2227"/>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13600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5</w:t>
            </w:r>
          </w:p>
        </w:tc>
        <w:tc>
          <w:tcPr>
            <w:tcW w:w="2941" w:type="pct"/>
            <w:shd w:val="clear" w:color="auto" w:fill="auto"/>
            <w:vAlign w:val="center"/>
          </w:tcPr>
          <w:p>
            <w:pPr>
              <w:widowControl/>
              <w:textAlignment w:val="center"/>
              <w:rPr>
                <w:szCs w:val="21"/>
              </w:rPr>
            </w:pPr>
            <w:r>
              <w:rPr>
                <w:rStyle w:val="2223"/>
                <w:rFonts w:ascii="Times New Roman" w:hAnsi="Times New Roman" w:cs="Times New Roman"/>
                <w:color w:val="auto"/>
                <w:sz w:val="21"/>
                <w:szCs w:val="21"/>
              </w:rPr>
              <w:t>导气管管材采用HDPE（打孔花管），管径为200mm</w:t>
            </w:r>
          </w:p>
        </w:tc>
        <w:tc>
          <w:tcPr>
            <w:tcW w:w="583" w:type="pct"/>
            <w:shd w:val="clear" w:color="auto" w:fill="auto"/>
            <w:vAlign w:val="center"/>
          </w:tcPr>
          <w:p>
            <w:pPr>
              <w:widowControl/>
              <w:jc w:val="center"/>
              <w:textAlignment w:val="center"/>
              <w:rPr>
                <w:szCs w:val="21"/>
              </w:rPr>
            </w:pPr>
            <w:r>
              <w:rPr>
                <w:kern w:val="0"/>
                <w:szCs w:val="21"/>
              </w:rPr>
              <w:t>m</w:t>
            </w:r>
          </w:p>
        </w:tc>
        <w:tc>
          <w:tcPr>
            <w:tcW w:w="889" w:type="pct"/>
            <w:shd w:val="clear" w:color="auto" w:fill="auto"/>
            <w:vAlign w:val="center"/>
          </w:tcPr>
          <w:p>
            <w:pPr>
              <w:widowControl/>
              <w:jc w:val="center"/>
              <w:textAlignment w:val="center"/>
              <w:rPr>
                <w:szCs w:val="21"/>
              </w:rPr>
            </w:pPr>
            <w:r>
              <w:rPr>
                <w:kern w:val="0"/>
                <w:szCs w:val="21"/>
              </w:rPr>
              <w:t>320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6</w:t>
            </w:r>
          </w:p>
        </w:tc>
        <w:tc>
          <w:tcPr>
            <w:tcW w:w="2941" w:type="pct"/>
            <w:shd w:val="clear" w:color="auto" w:fill="auto"/>
            <w:vAlign w:val="center"/>
          </w:tcPr>
          <w:p>
            <w:pPr>
              <w:widowControl/>
              <w:textAlignment w:val="center"/>
              <w:rPr>
                <w:szCs w:val="21"/>
              </w:rPr>
            </w:pPr>
            <w:r>
              <w:rPr>
                <w:kern w:val="0"/>
                <w:szCs w:val="21"/>
              </w:rPr>
              <w:t>ф315mmHDPE主管（打孔花管）</w:t>
            </w:r>
          </w:p>
        </w:tc>
        <w:tc>
          <w:tcPr>
            <w:tcW w:w="583" w:type="pct"/>
            <w:shd w:val="clear" w:color="auto" w:fill="auto"/>
            <w:vAlign w:val="center"/>
          </w:tcPr>
          <w:p>
            <w:pPr>
              <w:widowControl/>
              <w:jc w:val="center"/>
              <w:textAlignment w:val="center"/>
              <w:rPr>
                <w:szCs w:val="21"/>
              </w:rPr>
            </w:pPr>
            <w:r>
              <w:rPr>
                <w:kern w:val="0"/>
                <w:szCs w:val="21"/>
              </w:rPr>
              <w:t>m</w:t>
            </w:r>
          </w:p>
        </w:tc>
        <w:tc>
          <w:tcPr>
            <w:tcW w:w="889" w:type="pct"/>
            <w:shd w:val="clear" w:color="auto" w:fill="auto"/>
            <w:vAlign w:val="center"/>
          </w:tcPr>
          <w:p>
            <w:pPr>
              <w:widowControl/>
              <w:jc w:val="center"/>
              <w:textAlignment w:val="center"/>
              <w:rPr>
                <w:szCs w:val="21"/>
              </w:rPr>
            </w:pPr>
            <w:r>
              <w:rPr>
                <w:kern w:val="0"/>
                <w:szCs w:val="21"/>
              </w:rPr>
              <w:t>443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7</w:t>
            </w:r>
          </w:p>
        </w:tc>
        <w:tc>
          <w:tcPr>
            <w:tcW w:w="2941" w:type="pct"/>
            <w:shd w:val="clear" w:color="auto" w:fill="auto"/>
            <w:vAlign w:val="center"/>
          </w:tcPr>
          <w:p>
            <w:pPr>
              <w:widowControl/>
              <w:textAlignment w:val="center"/>
              <w:rPr>
                <w:szCs w:val="21"/>
              </w:rPr>
            </w:pPr>
            <w:r>
              <w:rPr>
                <w:kern w:val="0"/>
                <w:szCs w:val="21"/>
              </w:rPr>
              <w:t>ф260mmHDPE支管（打孔花管）</w:t>
            </w:r>
          </w:p>
        </w:tc>
        <w:tc>
          <w:tcPr>
            <w:tcW w:w="583" w:type="pct"/>
            <w:shd w:val="clear" w:color="auto" w:fill="auto"/>
            <w:vAlign w:val="center"/>
          </w:tcPr>
          <w:p>
            <w:pPr>
              <w:widowControl/>
              <w:jc w:val="center"/>
              <w:textAlignment w:val="center"/>
              <w:rPr>
                <w:szCs w:val="21"/>
              </w:rPr>
            </w:pPr>
            <w:r>
              <w:rPr>
                <w:kern w:val="0"/>
                <w:szCs w:val="21"/>
              </w:rPr>
              <w:t>m</w:t>
            </w:r>
          </w:p>
        </w:tc>
        <w:tc>
          <w:tcPr>
            <w:tcW w:w="889" w:type="pct"/>
            <w:shd w:val="clear" w:color="auto" w:fill="auto"/>
            <w:vAlign w:val="center"/>
          </w:tcPr>
          <w:p>
            <w:pPr>
              <w:widowControl/>
              <w:jc w:val="center"/>
              <w:textAlignment w:val="center"/>
              <w:rPr>
                <w:szCs w:val="21"/>
              </w:rPr>
            </w:pPr>
            <w:r>
              <w:rPr>
                <w:kern w:val="0"/>
                <w:szCs w:val="21"/>
              </w:rPr>
              <w:t>812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8</w:t>
            </w:r>
          </w:p>
        </w:tc>
        <w:tc>
          <w:tcPr>
            <w:tcW w:w="2941" w:type="pct"/>
            <w:shd w:val="clear" w:color="auto" w:fill="auto"/>
            <w:vAlign w:val="center"/>
          </w:tcPr>
          <w:p>
            <w:pPr>
              <w:widowControl/>
              <w:textAlignment w:val="center"/>
              <w:rPr>
                <w:szCs w:val="21"/>
              </w:rPr>
            </w:pPr>
            <w:r>
              <w:rPr>
                <w:kern w:val="0"/>
                <w:szCs w:val="21"/>
              </w:rPr>
              <w:t>铅丝网</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110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9</w:t>
            </w:r>
          </w:p>
        </w:tc>
        <w:tc>
          <w:tcPr>
            <w:tcW w:w="2941" w:type="pct"/>
            <w:shd w:val="clear" w:color="auto" w:fill="auto"/>
            <w:vAlign w:val="center"/>
          </w:tcPr>
          <w:p>
            <w:pPr>
              <w:widowControl/>
              <w:textAlignment w:val="center"/>
              <w:rPr>
                <w:szCs w:val="21"/>
              </w:rPr>
            </w:pPr>
            <w:r>
              <w:rPr>
                <w:rStyle w:val="2221"/>
                <w:rFonts w:ascii="Times New Roman" w:hAnsi="Times New Roman" w:cs="Times New Roman"/>
                <w:color w:val="auto"/>
              </w:rPr>
              <w:t>盲沟包裹土工布(150g/m</w:t>
            </w:r>
            <w:r>
              <w:rPr>
                <w:rStyle w:val="2225"/>
                <w:rFonts w:ascii="Times New Roman" w:hAnsi="Times New Roman" w:cs="Times New Roman"/>
                <w:color w:val="auto"/>
              </w:rPr>
              <w:t>2</w:t>
            </w:r>
            <w:r>
              <w:rPr>
                <w:rStyle w:val="2221"/>
                <w:rFonts w:ascii="Times New Roman" w:hAnsi="Times New Roman" w:cs="Times New Roman"/>
                <w:color w:val="auto"/>
              </w:rPr>
              <w:t>长丝纺粘)</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5082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10</w:t>
            </w:r>
          </w:p>
        </w:tc>
        <w:tc>
          <w:tcPr>
            <w:tcW w:w="2941" w:type="pct"/>
            <w:shd w:val="clear" w:color="auto" w:fill="auto"/>
            <w:vAlign w:val="center"/>
          </w:tcPr>
          <w:p>
            <w:pPr>
              <w:widowControl/>
              <w:textAlignment w:val="center"/>
              <w:rPr>
                <w:szCs w:val="21"/>
              </w:rPr>
            </w:pPr>
            <w:r>
              <w:rPr>
                <w:kern w:val="0"/>
                <w:szCs w:val="21"/>
              </w:rPr>
              <w:t>外边坡保护（满铺护坡绿化砖）</w:t>
            </w:r>
          </w:p>
        </w:tc>
        <w:tc>
          <w:tcPr>
            <w:tcW w:w="583" w:type="pct"/>
            <w:shd w:val="clear" w:color="auto" w:fill="auto"/>
            <w:vAlign w:val="center"/>
          </w:tcPr>
          <w:p>
            <w:pPr>
              <w:widowControl/>
              <w:jc w:val="center"/>
              <w:textAlignment w:val="center"/>
              <w:rPr>
                <w:szCs w:val="21"/>
              </w:rPr>
            </w:pPr>
            <w:r>
              <w:rPr>
                <w:kern w:val="0"/>
                <w:szCs w:val="21"/>
              </w:rPr>
              <w:t>m</w:t>
            </w:r>
            <w:r>
              <w:rPr>
                <w:kern w:val="0"/>
                <w:szCs w:val="21"/>
                <w:vertAlign w:val="superscript"/>
              </w:rPr>
              <w:t>2</w:t>
            </w:r>
          </w:p>
        </w:tc>
        <w:tc>
          <w:tcPr>
            <w:tcW w:w="889" w:type="pct"/>
            <w:shd w:val="clear" w:color="auto" w:fill="auto"/>
            <w:vAlign w:val="center"/>
          </w:tcPr>
          <w:p>
            <w:pPr>
              <w:widowControl/>
              <w:jc w:val="center"/>
              <w:textAlignment w:val="center"/>
              <w:rPr>
                <w:szCs w:val="21"/>
              </w:rPr>
            </w:pPr>
            <w:r>
              <w:rPr>
                <w:kern w:val="0"/>
                <w:szCs w:val="21"/>
              </w:rPr>
              <w:t>7900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11</w:t>
            </w:r>
          </w:p>
        </w:tc>
        <w:tc>
          <w:tcPr>
            <w:tcW w:w="2941" w:type="pct"/>
            <w:shd w:val="clear" w:color="auto" w:fill="auto"/>
            <w:vAlign w:val="center"/>
          </w:tcPr>
          <w:p>
            <w:pPr>
              <w:widowControl/>
              <w:textAlignment w:val="center"/>
              <w:rPr>
                <w:szCs w:val="21"/>
              </w:rPr>
            </w:pPr>
            <w:r>
              <w:rPr>
                <w:kern w:val="0"/>
                <w:szCs w:val="21"/>
              </w:rPr>
              <w:t>级配石</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3</w:t>
            </w:r>
          </w:p>
        </w:tc>
        <w:tc>
          <w:tcPr>
            <w:tcW w:w="889" w:type="pct"/>
            <w:shd w:val="clear" w:color="auto" w:fill="auto"/>
            <w:vAlign w:val="center"/>
          </w:tcPr>
          <w:p>
            <w:pPr>
              <w:widowControl/>
              <w:jc w:val="center"/>
              <w:textAlignment w:val="center"/>
              <w:rPr>
                <w:szCs w:val="21"/>
              </w:rPr>
            </w:pPr>
            <w:r>
              <w:rPr>
                <w:kern w:val="0"/>
                <w:szCs w:val="21"/>
              </w:rPr>
              <w:t>7700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二</w:t>
            </w:r>
          </w:p>
        </w:tc>
        <w:tc>
          <w:tcPr>
            <w:tcW w:w="2941" w:type="pct"/>
            <w:shd w:val="clear" w:color="auto" w:fill="auto"/>
            <w:vAlign w:val="center"/>
          </w:tcPr>
          <w:p>
            <w:pPr>
              <w:widowControl/>
              <w:textAlignment w:val="center"/>
              <w:rPr>
                <w:szCs w:val="21"/>
              </w:rPr>
            </w:pPr>
            <w:r>
              <w:rPr>
                <w:kern w:val="0"/>
                <w:szCs w:val="21"/>
              </w:rPr>
              <w:t>主要填埋机械设备</w:t>
            </w:r>
          </w:p>
        </w:tc>
        <w:tc>
          <w:tcPr>
            <w:tcW w:w="583" w:type="pct"/>
            <w:shd w:val="clear" w:color="auto" w:fill="auto"/>
            <w:vAlign w:val="center"/>
          </w:tcPr>
          <w:p>
            <w:pPr>
              <w:jc w:val="center"/>
              <w:rPr>
                <w:szCs w:val="21"/>
              </w:rPr>
            </w:pPr>
          </w:p>
        </w:tc>
        <w:tc>
          <w:tcPr>
            <w:tcW w:w="889" w:type="pct"/>
            <w:shd w:val="clear" w:color="auto" w:fill="auto"/>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1</w:t>
            </w:r>
          </w:p>
        </w:tc>
        <w:tc>
          <w:tcPr>
            <w:tcW w:w="2941" w:type="pct"/>
            <w:shd w:val="clear" w:color="auto" w:fill="auto"/>
            <w:vAlign w:val="center"/>
          </w:tcPr>
          <w:p>
            <w:pPr>
              <w:widowControl/>
              <w:textAlignment w:val="center"/>
              <w:rPr>
                <w:szCs w:val="21"/>
              </w:rPr>
            </w:pPr>
            <w:r>
              <w:rPr>
                <w:kern w:val="0"/>
                <w:szCs w:val="21"/>
              </w:rPr>
              <w:t>装载机</w:t>
            </w:r>
          </w:p>
        </w:tc>
        <w:tc>
          <w:tcPr>
            <w:tcW w:w="583" w:type="pct"/>
            <w:shd w:val="clear" w:color="auto" w:fill="auto"/>
            <w:vAlign w:val="center"/>
          </w:tcPr>
          <w:p>
            <w:pPr>
              <w:widowControl/>
              <w:jc w:val="center"/>
              <w:textAlignment w:val="center"/>
              <w:rPr>
                <w:szCs w:val="21"/>
              </w:rPr>
            </w:pPr>
            <w:r>
              <w:rPr>
                <w:kern w:val="0"/>
                <w:szCs w:val="21"/>
              </w:rPr>
              <w:t>台</w:t>
            </w:r>
          </w:p>
        </w:tc>
        <w:tc>
          <w:tcPr>
            <w:tcW w:w="889" w:type="pct"/>
            <w:shd w:val="clear" w:color="auto" w:fill="auto"/>
            <w:vAlign w:val="center"/>
          </w:tcPr>
          <w:p>
            <w:pPr>
              <w:widowControl/>
              <w:jc w:val="center"/>
              <w:textAlignment w:val="center"/>
              <w:rPr>
                <w:szCs w:val="21"/>
              </w:rPr>
            </w:pPr>
            <w:r>
              <w:rPr>
                <w:kern w:val="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2</w:t>
            </w:r>
          </w:p>
        </w:tc>
        <w:tc>
          <w:tcPr>
            <w:tcW w:w="2941" w:type="pct"/>
            <w:shd w:val="clear" w:color="auto" w:fill="auto"/>
            <w:vAlign w:val="center"/>
          </w:tcPr>
          <w:p>
            <w:pPr>
              <w:widowControl/>
              <w:textAlignment w:val="center"/>
              <w:rPr>
                <w:szCs w:val="21"/>
              </w:rPr>
            </w:pPr>
            <w:r>
              <w:rPr>
                <w:kern w:val="0"/>
                <w:szCs w:val="21"/>
              </w:rPr>
              <w:t>自卸车</w:t>
            </w:r>
          </w:p>
        </w:tc>
        <w:tc>
          <w:tcPr>
            <w:tcW w:w="583" w:type="pct"/>
            <w:shd w:val="clear" w:color="auto" w:fill="auto"/>
            <w:vAlign w:val="center"/>
          </w:tcPr>
          <w:p>
            <w:pPr>
              <w:widowControl/>
              <w:jc w:val="center"/>
              <w:textAlignment w:val="center"/>
              <w:rPr>
                <w:szCs w:val="21"/>
              </w:rPr>
            </w:pPr>
            <w:r>
              <w:rPr>
                <w:kern w:val="0"/>
                <w:szCs w:val="21"/>
              </w:rPr>
              <w:t>辆</w:t>
            </w:r>
          </w:p>
        </w:tc>
        <w:tc>
          <w:tcPr>
            <w:tcW w:w="889" w:type="pct"/>
            <w:shd w:val="clear" w:color="auto" w:fill="auto"/>
            <w:vAlign w:val="center"/>
          </w:tcPr>
          <w:p>
            <w:pPr>
              <w:widowControl/>
              <w:jc w:val="center"/>
              <w:textAlignment w:val="center"/>
              <w:rPr>
                <w:szCs w:val="21"/>
              </w:rPr>
            </w:pPr>
            <w:r>
              <w:rPr>
                <w:kern w:val="0"/>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3</w:t>
            </w:r>
          </w:p>
        </w:tc>
        <w:tc>
          <w:tcPr>
            <w:tcW w:w="2941" w:type="pct"/>
            <w:shd w:val="clear" w:color="auto" w:fill="auto"/>
            <w:vAlign w:val="center"/>
          </w:tcPr>
          <w:p>
            <w:pPr>
              <w:widowControl/>
              <w:textAlignment w:val="center"/>
              <w:rPr>
                <w:szCs w:val="21"/>
              </w:rPr>
            </w:pPr>
            <w:r>
              <w:rPr>
                <w:kern w:val="0"/>
                <w:szCs w:val="21"/>
              </w:rPr>
              <w:t>工具车</w:t>
            </w:r>
          </w:p>
        </w:tc>
        <w:tc>
          <w:tcPr>
            <w:tcW w:w="583" w:type="pct"/>
            <w:shd w:val="clear" w:color="auto" w:fill="auto"/>
            <w:vAlign w:val="center"/>
          </w:tcPr>
          <w:p>
            <w:pPr>
              <w:widowControl/>
              <w:jc w:val="center"/>
              <w:textAlignment w:val="center"/>
              <w:rPr>
                <w:szCs w:val="21"/>
              </w:rPr>
            </w:pPr>
            <w:r>
              <w:rPr>
                <w:kern w:val="0"/>
                <w:szCs w:val="21"/>
              </w:rPr>
              <w:t>辆</w:t>
            </w:r>
          </w:p>
        </w:tc>
        <w:tc>
          <w:tcPr>
            <w:tcW w:w="889" w:type="pct"/>
            <w:shd w:val="clear" w:color="auto" w:fill="auto"/>
            <w:vAlign w:val="center"/>
          </w:tcPr>
          <w:p>
            <w:pPr>
              <w:widowControl/>
              <w:jc w:val="center"/>
              <w:textAlignment w:val="center"/>
              <w:rPr>
                <w:szCs w:val="21"/>
              </w:rPr>
            </w:pPr>
            <w:r>
              <w:rPr>
                <w:kern w:val="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53" w:hRule="atLeast"/>
        </w:trPr>
        <w:tc>
          <w:tcPr>
            <w:tcW w:w="587" w:type="pct"/>
            <w:shd w:val="clear" w:color="auto" w:fill="auto"/>
            <w:vAlign w:val="center"/>
          </w:tcPr>
          <w:p>
            <w:pPr>
              <w:widowControl/>
              <w:jc w:val="center"/>
              <w:textAlignment w:val="center"/>
              <w:rPr>
                <w:szCs w:val="21"/>
              </w:rPr>
            </w:pPr>
            <w:r>
              <w:rPr>
                <w:kern w:val="0"/>
                <w:szCs w:val="21"/>
              </w:rPr>
              <w:t>4</w:t>
            </w:r>
          </w:p>
        </w:tc>
        <w:tc>
          <w:tcPr>
            <w:tcW w:w="2941" w:type="pct"/>
            <w:shd w:val="clear" w:color="auto" w:fill="auto"/>
            <w:vAlign w:val="center"/>
          </w:tcPr>
          <w:p>
            <w:pPr>
              <w:widowControl/>
              <w:textAlignment w:val="center"/>
              <w:rPr>
                <w:szCs w:val="21"/>
              </w:rPr>
            </w:pPr>
            <w:r>
              <w:rPr>
                <w:kern w:val="0"/>
                <w:szCs w:val="21"/>
              </w:rPr>
              <w:t>洒水车</w:t>
            </w:r>
          </w:p>
        </w:tc>
        <w:tc>
          <w:tcPr>
            <w:tcW w:w="583" w:type="pct"/>
            <w:shd w:val="clear" w:color="auto" w:fill="auto"/>
            <w:vAlign w:val="center"/>
          </w:tcPr>
          <w:p>
            <w:pPr>
              <w:widowControl/>
              <w:jc w:val="center"/>
              <w:textAlignment w:val="center"/>
              <w:rPr>
                <w:szCs w:val="21"/>
              </w:rPr>
            </w:pPr>
            <w:r>
              <w:rPr>
                <w:kern w:val="0"/>
                <w:szCs w:val="21"/>
              </w:rPr>
              <w:t>辆</w:t>
            </w:r>
          </w:p>
        </w:tc>
        <w:tc>
          <w:tcPr>
            <w:tcW w:w="889" w:type="pct"/>
            <w:shd w:val="clear" w:color="auto" w:fill="auto"/>
            <w:vAlign w:val="center"/>
          </w:tcPr>
          <w:p>
            <w:pPr>
              <w:widowControl/>
              <w:jc w:val="center"/>
              <w:textAlignment w:val="center"/>
              <w:rPr>
                <w:szCs w:val="21"/>
              </w:rPr>
            </w:pPr>
            <w:r>
              <w:rPr>
                <w:kern w:val="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5</w:t>
            </w:r>
          </w:p>
        </w:tc>
        <w:tc>
          <w:tcPr>
            <w:tcW w:w="2941" w:type="pct"/>
            <w:shd w:val="clear" w:color="auto" w:fill="auto"/>
            <w:vAlign w:val="center"/>
          </w:tcPr>
          <w:p>
            <w:pPr>
              <w:widowControl/>
              <w:textAlignment w:val="center"/>
              <w:rPr>
                <w:szCs w:val="21"/>
              </w:rPr>
            </w:pPr>
            <w:r>
              <w:rPr>
                <w:kern w:val="0"/>
                <w:szCs w:val="21"/>
              </w:rPr>
              <w:t>推土机</w:t>
            </w:r>
          </w:p>
        </w:tc>
        <w:tc>
          <w:tcPr>
            <w:tcW w:w="583" w:type="pct"/>
            <w:shd w:val="clear" w:color="auto" w:fill="auto"/>
            <w:vAlign w:val="center"/>
          </w:tcPr>
          <w:p>
            <w:pPr>
              <w:widowControl/>
              <w:jc w:val="center"/>
              <w:textAlignment w:val="center"/>
              <w:rPr>
                <w:szCs w:val="21"/>
              </w:rPr>
            </w:pPr>
            <w:r>
              <w:rPr>
                <w:kern w:val="0"/>
                <w:szCs w:val="21"/>
              </w:rPr>
              <w:t>辆</w:t>
            </w:r>
          </w:p>
        </w:tc>
        <w:tc>
          <w:tcPr>
            <w:tcW w:w="889" w:type="pct"/>
            <w:shd w:val="clear" w:color="auto" w:fill="auto"/>
            <w:vAlign w:val="center"/>
          </w:tcPr>
          <w:p>
            <w:pPr>
              <w:widowControl/>
              <w:jc w:val="center"/>
              <w:textAlignment w:val="center"/>
              <w:rPr>
                <w:szCs w:val="21"/>
              </w:rPr>
            </w:pPr>
            <w:r>
              <w:rPr>
                <w:kern w:val="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rFonts w:hint="eastAsia"/>
                <w:szCs w:val="21"/>
              </w:rPr>
              <w:t>三</w:t>
            </w:r>
          </w:p>
        </w:tc>
        <w:tc>
          <w:tcPr>
            <w:tcW w:w="2941" w:type="pct"/>
            <w:shd w:val="clear" w:color="auto" w:fill="auto"/>
            <w:vAlign w:val="center"/>
          </w:tcPr>
          <w:p>
            <w:pPr>
              <w:widowControl/>
              <w:textAlignment w:val="center"/>
              <w:rPr>
                <w:szCs w:val="21"/>
              </w:rPr>
            </w:pPr>
            <w:r>
              <w:rPr>
                <w:kern w:val="0"/>
                <w:szCs w:val="21"/>
              </w:rPr>
              <w:t>管理区工程</w:t>
            </w:r>
          </w:p>
        </w:tc>
        <w:tc>
          <w:tcPr>
            <w:tcW w:w="583" w:type="pct"/>
            <w:shd w:val="clear" w:color="auto" w:fill="auto"/>
            <w:vAlign w:val="center"/>
          </w:tcPr>
          <w:p>
            <w:pPr>
              <w:jc w:val="center"/>
              <w:rPr>
                <w:szCs w:val="21"/>
              </w:rPr>
            </w:pPr>
          </w:p>
        </w:tc>
        <w:tc>
          <w:tcPr>
            <w:tcW w:w="889" w:type="pct"/>
            <w:shd w:val="clear" w:color="auto" w:fill="auto"/>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1</w:t>
            </w:r>
          </w:p>
        </w:tc>
        <w:tc>
          <w:tcPr>
            <w:tcW w:w="2941" w:type="pct"/>
            <w:shd w:val="clear" w:color="auto" w:fill="auto"/>
            <w:vAlign w:val="center"/>
          </w:tcPr>
          <w:p>
            <w:pPr>
              <w:widowControl/>
              <w:textAlignment w:val="center"/>
              <w:rPr>
                <w:szCs w:val="21"/>
              </w:rPr>
            </w:pPr>
            <w:r>
              <w:rPr>
                <w:kern w:val="0"/>
                <w:szCs w:val="21"/>
              </w:rPr>
              <w:t>门卫、计量间</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2</w:t>
            </w:r>
          </w:p>
        </w:tc>
        <w:tc>
          <w:tcPr>
            <w:tcW w:w="2941" w:type="pct"/>
            <w:shd w:val="clear" w:color="auto" w:fill="auto"/>
            <w:vAlign w:val="center"/>
          </w:tcPr>
          <w:p>
            <w:pPr>
              <w:widowControl/>
              <w:textAlignment w:val="center"/>
              <w:rPr>
                <w:szCs w:val="21"/>
              </w:rPr>
            </w:pPr>
            <w:r>
              <w:rPr>
                <w:kern w:val="0"/>
                <w:szCs w:val="21"/>
              </w:rPr>
              <w:t>综合用房</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3</w:t>
            </w:r>
          </w:p>
        </w:tc>
        <w:tc>
          <w:tcPr>
            <w:tcW w:w="2941" w:type="pct"/>
            <w:shd w:val="clear" w:color="auto" w:fill="auto"/>
            <w:vAlign w:val="center"/>
          </w:tcPr>
          <w:p>
            <w:pPr>
              <w:widowControl/>
              <w:textAlignment w:val="center"/>
              <w:rPr>
                <w:szCs w:val="21"/>
              </w:rPr>
            </w:pPr>
            <w:r>
              <w:rPr>
                <w:kern w:val="0"/>
                <w:szCs w:val="21"/>
              </w:rPr>
              <w:t>附属用房</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312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5</w:t>
            </w:r>
          </w:p>
        </w:tc>
        <w:tc>
          <w:tcPr>
            <w:tcW w:w="2941" w:type="pct"/>
            <w:shd w:val="clear" w:color="auto" w:fill="auto"/>
            <w:vAlign w:val="center"/>
          </w:tcPr>
          <w:p>
            <w:pPr>
              <w:widowControl/>
              <w:textAlignment w:val="center"/>
              <w:rPr>
                <w:szCs w:val="21"/>
              </w:rPr>
            </w:pPr>
            <w:r>
              <w:rPr>
                <w:kern w:val="0"/>
                <w:szCs w:val="21"/>
              </w:rPr>
              <w:t>调节池</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3</w:t>
            </w:r>
          </w:p>
        </w:tc>
        <w:tc>
          <w:tcPr>
            <w:tcW w:w="889" w:type="pct"/>
            <w:shd w:val="clear" w:color="auto" w:fill="auto"/>
            <w:vAlign w:val="center"/>
          </w:tcPr>
          <w:p>
            <w:pPr>
              <w:widowControl/>
              <w:jc w:val="center"/>
              <w:textAlignment w:val="center"/>
              <w:rPr>
                <w:szCs w:val="21"/>
              </w:rPr>
            </w:pPr>
            <w:r>
              <w:rPr>
                <w:kern w:val="0"/>
                <w:szCs w:val="21"/>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6</w:t>
            </w:r>
          </w:p>
        </w:tc>
        <w:tc>
          <w:tcPr>
            <w:tcW w:w="2941" w:type="pct"/>
            <w:shd w:val="clear" w:color="auto" w:fill="auto"/>
            <w:vAlign w:val="center"/>
          </w:tcPr>
          <w:p>
            <w:pPr>
              <w:widowControl/>
              <w:textAlignment w:val="center"/>
              <w:rPr>
                <w:szCs w:val="21"/>
              </w:rPr>
            </w:pPr>
            <w:r>
              <w:rPr>
                <w:rStyle w:val="2221"/>
                <w:rFonts w:ascii="Times New Roman" w:hAnsi="Times New Roman" w:cs="Times New Roman"/>
                <w:color w:val="auto"/>
              </w:rPr>
              <w:t>电动伸缩大门</w:t>
            </w:r>
            <w:r>
              <w:rPr>
                <w:rStyle w:val="2224"/>
                <w:rFonts w:ascii="Times New Roman" w:hAnsi="Times New Roman" w:cs="Times New Roman"/>
                <w:color w:val="auto"/>
              </w:rPr>
              <w:t>7</w:t>
            </w:r>
            <w:r>
              <w:rPr>
                <w:rStyle w:val="2221"/>
                <w:rFonts w:hint="eastAsia" w:ascii="Times New Roman" w:hAnsi="Times New Roman" w:cs="Times New Roman"/>
                <w:color w:val="auto"/>
              </w:rPr>
              <w:t>m</w:t>
            </w:r>
            <w:r>
              <w:rPr>
                <w:rStyle w:val="2221"/>
                <w:rFonts w:ascii="Times New Roman" w:hAnsi="Times New Roman" w:cs="Times New Roman"/>
                <w:color w:val="auto"/>
              </w:rPr>
              <w:t>宽</w:t>
            </w:r>
          </w:p>
        </w:tc>
        <w:tc>
          <w:tcPr>
            <w:tcW w:w="583" w:type="pct"/>
            <w:shd w:val="clear" w:color="auto" w:fill="auto"/>
            <w:vAlign w:val="center"/>
          </w:tcPr>
          <w:p>
            <w:pPr>
              <w:widowControl/>
              <w:jc w:val="center"/>
              <w:textAlignment w:val="center"/>
              <w:rPr>
                <w:szCs w:val="21"/>
              </w:rPr>
            </w:pPr>
            <w:r>
              <w:rPr>
                <w:kern w:val="0"/>
                <w:szCs w:val="21"/>
              </w:rPr>
              <w:t>座</w:t>
            </w:r>
          </w:p>
        </w:tc>
        <w:tc>
          <w:tcPr>
            <w:tcW w:w="889" w:type="pct"/>
            <w:shd w:val="clear" w:color="auto" w:fill="auto"/>
            <w:vAlign w:val="center"/>
          </w:tcPr>
          <w:p>
            <w:pPr>
              <w:widowControl/>
              <w:jc w:val="center"/>
              <w:textAlignment w:val="center"/>
              <w:rPr>
                <w:szCs w:val="21"/>
              </w:rPr>
            </w:pPr>
            <w:r>
              <w:rPr>
                <w:kern w:val="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7</w:t>
            </w:r>
          </w:p>
        </w:tc>
        <w:tc>
          <w:tcPr>
            <w:tcW w:w="2941" w:type="pct"/>
            <w:shd w:val="clear" w:color="auto" w:fill="auto"/>
            <w:vAlign w:val="center"/>
          </w:tcPr>
          <w:p>
            <w:pPr>
              <w:widowControl/>
              <w:textAlignment w:val="center"/>
              <w:rPr>
                <w:szCs w:val="21"/>
              </w:rPr>
            </w:pPr>
            <w:r>
              <w:rPr>
                <w:kern w:val="0"/>
                <w:szCs w:val="21"/>
              </w:rPr>
              <w:t>蓄水池兼消防水池</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3</w:t>
            </w:r>
          </w:p>
        </w:tc>
        <w:tc>
          <w:tcPr>
            <w:tcW w:w="889" w:type="pct"/>
            <w:shd w:val="clear" w:color="auto" w:fill="auto"/>
            <w:vAlign w:val="center"/>
          </w:tcPr>
          <w:p>
            <w:pPr>
              <w:widowControl/>
              <w:jc w:val="center"/>
              <w:textAlignment w:val="center"/>
              <w:rPr>
                <w:szCs w:val="21"/>
              </w:rPr>
            </w:pPr>
            <w:r>
              <w:rPr>
                <w:kern w:val="0"/>
                <w:szCs w:val="21"/>
              </w:rPr>
              <w:t>225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8</w:t>
            </w:r>
          </w:p>
        </w:tc>
        <w:tc>
          <w:tcPr>
            <w:tcW w:w="2941" w:type="pct"/>
            <w:shd w:val="clear" w:color="auto" w:fill="auto"/>
            <w:vAlign w:val="center"/>
          </w:tcPr>
          <w:p>
            <w:pPr>
              <w:widowControl/>
              <w:textAlignment w:val="center"/>
              <w:rPr>
                <w:szCs w:val="21"/>
              </w:rPr>
            </w:pPr>
            <w:r>
              <w:rPr>
                <w:rStyle w:val="2224"/>
                <w:rFonts w:ascii="Times New Roman" w:hAnsi="Times New Roman" w:cs="Times New Roman"/>
                <w:color w:val="auto"/>
              </w:rPr>
              <w:t>2.5</w:t>
            </w:r>
            <w:r>
              <w:rPr>
                <w:rStyle w:val="2221"/>
                <w:rFonts w:hint="eastAsia"/>
                <w:color w:val="auto"/>
              </w:rPr>
              <w:t>m</w:t>
            </w:r>
            <w:r>
              <w:rPr>
                <w:rStyle w:val="2221"/>
                <w:rFonts w:ascii="Times New Roman" w:hAnsi="Times New Roman" w:cs="Times New Roman"/>
                <w:color w:val="auto"/>
              </w:rPr>
              <w:t>高网围栏</w:t>
            </w:r>
          </w:p>
        </w:tc>
        <w:tc>
          <w:tcPr>
            <w:tcW w:w="583" w:type="pct"/>
            <w:shd w:val="clear" w:color="auto" w:fill="auto"/>
            <w:vAlign w:val="center"/>
          </w:tcPr>
          <w:p>
            <w:pPr>
              <w:widowControl/>
              <w:jc w:val="center"/>
              <w:textAlignment w:val="center"/>
              <w:rPr>
                <w:szCs w:val="21"/>
              </w:rPr>
            </w:pPr>
            <w:r>
              <w:rPr>
                <w:kern w:val="0"/>
                <w:szCs w:val="21"/>
              </w:rPr>
              <w:t>m</w:t>
            </w:r>
          </w:p>
        </w:tc>
        <w:tc>
          <w:tcPr>
            <w:tcW w:w="889" w:type="pct"/>
            <w:shd w:val="clear" w:color="auto" w:fill="auto"/>
            <w:vAlign w:val="center"/>
          </w:tcPr>
          <w:p>
            <w:pPr>
              <w:widowControl/>
              <w:jc w:val="center"/>
              <w:textAlignment w:val="center"/>
              <w:rPr>
                <w:szCs w:val="21"/>
              </w:rPr>
            </w:pPr>
            <w:r>
              <w:rPr>
                <w:kern w:val="0"/>
                <w:szCs w:val="21"/>
              </w:rPr>
              <w:t>1185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9</w:t>
            </w:r>
          </w:p>
        </w:tc>
        <w:tc>
          <w:tcPr>
            <w:tcW w:w="2941" w:type="pct"/>
            <w:shd w:val="clear" w:color="auto" w:fill="auto"/>
            <w:vAlign w:val="center"/>
          </w:tcPr>
          <w:p>
            <w:pPr>
              <w:widowControl/>
              <w:textAlignment w:val="center"/>
              <w:rPr>
                <w:szCs w:val="21"/>
              </w:rPr>
            </w:pPr>
            <w:r>
              <w:rPr>
                <w:rStyle w:val="2224"/>
                <w:rFonts w:ascii="Times New Roman" w:hAnsi="Times New Roman" w:cs="Times New Roman"/>
                <w:color w:val="auto"/>
              </w:rPr>
              <w:t>6.0</w:t>
            </w:r>
            <w:r>
              <w:rPr>
                <w:rStyle w:val="2221"/>
                <w:rFonts w:hint="eastAsia"/>
                <w:color w:val="auto"/>
              </w:rPr>
              <w:t>m</w:t>
            </w:r>
            <w:r>
              <w:rPr>
                <w:rStyle w:val="2221"/>
                <w:rFonts w:ascii="Times New Roman" w:hAnsi="Times New Roman" w:cs="Times New Roman"/>
                <w:color w:val="auto"/>
              </w:rPr>
              <w:t>高防飞散网</w:t>
            </w:r>
          </w:p>
        </w:tc>
        <w:tc>
          <w:tcPr>
            <w:tcW w:w="583" w:type="pct"/>
            <w:shd w:val="clear" w:color="auto" w:fill="auto"/>
            <w:vAlign w:val="center"/>
          </w:tcPr>
          <w:p>
            <w:pPr>
              <w:widowControl/>
              <w:jc w:val="center"/>
              <w:textAlignment w:val="center"/>
              <w:rPr>
                <w:szCs w:val="21"/>
              </w:rPr>
            </w:pPr>
            <w:r>
              <w:rPr>
                <w:kern w:val="0"/>
                <w:szCs w:val="21"/>
              </w:rPr>
              <w:t>m</w:t>
            </w:r>
          </w:p>
        </w:tc>
        <w:tc>
          <w:tcPr>
            <w:tcW w:w="889" w:type="pct"/>
            <w:shd w:val="clear" w:color="auto" w:fill="auto"/>
            <w:vAlign w:val="center"/>
          </w:tcPr>
          <w:p>
            <w:pPr>
              <w:widowControl/>
              <w:jc w:val="center"/>
              <w:textAlignment w:val="center"/>
              <w:rPr>
                <w:szCs w:val="21"/>
              </w:rPr>
            </w:pPr>
            <w:r>
              <w:rPr>
                <w:kern w:val="0"/>
                <w:szCs w:val="21"/>
              </w:rPr>
              <w:t>810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10</w:t>
            </w:r>
          </w:p>
        </w:tc>
        <w:tc>
          <w:tcPr>
            <w:tcW w:w="2941" w:type="pct"/>
            <w:shd w:val="clear" w:color="auto" w:fill="auto"/>
            <w:vAlign w:val="center"/>
          </w:tcPr>
          <w:p>
            <w:pPr>
              <w:widowControl/>
              <w:textAlignment w:val="center"/>
              <w:rPr>
                <w:szCs w:val="21"/>
              </w:rPr>
            </w:pPr>
            <w:r>
              <w:rPr>
                <w:rStyle w:val="2221"/>
                <w:rFonts w:ascii="Times New Roman" w:hAnsi="Times New Roman" w:cs="Times New Roman"/>
                <w:color w:val="auto"/>
              </w:rPr>
              <w:t>截水沟（</w:t>
            </w:r>
            <w:r>
              <w:rPr>
                <w:rStyle w:val="2224"/>
                <w:rFonts w:ascii="Times New Roman" w:hAnsi="Times New Roman" w:cs="Times New Roman"/>
                <w:color w:val="auto"/>
              </w:rPr>
              <w:t>0.4x0.6m</w:t>
            </w:r>
            <w:r>
              <w:rPr>
                <w:rStyle w:val="2221"/>
                <w:rFonts w:ascii="Times New Roman" w:hAnsi="Times New Roman" w:cs="Times New Roman"/>
                <w:color w:val="auto"/>
              </w:rPr>
              <w:t>）</w:t>
            </w:r>
          </w:p>
        </w:tc>
        <w:tc>
          <w:tcPr>
            <w:tcW w:w="583" w:type="pct"/>
            <w:shd w:val="clear" w:color="auto" w:fill="auto"/>
            <w:vAlign w:val="center"/>
          </w:tcPr>
          <w:p>
            <w:pPr>
              <w:widowControl/>
              <w:jc w:val="center"/>
              <w:textAlignment w:val="center"/>
              <w:rPr>
                <w:szCs w:val="21"/>
              </w:rPr>
            </w:pPr>
            <w:r>
              <w:rPr>
                <w:kern w:val="0"/>
                <w:szCs w:val="21"/>
              </w:rPr>
              <w:t>m</w:t>
            </w:r>
          </w:p>
        </w:tc>
        <w:tc>
          <w:tcPr>
            <w:tcW w:w="889" w:type="pct"/>
            <w:shd w:val="clear" w:color="auto" w:fill="auto"/>
            <w:vAlign w:val="center"/>
          </w:tcPr>
          <w:p>
            <w:pPr>
              <w:widowControl/>
              <w:jc w:val="center"/>
              <w:textAlignment w:val="center"/>
              <w:rPr>
                <w:szCs w:val="21"/>
              </w:rPr>
            </w:pPr>
            <w:r>
              <w:rPr>
                <w:kern w:val="0"/>
                <w:szCs w:val="21"/>
              </w:rPr>
              <w:t>270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kern w:val="0"/>
                <w:szCs w:val="21"/>
              </w:rPr>
              <w:t>11</w:t>
            </w:r>
          </w:p>
        </w:tc>
        <w:tc>
          <w:tcPr>
            <w:tcW w:w="2941" w:type="pct"/>
            <w:shd w:val="clear" w:color="auto" w:fill="auto"/>
            <w:vAlign w:val="center"/>
          </w:tcPr>
          <w:p>
            <w:pPr>
              <w:widowControl/>
              <w:textAlignment w:val="center"/>
              <w:rPr>
                <w:szCs w:val="21"/>
              </w:rPr>
            </w:pPr>
            <w:r>
              <w:rPr>
                <w:kern w:val="0"/>
                <w:szCs w:val="21"/>
              </w:rPr>
              <w:t>汽车衡（120吨）</w:t>
            </w:r>
          </w:p>
        </w:tc>
        <w:tc>
          <w:tcPr>
            <w:tcW w:w="583" w:type="pct"/>
            <w:shd w:val="clear" w:color="auto" w:fill="auto"/>
            <w:vAlign w:val="center"/>
          </w:tcPr>
          <w:p>
            <w:pPr>
              <w:widowControl/>
              <w:jc w:val="center"/>
              <w:textAlignment w:val="center"/>
              <w:rPr>
                <w:szCs w:val="21"/>
              </w:rPr>
            </w:pPr>
            <w:r>
              <w:rPr>
                <w:kern w:val="0"/>
                <w:szCs w:val="21"/>
              </w:rPr>
              <w:t>套</w:t>
            </w:r>
          </w:p>
        </w:tc>
        <w:tc>
          <w:tcPr>
            <w:tcW w:w="889" w:type="pct"/>
            <w:shd w:val="clear" w:color="auto" w:fill="auto"/>
            <w:vAlign w:val="center"/>
          </w:tcPr>
          <w:p>
            <w:pPr>
              <w:widowControl/>
              <w:jc w:val="center"/>
              <w:textAlignment w:val="center"/>
              <w:rPr>
                <w:szCs w:val="21"/>
              </w:rPr>
            </w:pPr>
            <w:r>
              <w:rPr>
                <w:kern w:val="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550" w:hRule="atLeast"/>
        </w:trPr>
        <w:tc>
          <w:tcPr>
            <w:tcW w:w="587" w:type="pct"/>
            <w:shd w:val="clear" w:color="auto" w:fill="auto"/>
            <w:vAlign w:val="center"/>
          </w:tcPr>
          <w:p>
            <w:pPr>
              <w:widowControl/>
              <w:jc w:val="center"/>
              <w:textAlignment w:val="center"/>
              <w:rPr>
                <w:szCs w:val="21"/>
              </w:rPr>
            </w:pPr>
            <w:r>
              <w:rPr>
                <w:kern w:val="0"/>
                <w:szCs w:val="21"/>
              </w:rPr>
              <w:t>12</w:t>
            </w:r>
          </w:p>
        </w:tc>
        <w:tc>
          <w:tcPr>
            <w:tcW w:w="2941" w:type="pct"/>
            <w:shd w:val="clear" w:color="auto" w:fill="auto"/>
            <w:vAlign w:val="center"/>
          </w:tcPr>
          <w:p>
            <w:pPr>
              <w:widowControl/>
              <w:textAlignment w:val="center"/>
              <w:rPr>
                <w:szCs w:val="21"/>
              </w:rPr>
            </w:pPr>
            <w:r>
              <w:rPr>
                <w:kern w:val="0"/>
                <w:szCs w:val="21"/>
              </w:rPr>
              <w:t>管理站区域场地硬化（与混凝土道路做法一致）</w:t>
            </w:r>
          </w:p>
        </w:tc>
        <w:tc>
          <w:tcPr>
            <w:tcW w:w="583" w:type="pct"/>
            <w:shd w:val="clear" w:color="auto" w:fill="auto"/>
            <w:vAlign w:val="center"/>
          </w:tcPr>
          <w:p>
            <w:pPr>
              <w:widowControl/>
              <w:jc w:val="center"/>
              <w:textAlignment w:val="center"/>
              <w:rPr>
                <w:szCs w:val="21"/>
              </w:rPr>
            </w:pPr>
            <w:r>
              <w:rPr>
                <w:rStyle w:val="2224"/>
                <w:rFonts w:ascii="Times New Roman" w:hAnsi="Times New Roman" w:cs="Times New Roman"/>
                <w:color w:val="auto"/>
              </w:rPr>
              <w:t>m</w:t>
            </w:r>
            <w:r>
              <w:rPr>
                <w:rStyle w:val="2222"/>
                <w:rFonts w:ascii="Times New Roman" w:hAnsi="Times New Roman" w:cs="Times New Roman"/>
                <w:color w:val="auto"/>
              </w:rPr>
              <w:t>2</w:t>
            </w:r>
          </w:p>
        </w:tc>
        <w:tc>
          <w:tcPr>
            <w:tcW w:w="889" w:type="pct"/>
            <w:shd w:val="clear" w:color="auto" w:fill="auto"/>
            <w:vAlign w:val="center"/>
          </w:tcPr>
          <w:p>
            <w:pPr>
              <w:widowControl/>
              <w:jc w:val="center"/>
              <w:textAlignment w:val="center"/>
              <w:rPr>
                <w:szCs w:val="21"/>
              </w:rPr>
            </w:pPr>
            <w:r>
              <w:rPr>
                <w:kern w:val="0"/>
                <w:szCs w:val="21"/>
              </w:rPr>
              <w:t>2054.68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shd w:val="clear" w:color="auto" w:fill="auto"/>
            <w:vAlign w:val="center"/>
          </w:tcPr>
          <w:p>
            <w:pPr>
              <w:widowControl/>
              <w:jc w:val="center"/>
              <w:textAlignment w:val="center"/>
              <w:rPr>
                <w:szCs w:val="21"/>
              </w:rPr>
            </w:pPr>
            <w:r>
              <w:rPr>
                <w:rFonts w:hint="eastAsia"/>
                <w:szCs w:val="21"/>
              </w:rPr>
              <w:t>四</w:t>
            </w:r>
          </w:p>
        </w:tc>
        <w:tc>
          <w:tcPr>
            <w:tcW w:w="2941" w:type="pct"/>
            <w:shd w:val="clear" w:color="auto" w:fill="auto"/>
            <w:vAlign w:val="center"/>
          </w:tcPr>
          <w:p>
            <w:pPr>
              <w:widowControl/>
              <w:jc w:val="left"/>
              <w:textAlignment w:val="center"/>
              <w:rPr>
                <w:szCs w:val="21"/>
              </w:rPr>
            </w:pPr>
            <w:r>
              <w:rPr>
                <w:kern w:val="0"/>
                <w:szCs w:val="21"/>
              </w:rPr>
              <w:t>外网工程</w:t>
            </w:r>
          </w:p>
        </w:tc>
        <w:tc>
          <w:tcPr>
            <w:tcW w:w="583" w:type="pct"/>
            <w:shd w:val="clear" w:color="auto" w:fill="auto"/>
            <w:vAlign w:val="center"/>
          </w:tcPr>
          <w:p>
            <w:pPr>
              <w:rPr>
                <w:szCs w:val="21"/>
              </w:rPr>
            </w:pPr>
          </w:p>
        </w:tc>
        <w:tc>
          <w:tcPr>
            <w:tcW w:w="889" w:type="pct"/>
            <w:shd w:val="clear" w:color="auto" w:fill="auto"/>
            <w:vAlign w:val="center"/>
          </w:tcPr>
          <w:p>
            <w:pP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vAlign w:val="center"/>
          </w:tcPr>
          <w:p>
            <w:pPr>
              <w:widowControl/>
              <w:jc w:val="center"/>
              <w:textAlignment w:val="center"/>
              <w:rPr>
                <w:szCs w:val="21"/>
              </w:rPr>
            </w:pPr>
            <w:r>
              <w:rPr>
                <w:kern w:val="0"/>
                <w:szCs w:val="21"/>
              </w:rPr>
              <w:t>1</w:t>
            </w:r>
          </w:p>
        </w:tc>
        <w:tc>
          <w:tcPr>
            <w:tcW w:w="2941" w:type="pct"/>
            <w:vAlign w:val="center"/>
          </w:tcPr>
          <w:p>
            <w:pPr>
              <w:widowControl/>
              <w:textAlignment w:val="center"/>
              <w:rPr>
                <w:szCs w:val="21"/>
              </w:rPr>
            </w:pPr>
            <w:r>
              <w:rPr>
                <w:kern w:val="0"/>
                <w:szCs w:val="21"/>
              </w:rPr>
              <w:t>外网电气  (强电、电话、网络、有线电视）</w:t>
            </w:r>
          </w:p>
        </w:tc>
        <w:tc>
          <w:tcPr>
            <w:tcW w:w="583" w:type="pct"/>
            <w:vAlign w:val="center"/>
          </w:tcPr>
          <w:p>
            <w:pPr>
              <w:widowControl/>
              <w:jc w:val="center"/>
              <w:textAlignment w:val="center"/>
              <w:rPr>
                <w:szCs w:val="21"/>
              </w:rPr>
            </w:pPr>
            <w:r>
              <w:rPr>
                <w:kern w:val="0"/>
                <w:szCs w:val="21"/>
              </w:rPr>
              <w:t>项</w:t>
            </w:r>
          </w:p>
        </w:tc>
        <w:tc>
          <w:tcPr>
            <w:tcW w:w="889" w:type="pct"/>
            <w:vAlign w:val="center"/>
          </w:tcPr>
          <w:p>
            <w:pPr>
              <w:jc w:val="center"/>
              <w:rPr>
                <w:szCs w:val="21"/>
              </w:rPr>
            </w:pPr>
            <w:r>
              <w:rPr>
                <w:rFonts w:hint="eastAsia"/>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7" w:type="pct"/>
            <w:vAlign w:val="center"/>
          </w:tcPr>
          <w:p>
            <w:pPr>
              <w:widowControl/>
              <w:jc w:val="center"/>
              <w:textAlignment w:val="center"/>
              <w:rPr>
                <w:szCs w:val="21"/>
              </w:rPr>
            </w:pPr>
            <w:r>
              <w:rPr>
                <w:kern w:val="0"/>
                <w:szCs w:val="21"/>
              </w:rPr>
              <w:t>2</w:t>
            </w:r>
          </w:p>
        </w:tc>
        <w:tc>
          <w:tcPr>
            <w:tcW w:w="2941" w:type="pct"/>
            <w:vAlign w:val="center"/>
          </w:tcPr>
          <w:p>
            <w:pPr>
              <w:widowControl/>
              <w:textAlignment w:val="center"/>
              <w:rPr>
                <w:szCs w:val="21"/>
              </w:rPr>
            </w:pPr>
            <w:r>
              <w:rPr>
                <w:kern w:val="0"/>
                <w:szCs w:val="21"/>
              </w:rPr>
              <w:t>垃圾处理场附属用房区室外综合管线</w:t>
            </w:r>
          </w:p>
        </w:tc>
        <w:tc>
          <w:tcPr>
            <w:tcW w:w="583" w:type="pct"/>
            <w:vAlign w:val="center"/>
          </w:tcPr>
          <w:p>
            <w:pPr>
              <w:widowControl/>
              <w:jc w:val="center"/>
              <w:textAlignment w:val="center"/>
              <w:rPr>
                <w:szCs w:val="21"/>
              </w:rPr>
            </w:pPr>
            <w:r>
              <w:rPr>
                <w:kern w:val="0"/>
                <w:szCs w:val="21"/>
              </w:rPr>
              <w:t>项</w:t>
            </w:r>
          </w:p>
        </w:tc>
        <w:tc>
          <w:tcPr>
            <w:tcW w:w="889" w:type="pct"/>
            <w:vAlign w:val="center"/>
          </w:tcPr>
          <w:p>
            <w:pPr>
              <w:jc w:val="center"/>
              <w:rPr>
                <w:szCs w:val="21"/>
              </w:rPr>
            </w:pPr>
            <w:r>
              <w:rPr>
                <w:rFonts w:hint="eastAsia"/>
                <w:szCs w:val="21"/>
              </w:rPr>
              <w:t>1</w:t>
            </w:r>
          </w:p>
        </w:tc>
      </w:tr>
    </w:tbl>
    <w:p>
      <w:pPr>
        <w:pStyle w:val="831"/>
        <w:keepNext w:val="0"/>
        <w:spacing w:before="156" w:beforeLines="50" w:after="156" w:afterLines="50" w:line="360" w:lineRule="auto"/>
        <w:rPr>
          <w:rFonts w:cs="Times New Roman"/>
        </w:rPr>
      </w:pPr>
      <w:bookmarkStart w:id="168" w:name="_Toc143762312"/>
      <w:r>
        <w:rPr>
          <w:rFonts w:cs="Times New Roman"/>
        </w:rPr>
        <w:t>3.1.16</w:t>
      </w:r>
      <w:r>
        <w:rPr>
          <w:rFonts w:hint="eastAsia" w:cs="Times New Roman"/>
        </w:rPr>
        <w:t>现有项目存在环境问题</w:t>
      </w:r>
      <w:bookmarkEnd w:id="168"/>
    </w:p>
    <w:p>
      <w:pPr>
        <w:pStyle w:val="939"/>
        <w:ind w:firstLine="480"/>
        <w:rPr>
          <w:color w:val="FF0000"/>
        </w:rPr>
      </w:pPr>
      <w:r>
        <w:rPr>
          <w:rFonts w:hint="eastAsia"/>
          <w:color w:val="FF0000"/>
        </w:rPr>
        <w:t>1、存在环境问题</w:t>
      </w:r>
    </w:p>
    <w:p>
      <w:pPr>
        <w:pStyle w:val="939"/>
        <w:ind w:firstLine="480"/>
        <w:rPr>
          <w:color w:val="FF0000"/>
        </w:rPr>
      </w:pPr>
      <w:r>
        <w:rPr>
          <w:rFonts w:hint="eastAsia"/>
          <w:color w:val="FF0000"/>
        </w:rPr>
        <w:t>根据《生活垃圾填埋场污染控制标准》（G</w:t>
      </w:r>
      <w:r>
        <w:rPr>
          <w:color w:val="FF0000"/>
        </w:rPr>
        <w:t>B</w:t>
      </w:r>
      <w:r>
        <w:rPr>
          <w:rFonts w:hint="eastAsia"/>
          <w:color w:val="FF0000"/>
        </w:rPr>
        <w:t>1</w:t>
      </w:r>
      <w:r>
        <w:rPr>
          <w:color w:val="FF0000"/>
        </w:rPr>
        <w:t>6889-2008</w:t>
      </w:r>
      <w:r>
        <w:rPr>
          <w:rFonts w:hint="eastAsia"/>
          <w:color w:val="FF0000"/>
        </w:rPr>
        <w:t>）“</w:t>
      </w:r>
      <w:r>
        <w:rPr>
          <w:color w:val="FF0000"/>
        </w:rPr>
        <w:t>2011</w:t>
      </w:r>
      <w:r>
        <w:rPr>
          <w:rFonts w:hint="eastAsia"/>
          <w:color w:val="FF0000"/>
        </w:rPr>
        <w:t>年7月1日起，现有全部生活垃圾填埋场应自行处理生活垃圾渗滤液并执行表2规定的水污染排放质量浓度限值”。项目现有渗滤液产生量少，渗滤液拉运至五原县渗滤液处理站处理，未建设渗滤液处理站。</w:t>
      </w:r>
    </w:p>
    <w:p>
      <w:pPr>
        <w:pStyle w:val="939"/>
        <w:ind w:firstLine="480"/>
        <w:rPr>
          <w:color w:val="FF0000"/>
        </w:rPr>
      </w:pPr>
      <w:r>
        <w:rPr>
          <w:rFonts w:hint="eastAsia"/>
          <w:color w:val="FF0000"/>
        </w:rPr>
        <w:t>填埋场2019年投入运行，2</w:t>
      </w:r>
      <w:r>
        <w:rPr>
          <w:color w:val="FF0000"/>
        </w:rPr>
        <w:t>019</w:t>
      </w:r>
      <w:r>
        <w:rPr>
          <w:rFonts w:hint="eastAsia"/>
          <w:color w:val="FF0000"/>
        </w:rPr>
        <w:t>年、2</w:t>
      </w:r>
      <w:r>
        <w:rPr>
          <w:color w:val="FF0000"/>
        </w:rPr>
        <w:t>020</w:t>
      </w:r>
      <w:r>
        <w:rPr>
          <w:rFonts w:hint="eastAsia"/>
          <w:color w:val="FF0000"/>
        </w:rPr>
        <w:t>年未进行例行监测。</w:t>
      </w:r>
    </w:p>
    <w:p>
      <w:pPr>
        <w:pStyle w:val="939"/>
        <w:ind w:firstLine="480"/>
        <w:rPr>
          <w:color w:val="FF0000"/>
        </w:rPr>
      </w:pPr>
      <w:r>
        <w:rPr>
          <w:rFonts w:hint="eastAsia"/>
          <w:color w:val="FF0000"/>
        </w:rPr>
        <w:t>填埋场自备水井未办理取水许可证。</w:t>
      </w:r>
    </w:p>
    <w:p>
      <w:pPr>
        <w:pStyle w:val="939"/>
        <w:ind w:firstLine="480"/>
        <w:rPr>
          <w:color w:val="FF0000"/>
        </w:rPr>
      </w:pPr>
      <w:r>
        <w:rPr>
          <w:rFonts w:hint="eastAsia"/>
          <w:color w:val="FF0000"/>
        </w:rPr>
        <w:t>2、整改措施</w:t>
      </w:r>
    </w:p>
    <w:p>
      <w:pPr>
        <w:pStyle w:val="939"/>
        <w:ind w:firstLine="480"/>
        <w:rPr>
          <w:color w:val="FF0000"/>
        </w:rPr>
      </w:pPr>
      <w:r>
        <w:rPr>
          <w:rFonts w:hint="eastAsia"/>
          <w:color w:val="FF0000"/>
        </w:rPr>
        <w:t>建设一座3</w:t>
      </w:r>
      <w:r>
        <w:rPr>
          <w:color w:val="FF0000"/>
        </w:rPr>
        <w:t>m</w:t>
      </w:r>
      <w:r>
        <w:rPr>
          <w:color w:val="FF0000"/>
          <w:vertAlign w:val="superscript"/>
        </w:rPr>
        <w:t>3</w:t>
      </w:r>
      <w:r>
        <w:rPr>
          <w:color w:val="FF0000"/>
        </w:rPr>
        <w:t>/d</w:t>
      </w:r>
      <w:r>
        <w:rPr>
          <w:rFonts w:hint="eastAsia"/>
          <w:color w:val="FF0000"/>
        </w:rPr>
        <w:t>移动式渗滤液处理站。</w:t>
      </w:r>
    </w:p>
    <w:p>
      <w:pPr>
        <w:pStyle w:val="939"/>
        <w:ind w:firstLine="480"/>
        <w:rPr>
          <w:color w:val="FF0000"/>
        </w:rPr>
      </w:pPr>
      <w:bookmarkStart w:id="169" w:name="_Toc489432984"/>
      <w:r>
        <w:rPr>
          <w:rFonts w:hint="eastAsia"/>
          <w:color w:val="FF0000"/>
        </w:rPr>
        <w:t>加强环境管理，根据本次环评提出的监测计划，按要求进行例行监测。</w:t>
      </w:r>
    </w:p>
    <w:p>
      <w:pPr>
        <w:pStyle w:val="939"/>
        <w:ind w:firstLine="480"/>
        <w:rPr>
          <w:color w:val="FF0000"/>
        </w:rPr>
        <w:sectPr>
          <w:headerReference r:id="rId10" w:type="first"/>
          <w:footerReference r:id="rId12" w:type="first"/>
          <w:headerReference r:id="rId9" w:type="even"/>
          <w:footerReference r:id="rId11" w:type="even"/>
          <w:pgSz w:w="11906" w:h="16838"/>
          <w:pgMar w:top="1440" w:right="1800" w:bottom="1440" w:left="1800" w:header="851" w:footer="992" w:gutter="0"/>
          <w:cols w:space="720" w:num="1"/>
          <w:docGrid w:type="lines" w:linePitch="312" w:charSpace="0"/>
        </w:sectPr>
      </w:pPr>
      <w:r>
        <w:rPr>
          <w:rFonts w:hint="eastAsia"/>
          <w:color w:val="FF0000"/>
        </w:rPr>
        <w:t>办理自备水井取水许可证相关手续。</w:t>
      </w:r>
    </w:p>
    <w:p>
      <w:pPr>
        <w:pStyle w:val="347"/>
        <w:keepNext w:val="0"/>
        <w:topLinePunct w:val="0"/>
        <w:spacing w:before="156" w:beforeLines="50" w:after="156" w:afterLines="50" w:line="360" w:lineRule="auto"/>
        <w:rPr>
          <w:rFonts w:cs="Times New Roman"/>
        </w:rPr>
      </w:pPr>
      <w:bookmarkStart w:id="170" w:name="_Toc143762313"/>
      <w:r>
        <w:rPr>
          <w:rFonts w:cs="Times New Roman"/>
        </w:rPr>
        <w:t>3.</w:t>
      </w:r>
      <w:bookmarkEnd w:id="146"/>
      <w:bookmarkStart w:id="171" w:name="_Toc374365421"/>
      <w:r>
        <w:rPr>
          <w:rFonts w:cs="Times New Roman"/>
        </w:rPr>
        <w:t>2 工程分析</w:t>
      </w:r>
      <w:bookmarkEnd w:id="169"/>
      <w:bookmarkEnd w:id="170"/>
    </w:p>
    <w:bookmarkEnd w:id="171"/>
    <w:p>
      <w:pPr>
        <w:pStyle w:val="831"/>
        <w:spacing w:before="156" w:beforeLines="50" w:after="156" w:afterLines="50" w:line="360" w:lineRule="auto"/>
        <w:rPr>
          <w:rFonts w:cs="Times New Roman"/>
        </w:rPr>
      </w:pPr>
      <w:bookmarkStart w:id="172" w:name="_Toc489432985"/>
      <w:bookmarkStart w:id="173" w:name="_Toc143762314"/>
      <w:r>
        <w:rPr>
          <w:rFonts w:cs="Times New Roman"/>
        </w:rPr>
        <w:t>3.2.1工艺流程</w:t>
      </w:r>
      <w:bookmarkEnd w:id="172"/>
      <w:bookmarkEnd w:id="173"/>
    </w:p>
    <w:p>
      <w:pPr>
        <w:spacing w:line="360" w:lineRule="auto"/>
        <w:rPr>
          <w:b/>
          <w:sz w:val="24"/>
        </w:rPr>
      </w:pPr>
      <w:r>
        <w:rPr>
          <w:b/>
          <w:sz w:val="24"/>
        </w:rPr>
        <w:t>3.2.1.1填埋工艺</w:t>
      </w:r>
    </w:p>
    <w:p>
      <w:pPr>
        <w:spacing w:line="360" w:lineRule="auto"/>
        <w:ind w:firstLine="482" w:firstLineChars="200"/>
        <w:rPr>
          <w:b/>
          <w:sz w:val="24"/>
        </w:rPr>
      </w:pPr>
      <w:r>
        <w:rPr>
          <w:b/>
          <w:sz w:val="24"/>
        </w:rPr>
        <w:fldChar w:fldCharType="begin"/>
      </w:r>
      <w:r>
        <w:rPr>
          <w:b/>
          <w:sz w:val="24"/>
        </w:rPr>
        <w:instrText xml:space="preserve"> = 1 \* Arabic </w:instrText>
      </w:r>
      <w:r>
        <w:rPr>
          <w:b/>
          <w:sz w:val="24"/>
        </w:rPr>
        <w:fldChar w:fldCharType="separate"/>
      </w:r>
      <w:r>
        <w:rPr>
          <w:b/>
          <w:sz w:val="24"/>
        </w:rPr>
        <w:t>1</w:t>
      </w:r>
      <w:r>
        <w:rPr>
          <w:b/>
          <w:sz w:val="24"/>
        </w:rPr>
        <w:fldChar w:fldCharType="end"/>
      </w:r>
      <w:r>
        <w:rPr>
          <w:b/>
          <w:sz w:val="24"/>
        </w:rPr>
        <w:t>、填埋工艺流程</w:t>
      </w:r>
    </w:p>
    <w:p>
      <w:pPr>
        <w:spacing w:line="360" w:lineRule="auto"/>
        <w:ind w:firstLine="480" w:firstLineChars="200"/>
        <w:rPr>
          <w:sz w:val="24"/>
        </w:rPr>
      </w:pPr>
      <w:bookmarkStart w:id="174" w:name="_Toc424484410"/>
      <w:bookmarkStart w:id="175" w:name="_Toc423602129"/>
      <w:r>
        <w:rPr>
          <w:sz w:val="24"/>
        </w:rPr>
        <w:t>生活垃圾由环卫部门的垃圾运输车运至垃圾填埋场，经垃圾填埋场入口处的地磅称重检斤后进入垃圾填埋区，在现场人员的指挥下按填埋作业顺序进行卸料、布料、压实、洒药和覆土。</w:t>
      </w:r>
    </w:p>
    <w:p>
      <w:pPr>
        <w:spacing w:line="360" w:lineRule="auto"/>
        <w:ind w:firstLine="482" w:firstLineChars="200"/>
        <w:rPr>
          <w:b/>
          <w:sz w:val="24"/>
        </w:rPr>
      </w:pPr>
      <w:r>
        <w:rPr>
          <w:b/>
          <w:sz w:val="24"/>
        </w:rPr>
        <w:fldChar w:fldCharType="begin"/>
      </w:r>
      <w:r>
        <w:rPr>
          <w:b/>
          <w:sz w:val="24"/>
        </w:rPr>
        <w:instrText xml:space="preserve"> = 2 \* Arabic </w:instrText>
      </w:r>
      <w:r>
        <w:rPr>
          <w:b/>
          <w:sz w:val="24"/>
        </w:rPr>
        <w:fldChar w:fldCharType="separate"/>
      </w:r>
      <w:r>
        <w:rPr>
          <w:b/>
          <w:sz w:val="24"/>
        </w:rPr>
        <w:t>2</w:t>
      </w:r>
      <w:r>
        <w:rPr>
          <w:b/>
          <w:sz w:val="24"/>
        </w:rPr>
        <w:fldChar w:fldCharType="end"/>
      </w:r>
      <w:r>
        <w:rPr>
          <w:b/>
          <w:sz w:val="24"/>
        </w:rPr>
        <w:t>、产污分析</w:t>
      </w:r>
    </w:p>
    <w:p>
      <w:pPr>
        <w:spacing w:line="360" w:lineRule="auto"/>
        <w:ind w:firstLine="480" w:firstLineChars="200"/>
        <w:rPr>
          <w:sz w:val="24"/>
        </w:rPr>
      </w:pPr>
      <w:r>
        <w:rPr>
          <w:sz w:val="24"/>
        </w:rPr>
        <w:t>在填埋区卸料、布料和压实的过程中会产生噪声；覆土过程中产生噪声和扬尘；填埋区还需要喷洒杀虫剂进行灭虫；整个填埋区垃圾进入后则会产生填埋气体和渗滤液，从而也会散发出恶臭气味。具体产污见产污节点图3.2-1。</w:t>
      </w:r>
    </w:p>
    <w:p>
      <w:pPr>
        <w:spacing w:line="360" w:lineRule="auto"/>
        <w:jc w:val="center"/>
        <w:rPr>
          <w:sz w:val="24"/>
        </w:rPr>
      </w:pPr>
      <w:r>
        <w:rPr>
          <w:sz w:val="24"/>
        </w:rPr>
        <w:drawing>
          <wp:inline distT="0" distB="0" distL="0" distR="0">
            <wp:extent cx="5486400" cy="268414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487427" cy="2684647"/>
                    </a:xfrm>
                    <a:prstGeom prst="rect">
                      <a:avLst/>
                    </a:prstGeom>
                    <a:noFill/>
                    <a:ln>
                      <a:noFill/>
                    </a:ln>
                  </pic:spPr>
                </pic:pic>
              </a:graphicData>
            </a:graphic>
          </wp:inline>
        </w:drawing>
      </w:r>
    </w:p>
    <w:p>
      <w:pPr>
        <w:adjustRightInd w:val="0"/>
        <w:snapToGrid w:val="0"/>
        <w:spacing w:before="156" w:beforeLines="50" w:line="360" w:lineRule="auto"/>
        <w:jc w:val="center"/>
        <w:rPr>
          <w:b/>
          <w:sz w:val="24"/>
        </w:rPr>
      </w:pPr>
      <w:r>
        <w:rPr>
          <w:b/>
          <w:sz w:val="24"/>
        </w:rPr>
        <w:t>图3.2-1  填埋工艺产污节点图</w:t>
      </w:r>
    </w:p>
    <w:p>
      <w:pPr>
        <w:adjustRightInd w:val="0"/>
        <w:snapToGrid w:val="0"/>
        <w:spacing w:before="156" w:beforeLines="50" w:line="360" w:lineRule="auto"/>
        <w:rPr>
          <w:b/>
          <w:sz w:val="24"/>
        </w:rPr>
      </w:pPr>
      <w:r>
        <w:rPr>
          <w:b/>
          <w:sz w:val="24"/>
        </w:rPr>
        <w:t>3.2.1.2渗滤液处理站处理工艺</w:t>
      </w:r>
    </w:p>
    <w:p>
      <w:pPr>
        <w:adjustRightInd w:val="0"/>
        <w:snapToGrid w:val="0"/>
        <w:spacing w:line="360" w:lineRule="auto"/>
        <w:ind w:firstLine="480" w:firstLineChars="200"/>
        <w:rPr>
          <w:sz w:val="24"/>
        </w:rPr>
      </w:pPr>
      <w:r>
        <w:rPr>
          <w:rFonts w:hint="eastAsia"/>
          <w:sz w:val="24"/>
        </w:rPr>
        <w:t>项目现渗滤液产生量少，未建设渗滤液处理站，垃圾渗滤液全部运往五原县隆兴昌镇生活垃圾处理厂渗滤液处理设施处理。根据《生活垃圾填埋场污染控制标准》（GB16889-2008）要求，现有全部生活垃圾填埋场应自行处理生活垃圾渗滤液，综上所述</w:t>
      </w:r>
      <w:r>
        <w:rPr>
          <w:sz w:val="24"/>
        </w:rPr>
        <w:t>本项目应自行建设生活垃圾渗滤液处理系统</w:t>
      </w:r>
      <w:r>
        <w:rPr>
          <w:rFonts w:hint="eastAsia"/>
          <w:sz w:val="24"/>
        </w:rPr>
        <w:t>。</w:t>
      </w:r>
    </w:p>
    <w:p>
      <w:pPr>
        <w:adjustRightInd w:val="0"/>
        <w:snapToGrid w:val="0"/>
        <w:spacing w:line="360" w:lineRule="auto"/>
        <w:ind w:firstLine="480" w:firstLineChars="200"/>
        <w:rPr>
          <w:color w:val="FF0000"/>
          <w:sz w:val="24"/>
        </w:rPr>
      </w:pPr>
      <w:r>
        <w:rPr>
          <w:rFonts w:hint="eastAsia"/>
          <w:sz w:val="24"/>
        </w:rPr>
        <w:t>由于五原县隆兴昌镇生活垃圾无害化填埋场渗滤液处理工程已通过环保验收，且与项目所处地理位置、季节、地方气候、垃圾成份相似，因此参考隆兴昌镇生活垃圾无害化填埋场渗滤液站处理工艺建设。</w:t>
      </w:r>
      <w:r>
        <w:rPr>
          <w:rFonts w:hint="eastAsia"/>
          <w:color w:val="FF0000"/>
          <w:sz w:val="24"/>
        </w:rPr>
        <w:t>设计规模的确定根据实际情况，考虑经济性、合理性。由于水量变化幅度较大，根据实际渗滤液的产生情况，再加上场区生活污水，考虑到调节池的调蓄作用，渗滤液处理站废水的处理规模定为3m</w:t>
      </w:r>
      <w:r>
        <w:rPr>
          <w:rFonts w:hint="eastAsia"/>
          <w:color w:val="FF0000"/>
          <w:sz w:val="24"/>
          <w:vertAlign w:val="superscript"/>
        </w:rPr>
        <w:t>3</w:t>
      </w:r>
      <w:r>
        <w:rPr>
          <w:rFonts w:hint="eastAsia"/>
          <w:color w:val="FF0000"/>
          <w:sz w:val="24"/>
        </w:rPr>
        <w:t>/d。</w:t>
      </w:r>
    </w:p>
    <w:p>
      <w:pPr>
        <w:adjustRightInd w:val="0"/>
        <w:snapToGrid w:val="0"/>
        <w:spacing w:line="360" w:lineRule="auto"/>
        <w:ind w:firstLine="480" w:firstLineChars="200"/>
        <w:rPr>
          <w:color w:val="FF0000"/>
          <w:sz w:val="24"/>
        </w:rPr>
      </w:pPr>
      <w:r>
        <w:rPr>
          <w:rFonts w:hint="eastAsia"/>
          <w:color w:val="FF0000"/>
          <w:sz w:val="24"/>
        </w:rPr>
        <w:t>本项目渗滤液处理站拟采用“预处理</w:t>
      </w:r>
      <w:r>
        <w:rPr>
          <w:color w:val="FF0000"/>
          <w:sz w:val="24"/>
        </w:rPr>
        <w:t>+</w:t>
      </w:r>
      <w:r>
        <w:rPr>
          <w:rFonts w:hint="eastAsia"/>
          <w:color w:val="FF0000"/>
          <w:sz w:val="24"/>
        </w:rPr>
        <w:t>一级</w:t>
      </w:r>
      <w:r>
        <w:rPr>
          <w:color w:val="FF0000"/>
          <w:sz w:val="24"/>
        </w:rPr>
        <w:t>DTRO+</w:t>
      </w:r>
      <w:r>
        <w:rPr>
          <w:rFonts w:hint="eastAsia"/>
          <w:color w:val="FF0000"/>
          <w:sz w:val="24"/>
        </w:rPr>
        <w:t>二级</w:t>
      </w:r>
      <w:r>
        <w:rPr>
          <w:color w:val="FF0000"/>
          <w:sz w:val="24"/>
        </w:rPr>
        <w:t>DTRO+</w:t>
      </w:r>
      <w:r>
        <w:rPr>
          <w:rFonts w:hint="eastAsia"/>
          <w:color w:val="FF0000"/>
          <w:sz w:val="24"/>
        </w:rPr>
        <w:t>清水脱气及</w:t>
      </w:r>
      <w:r>
        <w:rPr>
          <w:color w:val="FF0000"/>
          <w:sz w:val="24"/>
        </w:rPr>
        <w:t>pH</w:t>
      </w:r>
      <w:r>
        <w:rPr>
          <w:rFonts w:hint="eastAsia"/>
          <w:color w:val="FF0000"/>
          <w:sz w:val="24"/>
        </w:rPr>
        <w:t>调节</w:t>
      </w:r>
      <w:r>
        <w:rPr>
          <w:color w:val="FF0000"/>
          <w:sz w:val="24"/>
        </w:rPr>
        <w:t>+</w:t>
      </w:r>
      <w:r>
        <w:rPr>
          <w:rFonts w:hint="eastAsia"/>
          <w:color w:val="FF0000"/>
          <w:sz w:val="24"/>
        </w:rPr>
        <w:t>消毒”工艺处理渗滤液，处理能力</w:t>
      </w:r>
      <w:r>
        <w:rPr>
          <w:color w:val="FF0000"/>
          <w:sz w:val="24"/>
        </w:rPr>
        <w:t>3m</w:t>
      </w:r>
      <w:r>
        <w:rPr>
          <w:color w:val="FF0000"/>
          <w:sz w:val="24"/>
          <w:vertAlign w:val="superscript"/>
        </w:rPr>
        <w:t>3</w:t>
      </w:r>
      <w:r>
        <w:rPr>
          <w:color w:val="FF0000"/>
          <w:sz w:val="24"/>
        </w:rPr>
        <w:t>/d</w:t>
      </w:r>
      <w:r>
        <w:rPr>
          <w:rFonts w:hint="eastAsia"/>
          <w:color w:val="FF0000"/>
          <w:sz w:val="24"/>
        </w:rPr>
        <w:t>。处理后水质满足《生活垃圾填埋污染控制标准》（</w:t>
      </w:r>
      <w:r>
        <w:rPr>
          <w:color w:val="FF0000"/>
          <w:sz w:val="24"/>
        </w:rPr>
        <w:t>GB16889-2008</w:t>
      </w:r>
      <w:r>
        <w:rPr>
          <w:rFonts w:hint="eastAsia"/>
          <w:color w:val="FF0000"/>
          <w:sz w:val="24"/>
        </w:rPr>
        <w:t>）表</w:t>
      </w:r>
      <w:r>
        <w:rPr>
          <w:color w:val="FF0000"/>
          <w:sz w:val="24"/>
        </w:rPr>
        <w:t>2</w:t>
      </w:r>
      <w:r>
        <w:rPr>
          <w:rFonts w:hint="eastAsia"/>
          <w:color w:val="FF0000"/>
          <w:sz w:val="24"/>
        </w:rPr>
        <w:t>标准及《城市污水再生利用城市杂用水水质》（</w:t>
      </w:r>
      <w:r>
        <w:rPr>
          <w:color w:val="FF0000"/>
          <w:sz w:val="24"/>
        </w:rPr>
        <w:t>GB/T18920-2020</w:t>
      </w:r>
      <w:r>
        <w:rPr>
          <w:rFonts w:hint="eastAsia"/>
          <w:color w:val="FF0000"/>
          <w:sz w:val="24"/>
        </w:rPr>
        <w:t>）水质要求，用于绿化、填埋场洒水抑尘；浓缩液回喷于填埋场。由于填埋场现已建成，考虑到现场布局限制及管道建设成本，设计采用移动式渗滤液处理站，由吸污车定期排入渗滤液处理站处理。</w:t>
      </w:r>
    </w:p>
    <w:p>
      <w:pPr>
        <w:adjustRightInd w:val="0"/>
        <w:snapToGrid w:val="0"/>
        <w:spacing w:line="360" w:lineRule="auto"/>
        <w:ind w:firstLine="480" w:firstLineChars="200"/>
        <w:rPr>
          <w:sz w:val="24"/>
        </w:rPr>
      </w:pPr>
      <w:r>
        <w:rPr>
          <w:rFonts w:hint="eastAsia"/>
          <w:sz w:val="24"/>
        </w:rPr>
        <w:t>渗滤液处理站工艺如下：</w:t>
      </w:r>
    </w:p>
    <w:p>
      <w:pPr>
        <w:adjustRightInd w:val="0"/>
        <w:snapToGrid w:val="0"/>
        <w:spacing w:line="360" w:lineRule="auto"/>
        <w:ind w:firstLine="480" w:firstLineChars="200"/>
        <w:rPr>
          <w:sz w:val="24"/>
        </w:rPr>
      </w:pPr>
      <w:r>
        <w:rPr>
          <w:rFonts w:hint="eastAsia" w:ascii="宋体" w:hAnsi="宋体"/>
          <w:sz w:val="24"/>
        </w:rPr>
        <w:t>①</w:t>
      </w:r>
      <w:r>
        <w:rPr>
          <w:rFonts w:ascii="宋体" w:hAnsi="宋体"/>
          <w:sz w:val="24"/>
        </w:rPr>
        <w:t>预处理</w:t>
      </w:r>
    </w:p>
    <w:p>
      <w:pPr>
        <w:adjustRightInd w:val="0"/>
        <w:snapToGrid w:val="0"/>
        <w:spacing w:line="360" w:lineRule="auto"/>
        <w:ind w:firstLine="480" w:firstLineChars="200"/>
        <w:rPr>
          <w:sz w:val="24"/>
        </w:rPr>
      </w:pPr>
      <w:r>
        <w:rPr>
          <w:rFonts w:ascii="宋体" w:hAnsi="宋体"/>
          <w:sz w:val="24"/>
        </w:rPr>
        <w:t>渗滤液</w:t>
      </w:r>
      <w:r>
        <w:rPr>
          <w:sz w:val="24"/>
        </w:rPr>
        <w:t>pH</w:t>
      </w:r>
      <w:r>
        <w:rPr>
          <w:rFonts w:ascii="宋体" w:hAnsi="宋体"/>
          <w:sz w:val="24"/>
        </w:rPr>
        <w:t>值随着厂龄的增加、环境等各种条件的变化而变化，其组成成份复杂，存在各种钙、镁、钡、硅等各种难溶盐，这些难溶无机盐进入反渗透系统后被高倍浓缩，当其浓度超过该条件下的溶解度时将会在膜表面产生结垢现象。而调节原水</w:t>
      </w:r>
      <w:r>
        <w:rPr>
          <w:sz w:val="24"/>
        </w:rPr>
        <w:t>pH</w:t>
      </w:r>
      <w:r>
        <w:rPr>
          <w:rFonts w:ascii="宋体" w:hAnsi="宋体"/>
          <w:sz w:val="24"/>
        </w:rPr>
        <w:t>值能有效防止碳酸盐类无机盐的结垢，故在进入反渗透前须对原水进行</w:t>
      </w:r>
      <w:r>
        <w:rPr>
          <w:sz w:val="24"/>
        </w:rPr>
        <w:t>pH</w:t>
      </w:r>
      <w:r>
        <w:rPr>
          <w:rFonts w:ascii="宋体" w:hAnsi="宋体"/>
          <w:sz w:val="24"/>
        </w:rPr>
        <w:t>值调节。</w:t>
      </w:r>
    </w:p>
    <w:p>
      <w:pPr>
        <w:adjustRightInd w:val="0"/>
        <w:snapToGrid w:val="0"/>
        <w:spacing w:line="360" w:lineRule="auto"/>
        <w:ind w:firstLine="480" w:firstLineChars="200"/>
        <w:rPr>
          <w:sz w:val="24"/>
        </w:rPr>
      </w:pPr>
      <w:r>
        <w:rPr>
          <w:rFonts w:ascii="宋体" w:hAnsi="宋体"/>
          <w:sz w:val="24"/>
        </w:rPr>
        <w:t>调节池出水泵入反渗透系统的原水罐，在原水罐中通过加酸，调节</w:t>
      </w:r>
      <w:r>
        <w:rPr>
          <w:sz w:val="24"/>
        </w:rPr>
        <w:t>pH</w:t>
      </w:r>
      <w:r>
        <w:rPr>
          <w:rFonts w:ascii="宋体" w:hAnsi="宋体"/>
          <w:sz w:val="24"/>
        </w:rPr>
        <w:t>，原水罐的出水经原水泵加压后再进入石英砂过滤器，砂滤器数量按具体处理规模确定，其过滤精度为</w:t>
      </w:r>
      <w:r>
        <w:rPr>
          <w:sz w:val="24"/>
        </w:rPr>
        <w:t>50μm</w:t>
      </w:r>
      <w:r>
        <w:rPr>
          <w:rFonts w:ascii="宋体" w:hAnsi="宋体"/>
          <w:sz w:val="24"/>
        </w:rPr>
        <w:t>。砂滤器进、出水端都有压力表，当压差超过</w:t>
      </w:r>
      <w:r>
        <w:rPr>
          <w:sz w:val="24"/>
        </w:rPr>
        <w:t>2.5bar</w:t>
      </w:r>
      <w:r>
        <w:rPr>
          <w:rFonts w:ascii="宋体" w:hAnsi="宋体"/>
          <w:sz w:val="24"/>
        </w:rPr>
        <w:t>的时候须执行反洗程序。砂滤器反冲洗的频率取决于进水的悬浮物含量，对一般的垃圾填埋场，砂滤器反冲洗周期约</w:t>
      </w:r>
      <w:r>
        <w:rPr>
          <w:sz w:val="24"/>
        </w:rPr>
        <w:t>100</w:t>
      </w:r>
      <w:r>
        <w:rPr>
          <w:rFonts w:ascii="宋体" w:hAnsi="宋体"/>
          <w:sz w:val="24"/>
        </w:rPr>
        <w:t>小时左右，对于</w:t>
      </w:r>
      <w:r>
        <w:rPr>
          <w:sz w:val="24"/>
        </w:rPr>
        <w:t>SS</w:t>
      </w:r>
      <w:r>
        <w:rPr>
          <w:rFonts w:ascii="宋体" w:hAnsi="宋体"/>
          <w:sz w:val="24"/>
        </w:rPr>
        <w:t>值比较低的原水，砂滤运行</w:t>
      </w:r>
      <w:r>
        <w:rPr>
          <w:sz w:val="24"/>
        </w:rPr>
        <w:t>100</w:t>
      </w:r>
      <w:r>
        <w:rPr>
          <w:rFonts w:ascii="宋体" w:hAnsi="宋体"/>
          <w:sz w:val="24"/>
        </w:rPr>
        <w:t>小时后若压差未超过</w:t>
      </w:r>
      <w:r>
        <w:rPr>
          <w:sz w:val="24"/>
        </w:rPr>
        <w:t>2.5bar</w:t>
      </w:r>
      <w:r>
        <w:rPr>
          <w:rFonts w:ascii="宋体" w:hAnsi="宋体"/>
          <w:sz w:val="24"/>
        </w:rPr>
        <w:t>也须进行反冲洗，以避免石英砂的过度压实及板结现象，两者以先到时间为自动激活砂滤反洗时间。砂滤水洗采用原水清洗；气洗使用旋片压缩机产生的压缩空气。</w:t>
      </w:r>
    </w:p>
    <w:p>
      <w:pPr>
        <w:adjustRightInd w:val="0"/>
        <w:snapToGrid w:val="0"/>
        <w:spacing w:line="360" w:lineRule="auto"/>
        <w:ind w:firstLine="480" w:firstLineChars="200"/>
        <w:rPr>
          <w:sz w:val="24"/>
        </w:rPr>
      </w:pPr>
      <w:r>
        <w:rPr>
          <w:rFonts w:ascii="宋体" w:hAnsi="宋体"/>
          <w:sz w:val="24"/>
        </w:rPr>
        <w:t>砂滤出水后进入芯式过滤器，对于渗滤液级系统，由于原水中钙、镁、钡等易结垢离子和硅酸盐含量高，经</w:t>
      </w:r>
      <w:r>
        <w:rPr>
          <w:sz w:val="24"/>
        </w:rPr>
        <w:t>DT</w:t>
      </w:r>
      <w:r>
        <w:rPr>
          <w:rFonts w:ascii="宋体" w:hAnsi="宋体"/>
          <w:sz w:val="24"/>
        </w:rPr>
        <w:t>膜组件高倍浓缩后这些盐容易在浓缩液侧出现过饱和状态，所以根据实际水质情况在芯式过滤器前加入一定量的阻垢剂防止硅垢及硫酸盐结垢现象的发生，具体添加量由原水水质分析情况确定，阻垢剂应加</w:t>
      </w:r>
      <w:r>
        <w:rPr>
          <w:sz w:val="24"/>
        </w:rPr>
        <w:t>20</w:t>
      </w:r>
      <w:r>
        <w:rPr>
          <w:rFonts w:ascii="宋体" w:hAnsi="宋体"/>
          <w:sz w:val="24"/>
        </w:rPr>
        <w:t>倍水进行稀释后使用。芯式过滤器为膜柱提供最后一道保护屏障，芯式过滤器的精度为</w:t>
      </w:r>
      <w:r>
        <w:rPr>
          <w:sz w:val="24"/>
        </w:rPr>
        <w:t>10μm</w:t>
      </w:r>
      <w:r>
        <w:rPr>
          <w:rFonts w:ascii="宋体" w:hAnsi="宋体"/>
          <w:sz w:val="24"/>
        </w:rPr>
        <w:t>。同样，芯式过滤器的数量同砂滤一样按具体处理规模确定。</w:t>
      </w:r>
    </w:p>
    <w:p>
      <w:pPr>
        <w:adjustRightInd w:val="0"/>
        <w:snapToGrid w:val="0"/>
        <w:spacing w:line="360" w:lineRule="auto"/>
        <w:ind w:firstLine="480" w:firstLineChars="200"/>
        <w:rPr>
          <w:sz w:val="24"/>
        </w:rPr>
      </w:pPr>
      <w:r>
        <w:rPr>
          <w:rFonts w:hint="eastAsia" w:ascii="宋体" w:hAnsi="宋体"/>
          <w:sz w:val="24"/>
        </w:rPr>
        <w:t>②</w:t>
      </w:r>
      <w:r>
        <w:rPr>
          <w:rFonts w:ascii="宋体" w:hAnsi="宋体"/>
          <w:sz w:val="24"/>
        </w:rPr>
        <w:t>一级</w:t>
      </w:r>
      <w:r>
        <w:rPr>
          <w:sz w:val="24"/>
        </w:rPr>
        <w:t>DTRO</w:t>
      </w:r>
    </w:p>
    <w:p>
      <w:pPr>
        <w:adjustRightInd w:val="0"/>
        <w:snapToGrid w:val="0"/>
        <w:spacing w:line="360" w:lineRule="auto"/>
        <w:ind w:firstLine="480" w:firstLineChars="200"/>
        <w:rPr>
          <w:sz w:val="24"/>
        </w:rPr>
      </w:pPr>
      <w:r>
        <w:rPr>
          <w:rFonts w:ascii="宋体" w:hAnsi="宋体"/>
          <w:sz w:val="24"/>
        </w:rPr>
        <w:t>经过芯式过滤器的渗滤液直接进入高压柱塞泵。</w:t>
      </w:r>
      <w:r>
        <w:rPr>
          <w:sz w:val="24"/>
        </w:rPr>
        <w:t>DT</w:t>
      </w:r>
      <w:r>
        <w:rPr>
          <w:rFonts w:ascii="宋体" w:hAnsi="宋体"/>
          <w:sz w:val="24"/>
        </w:rPr>
        <w:t>膜系统每台柱塞泵后边都有一个减震器，用于吸收高压泵产生的压力脉冲，给反渗透膜柱提供平稳的压力。经高压泵后的出水进入在线泵或膜柱。由于高压泵流量不足以向膜柱直接供水，所以通过在线泵将膜柱出口一部份浓缩液回流至在线泵入口以保证膜表面足够的流量和流速，避免膜污染。在线泵流出的高压力及高流量水直接进入膜柱。</w:t>
      </w:r>
    </w:p>
    <w:p>
      <w:pPr>
        <w:spacing w:line="360" w:lineRule="auto"/>
        <w:ind w:firstLine="480" w:firstLineChars="200"/>
        <w:rPr>
          <w:sz w:val="24"/>
        </w:rPr>
      </w:pPr>
      <w:r>
        <w:rPr>
          <w:rFonts w:ascii="宋体" w:hAnsi="宋体"/>
          <w:sz w:val="24"/>
        </w:rPr>
        <w:t>膜柱组出水分为两部分－浓缩液和透过液，浓缩液端有一个压力调节阀，用于控制膜组内的压力，以产生必要的净水回收率。透过液进入二级膜柱进一步处理。浓缩液排入浓缩液储池，等待回灌或外运处置。</w:t>
      </w:r>
    </w:p>
    <w:p>
      <w:pPr>
        <w:spacing w:line="360" w:lineRule="auto"/>
        <w:ind w:firstLine="480" w:firstLineChars="200"/>
        <w:rPr>
          <w:sz w:val="24"/>
        </w:rPr>
      </w:pPr>
      <w:r>
        <w:rPr>
          <w:rFonts w:hint="eastAsia" w:ascii="宋体" w:hAnsi="宋体"/>
          <w:sz w:val="24"/>
        </w:rPr>
        <w:t>③</w:t>
      </w:r>
      <w:r>
        <w:rPr>
          <w:rFonts w:ascii="宋体" w:hAnsi="宋体"/>
          <w:sz w:val="24"/>
        </w:rPr>
        <w:t>二级</w:t>
      </w:r>
      <w:r>
        <w:rPr>
          <w:sz w:val="24"/>
        </w:rPr>
        <w:t>DTRO</w:t>
      </w:r>
    </w:p>
    <w:p>
      <w:pPr>
        <w:spacing w:line="360" w:lineRule="auto"/>
        <w:ind w:firstLine="480" w:firstLineChars="200"/>
        <w:rPr>
          <w:sz w:val="24"/>
        </w:rPr>
      </w:pPr>
      <w:r>
        <w:rPr>
          <w:rFonts w:ascii="宋体" w:hAnsi="宋体"/>
          <w:sz w:val="24"/>
        </w:rPr>
        <w:t>第二级</w:t>
      </w:r>
      <w:r>
        <w:rPr>
          <w:sz w:val="24"/>
        </w:rPr>
        <w:t>DT</w:t>
      </w:r>
      <w:r>
        <w:rPr>
          <w:rFonts w:ascii="宋体" w:hAnsi="宋体"/>
          <w:sz w:val="24"/>
        </w:rPr>
        <w:t>膜系统用于对一级</w:t>
      </w:r>
      <w:r>
        <w:rPr>
          <w:sz w:val="24"/>
        </w:rPr>
        <w:t>DT</w:t>
      </w:r>
      <w:r>
        <w:rPr>
          <w:rFonts w:ascii="宋体" w:hAnsi="宋体"/>
          <w:sz w:val="24"/>
        </w:rPr>
        <w:t>膜系统透过液的进一步处理，因此又称为透过液级，经一级</w:t>
      </w:r>
      <w:r>
        <w:rPr>
          <w:sz w:val="24"/>
        </w:rPr>
        <w:t>DT</w:t>
      </w:r>
      <w:r>
        <w:rPr>
          <w:rFonts w:ascii="宋体" w:hAnsi="宋体"/>
          <w:sz w:val="24"/>
        </w:rPr>
        <w:t>膜系统处理后的透过液无需添加任何药剂直接送入二级</w:t>
      </w:r>
      <w:r>
        <w:rPr>
          <w:sz w:val="24"/>
        </w:rPr>
        <w:t>DT</w:t>
      </w:r>
      <w:r>
        <w:rPr>
          <w:rFonts w:ascii="宋体" w:hAnsi="宋体"/>
          <w:sz w:val="24"/>
        </w:rPr>
        <w:t>膜系统高压泵，一级与二级之间无须设置缓冲罐，系统运行时流量自动匹配。第二级高压泵设置了变频控制，二级高压泵运行频率和输出流量将根据一级透过液流量传感器反馈值自动匹配，同时二级高压泵入口管路设置了浓缩液自补偿，使得二级系统的运行不受一级系统产水量的影响。第二级反渗透不需要在线增压泵，由于其进水电导率比较低，回收率比较高，仅仅使用高压泵就可以满足要求。</w:t>
      </w:r>
    </w:p>
    <w:p>
      <w:pPr>
        <w:spacing w:line="360" w:lineRule="auto"/>
        <w:ind w:firstLine="480" w:firstLineChars="200"/>
        <w:rPr>
          <w:sz w:val="24"/>
        </w:rPr>
      </w:pPr>
      <w:r>
        <w:rPr>
          <w:rFonts w:ascii="宋体" w:hAnsi="宋体"/>
          <w:sz w:val="24"/>
        </w:rPr>
        <w:t>二级浓缩液端也设有一个伺服电机控制阀，用于控制膜组内的压力和回收率。第二级膜柱浓缩液排向第一级系统的进水端，以提高系统的回收率，透过液排入脱气塔，经过吹脱除去水中二氧化碳等气体，使</w:t>
      </w:r>
      <w:r>
        <w:rPr>
          <w:sz w:val="24"/>
        </w:rPr>
        <w:t>pH</w:t>
      </w:r>
      <w:r>
        <w:rPr>
          <w:rFonts w:ascii="宋体" w:hAnsi="宋体"/>
          <w:sz w:val="24"/>
        </w:rPr>
        <w:t>达到</w:t>
      </w:r>
      <w:r>
        <w:rPr>
          <w:sz w:val="24"/>
        </w:rPr>
        <w:t>6-9</w:t>
      </w:r>
      <w:r>
        <w:rPr>
          <w:rFonts w:ascii="宋体" w:hAnsi="宋体"/>
          <w:sz w:val="24"/>
        </w:rPr>
        <w:t>，最后</w:t>
      </w:r>
      <w:r>
        <w:rPr>
          <w:rFonts w:hint="eastAsia" w:ascii="宋体" w:hAnsi="宋体"/>
          <w:sz w:val="24"/>
        </w:rPr>
        <w:t>排入中间水池</w:t>
      </w:r>
      <w:r>
        <w:rPr>
          <w:rFonts w:ascii="宋体" w:hAnsi="宋体"/>
          <w:sz w:val="24"/>
        </w:rPr>
        <w:t>。</w:t>
      </w:r>
    </w:p>
    <w:p>
      <w:pPr>
        <w:spacing w:line="360" w:lineRule="auto"/>
        <w:ind w:firstLine="480" w:firstLineChars="200"/>
        <w:rPr>
          <w:sz w:val="24"/>
        </w:rPr>
      </w:pPr>
      <w:r>
        <w:rPr>
          <w:rFonts w:hint="eastAsia" w:ascii="宋体" w:hAnsi="宋体"/>
          <w:sz w:val="24"/>
        </w:rPr>
        <w:t>④</w:t>
      </w:r>
      <w:r>
        <w:rPr>
          <w:rFonts w:ascii="宋体" w:hAnsi="宋体"/>
          <w:sz w:val="24"/>
        </w:rPr>
        <w:t>清水脱气及</w:t>
      </w:r>
      <w:r>
        <w:rPr>
          <w:sz w:val="24"/>
        </w:rPr>
        <w:t>pH</w:t>
      </w:r>
      <w:r>
        <w:rPr>
          <w:rFonts w:ascii="宋体" w:hAnsi="宋体"/>
          <w:sz w:val="24"/>
        </w:rPr>
        <w:t>值</w:t>
      </w:r>
    </w:p>
    <w:p>
      <w:pPr>
        <w:spacing w:line="360" w:lineRule="auto"/>
        <w:ind w:firstLine="480" w:firstLineChars="200"/>
        <w:rPr>
          <w:sz w:val="24"/>
        </w:rPr>
      </w:pPr>
      <w:r>
        <w:rPr>
          <w:rFonts w:ascii="宋体" w:hAnsi="宋体"/>
          <w:sz w:val="24"/>
        </w:rPr>
        <w:t>由于渗滤液中含有一定的溶解性气体，而反渗透膜可以脱除溶解性的离子而不能脱除溶解性的气体，就可能导致反渗透膜产水</w:t>
      </w:r>
      <w:r>
        <w:rPr>
          <w:sz w:val="24"/>
        </w:rPr>
        <w:t>pH</w:t>
      </w:r>
      <w:r>
        <w:rPr>
          <w:rFonts w:ascii="宋体" w:hAnsi="宋体"/>
          <w:sz w:val="24"/>
        </w:rPr>
        <w:t>值会稍低于排放要求，经脱气塔脱除透过液中溶解的酸性气体后，</w:t>
      </w:r>
      <w:r>
        <w:rPr>
          <w:sz w:val="24"/>
        </w:rPr>
        <w:t>pH</w:t>
      </w:r>
      <w:r>
        <w:rPr>
          <w:rFonts w:ascii="宋体" w:hAnsi="宋体"/>
          <w:sz w:val="24"/>
        </w:rPr>
        <w:t>值能显著上升，若经脱气塔后的清水</w:t>
      </w:r>
      <w:r>
        <w:rPr>
          <w:sz w:val="24"/>
        </w:rPr>
        <w:t>pH</w:t>
      </w:r>
      <w:r>
        <w:rPr>
          <w:rFonts w:ascii="宋体" w:hAnsi="宋体"/>
          <w:sz w:val="24"/>
        </w:rPr>
        <w:t>值仍低于排放要求，此时系统将自动加少量碱回调</w:t>
      </w:r>
      <w:r>
        <w:rPr>
          <w:sz w:val="24"/>
        </w:rPr>
        <w:t>pH</w:t>
      </w:r>
      <w:r>
        <w:rPr>
          <w:rFonts w:ascii="宋体" w:hAnsi="宋体"/>
          <w:sz w:val="24"/>
        </w:rPr>
        <w:t>值至排放要求。由于出水经脱气塔脱气处理，只需加微量的碱液即能达到排放要求。</w:t>
      </w:r>
    </w:p>
    <w:p>
      <w:pPr>
        <w:spacing w:line="360" w:lineRule="auto"/>
        <w:ind w:firstLine="480" w:firstLineChars="200"/>
        <w:rPr>
          <w:sz w:val="24"/>
        </w:rPr>
      </w:pPr>
      <w:r>
        <w:rPr>
          <w:rFonts w:ascii="宋体" w:hAnsi="宋体"/>
          <w:sz w:val="24"/>
        </w:rPr>
        <w:t>出水</w:t>
      </w:r>
      <w:r>
        <w:rPr>
          <w:sz w:val="24"/>
        </w:rPr>
        <w:t>pH</w:t>
      </w:r>
      <w:r>
        <w:rPr>
          <w:rFonts w:ascii="宋体" w:hAnsi="宋体"/>
          <w:sz w:val="24"/>
        </w:rPr>
        <w:t>回调在清水罐中进行，清水排放管中安装有</w:t>
      </w:r>
      <w:r>
        <w:rPr>
          <w:sz w:val="24"/>
        </w:rPr>
        <w:t>pH</w:t>
      </w:r>
      <w:r>
        <w:rPr>
          <w:rFonts w:ascii="宋体" w:hAnsi="宋体"/>
          <w:sz w:val="24"/>
        </w:rPr>
        <w:t>值传感器，</w:t>
      </w:r>
      <w:r>
        <w:rPr>
          <w:sz w:val="24"/>
        </w:rPr>
        <w:t>PLC</w:t>
      </w:r>
      <w:r>
        <w:rPr>
          <w:rFonts w:ascii="宋体" w:hAnsi="宋体"/>
          <w:sz w:val="24"/>
        </w:rPr>
        <w:t>判断出水</w:t>
      </w:r>
      <w:r>
        <w:rPr>
          <w:sz w:val="24"/>
        </w:rPr>
        <w:t>pH</w:t>
      </w:r>
      <w:r>
        <w:rPr>
          <w:rFonts w:ascii="宋体" w:hAnsi="宋体"/>
          <w:sz w:val="24"/>
        </w:rPr>
        <w:t>值并自动调节计量泵的频率以调整加碱量，最终使排水</w:t>
      </w:r>
      <w:r>
        <w:rPr>
          <w:sz w:val="24"/>
        </w:rPr>
        <w:t>pH</w:t>
      </w:r>
      <w:r>
        <w:rPr>
          <w:rFonts w:ascii="宋体" w:hAnsi="宋体"/>
          <w:sz w:val="24"/>
        </w:rPr>
        <w:t>值达到排放要求。</w:t>
      </w:r>
    </w:p>
    <w:p>
      <w:pPr>
        <w:adjustRightInd w:val="0"/>
        <w:snapToGrid w:val="0"/>
        <w:spacing w:line="360" w:lineRule="auto"/>
        <w:ind w:firstLine="480" w:firstLineChars="200"/>
        <w:rPr>
          <w:sz w:val="24"/>
        </w:rPr>
      </w:pPr>
      <w:r>
        <w:rPr>
          <w:rFonts w:hint="eastAsia" w:ascii="宋体" w:hAnsi="宋体" w:cs="宋体"/>
          <w:sz w:val="24"/>
        </w:rPr>
        <w:t>⑤</w:t>
      </w:r>
      <w:r>
        <w:rPr>
          <w:sz w:val="24"/>
        </w:rPr>
        <w:t>设备的冲洗和清洗</w:t>
      </w:r>
    </w:p>
    <w:p>
      <w:pPr>
        <w:pStyle w:val="2235"/>
        <w:ind w:firstLine="480"/>
        <w:rPr>
          <w:rFonts w:ascii="Times New Roman" w:hAnsi="Times New Roman"/>
        </w:rPr>
      </w:pPr>
      <w:bookmarkStart w:id="176" w:name="_Toc489432986"/>
      <w:r>
        <w:rPr>
          <w:rFonts w:ascii="Times New Roman" w:hAnsi="Times New Roman"/>
        </w:rPr>
        <w:t>反渗透系统有清洗剂A、清洗剂C、阻垢剂和清洗缓冲罐。操作人员需要定期给储罐添加清洗剂和阻垢剂，设定清洗执行时间，需要清洗的时候系统自动执行。系统冲洗：膜组的冲洗在每次系统关闭时进行，在正常开机运行状态下需要停机时，一般都采取先冲洗后再停机模式。系统故障时自动停机，也执行冲洗程序。冲洗的主要目的是防止渗滤液中的污染物在膜片表面沉积。冲洗分为两种，一种是用渗滤液冲洗，一种是处理后的净水冲洗，两种冲洗的时间都可以在操作界面上设定，一般为2~5 分钟。</w:t>
      </w:r>
    </w:p>
    <w:p>
      <w:pPr>
        <w:pStyle w:val="2235"/>
        <w:ind w:firstLine="480"/>
        <w:rPr>
          <w:rFonts w:ascii="Times New Roman" w:hAnsi="Times New Roman"/>
          <w:color w:val="FF0000"/>
        </w:rPr>
      </w:pPr>
      <w:r>
        <w:rPr>
          <w:rFonts w:ascii="Times New Roman" w:hAnsi="Times New Roman"/>
        </w:rPr>
        <w:t>化学清洗：为保持膜片的性能，膜组应该定期进行化学清洗。清洗剂分酸性清洗剂和碱性清洗剂两种，碱性清洗剂的主要作用是清除有机物的污染，酸性清洗剂的主要作用是清除无机物污染。在清洗时，清洗剂溶液在膜组系统内循环，以除去沉积在膜片上的污染物质，清洗时间一般为1-2 个小时，但可以随时终止。清洗完毕后的液体排出系统到调节池。</w:t>
      </w:r>
      <w:r>
        <w:rPr>
          <w:rFonts w:hint="eastAsia" w:ascii="Times New Roman" w:hAnsi="Times New Roman"/>
          <w:color w:val="FF0000"/>
        </w:rPr>
        <w:t>清洗剂定期采购，不在厂区存储。</w:t>
      </w:r>
    </w:p>
    <w:p>
      <w:pPr>
        <w:pStyle w:val="2235"/>
        <w:ind w:firstLine="480"/>
      </w:pPr>
      <w:r>
        <w:object>
          <v:shape id="_x0000_i1025" o:spt="75" type="#_x0000_t75" style="height:200.4pt;width:358.65pt;" o:ole="t" filled="f" o:preferrelative="t" stroked="f" coordsize="21600,21600">
            <v:path/>
            <v:fill on="f" focussize="0,0"/>
            <v:stroke on="f" joinstyle="miter"/>
            <v:imagedata r:id="rId39" o:title=""/>
            <o:lock v:ext="edit" aspectratio="t"/>
            <w10:wrap type="none"/>
            <w10:anchorlock/>
          </v:shape>
          <o:OLEObject Type="Embed" ProgID="Visio.Drawing.11" ShapeID="_x0000_i1025" DrawAspect="Content" ObjectID="_1468075725" r:id="rId38">
            <o:LockedField>false</o:LockedField>
          </o:OLEObject>
        </w:object>
      </w:r>
    </w:p>
    <w:p>
      <w:pPr>
        <w:pStyle w:val="2235"/>
        <w:ind w:firstLine="482"/>
        <w:jc w:val="center"/>
        <w:rPr>
          <w:rFonts w:ascii="Times New Roman" w:hAnsi="Times New Roman"/>
          <w:b/>
        </w:rPr>
      </w:pPr>
      <w:r>
        <w:rPr>
          <w:rFonts w:ascii="Times New Roman" w:hAnsi="Times New Roman"/>
          <w:b/>
        </w:rPr>
        <w:t>图3.2-2 渗滤液处理工艺流程图</w:t>
      </w:r>
    </w:p>
    <w:p>
      <w:pPr>
        <w:pStyle w:val="831"/>
        <w:keepNext w:val="0"/>
        <w:spacing w:before="156" w:beforeLines="50" w:after="156" w:afterLines="50" w:line="360" w:lineRule="auto"/>
        <w:rPr>
          <w:rFonts w:cs="Times New Roman"/>
        </w:rPr>
      </w:pPr>
      <w:bookmarkStart w:id="177" w:name="_Toc143762315"/>
      <w:r>
        <w:rPr>
          <w:rFonts w:cs="Times New Roman"/>
        </w:rPr>
        <w:t>3.2.</w:t>
      </w:r>
      <w:bookmarkEnd w:id="174"/>
      <w:bookmarkEnd w:id="175"/>
      <w:r>
        <w:rPr>
          <w:rFonts w:cs="Times New Roman"/>
        </w:rPr>
        <w:t>2水平衡分析</w:t>
      </w:r>
      <w:bookmarkEnd w:id="176"/>
      <w:bookmarkEnd w:id="177"/>
    </w:p>
    <w:p>
      <w:pPr>
        <w:spacing w:line="360" w:lineRule="auto"/>
        <w:rPr>
          <w:b/>
          <w:sz w:val="24"/>
        </w:rPr>
      </w:pPr>
      <w:r>
        <w:rPr>
          <w:b/>
          <w:sz w:val="24"/>
        </w:rPr>
        <w:t>3.2.2.1给排水</w:t>
      </w:r>
    </w:p>
    <w:p>
      <w:pPr>
        <w:spacing w:line="360" w:lineRule="auto"/>
        <w:ind w:firstLine="480" w:firstLineChars="200"/>
        <w:rPr>
          <w:sz w:val="24"/>
        </w:rPr>
      </w:pPr>
      <w:bookmarkStart w:id="178" w:name="_Toc423602130"/>
      <w:r>
        <w:rPr>
          <w:sz w:val="24"/>
        </w:rPr>
        <w:fldChar w:fldCharType="begin"/>
      </w:r>
      <w:r>
        <w:rPr>
          <w:sz w:val="24"/>
        </w:rPr>
        <w:instrText xml:space="preserve"> = 1 \* Arabic </w:instrText>
      </w:r>
      <w:r>
        <w:rPr>
          <w:sz w:val="24"/>
        </w:rPr>
        <w:fldChar w:fldCharType="separate"/>
      </w:r>
      <w:r>
        <w:rPr>
          <w:sz w:val="24"/>
        </w:rPr>
        <w:t>1</w:t>
      </w:r>
      <w:r>
        <w:rPr>
          <w:sz w:val="24"/>
        </w:rPr>
        <w:fldChar w:fldCharType="end"/>
      </w:r>
      <w:r>
        <w:rPr>
          <w:sz w:val="24"/>
        </w:rPr>
        <w:t>、</w:t>
      </w:r>
      <w:bookmarkEnd w:id="178"/>
      <w:r>
        <w:rPr>
          <w:sz w:val="24"/>
        </w:rPr>
        <w:t>给水</w:t>
      </w:r>
    </w:p>
    <w:p>
      <w:pPr>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1 \* GB3</w:instrText>
      </w:r>
      <w:r>
        <w:rPr>
          <w:sz w:val="24"/>
        </w:rPr>
        <w:instrText xml:space="preserve"> </w:instrText>
      </w:r>
      <w:r>
        <w:rPr>
          <w:sz w:val="24"/>
        </w:rPr>
        <w:fldChar w:fldCharType="separate"/>
      </w:r>
      <w:r>
        <w:rPr>
          <w:rFonts w:hint="eastAsia"/>
          <w:sz w:val="24"/>
        </w:rPr>
        <w:t>①</w:t>
      </w:r>
      <w:r>
        <w:rPr>
          <w:sz w:val="24"/>
        </w:rPr>
        <w:fldChar w:fldCharType="end"/>
      </w:r>
      <w:r>
        <w:rPr>
          <w:rFonts w:hint="eastAsia"/>
          <w:sz w:val="24"/>
        </w:rPr>
        <w:t>生活用水</w:t>
      </w:r>
    </w:p>
    <w:p>
      <w:pPr>
        <w:pStyle w:val="939"/>
        <w:ind w:firstLine="480"/>
      </w:pPr>
      <w:r>
        <w:t>运营期填埋场定员3人，</w:t>
      </w:r>
      <w:r>
        <w:rPr>
          <w:rFonts w:hint="eastAsia"/>
        </w:rPr>
        <w:t>每天生活用水量约0</w:t>
      </w:r>
      <w:r>
        <w:t>.18 m</w:t>
      </w:r>
      <w:r>
        <w:rPr>
          <w:vertAlign w:val="superscript"/>
        </w:rPr>
        <w:t>3</w:t>
      </w:r>
      <w:r>
        <w:t>/d</w:t>
      </w:r>
      <w:r>
        <w:rPr>
          <w:rFonts w:hint="eastAsia"/>
        </w:rPr>
        <w:t>，</w:t>
      </w:r>
      <w:r>
        <w:t>年用水量</w:t>
      </w:r>
      <w:r>
        <w:rPr>
          <w:rFonts w:hint="eastAsia"/>
        </w:rPr>
        <w:t>约</w:t>
      </w:r>
      <w:r>
        <w:t>为66m</w:t>
      </w:r>
      <w:r>
        <w:rPr>
          <w:vertAlign w:val="superscript"/>
        </w:rPr>
        <w:t>3</w:t>
      </w:r>
      <w:r>
        <w:t>。</w:t>
      </w:r>
    </w:p>
    <w:p>
      <w:pPr>
        <w:pStyle w:val="939"/>
        <w:ind w:firstLine="480"/>
        <w:rPr>
          <w:color w:val="FF0000"/>
        </w:rPr>
      </w:pPr>
      <w:r>
        <w:rPr>
          <w:color w:val="FF0000"/>
        </w:rPr>
        <w:fldChar w:fldCharType="begin"/>
      </w:r>
      <w:r>
        <w:rPr>
          <w:color w:val="FF0000"/>
        </w:rPr>
        <w:instrText xml:space="preserve"> </w:instrText>
      </w:r>
      <w:r>
        <w:rPr>
          <w:rFonts w:hint="eastAsia"/>
          <w:color w:val="FF0000"/>
        </w:rPr>
        <w:instrText xml:space="preserve">= 2 \* GB3</w:instrText>
      </w:r>
      <w:r>
        <w:rPr>
          <w:color w:val="FF0000"/>
        </w:rPr>
        <w:instrText xml:space="preserve"> </w:instrText>
      </w:r>
      <w:r>
        <w:rPr>
          <w:color w:val="FF0000"/>
        </w:rPr>
        <w:fldChar w:fldCharType="separate"/>
      </w:r>
      <w:r>
        <w:rPr>
          <w:rFonts w:hint="eastAsia"/>
          <w:color w:val="FF0000"/>
        </w:rPr>
        <w:t>②</w:t>
      </w:r>
      <w:r>
        <w:rPr>
          <w:color w:val="FF0000"/>
        </w:rPr>
        <w:fldChar w:fldCharType="end"/>
      </w:r>
      <w:r>
        <w:rPr>
          <w:rFonts w:hint="eastAsia"/>
          <w:color w:val="FF0000"/>
        </w:rPr>
        <w:t>绿化用水</w:t>
      </w:r>
    </w:p>
    <w:p>
      <w:pPr>
        <w:pStyle w:val="939"/>
        <w:ind w:firstLine="480"/>
        <w:rPr>
          <w:color w:val="FF0000"/>
        </w:rPr>
      </w:pPr>
      <w:r>
        <w:rPr>
          <w:color w:val="FF0000"/>
        </w:rPr>
        <w:t>绿化用水1L/ m</w:t>
      </w:r>
      <w:r>
        <w:rPr>
          <w:color w:val="FF0000"/>
          <w:vertAlign w:val="superscript"/>
        </w:rPr>
        <w:t>2</w:t>
      </w:r>
      <w:r>
        <w:rPr>
          <w:color w:val="FF0000"/>
        </w:rPr>
        <w:t>·次，绿化面积11850 m</w:t>
      </w:r>
      <w:r>
        <w:rPr>
          <w:color w:val="FF0000"/>
          <w:vertAlign w:val="superscript"/>
        </w:rPr>
        <w:t>2</w:t>
      </w:r>
      <w:r>
        <w:rPr>
          <w:color w:val="FF0000"/>
        </w:rPr>
        <w:t>，</w:t>
      </w:r>
      <w:r>
        <w:rPr>
          <w:rFonts w:hint="eastAsia"/>
          <w:color w:val="FF0000"/>
        </w:rPr>
        <w:t>年绿化次数按3</w:t>
      </w:r>
      <w:r>
        <w:rPr>
          <w:color w:val="FF0000"/>
        </w:rPr>
        <w:t>0</w:t>
      </w:r>
      <w:r>
        <w:rPr>
          <w:rFonts w:hint="eastAsia"/>
          <w:color w:val="FF0000"/>
        </w:rPr>
        <w:t>次计，则</w:t>
      </w:r>
      <w:r>
        <w:rPr>
          <w:color w:val="FF0000"/>
        </w:rPr>
        <w:t>绿化年用水量为355.5 m</w:t>
      </w:r>
      <w:r>
        <w:rPr>
          <w:color w:val="FF0000"/>
          <w:vertAlign w:val="superscript"/>
        </w:rPr>
        <w:t>3</w:t>
      </w:r>
      <w:r>
        <w:rPr>
          <w:color w:val="FF0000"/>
        </w:rPr>
        <w:t>，平均到天为0.97 m</w:t>
      </w:r>
      <w:r>
        <w:rPr>
          <w:color w:val="FF0000"/>
          <w:vertAlign w:val="superscript"/>
        </w:rPr>
        <w:t>3</w:t>
      </w:r>
      <w:r>
        <w:rPr>
          <w:color w:val="FF0000"/>
        </w:rPr>
        <w:t>/d。</w:t>
      </w:r>
    </w:p>
    <w:p>
      <w:pPr>
        <w:pStyle w:val="939"/>
        <w:ind w:firstLine="480"/>
        <w:rPr>
          <w:color w:val="FF0000"/>
        </w:rPr>
      </w:pPr>
      <w:r>
        <w:rPr>
          <w:color w:val="FF0000"/>
        </w:rPr>
        <w:fldChar w:fldCharType="begin"/>
      </w:r>
      <w:r>
        <w:rPr>
          <w:color w:val="FF0000"/>
        </w:rPr>
        <w:instrText xml:space="preserve"> </w:instrText>
      </w:r>
      <w:r>
        <w:rPr>
          <w:rFonts w:hint="eastAsia"/>
          <w:color w:val="FF0000"/>
        </w:rPr>
        <w:instrText xml:space="preserve">= 3 \* GB3</w:instrText>
      </w:r>
      <w:r>
        <w:rPr>
          <w:color w:val="FF0000"/>
        </w:rPr>
        <w:instrText xml:space="preserve"> </w:instrText>
      </w:r>
      <w:r>
        <w:rPr>
          <w:color w:val="FF0000"/>
        </w:rPr>
        <w:fldChar w:fldCharType="separate"/>
      </w:r>
      <w:r>
        <w:rPr>
          <w:rFonts w:hint="eastAsia"/>
          <w:color w:val="FF0000"/>
        </w:rPr>
        <w:t>③</w:t>
      </w:r>
      <w:r>
        <w:rPr>
          <w:color w:val="FF0000"/>
        </w:rPr>
        <w:fldChar w:fldCharType="end"/>
      </w:r>
      <w:r>
        <w:rPr>
          <w:rFonts w:hint="eastAsia"/>
          <w:color w:val="FF0000"/>
        </w:rPr>
        <w:t>洒水降尘用水</w:t>
      </w:r>
    </w:p>
    <w:p>
      <w:pPr>
        <w:pStyle w:val="939"/>
        <w:adjustRightInd w:val="0"/>
        <w:snapToGrid w:val="0"/>
        <w:ind w:firstLine="480"/>
        <w:rPr>
          <w:color w:val="FF0000"/>
        </w:rPr>
      </w:pPr>
      <w:r>
        <w:rPr>
          <w:rFonts w:hint="eastAsia"/>
          <w:color w:val="FF0000"/>
        </w:rPr>
        <w:t>填埋区场地洒水用水量为1</w:t>
      </w:r>
      <w:r>
        <w:rPr>
          <w:color w:val="FF0000"/>
        </w:rPr>
        <w:t>.5</w:t>
      </w:r>
      <w:r>
        <w:rPr>
          <w:rFonts w:hint="eastAsia"/>
          <w:color w:val="FF0000"/>
        </w:rPr>
        <w:t>L/ m</w:t>
      </w:r>
      <w:r>
        <w:rPr>
          <w:rFonts w:hint="eastAsia"/>
          <w:color w:val="FF0000"/>
          <w:vertAlign w:val="superscript"/>
        </w:rPr>
        <w:t>2</w:t>
      </w:r>
      <w:r>
        <w:rPr>
          <w:rFonts w:hint="eastAsia"/>
          <w:color w:val="FF0000"/>
        </w:rPr>
        <w:t>·次，填埋区分区作业面积为8</w:t>
      </w:r>
      <w:r>
        <w:rPr>
          <w:color w:val="FF0000"/>
        </w:rPr>
        <w:t>0m</w:t>
      </w:r>
      <w:r>
        <w:rPr>
          <w:color w:val="FF0000"/>
          <w:vertAlign w:val="superscript"/>
        </w:rPr>
        <w:t>2</w:t>
      </w:r>
      <w:r>
        <w:rPr>
          <w:rFonts w:hint="eastAsia"/>
          <w:color w:val="FF0000"/>
        </w:rPr>
        <w:t>，作业道路长约1</w:t>
      </w:r>
      <w:r>
        <w:rPr>
          <w:color w:val="FF0000"/>
        </w:rPr>
        <w:t>00m</w:t>
      </w:r>
      <w:r>
        <w:rPr>
          <w:rFonts w:hint="eastAsia"/>
          <w:color w:val="FF0000"/>
        </w:rPr>
        <w:t>，宽4</w:t>
      </w:r>
      <w:r>
        <w:rPr>
          <w:color w:val="FF0000"/>
        </w:rPr>
        <w:t>m</w:t>
      </w:r>
      <w:r>
        <w:rPr>
          <w:rFonts w:hint="eastAsia"/>
          <w:color w:val="FF0000"/>
        </w:rPr>
        <w:t>，面积4</w:t>
      </w:r>
      <w:r>
        <w:rPr>
          <w:color w:val="FF0000"/>
        </w:rPr>
        <w:t>00m</w:t>
      </w:r>
      <w:r>
        <w:rPr>
          <w:rFonts w:hint="eastAsia"/>
          <w:color w:val="FF0000"/>
          <w:vertAlign w:val="superscript"/>
        </w:rPr>
        <w:t>2</w:t>
      </w:r>
      <w:r>
        <w:rPr>
          <w:rFonts w:hint="eastAsia"/>
          <w:color w:val="FF0000"/>
        </w:rPr>
        <w:t>，道路每天洒水1次，作业区每天洒水2次，则</w:t>
      </w:r>
      <w:r>
        <w:rPr>
          <w:color w:val="FF0000"/>
        </w:rPr>
        <w:t>降尘用水量</w:t>
      </w:r>
      <w:r>
        <w:rPr>
          <w:rFonts w:hint="eastAsia"/>
          <w:color w:val="FF0000"/>
        </w:rPr>
        <w:t>约</w:t>
      </w:r>
      <w:r>
        <w:rPr>
          <w:color w:val="FF0000"/>
        </w:rPr>
        <w:t>0.84m</w:t>
      </w:r>
      <w:r>
        <w:rPr>
          <w:color w:val="FF0000"/>
          <w:vertAlign w:val="superscript"/>
        </w:rPr>
        <w:t>3</w:t>
      </w:r>
      <w:r>
        <w:rPr>
          <w:color w:val="FF0000"/>
        </w:rPr>
        <w:t>/d</w:t>
      </w:r>
      <w:r>
        <w:rPr>
          <w:rFonts w:hint="eastAsia"/>
          <w:color w:val="FF0000"/>
        </w:rPr>
        <w:t>，</w:t>
      </w:r>
      <w:r>
        <w:rPr>
          <w:color w:val="FF0000"/>
        </w:rPr>
        <w:t xml:space="preserve"> 306.6 m</w:t>
      </w:r>
      <w:r>
        <w:rPr>
          <w:color w:val="FF0000"/>
          <w:vertAlign w:val="superscript"/>
        </w:rPr>
        <w:t>3</w:t>
      </w:r>
      <w:r>
        <w:rPr>
          <w:color w:val="FF0000"/>
        </w:rPr>
        <w:t>/a，</w:t>
      </w:r>
      <w:r>
        <w:rPr>
          <w:rFonts w:hint="eastAsia"/>
          <w:color w:val="FF0000"/>
        </w:rPr>
        <w:t>采用渗滤液处理站出水。</w:t>
      </w:r>
    </w:p>
    <w:p>
      <w:pPr>
        <w:pStyle w:val="939"/>
        <w:adjustRightInd w:val="0"/>
        <w:snapToGrid w:val="0"/>
        <w:ind w:firstLine="480"/>
        <w:rPr>
          <w:color w:val="FF0000"/>
        </w:rPr>
      </w:pPr>
      <w:r>
        <w:rPr>
          <w:color w:val="FF0000"/>
        </w:rPr>
        <w:t>临时堆土场洒水降尘用水量</w:t>
      </w:r>
      <w:r>
        <w:rPr>
          <w:rFonts w:hint="eastAsia"/>
          <w:color w:val="FF0000"/>
        </w:rPr>
        <w:t>约</w:t>
      </w:r>
      <w:r>
        <w:rPr>
          <w:color w:val="FF0000"/>
        </w:rPr>
        <w:t>为53m</w:t>
      </w:r>
      <w:r>
        <w:rPr>
          <w:color w:val="FF0000"/>
          <w:vertAlign w:val="superscript"/>
        </w:rPr>
        <w:t>3</w:t>
      </w:r>
      <w:r>
        <w:rPr>
          <w:color w:val="FF0000"/>
        </w:rPr>
        <w:t>/a，平均0.14 m</w:t>
      </w:r>
      <w:r>
        <w:rPr>
          <w:color w:val="FF0000"/>
          <w:vertAlign w:val="superscript"/>
        </w:rPr>
        <w:t>3</w:t>
      </w:r>
      <w:r>
        <w:rPr>
          <w:color w:val="FF0000"/>
        </w:rPr>
        <w:t>/d。</w:t>
      </w:r>
    </w:p>
    <w:p>
      <w:pPr>
        <w:pStyle w:val="939"/>
        <w:adjustRightInd w:val="0"/>
        <w:snapToGrid w:val="0"/>
        <w:ind w:firstLine="480"/>
        <w:rPr>
          <w:color w:val="FF0000"/>
        </w:rPr>
      </w:pPr>
      <w:r>
        <w:rPr>
          <w:color w:val="FF0000"/>
        </w:rPr>
        <w:fldChar w:fldCharType="begin"/>
      </w:r>
      <w:r>
        <w:rPr>
          <w:color w:val="FF0000"/>
        </w:rPr>
        <w:instrText xml:space="preserve"> </w:instrText>
      </w:r>
      <w:r>
        <w:rPr>
          <w:rFonts w:hint="eastAsia"/>
          <w:color w:val="FF0000"/>
        </w:rPr>
        <w:instrText xml:space="preserve">= 4 \* GB3</w:instrText>
      </w:r>
      <w:r>
        <w:rPr>
          <w:color w:val="FF0000"/>
        </w:rPr>
        <w:instrText xml:space="preserve"> </w:instrText>
      </w:r>
      <w:r>
        <w:rPr>
          <w:color w:val="FF0000"/>
        </w:rPr>
        <w:fldChar w:fldCharType="separate"/>
      </w:r>
      <w:r>
        <w:rPr>
          <w:rFonts w:hint="eastAsia"/>
          <w:color w:val="FF0000"/>
        </w:rPr>
        <w:t>④</w:t>
      </w:r>
      <w:r>
        <w:rPr>
          <w:color w:val="FF0000"/>
        </w:rPr>
        <w:fldChar w:fldCharType="end"/>
      </w:r>
      <w:r>
        <w:rPr>
          <w:rFonts w:hint="eastAsia"/>
          <w:color w:val="FF0000"/>
        </w:rPr>
        <w:t>反渗透膜冲洗用水</w:t>
      </w:r>
    </w:p>
    <w:p>
      <w:pPr>
        <w:pStyle w:val="939"/>
        <w:adjustRightInd w:val="0"/>
        <w:snapToGrid w:val="0"/>
        <w:ind w:firstLine="480"/>
        <w:rPr>
          <w:color w:val="FF0000"/>
        </w:rPr>
      </w:pPr>
      <w:r>
        <w:rPr>
          <w:rFonts w:hint="eastAsia"/>
          <w:color w:val="FF0000"/>
        </w:rPr>
        <w:t>项目反渗透膜冲洗用水量约0.1m</w:t>
      </w:r>
      <w:r>
        <w:rPr>
          <w:rFonts w:hint="eastAsia"/>
          <w:color w:val="FF0000"/>
          <w:vertAlign w:val="superscript"/>
        </w:rPr>
        <w:t>3</w:t>
      </w:r>
      <w:r>
        <w:rPr>
          <w:rFonts w:hint="eastAsia"/>
          <w:color w:val="FF0000"/>
        </w:rPr>
        <w:t>/d（36.5m</w:t>
      </w:r>
      <w:r>
        <w:rPr>
          <w:rFonts w:hint="eastAsia"/>
          <w:color w:val="FF0000"/>
          <w:vertAlign w:val="superscript"/>
        </w:rPr>
        <w:t>3</w:t>
      </w:r>
      <w:r>
        <w:rPr>
          <w:rFonts w:hint="eastAsia"/>
          <w:color w:val="FF0000"/>
        </w:rPr>
        <w:t>/a），水质较渗滤液水质各指标较低，由调节池收集，与渗滤液一同进入渗滤液处理站处理。</w:t>
      </w:r>
    </w:p>
    <w:p>
      <w:pPr>
        <w:pStyle w:val="939"/>
        <w:ind w:firstLine="480"/>
        <w:jc w:val="left"/>
      </w:pPr>
      <w:r>
        <w:fldChar w:fldCharType="begin"/>
      </w:r>
      <w:r>
        <w:instrText xml:space="preserve"> = 2 \* Arabic </w:instrText>
      </w:r>
      <w:r>
        <w:fldChar w:fldCharType="separate"/>
      </w:r>
      <w:r>
        <w:t>2</w:t>
      </w:r>
      <w:r>
        <w:fldChar w:fldCharType="end"/>
      </w:r>
      <w:r>
        <w:t>、排水</w:t>
      </w:r>
    </w:p>
    <w:p>
      <w:pPr>
        <w:pStyle w:val="939"/>
        <w:ind w:firstLine="480"/>
        <w:jc w:val="left"/>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渗滤液</w:t>
      </w:r>
    </w:p>
    <w:p>
      <w:pPr>
        <w:pStyle w:val="939"/>
        <w:ind w:firstLine="480"/>
        <w:jc w:val="left"/>
        <w:rPr>
          <w:color w:val="FF0000"/>
        </w:rPr>
      </w:pPr>
      <w:r>
        <w:t>渗滤液产量最大为1.2m</w:t>
      </w:r>
      <w:r>
        <w:rPr>
          <w:vertAlign w:val="superscript"/>
        </w:rPr>
        <w:t>3</w:t>
      </w:r>
      <w:r>
        <w:t>/d，年产量为438t。</w:t>
      </w:r>
      <w:r>
        <w:rPr>
          <w:rFonts w:hint="eastAsia"/>
        </w:rPr>
        <w:t>渗滤液通过导排</w:t>
      </w:r>
      <w:r>
        <w:t>系统</w:t>
      </w:r>
      <w:r>
        <w:rPr>
          <w:rFonts w:hint="eastAsia"/>
        </w:rPr>
        <w:t>收集</w:t>
      </w:r>
      <w:r>
        <w:t>后进入调节池，</w:t>
      </w:r>
      <w:r>
        <w:rPr>
          <w:rFonts w:hint="eastAsia"/>
          <w:color w:val="FF0000"/>
        </w:rPr>
        <w:t>定期进入渗滤液处理站处理，</w:t>
      </w:r>
      <w:r>
        <w:t>经渗滤液处理站处理</w:t>
      </w:r>
      <w:r>
        <w:rPr>
          <w:color w:val="FF0000"/>
        </w:rPr>
        <w:t>达标后</w:t>
      </w:r>
      <w:r>
        <w:rPr>
          <w:rFonts w:hint="eastAsia"/>
          <w:color w:val="FF0000"/>
        </w:rPr>
        <w:t>回用于抑尘、绿化等。</w:t>
      </w:r>
    </w:p>
    <w:p>
      <w:pPr>
        <w:pStyle w:val="939"/>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生活污水</w:t>
      </w:r>
    </w:p>
    <w:p>
      <w:pPr>
        <w:pStyle w:val="939"/>
        <w:ind w:firstLine="480"/>
        <w:rPr>
          <w:color w:val="FF0000"/>
        </w:rPr>
      </w:pPr>
      <w:r>
        <w:t>生活污水</w:t>
      </w:r>
      <w:r>
        <w:rPr>
          <w:rFonts w:hint="eastAsia"/>
        </w:rPr>
        <w:t>产生量为0</w:t>
      </w:r>
      <w:r>
        <w:t>.14 m</w:t>
      </w:r>
      <w:r>
        <w:rPr>
          <w:vertAlign w:val="superscript"/>
        </w:rPr>
        <w:t>3</w:t>
      </w:r>
      <w:r>
        <w:t>/d</w:t>
      </w:r>
      <w:r>
        <w:rPr>
          <w:rFonts w:hint="eastAsia"/>
        </w:rPr>
        <w:t>，</w:t>
      </w:r>
      <w:r>
        <w:t>年污水产量为52m</w:t>
      </w:r>
      <w:r>
        <w:rPr>
          <w:vertAlign w:val="superscript"/>
        </w:rPr>
        <w:t>3</w:t>
      </w:r>
      <w:r>
        <w:t>/a</w:t>
      </w:r>
      <w:r>
        <w:rPr>
          <w:rFonts w:hint="eastAsia"/>
        </w:rPr>
        <w:t>，通过自建的化粪池预处理后排入渗滤液处理站，</w:t>
      </w:r>
      <w:r>
        <w:rPr>
          <w:rFonts w:hint="eastAsia"/>
          <w:color w:val="FF0000"/>
        </w:rPr>
        <w:t>处理达标后回用于抑尘、绿化等。</w:t>
      </w:r>
    </w:p>
    <w:p>
      <w:pPr>
        <w:spacing w:line="360" w:lineRule="auto"/>
        <w:ind w:firstLine="480" w:firstLineChars="200"/>
        <w:jc w:val="left"/>
        <w:rPr>
          <w:sz w:val="24"/>
        </w:rPr>
      </w:pPr>
      <w:r>
        <w:rPr>
          <w:sz w:val="24"/>
        </w:rPr>
        <w:t>本项目用水情况详见表3.2-2。水平衡见图3.2-6。</w:t>
      </w:r>
    </w:p>
    <w:p>
      <w:pPr>
        <w:pStyle w:val="44"/>
        <w:ind w:firstLine="361" w:firstLineChars="150"/>
        <w:jc w:val="center"/>
        <w:rPr>
          <w:rFonts w:cs="Times New Roman"/>
          <w:b/>
          <w:szCs w:val="24"/>
        </w:rPr>
      </w:pPr>
      <w:r>
        <w:rPr>
          <w:rFonts w:cs="Times New Roman"/>
          <w:b/>
          <w:szCs w:val="24"/>
        </w:rPr>
        <w:t>表3.2-2  用</w:t>
      </w:r>
      <w:r>
        <w:rPr>
          <w:rFonts w:hint="eastAsia" w:cs="Times New Roman"/>
          <w:b/>
          <w:szCs w:val="24"/>
        </w:rPr>
        <w:t>排</w:t>
      </w:r>
      <w:r>
        <w:rPr>
          <w:rFonts w:cs="Times New Roman"/>
          <w:b/>
          <w:szCs w:val="24"/>
        </w:rPr>
        <w:t>水情况统计表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7"/>
        <w:gridCol w:w="1047"/>
        <w:gridCol w:w="1008"/>
        <w:gridCol w:w="1314"/>
        <w:gridCol w:w="1074"/>
        <w:gridCol w:w="837"/>
        <w:gridCol w:w="776"/>
        <w:gridCol w:w="19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27" w:type="pct"/>
            <w:vMerge w:val="restart"/>
            <w:shd w:val="clear" w:color="auto" w:fill="auto"/>
            <w:vAlign w:val="center"/>
          </w:tcPr>
          <w:p>
            <w:pPr>
              <w:widowControl/>
              <w:adjustRightInd w:val="0"/>
              <w:snapToGrid w:val="0"/>
              <w:jc w:val="center"/>
              <w:rPr>
                <w:color w:val="FF0000"/>
                <w:kern w:val="0"/>
                <w:szCs w:val="21"/>
              </w:rPr>
            </w:pPr>
            <w:r>
              <w:rPr>
                <w:color w:val="FF0000"/>
                <w:kern w:val="0"/>
                <w:szCs w:val="21"/>
              </w:rPr>
              <w:t>序号</w:t>
            </w:r>
          </w:p>
        </w:tc>
        <w:tc>
          <w:tcPr>
            <w:tcW w:w="614" w:type="pct"/>
            <w:vMerge w:val="restart"/>
            <w:shd w:val="clear" w:color="auto" w:fill="auto"/>
            <w:vAlign w:val="center"/>
          </w:tcPr>
          <w:p>
            <w:pPr>
              <w:widowControl/>
              <w:adjustRightInd w:val="0"/>
              <w:snapToGrid w:val="0"/>
              <w:jc w:val="center"/>
              <w:rPr>
                <w:color w:val="FF0000"/>
                <w:kern w:val="0"/>
                <w:szCs w:val="21"/>
              </w:rPr>
            </w:pPr>
            <w:r>
              <w:rPr>
                <w:color w:val="FF0000"/>
                <w:kern w:val="0"/>
                <w:szCs w:val="21"/>
              </w:rPr>
              <w:t>用水项目</w:t>
            </w:r>
          </w:p>
        </w:tc>
        <w:tc>
          <w:tcPr>
            <w:tcW w:w="591" w:type="pct"/>
            <w:shd w:val="clear" w:color="auto" w:fill="auto"/>
            <w:vAlign w:val="center"/>
          </w:tcPr>
          <w:p>
            <w:pPr>
              <w:widowControl/>
              <w:adjustRightInd w:val="0"/>
              <w:snapToGrid w:val="0"/>
              <w:jc w:val="center"/>
              <w:rPr>
                <w:color w:val="FF0000"/>
                <w:kern w:val="0"/>
                <w:szCs w:val="21"/>
              </w:rPr>
            </w:pPr>
            <w:r>
              <w:rPr>
                <w:color w:val="FF0000"/>
                <w:kern w:val="0"/>
                <w:szCs w:val="21"/>
              </w:rPr>
              <w:t>用水量</w:t>
            </w:r>
          </w:p>
        </w:tc>
        <w:tc>
          <w:tcPr>
            <w:tcW w:w="771" w:type="pct"/>
            <w:vAlign w:val="center"/>
          </w:tcPr>
          <w:p>
            <w:pPr>
              <w:widowControl/>
              <w:adjustRightInd w:val="0"/>
              <w:snapToGrid w:val="0"/>
              <w:jc w:val="center"/>
              <w:rPr>
                <w:color w:val="FF0000"/>
                <w:kern w:val="0"/>
                <w:szCs w:val="21"/>
              </w:rPr>
            </w:pPr>
            <w:r>
              <w:rPr>
                <w:rFonts w:hint="eastAsia"/>
                <w:color w:val="FF0000"/>
                <w:kern w:val="0"/>
                <w:szCs w:val="21"/>
              </w:rPr>
              <w:t>新水补给量</w:t>
            </w:r>
          </w:p>
        </w:tc>
        <w:tc>
          <w:tcPr>
            <w:tcW w:w="630" w:type="pct"/>
            <w:shd w:val="clear" w:color="auto" w:fill="auto"/>
            <w:vAlign w:val="center"/>
          </w:tcPr>
          <w:p>
            <w:pPr>
              <w:widowControl/>
              <w:adjustRightInd w:val="0"/>
              <w:snapToGrid w:val="0"/>
              <w:jc w:val="center"/>
              <w:rPr>
                <w:color w:val="FF0000"/>
                <w:kern w:val="0"/>
                <w:szCs w:val="21"/>
              </w:rPr>
            </w:pPr>
            <w:r>
              <w:rPr>
                <w:color w:val="FF0000"/>
                <w:kern w:val="0"/>
                <w:szCs w:val="21"/>
              </w:rPr>
              <w:t>排水量</w:t>
            </w:r>
          </w:p>
        </w:tc>
        <w:tc>
          <w:tcPr>
            <w:tcW w:w="491" w:type="pct"/>
            <w:vAlign w:val="center"/>
          </w:tcPr>
          <w:p>
            <w:pPr>
              <w:widowControl/>
              <w:adjustRightInd w:val="0"/>
              <w:snapToGrid w:val="0"/>
              <w:jc w:val="center"/>
              <w:rPr>
                <w:color w:val="FF0000"/>
                <w:kern w:val="0"/>
                <w:szCs w:val="21"/>
              </w:rPr>
            </w:pPr>
            <w:r>
              <w:rPr>
                <w:rFonts w:hint="eastAsia"/>
                <w:color w:val="FF0000"/>
                <w:kern w:val="0"/>
                <w:szCs w:val="21"/>
              </w:rPr>
              <w:t>回用量</w:t>
            </w:r>
          </w:p>
        </w:tc>
        <w:tc>
          <w:tcPr>
            <w:tcW w:w="455" w:type="pct"/>
            <w:shd w:val="clear" w:color="auto" w:fill="auto"/>
            <w:vAlign w:val="center"/>
          </w:tcPr>
          <w:p>
            <w:pPr>
              <w:widowControl/>
              <w:adjustRightInd w:val="0"/>
              <w:snapToGrid w:val="0"/>
              <w:jc w:val="center"/>
              <w:rPr>
                <w:color w:val="FF0000"/>
                <w:kern w:val="0"/>
                <w:szCs w:val="21"/>
              </w:rPr>
            </w:pPr>
            <w:r>
              <w:rPr>
                <w:color w:val="FF0000"/>
                <w:kern w:val="0"/>
                <w:szCs w:val="21"/>
              </w:rPr>
              <w:t>损失</w:t>
            </w:r>
          </w:p>
        </w:tc>
        <w:tc>
          <w:tcPr>
            <w:tcW w:w="1120" w:type="pct"/>
            <w:vMerge w:val="restart"/>
            <w:shd w:val="clear" w:color="auto" w:fill="auto"/>
            <w:vAlign w:val="center"/>
          </w:tcPr>
          <w:p>
            <w:pPr>
              <w:widowControl/>
              <w:adjustRightInd w:val="0"/>
              <w:snapToGrid w:val="0"/>
              <w:jc w:val="center"/>
              <w:rPr>
                <w:color w:val="FF0000"/>
                <w:kern w:val="0"/>
                <w:szCs w:val="21"/>
              </w:rPr>
            </w:pPr>
            <w:r>
              <w:rPr>
                <w:color w:val="FF0000"/>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27" w:type="pct"/>
            <w:vMerge w:val="continue"/>
            <w:vAlign w:val="center"/>
          </w:tcPr>
          <w:p>
            <w:pPr>
              <w:widowControl/>
              <w:adjustRightInd w:val="0"/>
              <w:snapToGrid w:val="0"/>
              <w:jc w:val="center"/>
              <w:rPr>
                <w:color w:val="FF0000"/>
                <w:kern w:val="0"/>
                <w:szCs w:val="21"/>
              </w:rPr>
            </w:pPr>
          </w:p>
        </w:tc>
        <w:tc>
          <w:tcPr>
            <w:tcW w:w="614" w:type="pct"/>
            <w:vMerge w:val="continue"/>
            <w:vAlign w:val="center"/>
          </w:tcPr>
          <w:p>
            <w:pPr>
              <w:widowControl/>
              <w:adjustRightInd w:val="0"/>
              <w:snapToGrid w:val="0"/>
              <w:jc w:val="center"/>
              <w:rPr>
                <w:color w:val="FF0000"/>
                <w:kern w:val="0"/>
                <w:szCs w:val="21"/>
              </w:rPr>
            </w:pPr>
          </w:p>
        </w:tc>
        <w:tc>
          <w:tcPr>
            <w:tcW w:w="591"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(m</w:t>
            </w:r>
            <w:r>
              <w:rPr>
                <w:rFonts w:eastAsia="等线"/>
                <w:color w:val="FF0000"/>
                <w:kern w:val="0"/>
                <w:szCs w:val="21"/>
                <w:vertAlign w:val="superscript"/>
              </w:rPr>
              <w:t>3</w:t>
            </w:r>
            <w:r>
              <w:rPr>
                <w:rFonts w:eastAsia="等线"/>
                <w:color w:val="FF0000"/>
                <w:kern w:val="0"/>
                <w:szCs w:val="21"/>
              </w:rPr>
              <w:t>/d)</w:t>
            </w:r>
          </w:p>
        </w:tc>
        <w:tc>
          <w:tcPr>
            <w:tcW w:w="771" w:type="pct"/>
            <w:vAlign w:val="center"/>
          </w:tcPr>
          <w:p>
            <w:pPr>
              <w:widowControl/>
              <w:adjustRightInd w:val="0"/>
              <w:snapToGrid w:val="0"/>
              <w:jc w:val="center"/>
              <w:rPr>
                <w:rFonts w:eastAsia="等线"/>
                <w:color w:val="FF0000"/>
                <w:kern w:val="0"/>
                <w:szCs w:val="21"/>
              </w:rPr>
            </w:pPr>
            <w:r>
              <w:rPr>
                <w:rFonts w:eastAsia="等线"/>
                <w:color w:val="FF0000"/>
                <w:kern w:val="0"/>
                <w:szCs w:val="21"/>
              </w:rPr>
              <w:t>(m</w:t>
            </w:r>
            <w:r>
              <w:rPr>
                <w:rFonts w:eastAsia="等线"/>
                <w:color w:val="FF0000"/>
                <w:kern w:val="0"/>
                <w:szCs w:val="21"/>
                <w:vertAlign w:val="superscript"/>
              </w:rPr>
              <w:t>3</w:t>
            </w:r>
            <w:r>
              <w:rPr>
                <w:rFonts w:eastAsia="等线"/>
                <w:color w:val="FF0000"/>
                <w:kern w:val="0"/>
                <w:szCs w:val="21"/>
              </w:rPr>
              <w:t>/d)</w:t>
            </w:r>
          </w:p>
        </w:tc>
        <w:tc>
          <w:tcPr>
            <w:tcW w:w="630"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(m</w:t>
            </w:r>
            <w:r>
              <w:rPr>
                <w:rFonts w:eastAsia="等线"/>
                <w:color w:val="FF0000"/>
                <w:kern w:val="0"/>
                <w:szCs w:val="21"/>
                <w:vertAlign w:val="superscript"/>
              </w:rPr>
              <w:t>3</w:t>
            </w:r>
            <w:r>
              <w:rPr>
                <w:rFonts w:eastAsia="等线"/>
                <w:color w:val="FF0000"/>
                <w:kern w:val="0"/>
                <w:szCs w:val="21"/>
              </w:rPr>
              <w:t>/d)</w:t>
            </w:r>
          </w:p>
        </w:tc>
        <w:tc>
          <w:tcPr>
            <w:tcW w:w="491" w:type="pct"/>
            <w:vAlign w:val="center"/>
          </w:tcPr>
          <w:p>
            <w:pPr>
              <w:widowControl/>
              <w:adjustRightInd w:val="0"/>
              <w:snapToGrid w:val="0"/>
              <w:jc w:val="center"/>
              <w:rPr>
                <w:color w:val="FF0000"/>
                <w:kern w:val="0"/>
                <w:szCs w:val="21"/>
              </w:rPr>
            </w:pPr>
            <w:r>
              <w:rPr>
                <w:rFonts w:eastAsia="等线"/>
                <w:color w:val="FF0000"/>
                <w:kern w:val="0"/>
                <w:szCs w:val="21"/>
              </w:rPr>
              <w:t>(m</w:t>
            </w:r>
            <w:r>
              <w:rPr>
                <w:rFonts w:eastAsia="等线"/>
                <w:color w:val="FF0000"/>
                <w:kern w:val="0"/>
                <w:szCs w:val="21"/>
                <w:vertAlign w:val="superscript"/>
              </w:rPr>
              <w:t>3</w:t>
            </w:r>
            <w:r>
              <w:rPr>
                <w:rFonts w:eastAsia="等线"/>
                <w:color w:val="FF0000"/>
                <w:kern w:val="0"/>
                <w:szCs w:val="21"/>
              </w:rPr>
              <w:t>/d)</w:t>
            </w:r>
          </w:p>
        </w:tc>
        <w:tc>
          <w:tcPr>
            <w:tcW w:w="455" w:type="pct"/>
            <w:shd w:val="clear" w:color="auto" w:fill="auto"/>
            <w:vAlign w:val="center"/>
          </w:tcPr>
          <w:p>
            <w:pPr>
              <w:widowControl/>
              <w:adjustRightInd w:val="0"/>
              <w:snapToGrid w:val="0"/>
              <w:jc w:val="center"/>
              <w:rPr>
                <w:color w:val="FF0000"/>
                <w:kern w:val="0"/>
                <w:szCs w:val="21"/>
              </w:rPr>
            </w:pPr>
            <w:r>
              <w:rPr>
                <w:rFonts w:eastAsia="等线"/>
                <w:color w:val="FF0000"/>
                <w:kern w:val="0"/>
                <w:szCs w:val="21"/>
              </w:rPr>
              <w:t>(m</w:t>
            </w:r>
            <w:r>
              <w:rPr>
                <w:rFonts w:eastAsia="等线"/>
                <w:color w:val="FF0000"/>
                <w:kern w:val="0"/>
                <w:szCs w:val="21"/>
                <w:vertAlign w:val="superscript"/>
              </w:rPr>
              <w:t>3</w:t>
            </w:r>
            <w:r>
              <w:rPr>
                <w:rFonts w:eastAsia="等线"/>
                <w:color w:val="FF0000"/>
                <w:kern w:val="0"/>
                <w:szCs w:val="21"/>
              </w:rPr>
              <w:t>/d)</w:t>
            </w:r>
          </w:p>
        </w:tc>
        <w:tc>
          <w:tcPr>
            <w:tcW w:w="1120" w:type="pct"/>
            <w:vMerge w:val="continue"/>
            <w:vAlign w:val="center"/>
          </w:tcPr>
          <w:p>
            <w:pPr>
              <w:widowControl/>
              <w:adjustRightInd w:val="0"/>
              <w:snapToGrid w:val="0"/>
              <w:jc w:val="center"/>
              <w:rPr>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27" w:type="pct"/>
            <w:shd w:val="clear" w:color="auto" w:fill="auto"/>
            <w:vAlign w:val="center"/>
          </w:tcPr>
          <w:p>
            <w:pPr>
              <w:widowControl/>
              <w:adjustRightInd w:val="0"/>
              <w:snapToGrid w:val="0"/>
              <w:jc w:val="center"/>
              <w:rPr>
                <w:color w:val="FF0000"/>
                <w:kern w:val="0"/>
                <w:szCs w:val="21"/>
              </w:rPr>
            </w:pPr>
            <w:r>
              <w:rPr>
                <w:color w:val="FF0000"/>
                <w:kern w:val="0"/>
                <w:szCs w:val="21"/>
              </w:rPr>
              <w:t>一</w:t>
            </w:r>
          </w:p>
        </w:tc>
        <w:tc>
          <w:tcPr>
            <w:tcW w:w="614" w:type="pct"/>
            <w:shd w:val="clear" w:color="auto" w:fill="auto"/>
            <w:vAlign w:val="center"/>
          </w:tcPr>
          <w:p>
            <w:pPr>
              <w:widowControl/>
              <w:adjustRightInd w:val="0"/>
              <w:snapToGrid w:val="0"/>
              <w:jc w:val="center"/>
              <w:rPr>
                <w:color w:val="FF0000"/>
                <w:kern w:val="0"/>
                <w:szCs w:val="21"/>
              </w:rPr>
            </w:pPr>
            <w:r>
              <w:rPr>
                <w:color w:val="FF0000"/>
                <w:kern w:val="0"/>
                <w:szCs w:val="21"/>
              </w:rPr>
              <w:t>生活用水</w:t>
            </w:r>
          </w:p>
        </w:tc>
        <w:tc>
          <w:tcPr>
            <w:tcW w:w="591" w:type="pct"/>
            <w:shd w:val="clear" w:color="auto" w:fill="auto"/>
            <w:vAlign w:val="center"/>
          </w:tcPr>
          <w:p>
            <w:pPr>
              <w:widowControl/>
              <w:adjustRightInd w:val="0"/>
              <w:snapToGrid w:val="0"/>
              <w:jc w:val="center"/>
              <w:rPr>
                <w:rFonts w:eastAsia="等线"/>
                <w:color w:val="FF0000"/>
                <w:kern w:val="0"/>
                <w:szCs w:val="21"/>
              </w:rPr>
            </w:pPr>
          </w:p>
        </w:tc>
        <w:tc>
          <w:tcPr>
            <w:tcW w:w="771" w:type="pct"/>
            <w:vAlign w:val="center"/>
          </w:tcPr>
          <w:p>
            <w:pPr>
              <w:widowControl/>
              <w:adjustRightInd w:val="0"/>
              <w:snapToGrid w:val="0"/>
              <w:jc w:val="center"/>
              <w:rPr>
                <w:rFonts w:eastAsia="等线"/>
                <w:color w:val="FF0000"/>
                <w:kern w:val="0"/>
                <w:szCs w:val="21"/>
              </w:rPr>
            </w:pPr>
          </w:p>
        </w:tc>
        <w:tc>
          <w:tcPr>
            <w:tcW w:w="630" w:type="pct"/>
            <w:shd w:val="clear" w:color="auto" w:fill="auto"/>
            <w:vAlign w:val="center"/>
          </w:tcPr>
          <w:p>
            <w:pPr>
              <w:widowControl/>
              <w:adjustRightInd w:val="0"/>
              <w:snapToGrid w:val="0"/>
              <w:jc w:val="center"/>
              <w:rPr>
                <w:rFonts w:eastAsia="等线"/>
                <w:color w:val="FF0000"/>
                <w:kern w:val="0"/>
                <w:szCs w:val="21"/>
              </w:rPr>
            </w:pPr>
          </w:p>
        </w:tc>
        <w:tc>
          <w:tcPr>
            <w:tcW w:w="491" w:type="pct"/>
            <w:vAlign w:val="center"/>
          </w:tcPr>
          <w:p>
            <w:pPr>
              <w:widowControl/>
              <w:adjustRightInd w:val="0"/>
              <w:snapToGrid w:val="0"/>
              <w:jc w:val="center"/>
              <w:rPr>
                <w:rFonts w:eastAsia="等线"/>
                <w:color w:val="FF0000"/>
                <w:kern w:val="0"/>
                <w:szCs w:val="21"/>
              </w:rPr>
            </w:pPr>
          </w:p>
        </w:tc>
        <w:tc>
          <w:tcPr>
            <w:tcW w:w="455" w:type="pct"/>
            <w:shd w:val="clear" w:color="auto" w:fill="auto"/>
            <w:vAlign w:val="center"/>
          </w:tcPr>
          <w:p>
            <w:pPr>
              <w:widowControl/>
              <w:adjustRightInd w:val="0"/>
              <w:snapToGrid w:val="0"/>
              <w:jc w:val="center"/>
              <w:rPr>
                <w:rFonts w:eastAsia="等线"/>
                <w:color w:val="FF0000"/>
                <w:kern w:val="0"/>
                <w:szCs w:val="21"/>
              </w:rPr>
            </w:pPr>
          </w:p>
        </w:tc>
        <w:tc>
          <w:tcPr>
            <w:tcW w:w="1120" w:type="pct"/>
            <w:shd w:val="clear" w:color="auto" w:fill="auto"/>
            <w:vAlign w:val="center"/>
          </w:tcPr>
          <w:p>
            <w:pPr>
              <w:widowControl/>
              <w:adjustRightInd w:val="0"/>
              <w:snapToGrid w:val="0"/>
              <w:jc w:val="center"/>
              <w:rPr>
                <w:rFonts w:eastAsia="等线"/>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27"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1</w:t>
            </w:r>
          </w:p>
        </w:tc>
        <w:tc>
          <w:tcPr>
            <w:tcW w:w="614" w:type="pct"/>
            <w:shd w:val="clear" w:color="auto" w:fill="auto"/>
            <w:vAlign w:val="center"/>
          </w:tcPr>
          <w:p>
            <w:pPr>
              <w:widowControl/>
              <w:adjustRightInd w:val="0"/>
              <w:snapToGrid w:val="0"/>
              <w:jc w:val="center"/>
              <w:rPr>
                <w:color w:val="FF0000"/>
                <w:kern w:val="0"/>
                <w:szCs w:val="21"/>
              </w:rPr>
            </w:pPr>
            <w:r>
              <w:rPr>
                <w:color w:val="FF0000"/>
                <w:kern w:val="0"/>
                <w:szCs w:val="21"/>
              </w:rPr>
              <w:t>生活用水</w:t>
            </w:r>
          </w:p>
        </w:tc>
        <w:tc>
          <w:tcPr>
            <w:tcW w:w="591"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0.18</w:t>
            </w:r>
          </w:p>
        </w:tc>
        <w:tc>
          <w:tcPr>
            <w:tcW w:w="771" w:type="pct"/>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.18</w:t>
            </w:r>
          </w:p>
        </w:tc>
        <w:tc>
          <w:tcPr>
            <w:tcW w:w="630"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0.14</w:t>
            </w:r>
          </w:p>
        </w:tc>
        <w:tc>
          <w:tcPr>
            <w:tcW w:w="491" w:type="pct"/>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w:t>
            </w:r>
          </w:p>
        </w:tc>
        <w:tc>
          <w:tcPr>
            <w:tcW w:w="455"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0.04</w:t>
            </w:r>
          </w:p>
        </w:tc>
        <w:tc>
          <w:tcPr>
            <w:tcW w:w="1120" w:type="pct"/>
            <w:shd w:val="clear" w:color="auto" w:fill="auto"/>
            <w:vAlign w:val="center"/>
          </w:tcPr>
          <w:p>
            <w:pPr>
              <w:widowControl/>
              <w:adjustRightInd w:val="0"/>
              <w:snapToGrid w:val="0"/>
              <w:jc w:val="center"/>
              <w:rPr>
                <w:rFonts w:eastAsia="等线"/>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27" w:type="pct"/>
            <w:shd w:val="clear" w:color="auto" w:fill="auto"/>
            <w:vAlign w:val="center"/>
          </w:tcPr>
          <w:p>
            <w:pPr>
              <w:widowControl/>
              <w:adjustRightInd w:val="0"/>
              <w:snapToGrid w:val="0"/>
              <w:jc w:val="center"/>
              <w:rPr>
                <w:color w:val="FF0000"/>
                <w:kern w:val="0"/>
                <w:szCs w:val="21"/>
              </w:rPr>
            </w:pPr>
            <w:r>
              <w:rPr>
                <w:color w:val="FF0000"/>
                <w:kern w:val="0"/>
                <w:szCs w:val="21"/>
              </w:rPr>
              <w:t>二</w:t>
            </w:r>
          </w:p>
        </w:tc>
        <w:tc>
          <w:tcPr>
            <w:tcW w:w="614" w:type="pct"/>
            <w:shd w:val="clear" w:color="auto" w:fill="auto"/>
            <w:vAlign w:val="center"/>
          </w:tcPr>
          <w:p>
            <w:pPr>
              <w:widowControl/>
              <w:adjustRightInd w:val="0"/>
              <w:snapToGrid w:val="0"/>
              <w:jc w:val="center"/>
              <w:rPr>
                <w:color w:val="FF0000"/>
                <w:kern w:val="0"/>
                <w:szCs w:val="21"/>
              </w:rPr>
            </w:pPr>
            <w:r>
              <w:rPr>
                <w:color w:val="FF0000"/>
                <w:kern w:val="0"/>
                <w:szCs w:val="21"/>
              </w:rPr>
              <w:t>生产用水</w:t>
            </w:r>
          </w:p>
        </w:tc>
        <w:tc>
          <w:tcPr>
            <w:tcW w:w="591" w:type="pct"/>
            <w:shd w:val="clear" w:color="auto" w:fill="auto"/>
            <w:vAlign w:val="center"/>
          </w:tcPr>
          <w:p>
            <w:pPr>
              <w:widowControl/>
              <w:adjustRightInd w:val="0"/>
              <w:snapToGrid w:val="0"/>
              <w:jc w:val="center"/>
              <w:rPr>
                <w:rFonts w:eastAsia="等线"/>
                <w:color w:val="FF0000"/>
                <w:kern w:val="0"/>
                <w:szCs w:val="21"/>
              </w:rPr>
            </w:pPr>
          </w:p>
        </w:tc>
        <w:tc>
          <w:tcPr>
            <w:tcW w:w="771" w:type="pct"/>
            <w:vAlign w:val="center"/>
          </w:tcPr>
          <w:p>
            <w:pPr>
              <w:widowControl/>
              <w:adjustRightInd w:val="0"/>
              <w:snapToGrid w:val="0"/>
              <w:jc w:val="center"/>
              <w:rPr>
                <w:rFonts w:eastAsia="等线"/>
                <w:color w:val="FF0000"/>
                <w:kern w:val="0"/>
                <w:szCs w:val="21"/>
              </w:rPr>
            </w:pPr>
          </w:p>
        </w:tc>
        <w:tc>
          <w:tcPr>
            <w:tcW w:w="630" w:type="pct"/>
            <w:shd w:val="clear" w:color="auto" w:fill="auto"/>
            <w:vAlign w:val="center"/>
          </w:tcPr>
          <w:p>
            <w:pPr>
              <w:widowControl/>
              <w:adjustRightInd w:val="0"/>
              <w:snapToGrid w:val="0"/>
              <w:jc w:val="center"/>
              <w:rPr>
                <w:rFonts w:eastAsia="等线"/>
                <w:color w:val="FF0000"/>
                <w:kern w:val="0"/>
                <w:szCs w:val="21"/>
              </w:rPr>
            </w:pPr>
          </w:p>
        </w:tc>
        <w:tc>
          <w:tcPr>
            <w:tcW w:w="491" w:type="pct"/>
            <w:vAlign w:val="center"/>
          </w:tcPr>
          <w:p>
            <w:pPr>
              <w:widowControl/>
              <w:adjustRightInd w:val="0"/>
              <w:snapToGrid w:val="0"/>
              <w:jc w:val="center"/>
              <w:rPr>
                <w:rFonts w:eastAsia="等线"/>
                <w:color w:val="FF0000"/>
                <w:kern w:val="0"/>
                <w:szCs w:val="21"/>
              </w:rPr>
            </w:pPr>
          </w:p>
        </w:tc>
        <w:tc>
          <w:tcPr>
            <w:tcW w:w="455" w:type="pct"/>
            <w:shd w:val="clear" w:color="auto" w:fill="auto"/>
            <w:vAlign w:val="center"/>
          </w:tcPr>
          <w:p>
            <w:pPr>
              <w:widowControl/>
              <w:adjustRightInd w:val="0"/>
              <w:snapToGrid w:val="0"/>
              <w:jc w:val="center"/>
              <w:rPr>
                <w:rFonts w:eastAsia="等线"/>
                <w:color w:val="FF0000"/>
                <w:kern w:val="0"/>
                <w:szCs w:val="21"/>
              </w:rPr>
            </w:pPr>
          </w:p>
        </w:tc>
        <w:tc>
          <w:tcPr>
            <w:tcW w:w="1120" w:type="pct"/>
            <w:shd w:val="clear" w:color="auto" w:fill="auto"/>
            <w:vAlign w:val="center"/>
          </w:tcPr>
          <w:p>
            <w:pPr>
              <w:widowControl/>
              <w:adjustRightInd w:val="0"/>
              <w:snapToGrid w:val="0"/>
              <w:jc w:val="center"/>
              <w:rPr>
                <w:rFonts w:eastAsia="等线"/>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327" w:type="pct"/>
            <w:shd w:val="clear" w:color="auto" w:fill="auto"/>
            <w:vAlign w:val="center"/>
          </w:tcPr>
          <w:p>
            <w:pPr>
              <w:widowControl/>
              <w:adjustRightInd w:val="0"/>
              <w:snapToGrid w:val="0"/>
              <w:jc w:val="center"/>
              <w:rPr>
                <w:color w:val="FF0000"/>
                <w:kern w:val="0"/>
                <w:szCs w:val="21"/>
              </w:rPr>
            </w:pPr>
            <w:r>
              <w:rPr>
                <w:color w:val="FF0000"/>
                <w:kern w:val="0"/>
                <w:szCs w:val="21"/>
              </w:rPr>
              <w:t>1</w:t>
            </w:r>
          </w:p>
        </w:tc>
        <w:tc>
          <w:tcPr>
            <w:tcW w:w="614" w:type="pct"/>
            <w:shd w:val="clear" w:color="auto" w:fill="auto"/>
            <w:vAlign w:val="center"/>
          </w:tcPr>
          <w:p>
            <w:pPr>
              <w:widowControl/>
              <w:adjustRightInd w:val="0"/>
              <w:snapToGrid w:val="0"/>
              <w:jc w:val="center"/>
              <w:rPr>
                <w:color w:val="FF0000"/>
                <w:kern w:val="0"/>
                <w:szCs w:val="21"/>
              </w:rPr>
            </w:pPr>
            <w:r>
              <w:rPr>
                <w:color w:val="FF0000"/>
                <w:kern w:val="0"/>
                <w:szCs w:val="21"/>
              </w:rPr>
              <w:t>绿化用水</w:t>
            </w:r>
          </w:p>
        </w:tc>
        <w:tc>
          <w:tcPr>
            <w:tcW w:w="591"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0.97</w:t>
            </w:r>
          </w:p>
        </w:tc>
        <w:tc>
          <w:tcPr>
            <w:tcW w:w="771" w:type="pct"/>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.65</w:t>
            </w:r>
          </w:p>
        </w:tc>
        <w:tc>
          <w:tcPr>
            <w:tcW w:w="630"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w:t>
            </w:r>
          </w:p>
        </w:tc>
        <w:tc>
          <w:tcPr>
            <w:tcW w:w="491" w:type="pct"/>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.32</w:t>
            </w:r>
          </w:p>
        </w:tc>
        <w:tc>
          <w:tcPr>
            <w:tcW w:w="455" w:type="pct"/>
            <w:shd w:val="clear" w:color="auto" w:fill="auto"/>
            <w:vAlign w:val="center"/>
          </w:tcPr>
          <w:p>
            <w:pPr>
              <w:widowControl/>
              <w:adjustRightInd w:val="0"/>
              <w:snapToGrid w:val="0"/>
              <w:jc w:val="center"/>
              <w:rPr>
                <w:rFonts w:eastAsia="等线"/>
                <w:color w:val="FF0000"/>
                <w:kern w:val="0"/>
                <w:szCs w:val="21"/>
              </w:rPr>
            </w:pPr>
          </w:p>
        </w:tc>
        <w:tc>
          <w:tcPr>
            <w:tcW w:w="1120" w:type="pct"/>
            <w:shd w:val="clear" w:color="auto" w:fill="auto"/>
            <w:vAlign w:val="center"/>
          </w:tcPr>
          <w:p>
            <w:pPr>
              <w:widowControl/>
              <w:adjustRightInd w:val="0"/>
              <w:snapToGrid w:val="0"/>
              <w:jc w:val="center"/>
              <w:rPr>
                <w:color w:val="FF0000"/>
                <w:kern w:val="0"/>
                <w:szCs w:val="21"/>
              </w:rPr>
            </w:pPr>
            <w:r>
              <w:rPr>
                <w:color w:val="FF0000"/>
                <w:kern w:val="0"/>
                <w:szCs w:val="21"/>
              </w:rPr>
              <w:t>绿化集中在夏季，绿化天数按30</w:t>
            </w:r>
            <w:r>
              <w:rPr>
                <w:rFonts w:hint="eastAsia"/>
                <w:color w:val="FF0000"/>
                <w:kern w:val="0"/>
                <w:szCs w:val="21"/>
              </w:rPr>
              <w:t>次</w:t>
            </w:r>
            <w:r>
              <w:rPr>
                <w:color w:val="FF0000"/>
                <w:kern w:val="0"/>
                <w:szCs w:val="21"/>
              </w:rPr>
              <w:t>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327" w:type="pct"/>
            <w:shd w:val="clear" w:color="auto" w:fill="auto"/>
            <w:vAlign w:val="center"/>
          </w:tcPr>
          <w:p>
            <w:pPr>
              <w:widowControl/>
              <w:adjustRightInd w:val="0"/>
              <w:snapToGrid w:val="0"/>
              <w:jc w:val="center"/>
              <w:rPr>
                <w:color w:val="FF0000"/>
                <w:kern w:val="0"/>
                <w:szCs w:val="21"/>
              </w:rPr>
            </w:pPr>
            <w:r>
              <w:rPr>
                <w:color w:val="FF0000"/>
                <w:kern w:val="0"/>
                <w:szCs w:val="21"/>
              </w:rPr>
              <w:t>2</w:t>
            </w:r>
          </w:p>
        </w:tc>
        <w:tc>
          <w:tcPr>
            <w:tcW w:w="614" w:type="pct"/>
            <w:shd w:val="clear" w:color="auto" w:fill="auto"/>
            <w:vAlign w:val="center"/>
          </w:tcPr>
          <w:p>
            <w:pPr>
              <w:widowControl/>
              <w:adjustRightInd w:val="0"/>
              <w:snapToGrid w:val="0"/>
              <w:jc w:val="center"/>
              <w:rPr>
                <w:color w:val="FF0000"/>
                <w:kern w:val="0"/>
                <w:szCs w:val="21"/>
              </w:rPr>
            </w:pPr>
            <w:r>
              <w:rPr>
                <w:color w:val="FF0000"/>
                <w:kern w:val="0"/>
                <w:szCs w:val="21"/>
              </w:rPr>
              <w:t>填埋场降尘</w:t>
            </w:r>
          </w:p>
        </w:tc>
        <w:tc>
          <w:tcPr>
            <w:tcW w:w="591" w:type="pct"/>
            <w:shd w:val="clear" w:color="auto" w:fill="auto"/>
            <w:vAlign w:val="center"/>
          </w:tcPr>
          <w:p>
            <w:pPr>
              <w:widowControl/>
              <w:adjustRightInd w:val="0"/>
              <w:snapToGrid w:val="0"/>
              <w:jc w:val="center"/>
              <w:rPr>
                <w:rFonts w:eastAsia="等线"/>
                <w:color w:val="FF0000"/>
                <w:kern w:val="0"/>
                <w:szCs w:val="21"/>
              </w:rPr>
            </w:pPr>
            <w:r>
              <w:rPr>
                <w:color w:val="FF0000"/>
                <w:kern w:val="0"/>
                <w:szCs w:val="21"/>
              </w:rPr>
              <w:t>0.84</w:t>
            </w:r>
          </w:p>
        </w:tc>
        <w:tc>
          <w:tcPr>
            <w:tcW w:w="771" w:type="pct"/>
            <w:vAlign w:val="center"/>
          </w:tcPr>
          <w:p>
            <w:pPr>
              <w:widowControl/>
              <w:adjustRightInd w:val="0"/>
              <w:snapToGrid w:val="0"/>
              <w:jc w:val="center"/>
              <w:rPr>
                <w:rFonts w:eastAsia="等线"/>
                <w:color w:val="FF0000"/>
                <w:kern w:val="0"/>
                <w:szCs w:val="21"/>
              </w:rPr>
            </w:pPr>
          </w:p>
        </w:tc>
        <w:tc>
          <w:tcPr>
            <w:tcW w:w="630"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w:t>
            </w:r>
          </w:p>
        </w:tc>
        <w:tc>
          <w:tcPr>
            <w:tcW w:w="491" w:type="pct"/>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.84</w:t>
            </w:r>
          </w:p>
        </w:tc>
        <w:tc>
          <w:tcPr>
            <w:tcW w:w="455" w:type="pct"/>
            <w:shd w:val="clear" w:color="auto" w:fill="auto"/>
            <w:vAlign w:val="center"/>
          </w:tcPr>
          <w:p>
            <w:pPr>
              <w:widowControl/>
              <w:adjustRightInd w:val="0"/>
              <w:snapToGrid w:val="0"/>
              <w:jc w:val="center"/>
              <w:rPr>
                <w:rFonts w:eastAsia="等线"/>
                <w:color w:val="FF0000"/>
                <w:kern w:val="0"/>
                <w:szCs w:val="21"/>
              </w:rPr>
            </w:pPr>
          </w:p>
        </w:tc>
        <w:tc>
          <w:tcPr>
            <w:tcW w:w="1120" w:type="pct"/>
            <w:shd w:val="clear" w:color="auto" w:fill="auto"/>
            <w:vAlign w:val="center"/>
          </w:tcPr>
          <w:p>
            <w:pPr>
              <w:widowControl/>
              <w:adjustRightInd w:val="0"/>
              <w:snapToGrid w:val="0"/>
              <w:jc w:val="center"/>
              <w:rPr>
                <w:color w:val="FF0000"/>
                <w:kern w:val="0"/>
                <w:szCs w:val="21"/>
              </w:rPr>
            </w:pPr>
            <w:r>
              <w:rPr>
                <w:rFonts w:hint="eastAsia"/>
                <w:color w:val="FF0000"/>
                <w:kern w:val="0"/>
                <w:szCs w:val="21"/>
              </w:rPr>
              <w:t>作业区道路每天1次，作业区每天2次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327" w:type="pct"/>
            <w:shd w:val="clear" w:color="auto" w:fill="auto"/>
            <w:vAlign w:val="center"/>
          </w:tcPr>
          <w:p>
            <w:pPr>
              <w:widowControl/>
              <w:adjustRightInd w:val="0"/>
              <w:snapToGrid w:val="0"/>
              <w:jc w:val="center"/>
              <w:rPr>
                <w:color w:val="FF0000"/>
                <w:kern w:val="0"/>
                <w:szCs w:val="21"/>
              </w:rPr>
            </w:pPr>
            <w:r>
              <w:rPr>
                <w:color w:val="FF0000"/>
                <w:kern w:val="0"/>
                <w:szCs w:val="21"/>
              </w:rPr>
              <w:t>3</w:t>
            </w:r>
          </w:p>
        </w:tc>
        <w:tc>
          <w:tcPr>
            <w:tcW w:w="614" w:type="pct"/>
            <w:shd w:val="clear" w:color="auto" w:fill="auto"/>
            <w:vAlign w:val="center"/>
          </w:tcPr>
          <w:p>
            <w:pPr>
              <w:widowControl/>
              <w:adjustRightInd w:val="0"/>
              <w:snapToGrid w:val="0"/>
              <w:jc w:val="center"/>
              <w:rPr>
                <w:color w:val="FF0000"/>
                <w:kern w:val="0"/>
                <w:szCs w:val="21"/>
              </w:rPr>
            </w:pPr>
            <w:r>
              <w:rPr>
                <w:color w:val="FF0000"/>
                <w:kern w:val="0"/>
                <w:szCs w:val="21"/>
              </w:rPr>
              <w:t>临时堆土场洒水降尘</w:t>
            </w:r>
          </w:p>
        </w:tc>
        <w:tc>
          <w:tcPr>
            <w:tcW w:w="591"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0.14</w:t>
            </w:r>
          </w:p>
        </w:tc>
        <w:tc>
          <w:tcPr>
            <w:tcW w:w="771" w:type="pct"/>
            <w:vAlign w:val="center"/>
          </w:tcPr>
          <w:p>
            <w:pPr>
              <w:widowControl/>
              <w:adjustRightInd w:val="0"/>
              <w:snapToGrid w:val="0"/>
              <w:jc w:val="center"/>
              <w:rPr>
                <w:rFonts w:eastAsia="等线"/>
                <w:color w:val="FF0000"/>
                <w:kern w:val="0"/>
                <w:szCs w:val="21"/>
              </w:rPr>
            </w:pPr>
          </w:p>
        </w:tc>
        <w:tc>
          <w:tcPr>
            <w:tcW w:w="630"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w:t>
            </w:r>
          </w:p>
        </w:tc>
        <w:tc>
          <w:tcPr>
            <w:tcW w:w="491" w:type="pct"/>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.14</w:t>
            </w:r>
          </w:p>
        </w:tc>
        <w:tc>
          <w:tcPr>
            <w:tcW w:w="455" w:type="pct"/>
            <w:shd w:val="clear" w:color="auto" w:fill="auto"/>
            <w:vAlign w:val="center"/>
          </w:tcPr>
          <w:p>
            <w:pPr>
              <w:widowControl/>
              <w:adjustRightInd w:val="0"/>
              <w:snapToGrid w:val="0"/>
              <w:jc w:val="center"/>
              <w:rPr>
                <w:rFonts w:eastAsia="等线"/>
                <w:color w:val="FF0000"/>
                <w:kern w:val="0"/>
                <w:szCs w:val="21"/>
              </w:rPr>
            </w:pPr>
          </w:p>
        </w:tc>
        <w:tc>
          <w:tcPr>
            <w:tcW w:w="1120" w:type="pct"/>
            <w:shd w:val="clear" w:color="auto" w:fill="auto"/>
            <w:vAlign w:val="center"/>
          </w:tcPr>
          <w:p>
            <w:pPr>
              <w:widowControl/>
              <w:adjustRightInd w:val="0"/>
              <w:snapToGrid w:val="0"/>
              <w:jc w:val="center"/>
              <w:rPr>
                <w:color w:val="FF0000"/>
                <w:kern w:val="0"/>
                <w:szCs w:val="21"/>
              </w:rPr>
            </w:pPr>
            <w:r>
              <w:rPr>
                <w:color w:val="FF0000"/>
                <w:kern w:val="0"/>
                <w:szCs w:val="21"/>
              </w:rPr>
              <w:t>春、夏、秋季每周一次，根据天气情况增加频率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27" w:type="pct"/>
            <w:shd w:val="clear" w:color="auto" w:fill="auto"/>
            <w:vAlign w:val="center"/>
          </w:tcPr>
          <w:p>
            <w:pPr>
              <w:widowControl/>
              <w:adjustRightInd w:val="0"/>
              <w:snapToGrid w:val="0"/>
              <w:jc w:val="center"/>
              <w:rPr>
                <w:color w:val="FF0000"/>
                <w:kern w:val="0"/>
                <w:szCs w:val="21"/>
              </w:rPr>
            </w:pPr>
            <w:r>
              <w:rPr>
                <w:color w:val="FF0000"/>
                <w:kern w:val="0"/>
                <w:szCs w:val="21"/>
              </w:rPr>
              <w:t>4</w:t>
            </w:r>
          </w:p>
        </w:tc>
        <w:tc>
          <w:tcPr>
            <w:tcW w:w="614" w:type="pct"/>
            <w:shd w:val="clear" w:color="auto" w:fill="auto"/>
            <w:vAlign w:val="center"/>
          </w:tcPr>
          <w:p>
            <w:pPr>
              <w:widowControl/>
              <w:adjustRightInd w:val="0"/>
              <w:snapToGrid w:val="0"/>
              <w:jc w:val="center"/>
              <w:rPr>
                <w:color w:val="FF0000"/>
                <w:kern w:val="0"/>
                <w:szCs w:val="21"/>
              </w:rPr>
            </w:pPr>
            <w:r>
              <w:rPr>
                <w:color w:val="FF0000"/>
                <w:kern w:val="0"/>
                <w:szCs w:val="21"/>
              </w:rPr>
              <w:t>渗滤液</w:t>
            </w:r>
          </w:p>
        </w:tc>
        <w:tc>
          <w:tcPr>
            <w:tcW w:w="591"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w:t>
            </w:r>
          </w:p>
        </w:tc>
        <w:tc>
          <w:tcPr>
            <w:tcW w:w="771" w:type="pct"/>
            <w:vAlign w:val="center"/>
          </w:tcPr>
          <w:p>
            <w:pPr>
              <w:widowControl/>
              <w:adjustRightInd w:val="0"/>
              <w:snapToGrid w:val="0"/>
              <w:jc w:val="center"/>
              <w:rPr>
                <w:rFonts w:eastAsia="等线"/>
                <w:color w:val="FF0000"/>
                <w:kern w:val="0"/>
                <w:szCs w:val="21"/>
              </w:rPr>
            </w:pPr>
          </w:p>
        </w:tc>
        <w:tc>
          <w:tcPr>
            <w:tcW w:w="630" w:type="pct"/>
            <w:shd w:val="clear" w:color="auto" w:fill="auto"/>
            <w:vAlign w:val="center"/>
          </w:tcPr>
          <w:p>
            <w:pPr>
              <w:widowControl/>
              <w:adjustRightInd w:val="0"/>
              <w:snapToGrid w:val="0"/>
              <w:jc w:val="center"/>
              <w:rPr>
                <w:rFonts w:eastAsia="等线"/>
                <w:color w:val="FF0000"/>
                <w:kern w:val="0"/>
                <w:szCs w:val="21"/>
              </w:rPr>
            </w:pPr>
            <w:r>
              <w:rPr>
                <w:rFonts w:eastAsia="等线"/>
                <w:color w:val="FF0000"/>
                <w:kern w:val="0"/>
                <w:szCs w:val="21"/>
              </w:rPr>
              <w:t>1.2</w:t>
            </w:r>
          </w:p>
        </w:tc>
        <w:tc>
          <w:tcPr>
            <w:tcW w:w="491" w:type="pct"/>
            <w:vAlign w:val="center"/>
          </w:tcPr>
          <w:p>
            <w:pPr>
              <w:widowControl/>
              <w:adjustRightInd w:val="0"/>
              <w:snapToGrid w:val="0"/>
              <w:jc w:val="center"/>
              <w:rPr>
                <w:rFonts w:eastAsia="等线"/>
                <w:color w:val="FF0000"/>
                <w:kern w:val="0"/>
                <w:szCs w:val="21"/>
              </w:rPr>
            </w:pPr>
          </w:p>
        </w:tc>
        <w:tc>
          <w:tcPr>
            <w:tcW w:w="455" w:type="pct"/>
            <w:shd w:val="clear" w:color="auto" w:fill="auto"/>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.14</w:t>
            </w:r>
          </w:p>
        </w:tc>
        <w:tc>
          <w:tcPr>
            <w:tcW w:w="1120" w:type="pct"/>
            <w:shd w:val="clear" w:color="auto" w:fill="auto"/>
            <w:vAlign w:val="center"/>
          </w:tcPr>
          <w:p>
            <w:pPr>
              <w:widowControl/>
              <w:adjustRightInd w:val="0"/>
              <w:snapToGrid w:val="0"/>
              <w:jc w:val="center"/>
              <w:rPr>
                <w:rFonts w:eastAsia="等线"/>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27" w:type="pct"/>
            <w:shd w:val="clear" w:color="auto" w:fill="auto"/>
            <w:vAlign w:val="center"/>
          </w:tcPr>
          <w:p>
            <w:pPr>
              <w:widowControl/>
              <w:adjustRightInd w:val="0"/>
              <w:snapToGrid w:val="0"/>
              <w:jc w:val="center"/>
              <w:rPr>
                <w:color w:val="FF0000"/>
                <w:kern w:val="0"/>
                <w:szCs w:val="21"/>
              </w:rPr>
            </w:pPr>
            <w:r>
              <w:rPr>
                <w:rFonts w:hint="eastAsia"/>
                <w:color w:val="FF0000"/>
                <w:kern w:val="0"/>
                <w:szCs w:val="21"/>
              </w:rPr>
              <w:t>5</w:t>
            </w:r>
          </w:p>
        </w:tc>
        <w:tc>
          <w:tcPr>
            <w:tcW w:w="614" w:type="pct"/>
            <w:shd w:val="clear" w:color="auto" w:fill="auto"/>
            <w:vAlign w:val="center"/>
          </w:tcPr>
          <w:p>
            <w:pPr>
              <w:widowControl/>
              <w:adjustRightInd w:val="0"/>
              <w:snapToGrid w:val="0"/>
              <w:jc w:val="center"/>
              <w:rPr>
                <w:color w:val="FF0000"/>
                <w:kern w:val="0"/>
                <w:szCs w:val="21"/>
              </w:rPr>
            </w:pPr>
            <w:r>
              <w:rPr>
                <w:rFonts w:hint="eastAsia"/>
                <w:color w:val="FF0000"/>
                <w:kern w:val="0"/>
                <w:szCs w:val="21"/>
              </w:rPr>
              <w:t>反渗透膜冲洗</w:t>
            </w:r>
          </w:p>
        </w:tc>
        <w:tc>
          <w:tcPr>
            <w:tcW w:w="591" w:type="pct"/>
            <w:shd w:val="clear" w:color="auto" w:fill="auto"/>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.1</w:t>
            </w:r>
          </w:p>
        </w:tc>
        <w:tc>
          <w:tcPr>
            <w:tcW w:w="771" w:type="pct"/>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.1</w:t>
            </w:r>
          </w:p>
        </w:tc>
        <w:tc>
          <w:tcPr>
            <w:tcW w:w="630" w:type="pct"/>
            <w:shd w:val="clear" w:color="auto" w:fill="auto"/>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0</w:t>
            </w:r>
            <w:r>
              <w:rPr>
                <w:rFonts w:eastAsia="等线"/>
                <w:color w:val="FF0000"/>
                <w:kern w:val="0"/>
                <w:szCs w:val="21"/>
              </w:rPr>
              <w:t>.1</w:t>
            </w:r>
          </w:p>
        </w:tc>
        <w:tc>
          <w:tcPr>
            <w:tcW w:w="491" w:type="pct"/>
            <w:vAlign w:val="center"/>
          </w:tcPr>
          <w:p>
            <w:pPr>
              <w:widowControl/>
              <w:adjustRightInd w:val="0"/>
              <w:snapToGrid w:val="0"/>
              <w:jc w:val="center"/>
              <w:rPr>
                <w:rFonts w:eastAsia="等线"/>
                <w:color w:val="FF0000"/>
                <w:kern w:val="0"/>
                <w:szCs w:val="21"/>
              </w:rPr>
            </w:pPr>
          </w:p>
        </w:tc>
        <w:tc>
          <w:tcPr>
            <w:tcW w:w="455" w:type="pct"/>
            <w:shd w:val="clear" w:color="auto" w:fill="auto"/>
            <w:vAlign w:val="center"/>
          </w:tcPr>
          <w:p>
            <w:pPr>
              <w:widowControl/>
              <w:adjustRightInd w:val="0"/>
              <w:snapToGrid w:val="0"/>
              <w:jc w:val="center"/>
              <w:rPr>
                <w:rFonts w:eastAsia="等线"/>
                <w:color w:val="FF0000"/>
                <w:kern w:val="0"/>
                <w:szCs w:val="21"/>
              </w:rPr>
            </w:pPr>
          </w:p>
        </w:tc>
        <w:tc>
          <w:tcPr>
            <w:tcW w:w="1120" w:type="pct"/>
            <w:shd w:val="clear" w:color="auto" w:fill="auto"/>
            <w:vAlign w:val="center"/>
          </w:tcPr>
          <w:p>
            <w:pPr>
              <w:widowControl/>
              <w:adjustRightInd w:val="0"/>
              <w:snapToGrid w:val="0"/>
              <w:jc w:val="center"/>
              <w:rPr>
                <w:rFonts w:eastAsia="等线"/>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27" w:type="pct"/>
            <w:shd w:val="clear" w:color="auto" w:fill="auto"/>
            <w:vAlign w:val="center"/>
          </w:tcPr>
          <w:p>
            <w:pPr>
              <w:widowControl/>
              <w:adjustRightInd w:val="0"/>
              <w:snapToGrid w:val="0"/>
              <w:jc w:val="center"/>
              <w:rPr>
                <w:color w:val="FF0000"/>
                <w:kern w:val="0"/>
                <w:szCs w:val="21"/>
              </w:rPr>
            </w:pPr>
            <w:r>
              <w:rPr>
                <w:rFonts w:hint="eastAsia"/>
                <w:color w:val="FF0000"/>
                <w:kern w:val="0"/>
                <w:szCs w:val="21"/>
              </w:rPr>
              <w:t>合计</w:t>
            </w:r>
          </w:p>
        </w:tc>
        <w:tc>
          <w:tcPr>
            <w:tcW w:w="614" w:type="pct"/>
            <w:shd w:val="clear" w:color="auto" w:fill="auto"/>
            <w:vAlign w:val="center"/>
          </w:tcPr>
          <w:p>
            <w:pPr>
              <w:widowControl/>
              <w:adjustRightInd w:val="0"/>
              <w:snapToGrid w:val="0"/>
              <w:jc w:val="center"/>
              <w:rPr>
                <w:color w:val="FF0000"/>
                <w:kern w:val="0"/>
                <w:szCs w:val="21"/>
              </w:rPr>
            </w:pPr>
          </w:p>
        </w:tc>
        <w:tc>
          <w:tcPr>
            <w:tcW w:w="591" w:type="pct"/>
            <w:shd w:val="clear" w:color="auto" w:fill="auto"/>
            <w:noWrap/>
            <w:vAlign w:val="center"/>
          </w:tcPr>
          <w:p>
            <w:pPr>
              <w:widowControl/>
              <w:adjustRightInd w:val="0"/>
              <w:snapToGrid w:val="0"/>
              <w:jc w:val="center"/>
              <w:rPr>
                <w:color w:val="FF0000"/>
                <w:kern w:val="0"/>
                <w:szCs w:val="21"/>
              </w:rPr>
            </w:pPr>
            <w:r>
              <w:rPr>
                <w:color w:val="FF0000"/>
                <w:kern w:val="0"/>
                <w:szCs w:val="21"/>
              </w:rPr>
              <w:t>2.23</w:t>
            </w:r>
          </w:p>
        </w:tc>
        <w:tc>
          <w:tcPr>
            <w:tcW w:w="771" w:type="pct"/>
            <w:vAlign w:val="center"/>
          </w:tcPr>
          <w:p>
            <w:pPr>
              <w:widowControl/>
              <w:adjustRightInd w:val="0"/>
              <w:snapToGrid w:val="0"/>
              <w:jc w:val="center"/>
              <w:rPr>
                <w:color w:val="FF0000"/>
                <w:kern w:val="0"/>
                <w:szCs w:val="21"/>
              </w:rPr>
            </w:pPr>
            <w:r>
              <w:rPr>
                <w:color w:val="FF0000"/>
                <w:kern w:val="0"/>
                <w:szCs w:val="21"/>
              </w:rPr>
              <w:t>0.93</w:t>
            </w:r>
          </w:p>
        </w:tc>
        <w:tc>
          <w:tcPr>
            <w:tcW w:w="630" w:type="pct"/>
            <w:shd w:val="clear" w:color="auto" w:fill="auto"/>
            <w:noWrap/>
            <w:vAlign w:val="center"/>
          </w:tcPr>
          <w:p>
            <w:pPr>
              <w:widowControl/>
              <w:adjustRightInd w:val="0"/>
              <w:snapToGrid w:val="0"/>
              <w:jc w:val="center"/>
              <w:rPr>
                <w:color w:val="FF0000"/>
                <w:kern w:val="0"/>
                <w:szCs w:val="21"/>
              </w:rPr>
            </w:pPr>
            <w:r>
              <w:rPr>
                <w:color w:val="FF0000"/>
                <w:kern w:val="0"/>
                <w:szCs w:val="21"/>
              </w:rPr>
              <w:t>1.3</w:t>
            </w:r>
          </w:p>
        </w:tc>
        <w:tc>
          <w:tcPr>
            <w:tcW w:w="491" w:type="pct"/>
            <w:vAlign w:val="center"/>
          </w:tcPr>
          <w:p>
            <w:pPr>
              <w:widowControl/>
              <w:adjustRightInd w:val="0"/>
              <w:snapToGrid w:val="0"/>
              <w:jc w:val="center"/>
              <w:rPr>
                <w:rFonts w:eastAsia="等线"/>
                <w:color w:val="FF0000"/>
                <w:kern w:val="0"/>
                <w:szCs w:val="21"/>
              </w:rPr>
            </w:pPr>
            <w:r>
              <w:rPr>
                <w:rFonts w:hint="eastAsia" w:eastAsia="等线"/>
                <w:color w:val="FF0000"/>
                <w:kern w:val="0"/>
                <w:szCs w:val="21"/>
              </w:rPr>
              <w:t>1</w:t>
            </w:r>
            <w:r>
              <w:rPr>
                <w:rFonts w:eastAsia="等线"/>
                <w:color w:val="FF0000"/>
                <w:kern w:val="0"/>
                <w:szCs w:val="21"/>
              </w:rPr>
              <w:t>.225</w:t>
            </w:r>
          </w:p>
        </w:tc>
        <w:tc>
          <w:tcPr>
            <w:tcW w:w="455" w:type="pct"/>
            <w:shd w:val="clear" w:color="auto" w:fill="auto"/>
            <w:noWrap/>
            <w:vAlign w:val="center"/>
          </w:tcPr>
          <w:p>
            <w:pPr>
              <w:widowControl/>
              <w:adjustRightInd w:val="0"/>
              <w:snapToGrid w:val="0"/>
              <w:jc w:val="center"/>
              <w:rPr>
                <w:rFonts w:eastAsia="等线"/>
                <w:color w:val="FF0000"/>
                <w:kern w:val="0"/>
                <w:szCs w:val="21"/>
              </w:rPr>
            </w:pPr>
            <w:r>
              <w:rPr>
                <w:rFonts w:eastAsia="等线"/>
                <w:color w:val="FF0000"/>
                <w:kern w:val="0"/>
                <w:szCs w:val="21"/>
              </w:rPr>
              <w:t>0.18</w:t>
            </w:r>
          </w:p>
        </w:tc>
        <w:tc>
          <w:tcPr>
            <w:tcW w:w="1120" w:type="pct"/>
            <w:shd w:val="clear" w:color="auto" w:fill="auto"/>
            <w:noWrap/>
            <w:vAlign w:val="center"/>
          </w:tcPr>
          <w:p>
            <w:pPr>
              <w:widowControl/>
              <w:adjustRightInd w:val="0"/>
              <w:snapToGrid w:val="0"/>
              <w:jc w:val="center"/>
              <w:rPr>
                <w:rFonts w:eastAsia="Times New Roman"/>
                <w:color w:val="FF0000"/>
                <w:kern w:val="0"/>
                <w:szCs w:val="21"/>
              </w:rPr>
            </w:pPr>
          </w:p>
        </w:tc>
      </w:tr>
    </w:tbl>
    <w:p>
      <w:pPr>
        <w:pStyle w:val="939"/>
        <w:ind w:firstLine="480"/>
        <w:jc w:val="left"/>
        <w:rPr>
          <w:color w:val="FF0000"/>
        </w:rPr>
      </w:pPr>
      <w:r>
        <w:rPr>
          <w:color w:val="FF0000"/>
        </w:rPr>
        <w:object>
          <v:shape id="_x0000_i1026" o:spt="75" type="#_x0000_t75" style="height:203.75pt;width:413.65pt;" o:ole="t" filled="f" o:preferrelative="t" stroked="f" coordsize="21600,21600">
            <v:path/>
            <v:fill on="f" focussize="0,0"/>
            <v:stroke on="f" joinstyle="miter"/>
            <v:imagedata r:id="rId41" o:title=""/>
            <o:lock v:ext="edit" aspectratio="t"/>
            <w10:wrap type="none"/>
            <w10:anchorlock/>
          </v:shape>
          <o:OLEObject Type="Embed" ProgID="Visio.Drawing.11" ShapeID="_x0000_i1026" DrawAspect="Content" ObjectID="_1468075726" r:id="rId40">
            <o:LockedField>false</o:LockedField>
          </o:OLEObject>
        </w:object>
      </w:r>
    </w:p>
    <w:p>
      <w:pPr>
        <w:pStyle w:val="939"/>
        <w:ind w:firstLine="0" w:firstLineChars="0"/>
        <w:jc w:val="center"/>
        <w:rPr>
          <w:b/>
          <w:color w:val="FF0000"/>
        </w:rPr>
      </w:pPr>
      <w:r>
        <w:rPr>
          <w:b/>
          <w:color w:val="FF0000"/>
        </w:rPr>
        <w:t>图3.2-2 水平衡图</w:t>
      </w:r>
      <w:r>
        <w:rPr>
          <w:rFonts w:hint="eastAsia"/>
          <w:b/>
          <w:color w:val="FF0000"/>
        </w:rPr>
        <w:t>（</w:t>
      </w:r>
      <w:r>
        <w:rPr>
          <w:b/>
          <w:color w:val="FF0000"/>
        </w:rPr>
        <w:t>m</w:t>
      </w:r>
      <w:r>
        <w:rPr>
          <w:b/>
          <w:color w:val="FF0000"/>
          <w:vertAlign w:val="superscript"/>
        </w:rPr>
        <w:t>3</w:t>
      </w:r>
      <w:r>
        <w:rPr>
          <w:b/>
          <w:color w:val="FF0000"/>
        </w:rPr>
        <w:t>/d</w:t>
      </w:r>
      <w:r>
        <w:rPr>
          <w:rFonts w:hint="eastAsia"/>
          <w:b/>
          <w:color w:val="FF0000"/>
        </w:rPr>
        <w:t>）</w:t>
      </w:r>
    </w:p>
    <w:p>
      <w:pPr>
        <w:pStyle w:val="831"/>
        <w:keepNext w:val="0"/>
        <w:spacing w:before="156" w:beforeLines="50" w:after="156" w:afterLines="50" w:line="360" w:lineRule="auto"/>
        <w:rPr>
          <w:rFonts w:cs="Times New Roman"/>
        </w:rPr>
      </w:pPr>
      <w:bookmarkStart w:id="179" w:name="_Toc489432987"/>
      <w:bookmarkStart w:id="180" w:name="_Toc143762316"/>
      <w:r>
        <w:rPr>
          <w:rFonts w:cs="Times New Roman"/>
        </w:rPr>
        <w:t>3.2.3污染物来源及治理措施</w:t>
      </w:r>
      <w:bookmarkEnd w:id="179"/>
      <w:bookmarkEnd w:id="180"/>
    </w:p>
    <w:p>
      <w:pPr>
        <w:spacing w:line="360" w:lineRule="auto"/>
        <w:ind w:firstLine="480" w:firstLineChars="200"/>
        <w:rPr>
          <w:szCs w:val="21"/>
        </w:rPr>
      </w:pPr>
      <w:r>
        <w:rPr>
          <w:sz w:val="24"/>
        </w:rPr>
        <w:t>本项目运行期污染主要是大气污染、水污染、噪声污染和固废污染。废气主要是填埋场的恶臭气体。废水主要是渗滤液</w:t>
      </w:r>
      <w:r>
        <w:rPr>
          <w:rFonts w:hint="eastAsia"/>
          <w:sz w:val="24"/>
        </w:rPr>
        <w:t>、</w:t>
      </w:r>
      <w:r>
        <w:rPr>
          <w:rFonts w:hint="eastAsia"/>
          <w:color w:val="548235" w:themeColor="accent6" w:themeShade="BF"/>
          <w:sz w:val="24"/>
        </w:rPr>
        <w:t>反渗透膜冲洗废水</w:t>
      </w:r>
      <w:r>
        <w:rPr>
          <w:sz w:val="24"/>
        </w:rPr>
        <w:t>和垃圾填埋场工作人员的生活污水；主要噪声源为各机械设备和运输车辆；固体废弃物主要为垃圾填埋场工作人员的生活垃圾</w:t>
      </w:r>
      <w:r>
        <w:rPr>
          <w:rFonts w:hint="eastAsia"/>
          <w:sz w:val="24"/>
        </w:rPr>
        <w:t>及调节池污泥</w:t>
      </w:r>
      <w:r>
        <w:rPr>
          <w:sz w:val="24"/>
        </w:rPr>
        <w:t>。</w:t>
      </w:r>
    </w:p>
    <w:p>
      <w:pPr>
        <w:pStyle w:val="44"/>
        <w:ind w:firstLine="480"/>
        <w:rPr>
          <w:rFonts w:cs="Times New Roman"/>
        </w:rPr>
      </w:pPr>
      <w:r>
        <w:rPr>
          <w:rFonts w:cs="Times New Roman"/>
        </w:rPr>
        <w:t>本项目生产运行期主要污染源汇总于表3.2-3。</w:t>
      </w:r>
    </w:p>
    <w:p>
      <w:pPr>
        <w:pStyle w:val="44"/>
        <w:ind w:firstLine="361" w:firstLineChars="150"/>
        <w:jc w:val="center"/>
        <w:rPr>
          <w:rFonts w:cs="Times New Roman"/>
          <w:b/>
          <w:szCs w:val="24"/>
        </w:rPr>
      </w:pPr>
      <w:r>
        <w:rPr>
          <w:rFonts w:cs="Times New Roman"/>
          <w:b/>
          <w:szCs w:val="24"/>
        </w:rPr>
        <w:t>表3.2-3  项目排污环节分析一览表</w:t>
      </w:r>
    </w:p>
    <w:tbl>
      <w:tblPr>
        <w:tblStyle w:val="87"/>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1"/>
        <w:gridCol w:w="2126"/>
        <w:gridCol w:w="3544"/>
        <w:gridCol w:w="17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901"/>
              <w:adjustRightInd w:val="0"/>
              <w:snapToGrid w:val="0"/>
              <w:spacing w:line="240" w:lineRule="auto"/>
              <w:rPr>
                <w:sz w:val="21"/>
                <w:szCs w:val="21"/>
              </w:rPr>
            </w:pPr>
            <w:r>
              <w:rPr>
                <w:sz w:val="21"/>
                <w:szCs w:val="21"/>
              </w:rPr>
              <w:t>污染类别</w:t>
            </w:r>
          </w:p>
        </w:tc>
        <w:tc>
          <w:tcPr>
            <w:tcW w:w="2126" w:type="dxa"/>
            <w:vAlign w:val="center"/>
          </w:tcPr>
          <w:p>
            <w:pPr>
              <w:pStyle w:val="901"/>
              <w:adjustRightInd w:val="0"/>
              <w:snapToGrid w:val="0"/>
              <w:spacing w:line="240" w:lineRule="auto"/>
              <w:rPr>
                <w:sz w:val="21"/>
                <w:szCs w:val="21"/>
              </w:rPr>
            </w:pPr>
            <w:r>
              <w:rPr>
                <w:sz w:val="21"/>
                <w:szCs w:val="21"/>
              </w:rPr>
              <w:t>污染源名称</w:t>
            </w:r>
          </w:p>
        </w:tc>
        <w:tc>
          <w:tcPr>
            <w:tcW w:w="3544" w:type="dxa"/>
            <w:vAlign w:val="center"/>
          </w:tcPr>
          <w:p>
            <w:pPr>
              <w:pStyle w:val="901"/>
              <w:adjustRightInd w:val="0"/>
              <w:snapToGrid w:val="0"/>
              <w:spacing w:line="240" w:lineRule="auto"/>
              <w:rPr>
                <w:sz w:val="21"/>
                <w:szCs w:val="21"/>
              </w:rPr>
            </w:pPr>
            <w:r>
              <w:rPr>
                <w:sz w:val="21"/>
                <w:szCs w:val="21"/>
              </w:rPr>
              <w:t>产生</w:t>
            </w:r>
            <w:r>
              <w:rPr>
                <w:rFonts w:hint="eastAsia"/>
                <w:sz w:val="21"/>
                <w:szCs w:val="21"/>
              </w:rPr>
              <w:t>过程</w:t>
            </w:r>
          </w:p>
        </w:tc>
        <w:tc>
          <w:tcPr>
            <w:tcW w:w="1757" w:type="dxa"/>
            <w:vAlign w:val="center"/>
          </w:tcPr>
          <w:p>
            <w:pPr>
              <w:pStyle w:val="901"/>
              <w:adjustRightInd w:val="0"/>
              <w:snapToGrid w:val="0"/>
              <w:spacing w:line="240" w:lineRule="auto"/>
              <w:rPr>
                <w:sz w:val="21"/>
                <w:szCs w:val="21"/>
              </w:rPr>
            </w:pPr>
            <w:r>
              <w:rPr>
                <w:sz w:val="21"/>
                <w:szCs w:val="21"/>
              </w:rPr>
              <w:t>主要污染物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vMerge w:val="restart"/>
            <w:vAlign w:val="center"/>
          </w:tcPr>
          <w:p>
            <w:pPr>
              <w:pStyle w:val="901"/>
              <w:adjustRightInd w:val="0"/>
              <w:snapToGrid w:val="0"/>
              <w:spacing w:line="240" w:lineRule="auto"/>
              <w:rPr>
                <w:sz w:val="21"/>
                <w:szCs w:val="21"/>
              </w:rPr>
            </w:pPr>
            <w:r>
              <w:rPr>
                <w:sz w:val="21"/>
                <w:szCs w:val="21"/>
              </w:rPr>
              <w:t>大气</w:t>
            </w:r>
          </w:p>
        </w:tc>
        <w:tc>
          <w:tcPr>
            <w:tcW w:w="2126" w:type="dxa"/>
            <w:vAlign w:val="center"/>
          </w:tcPr>
          <w:p>
            <w:pPr>
              <w:pStyle w:val="901"/>
              <w:adjustRightInd w:val="0"/>
              <w:snapToGrid w:val="0"/>
              <w:spacing w:line="240" w:lineRule="auto"/>
              <w:rPr>
                <w:sz w:val="21"/>
                <w:szCs w:val="21"/>
              </w:rPr>
            </w:pPr>
            <w:r>
              <w:rPr>
                <w:sz w:val="21"/>
                <w:szCs w:val="21"/>
              </w:rPr>
              <w:t>臭气</w:t>
            </w:r>
            <w:r>
              <w:rPr>
                <w:rFonts w:hint="eastAsia"/>
                <w:sz w:val="21"/>
                <w:szCs w:val="21"/>
              </w:rPr>
              <w:t>、</w:t>
            </w:r>
            <w:r>
              <w:rPr>
                <w:sz w:val="21"/>
                <w:szCs w:val="21"/>
              </w:rPr>
              <w:t>CH</w:t>
            </w:r>
            <w:r>
              <w:rPr>
                <w:sz w:val="21"/>
                <w:szCs w:val="21"/>
                <w:vertAlign w:val="subscript"/>
              </w:rPr>
              <w:t>4</w:t>
            </w:r>
          </w:p>
        </w:tc>
        <w:tc>
          <w:tcPr>
            <w:tcW w:w="3544" w:type="dxa"/>
            <w:vAlign w:val="center"/>
          </w:tcPr>
          <w:p>
            <w:pPr>
              <w:pStyle w:val="901"/>
              <w:adjustRightInd w:val="0"/>
              <w:snapToGrid w:val="0"/>
              <w:spacing w:line="240" w:lineRule="auto"/>
              <w:rPr>
                <w:sz w:val="21"/>
                <w:szCs w:val="21"/>
              </w:rPr>
            </w:pPr>
            <w:r>
              <w:rPr>
                <w:sz w:val="21"/>
                <w:szCs w:val="21"/>
              </w:rPr>
              <w:t>垃圾填埋垃圾厌氧反应</w:t>
            </w:r>
          </w:p>
        </w:tc>
        <w:tc>
          <w:tcPr>
            <w:tcW w:w="1757" w:type="dxa"/>
            <w:vAlign w:val="center"/>
          </w:tcPr>
          <w:p>
            <w:pPr>
              <w:adjustRightInd w:val="0"/>
              <w:snapToGrid w:val="0"/>
              <w:rPr>
                <w:szCs w:val="21"/>
              </w:rPr>
            </w:pPr>
            <w:r>
              <w:rPr>
                <w:color w:val="FF0000"/>
                <w:szCs w:val="21"/>
              </w:rPr>
              <w:t>NH</w:t>
            </w:r>
            <w:r>
              <w:rPr>
                <w:color w:val="FF0000"/>
                <w:szCs w:val="21"/>
                <w:vertAlign w:val="subscript"/>
              </w:rPr>
              <w:t>3</w:t>
            </w:r>
            <w:r>
              <w:rPr>
                <w:szCs w:val="21"/>
              </w:rPr>
              <w:t>、H</w:t>
            </w:r>
            <w:r>
              <w:rPr>
                <w:szCs w:val="21"/>
                <w:vertAlign w:val="subscript"/>
              </w:rPr>
              <w:t>2</w:t>
            </w:r>
            <w:r>
              <w:rPr>
                <w:szCs w:val="21"/>
              </w:rPr>
              <w:t>S和CH</w:t>
            </w:r>
            <w:r>
              <w:rPr>
                <w:szCs w:val="21"/>
                <w:vertAlign w:val="subscript"/>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vMerge w:val="continue"/>
            <w:vAlign w:val="center"/>
          </w:tcPr>
          <w:p>
            <w:pPr>
              <w:pStyle w:val="901"/>
              <w:adjustRightInd w:val="0"/>
              <w:snapToGrid w:val="0"/>
              <w:spacing w:line="240" w:lineRule="auto"/>
              <w:rPr>
                <w:sz w:val="21"/>
                <w:szCs w:val="21"/>
              </w:rPr>
            </w:pPr>
          </w:p>
        </w:tc>
        <w:tc>
          <w:tcPr>
            <w:tcW w:w="2126" w:type="dxa"/>
            <w:vAlign w:val="center"/>
          </w:tcPr>
          <w:p>
            <w:pPr>
              <w:pStyle w:val="901"/>
              <w:adjustRightInd w:val="0"/>
              <w:snapToGrid w:val="0"/>
              <w:spacing w:line="240" w:lineRule="auto"/>
              <w:rPr>
                <w:sz w:val="21"/>
                <w:szCs w:val="21"/>
              </w:rPr>
            </w:pPr>
            <w:r>
              <w:rPr>
                <w:sz w:val="21"/>
                <w:szCs w:val="21"/>
              </w:rPr>
              <w:t>扬尘</w:t>
            </w:r>
          </w:p>
        </w:tc>
        <w:tc>
          <w:tcPr>
            <w:tcW w:w="3544" w:type="dxa"/>
            <w:vAlign w:val="center"/>
          </w:tcPr>
          <w:p>
            <w:pPr>
              <w:pStyle w:val="901"/>
              <w:adjustRightInd w:val="0"/>
              <w:snapToGrid w:val="0"/>
              <w:spacing w:line="240" w:lineRule="auto"/>
              <w:rPr>
                <w:sz w:val="21"/>
                <w:szCs w:val="21"/>
              </w:rPr>
            </w:pPr>
            <w:r>
              <w:rPr>
                <w:sz w:val="21"/>
                <w:szCs w:val="21"/>
              </w:rPr>
              <w:t>装卸</w:t>
            </w:r>
            <w:r>
              <w:rPr>
                <w:rFonts w:hint="eastAsia"/>
                <w:sz w:val="21"/>
                <w:szCs w:val="21"/>
              </w:rPr>
              <w:t>、</w:t>
            </w:r>
            <w:r>
              <w:rPr>
                <w:sz w:val="21"/>
                <w:szCs w:val="21"/>
              </w:rPr>
              <w:t>填埋</w:t>
            </w:r>
          </w:p>
        </w:tc>
        <w:tc>
          <w:tcPr>
            <w:tcW w:w="1757" w:type="dxa"/>
            <w:vAlign w:val="center"/>
          </w:tcPr>
          <w:p>
            <w:pPr>
              <w:adjustRightInd w:val="0"/>
              <w:snapToGrid w:val="0"/>
              <w:jc w:val="center"/>
              <w:rPr>
                <w:szCs w:val="21"/>
              </w:rPr>
            </w:pPr>
            <w:r>
              <w:rPr>
                <w:rFonts w:hint="eastAsia"/>
                <w:szCs w:val="21"/>
              </w:rPr>
              <w:t>TSP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vMerge w:val="restart"/>
            <w:vAlign w:val="center"/>
          </w:tcPr>
          <w:p>
            <w:pPr>
              <w:adjustRightInd w:val="0"/>
              <w:snapToGrid w:val="0"/>
              <w:jc w:val="center"/>
              <w:rPr>
                <w:szCs w:val="21"/>
              </w:rPr>
            </w:pPr>
            <w:r>
              <w:rPr>
                <w:szCs w:val="21"/>
              </w:rPr>
              <w:t>废水</w:t>
            </w:r>
          </w:p>
        </w:tc>
        <w:tc>
          <w:tcPr>
            <w:tcW w:w="2126" w:type="dxa"/>
            <w:vAlign w:val="center"/>
          </w:tcPr>
          <w:p>
            <w:pPr>
              <w:adjustRightInd w:val="0"/>
              <w:snapToGrid w:val="0"/>
              <w:jc w:val="center"/>
              <w:rPr>
                <w:szCs w:val="21"/>
              </w:rPr>
            </w:pPr>
            <w:r>
              <w:rPr>
                <w:szCs w:val="21"/>
              </w:rPr>
              <w:t>渗滤液</w:t>
            </w:r>
          </w:p>
        </w:tc>
        <w:tc>
          <w:tcPr>
            <w:tcW w:w="3544" w:type="dxa"/>
            <w:vAlign w:val="center"/>
          </w:tcPr>
          <w:p>
            <w:pPr>
              <w:adjustRightInd w:val="0"/>
              <w:snapToGrid w:val="0"/>
              <w:jc w:val="center"/>
              <w:rPr>
                <w:szCs w:val="21"/>
              </w:rPr>
            </w:pPr>
            <w:r>
              <w:rPr>
                <w:szCs w:val="21"/>
              </w:rPr>
              <w:t>垃圾填埋垃圾含水、降雨</w:t>
            </w:r>
          </w:p>
        </w:tc>
        <w:tc>
          <w:tcPr>
            <w:tcW w:w="1757" w:type="dxa"/>
            <w:vMerge w:val="restart"/>
            <w:vAlign w:val="center"/>
          </w:tcPr>
          <w:p>
            <w:pPr>
              <w:pStyle w:val="901"/>
              <w:adjustRightInd w:val="0"/>
              <w:snapToGrid w:val="0"/>
              <w:spacing w:line="240" w:lineRule="auto"/>
              <w:rPr>
                <w:sz w:val="21"/>
                <w:szCs w:val="21"/>
              </w:rPr>
            </w:pPr>
            <w:r>
              <w:rPr>
                <w:sz w:val="21"/>
                <w:szCs w:val="21"/>
              </w:rPr>
              <w:t>COD、BOD</w:t>
            </w:r>
            <w:r>
              <w:rPr>
                <w:sz w:val="21"/>
                <w:szCs w:val="21"/>
                <w:vertAlign w:val="subscript"/>
              </w:rPr>
              <w:t>5</w:t>
            </w:r>
            <w:r>
              <w:rPr>
                <w:sz w:val="21"/>
                <w:szCs w:val="21"/>
              </w:rPr>
              <w:t>、NH</w:t>
            </w:r>
            <w:r>
              <w:rPr>
                <w:sz w:val="21"/>
                <w:szCs w:val="21"/>
                <w:vertAlign w:val="subscript"/>
              </w:rPr>
              <w:t>3</w:t>
            </w:r>
            <w:r>
              <w:rPr>
                <w:sz w:val="21"/>
                <w:szCs w:val="21"/>
              </w:rPr>
              <w:t>-N等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vMerge w:val="continue"/>
            <w:vAlign w:val="center"/>
          </w:tcPr>
          <w:p>
            <w:pPr>
              <w:adjustRightInd w:val="0"/>
              <w:snapToGrid w:val="0"/>
              <w:jc w:val="center"/>
              <w:rPr>
                <w:szCs w:val="21"/>
              </w:rPr>
            </w:pPr>
          </w:p>
        </w:tc>
        <w:tc>
          <w:tcPr>
            <w:tcW w:w="2126" w:type="dxa"/>
            <w:vAlign w:val="center"/>
          </w:tcPr>
          <w:p>
            <w:pPr>
              <w:adjustRightInd w:val="0"/>
              <w:snapToGrid w:val="0"/>
              <w:jc w:val="center"/>
              <w:rPr>
                <w:color w:val="548235" w:themeColor="accent6" w:themeShade="BF"/>
                <w:szCs w:val="21"/>
              </w:rPr>
            </w:pPr>
            <w:r>
              <w:rPr>
                <w:rFonts w:hint="eastAsia"/>
                <w:color w:val="548235" w:themeColor="accent6" w:themeShade="BF"/>
                <w:szCs w:val="21"/>
              </w:rPr>
              <w:t>反渗透膜冲洗废水</w:t>
            </w:r>
          </w:p>
        </w:tc>
        <w:tc>
          <w:tcPr>
            <w:tcW w:w="3544" w:type="dxa"/>
            <w:vAlign w:val="center"/>
          </w:tcPr>
          <w:p>
            <w:pPr>
              <w:adjustRightInd w:val="0"/>
              <w:snapToGrid w:val="0"/>
              <w:jc w:val="center"/>
              <w:rPr>
                <w:rFonts w:hint="eastAsia"/>
                <w:color w:val="548235" w:themeColor="accent6" w:themeShade="BF"/>
                <w:szCs w:val="21"/>
              </w:rPr>
            </w:pPr>
            <w:r>
              <w:rPr>
                <w:rFonts w:hint="eastAsia"/>
                <w:color w:val="548235" w:themeColor="accent6" w:themeShade="BF"/>
                <w:szCs w:val="21"/>
              </w:rPr>
              <w:t>渗滤液处理站反渗透膜清洗工序</w:t>
            </w:r>
          </w:p>
        </w:tc>
        <w:tc>
          <w:tcPr>
            <w:tcW w:w="1757" w:type="dxa"/>
            <w:vMerge w:val="continue"/>
            <w:vAlign w:val="center"/>
          </w:tcPr>
          <w:p>
            <w:pPr>
              <w:pStyle w:val="901"/>
              <w:adjustRightInd w:val="0"/>
              <w:snapToGrid w:val="0"/>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vMerge w:val="continue"/>
            <w:vAlign w:val="center"/>
          </w:tcPr>
          <w:p>
            <w:pPr>
              <w:adjustRightInd w:val="0"/>
              <w:snapToGrid w:val="0"/>
              <w:jc w:val="center"/>
              <w:rPr>
                <w:szCs w:val="21"/>
              </w:rPr>
            </w:pPr>
          </w:p>
        </w:tc>
        <w:tc>
          <w:tcPr>
            <w:tcW w:w="2126" w:type="dxa"/>
            <w:vAlign w:val="center"/>
          </w:tcPr>
          <w:p>
            <w:pPr>
              <w:adjustRightInd w:val="0"/>
              <w:snapToGrid w:val="0"/>
              <w:jc w:val="center"/>
              <w:rPr>
                <w:szCs w:val="21"/>
              </w:rPr>
            </w:pPr>
            <w:r>
              <w:rPr>
                <w:szCs w:val="21"/>
              </w:rPr>
              <w:t>生活污水</w:t>
            </w:r>
          </w:p>
        </w:tc>
        <w:tc>
          <w:tcPr>
            <w:tcW w:w="3544" w:type="dxa"/>
            <w:vAlign w:val="center"/>
          </w:tcPr>
          <w:p>
            <w:pPr>
              <w:adjustRightInd w:val="0"/>
              <w:snapToGrid w:val="0"/>
              <w:jc w:val="center"/>
              <w:rPr>
                <w:szCs w:val="21"/>
              </w:rPr>
            </w:pPr>
            <w:r>
              <w:rPr>
                <w:szCs w:val="21"/>
              </w:rPr>
              <w:t>管理站工作人员产生的生活污水</w:t>
            </w:r>
          </w:p>
        </w:tc>
        <w:tc>
          <w:tcPr>
            <w:tcW w:w="1757" w:type="dxa"/>
            <w:vMerge w:val="continue"/>
            <w:vAlign w:val="center"/>
          </w:tcPr>
          <w:p>
            <w:pPr>
              <w:pStyle w:val="901"/>
              <w:adjustRightInd w:val="0"/>
              <w:snapToGrid w:val="0"/>
              <w:spacing w:line="240" w:lineRule="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adjustRightInd w:val="0"/>
              <w:snapToGrid w:val="0"/>
              <w:jc w:val="center"/>
              <w:rPr>
                <w:szCs w:val="21"/>
              </w:rPr>
            </w:pPr>
            <w:r>
              <w:rPr>
                <w:szCs w:val="21"/>
              </w:rPr>
              <w:t>噪声</w:t>
            </w:r>
          </w:p>
        </w:tc>
        <w:tc>
          <w:tcPr>
            <w:tcW w:w="2126" w:type="dxa"/>
            <w:vAlign w:val="center"/>
          </w:tcPr>
          <w:p>
            <w:pPr>
              <w:adjustRightInd w:val="0"/>
              <w:snapToGrid w:val="0"/>
              <w:rPr>
                <w:szCs w:val="21"/>
              </w:rPr>
            </w:pPr>
            <w:r>
              <w:rPr>
                <w:szCs w:val="21"/>
              </w:rPr>
              <w:t>填埋场垃圾压实机械和垃圾运输车辆</w:t>
            </w:r>
          </w:p>
        </w:tc>
        <w:tc>
          <w:tcPr>
            <w:tcW w:w="3544" w:type="dxa"/>
            <w:vAlign w:val="center"/>
          </w:tcPr>
          <w:p>
            <w:pPr>
              <w:adjustRightInd w:val="0"/>
              <w:snapToGrid w:val="0"/>
              <w:jc w:val="center"/>
              <w:rPr>
                <w:szCs w:val="21"/>
              </w:rPr>
            </w:pPr>
            <w:r>
              <w:rPr>
                <w:szCs w:val="21"/>
              </w:rPr>
              <w:t>填埋场垃圾压实机械和垃圾运输车辆</w:t>
            </w:r>
          </w:p>
        </w:tc>
        <w:tc>
          <w:tcPr>
            <w:tcW w:w="1757" w:type="dxa"/>
            <w:vAlign w:val="center"/>
          </w:tcPr>
          <w:p>
            <w:pPr>
              <w:adjustRightInd w:val="0"/>
              <w:snapToGrid w:val="0"/>
              <w:jc w:val="center"/>
              <w:rPr>
                <w:szCs w:val="21"/>
              </w:rPr>
            </w:pPr>
            <w:r>
              <w:rPr>
                <w:szCs w:val="21"/>
              </w:rPr>
              <w:t>噪声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adjustRightInd w:val="0"/>
              <w:snapToGrid w:val="0"/>
              <w:jc w:val="center"/>
              <w:rPr>
                <w:szCs w:val="21"/>
              </w:rPr>
            </w:pPr>
            <w:r>
              <w:rPr>
                <w:szCs w:val="21"/>
              </w:rPr>
              <w:t>固废</w:t>
            </w:r>
          </w:p>
        </w:tc>
        <w:tc>
          <w:tcPr>
            <w:tcW w:w="2126" w:type="dxa"/>
            <w:vAlign w:val="center"/>
          </w:tcPr>
          <w:p>
            <w:pPr>
              <w:adjustRightInd w:val="0"/>
              <w:snapToGrid w:val="0"/>
              <w:jc w:val="center"/>
              <w:rPr>
                <w:szCs w:val="21"/>
              </w:rPr>
            </w:pPr>
            <w:r>
              <w:rPr>
                <w:szCs w:val="21"/>
              </w:rPr>
              <w:t>生活垃圾</w:t>
            </w:r>
            <w:r>
              <w:rPr>
                <w:rFonts w:hint="eastAsia"/>
                <w:szCs w:val="21"/>
              </w:rPr>
              <w:t>、污泥、废旧反渗透膜</w:t>
            </w:r>
          </w:p>
        </w:tc>
        <w:tc>
          <w:tcPr>
            <w:tcW w:w="3544" w:type="dxa"/>
            <w:vAlign w:val="center"/>
          </w:tcPr>
          <w:p>
            <w:pPr>
              <w:adjustRightInd w:val="0"/>
              <w:snapToGrid w:val="0"/>
              <w:jc w:val="center"/>
              <w:rPr>
                <w:szCs w:val="21"/>
              </w:rPr>
            </w:pPr>
            <w:r>
              <w:rPr>
                <w:szCs w:val="21"/>
              </w:rPr>
              <w:t>填埋场工作人员生活垃圾</w:t>
            </w:r>
            <w:r>
              <w:rPr>
                <w:rFonts w:hint="eastAsia"/>
                <w:szCs w:val="21"/>
              </w:rPr>
              <w:t>、调节池污泥、渗滤液处理站定期更换的废旧反渗透膜</w:t>
            </w:r>
          </w:p>
        </w:tc>
        <w:tc>
          <w:tcPr>
            <w:tcW w:w="1757" w:type="dxa"/>
            <w:vAlign w:val="center"/>
          </w:tcPr>
          <w:p>
            <w:pPr>
              <w:pStyle w:val="901"/>
              <w:adjustRightInd w:val="0"/>
              <w:snapToGrid w:val="0"/>
              <w:spacing w:line="240" w:lineRule="auto"/>
              <w:rPr>
                <w:sz w:val="21"/>
                <w:szCs w:val="21"/>
              </w:rPr>
            </w:pPr>
            <w:r>
              <w:rPr>
                <w:sz w:val="21"/>
                <w:szCs w:val="21"/>
              </w:rPr>
              <w:t>固体废物</w:t>
            </w:r>
          </w:p>
        </w:tc>
      </w:tr>
    </w:tbl>
    <w:p>
      <w:pPr>
        <w:pStyle w:val="831"/>
        <w:keepNext w:val="0"/>
        <w:spacing w:before="156" w:beforeLines="50" w:after="156" w:afterLines="50" w:line="360" w:lineRule="auto"/>
        <w:rPr>
          <w:rFonts w:cs="Times New Roman"/>
        </w:rPr>
      </w:pPr>
      <w:bookmarkStart w:id="181" w:name="_Toc143762317"/>
      <w:bookmarkStart w:id="182" w:name="_Toc489432988"/>
      <w:r>
        <w:rPr>
          <w:rFonts w:cs="Times New Roman"/>
        </w:rPr>
        <w:t>3.2.4项目污染物排放分析</w:t>
      </w:r>
      <w:bookmarkEnd w:id="181"/>
      <w:bookmarkEnd w:id="182"/>
    </w:p>
    <w:p>
      <w:pPr>
        <w:adjustRightInd w:val="0"/>
        <w:snapToGrid w:val="0"/>
        <w:spacing w:line="360" w:lineRule="auto"/>
        <w:outlineLvl w:val="3"/>
        <w:rPr>
          <w:b/>
          <w:sz w:val="24"/>
        </w:rPr>
      </w:pPr>
      <w:r>
        <w:rPr>
          <w:b/>
          <w:sz w:val="24"/>
        </w:rPr>
        <w:t>3.2.4.1</w:t>
      </w:r>
      <w:r>
        <w:rPr>
          <w:rFonts w:hint="eastAsia"/>
          <w:b/>
          <w:sz w:val="24"/>
        </w:rPr>
        <w:t>大气</w:t>
      </w:r>
      <w:r>
        <w:rPr>
          <w:b/>
          <w:sz w:val="24"/>
        </w:rPr>
        <w:t>污染源分析</w:t>
      </w:r>
    </w:p>
    <w:p>
      <w:pPr>
        <w:adjustRightInd w:val="0"/>
        <w:snapToGrid w:val="0"/>
        <w:spacing w:line="360" w:lineRule="auto"/>
        <w:ind w:firstLine="480" w:firstLineChars="200"/>
        <w:rPr>
          <w:sz w:val="24"/>
        </w:rPr>
      </w:pPr>
      <w:r>
        <w:rPr>
          <w:sz w:val="24"/>
        </w:rPr>
        <w:t>该生活垃圾卫生填埋场的大气污染源来自于填埋场区垃圾发酵后产生的废气和填埋过程产生的粉尘</w:t>
      </w:r>
    </w:p>
    <w:p>
      <w:pPr>
        <w:adjustRightInd w:val="0"/>
        <w:snapToGrid w:val="0"/>
        <w:spacing w:line="360" w:lineRule="auto"/>
        <w:ind w:firstLine="480" w:firstLineChars="200"/>
        <w:rPr>
          <w:sz w:val="24"/>
        </w:rPr>
      </w:pPr>
      <w:r>
        <w:rPr>
          <w:rFonts w:hint="eastAsia"/>
          <w:sz w:val="24"/>
        </w:rPr>
        <w:t>1、填埋场填埋气</w:t>
      </w:r>
    </w:p>
    <w:p>
      <w:pPr>
        <w:adjustRightInd w:val="0"/>
        <w:snapToGrid w:val="0"/>
        <w:spacing w:line="360" w:lineRule="auto"/>
        <w:ind w:firstLine="480" w:firstLineChars="200"/>
        <w:rPr>
          <w:sz w:val="24"/>
        </w:rPr>
      </w:pPr>
      <w:r>
        <w:rPr>
          <w:rFonts w:hint="eastAsia"/>
          <w:sz w:val="24"/>
        </w:rPr>
        <w:t>（1）</w:t>
      </w:r>
      <w:r>
        <w:rPr>
          <w:sz w:val="24"/>
        </w:rPr>
        <w:t>填埋气类型</w:t>
      </w:r>
    </w:p>
    <w:p>
      <w:pPr>
        <w:adjustRightInd w:val="0"/>
        <w:snapToGrid w:val="0"/>
        <w:spacing w:line="360" w:lineRule="auto"/>
        <w:ind w:firstLine="480" w:firstLineChars="200"/>
        <w:rPr>
          <w:sz w:val="24"/>
        </w:rPr>
      </w:pPr>
      <w:r>
        <w:rPr>
          <w:sz w:val="24"/>
        </w:rPr>
        <w:t>垃圾填埋后，其中的有机物经微生物的生化降解作用，将产生CH</w:t>
      </w:r>
      <w:r>
        <w:rPr>
          <w:sz w:val="24"/>
          <w:vertAlign w:val="subscript"/>
        </w:rPr>
        <w:t>4</w:t>
      </w:r>
      <w:r>
        <w:rPr>
          <w:sz w:val="24"/>
        </w:rPr>
        <w:t>、CO</w:t>
      </w:r>
      <w:r>
        <w:rPr>
          <w:sz w:val="24"/>
          <w:vertAlign w:val="subscript"/>
        </w:rPr>
        <w:t>2</w:t>
      </w:r>
      <w:r>
        <w:rPr>
          <w:sz w:val="24"/>
        </w:rPr>
        <w:t>、H</w:t>
      </w:r>
      <w:r>
        <w:rPr>
          <w:sz w:val="24"/>
          <w:vertAlign w:val="subscript"/>
        </w:rPr>
        <w:t>2</w:t>
      </w:r>
      <w:r>
        <w:rPr>
          <w:sz w:val="24"/>
        </w:rPr>
        <w:t>S、NH</w:t>
      </w:r>
      <w:r>
        <w:rPr>
          <w:sz w:val="24"/>
          <w:vertAlign w:val="subscript"/>
        </w:rPr>
        <w:t>3</w:t>
      </w:r>
      <w:r>
        <w:rPr>
          <w:sz w:val="24"/>
        </w:rPr>
        <w:t>、硫醇等气体。填埋场的产气量和成分与垃圾组成、填埋垃圾稳定化进程、填埋场所在地区水文地质和填埋方式等因素相关。</w:t>
      </w:r>
    </w:p>
    <w:p>
      <w:pPr>
        <w:adjustRightInd w:val="0"/>
        <w:snapToGrid w:val="0"/>
        <w:spacing w:line="360" w:lineRule="auto"/>
        <w:ind w:firstLine="480" w:firstLineChars="200"/>
        <w:rPr>
          <w:sz w:val="24"/>
        </w:rPr>
      </w:pPr>
      <w:r>
        <w:rPr>
          <w:sz w:val="24"/>
        </w:rPr>
        <w:t>垃圾填埋后，从开始产气至稳定化期产气停止共经历好氧分解、厌氧发酵、不稳定甲烷发酵和稳定甲烷发酵这四个阶段。</w:t>
      </w:r>
    </w:p>
    <w:p>
      <w:pPr>
        <w:adjustRightInd w:val="0"/>
        <w:snapToGrid w:val="0"/>
        <w:spacing w:line="360" w:lineRule="auto"/>
        <w:ind w:firstLine="480" w:firstLineChars="200"/>
        <w:rPr>
          <w:sz w:val="24"/>
        </w:rPr>
      </w:pPr>
      <w:r>
        <w:rPr>
          <w:sz w:val="24"/>
        </w:rPr>
        <w:t>好氧分解阶段：垃圾中有机物好氧分解</w:t>
      </w:r>
    </w:p>
    <w:p>
      <w:pPr>
        <w:pStyle w:val="69"/>
        <w:adjustRightInd w:val="0"/>
        <w:snapToGrid w:val="0"/>
        <w:spacing w:after="0" w:line="360" w:lineRule="auto"/>
        <w:ind w:firstLine="480" w:firstLineChars="200"/>
        <w:jc w:val="both"/>
        <w:rPr>
          <w:kern w:val="0"/>
          <w:sz w:val="24"/>
          <w:szCs w:val="24"/>
        </w:rPr>
      </w:pPr>
      <w:r>
        <w:rPr>
          <w:kern w:val="0"/>
          <w:sz w:val="24"/>
          <w:szCs w:val="24"/>
        </w:rPr>
        <w:t>C</w:t>
      </w:r>
      <w:r>
        <w:rPr>
          <w:kern w:val="0"/>
          <w:sz w:val="24"/>
          <w:szCs w:val="24"/>
          <w:vertAlign w:val="subscript"/>
        </w:rPr>
        <w:t>6</w:t>
      </w:r>
      <w:r>
        <w:rPr>
          <w:kern w:val="0"/>
          <w:sz w:val="24"/>
          <w:szCs w:val="24"/>
        </w:rPr>
        <w:t>H</w:t>
      </w:r>
      <w:r>
        <w:rPr>
          <w:kern w:val="0"/>
          <w:sz w:val="24"/>
          <w:szCs w:val="24"/>
          <w:vertAlign w:val="subscript"/>
        </w:rPr>
        <w:t>12</w:t>
      </w:r>
      <w:r>
        <w:rPr>
          <w:kern w:val="0"/>
          <w:sz w:val="24"/>
          <w:szCs w:val="24"/>
        </w:rPr>
        <w:t>O</w:t>
      </w:r>
      <w:r>
        <w:rPr>
          <w:kern w:val="0"/>
          <w:sz w:val="24"/>
          <w:szCs w:val="24"/>
          <w:vertAlign w:val="subscript"/>
        </w:rPr>
        <w:t>6</w:t>
      </w:r>
      <w:r>
        <w:rPr>
          <w:kern w:val="0"/>
          <w:sz w:val="24"/>
          <w:szCs w:val="24"/>
        </w:rPr>
        <w:t>＋6O</w:t>
      </w:r>
      <w:r>
        <w:rPr>
          <w:kern w:val="0"/>
          <w:sz w:val="24"/>
          <w:szCs w:val="24"/>
          <w:vertAlign w:val="subscript"/>
        </w:rPr>
        <w:t>2</w:t>
      </w:r>
      <w:r>
        <w:rPr>
          <w:kern w:val="0"/>
          <w:sz w:val="24"/>
          <w:szCs w:val="24"/>
        </w:rPr>
        <w:t>→6CO</w:t>
      </w:r>
      <w:r>
        <w:rPr>
          <w:kern w:val="0"/>
          <w:sz w:val="24"/>
          <w:szCs w:val="24"/>
          <w:vertAlign w:val="subscript"/>
        </w:rPr>
        <w:t>2</w:t>
      </w:r>
      <w:r>
        <w:rPr>
          <w:kern w:val="0"/>
          <w:sz w:val="24"/>
          <w:szCs w:val="24"/>
        </w:rPr>
        <w:t>＋6H</w:t>
      </w:r>
      <w:r>
        <w:rPr>
          <w:kern w:val="0"/>
          <w:sz w:val="24"/>
          <w:szCs w:val="24"/>
          <w:vertAlign w:val="subscript"/>
        </w:rPr>
        <w:t>2</w:t>
      </w:r>
      <w:r>
        <w:rPr>
          <w:kern w:val="0"/>
          <w:sz w:val="24"/>
          <w:szCs w:val="24"/>
        </w:rPr>
        <w:t>O</w:t>
      </w:r>
    </w:p>
    <w:p>
      <w:pPr>
        <w:pStyle w:val="69"/>
        <w:adjustRightInd w:val="0"/>
        <w:snapToGrid w:val="0"/>
        <w:spacing w:after="0" w:line="360" w:lineRule="auto"/>
        <w:ind w:firstLine="120" w:firstLineChars="50"/>
        <w:jc w:val="both"/>
        <w:rPr>
          <w:kern w:val="0"/>
          <w:sz w:val="24"/>
          <w:szCs w:val="24"/>
        </w:rPr>
      </w:pPr>
      <w:r>
        <w:rPr>
          <w:kern w:val="0"/>
          <w:sz w:val="24"/>
          <w:szCs w:val="24"/>
        </w:rPr>
        <w:t>随着氧气耗尽便转入厌氧发酵阶段。</w:t>
      </w:r>
    </w:p>
    <w:p>
      <w:pPr>
        <w:pStyle w:val="69"/>
        <w:adjustRightInd w:val="0"/>
        <w:snapToGrid w:val="0"/>
        <w:spacing w:after="0" w:line="360" w:lineRule="auto"/>
        <w:ind w:left="0" w:leftChars="0" w:firstLine="480" w:firstLineChars="200"/>
        <w:jc w:val="both"/>
        <w:rPr>
          <w:kern w:val="0"/>
          <w:sz w:val="24"/>
          <w:szCs w:val="24"/>
        </w:rPr>
      </w:pPr>
      <w:r>
        <w:rPr>
          <w:kern w:val="0"/>
          <w:sz w:val="24"/>
          <w:szCs w:val="24"/>
        </w:rPr>
        <w:t>厌氧发酵阶段：垃圾填埋2个星期左右，有机物开始厌氧分解并释放出CO</w:t>
      </w:r>
      <w:r>
        <w:rPr>
          <w:kern w:val="0"/>
          <w:sz w:val="24"/>
          <w:szCs w:val="24"/>
          <w:vertAlign w:val="subscript"/>
        </w:rPr>
        <w:t>2</w:t>
      </w:r>
      <w:r>
        <w:rPr>
          <w:kern w:val="0"/>
          <w:sz w:val="24"/>
          <w:szCs w:val="24"/>
        </w:rPr>
        <w:t>，此阶段CO</w:t>
      </w:r>
      <w:r>
        <w:rPr>
          <w:kern w:val="0"/>
          <w:sz w:val="24"/>
          <w:szCs w:val="24"/>
          <w:vertAlign w:val="subscript"/>
        </w:rPr>
        <w:t>2</w:t>
      </w:r>
      <w:r>
        <w:rPr>
          <w:kern w:val="0"/>
          <w:sz w:val="24"/>
          <w:szCs w:val="24"/>
        </w:rPr>
        <w:t>约占废气成分的70%。</w:t>
      </w:r>
    </w:p>
    <w:p>
      <w:pPr>
        <w:pStyle w:val="69"/>
        <w:adjustRightInd w:val="0"/>
        <w:snapToGrid w:val="0"/>
        <w:spacing w:after="0" w:line="360" w:lineRule="auto"/>
        <w:ind w:left="0" w:leftChars="0" w:firstLine="480" w:firstLineChars="200"/>
        <w:jc w:val="both"/>
        <w:rPr>
          <w:kern w:val="0"/>
          <w:sz w:val="24"/>
          <w:szCs w:val="24"/>
        </w:rPr>
      </w:pPr>
      <w:r>
        <w:rPr>
          <w:kern w:val="0"/>
          <w:sz w:val="24"/>
          <w:szCs w:val="24"/>
        </w:rPr>
        <w:t>不稳定甲烷发酵阶段：垃圾填埋2个月左右，CH</w:t>
      </w:r>
      <w:r>
        <w:rPr>
          <w:kern w:val="0"/>
          <w:sz w:val="24"/>
          <w:szCs w:val="24"/>
          <w:vertAlign w:val="subscript"/>
        </w:rPr>
        <w:t>4</w:t>
      </w:r>
      <w:r>
        <w:rPr>
          <w:kern w:val="0"/>
          <w:sz w:val="24"/>
          <w:szCs w:val="24"/>
        </w:rPr>
        <w:t>开始产生，并逐渐增加，约2年左右达到最高峰，此时CH</w:t>
      </w:r>
      <w:r>
        <w:rPr>
          <w:kern w:val="0"/>
          <w:sz w:val="24"/>
          <w:szCs w:val="24"/>
          <w:vertAlign w:val="subscript"/>
        </w:rPr>
        <w:t>4</w:t>
      </w:r>
      <w:r>
        <w:rPr>
          <w:kern w:val="0"/>
          <w:sz w:val="24"/>
          <w:szCs w:val="24"/>
        </w:rPr>
        <w:t>约占废气的55%。</w:t>
      </w:r>
    </w:p>
    <w:p>
      <w:pPr>
        <w:pStyle w:val="69"/>
        <w:adjustRightInd w:val="0"/>
        <w:snapToGrid w:val="0"/>
        <w:spacing w:after="0" w:line="360" w:lineRule="auto"/>
        <w:ind w:left="0" w:leftChars="0" w:firstLine="480" w:firstLineChars="200"/>
        <w:jc w:val="both"/>
        <w:rPr>
          <w:kern w:val="0"/>
          <w:sz w:val="24"/>
          <w:szCs w:val="24"/>
        </w:rPr>
      </w:pPr>
      <w:r>
        <w:rPr>
          <w:kern w:val="0"/>
          <w:sz w:val="24"/>
          <w:szCs w:val="24"/>
        </w:rPr>
        <w:t>稳定甲烷发酵阶段：垃圾填埋约2年后，CH</w:t>
      </w:r>
      <w:r>
        <w:rPr>
          <w:kern w:val="0"/>
          <w:sz w:val="24"/>
          <w:szCs w:val="24"/>
          <w:vertAlign w:val="subscript"/>
        </w:rPr>
        <w:t>4</w:t>
      </w:r>
      <w:r>
        <w:rPr>
          <w:kern w:val="0"/>
          <w:sz w:val="24"/>
          <w:szCs w:val="24"/>
        </w:rPr>
        <w:t>和CO</w:t>
      </w:r>
      <w:r>
        <w:rPr>
          <w:kern w:val="0"/>
          <w:sz w:val="24"/>
          <w:szCs w:val="24"/>
          <w:vertAlign w:val="subscript"/>
        </w:rPr>
        <w:t>2</w:t>
      </w:r>
      <w:r>
        <w:rPr>
          <w:kern w:val="0"/>
          <w:sz w:val="24"/>
          <w:szCs w:val="24"/>
        </w:rPr>
        <w:t>均稳定产生，其后产生量将逐渐减少。</w:t>
      </w:r>
    </w:p>
    <w:p>
      <w:pPr>
        <w:pStyle w:val="69"/>
        <w:adjustRightInd w:val="0"/>
        <w:snapToGrid w:val="0"/>
        <w:spacing w:after="0" w:line="360" w:lineRule="auto"/>
        <w:ind w:left="0" w:leftChars="0" w:firstLine="480" w:firstLineChars="200"/>
        <w:jc w:val="both"/>
        <w:rPr>
          <w:sz w:val="24"/>
          <w:szCs w:val="24"/>
        </w:rPr>
      </w:pPr>
      <w:r>
        <w:rPr>
          <w:kern w:val="0"/>
          <w:sz w:val="24"/>
          <w:szCs w:val="24"/>
        </w:rPr>
        <w:t>垃圾废气的成分主要为CH</w:t>
      </w:r>
      <w:r>
        <w:rPr>
          <w:kern w:val="0"/>
          <w:sz w:val="24"/>
          <w:szCs w:val="24"/>
          <w:vertAlign w:val="subscript"/>
        </w:rPr>
        <w:t>4</w:t>
      </w:r>
      <w:r>
        <w:rPr>
          <w:kern w:val="0"/>
          <w:sz w:val="24"/>
          <w:szCs w:val="24"/>
        </w:rPr>
        <w:t>、CO</w:t>
      </w:r>
      <w:r>
        <w:rPr>
          <w:kern w:val="0"/>
          <w:sz w:val="24"/>
          <w:szCs w:val="24"/>
          <w:vertAlign w:val="subscript"/>
        </w:rPr>
        <w:t>2</w:t>
      </w:r>
      <w:r>
        <w:rPr>
          <w:kern w:val="0"/>
          <w:sz w:val="24"/>
          <w:szCs w:val="24"/>
        </w:rPr>
        <w:t>和少量的N</w:t>
      </w:r>
      <w:r>
        <w:rPr>
          <w:kern w:val="0"/>
          <w:sz w:val="24"/>
          <w:szCs w:val="24"/>
          <w:vertAlign w:val="subscript"/>
        </w:rPr>
        <w:t>2</w:t>
      </w:r>
      <w:r>
        <w:rPr>
          <w:kern w:val="0"/>
          <w:sz w:val="24"/>
          <w:szCs w:val="24"/>
        </w:rPr>
        <w:t>、CO、H</w:t>
      </w:r>
      <w:r>
        <w:rPr>
          <w:kern w:val="0"/>
          <w:sz w:val="24"/>
          <w:szCs w:val="24"/>
          <w:vertAlign w:val="subscript"/>
        </w:rPr>
        <w:t>2</w:t>
      </w:r>
      <w:r>
        <w:rPr>
          <w:kern w:val="0"/>
          <w:sz w:val="24"/>
          <w:szCs w:val="24"/>
        </w:rPr>
        <w:t>S、NH</w:t>
      </w:r>
      <w:r>
        <w:rPr>
          <w:kern w:val="0"/>
          <w:sz w:val="24"/>
          <w:szCs w:val="24"/>
          <w:vertAlign w:val="subscript"/>
        </w:rPr>
        <w:t>3</w:t>
      </w:r>
      <w:r>
        <w:rPr>
          <w:kern w:val="0"/>
          <w:sz w:val="24"/>
          <w:szCs w:val="24"/>
        </w:rPr>
        <w:t>等，</w:t>
      </w:r>
      <w:r>
        <w:rPr>
          <w:sz w:val="24"/>
          <w:szCs w:val="24"/>
        </w:rPr>
        <w:t>垃圾填埋气中各组分的特性见下表3.2-4。</w:t>
      </w:r>
    </w:p>
    <w:p>
      <w:pPr>
        <w:autoSpaceDE w:val="0"/>
        <w:autoSpaceDN w:val="0"/>
        <w:adjustRightInd w:val="0"/>
        <w:spacing w:line="360" w:lineRule="auto"/>
        <w:ind w:firstLine="466"/>
        <w:jc w:val="center"/>
        <w:rPr>
          <w:b/>
          <w:bCs/>
          <w:spacing w:val="-4"/>
          <w:sz w:val="24"/>
        </w:rPr>
      </w:pPr>
      <w:r>
        <w:rPr>
          <w:b/>
          <w:bCs/>
          <w:spacing w:val="-4"/>
          <w:sz w:val="24"/>
        </w:rPr>
        <w:t>表3.2-4 垃圾填埋气各成分的特性</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19"/>
        <w:gridCol w:w="916"/>
        <w:gridCol w:w="982"/>
        <w:gridCol w:w="982"/>
        <w:gridCol w:w="982"/>
        <w:gridCol w:w="1021"/>
        <w:gridCol w:w="999"/>
        <w:gridCol w:w="10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8" w:type="dxa"/>
            <w:vAlign w:val="center"/>
          </w:tcPr>
          <w:p>
            <w:pPr>
              <w:jc w:val="center"/>
              <w:rPr>
                <w:szCs w:val="21"/>
              </w:rPr>
            </w:pPr>
            <w:r>
              <w:rPr>
                <w:szCs w:val="21"/>
              </w:rPr>
              <w:t>特性</w:t>
            </w:r>
          </w:p>
        </w:tc>
        <w:tc>
          <w:tcPr>
            <w:tcW w:w="808" w:type="dxa"/>
            <w:vAlign w:val="center"/>
          </w:tcPr>
          <w:p>
            <w:pPr>
              <w:jc w:val="center"/>
              <w:rPr>
                <w:szCs w:val="21"/>
              </w:rPr>
            </w:pPr>
            <w:r>
              <w:rPr>
                <w:szCs w:val="21"/>
              </w:rPr>
              <w:t>CH</w:t>
            </w:r>
            <w:r>
              <w:rPr>
                <w:szCs w:val="21"/>
                <w:vertAlign w:val="subscript"/>
              </w:rPr>
              <w:t>4</w:t>
            </w:r>
          </w:p>
        </w:tc>
        <w:tc>
          <w:tcPr>
            <w:tcW w:w="1000" w:type="dxa"/>
            <w:vAlign w:val="center"/>
          </w:tcPr>
          <w:p>
            <w:pPr>
              <w:jc w:val="center"/>
              <w:rPr>
                <w:szCs w:val="21"/>
              </w:rPr>
            </w:pPr>
            <w:r>
              <w:rPr>
                <w:szCs w:val="21"/>
              </w:rPr>
              <w:t>CO</w:t>
            </w:r>
            <w:r>
              <w:rPr>
                <w:szCs w:val="21"/>
                <w:vertAlign w:val="subscript"/>
              </w:rPr>
              <w:t>2</w:t>
            </w:r>
          </w:p>
        </w:tc>
        <w:tc>
          <w:tcPr>
            <w:tcW w:w="1000" w:type="dxa"/>
            <w:vAlign w:val="center"/>
          </w:tcPr>
          <w:p>
            <w:pPr>
              <w:jc w:val="center"/>
              <w:rPr>
                <w:szCs w:val="21"/>
              </w:rPr>
            </w:pPr>
            <w:r>
              <w:rPr>
                <w:szCs w:val="21"/>
              </w:rPr>
              <w:t>N</w:t>
            </w:r>
            <w:r>
              <w:rPr>
                <w:szCs w:val="21"/>
                <w:vertAlign w:val="subscript"/>
              </w:rPr>
              <w:t>2</w:t>
            </w:r>
          </w:p>
        </w:tc>
        <w:tc>
          <w:tcPr>
            <w:tcW w:w="1000" w:type="dxa"/>
            <w:vAlign w:val="center"/>
          </w:tcPr>
          <w:p>
            <w:pPr>
              <w:jc w:val="center"/>
              <w:rPr>
                <w:szCs w:val="21"/>
              </w:rPr>
            </w:pPr>
            <w:r>
              <w:rPr>
                <w:szCs w:val="21"/>
              </w:rPr>
              <w:t>H</w:t>
            </w:r>
            <w:r>
              <w:rPr>
                <w:szCs w:val="21"/>
                <w:vertAlign w:val="subscript"/>
              </w:rPr>
              <w:t>2</w:t>
            </w:r>
          </w:p>
        </w:tc>
        <w:tc>
          <w:tcPr>
            <w:tcW w:w="1021" w:type="dxa"/>
            <w:vAlign w:val="center"/>
          </w:tcPr>
          <w:p>
            <w:pPr>
              <w:jc w:val="center"/>
              <w:rPr>
                <w:szCs w:val="21"/>
              </w:rPr>
            </w:pPr>
            <w:r>
              <w:rPr>
                <w:szCs w:val="21"/>
              </w:rPr>
              <w:t>CO</w:t>
            </w:r>
          </w:p>
        </w:tc>
        <w:tc>
          <w:tcPr>
            <w:tcW w:w="1004" w:type="dxa"/>
            <w:vAlign w:val="center"/>
          </w:tcPr>
          <w:p>
            <w:pPr>
              <w:jc w:val="center"/>
              <w:rPr>
                <w:szCs w:val="21"/>
              </w:rPr>
            </w:pPr>
            <w:r>
              <w:rPr>
                <w:szCs w:val="21"/>
              </w:rPr>
              <w:t>H</w:t>
            </w:r>
            <w:r>
              <w:rPr>
                <w:szCs w:val="21"/>
                <w:vertAlign w:val="subscript"/>
              </w:rPr>
              <w:t>2</w:t>
            </w:r>
            <w:r>
              <w:rPr>
                <w:szCs w:val="21"/>
              </w:rPr>
              <w:t>S</w:t>
            </w:r>
          </w:p>
        </w:tc>
        <w:tc>
          <w:tcPr>
            <w:tcW w:w="1021" w:type="dxa"/>
            <w:vAlign w:val="center"/>
          </w:tcPr>
          <w:p>
            <w:pPr>
              <w:jc w:val="center"/>
              <w:rPr>
                <w:szCs w:val="21"/>
              </w:rPr>
            </w:pPr>
            <w:r>
              <w:rPr>
                <w:szCs w:val="21"/>
              </w:rPr>
              <w:t>NH</w:t>
            </w:r>
            <w:r>
              <w:rPr>
                <w:szCs w:val="21"/>
                <w:vertAlign w:val="sub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8" w:type="dxa"/>
            <w:vAlign w:val="center"/>
          </w:tcPr>
          <w:p>
            <w:pPr>
              <w:jc w:val="center"/>
              <w:rPr>
                <w:szCs w:val="21"/>
              </w:rPr>
            </w:pPr>
            <w:r>
              <w:rPr>
                <w:szCs w:val="21"/>
              </w:rPr>
              <w:t>相对比重</w:t>
            </w:r>
          </w:p>
          <w:p>
            <w:pPr>
              <w:jc w:val="center"/>
              <w:rPr>
                <w:szCs w:val="21"/>
              </w:rPr>
            </w:pPr>
            <w:r>
              <w:rPr>
                <w:szCs w:val="21"/>
              </w:rPr>
              <w:t>（空气=1）</w:t>
            </w:r>
          </w:p>
        </w:tc>
        <w:tc>
          <w:tcPr>
            <w:tcW w:w="808" w:type="dxa"/>
            <w:vAlign w:val="center"/>
          </w:tcPr>
          <w:p>
            <w:pPr>
              <w:jc w:val="center"/>
              <w:rPr>
                <w:szCs w:val="21"/>
              </w:rPr>
            </w:pPr>
            <w:r>
              <w:rPr>
                <w:szCs w:val="21"/>
              </w:rPr>
              <w:t>0.555</w:t>
            </w:r>
          </w:p>
        </w:tc>
        <w:tc>
          <w:tcPr>
            <w:tcW w:w="1000" w:type="dxa"/>
            <w:vAlign w:val="center"/>
          </w:tcPr>
          <w:p>
            <w:pPr>
              <w:jc w:val="center"/>
              <w:rPr>
                <w:szCs w:val="21"/>
              </w:rPr>
            </w:pPr>
            <w:r>
              <w:rPr>
                <w:szCs w:val="21"/>
              </w:rPr>
              <w:t>1.520</w:t>
            </w:r>
          </w:p>
        </w:tc>
        <w:tc>
          <w:tcPr>
            <w:tcW w:w="1000" w:type="dxa"/>
            <w:vAlign w:val="center"/>
          </w:tcPr>
          <w:p>
            <w:pPr>
              <w:jc w:val="center"/>
              <w:rPr>
                <w:szCs w:val="21"/>
              </w:rPr>
            </w:pPr>
            <w:r>
              <w:rPr>
                <w:szCs w:val="21"/>
              </w:rPr>
              <w:t>0.967</w:t>
            </w:r>
          </w:p>
        </w:tc>
        <w:tc>
          <w:tcPr>
            <w:tcW w:w="1000" w:type="dxa"/>
            <w:vAlign w:val="center"/>
          </w:tcPr>
          <w:p>
            <w:pPr>
              <w:jc w:val="center"/>
              <w:rPr>
                <w:szCs w:val="21"/>
              </w:rPr>
            </w:pPr>
            <w:r>
              <w:rPr>
                <w:szCs w:val="21"/>
              </w:rPr>
              <w:t>0.067</w:t>
            </w:r>
          </w:p>
        </w:tc>
        <w:tc>
          <w:tcPr>
            <w:tcW w:w="1021" w:type="dxa"/>
            <w:vAlign w:val="center"/>
          </w:tcPr>
          <w:p>
            <w:pPr>
              <w:jc w:val="center"/>
              <w:rPr>
                <w:szCs w:val="21"/>
              </w:rPr>
            </w:pPr>
            <w:r>
              <w:rPr>
                <w:szCs w:val="21"/>
              </w:rPr>
              <w:t>0.967</w:t>
            </w:r>
          </w:p>
        </w:tc>
        <w:tc>
          <w:tcPr>
            <w:tcW w:w="1004" w:type="dxa"/>
            <w:vAlign w:val="center"/>
          </w:tcPr>
          <w:p>
            <w:pPr>
              <w:jc w:val="center"/>
              <w:rPr>
                <w:szCs w:val="21"/>
              </w:rPr>
            </w:pPr>
            <w:r>
              <w:rPr>
                <w:szCs w:val="21"/>
              </w:rPr>
              <w:t>1.090</w:t>
            </w:r>
          </w:p>
        </w:tc>
        <w:tc>
          <w:tcPr>
            <w:tcW w:w="1021" w:type="dxa"/>
            <w:vAlign w:val="center"/>
          </w:tcPr>
          <w:p>
            <w:pPr>
              <w:jc w:val="center"/>
              <w:rPr>
                <w:szCs w:val="21"/>
              </w:rPr>
            </w:pPr>
            <w:r>
              <w:rPr>
                <w:szCs w:val="21"/>
              </w:rPr>
              <w:t>0.560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8" w:type="dxa"/>
            <w:vAlign w:val="center"/>
          </w:tcPr>
          <w:p>
            <w:pPr>
              <w:jc w:val="center"/>
              <w:rPr>
                <w:szCs w:val="21"/>
              </w:rPr>
            </w:pPr>
            <w:r>
              <w:rPr>
                <w:szCs w:val="21"/>
              </w:rPr>
              <w:t>可燃性</w:t>
            </w:r>
          </w:p>
        </w:tc>
        <w:tc>
          <w:tcPr>
            <w:tcW w:w="808" w:type="dxa"/>
            <w:vAlign w:val="center"/>
          </w:tcPr>
          <w:p>
            <w:pPr>
              <w:jc w:val="center"/>
              <w:rPr>
                <w:szCs w:val="21"/>
              </w:rPr>
            </w:pPr>
            <w:r>
              <w:rPr>
                <w:szCs w:val="21"/>
              </w:rPr>
              <w:t>可燃</w:t>
            </w:r>
          </w:p>
        </w:tc>
        <w:tc>
          <w:tcPr>
            <w:tcW w:w="1000" w:type="dxa"/>
            <w:vAlign w:val="center"/>
          </w:tcPr>
          <w:p>
            <w:pPr>
              <w:jc w:val="center"/>
              <w:rPr>
                <w:szCs w:val="21"/>
              </w:rPr>
            </w:pPr>
            <w:r>
              <w:rPr>
                <w:szCs w:val="21"/>
              </w:rPr>
              <w:t>/</w:t>
            </w:r>
          </w:p>
        </w:tc>
        <w:tc>
          <w:tcPr>
            <w:tcW w:w="1000" w:type="dxa"/>
            <w:vAlign w:val="center"/>
          </w:tcPr>
          <w:p>
            <w:pPr>
              <w:jc w:val="center"/>
              <w:rPr>
                <w:szCs w:val="21"/>
              </w:rPr>
            </w:pPr>
            <w:r>
              <w:rPr>
                <w:szCs w:val="21"/>
              </w:rPr>
              <w:t>/</w:t>
            </w:r>
          </w:p>
        </w:tc>
        <w:tc>
          <w:tcPr>
            <w:tcW w:w="1000" w:type="dxa"/>
            <w:vAlign w:val="center"/>
          </w:tcPr>
          <w:p>
            <w:pPr>
              <w:jc w:val="center"/>
              <w:rPr>
                <w:szCs w:val="21"/>
              </w:rPr>
            </w:pPr>
            <w:r>
              <w:rPr>
                <w:szCs w:val="21"/>
              </w:rPr>
              <w:t>可燃</w:t>
            </w:r>
          </w:p>
        </w:tc>
        <w:tc>
          <w:tcPr>
            <w:tcW w:w="1021" w:type="dxa"/>
            <w:vAlign w:val="center"/>
          </w:tcPr>
          <w:p>
            <w:pPr>
              <w:jc w:val="center"/>
              <w:rPr>
                <w:szCs w:val="21"/>
              </w:rPr>
            </w:pPr>
            <w:r>
              <w:rPr>
                <w:szCs w:val="21"/>
              </w:rPr>
              <w:t>可燃</w:t>
            </w:r>
          </w:p>
        </w:tc>
        <w:tc>
          <w:tcPr>
            <w:tcW w:w="1004" w:type="dxa"/>
            <w:vAlign w:val="center"/>
          </w:tcPr>
          <w:p>
            <w:pPr>
              <w:jc w:val="center"/>
              <w:rPr>
                <w:szCs w:val="21"/>
              </w:rPr>
            </w:pPr>
            <w:r>
              <w:rPr>
                <w:szCs w:val="21"/>
              </w:rPr>
              <w:t>可燃</w:t>
            </w:r>
          </w:p>
        </w:tc>
        <w:tc>
          <w:tcPr>
            <w:tcW w:w="1021" w:type="dxa"/>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8" w:type="dxa"/>
            <w:vAlign w:val="center"/>
          </w:tcPr>
          <w:p>
            <w:pPr>
              <w:jc w:val="center"/>
              <w:rPr>
                <w:szCs w:val="21"/>
              </w:rPr>
            </w:pPr>
            <w:r>
              <w:rPr>
                <w:szCs w:val="21"/>
              </w:rPr>
              <w:t>与空气混合</w:t>
            </w:r>
          </w:p>
          <w:p>
            <w:pPr>
              <w:jc w:val="center"/>
              <w:rPr>
                <w:szCs w:val="21"/>
              </w:rPr>
            </w:pPr>
            <w:r>
              <w:rPr>
                <w:szCs w:val="21"/>
              </w:rPr>
              <w:t>爆炸浓度范围（体积%）</w:t>
            </w:r>
          </w:p>
        </w:tc>
        <w:tc>
          <w:tcPr>
            <w:tcW w:w="808" w:type="dxa"/>
            <w:vAlign w:val="center"/>
          </w:tcPr>
          <w:p>
            <w:pPr>
              <w:jc w:val="center"/>
              <w:rPr>
                <w:szCs w:val="21"/>
              </w:rPr>
            </w:pPr>
            <w:r>
              <w:rPr>
                <w:szCs w:val="21"/>
              </w:rPr>
              <w:t>5.0-15.0</w:t>
            </w:r>
          </w:p>
        </w:tc>
        <w:tc>
          <w:tcPr>
            <w:tcW w:w="1000" w:type="dxa"/>
            <w:vAlign w:val="center"/>
          </w:tcPr>
          <w:p>
            <w:pPr>
              <w:jc w:val="center"/>
              <w:rPr>
                <w:szCs w:val="21"/>
              </w:rPr>
            </w:pPr>
            <w:r>
              <w:rPr>
                <w:szCs w:val="21"/>
              </w:rPr>
              <w:t>/</w:t>
            </w:r>
          </w:p>
        </w:tc>
        <w:tc>
          <w:tcPr>
            <w:tcW w:w="1000" w:type="dxa"/>
            <w:vAlign w:val="center"/>
          </w:tcPr>
          <w:p>
            <w:pPr>
              <w:jc w:val="center"/>
              <w:rPr>
                <w:szCs w:val="21"/>
              </w:rPr>
            </w:pPr>
            <w:r>
              <w:rPr>
                <w:szCs w:val="21"/>
              </w:rPr>
              <w:t>/</w:t>
            </w:r>
          </w:p>
        </w:tc>
        <w:tc>
          <w:tcPr>
            <w:tcW w:w="1000" w:type="dxa"/>
            <w:vAlign w:val="center"/>
          </w:tcPr>
          <w:p>
            <w:pPr>
              <w:jc w:val="center"/>
              <w:rPr>
                <w:szCs w:val="21"/>
              </w:rPr>
            </w:pPr>
            <w:r>
              <w:rPr>
                <w:szCs w:val="21"/>
              </w:rPr>
              <w:t>4-4.2</w:t>
            </w:r>
          </w:p>
        </w:tc>
        <w:tc>
          <w:tcPr>
            <w:tcW w:w="1021" w:type="dxa"/>
            <w:vAlign w:val="center"/>
          </w:tcPr>
          <w:p>
            <w:pPr>
              <w:jc w:val="center"/>
              <w:rPr>
                <w:szCs w:val="21"/>
              </w:rPr>
            </w:pPr>
            <w:r>
              <w:rPr>
                <w:szCs w:val="21"/>
              </w:rPr>
              <w:t>12.5-74.2</w:t>
            </w:r>
          </w:p>
        </w:tc>
        <w:tc>
          <w:tcPr>
            <w:tcW w:w="1004" w:type="dxa"/>
            <w:vAlign w:val="center"/>
          </w:tcPr>
          <w:p>
            <w:pPr>
              <w:jc w:val="center"/>
              <w:rPr>
                <w:szCs w:val="21"/>
              </w:rPr>
            </w:pPr>
            <w:r>
              <w:rPr>
                <w:szCs w:val="21"/>
              </w:rPr>
              <w:t>4.3-45.5</w:t>
            </w:r>
          </w:p>
        </w:tc>
        <w:tc>
          <w:tcPr>
            <w:tcW w:w="1021" w:type="dxa"/>
            <w:vAlign w:val="center"/>
          </w:tcPr>
          <w:p>
            <w:pPr>
              <w:jc w:val="center"/>
              <w:rPr>
                <w:szCs w:val="21"/>
              </w:rPr>
            </w:pPr>
            <w:r>
              <w:rPr>
                <w:szCs w:val="21"/>
              </w:rPr>
              <w:t>15.5-27.0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8" w:type="dxa"/>
            <w:vAlign w:val="center"/>
          </w:tcPr>
          <w:p>
            <w:pPr>
              <w:jc w:val="center"/>
              <w:rPr>
                <w:szCs w:val="21"/>
              </w:rPr>
            </w:pPr>
            <w:r>
              <w:rPr>
                <w:szCs w:val="21"/>
              </w:rPr>
              <w:t>臭味</w:t>
            </w:r>
          </w:p>
        </w:tc>
        <w:tc>
          <w:tcPr>
            <w:tcW w:w="808" w:type="dxa"/>
            <w:vAlign w:val="center"/>
          </w:tcPr>
          <w:p>
            <w:pPr>
              <w:jc w:val="center"/>
              <w:rPr>
                <w:szCs w:val="21"/>
              </w:rPr>
            </w:pPr>
            <w:r>
              <w:rPr>
                <w:szCs w:val="21"/>
              </w:rPr>
              <w:t>无</w:t>
            </w:r>
          </w:p>
        </w:tc>
        <w:tc>
          <w:tcPr>
            <w:tcW w:w="1000" w:type="dxa"/>
            <w:vAlign w:val="center"/>
          </w:tcPr>
          <w:p>
            <w:pPr>
              <w:jc w:val="center"/>
              <w:rPr>
                <w:szCs w:val="21"/>
              </w:rPr>
            </w:pPr>
            <w:r>
              <w:rPr>
                <w:szCs w:val="21"/>
              </w:rPr>
              <w:t>无</w:t>
            </w:r>
          </w:p>
        </w:tc>
        <w:tc>
          <w:tcPr>
            <w:tcW w:w="1000" w:type="dxa"/>
            <w:vAlign w:val="center"/>
          </w:tcPr>
          <w:p>
            <w:pPr>
              <w:jc w:val="center"/>
              <w:rPr>
                <w:szCs w:val="21"/>
              </w:rPr>
            </w:pPr>
            <w:r>
              <w:rPr>
                <w:szCs w:val="21"/>
              </w:rPr>
              <w:t>无</w:t>
            </w:r>
          </w:p>
        </w:tc>
        <w:tc>
          <w:tcPr>
            <w:tcW w:w="1000" w:type="dxa"/>
            <w:vAlign w:val="center"/>
          </w:tcPr>
          <w:p>
            <w:pPr>
              <w:jc w:val="center"/>
              <w:rPr>
                <w:szCs w:val="21"/>
              </w:rPr>
            </w:pPr>
            <w:r>
              <w:rPr>
                <w:szCs w:val="21"/>
              </w:rPr>
              <w:t>无</w:t>
            </w:r>
          </w:p>
        </w:tc>
        <w:tc>
          <w:tcPr>
            <w:tcW w:w="1021" w:type="dxa"/>
            <w:vAlign w:val="center"/>
          </w:tcPr>
          <w:p>
            <w:pPr>
              <w:jc w:val="center"/>
              <w:rPr>
                <w:szCs w:val="21"/>
              </w:rPr>
            </w:pPr>
            <w:r>
              <w:rPr>
                <w:szCs w:val="21"/>
              </w:rPr>
              <w:t>轻微</w:t>
            </w:r>
          </w:p>
        </w:tc>
        <w:tc>
          <w:tcPr>
            <w:tcW w:w="1004" w:type="dxa"/>
            <w:vAlign w:val="center"/>
          </w:tcPr>
          <w:p>
            <w:pPr>
              <w:jc w:val="center"/>
              <w:rPr>
                <w:szCs w:val="21"/>
              </w:rPr>
            </w:pPr>
            <w:r>
              <w:rPr>
                <w:szCs w:val="21"/>
              </w:rPr>
              <w:t>有</w:t>
            </w:r>
          </w:p>
        </w:tc>
        <w:tc>
          <w:tcPr>
            <w:tcW w:w="1021" w:type="dxa"/>
            <w:vAlign w:val="center"/>
          </w:tcPr>
          <w:p>
            <w:pPr>
              <w:jc w:val="center"/>
              <w:rPr>
                <w:szCs w:val="21"/>
              </w:rPr>
            </w:pPr>
            <w:r>
              <w:rPr>
                <w:szCs w:val="21"/>
              </w:rPr>
              <w:t>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8" w:type="dxa"/>
            <w:vAlign w:val="center"/>
          </w:tcPr>
          <w:p>
            <w:pPr>
              <w:jc w:val="center"/>
              <w:rPr>
                <w:szCs w:val="21"/>
              </w:rPr>
            </w:pPr>
            <w:r>
              <w:rPr>
                <w:szCs w:val="21"/>
              </w:rPr>
              <w:t>毒性</w:t>
            </w:r>
          </w:p>
        </w:tc>
        <w:tc>
          <w:tcPr>
            <w:tcW w:w="808" w:type="dxa"/>
            <w:vAlign w:val="center"/>
          </w:tcPr>
          <w:p>
            <w:pPr>
              <w:jc w:val="center"/>
              <w:rPr>
                <w:szCs w:val="21"/>
              </w:rPr>
            </w:pPr>
            <w:r>
              <w:rPr>
                <w:szCs w:val="21"/>
              </w:rPr>
              <w:t>无</w:t>
            </w:r>
          </w:p>
        </w:tc>
        <w:tc>
          <w:tcPr>
            <w:tcW w:w="1000" w:type="dxa"/>
            <w:vAlign w:val="center"/>
          </w:tcPr>
          <w:p>
            <w:pPr>
              <w:jc w:val="center"/>
              <w:rPr>
                <w:szCs w:val="21"/>
              </w:rPr>
            </w:pPr>
            <w:r>
              <w:rPr>
                <w:szCs w:val="21"/>
              </w:rPr>
              <w:t>无</w:t>
            </w:r>
          </w:p>
        </w:tc>
        <w:tc>
          <w:tcPr>
            <w:tcW w:w="1000" w:type="dxa"/>
            <w:vAlign w:val="center"/>
          </w:tcPr>
          <w:p>
            <w:pPr>
              <w:jc w:val="center"/>
              <w:rPr>
                <w:szCs w:val="21"/>
              </w:rPr>
            </w:pPr>
            <w:r>
              <w:rPr>
                <w:szCs w:val="21"/>
              </w:rPr>
              <w:t>无</w:t>
            </w:r>
          </w:p>
        </w:tc>
        <w:tc>
          <w:tcPr>
            <w:tcW w:w="1000" w:type="dxa"/>
            <w:vAlign w:val="center"/>
          </w:tcPr>
          <w:p>
            <w:pPr>
              <w:jc w:val="center"/>
              <w:rPr>
                <w:szCs w:val="21"/>
              </w:rPr>
            </w:pPr>
            <w:r>
              <w:rPr>
                <w:szCs w:val="21"/>
              </w:rPr>
              <w:t>无</w:t>
            </w:r>
          </w:p>
        </w:tc>
        <w:tc>
          <w:tcPr>
            <w:tcW w:w="1021" w:type="dxa"/>
            <w:vAlign w:val="center"/>
          </w:tcPr>
          <w:p>
            <w:pPr>
              <w:jc w:val="center"/>
              <w:rPr>
                <w:szCs w:val="21"/>
              </w:rPr>
            </w:pPr>
            <w:r>
              <w:rPr>
                <w:szCs w:val="21"/>
              </w:rPr>
              <w:t>有</w:t>
            </w:r>
          </w:p>
        </w:tc>
        <w:tc>
          <w:tcPr>
            <w:tcW w:w="1004" w:type="dxa"/>
            <w:vAlign w:val="center"/>
          </w:tcPr>
          <w:p>
            <w:pPr>
              <w:jc w:val="center"/>
              <w:rPr>
                <w:szCs w:val="21"/>
              </w:rPr>
            </w:pPr>
            <w:r>
              <w:rPr>
                <w:szCs w:val="21"/>
              </w:rPr>
              <w:t>有</w:t>
            </w:r>
          </w:p>
        </w:tc>
        <w:tc>
          <w:tcPr>
            <w:tcW w:w="1021" w:type="dxa"/>
            <w:vAlign w:val="center"/>
          </w:tcPr>
          <w:p>
            <w:pPr>
              <w:jc w:val="center"/>
              <w:rPr>
                <w:szCs w:val="21"/>
              </w:rPr>
            </w:pPr>
            <w:r>
              <w:rPr>
                <w:szCs w:val="21"/>
              </w:rPr>
              <w:t>有</w:t>
            </w:r>
          </w:p>
        </w:tc>
      </w:tr>
    </w:tbl>
    <w:p>
      <w:pPr>
        <w:spacing w:line="360" w:lineRule="auto"/>
        <w:ind w:firstLine="600" w:firstLineChars="250"/>
        <w:rPr>
          <w:sz w:val="24"/>
        </w:rPr>
      </w:pPr>
    </w:p>
    <w:p>
      <w:pPr>
        <w:adjustRightInd w:val="0"/>
        <w:snapToGrid w:val="0"/>
        <w:spacing w:line="360" w:lineRule="auto"/>
        <w:ind w:firstLine="480" w:firstLineChars="200"/>
        <w:rPr>
          <w:sz w:val="24"/>
        </w:rPr>
      </w:pPr>
      <w:r>
        <w:rPr>
          <w:rFonts w:hint="eastAsia"/>
          <w:sz w:val="24"/>
        </w:rPr>
        <w:t>（2）</w:t>
      </w:r>
      <w:r>
        <w:rPr>
          <w:sz w:val="24"/>
        </w:rPr>
        <w:t>填埋气体产生量</w:t>
      </w:r>
    </w:p>
    <w:p>
      <w:pPr>
        <w:autoSpaceDE w:val="0"/>
        <w:autoSpaceDN w:val="0"/>
        <w:adjustRightInd w:val="0"/>
        <w:snapToGrid w:val="0"/>
        <w:spacing w:line="360" w:lineRule="auto"/>
        <w:ind w:firstLine="480" w:firstLineChars="200"/>
        <w:rPr>
          <w:kern w:val="0"/>
          <w:sz w:val="24"/>
        </w:rPr>
      </w:pPr>
      <w:r>
        <w:rPr>
          <w:sz w:val="24"/>
        </w:rPr>
        <w:t>垃圾填埋场废气的来源主要</w:t>
      </w:r>
      <w:r>
        <w:rPr>
          <w:kern w:val="0"/>
          <w:sz w:val="24"/>
        </w:rPr>
        <w:t>是已填埋的垃圾中的有机物由于微生物的生化降解作用而分解产生的填埋气体</w:t>
      </w:r>
      <w:r>
        <w:rPr>
          <w:sz w:val="24"/>
        </w:rPr>
        <w:t>。</w:t>
      </w:r>
      <w:r>
        <w:rPr>
          <w:kern w:val="0"/>
          <w:sz w:val="24"/>
        </w:rPr>
        <w:t>产物包括：CO</w:t>
      </w:r>
      <w:r>
        <w:rPr>
          <w:kern w:val="0"/>
          <w:sz w:val="24"/>
          <w:vertAlign w:val="subscript"/>
        </w:rPr>
        <w:t>2</w:t>
      </w:r>
      <w:r>
        <w:rPr>
          <w:kern w:val="0"/>
          <w:sz w:val="24"/>
        </w:rPr>
        <w:t>、H</w:t>
      </w:r>
      <w:r>
        <w:rPr>
          <w:kern w:val="0"/>
          <w:sz w:val="24"/>
          <w:vertAlign w:val="subscript"/>
        </w:rPr>
        <w:t>2</w:t>
      </w:r>
      <w:r>
        <w:rPr>
          <w:kern w:val="0"/>
          <w:sz w:val="24"/>
        </w:rPr>
        <w:t>O、CH</w:t>
      </w:r>
      <w:r>
        <w:rPr>
          <w:kern w:val="0"/>
          <w:sz w:val="24"/>
          <w:vertAlign w:val="subscript"/>
        </w:rPr>
        <w:t>4</w:t>
      </w:r>
      <w:r>
        <w:rPr>
          <w:kern w:val="0"/>
          <w:sz w:val="24"/>
        </w:rPr>
        <w:t>、H</w:t>
      </w:r>
      <w:r>
        <w:rPr>
          <w:kern w:val="0"/>
          <w:sz w:val="24"/>
          <w:vertAlign w:val="subscript"/>
        </w:rPr>
        <w:t>2</w:t>
      </w:r>
      <w:r>
        <w:rPr>
          <w:kern w:val="0"/>
          <w:sz w:val="24"/>
        </w:rPr>
        <w:t>S、NH</w:t>
      </w:r>
      <w:r>
        <w:rPr>
          <w:kern w:val="0"/>
          <w:sz w:val="24"/>
          <w:vertAlign w:val="subscript"/>
        </w:rPr>
        <w:t>3</w:t>
      </w:r>
      <w:r>
        <w:rPr>
          <w:kern w:val="0"/>
          <w:sz w:val="24"/>
        </w:rPr>
        <w:t>和其它气体，其中有害恶臭污染物为H</w:t>
      </w:r>
      <w:r>
        <w:rPr>
          <w:kern w:val="0"/>
          <w:sz w:val="24"/>
          <w:vertAlign w:val="subscript"/>
        </w:rPr>
        <w:t>2</w:t>
      </w:r>
      <w:r>
        <w:rPr>
          <w:kern w:val="0"/>
          <w:sz w:val="24"/>
        </w:rPr>
        <w:t>S、NH</w:t>
      </w:r>
      <w:r>
        <w:rPr>
          <w:kern w:val="0"/>
          <w:sz w:val="24"/>
          <w:vertAlign w:val="subscript"/>
        </w:rPr>
        <w:t>3</w:t>
      </w:r>
      <w:r>
        <w:rPr>
          <w:kern w:val="0"/>
          <w:sz w:val="24"/>
        </w:rPr>
        <w:t>，易燃易爆废气为CH</w:t>
      </w:r>
      <w:r>
        <w:rPr>
          <w:kern w:val="0"/>
          <w:sz w:val="24"/>
          <w:vertAlign w:val="subscript"/>
        </w:rPr>
        <w:t>4</w:t>
      </w:r>
      <w:r>
        <w:rPr>
          <w:kern w:val="0"/>
          <w:sz w:val="24"/>
        </w:rPr>
        <w:t>。</w:t>
      </w:r>
    </w:p>
    <w:p>
      <w:pPr>
        <w:autoSpaceDE w:val="0"/>
        <w:autoSpaceDN w:val="0"/>
        <w:adjustRightInd w:val="0"/>
        <w:snapToGrid w:val="0"/>
        <w:spacing w:line="360" w:lineRule="auto"/>
        <w:ind w:firstLine="480" w:firstLineChars="200"/>
        <w:rPr>
          <w:kern w:val="0"/>
          <w:sz w:val="24"/>
        </w:rPr>
      </w:pPr>
      <w:r>
        <w:rPr>
          <w:kern w:val="0"/>
          <w:sz w:val="24"/>
        </w:rPr>
        <w:t>根据《生活垃圾填埋场填埋气体收集处理及利用工程技术规范》（CJJ133-2009），填埋气产气速率估算采用下式计算：</w:t>
      </w:r>
    </w:p>
    <w:p>
      <w:pPr>
        <w:autoSpaceDE w:val="0"/>
        <w:autoSpaceDN w:val="0"/>
        <w:adjustRightInd w:val="0"/>
        <w:snapToGrid w:val="0"/>
        <w:spacing w:line="360" w:lineRule="auto"/>
        <w:jc w:val="center"/>
        <w:rPr>
          <w:kern w:val="0"/>
          <w:sz w:val="24"/>
        </w:rPr>
      </w:pPr>
      <w:r>
        <w:rPr>
          <w:kern w:val="0"/>
          <w:position w:val="-8"/>
          <w:sz w:val="24"/>
        </w:rPr>
        <w:object>
          <v:shape id="_x0000_i1027" o:spt="75" type="#_x0000_t75" style="height:21.75pt;width:136.55pt;" o:ole="t" filled="f" o:preferrelative="t" stroked="f" coordsize="21600,21600">
            <v:path/>
            <v:fill on="f" focussize="0,0"/>
            <v:stroke on="f" joinstyle="miter"/>
            <v:imagedata r:id="rId43" o:title=""/>
            <o:lock v:ext="edit" aspectratio="t"/>
            <w10:wrap type="none"/>
            <w10:anchorlock/>
          </v:shape>
          <o:OLEObject Type="Embed" ProgID="Equation.3" ShapeID="_x0000_i1027" DrawAspect="Content" ObjectID="_1468075727" r:id="rId42">
            <o:LockedField>false</o:LockedField>
          </o:OLEObject>
        </w:object>
      </w:r>
    </w:p>
    <w:p>
      <w:pPr>
        <w:autoSpaceDE w:val="0"/>
        <w:autoSpaceDN w:val="0"/>
        <w:adjustRightInd w:val="0"/>
        <w:snapToGrid w:val="0"/>
        <w:spacing w:line="360" w:lineRule="auto"/>
        <w:ind w:firstLine="480" w:firstLineChars="200"/>
        <w:rPr>
          <w:kern w:val="0"/>
          <w:sz w:val="24"/>
        </w:rPr>
      </w:pPr>
      <w:r>
        <w:rPr>
          <w:kern w:val="0"/>
          <w:sz w:val="24"/>
        </w:rPr>
        <w:t>式中：</w:t>
      </w:r>
      <w:r>
        <w:rPr>
          <w:iCs/>
          <w:kern w:val="0"/>
          <w:sz w:val="24"/>
        </w:rPr>
        <w:t>Qt—</w:t>
      </w:r>
      <w:r>
        <w:rPr>
          <w:kern w:val="0"/>
          <w:sz w:val="24"/>
        </w:rPr>
        <w:t>为所填埋垃圾在时间t时刻（第t年）的产气速率，m</w:t>
      </w:r>
      <w:r>
        <w:rPr>
          <w:kern w:val="0"/>
          <w:sz w:val="24"/>
          <w:vertAlign w:val="superscript"/>
        </w:rPr>
        <w:t>3</w:t>
      </w:r>
      <w:r>
        <w:rPr>
          <w:kern w:val="0"/>
          <w:sz w:val="24"/>
        </w:rPr>
        <w:t>/a；</w:t>
      </w:r>
    </w:p>
    <w:p>
      <w:pPr>
        <w:autoSpaceDE w:val="0"/>
        <w:autoSpaceDN w:val="0"/>
        <w:adjustRightInd w:val="0"/>
        <w:snapToGrid w:val="0"/>
        <w:spacing w:line="360" w:lineRule="auto"/>
        <w:ind w:firstLine="1200" w:firstLineChars="500"/>
        <w:rPr>
          <w:kern w:val="0"/>
          <w:sz w:val="24"/>
        </w:rPr>
      </w:pPr>
      <w:r>
        <w:rPr>
          <w:iCs/>
          <w:kern w:val="0"/>
          <w:sz w:val="24"/>
        </w:rPr>
        <w:t>M—</w:t>
      </w:r>
      <w:r>
        <w:rPr>
          <w:kern w:val="0"/>
          <w:sz w:val="24"/>
        </w:rPr>
        <w:t>为所填埋垃圾的重量，t；</w:t>
      </w:r>
    </w:p>
    <w:p>
      <w:pPr>
        <w:autoSpaceDE w:val="0"/>
        <w:autoSpaceDN w:val="0"/>
        <w:adjustRightInd w:val="0"/>
        <w:snapToGrid w:val="0"/>
        <w:spacing w:line="360" w:lineRule="auto"/>
        <w:ind w:firstLine="1200" w:firstLineChars="500"/>
        <w:rPr>
          <w:kern w:val="0"/>
          <w:sz w:val="24"/>
        </w:rPr>
      </w:pPr>
      <w:r>
        <w:rPr>
          <w:iCs/>
          <w:kern w:val="0"/>
          <w:sz w:val="24"/>
        </w:rPr>
        <w:t>L</w:t>
      </w:r>
      <w:r>
        <w:rPr>
          <w:iCs/>
          <w:kern w:val="0"/>
          <w:sz w:val="24"/>
          <w:vertAlign w:val="subscript"/>
        </w:rPr>
        <w:t>0</w:t>
      </w:r>
      <w:r>
        <w:rPr>
          <w:iCs/>
          <w:kern w:val="0"/>
          <w:sz w:val="24"/>
        </w:rPr>
        <w:t>—</w:t>
      </w:r>
      <w:r>
        <w:rPr>
          <w:kern w:val="0"/>
          <w:sz w:val="24"/>
        </w:rPr>
        <w:t>为单位重量垃圾的填埋气体最大产气量，m</w:t>
      </w:r>
      <w:r>
        <w:rPr>
          <w:kern w:val="0"/>
          <w:sz w:val="24"/>
          <w:vertAlign w:val="superscript"/>
        </w:rPr>
        <w:t>3</w:t>
      </w:r>
      <w:r>
        <w:rPr>
          <w:kern w:val="0"/>
          <w:sz w:val="24"/>
        </w:rPr>
        <w:t>/t；</w:t>
      </w:r>
    </w:p>
    <w:p>
      <w:pPr>
        <w:autoSpaceDE w:val="0"/>
        <w:autoSpaceDN w:val="0"/>
        <w:adjustRightInd w:val="0"/>
        <w:snapToGrid w:val="0"/>
        <w:spacing w:line="360" w:lineRule="auto"/>
        <w:ind w:firstLine="1200" w:firstLineChars="500"/>
        <w:rPr>
          <w:kern w:val="0"/>
          <w:sz w:val="24"/>
        </w:rPr>
      </w:pPr>
      <w:r>
        <w:rPr>
          <w:iCs/>
          <w:kern w:val="0"/>
          <w:sz w:val="24"/>
        </w:rPr>
        <w:t>K—</w:t>
      </w:r>
      <w:r>
        <w:rPr>
          <w:kern w:val="0"/>
          <w:sz w:val="24"/>
        </w:rPr>
        <w:t>为垃圾的产气速率常数，1/a；</w:t>
      </w:r>
    </w:p>
    <w:p>
      <w:pPr>
        <w:autoSpaceDE w:val="0"/>
        <w:autoSpaceDN w:val="0"/>
        <w:adjustRightInd w:val="0"/>
        <w:snapToGrid w:val="0"/>
        <w:spacing w:line="360" w:lineRule="auto"/>
        <w:ind w:firstLine="1200" w:firstLineChars="500"/>
        <w:rPr>
          <w:kern w:val="0"/>
          <w:sz w:val="24"/>
        </w:rPr>
      </w:pPr>
      <w:r>
        <w:rPr>
          <w:kern w:val="0"/>
          <w:sz w:val="24"/>
        </w:rPr>
        <w:t>t—为从垃圾进入填埋场时算起的时间，a。</w:t>
      </w:r>
    </w:p>
    <w:p>
      <w:pPr>
        <w:autoSpaceDE w:val="0"/>
        <w:autoSpaceDN w:val="0"/>
        <w:adjustRightInd w:val="0"/>
        <w:snapToGrid w:val="0"/>
        <w:spacing w:line="360" w:lineRule="auto"/>
        <w:ind w:firstLine="1200" w:firstLineChars="500"/>
        <w:rPr>
          <w:kern w:val="0"/>
          <w:sz w:val="24"/>
        </w:rPr>
      </w:pPr>
      <w:r>
        <w:rPr>
          <w:rFonts w:hint="eastAsia"/>
          <w:kern w:val="0"/>
          <w:sz w:val="24"/>
        </w:rPr>
        <w:t>填埋场单位质量垃圾的填埋气体最大产气量（</w:t>
      </w:r>
      <w:r>
        <w:rPr>
          <w:kern w:val="0"/>
          <w:sz w:val="24"/>
        </w:rPr>
        <w:t>L</w:t>
      </w:r>
      <w:r>
        <w:rPr>
          <w:kern w:val="0"/>
          <w:sz w:val="24"/>
          <w:vertAlign w:val="subscript"/>
        </w:rPr>
        <w:t>0</w:t>
      </w:r>
      <w:r>
        <w:rPr>
          <w:rFonts w:hint="eastAsia"/>
          <w:kern w:val="0"/>
          <w:sz w:val="24"/>
        </w:rPr>
        <w:t>）宜根据垃圾中可降解有机碳含量按下式估算：</w:t>
      </w:r>
    </w:p>
    <w:p>
      <w:pPr>
        <w:autoSpaceDE w:val="0"/>
        <w:autoSpaceDN w:val="0"/>
        <w:adjustRightInd w:val="0"/>
        <w:snapToGrid w:val="0"/>
        <w:spacing w:line="360" w:lineRule="auto"/>
        <w:ind w:firstLine="1200" w:firstLineChars="500"/>
        <w:rPr>
          <w:kern w:val="0"/>
          <w:sz w:val="24"/>
        </w:rPr>
      </w:pPr>
      <w:r>
        <w:rPr>
          <w:kern w:val="0"/>
          <w:sz w:val="24"/>
        </w:rPr>
        <w:t>L</w:t>
      </w:r>
      <w:r>
        <w:rPr>
          <w:kern w:val="0"/>
          <w:sz w:val="24"/>
          <w:vertAlign w:val="subscript"/>
        </w:rPr>
        <w:t>0</w:t>
      </w:r>
      <w:r>
        <w:rPr>
          <w:kern w:val="0"/>
          <w:sz w:val="24"/>
        </w:rPr>
        <w:t>=1.867C</w:t>
      </w:r>
      <w:r>
        <w:rPr>
          <w:kern w:val="0"/>
          <w:sz w:val="24"/>
          <w:vertAlign w:val="subscript"/>
        </w:rPr>
        <w:t>0</w:t>
      </w:r>
      <w:r>
        <w:rPr>
          <w:kern w:val="0"/>
          <w:sz w:val="24"/>
        </w:rPr>
        <w:t>φ</w:t>
      </w:r>
      <w:r>
        <w:rPr>
          <w:kern w:val="0"/>
          <w:sz w:val="24"/>
        </w:rPr>
        <w:tab/>
      </w:r>
    </w:p>
    <w:p>
      <w:pPr>
        <w:autoSpaceDE w:val="0"/>
        <w:autoSpaceDN w:val="0"/>
        <w:adjustRightInd w:val="0"/>
        <w:snapToGrid w:val="0"/>
        <w:spacing w:line="360" w:lineRule="auto"/>
        <w:ind w:firstLine="1200" w:firstLineChars="500"/>
        <w:rPr>
          <w:kern w:val="0"/>
          <w:sz w:val="24"/>
        </w:rPr>
      </w:pPr>
      <w:r>
        <w:rPr>
          <w:rFonts w:hint="eastAsia"/>
          <w:kern w:val="0"/>
          <w:sz w:val="24"/>
        </w:rPr>
        <w:t>式中：</w:t>
      </w:r>
      <w:r>
        <w:rPr>
          <w:kern w:val="0"/>
          <w:sz w:val="24"/>
        </w:rPr>
        <w:t>C</w:t>
      </w:r>
      <w:r>
        <w:rPr>
          <w:kern w:val="0"/>
          <w:sz w:val="24"/>
          <w:vertAlign w:val="subscript"/>
        </w:rPr>
        <w:t>0</w:t>
      </w:r>
      <w:r>
        <w:rPr>
          <w:kern w:val="0"/>
          <w:sz w:val="24"/>
        </w:rPr>
        <w:t>—</w:t>
      </w:r>
      <w:r>
        <w:rPr>
          <w:rFonts w:hint="eastAsia"/>
          <w:kern w:val="0"/>
          <w:sz w:val="24"/>
        </w:rPr>
        <w:t>垃圾中有机碳含量，</w:t>
      </w:r>
      <w:r>
        <w:rPr>
          <w:kern w:val="0"/>
          <w:sz w:val="24"/>
        </w:rPr>
        <w:t>%</w:t>
      </w:r>
      <w:r>
        <w:rPr>
          <w:rFonts w:hint="eastAsia"/>
          <w:kern w:val="0"/>
          <w:sz w:val="24"/>
        </w:rPr>
        <w:t>，本项目取1</w:t>
      </w:r>
      <w:r>
        <w:rPr>
          <w:kern w:val="0"/>
          <w:sz w:val="24"/>
        </w:rPr>
        <w:t>3.62%</w:t>
      </w:r>
      <w:r>
        <w:rPr>
          <w:rFonts w:hint="eastAsia"/>
          <w:kern w:val="0"/>
          <w:sz w:val="24"/>
        </w:rPr>
        <w:t>；（根据设计，当地生活垃圾有机物含量约占28.6%，参考</w:t>
      </w:r>
      <w:r>
        <w:rPr>
          <w:kern w:val="0"/>
          <w:sz w:val="24"/>
        </w:rPr>
        <w:t>《生活垃圾填埋场填埋气体收集处理及利用工程技术规范》（CJJ133-2009）</w:t>
      </w:r>
      <w:r>
        <w:rPr>
          <w:rFonts w:hint="eastAsia"/>
          <w:kern w:val="0"/>
          <w:sz w:val="24"/>
        </w:rPr>
        <w:t>，可降解有机碳含量取最大值</w:t>
      </w:r>
      <w:r>
        <w:rPr>
          <w:kern w:val="0"/>
          <w:sz w:val="24"/>
        </w:rPr>
        <w:t>47.63%</w:t>
      </w:r>
      <w:r>
        <w:rPr>
          <w:rFonts w:hint="eastAsia"/>
          <w:kern w:val="0"/>
          <w:sz w:val="24"/>
        </w:rPr>
        <w:t>。）</w:t>
      </w:r>
    </w:p>
    <w:p>
      <w:pPr>
        <w:autoSpaceDE w:val="0"/>
        <w:autoSpaceDN w:val="0"/>
        <w:adjustRightInd w:val="0"/>
        <w:snapToGrid w:val="0"/>
        <w:spacing w:line="360" w:lineRule="auto"/>
        <w:ind w:firstLine="1200" w:firstLineChars="500"/>
        <w:rPr>
          <w:kern w:val="0"/>
          <w:sz w:val="24"/>
        </w:rPr>
      </w:pPr>
      <w:r>
        <w:rPr>
          <w:kern w:val="0"/>
          <w:sz w:val="24"/>
        </w:rPr>
        <w:t>φ—</w:t>
      </w:r>
      <w:r>
        <w:rPr>
          <w:rFonts w:hint="eastAsia"/>
          <w:kern w:val="0"/>
          <w:sz w:val="24"/>
        </w:rPr>
        <w:t>有机碳降解率；根据IPCC（政府间气候变化委员会）的推荐值，发展中国家有机碳降解率为0.77</w:t>
      </w:r>
    </w:p>
    <w:p>
      <w:pPr>
        <w:autoSpaceDE w:val="0"/>
        <w:autoSpaceDN w:val="0"/>
        <w:adjustRightInd w:val="0"/>
        <w:snapToGrid w:val="0"/>
        <w:spacing w:line="360" w:lineRule="auto"/>
        <w:ind w:firstLine="480" w:firstLineChars="200"/>
        <w:rPr>
          <w:kern w:val="0"/>
          <w:sz w:val="24"/>
        </w:rPr>
      </w:pPr>
      <w:r>
        <w:rPr>
          <w:rFonts w:hint="eastAsia"/>
          <w:kern w:val="0"/>
          <w:sz w:val="24"/>
        </w:rPr>
        <w:t>则</w:t>
      </w:r>
      <w:r>
        <w:rPr>
          <w:kern w:val="0"/>
          <w:sz w:val="24"/>
        </w:rPr>
        <w:t>L</w:t>
      </w:r>
      <w:r>
        <w:rPr>
          <w:kern w:val="0"/>
          <w:sz w:val="24"/>
          <w:vertAlign w:val="subscript"/>
        </w:rPr>
        <w:t>0</w:t>
      </w:r>
      <w:r>
        <w:rPr>
          <w:rFonts w:hint="eastAsia"/>
          <w:kern w:val="0"/>
          <w:sz w:val="24"/>
        </w:rPr>
        <w:t>计算取值为</w:t>
      </w:r>
      <w:r>
        <w:rPr>
          <w:kern w:val="0"/>
          <w:sz w:val="24"/>
        </w:rPr>
        <w:t>19.58</w:t>
      </w:r>
      <w:r>
        <w:rPr>
          <w:rFonts w:hint="eastAsia"/>
          <w:kern w:val="0"/>
          <w:sz w:val="24"/>
        </w:rPr>
        <w:t>m</w:t>
      </w:r>
      <w:r>
        <w:rPr>
          <w:kern w:val="0"/>
          <w:sz w:val="24"/>
          <w:vertAlign w:val="superscript"/>
        </w:rPr>
        <w:t>3</w:t>
      </w:r>
      <w:r>
        <w:rPr>
          <w:kern w:val="0"/>
          <w:sz w:val="24"/>
        </w:rPr>
        <w:t>/t</w:t>
      </w:r>
      <w:r>
        <w:rPr>
          <w:rFonts w:hint="eastAsia"/>
          <w:kern w:val="0"/>
          <w:sz w:val="24"/>
        </w:rPr>
        <w:t>。</w:t>
      </w:r>
    </w:p>
    <w:p>
      <w:pPr>
        <w:autoSpaceDE w:val="0"/>
        <w:autoSpaceDN w:val="0"/>
        <w:adjustRightInd w:val="0"/>
        <w:snapToGrid w:val="0"/>
        <w:spacing w:line="360" w:lineRule="auto"/>
        <w:ind w:firstLine="480" w:firstLineChars="200"/>
        <w:rPr>
          <w:kern w:val="0"/>
          <w:sz w:val="24"/>
        </w:rPr>
      </w:pPr>
      <w:r>
        <w:rPr>
          <w:rFonts w:hint="eastAsia"/>
          <w:kern w:val="0"/>
          <w:sz w:val="24"/>
        </w:rPr>
        <w:t>垃圾的平均产气速率常数（</w:t>
      </w:r>
      <w:r>
        <w:rPr>
          <w:kern w:val="0"/>
          <w:sz w:val="24"/>
        </w:rPr>
        <w:t>k</w:t>
      </w:r>
      <w:r>
        <w:rPr>
          <w:rFonts w:hint="eastAsia"/>
          <w:kern w:val="0"/>
          <w:sz w:val="24"/>
        </w:rPr>
        <w:t>）的取值应考虑垃圾成分、当地气候、填埋场内的垃圾含水率等因素，参考</w:t>
      </w:r>
      <w:r>
        <w:rPr>
          <w:kern w:val="0"/>
          <w:sz w:val="24"/>
        </w:rPr>
        <w:t>《生活垃圾填埋场填埋气体收集处理及利用工程技术规范》（CJJ133-2009）</w:t>
      </w:r>
      <w:r>
        <w:rPr>
          <w:rFonts w:hint="eastAsia"/>
          <w:kern w:val="0"/>
          <w:sz w:val="24"/>
        </w:rPr>
        <w:t>推荐值：</w:t>
      </w:r>
    </w:p>
    <w:p>
      <w:pPr>
        <w:kinsoku w:val="0"/>
        <w:overflowPunct w:val="0"/>
        <w:autoSpaceDE w:val="0"/>
        <w:autoSpaceDN w:val="0"/>
        <w:adjustRightInd w:val="0"/>
        <w:snapToGrid w:val="0"/>
        <w:jc w:val="center"/>
        <w:rPr>
          <w:b/>
          <w:kern w:val="0"/>
          <w:sz w:val="24"/>
        </w:rPr>
      </w:pPr>
      <w:r>
        <w:rPr>
          <w:rFonts w:hint="eastAsia"/>
          <w:b/>
          <w:kern w:val="0"/>
          <w:sz w:val="24"/>
        </w:rPr>
        <w:t>表</w:t>
      </w:r>
      <w:r>
        <w:rPr>
          <w:b/>
          <w:kern w:val="0"/>
          <w:sz w:val="24"/>
        </w:rPr>
        <w:t>3</w:t>
      </w:r>
      <w:r>
        <w:rPr>
          <w:rFonts w:hint="eastAsia"/>
          <w:b/>
          <w:kern w:val="0"/>
          <w:sz w:val="24"/>
        </w:rPr>
        <w:t>.</w:t>
      </w:r>
      <w:r>
        <w:rPr>
          <w:b/>
          <w:kern w:val="0"/>
          <w:sz w:val="24"/>
        </w:rPr>
        <w:t>2-</w:t>
      </w:r>
      <w:r>
        <w:rPr>
          <w:rFonts w:hint="eastAsia"/>
          <w:b/>
          <w:kern w:val="0"/>
          <w:sz w:val="24"/>
        </w:rPr>
        <w:t xml:space="preserve">5 </w:t>
      </w:r>
      <w:r>
        <w:rPr>
          <w:b/>
          <w:kern w:val="0"/>
          <w:sz w:val="24"/>
        </w:rPr>
        <w:t xml:space="preserve"> </w:t>
      </w:r>
      <w:r>
        <w:rPr>
          <w:rFonts w:hint="eastAsia"/>
          <w:b/>
          <w:kern w:val="0"/>
          <w:sz w:val="24"/>
        </w:rPr>
        <w:t>垃圾填埋场产气速率常数 k 在不同气候条件下的取值</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2580"/>
        <w:gridCol w:w="2878"/>
        <w:gridCol w:w="287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170" w:hRule="atLeast"/>
        </w:trPr>
        <w:tc>
          <w:tcPr>
            <w:tcW w:w="1548" w:type="pct"/>
          </w:tcPr>
          <w:p>
            <w:pPr>
              <w:kinsoku w:val="0"/>
              <w:overflowPunct w:val="0"/>
              <w:autoSpaceDE w:val="0"/>
              <w:autoSpaceDN w:val="0"/>
              <w:adjustRightInd w:val="0"/>
              <w:snapToGrid w:val="0"/>
              <w:jc w:val="center"/>
              <w:rPr>
                <w:kern w:val="0"/>
                <w:szCs w:val="21"/>
              </w:rPr>
            </w:pPr>
            <w:r>
              <w:rPr>
                <w:rFonts w:hint="eastAsia"/>
                <w:kern w:val="0"/>
                <w:szCs w:val="21"/>
              </w:rPr>
              <w:t xml:space="preserve"> 气候条件</w:t>
            </w:r>
          </w:p>
        </w:tc>
        <w:tc>
          <w:tcPr>
            <w:tcW w:w="1726" w:type="pct"/>
          </w:tcPr>
          <w:p>
            <w:pPr>
              <w:kinsoku w:val="0"/>
              <w:overflowPunct w:val="0"/>
              <w:autoSpaceDE w:val="0"/>
              <w:autoSpaceDN w:val="0"/>
              <w:adjustRightInd w:val="0"/>
              <w:snapToGrid w:val="0"/>
              <w:jc w:val="center"/>
              <w:rPr>
                <w:kern w:val="0"/>
                <w:szCs w:val="21"/>
              </w:rPr>
            </w:pPr>
            <w:r>
              <w:rPr>
                <w:rFonts w:hint="eastAsia"/>
                <w:kern w:val="0"/>
                <w:szCs w:val="21"/>
              </w:rPr>
              <w:t>k 值范围</w:t>
            </w:r>
          </w:p>
        </w:tc>
        <w:tc>
          <w:tcPr>
            <w:tcW w:w="1726" w:type="pct"/>
          </w:tcPr>
          <w:p>
            <w:pPr>
              <w:kinsoku w:val="0"/>
              <w:overflowPunct w:val="0"/>
              <w:autoSpaceDE w:val="0"/>
              <w:autoSpaceDN w:val="0"/>
              <w:adjustRightInd w:val="0"/>
              <w:snapToGrid w:val="0"/>
              <w:jc w:val="center"/>
              <w:rPr>
                <w:kern w:val="0"/>
                <w:szCs w:val="21"/>
              </w:rPr>
            </w:pPr>
            <w:r>
              <w:rPr>
                <w:rFonts w:hint="eastAsia"/>
                <w:kern w:val="0"/>
                <w:szCs w:val="21"/>
              </w:rPr>
              <w:t>本项目取值</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170" w:hRule="atLeast"/>
        </w:trPr>
        <w:tc>
          <w:tcPr>
            <w:tcW w:w="1548" w:type="pct"/>
          </w:tcPr>
          <w:p>
            <w:pPr>
              <w:kinsoku w:val="0"/>
              <w:overflowPunct w:val="0"/>
              <w:autoSpaceDE w:val="0"/>
              <w:autoSpaceDN w:val="0"/>
              <w:adjustRightInd w:val="0"/>
              <w:snapToGrid w:val="0"/>
              <w:jc w:val="center"/>
              <w:rPr>
                <w:kern w:val="0"/>
                <w:szCs w:val="21"/>
              </w:rPr>
            </w:pPr>
            <w:r>
              <w:rPr>
                <w:rFonts w:hint="eastAsia"/>
                <w:kern w:val="0"/>
                <w:szCs w:val="21"/>
              </w:rPr>
              <w:t>湿润气候</w:t>
            </w:r>
          </w:p>
        </w:tc>
        <w:tc>
          <w:tcPr>
            <w:tcW w:w="1726" w:type="pct"/>
          </w:tcPr>
          <w:p>
            <w:pPr>
              <w:kinsoku w:val="0"/>
              <w:overflowPunct w:val="0"/>
              <w:autoSpaceDE w:val="0"/>
              <w:autoSpaceDN w:val="0"/>
              <w:adjustRightInd w:val="0"/>
              <w:snapToGrid w:val="0"/>
              <w:jc w:val="center"/>
              <w:rPr>
                <w:kern w:val="0"/>
                <w:szCs w:val="21"/>
              </w:rPr>
            </w:pPr>
            <w:r>
              <w:rPr>
                <w:rFonts w:hint="eastAsia"/>
                <w:kern w:val="0"/>
                <w:szCs w:val="21"/>
              </w:rPr>
              <w:t>0.10-0.36</w:t>
            </w:r>
          </w:p>
        </w:tc>
        <w:tc>
          <w:tcPr>
            <w:tcW w:w="1726" w:type="pct"/>
          </w:tcPr>
          <w:p>
            <w:pPr>
              <w:kinsoku w:val="0"/>
              <w:overflowPunct w:val="0"/>
              <w:autoSpaceDE w:val="0"/>
              <w:autoSpaceDN w:val="0"/>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170" w:hRule="atLeast"/>
        </w:trPr>
        <w:tc>
          <w:tcPr>
            <w:tcW w:w="1548" w:type="pct"/>
          </w:tcPr>
          <w:p>
            <w:pPr>
              <w:kinsoku w:val="0"/>
              <w:overflowPunct w:val="0"/>
              <w:autoSpaceDE w:val="0"/>
              <w:autoSpaceDN w:val="0"/>
              <w:adjustRightInd w:val="0"/>
              <w:snapToGrid w:val="0"/>
              <w:jc w:val="center"/>
              <w:rPr>
                <w:kern w:val="0"/>
                <w:szCs w:val="21"/>
              </w:rPr>
            </w:pPr>
            <w:r>
              <w:rPr>
                <w:rFonts w:hint="eastAsia"/>
                <w:kern w:val="0"/>
                <w:szCs w:val="21"/>
              </w:rPr>
              <w:t>中等湿润气候</w:t>
            </w:r>
          </w:p>
        </w:tc>
        <w:tc>
          <w:tcPr>
            <w:tcW w:w="1726" w:type="pct"/>
          </w:tcPr>
          <w:p>
            <w:pPr>
              <w:kinsoku w:val="0"/>
              <w:overflowPunct w:val="0"/>
              <w:autoSpaceDE w:val="0"/>
              <w:autoSpaceDN w:val="0"/>
              <w:adjustRightInd w:val="0"/>
              <w:snapToGrid w:val="0"/>
              <w:jc w:val="center"/>
              <w:rPr>
                <w:kern w:val="0"/>
                <w:szCs w:val="21"/>
              </w:rPr>
            </w:pPr>
            <w:r>
              <w:rPr>
                <w:rFonts w:hint="eastAsia"/>
                <w:kern w:val="0"/>
                <w:szCs w:val="21"/>
              </w:rPr>
              <w:t>0.05-0.15</w:t>
            </w:r>
          </w:p>
        </w:tc>
        <w:tc>
          <w:tcPr>
            <w:tcW w:w="1726" w:type="pct"/>
          </w:tcPr>
          <w:p>
            <w:pPr>
              <w:kinsoku w:val="0"/>
              <w:overflowPunct w:val="0"/>
              <w:autoSpaceDE w:val="0"/>
              <w:autoSpaceDN w:val="0"/>
              <w:adjustRightInd w:val="0"/>
              <w:snapToGrid w:val="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170" w:hRule="atLeast"/>
        </w:trPr>
        <w:tc>
          <w:tcPr>
            <w:tcW w:w="1548" w:type="pct"/>
          </w:tcPr>
          <w:p>
            <w:pPr>
              <w:kinsoku w:val="0"/>
              <w:overflowPunct w:val="0"/>
              <w:autoSpaceDE w:val="0"/>
              <w:autoSpaceDN w:val="0"/>
              <w:adjustRightInd w:val="0"/>
              <w:snapToGrid w:val="0"/>
              <w:jc w:val="center"/>
              <w:rPr>
                <w:kern w:val="0"/>
                <w:szCs w:val="21"/>
              </w:rPr>
            </w:pPr>
            <w:r>
              <w:rPr>
                <w:rFonts w:hint="eastAsia"/>
                <w:kern w:val="0"/>
                <w:szCs w:val="21"/>
              </w:rPr>
              <w:t>干燥气候</w:t>
            </w:r>
          </w:p>
        </w:tc>
        <w:tc>
          <w:tcPr>
            <w:tcW w:w="1726" w:type="pct"/>
          </w:tcPr>
          <w:p>
            <w:pPr>
              <w:kinsoku w:val="0"/>
              <w:overflowPunct w:val="0"/>
              <w:autoSpaceDE w:val="0"/>
              <w:autoSpaceDN w:val="0"/>
              <w:adjustRightInd w:val="0"/>
              <w:snapToGrid w:val="0"/>
              <w:jc w:val="center"/>
              <w:rPr>
                <w:kern w:val="0"/>
                <w:szCs w:val="21"/>
              </w:rPr>
            </w:pPr>
            <w:r>
              <w:rPr>
                <w:rFonts w:hint="eastAsia"/>
                <w:kern w:val="0"/>
                <w:szCs w:val="21"/>
              </w:rPr>
              <w:t>0.02-0.10</w:t>
            </w:r>
          </w:p>
        </w:tc>
        <w:tc>
          <w:tcPr>
            <w:tcW w:w="1726" w:type="pct"/>
          </w:tcPr>
          <w:p>
            <w:pPr>
              <w:kinsoku w:val="0"/>
              <w:overflowPunct w:val="0"/>
              <w:autoSpaceDE w:val="0"/>
              <w:autoSpaceDN w:val="0"/>
              <w:adjustRightInd w:val="0"/>
              <w:snapToGrid w:val="0"/>
              <w:jc w:val="center"/>
              <w:rPr>
                <w:kern w:val="0"/>
                <w:szCs w:val="21"/>
              </w:rPr>
            </w:pPr>
            <w:r>
              <w:rPr>
                <w:rFonts w:hint="eastAsia"/>
                <w:kern w:val="0"/>
                <w:szCs w:val="21"/>
              </w:rPr>
              <w:t>0</w:t>
            </w:r>
            <w:r>
              <w:rPr>
                <w:kern w:val="0"/>
                <w:szCs w:val="21"/>
              </w:rPr>
              <w:t>.06</w:t>
            </w:r>
          </w:p>
        </w:tc>
      </w:tr>
    </w:tbl>
    <w:p>
      <w:pPr>
        <w:pStyle w:val="69"/>
        <w:adjustRightInd w:val="0"/>
        <w:snapToGrid w:val="0"/>
        <w:spacing w:after="0" w:line="360" w:lineRule="auto"/>
        <w:ind w:left="0" w:leftChars="0" w:firstLine="480" w:firstLineChars="200"/>
        <w:jc w:val="both"/>
        <w:rPr>
          <w:kern w:val="0"/>
          <w:sz w:val="24"/>
        </w:rPr>
      </w:pPr>
    </w:p>
    <w:p>
      <w:pPr>
        <w:pStyle w:val="69"/>
        <w:adjustRightInd w:val="0"/>
        <w:snapToGrid w:val="0"/>
        <w:spacing w:after="0" w:line="360" w:lineRule="auto"/>
        <w:ind w:left="0" w:leftChars="0" w:firstLine="480" w:firstLineChars="200"/>
        <w:jc w:val="both"/>
        <w:rPr>
          <w:kern w:val="0"/>
          <w:sz w:val="24"/>
          <w:szCs w:val="24"/>
        </w:rPr>
      </w:pPr>
      <w:r>
        <w:rPr>
          <w:kern w:val="0"/>
          <w:sz w:val="24"/>
        </w:rPr>
        <w:t>根据以上参数，再结合</w:t>
      </w:r>
      <w:r>
        <w:rPr>
          <w:sz w:val="24"/>
        </w:rPr>
        <w:t>五原县复兴镇生活垃圾填埋场填埋库区每年填埋垃圾的数量和运行时间，</w:t>
      </w:r>
      <w:r>
        <w:rPr>
          <w:kern w:val="0"/>
          <w:sz w:val="24"/>
        </w:rPr>
        <w:t>计算得到投运某年后填埋气</w:t>
      </w:r>
      <w:r>
        <w:rPr>
          <w:kern w:val="0"/>
          <w:sz w:val="24"/>
          <w:szCs w:val="24"/>
        </w:rPr>
        <w:t>的产生量，见表3.2-6。</w:t>
      </w:r>
    </w:p>
    <w:p>
      <w:pPr>
        <w:autoSpaceDE w:val="0"/>
        <w:autoSpaceDN w:val="0"/>
        <w:adjustRightInd w:val="0"/>
        <w:spacing w:line="360" w:lineRule="auto"/>
        <w:jc w:val="center"/>
        <w:rPr>
          <w:b/>
          <w:kern w:val="0"/>
          <w:sz w:val="24"/>
        </w:rPr>
        <w:sectPr>
          <w:pgSz w:w="11906" w:h="16838"/>
          <w:pgMar w:top="1440" w:right="1800" w:bottom="1440" w:left="1800" w:header="851" w:footer="992" w:gutter="0"/>
          <w:cols w:space="720" w:num="1"/>
          <w:docGrid w:type="lines" w:linePitch="312" w:charSpace="0"/>
        </w:sectPr>
      </w:pPr>
    </w:p>
    <w:p>
      <w:pPr>
        <w:autoSpaceDE w:val="0"/>
        <w:autoSpaceDN w:val="0"/>
        <w:adjustRightInd w:val="0"/>
        <w:spacing w:line="360" w:lineRule="auto"/>
        <w:jc w:val="center"/>
        <w:rPr>
          <w:b/>
          <w:kern w:val="0"/>
          <w:sz w:val="24"/>
        </w:rPr>
      </w:pPr>
      <w:r>
        <w:rPr>
          <w:b/>
          <w:kern w:val="0"/>
          <w:sz w:val="24"/>
        </w:rPr>
        <w:t>表</w:t>
      </w:r>
      <w:r>
        <w:rPr>
          <w:b/>
          <w:bCs/>
          <w:kern w:val="0"/>
          <w:sz w:val="24"/>
        </w:rPr>
        <w:t xml:space="preserve">3.2-6 </w:t>
      </w:r>
      <w:r>
        <w:rPr>
          <w:b/>
          <w:kern w:val="0"/>
          <w:sz w:val="24"/>
        </w:rPr>
        <w:t>填埋气产</w:t>
      </w:r>
      <w:r>
        <w:rPr>
          <w:rFonts w:hint="eastAsia"/>
          <w:b/>
          <w:kern w:val="0"/>
          <w:sz w:val="24"/>
        </w:rPr>
        <w:t>量计算结果</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4"/>
        <w:gridCol w:w="707"/>
        <w:gridCol w:w="707"/>
        <w:gridCol w:w="708"/>
        <w:gridCol w:w="567"/>
        <w:gridCol w:w="660"/>
        <w:gridCol w:w="584"/>
        <w:gridCol w:w="584"/>
        <w:gridCol w:w="584"/>
        <w:gridCol w:w="584"/>
        <w:gridCol w:w="584"/>
        <w:gridCol w:w="584"/>
        <w:gridCol w:w="667"/>
        <w:gridCol w:w="667"/>
        <w:gridCol w:w="667"/>
        <w:gridCol w:w="667"/>
        <w:gridCol w:w="667"/>
        <w:gridCol w:w="667"/>
        <w:gridCol w:w="667"/>
        <w:gridCol w:w="667"/>
        <w:gridCol w:w="667"/>
        <w:gridCol w:w="6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vMerge w:val="restart"/>
            <w:shd w:val="clear" w:color="auto" w:fill="auto"/>
            <w:vAlign w:val="center"/>
          </w:tcPr>
          <w:p>
            <w:pPr>
              <w:kinsoku w:val="0"/>
              <w:overflowPunct w:val="0"/>
              <w:autoSpaceDE w:val="0"/>
              <w:autoSpaceDN w:val="0"/>
              <w:adjustRightInd w:val="0"/>
              <w:snapToGrid w:val="0"/>
              <w:jc w:val="center"/>
              <w:rPr>
                <w:kern w:val="0"/>
                <w:sz w:val="18"/>
                <w:szCs w:val="18"/>
              </w:rPr>
            </w:pPr>
            <w:r>
              <w:rPr>
                <w:kern w:val="0"/>
                <w:sz w:val="18"/>
                <w:szCs w:val="18"/>
              </w:rPr>
              <w:t>年份</w:t>
            </w:r>
          </w:p>
        </w:tc>
        <w:tc>
          <w:tcPr>
            <w:tcW w:w="250" w:type="pct"/>
            <w:vMerge w:val="restar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年垃圾产生量</w:t>
            </w:r>
          </w:p>
        </w:tc>
        <w:tc>
          <w:tcPr>
            <w:tcW w:w="4512" w:type="pct"/>
            <w:gridSpan w:val="20"/>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总排放量（</w:t>
            </w:r>
            <w:r>
              <w:rPr>
                <w:rFonts w:hint="eastAsia"/>
                <w:kern w:val="0"/>
                <w:sz w:val="18"/>
                <w:szCs w:val="18"/>
              </w:rPr>
              <w:t>万</w:t>
            </w:r>
            <w:r>
              <w:rPr>
                <w:kern w:val="0"/>
                <w:sz w:val="18"/>
                <w:szCs w:val="18"/>
              </w:rPr>
              <w:t>m</w:t>
            </w:r>
            <w:r>
              <w:rPr>
                <w:kern w:val="0"/>
                <w:sz w:val="18"/>
                <w:szCs w:val="18"/>
                <w:vertAlign w:val="superscript"/>
              </w:rPr>
              <w:t>3</w:t>
            </w:r>
            <w:r>
              <w:rPr>
                <w:kern w:val="0"/>
                <w:sz w:val="18"/>
                <w:szCs w:val="18"/>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vMerge w:val="continue"/>
            <w:vAlign w:val="center"/>
          </w:tcPr>
          <w:p>
            <w:pPr>
              <w:kinsoku w:val="0"/>
              <w:overflowPunct w:val="0"/>
              <w:autoSpaceDE w:val="0"/>
              <w:autoSpaceDN w:val="0"/>
              <w:adjustRightInd w:val="0"/>
              <w:snapToGrid w:val="0"/>
              <w:jc w:val="center"/>
              <w:rPr>
                <w:kern w:val="0"/>
                <w:sz w:val="18"/>
                <w:szCs w:val="18"/>
              </w:rPr>
            </w:pPr>
          </w:p>
        </w:tc>
        <w:tc>
          <w:tcPr>
            <w:tcW w:w="250" w:type="pct"/>
            <w:vMerge w:val="continue"/>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2019</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2020</w:t>
            </w:r>
          </w:p>
        </w:tc>
        <w:tc>
          <w:tcPr>
            <w:tcW w:w="200" w:type="pc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2021</w:t>
            </w:r>
          </w:p>
        </w:tc>
        <w:tc>
          <w:tcPr>
            <w:tcW w:w="233" w:type="pc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2022</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2023</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2024</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2025</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2026</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2027</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2034</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2035</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2036</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2037</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vAlign w:val="center"/>
          </w:tcPr>
          <w:p>
            <w:pPr>
              <w:kinsoku w:val="0"/>
              <w:overflowPunct w:val="0"/>
              <w:autoSpaceDE w:val="0"/>
              <w:autoSpaceDN w:val="0"/>
              <w:adjustRightInd w:val="0"/>
              <w:snapToGrid w:val="0"/>
              <w:jc w:val="center"/>
              <w:rPr>
                <w:kern w:val="0"/>
                <w:sz w:val="18"/>
                <w:szCs w:val="18"/>
              </w:rPr>
            </w:pPr>
            <w:r>
              <w:rPr>
                <w:kern w:val="0"/>
                <w:sz w:val="18"/>
                <w:szCs w:val="18"/>
              </w:rPr>
              <w:t>2019</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4745</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0.52</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0.49</w:t>
            </w:r>
          </w:p>
        </w:tc>
        <w:tc>
          <w:tcPr>
            <w:tcW w:w="200"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0.47</w:t>
            </w:r>
          </w:p>
        </w:tc>
        <w:tc>
          <w:tcPr>
            <w:tcW w:w="233"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0.44</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0.41</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0.39</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0.37</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0.34</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0.32</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0.31</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0.29</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0.27</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0.26</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0.24</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0.23</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0.21</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0.20</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0.19</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0.56</w:t>
            </w:r>
          </w:p>
        </w:tc>
        <w:tc>
          <w:tcPr>
            <w:tcW w:w="228"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vAlign w:val="center"/>
          </w:tcPr>
          <w:p>
            <w:pPr>
              <w:kinsoku w:val="0"/>
              <w:overflowPunct w:val="0"/>
              <w:autoSpaceDE w:val="0"/>
              <w:autoSpaceDN w:val="0"/>
              <w:adjustRightInd w:val="0"/>
              <w:snapToGrid w:val="0"/>
              <w:jc w:val="center"/>
              <w:rPr>
                <w:kern w:val="0"/>
                <w:sz w:val="18"/>
                <w:szCs w:val="18"/>
              </w:rPr>
            </w:pPr>
            <w:r>
              <w:rPr>
                <w:kern w:val="0"/>
                <w:sz w:val="18"/>
                <w:szCs w:val="18"/>
              </w:rPr>
              <w:t>2020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10220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1.13</w:t>
            </w:r>
          </w:p>
        </w:tc>
        <w:tc>
          <w:tcPr>
            <w:tcW w:w="200"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1.06</w:t>
            </w:r>
          </w:p>
        </w:tc>
        <w:tc>
          <w:tcPr>
            <w:tcW w:w="233"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1.00</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0.94</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0.89</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0.84</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0.79</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0.74</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0.70</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0.66</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0.62</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0.58</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0.55</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0.52</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0.49</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0.46</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0.43</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0.41</w:t>
            </w:r>
          </w:p>
        </w:tc>
        <w:tc>
          <w:tcPr>
            <w:tcW w:w="228"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vAlign w:val="center"/>
          </w:tcPr>
          <w:p>
            <w:pPr>
              <w:kinsoku w:val="0"/>
              <w:overflowPunct w:val="0"/>
              <w:autoSpaceDE w:val="0"/>
              <w:autoSpaceDN w:val="0"/>
              <w:adjustRightInd w:val="0"/>
              <w:snapToGrid w:val="0"/>
              <w:jc w:val="center"/>
              <w:rPr>
                <w:kern w:val="0"/>
                <w:sz w:val="18"/>
                <w:szCs w:val="18"/>
              </w:rPr>
            </w:pPr>
            <w:r>
              <w:rPr>
                <w:kern w:val="0"/>
                <w:sz w:val="18"/>
                <w:szCs w:val="18"/>
              </w:rPr>
              <w:t>2021</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12045</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1.33</w:t>
            </w:r>
          </w:p>
        </w:tc>
        <w:tc>
          <w:tcPr>
            <w:tcW w:w="233"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1.26</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1.18</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1.11</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1.05</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0.99</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0.93</w:t>
            </w:r>
          </w:p>
        </w:tc>
        <w:tc>
          <w:tcPr>
            <w:tcW w:w="206"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0.88</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0.82</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0.78</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0.73</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0.69</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0.65</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0.61</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0.58</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0.54</w:t>
            </w:r>
          </w:p>
        </w:tc>
        <w:tc>
          <w:tcPr>
            <w:tcW w:w="235"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0.51</w:t>
            </w:r>
          </w:p>
        </w:tc>
        <w:tc>
          <w:tcPr>
            <w:tcW w:w="228"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0.48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vAlign w:val="center"/>
          </w:tcPr>
          <w:p>
            <w:pPr>
              <w:kinsoku w:val="0"/>
              <w:overflowPunct w:val="0"/>
              <w:autoSpaceDE w:val="0"/>
              <w:autoSpaceDN w:val="0"/>
              <w:adjustRightInd w:val="0"/>
              <w:snapToGrid w:val="0"/>
              <w:jc w:val="center"/>
              <w:rPr>
                <w:kern w:val="0"/>
                <w:sz w:val="18"/>
                <w:szCs w:val="18"/>
              </w:rPr>
            </w:pPr>
            <w:r>
              <w:rPr>
                <w:kern w:val="0"/>
                <w:sz w:val="18"/>
                <w:szCs w:val="18"/>
              </w:rPr>
              <w:t>2022</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kern w:val="0"/>
                <w:sz w:val="18"/>
                <w:szCs w:val="18"/>
              </w:rPr>
              <w:t>13505</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kern w:val="0"/>
                <w:sz w:val="18"/>
                <w:szCs w:val="18"/>
              </w:rPr>
            </w:pPr>
            <w:r>
              <w:rPr>
                <w:sz w:val="18"/>
                <w:szCs w:val="18"/>
              </w:rPr>
              <w:t>1.49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1.25</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1.18</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1.11</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1.04</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0.87</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0.82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0.77</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0.73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0.68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0.65</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0.61</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2023</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1.25</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1.04</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0.87</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2024</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1.25</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1.04</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0.93</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2025</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1.25</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1.04</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0.98</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2026</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1.25</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1.04</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2027</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1.25</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1.11</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2028</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1.25</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1.18</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2029</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13.60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12.80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12.06</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11.36</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10.70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10.07</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9.49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8.93</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8.41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2030</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2031</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2032</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2033</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18250</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2.02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1.90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1.79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1.59</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2034</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eastAsia="等线"/>
                <w:kern w:val="0"/>
                <w:sz w:val="18"/>
                <w:szCs w:val="18"/>
              </w:rPr>
              <w:t>2735</w:t>
            </w: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0.30</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0.28</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0.27</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0.25</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0.24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38"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rFonts w:hint="eastAsia" w:eastAsia="等线"/>
                <w:kern w:val="0"/>
                <w:sz w:val="18"/>
                <w:szCs w:val="18"/>
              </w:rPr>
              <w:t>合计</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p>
        </w:tc>
        <w:tc>
          <w:tcPr>
            <w:tcW w:w="250" w:type="pct"/>
            <w:shd w:val="clear" w:color="auto" w:fill="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0</w:t>
            </w:r>
            <w:r>
              <w:rPr>
                <w:kern w:val="0"/>
                <w:sz w:val="18"/>
                <w:szCs w:val="18"/>
              </w:rPr>
              <w:t>.52</w:t>
            </w:r>
          </w:p>
        </w:tc>
        <w:tc>
          <w:tcPr>
            <w:tcW w:w="25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sz w:val="18"/>
                <w:szCs w:val="18"/>
              </w:rPr>
              <w:t>1.63</w:t>
            </w:r>
          </w:p>
        </w:tc>
        <w:tc>
          <w:tcPr>
            <w:tcW w:w="200"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sz w:val="18"/>
                <w:szCs w:val="18"/>
              </w:rPr>
              <w:t>2.86</w:t>
            </w:r>
          </w:p>
        </w:tc>
        <w:tc>
          <w:tcPr>
            <w:tcW w:w="233" w:type="pct"/>
            <w:shd w:val="clear" w:color="auto" w:fill="auto"/>
            <w:noWrap/>
            <w:vAlign w:val="center"/>
          </w:tcPr>
          <w:p>
            <w:pPr>
              <w:kinsoku w:val="0"/>
              <w:overflowPunct w:val="0"/>
              <w:autoSpaceDE w:val="0"/>
              <w:autoSpaceDN w:val="0"/>
              <w:adjustRightInd w:val="0"/>
              <w:snapToGrid w:val="0"/>
              <w:jc w:val="center"/>
              <w:rPr>
                <w:rFonts w:eastAsia="等线"/>
                <w:kern w:val="0"/>
                <w:sz w:val="18"/>
                <w:szCs w:val="18"/>
              </w:rPr>
            </w:pPr>
            <w:r>
              <w:rPr>
                <w:sz w:val="18"/>
                <w:szCs w:val="18"/>
              </w:rPr>
              <w:t>4.19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5.97</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7.64</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9.21</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10.69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12.09</w:t>
            </w:r>
          </w:p>
        </w:tc>
        <w:tc>
          <w:tcPr>
            <w:tcW w:w="206"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13.41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14.64</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27.51</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27.92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28.32</w:t>
            </w:r>
          </w:p>
        </w:tc>
        <w:tc>
          <w:tcPr>
            <w:tcW w:w="235" w:type="pct"/>
            <w:shd w:val="clear" w:color="auto" w:fill="auto"/>
            <w:vAlign w:val="center"/>
          </w:tcPr>
          <w:p>
            <w:pPr>
              <w:kinsoku w:val="0"/>
              <w:overflowPunct w:val="0"/>
              <w:autoSpaceDE w:val="0"/>
              <w:autoSpaceDN w:val="0"/>
              <w:adjustRightInd w:val="0"/>
              <w:snapToGrid w:val="0"/>
              <w:jc w:val="center"/>
              <w:rPr>
                <w:rFonts w:eastAsia="等线"/>
                <w:b/>
                <w:kern w:val="0"/>
                <w:sz w:val="18"/>
                <w:szCs w:val="18"/>
              </w:rPr>
            </w:pPr>
            <w:r>
              <w:rPr>
                <w:b/>
                <w:sz w:val="18"/>
                <w:szCs w:val="18"/>
              </w:rPr>
              <w:t>28.69</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27.32</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25.73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24.23</w:t>
            </w:r>
          </w:p>
        </w:tc>
        <w:tc>
          <w:tcPr>
            <w:tcW w:w="235"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23.20</w:t>
            </w:r>
          </w:p>
        </w:tc>
        <w:tc>
          <w:tcPr>
            <w:tcW w:w="228" w:type="pct"/>
            <w:shd w:val="clear" w:color="auto" w:fill="auto"/>
            <w:vAlign w:val="center"/>
          </w:tcPr>
          <w:p>
            <w:pPr>
              <w:kinsoku w:val="0"/>
              <w:overflowPunct w:val="0"/>
              <w:autoSpaceDE w:val="0"/>
              <w:autoSpaceDN w:val="0"/>
              <w:adjustRightInd w:val="0"/>
              <w:snapToGrid w:val="0"/>
              <w:jc w:val="center"/>
              <w:rPr>
                <w:rFonts w:eastAsia="等线"/>
                <w:kern w:val="0"/>
                <w:sz w:val="18"/>
                <w:szCs w:val="18"/>
              </w:rPr>
            </w:pPr>
            <w:r>
              <w:rPr>
                <w:sz w:val="18"/>
                <w:szCs w:val="18"/>
              </w:rPr>
              <w:t>22.70</w:t>
            </w:r>
          </w:p>
        </w:tc>
      </w:tr>
    </w:tbl>
    <w:p>
      <w:pPr>
        <w:autoSpaceDE w:val="0"/>
        <w:autoSpaceDN w:val="0"/>
        <w:adjustRightInd w:val="0"/>
        <w:spacing w:line="360" w:lineRule="auto"/>
        <w:ind w:firstLine="480" w:firstLineChars="200"/>
        <w:rPr>
          <w:bCs/>
          <w:kern w:val="0"/>
          <w:sz w:val="24"/>
        </w:rPr>
        <w:sectPr>
          <w:pgSz w:w="16838" w:h="11906" w:orient="landscape"/>
          <w:pgMar w:top="1800" w:right="1440" w:bottom="1800" w:left="1440" w:header="851" w:footer="992" w:gutter="0"/>
          <w:cols w:space="720" w:num="1"/>
          <w:docGrid w:type="lines" w:linePitch="312" w:charSpace="0"/>
        </w:sectPr>
      </w:pPr>
    </w:p>
    <w:p>
      <w:pPr>
        <w:pStyle w:val="69"/>
        <w:adjustRightInd w:val="0"/>
        <w:snapToGrid w:val="0"/>
        <w:spacing w:after="0" w:line="360" w:lineRule="auto"/>
        <w:ind w:left="0" w:leftChars="0" w:firstLine="480" w:firstLineChars="200"/>
        <w:jc w:val="both"/>
        <w:rPr>
          <w:sz w:val="24"/>
          <w:szCs w:val="24"/>
        </w:rPr>
      </w:pPr>
      <w:r>
        <w:rPr>
          <w:rFonts w:hint="eastAsia"/>
          <w:sz w:val="24"/>
          <w:szCs w:val="24"/>
        </w:rPr>
        <w:t>根据以上分析，项目垃圾填埋场填埋区最大废气产生时间为</w:t>
      </w:r>
      <w:r>
        <w:rPr>
          <w:sz w:val="24"/>
          <w:szCs w:val="24"/>
        </w:rPr>
        <w:t>2033</w:t>
      </w:r>
      <w:r>
        <w:rPr>
          <w:rFonts w:hint="eastAsia"/>
          <w:sz w:val="24"/>
          <w:szCs w:val="24"/>
        </w:rPr>
        <w:t>年，最大年废气产生量为</w:t>
      </w:r>
      <w:r>
        <w:rPr>
          <w:sz w:val="24"/>
          <w:szCs w:val="24"/>
        </w:rPr>
        <w:t>28.69</w:t>
      </w:r>
      <w:r>
        <w:rPr>
          <w:rFonts w:hint="eastAsia"/>
          <w:sz w:val="24"/>
          <w:szCs w:val="24"/>
        </w:rPr>
        <w:t>万</w:t>
      </w:r>
      <w:r>
        <w:rPr>
          <w:sz w:val="24"/>
          <w:szCs w:val="24"/>
        </w:rPr>
        <w:t>m</w:t>
      </w:r>
      <w:r>
        <w:rPr>
          <w:sz w:val="24"/>
          <w:szCs w:val="24"/>
          <w:vertAlign w:val="superscript"/>
        </w:rPr>
        <w:t>3</w:t>
      </w:r>
      <w:r>
        <w:rPr>
          <w:sz w:val="24"/>
          <w:szCs w:val="24"/>
        </w:rPr>
        <w:t>/a</w:t>
      </w:r>
      <w:r>
        <w:rPr>
          <w:rFonts w:hint="eastAsia"/>
          <w:sz w:val="24"/>
          <w:szCs w:val="24"/>
        </w:rPr>
        <w:t>，填埋场的废气排放量随着填埋场营运年限的增加而增加，在营运年数第</w:t>
      </w:r>
      <w:r>
        <w:rPr>
          <w:sz w:val="24"/>
          <w:szCs w:val="24"/>
        </w:rPr>
        <w:t>15</w:t>
      </w:r>
      <w:r>
        <w:rPr>
          <w:rFonts w:hint="eastAsia"/>
          <w:sz w:val="24"/>
          <w:szCs w:val="24"/>
        </w:rPr>
        <w:t>年，垃圾产生废气量达到最高峰，以后将逐年减少，但其减少的速度比填埋场启用时随使用年限增加废气产生量的增加速度缓慢。</w:t>
      </w:r>
    </w:p>
    <w:p>
      <w:pPr>
        <w:pStyle w:val="69"/>
        <w:adjustRightInd w:val="0"/>
        <w:snapToGrid w:val="0"/>
        <w:spacing w:after="0" w:line="360" w:lineRule="auto"/>
        <w:ind w:left="0" w:leftChars="0" w:firstLine="480" w:firstLineChars="200"/>
        <w:jc w:val="both"/>
        <w:rPr>
          <w:kern w:val="0"/>
          <w:sz w:val="24"/>
          <w:szCs w:val="24"/>
        </w:rPr>
      </w:pPr>
      <w:r>
        <w:rPr>
          <w:rFonts w:hint="eastAsia"/>
          <w:kern w:val="0"/>
          <w:sz w:val="24"/>
          <w:szCs w:val="24"/>
        </w:rPr>
        <w:t>（3）填埋气源强确定</w:t>
      </w:r>
    </w:p>
    <w:p>
      <w:pPr>
        <w:pStyle w:val="69"/>
        <w:adjustRightInd w:val="0"/>
        <w:snapToGrid w:val="0"/>
        <w:spacing w:after="0" w:line="360" w:lineRule="auto"/>
        <w:ind w:left="0" w:leftChars="0" w:firstLine="480" w:firstLineChars="200"/>
        <w:jc w:val="both"/>
        <w:rPr>
          <w:kern w:val="0"/>
          <w:sz w:val="24"/>
        </w:rPr>
      </w:pPr>
      <w:r>
        <w:rPr>
          <w:rFonts w:hint="eastAsia"/>
          <w:kern w:val="0"/>
          <w:sz w:val="24"/>
        </w:rPr>
        <w:t>根据《中国城市环境卫生》（2010 年3月）“探讨城市生活垃圾卫填埋场恶臭的防治措施”，生活垃圾填埋废气主要包括甲烷、二氧化碳、氨、硫化氢等，具体组成情况见表</w:t>
      </w:r>
      <w:r>
        <w:rPr>
          <w:kern w:val="0"/>
          <w:sz w:val="24"/>
        </w:rPr>
        <w:t>3.2</w:t>
      </w:r>
      <w:r>
        <w:rPr>
          <w:rFonts w:hint="eastAsia"/>
          <w:kern w:val="0"/>
          <w:sz w:val="24"/>
        </w:rPr>
        <w:t>-</w:t>
      </w:r>
      <w:r>
        <w:rPr>
          <w:kern w:val="0"/>
          <w:sz w:val="24"/>
        </w:rPr>
        <w:t>7</w:t>
      </w:r>
      <w:r>
        <w:rPr>
          <w:rFonts w:hint="eastAsia"/>
          <w:kern w:val="0"/>
          <w:sz w:val="24"/>
        </w:rPr>
        <w:t>。</w:t>
      </w:r>
    </w:p>
    <w:p>
      <w:pPr>
        <w:pStyle w:val="69"/>
        <w:adjustRightInd w:val="0"/>
        <w:snapToGrid w:val="0"/>
        <w:spacing w:after="0"/>
        <w:ind w:left="0" w:leftChars="0" w:firstLine="482" w:firstLineChars="200"/>
        <w:jc w:val="center"/>
        <w:rPr>
          <w:b/>
          <w:kern w:val="0"/>
          <w:sz w:val="24"/>
        </w:rPr>
      </w:pPr>
      <w:r>
        <w:rPr>
          <w:rFonts w:hint="eastAsia"/>
          <w:b/>
          <w:kern w:val="0"/>
          <w:sz w:val="24"/>
        </w:rPr>
        <w:t>表3</w:t>
      </w:r>
      <w:r>
        <w:rPr>
          <w:b/>
          <w:kern w:val="0"/>
          <w:sz w:val="24"/>
        </w:rPr>
        <w:t>.2-7</w:t>
      </w:r>
      <w:r>
        <w:rPr>
          <w:rFonts w:hint="eastAsia"/>
          <w:b/>
          <w:kern w:val="0"/>
          <w:sz w:val="24"/>
        </w:rPr>
        <w:t xml:space="preserve"> 城市生活垃圾卫生填埋场填埋气的经典组成及含量</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35"/>
        <w:gridCol w:w="1417"/>
        <w:gridCol w:w="1460"/>
        <w:gridCol w:w="1705"/>
        <w:gridCol w:w="17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2235" w:type="dxa"/>
            <w:vAlign w:val="center"/>
          </w:tcPr>
          <w:p>
            <w:pPr>
              <w:pStyle w:val="69"/>
              <w:adjustRightInd w:val="0"/>
              <w:snapToGrid w:val="0"/>
              <w:spacing w:after="0"/>
              <w:ind w:left="0" w:leftChars="0"/>
              <w:jc w:val="center"/>
              <w:rPr>
                <w:kern w:val="0"/>
                <w:sz w:val="21"/>
                <w:szCs w:val="21"/>
              </w:rPr>
            </w:pPr>
            <w:r>
              <w:rPr>
                <w:rFonts w:hint="eastAsia"/>
                <w:kern w:val="0"/>
                <w:sz w:val="21"/>
                <w:szCs w:val="21"/>
              </w:rPr>
              <w:t>组分</w:t>
            </w:r>
          </w:p>
        </w:tc>
        <w:tc>
          <w:tcPr>
            <w:tcW w:w="1417" w:type="dxa"/>
            <w:vAlign w:val="center"/>
          </w:tcPr>
          <w:p>
            <w:pPr>
              <w:pStyle w:val="69"/>
              <w:adjustRightInd w:val="0"/>
              <w:snapToGrid w:val="0"/>
              <w:spacing w:after="0"/>
              <w:ind w:left="0" w:leftChars="0"/>
              <w:jc w:val="center"/>
              <w:rPr>
                <w:kern w:val="0"/>
                <w:sz w:val="21"/>
                <w:szCs w:val="21"/>
              </w:rPr>
            </w:pPr>
            <w:r>
              <w:rPr>
                <w:rFonts w:hint="eastAsia"/>
                <w:kern w:val="0"/>
                <w:sz w:val="21"/>
                <w:szCs w:val="21"/>
              </w:rPr>
              <w:t>甲烷</w:t>
            </w:r>
          </w:p>
        </w:tc>
        <w:tc>
          <w:tcPr>
            <w:tcW w:w="1460" w:type="dxa"/>
            <w:vAlign w:val="center"/>
          </w:tcPr>
          <w:p>
            <w:pPr>
              <w:pStyle w:val="69"/>
              <w:adjustRightInd w:val="0"/>
              <w:snapToGrid w:val="0"/>
              <w:spacing w:after="0"/>
              <w:ind w:left="0" w:leftChars="0"/>
              <w:jc w:val="center"/>
              <w:rPr>
                <w:kern w:val="0"/>
                <w:sz w:val="21"/>
                <w:szCs w:val="21"/>
              </w:rPr>
            </w:pPr>
            <w:r>
              <w:rPr>
                <w:rFonts w:hint="eastAsia"/>
                <w:kern w:val="0"/>
                <w:sz w:val="21"/>
                <w:szCs w:val="21"/>
              </w:rPr>
              <w:t>二氧化碳</w:t>
            </w:r>
          </w:p>
        </w:tc>
        <w:tc>
          <w:tcPr>
            <w:tcW w:w="1705" w:type="dxa"/>
            <w:vAlign w:val="center"/>
          </w:tcPr>
          <w:p>
            <w:pPr>
              <w:pStyle w:val="69"/>
              <w:adjustRightInd w:val="0"/>
              <w:snapToGrid w:val="0"/>
              <w:spacing w:after="0"/>
              <w:ind w:left="0" w:leftChars="0"/>
              <w:jc w:val="center"/>
              <w:rPr>
                <w:kern w:val="0"/>
                <w:sz w:val="21"/>
                <w:szCs w:val="21"/>
              </w:rPr>
            </w:pPr>
            <w:r>
              <w:rPr>
                <w:rFonts w:hint="eastAsia"/>
                <w:kern w:val="0"/>
                <w:sz w:val="21"/>
                <w:szCs w:val="21"/>
              </w:rPr>
              <w:t>氨</w:t>
            </w:r>
          </w:p>
        </w:tc>
        <w:tc>
          <w:tcPr>
            <w:tcW w:w="1705" w:type="dxa"/>
            <w:vAlign w:val="center"/>
          </w:tcPr>
          <w:p>
            <w:pPr>
              <w:pStyle w:val="69"/>
              <w:adjustRightInd w:val="0"/>
              <w:snapToGrid w:val="0"/>
              <w:spacing w:after="0"/>
              <w:ind w:left="0" w:leftChars="0"/>
              <w:jc w:val="center"/>
              <w:rPr>
                <w:kern w:val="0"/>
                <w:sz w:val="21"/>
                <w:szCs w:val="21"/>
              </w:rPr>
            </w:pPr>
            <w:r>
              <w:rPr>
                <w:rFonts w:hint="eastAsia"/>
                <w:kern w:val="0"/>
                <w:sz w:val="21"/>
                <w:szCs w:val="21"/>
              </w:rPr>
              <w:t>硫化氢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2235" w:type="dxa"/>
            <w:vAlign w:val="center"/>
          </w:tcPr>
          <w:p>
            <w:pPr>
              <w:pStyle w:val="69"/>
              <w:adjustRightInd w:val="0"/>
              <w:snapToGrid w:val="0"/>
              <w:spacing w:after="0"/>
              <w:ind w:left="0" w:leftChars="0"/>
              <w:jc w:val="center"/>
              <w:rPr>
                <w:kern w:val="0"/>
                <w:sz w:val="21"/>
                <w:szCs w:val="21"/>
              </w:rPr>
            </w:pPr>
            <w:r>
              <w:rPr>
                <w:rFonts w:hint="eastAsia"/>
                <w:kern w:val="0"/>
                <w:sz w:val="21"/>
                <w:szCs w:val="21"/>
              </w:rPr>
              <w:t>含量（%）</w:t>
            </w:r>
          </w:p>
        </w:tc>
        <w:tc>
          <w:tcPr>
            <w:tcW w:w="1417" w:type="dxa"/>
            <w:vAlign w:val="center"/>
          </w:tcPr>
          <w:p>
            <w:pPr>
              <w:pStyle w:val="69"/>
              <w:adjustRightInd w:val="0"/>
              <w:snapToGrid w:val="0"/>
              <w:spacing w:after="0"/>
              <w:ind w:left="0" w:leftChars="0"/>
              <w:jc w:val="center"/>
              <w:rPr>
                <w:kern w:val="0"/>
                <w:sz w:val="21"/>
                <w:szCs w:val="21"/>
              </w:rPr>
            </w:pPr>
            <w:r>
              <w:rPr>
                <w:rFonts w:hint="eastAsia"/>
                <w:kern w:val="0"/>
                <w:sz w:val="21"/>
                <w:szCs w:val="21"/>
              </w:rPr>
              <w:t>5</w:t>
            </w:r>
            <w:r>
              <w:rPr>
                <w:kern w:val="0"/>
                <w:sz w:val="21"/>
                <w:szCs w:val="21"/>
              </w:rPr>
              <w:t>0-60</w:t>
            </w:r>
          </w:p>
        </w:tc>
        <w:tc>
          <w:tcPr>
            <w:tcW w:w="1460" w:type="dxa"/>
            <w:vAlign w:val="center"/>
          </w:tcPr>
          <w:p>
            <w:pPr>
              <w:pStyle w:val="69"/>
              <w:adjustRightInd w:val="0"/>
              <w:snapToGrid w:val="0"/>
              <w:spacing w:after="0"/>
              <w:ind w:left="0" w:leftChars="0"/>
              <w:jc w:val="center"/>
              <w:rPr>
                <w:kern w:val="0"/>
                <w:sz w:val="21"/>
                <w:szCs w:val="21"/>
              </w:rPr>
            </w:pPr>
            <w:r>
              <w:rPr>
                <w:kern w:val="0"/>
                <w:sz w:val="21"/>
                <w:szCs w:val="21"/>
              </w:rPr>
              <w:t>40-50</w:t>
            </w:r>
          </w:p>
        </w:tc>
        <w:tc>
          <w:tcPr>
            <w:tcW w:w="1705" w:type="dxa"/>
            <w:vAlign w:val="center"/>
          </w:tcPr>
          <w:p>
            <w:pPr>
              <w:pStyle w:val="69"/>
              <w:adjustRightInd w:val="0"/>
              <w:snapToGrid w:val="0"/>
              <w:spacing w:after="0"/>
              <w:ind w:left="0" w:leftChars="0"/>
              <w:jc w:val="center"/>
              <w:rPr>
                <w:kern w:val="0"/>
                <w:sz w:val="21"/>
                <w:szCs w:val="21"/>
              </w:rPr>
            </w:pPr>
            <w:r>
              <w:rPr>
                <w:kern w:val="0"/>
                <w:sz w:val="21"/>
                <w:szCs w:val="21"/>
              </w:rPr>
              <w:t>0.1-1.0</w:t>
            </w:r>
          </w:p>
        </w:tc>
        <w:tc>
          <w:tcPr>
            <w:tcW w:w="1705" w:type="dxa"/>
            <w:vAlign w:val="center"/>
          </w:tcPr>
          <w:p>
            <w:pPr>
              <w:pStyle w:val="69"/>
              <w:adjustRightInd w:val="0"/>
              <w:snapToGrid w:val="0"/>
              <w:spacing w:after="0"/>
              <w:ind w:left="0" w:leftChars="0"/>
              <w:jc w:val="center"/>
              <w:rPr>
                <w:kern w:val="0"/>
                <w:sz w:val="21"/>
                <w:szCs w:val="21"/>
              </w:rPr>
            </w:pPr>
            <w:r>
              <w:rPr>
                <w:rFonts w:hint="eastAsia"/>
                <w:kern w:val="0"/>
                <w:sz w:val="21"/>
                <w:szCs w:val="21"/>
              </w:rPr>
              <w:t>0</w:t>
            </w:r>
            <w:r>
              <w:rPr>
                <w:kern w:val="0"/>
                <w:sz w:val="21"/>
                <w:szCs w:val="21"/>
              </w:rPr>
              <w:t>.020-0.028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2235" w:type="dxa"/>
            <w:vAlign w:val="center"/>
          </w:tcPr>
          <w:p>
            <w:pPr>
              <w:pStyle w:val="69"/>
              <w:adjustRightInd w:val="0"/>
              <w:snapToGrid w:val="0"/>
              <w:spacing w:after="0"/>
              <w:ind w:left="0" w:leftChars="0"/>
              <w:jc w:val="center"/>
              <w:rPr>
                <w:kern w:val="0"/>
                <w:sz w:val="21"/>
                <w:szCs w:val="21"/>
              </w:rPr>
            </w:pPr>
            <w:r>
              <w:rPr>
                <w:rFonts w:hint="eastAsia"/>
                <w:kern w:val="0"/>
                <w:sz w:val="21"/>
                <w:szCs w:val="21"/>
              </w:rPr>
              <w:t>项目计算选值（均值）</w:t>
            </w:r>
          </w:p>
        </w:tc>
        <w:tc>
          <w:tcPr>
            <w:tcW w:w="1417" w:type="dxa"/>
            <w:vAlign w:val="center"/>
          </w:tcPr>
          <w:p>
            <w:pPr>
              <w:pStyle w:val="69"/>
              <w:adjustRightInd w:val="0"/>
              <w:snapToGrid w:val="0"/>
              <w:spacing w:after="0"/>
              <w:ind w:left="0" w:leftChars="0"/>
              <w:jc w:val="center"/>
              <w:rPr>
                <w:kern w:val="0"/>
                <w:sz w:val="21"/>
                <w:szCs w:val="21"/>
              </w:rPr>
            </w:pPr>
            <w:r>
              <w:rPr>
                <w:rFonts w:hint="eastAsia"/>
                <w:kern w:val="0"/>
                <w:sz w:val="21"/>
                <w:szCs w:val="21"/>
              </w:rPr>
              <w:t>5</w:t>
            </w:r>
            <w:r>
              <w:rPr>
                <w:kern w:val="0"/>
                <w:sz w:val="21"/>
                <w:szCs w:val="21"/>
              </w:rPr>
              <w:t>5</w:t>
            </w:r>
          </w:p>
        </w:tc>
        <w:tc>
          <w:tcPr>
            <w:tcW w:w="1460" w:type="dxa"/>
            <w:vAlign w:val="center"/>
          </w:tcPr>
          <w:p>
            <w:pPr>
              <w:pStyle w:val="69"/>
              <w:adjustRightInd w:val="0"/>
              <w:snapToGrid w:val="0"/>
              <w:spacing w:after="0"/>
              <w:ind w:left="0" w:leftChars="0"/>
              <w:jc w:val="center"/>
              <w:rPr>
                <w:kern w:val="0"/>
                <w:sz w:val="21"/>
                <w:szCs w:val="21"/>
              </w:rPr>
            </w:pPr>
            <w:r>
              <w:rPr>
                <w:rFonts w:hint="eastAsia"/>
                <w:kern w:val="0"/>
                <w:sz w:val="21"/>
                <w:szCs w:val="21"/>
              </w:rPr>
              <w:t>——</w:t>
            </w:r>
          </w:p>
        </w:tc>
        <w:tc>
          <w:tcPr>
            <w:tcW w:w="1705" w:type="dxa"/>
            <w:vAlign w:val="center"/>
          </w:tcPr>
          <w:p>
            <w:pPr>
              <w:pStyle w:val="69"/>
              <w:adjustRightInd w:val="0"/>
              <w:snapToGrid w:val="0"/>
              <w:spacing w:after="0"/>
              <w:ind w:left="0" w:leftChars="0"/>
              <w:jc w:val="center"/>
              <w:rPr>
                <w:kern w:val="0"/>
                <w:sz w:val="21"/>
                <w:szCs w:val="21"/>
              </w:rPr>
            </w:pPr>
            <w:r>
              <w:rPr>
                <w:rFonts w:hint="eastAsia"/>
                <w:kern w:val="0"/>
                <w:sz w:val="21"/>
                <w:szCs w:val="21"/>
              </w:rPr>
              <w:t>0</w:t>
            </w:r>
            <w:r>
              <w:rPr>
                <w:kern w:val="0"/>
                <w:sz w:val="21"/>
                <w:szCs w:val="21"/>
              </w:rPr>
              <w:t>.55</w:t>
            </w:r>
          </w:p>
        </w:tc>
        <w:tc>
          <w:tcPr>
            <w:tcW w:w="1705" w:type="dxa"/>
            <w:vAlign w:val="center"/>
          </w:tcPr>
          <w:p>
            <w:pPr>
              <w:pStyle w:val="69"/>
              <w:adjustRightInd w:val="0"/>
              <w:snapToGrid w:val="0"/>
              <w:spacing w:after="0"/>
              <w:ind w:left="0" w:leftChars="0"/>
              <w:jc w:val="center"/>
              <w:rPr>
                <w:kern w:val="0"/>
                <w:sz w:val="21"/>
                <w:szCs w:val="21"/>
              </w:rPr>
            </w:pPr>
            <w:r>
              <w:rPr>
                <w:rFonts w:hint="eastAsia"/>
                <w:kern w:val="0"/>
                <w:sz w:val="21"/>
                <w:szCs w:val="21"/>
              </w:rPr>
              <w:t>0</w:t>
            </w:r>
            <w:r>
              <w:rPr>
                <w:kern w:val="0"/>
                <w:sz w:val="21"/>
                <w:szCs w:val="21"/>
              </w:rPr>
              <w:t>.024</w:t>
            </w:r>
          </w:p>
        </w:tc>
      </w:tr>
    </w:tbl>
    <w:p>
      <w:pPr>
        <w:pStyle w:val="69"/>
        <w:adjustRightInd w:val="0"/>
        <w:snapToGrid w:val="0"/>
        <w:spacing w:before="156" w:beforeLines="50" w:after="0" w:line="360" w:lineRule="auto"/>
        <w:ind w:left="0" w:leftChars="0" w:firstLine="480" w:firstLineChars="200"/>
        <w:jc w:val="both"/>
        <w:rPr>
          <w:kern w:val="0"/>
          <w:sz w:val="24"/>
          <w:szCs w:val="24"/>
        </w:rPr>
      </w:pPr>
      <w:r>
        <w:rPr>
          <w:rFonts w:hint="eastAsia"/>
          <w:kern w:val="0"/>
          <w:sz w:val="24"/>
          <w:szCs w:val="24"/>
        </w:rPr>
        <w:t>在20℃、一个大气压情况下，CH</w:t>
      </w:r>
      <w:r>
        <w:rPr>
          <w:rFonts w:hint="eastAsia"/>
          <w:kern w:val="0"/>
          <w:sz w:val="24"/>
          <w:szCs w:val="24"/>
          <w:vertAlign w:val="subscript"/>
        </w:rPr>
        <w:t>4</w:t>
      </w:r>
      <w:r>
        <w:rPr>
          <w:rFonts w:hint="eastAsia"/>
          <w:kern w:val="0"/>
          <w:sz w:val="24"/>
          <w:szCs w:val="24"/>
        </w:rPr>
        <w:t>密度为0.71kg/m</w:t>
      </w:r>
      <w:r>
        <w:rPr>
          <w:kern w:val="0"/>
          <w:sz w:val="24"/>
          <w:szCs w:val="24"/>
          <w:vertAlign w:val="superscript"/>
        </w:rPr>
        <w:t>3</w:t>
      </w:r>
      <w:r>
        <w:rPr>
          <w:rFonts w:hint="eastAsia"/>
          <w:kern w:val="0"/>
          <w:sz w:val="24"/>
          <w:szCs w:val="24"/>
        </w:rPr>
        <w:t>，NH</w:t>
      </w:r>
      <w:r>
        <w:rPr>
          <w:rFonts w:hint="eastAsia"/>
          <w:kern w:val="0"/>
          <w:sz w:val="24"/>
          <w:szCs w:val="24"/>
          <w:vertAlign w:val="subscript"/>
        </w:rPr>
        <w:t>3</w:t>
      </w:r>
      <w:r>
        <w:rPr>
          <w:rFonts w:hint="eastAsia"/>
          <w:kern w:val="0"/>
          <w:sz w:val="24"/>
          <w:szCs w:val="24"/>
        </w:rPr>
        <w:t>密度为0.74kg/m</w:t>
      </w:r>
      <w:r>
        <w:rPr>
          <w:rFonts w:hint="eastAsia"/>
          <w:kern w:val="0"/>
          <w:sz w:val="24"/>
          <w:szCs w:val="24"/>
          <w:vertAlign w:val="superscript"/>
        </w:rPr>
        <w:t>3</w:t>
      </w:r>
      <w:r>
        <w:rPr>
          <w:rFonts w:hint="eastAsia"/>
          <w:kern w:val="0"/>
          <w:sz w:val="24"/>
          <w:szCs w:val="24"/>
        </w:rPr>
        <w:t>、H</w:t>
      </w:r>
      <w:r>
        <w:rPr>
          <w:rFonts w:hint="eastAsia"/>
          <w:kern w:val="0"/>
          <w:sz w:val="24"/>
          <w:szCs w:val="24"/>
          <w:vertAlign w:val="subscript"/>
        </w:rPr>
        <w:t>2</w:t>
      </w:r>
      <w:r>
        <w:rPr>
          <w:rFonts w:hint="eastAsia"/>
          <w:kern w:val="0"/>
          <w:sz w:val="24"/>
          <w:szCs w:val="24"/>
        </w:rPr>
        <w:t>S密度1.19kg/m</w:t>
      </w:r>
      <w:r>
        <w:rPr>
          <w:rFonts w:hint="eastAsia"/>
          <w:kern w:val="0"/>
          <w:sz w:val="24"/>
          <w:szCs w:val="24"/>
          <w:vertAlign w:val="superscript"/>
        </w:rPr>
        <w:t>3</w:t>
      </w:r>
      <w:r>
        <w:rPr>
          <w:rFonts w:hint="eastAsia"/>
          <w:kern w:val="0"/>
          <w:sz w:val="24"/>
          <w:szCs w:val="24"/>
        </w:rPr>
        <w:t>。由此可估算填埋场不同年份CH</w:t>
      </w:r>
      <w:r>
        <w:rPr>
          <w:rFonts w:hint="eastAsia"/>
          <w:kern w:val="0"/>
          <w:sz w:val="24"/>
          <w:szCs w:val="24"/>
          <w:vertAlign w:val="subscript"/>
        </w:rPr>
        <w:t>4</w:t>
      </w:r>
      <w:r>
        <w:rPr>
          <w:rFonts w:hint="eastAsia"/>
          <w:kern w:val="0"/>
          <w:sz w:val="24"/>
          <w:szCs w:val="24"/>
        </w:rPr>
        <w:t>、H</w:t>
      </w:r>
      <w:r>
        <w:rPr>
          <w:rFonts w:hint="eastAsia"/>
          <w:kern w:val="0"/>
          <w:sz w:val="24"/>
          <w:szCs w:val="24"/>
          <w:vertAlign w:val="subscript"/>
        </w:rPr>
        <w:t>2</w:t>
      </w:r>
      <w:r>
        <w:rPr>
          <w:rFonts w:hint="eastAsia"/>
          <w:kern w:val="0"/>
          <w:sz w:val="24"/>
          <w:szCs w:val="24"/>
        </w:rPr>
        <w:t>S、NH</w:t>
      </w:r>
      <w:r>
        <w:rPr>
          <w:rFonts w:hint="eastAsia"/>
          <w:kern w:val="0"/>
          <w:sz w:val="24"/>
          <w:szCs w:val="24"/>
          <w:vertAlign w:val="subscript"/>
        </w:rPr>
        <w:t>3</w:t>
      </w:r>
      <w:r>
        <w:rPr>
          <w:rFonts w:hint="eastAsia"/>
          <w:kern w:val="0"/>
          <w:sz w:val="24"/>
          <w:szCs w:val="24"/>
        </w:rPr>
        <w:t>的源强见下表：</w:t>
      </w:r>
    </w:p>
    <w:p>
      <w:pPr>
        <w:pStyle w:val="69"/>
        <w:adjustRightInd w:val="0"/>
        <w:snapToGrid w:val="0"/>
        <w:spacing w:before="156" w:beforeLines="50" w:after="0"/>
        <w:ind w:left="0" w:leftChars="0" w:firstLine="482" w:firstLineChars="200"/>
        <w:jc w:val="center"/>
        <w:rPr>
          <w:b/>
          <w:kern w:val="0"/>
          <w:sz w:val="24"/>
          <w:szCs w:val="24"/>
        </w:rPr>
      </w:pPr>
      <w:r>
        <w:rPr>
          <w:b/>
          <w:kern w:val="0"/>
          <w:sz w:val="24"/>
          <w:szCs w:val="24"/>
        </w:rPr>
        <w:t>表</w:t>
      </w:r>
      <w:r>
        <w:rPr>
          <w:rFonts w:hint="eastAsia"/>
          <w:b/>
          <w:kern w:val="0"/>
          <w:sz w:val="24"/>
          <w:szCs w:val="24"/>
        </w:rPr>
        <w:t>3.2-</w:t>
      </w:r>
      <w:r>
        <w:rPr>
          <w:b/>
          <w:kern w:val="0"/>
          <w:sz w:val="24"/>
          <w:szCs w:val="24"/>
        </w:rPr>
        <w:t>8 废气源强核算表</w:t>
      </w:r>
    </w:p>
    <w:tbl>
      <w:tblPr>
        <w:tblStyle w:val="87"/>
        <w:tblW w:w="5000" w:type="pct"/>
        <w:tblInd w:w="0" w:type="dxa"/>
        <w:tblLayout w:type="autofit"/>
        <w:tblCellMar>
          <w:top w:w="0" w:type="dxa"/>
          <w:left w:w="108" w:type="dxa"/>
          <w:bottom w:w="0" w:type="dxa"/>
          <w:right w:w="108" w:type="dxa"/>
        </w:tblCellMar>
      </w:tblPr>
      <w:tblGrid>
        <w:gridCol w:w="1767"/>
        <w:gridCol w:w="1239"/>
        <w:gridCol w:w="1805"/>
        <w:gridCol w:w="1241"/>
        <w:gridCol w:w="1570"/>
        <w:gridCol w:w="900"/>
      </w:tblGrid>
      <w:tr>
        <w:tblPrEx>
          <w:tblCellMar>
            <w:top w:w="0" w:type="dxa"/>
            <w:left w:w="108" w:type="dxa"/>
            <w:bottom w:w="0" w:type="dxa"/>
            <w:right w:w="108" w:type="dxa"/>
          </w:tblCellMar>
        </w:tblPrEx>
        <w:trPr>
          <w:trHeight w:val="540" w:hRule="atLeast"/>
        </w:trPr>
        <w:tc>
          <w:tcPr>
            <w:tcW w:w="1037" w:type="pct"/>
            <w:tcBorders>
              <w:top w:val="single" w:color="auto" w:sz="12" w:space="0"/>
              <w:left w:val="single" w:color="auto" w:sz="12" w:space="0"/>
              <w:bottom w:val="single" w:color="auto" w:sz="4" w:space="0"/>
              <w:right w:val="single" w:color="auto" w:sz="4" w:space="0"/>
              <w:tl2br w:val="single" w:color="auto" w:sz="4" w:space="0"/>
            </w:tcBorders>
            <w:shd w:val="clear" w:color="auto" w:fill="auto"/>
            <w:vAlign w:val="center"/>
          </w:tcPr>
          <w:p>
            <w:pPr>
              <w:widowControl/>
              <w:adjustRightInd w:val="0"/>
              <w:snapToGrid w:val="0"/>
              <w:rPr>
                <w:kern w:val="0"/>
                <w:szCs w:val="21"/>
              </w:rPr>
            </w:pPr>
            <w:r>
              <w:rPr>
                <w:kern w:val="0"/>
                <w:szCs w:val="21"/>
              </w:rPr>
              <w:t>产气速率</w:t>
            </w:r>
          </w:p>
        </w:tc>
        <w:tc>
          <w:tcPr>
            <w:tcW w:w="727" w:type="pct"/>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widowControl/>
              <w:adjustRightInd w:val="0"/>
              <w:snapToGrid w:val="0"/>
              <w:rPr>
                <w:kern w:val="0"/>
                <w:szCs w:val="21"/>
              </w:rPr>
            </w:pPr>
            <w:r>
              <w:rPr>
                <w:kern w:val="0"/>
                <w:szCs w:val="21"/>
              </w:rPr>
              <w:t>填埋气产气量（万m</w:t>
            </w:r>
            <w:r>
              <w:rPr>
                <w:kern w:val="0"/>
                <w:szCs w:val="21"/>
                <w:vertAlign w:val="superscript"/>
              </w:rPr>
              <w:t>3</w:t>
            </w:r>
            <w:r>
              <w:rPr>
                <w:kern w:val="0"/>
                <w:szCs w:val="21"/>
              </w:rPr>
              <w:t>/a）</w:t>
            </w:r>
          </w:p>
        </w:tc>
        <w:tc>
          <w:tcPr>
            <w:tcW w:w="1059" w:type="pct"/>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kern w:val="0"/>
                <w:szCs w:val="21"/>
              </w:rPr>
            </w:pPr>
            <w:r>
              <w:rPr>
                <w:kern w:val="0"/>
                <w:szCs w:val="21"/>
              </w:rPr>
              <w:t>废气产生量（m</w:t>
            </w:r>
            <w:r>
              <w:rPr>
                <w:kern w:val="0"/>
                <w:szCs w:val="21"/>
                <w:vertAlign w:val="superscript"/>
              </w:rPr>
              <w:t>3</w:t>
            </w:r>
            <w:r>
              <w:rPr>
                <w:kern w:val="0"/>
                <w:szCs w:val="21"/>
              </w:rPr>
              <w:t>/a）</w:t>
            </w:r>
          </w:p>
        </w:tc>
        <w:tc>
          <w:tcPr>
            <w:tcW w:w="728" w:type="pct"/>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kern w:val="0"/>
                <w:szCs w:val="21"/>
              </w:rPr>
            </w:pPr>
            <w:r>
              <w:rPr>
                <w:kern w:val="0"/>
                <w:szCs w:val="21"/>
              </w:rPr>
              <w:t>废气密度（kg/m</w:t>
            </w:r>
            <w:r>
              <w:rPr>
                <w:kern w:val="0"/>
                <w:szCs w:val="21"/>
                <w:vertAlign w:val="superscript"/>
              </w:rPr>
              <w:t>3</w:t>
            </w:r>
            <w:r>
              <w:rPr>
                <w:kern w:val="0"/>
                <w:szCs w:val="21"/>
              </w:rPr>
              <w:t>）</w:t>
            </w:r>
          </w:p>
        </w:tc>
        <w:tc>
          <w:tcPr>
            <w:tcW w:w="1449" w:type="pct"/>
            <w:gridSpan w:val="2"/>
            <w:tcBorders>
              <w:top w:val="single" w:color="auto" w:sz="12" w:space="0"/>
              <w:left w:val="single" w:color="auto" w:sz="4" w:space="0"/>
              <w:bottom w:val="single" w:color="auto" w:sz="4" w:space="0"/>
              <w:right w:val="single" w:color="auto" w:sz="12" w:space="0"/>
            </w:tcBorders>
            <w:shd w:val="clear" w:color="auto" w:fill="auto"/>
            <w:vAlign w:val="center"/>
          </w:tcPr>
          <w:p>
            <w:pPr>
              <w:widowControl/>
              <w:adjustRightInd w:val="0"/>
              <w:snapToGrid w:val="0"/>
              <w:jc w:val="center"/>
              <w:rPr>
                <w:kern w:val="0"/>
                <w:szCs w:val="21"/>
              </w:rPr>
            </w:pPr>
            <w:r>
              <w:rPr>
                <w:kern w:val="0"/>
                <w:szCs w:val="21"/>
              </w:rPr>
              <w:t>废气源强</w:t>
            </w:r>
          </w:p>
        </w:tc>
      </w:tr>
      <w:tr>
        <w:tblPrEx>
          <w:tblCellMar>
            <w:top w:w="0" w:type="dxa"/>
            <w:left w:w="108" w:type="dxa"/>
            <w:bottom w:w="0" w:type="dxa"/>
            <w:right w:w="108" w:type="dxa"/>
          </w:tblCellMar>
        </w:tblPrEx>
        <w:trPr>
          <w:trHeight w:val="300" w:hRule="atLeast"/>
        </w:trPr>
        <w:tc>
          <w:tcPr>
            <w:tcW w:w="1037" w:type="pct"/>
            <w:tcBorders>
              <w:top w:val="single" w:color="auto" w:sz="4" w:space="0"/>
              <w:left w:val="single" w:color="auto" w:sz="12" w:space="0"/>
              <w:bottom w:val="single" w:color="auto" w:sz="4" w:space="0"/>
              <w:right w:val="single" w:color="auto" w:sz="4" w:space="0"/>
              <w:tl2br w:val="single" w:color="auto" w:sz="4" w:space="0"/>
            </w:tcBorders>
            <w:shd w:val="clear" w:color="auto" w:fill="auto"/>
            <w:vAlign w:val="center"/>
          </w:tcPr>
          <w:p>
            <w:pPr>
              <w:widowControl/>
              <w:adjustRightInd w:val="0"/>
              <w:snapToGrid w:val="0"/>
              <w:rPr>
                <w:kern w:val="0"/>
                <w:szCs w:val="21"/>
              </w:rPr>
            </w:pPr>
            <w:r>
              <w:rPr>
                <w:kern w:val="0"/>
                <w:szCs w:val="21"/>
              </w:rPr>
              <w:t>年份</w:t>
            </w:r>
          </w:p>
        </w:tc>
        <w:tc>
          <w:tcPr>
            <w:tcW w:w="727"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kern w:val="0"/>
                <w:szCs w:val="21"/>
              </w:rPr>
            </w:pPr>
          </w:p>
        </w:tc>
        <w:tc>
          <w:tcPr>
            <w:tcW w:w="1059"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kern w:val="0"/>
                <w:szCs w:val="21"/>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t/a</w:t>
            </w:r>
          </w:p>
        </w:tc>
        <w:tc>
          <w:tcPr>
            <w:tcW w:w="527" w:type="pct"/>
            <w:tcBorders>
              <w:top w:val="single" w:color="auto" w:sz="4" w:space="0"/>
              <w:left w:val="single" w:color="auto" w:sz="4" w:space="0"/>
              <w:bottom w:val="single" w:color="auto" w:sz="4" w:space="0"/>
              <w:right w:val="single" w:color="auto" w:sz="12"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Kg/h</w:t>
            </w:r>
          </w:p>
        </w:tc>
      </w:tr>
      <w:tr>
        <w:tblPrEx>
          <w:tblCellMar>
            <w:top w:w="0" w:type="dxa"/>
            <w:left w:w="108" w:type="dxa"/>
            <w:bottom w:w="0" w:type="dxa"/>
            <w:right w:w="108" w:type="dxa"/>
          </w:tblCellMar>
        </w:tblPrEx>
        <w:trPr>
          <w:trHeight w:val="300" w:hRule="atLeast"/>
        </w:trPr>
        <w:tc>
          <w:tcPr>
            <w:tcW w:w="5000" w:type="pct"/>
            <w:gridSpan w:val="6"/>
            <w:tcBorders>
              <w:top w:val="single" w:color="auto" w:sz="4" w:space="0"/>
              <w:left w:val="single" w:color="auto" w:sz="12" w:space="0"/>
              <w:bottom w:val="single" w:color="auto" w:sz="4" w:space="0"/>
              <w:right w:val="single" w:color="auto" w:sz="12"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CH</w:t>
            </w:r>
            <w:r>
              <w:rPr>
                <w:rFonts w:eastAsia="等线"/>
                <w:kern w:val="0"/>
                <w:szCs w:val="21"/>
                <w:vertAlign w:val="subscript"/>
              </w:rPr>
              <w:t>4</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2023</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5.97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32811.26 </w:t>
            </w:r>
          </w:p>
        </w:tc>
        <w:tc>
          <w:tcPr>
            <w:tcW w:w="728" w:type="pct"/>
            <w:vMerge w:val="restart"/>
            <w:tcBorders>
              <w:top w:val="single" w:color="auto" w:sz="4" w:space="0"/>
              <w:left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0.71</w:t>
            </w: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23.2960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2.6594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2024</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7.64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42005.82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29.8241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3.4046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2025</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9.21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50664.93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35.9721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4.1064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2026</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10.69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58819.77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41.7620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4.7674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2027</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12.09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66499.71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47.2148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5.3898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2028</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13.41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73732.41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52.3500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5.9760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2029</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14.64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80543.91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57.1862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6.5281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2030</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27.51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151280.82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107.4094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12.2613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2031</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27.92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153576.25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109.0391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12.4474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2032</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28.32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155738.00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110.5740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12.6226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kern w:val="0"/>
                <w:szCs w:val="21"/>
              </w:rPr>
              <w:t>2033</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sz w:val="18"/>
                <w:szCs w:val="18"/>
              </w:rPr>
              <w:t xml:space="preserve">28.69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szCs w:val="21"/>
              </w:rPr>
              <w:t xml:space="preserve">157773.87 </w:t>
            </w:r>
          </w:p>
        </w:tc>
        <w:tc>
          <w:tcPr>
            <w:tcW w:w="728" w:type="pct"/>
            <w:vMerge w:val="continue"/>
            <w:tcBorders>
              <w:left w:val="single" w:color="auto" w:sz="4" w:space="0"/>
              <w:right w:val="single" w:color="auto" w:sz="4" w:space="0"/>
            </w:tcBorders>
            <w:vAlign w:val="center"/>
          </w:tcPr>
          <w:p>
            <w:pPr>
              <w:adjustRightInd w:val="0"/>
              <w:snapToGrid w:val="0"/>
              <w:jc w:val="center"/>
              <w:rPr>
                <w:rFonts w:eastAsia="等线"/>
                <w:b/>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b/>
                <w:kern w:val="0"/>
                <w:szCs w:val="21"/>
              </w:rPr>
            </w:pPr>
            <w:r>
              <w:rPr>
                <w:b/>
              </w:rPr>
              <w:t xml:space="preserve">112.0194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b/>
                <w:kern w:val="0"/>
                <w:szCs w:val="21"/>
              </w:rPr>
            </w:pPr>
            <w:r>
              <w:rPr>
                <w:b/>
              </w:rPr>
              <w:t xml:space="preserve">12.7876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2034</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27.32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150250.11 </w:t>
            </w:r>
          </w:p>
        </w:tc>
        <w:tc>
          <w:tcPr>
            <w:tcW w:w="728" w:type="pct"/>
            <w:vMerge w:val="continue"/>
            <w:tcBorders>
              <w:left w:val="single" w:color="auto" w:sz="4" w:space="0"/>
              <w:right w:val="single" w:color="auto" w:sz="4" w:space="0"/>
            </w:tcBorders>
            <w:shd w:val="clear" w:color="auto" w:fill="auto"/>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106.6776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12.1778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2035</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25.73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141500.23 </w:t>
            </w:r>
          </w:p>
        </w:tc>
        <w:tc>
          <w:tcPr>
            <w:tcW w:w="728" w:type="pct"/>
            <w:vMerge w:val="continue"/>
            <w:tcBorders>
              <w:left w:val="single" w:color="auto" w:sz="4" w:space="0"/>
              <w:right w:val="single" w:color="auto" w:sz="4" w:space="0"/>
            </w:tcBorders>
            <w:shd w:val="clear" w:color="auto" w:fill="auto"/>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100.4652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11.4686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2036</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24.23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133259.89 </w:t>
            </w:r>
          </w:p>
        </w:tc>
        <w:tc>
          <w:tcPr>
            <w:tcW w:w="728" w:type="pct"/>
            <w:vMerge w:val="continue"/>
            <w:tcBorders>
              <w:left w:val="single" w:color="auto" w:sz="4" w:space="0"/>
              <w:right w:val="single" w:color="auto" w:sz="4" w:space="0"/>
            </w:tcBorders>
            <w:shd w:val="clear" w:color="auto" w:fill="auto"/>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94.6145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10.8007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2037</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23.20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127584.83 </w:t>
            </w:r>
          </w:p>
        </w:tc>
        <w:tc>
          <w:tcPr>
            <w:tcW w:w="728" w:type="pct"/>
            <w:vMerge w:val="continue"/>
            <w:tcBorders>
              <w:left w:val="single" w:color="auto" w:sz="4" w:space="0"/>
              <w:right w:val="single" w:color="auto" w:sz="4" w:space="0"/>
            </w:tcBorders>
            <w:shd w:val="clear" w:color="auto" w:fill="auto"/>
            <w:vAlign w:val="center"/>
          </w:tcPr>
          <w:p>
            <w:pPr>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90.5852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10.3408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2038</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22.70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124825.03 </w:t>
            </w:r>
          </w:p>
        </w:tc>
        <w:tc>
          <w:tcPr>
            <w:tcW w:w="728" w:type="pct"/>
            <w:vMerge w:val="continue"/>
            <w:tcBorders>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88.6258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10.1171 </w:t>
            </w:r>
          </w:p>
        </w:tc>
      </w:tr>
      <w:tr>
        <w:tblPrEx>
          <w:tblCellMar>
            <w:top w:w="0" w:type="dxa"/>
            <w:left w:w="108" w:type="dxa"/>
            <w:bottom w:w="0" w:type="dxa"/>
            <w:right w:w="108" w:type="dxa"/>
          </w:tblCellMar>
        </w:tblPrEx>
        <w:trPr>
          <w:trHeight w:val="330" w:hRule="atLeast"/>
        </w:trPr>
        <w:tc>
          <w:tcPr>
            <w:tcW w:w="5000" w:type="pct"/>
            <w:gridSpan w:val="6"/>
            <w:tcBorders>
              <w:top w:val="single" w:color="auto" w:sz="4" w:space="0"/>
              <w:left w:val="single" w:color="auto" w:sz="12" w:space="0"/>
              <w:bottom w:val="single" w:color="auto" w:sz="4" w:space="0"/>
              <w:right w:val="single" w:color="auto" w:sz="12"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H</w:t>
            </w:r>
            <w:r>
              <w:rPr>
                <w:rFonts w:eastAsia="等线"/>
                <w:kern w:val="0"/>
                <w:szCs w:val="21"/>
                <w:vertAlign w:val="subscript"/>
              </w:rPr>
              <w:t>2</w:t>
            </w:r>
            <w:r>
              <w:rPr>
                <w:rFonts w:eastAsia="等线"/>
                <w:kern w:val="0"/>
                <w:szCs w:val="21"/>
              </w:rPr>
              <w:t>S</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2023</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5.97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14.32 </w:t>
            </w:r>
          </w:p>
        </w:tc>
        <w:tc>
          <w:tcPr>
            <w:tcW w:w="728" w:type="pct"/>
            <w:vMerge w:val="restart"/>
            <w:tcBorders>
              <w:top w:val="single" w:color="auto" w:sz="4" w:space="0"/>
              <w:left w:val="single" w:color="auto" w:sz="4" w:space="0"/>
              <w:right w:val="single" w:color="auto" w:sz="4" w:space="0"/>
            </w:tcBorders>
            <w:shd w:val="clear" w:color="auto" w:fill="auto"/>
            <w:noWrap/>
            <w:vAlign w:val="center"/>
          </w:tcPr>
          <w:p>
            <w:pPr>
              <w:adjustRightInd w:val="0"/>
              <w:snapToGrid w:val="0"/>
              <w:jc w:val="center"/>
              <w:rPr>
                <w:rFonts w:eastAsia="等线"/>
                <w:kern w:val="0"/>
                <w:szCs w:val="21"/>
              </w:rPr>
            </w:pPr>
            <w:r>
              <w:rPr>
                <w:rFonts w:eastAsia="等线"/>
                <w:kern w:val="0"/>
                <w:szCs w:val="21"/>
              </w:rPr>
              <w:t>1.19</w:t>
            </w: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0.0170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0.0019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2024</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7.64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18.33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0.0218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0.0025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2025</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9.21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22.11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0.0263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0.0030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2026</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10.69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25.67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0.0305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0.0035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2027</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12.09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29.02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0.0345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0.0039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2028</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13.41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32.17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0.0383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0.0044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2029</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14.64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35.15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0.0418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0.0048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2030</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27.51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66.01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0.0786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0.0090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2031</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27.92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67.02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0.0797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0.0091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2032</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28.32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67.96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0.0809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0.0092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kern w:val="0"/>
                <w:szCs w:val="21"/>
              </w:rPr>
              <w:t>2033</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sz w:val="18"/>
                <w:szCs w:val="18"/>
              </w:rPr>
              <w:t xml:space="preserve">28.69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szCs w:val="21"/>
              </w:rPr>
              <w:t xml:space="preserve">68.85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b/>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b/>
                <w:kern w:val="0"/>
                <w:szCs w:val="21"/>
              </w:rPr>
            </w:pPr>
            <w:r>
              <w:rPr>
                <w:b/>
              </w:rPr>
              <w:t xml:space="preserve">0.0819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b/>
                <w:kern w:val="0"/>
                <w:szCs w:val="21"/>
              </w:rPr>
            </w:pPr>
            <w:r>
              <w:rPr>
                <w:b/>
              </w:rPr>
              <w:t xml:space="preserve">0.0094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2034</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27.32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65.56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0.0780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0.0089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2035</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25.73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61.75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0.0735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0.0084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2036</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24.23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58.15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0.0692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0.0079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2037</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23.20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55.67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0.0663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0.0076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2038</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22.70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54.47 </w:t>
            </w:r>
          </w:p>
        </w:tc>
        <w:tc>
          <w:tcPr>
            <w:tcW w:w="728" w:type="pct"/>
            <w:vMerge w:val="continue"/>
            <w:tcBorders>
              <w:left w:val="single" w:color="auto" w:sz="4" w:space="0"/>
              <w:bottom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0.0648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0.0074 </w:t>
            </w:r>
          </w:p>
        </w:tc>
      </w:tr>
      <w:tr>
        <w:tblPrEx>
          <w:tblCellMar>
            <w:top w:w="0" w:type="dxa"/>
            <w:left w:w="108" w:type="dxa"/>
            <w:bottom w:w="0" w:type="dxa"/>
            <w:right w:w="108" w:type="dxa"/>
          </w:tblCellMar>
        </w:tblPrEx>
        <w:trPr>
          <w:trHeight w:val="300" w:hRule="atLeast"/>
        </w:trPr>
        <w:tc>
          <w:tcPr>
            <w:tcW w:w="5000" w:type="pct"/>
            <w:gridSpan w:val="6"/>
            <w:tcBorders>
              <w:top w:val="single" w:color="auto" w:sz="4" w:space="0"/>
              <w:left w:val="single" w:color="auto" w:sz="12" w:space="0"/>
              <w:bottom w:val="single" w:color="auto" w:sz="4" w:space="0"/>
              <w:right w:val="single" w:color="auto" w:sz="12" w:space="0"/>
            </w:tcBorders>
            <w:shd w:val="clear" w:color="auto" w:fill="auto"/>
            <w:noWrap/>
            <w:vAlign w:val="center"/>
          </w:tcPr>
          <w:p>
            <w:pPr>
              <w:widowControl/>
              <w:adjustRightInd w:val="0"/>
              <w:snapToGrid w:val="0"/>
              <w:jc w:val="center"/>
              <w:rPr>
                <w:rFonts w:eastAsia="Times New Roman"/>
                <w:kern w:val="0"/>
                <w:szCs w:val="21"/>
              </w:rPr>
            </w:pPr>
            <w:r>
              <w:rPr>
                <w:rFonts w:hint="eastAsia"/>
                <w:kern w:val="0"/>
                <w:szCs w:val="21"/>
              </w:rPr>
              <w:t>NH</w:t>
            </w:r>
            <w:r>
              <w:rPr>
                <w:kern w:val="0"/>
                <w:szCs w:val="21"/>
                <w:vertAlign w:val="subscript"/>
              </w:rPr>
              <w:t>3</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2023</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5.97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328.11 </w:t>
            </w:r>
          </w:p>
        </w:tc>
        <w:tc>
          <w:tcPr>
            <w:tcW w:w="728" w:type="pct"/>
            <w:vMerge w:val="restart"/>
            <w:tcBorders>
              <w:top w:val="single" w:color="auto" w:sz="4" w:space="0"/>
              <w:left w:val="single" w:color="auto" w:sz="4" w:space="0"/>
              <w:right w:val="single" w:color="auto" w:sz="4" w:space="0"/>
            </w:tcBorders>
            <w:shd w:val="clear" w:color="auto" w:fill="auto"/>
            <w:noWrap/>
            <w:vAlign w:val="center"/>
          </w:tcPr>
          <w:p>
            <w:pPr>
              <w:widowControl/>
              <w:adjustRightInd w:val="0"/>
              <w:snapToGrid w:val="0"/>
              <w:ind w:right="420"/>
              <w:jc w:val="right"/>
              <w:rPr>
                <w:rFonts w:eastAsia="等线"/>
                <w:kern w:val="0"/>
                <w:szCs w:val="21"/>
              </w:rPr>
            </w:pPr>
            <w:r>
              <w:rPr>
                <w:rFonts w:eastAsia="等线"/>
                <w:kern w:val="0"/>
                <w:szCs w:val="21"/>
              </w:rPr>
              <w:t xml:space="preserve">0.74 </w:t>
            </w: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0.2428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0.0277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2024</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7.64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420.06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0.3108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0.0355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2025</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9.21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506.65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0.3749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0.0428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2026</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10.69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588.20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0.4353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0.0497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2027</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12.09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665.00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0.4921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0.0562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2028</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13.41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737.32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0.5456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0.0623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2029</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14.64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805.44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0.5960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0.0680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2030</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27.51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1512.81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1.1195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0.1278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2031</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27.92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1535.76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1.1365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0.1297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2032</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28.32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1557.38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1.1525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0.1316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kern w:val="0"/>
                <w:szCs w:val="21"/>
              </w:rPr>
              <w:t>2033</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sz w:val="18"/>
                <w:szCs w:val="18"/>
              </w:rPr>
              <w:t xml:space="preserve">28.69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b/>
                <w:kern w:val="0"/>
                <w:szCs w:val="21"/>
              </w:rPr>
            </w:pPr>
            <w:r>
              <w:rPr>
                <w:rFonts w:eastAsia="等线"/>
                <w:b/>
                <w:szCs w:val="21"/>
              </w:rPr>
              <w:t xml:space="preserve">1577.74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b/>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b/>
                <w:kern w:val="0"/>
                <w:szCs w:val="21"/>
              </w:rPr>
            </w:pPr>
            <w:r>
              <w:rPr>
                <w:b/>
              </w:rPr>
              <w:t xml:space="preserve">1.1675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b/>
                <w:kern w:val="0"/>
                <w:szCs w:val="21"/>
              </w:rPr>
            </w:pPr>
            <w:r>
              <w:rPr>
                <w:b/>
              </w:rPr>
              <w:t xml:space="preserve">0.1333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2034</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27.32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1502.50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1.1119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0.1269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2035</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25.73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1415.00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1.0471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0.1195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2036</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24.23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1332.60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0.9861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0.1126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2037</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23.20 </w:t>
            </w:r>
          </w:p>
        </w:tc>
        <w:tc>
          <w:tcPr>
            <w:tcW w:w="105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1275.85 </w:t>
            </w:r>
          </w:p>
        </w:tc>
        <w:tc>
          <w:tcPr>
            <w:tcW w:w="728" w:type="pct"/>
            <w:vMerge w:val="continue"/>
            <w:tcBorders>
              <w:left w:val="single" w:color="auto" w:sz="4"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4" w:space="0"/>
              <w:right w:val="single" w:color="auto" w:sz="4" w:space="0"/>
            </w:tcBorders>
            <w:shd w:val="clear" w:color="auto" w:fill="auto"/>
          </w:tcPr>
          <w:p>
            <w:pPr>
              <w:widowControl/>
              <w:adjustRightInd w:val="0"/>
              <w:snapToGrid w:val="0"/>
              <w:jc w:val="center"/>
              <w:rPr>
                <w:rFonts w:eastAsia="等线"/>
                <w:kern w:val="0"/>
                <w:szCs w:val="21"/>
              </w:rPr>
            </w:pPr>
            <w:r>
              <w:t xml:space="preserve">0.9441 </w:t>
            </w:r>
          </w:p>
        </w:tc>
        <w:tc>
          <w:tcPr>
            <w:tcW w:w="527" w:type="pct"/>
            <w:tcBorders>
              <w:top w:val="single" w:color="auto" w:sz="4" w:space="0"/>
              <w:left w:val="single" w:color="auto" w:sz="4" w:space="0"/>
              <w:bottom w:val="single" w:color="auto" w:sz="4" w:space="0"/>
              <w:right w:val="single" w:color="auto" w:sz="12" w:space="0"/>
            </w:tcBorders>
            <w:shd w:val="clear" w:color="auto" w:fill="auto"/>
          </w:tcPr>
          <w:p>
            <w:pPr>
              <w:widowControl/>
              <w:adjustRightInd w:val="0"/>
              <w:snapToGrid w:val="0"/>
              <w:jc w:val="center"/>
              <w:rPr>
                <w:rFonts w:eastAsia="等线"/>
                <w:kern w:val="0"/>
                <w:szCs w:val="21"/>
              </w:rPr>
            </w:pPr>
            <w:r>
              <w:t xml:space="preserve">0.1078 </w:t>
            </w:r>
          </w:p>
        </w:tc>
      </w:tr>
      <w:tr>
        <w:tblPrEx>
          <w:tblCellMar>
            <w:top w:w="0" w:type="dxa"/>
            <w:left w:w="108" w:type="dxa"/>
            <w:bottom w:w="0" w:type="dxa"/>
            <w:right w:w="108" w:type="dxa"/>
          </w:tblCellMar>
        </w:tblPrEx>
        <w:trPr>
          <w:trHeight w:val="315" w:hRule="atLeast"/>
        </w:trPr>
        <w:tc>
          <w:tcPr>
            <w:tcW w:w="1037" w:type="pct"/>
            <w:tcBorders>
              <w:top w:val="single" w:color="auto" w:sz="4" w:space="0"/>
              <w:left w:val="single" w:color="auto" w:sz="12" w:space="0"/>
              <w:bottom w:val="single" w:color="auto" w:sz="12"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kern w:val="0"/>
                <w:szCs w:val="21"/>
              </w:rPr>
              <w:t>2038</w:t>
            </w:r>
          </w:p>
        </w:tc>
        <w:tc>
          <w:tcPr>
            <w:tcW w:w="727" w:type="pct"/>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 w:val="18"/>
                <w:szCs w:val="18"/>
              </w:rPr>
              <w:t xml:space="preserve">22.70 </w:t>
            </w:r>
          </w:p>
        </w:tc>
        <w:tc>
          <w:tcPr>
            <w:tcW w:w="1059" w:type="pct"/>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jc w:val="center"/>
              <w:rPr>
                <w:rFonts w:eastAsia="等线"/>
                <w:kern w:val="0"/>
                <w:szCs w:val="21"/>
              </w:rPr>
            </w:pPr>
            <w:r>
              <w:rPr>
                <w:rFonts w:eastAsia="等线"/>
                <w:szCs w:val="21"/>
              </w:rPr>
              <w:t xml:space="preserve">1248.25 </w:t>
            </w:r>
          </w:p>
        </w:tc>
        <w:tc>
          <w:tcPr>
            <w:tcW w:w="728" w:type="pct"/>
            <w:vMerge w:val="continue"/>
            <w:tcBorders>
              <w:left w:val="single" w:color="auto" w:sz="4" w:space="0"/>
              <w:bottom w:val="single" w:color="auto" w:sz="12" w:space="0"/>
              <w:right w:val="single" w:color="auto" w:sz="4" w:space="0"/>
            </w:tcBorders>
            <w:shd w:val="clear" w:color="auto" w:fill="auto"/>
            <w:noWrap/>
            <w:vAlign w:val="center"/>
          </w:tcPr>
          <w:p>
            <w:pPr>
              <w:widowControl/>
              <w:adjustRightInd w:val="0"/>
              <w:snapToGrid w:val="0"/>
              <w:jc w:val="center"/>
              <w:rPr>
                <w:rFonts w:eastAsia="等线"/>
                <w:kern w:val="0"/>
                <w:szCs w:val="21"/>
              </w:rPr>
            </w:pPr>
          </w:p>
        </w:tc>
        <w:tc>
          <w:tcPr>
            <w:tcW w:w="921" w:type="pct"/>
            <w:tcBorders>
              <w:top w:val="single" w:color="auto" w:sz="4" w:space="0"/>
              <w:left w:val="single" w:color="auto" w:sz="4" w:space="0"/>
              <w:bottom w:val="single" w:color="auto" w:sz="12" w:space="0"/>
              <w:right w:val="single" w:color="auto" w:sz="4" w:space="0"/>
            </w:tcBorders>
            <w:shd w:val="clear" w:color="auto" w:fill="auto"/>
          </w:tcPr>
          <w:p>
            <w:pPr>
              <w:widowControl/>
              <w:adjustRightInd w:val="0"/>
              <w:snapToGrid w:val="0"/>
              <w:jc w:val="center"/>
              <w:rPr>
                <w:rFonts w:eastAsia="等线"/>
                <w:kern w:val="0"/>
                <w:szCs w:val="21"/>
              </w:rPr>
            </w:pPr>
            <w:r>
              <w:t xml:space="preserve">0.9237 </w:t>
            </w:r>
          </w:p>
        </w:tc>
        <w:tc>
          <w:tcPr>
            <w:tcW w:w="527" w:type="pct"/>
            <w:tcBorders>
              <w:top w:val="single" w:color="auto" w:sz="4" w:space="0"/>
              <w:left w:val="single" w:color="auto" w:sz="4" w:space="0"/>
              <w:bottom w:val="single" w:color="auto" w:sz="12" w:space="0"/>
              <w:right w:val="single" w:color="auto" w:sz="12" w:space="0"/>
            </w:tcBorders>
            <w:shd w:val="clear" w:color="auto" w:fill="auto"/>
          </w:tcPr>
          <w:p>
            <w:pPr>
              <w:widowControl/>
              <w:adjustRightInd w:val="0"/>
              <w:snapToGrid w:val="0"/>
              <w:jc w:val="center"/>
              <w:rPr>
                <w:rFonts w:eastAsia="等线"/>
                <w:kern w:val="0"/>
                <w:szCs w:val="21"/>
              </w:rPr>
            </w:pPr>
            <w:r>
              <w:t xml:space="preserve">0.1054 </w:t>
            </w:r>
          </w:p>
        </w:tc>
      </w:tr>
    </w:tbl>
    <w:p>
      <w:pPr>
        <w:pStyle w:val="69"/>
        <w:adjustRightInd w:val="0"/>
        <w:snapToGrid w:val="0"/>
        <w:spacing w:before="156" w:beforeLines="50" w:after="0" w:line="360" w:lineRule="auto"/>
        <w:ind w:left="0" w:leftChars="0" w:firstLine="482" w:firstLineChars="200"/>
        <w:jc w:val="both"/>
        <w:rPr>
          <w:b/>
          <w:kern w:val="0"/>
          <w:sz w:val="24"/>
          <w:szCs w:val="24"/>
        </w:rPr>
      </w:pPr>
    </w:p>
    <w:p>
      <w:pPr>
        <w:adjustRightInd w:val="0"/>
        <w:snapToGrid w:val="0"/>
        <w:spacing w:line="360" w:lineRule="auto"/>
        <w:ind w:firstLine="480" w:firstLineChars="200"/>
        <w:rPr>
          <w:color w:val="FF0000"/>
          <w:sz w:val="24"/>
        </w:rPr>
      </w:pPr>
      <w:r>
        <w:rPr>
          <w:rFonts w:hint="eastAsia"/>
          <w:color w:val="FF0000"/>
          <w:sz w:val="24"/>
        </w:rPr>
        <w:t>2、填埋作业粉尘</w:t>
      </w:r>
    </w:p>
    <w:p>
      <w:pPr>
        <w:autoSpaceDE w:val="0"/>
        <w:autoSpaceDN w:val="0"/>
        <w:adjustRightInd w:val="0"/>
        <w:snapToGrid w:val="0"/>
        <w:spacing w:line="360" w:lineRule="auto"/>
        <w:ind w:firstLine="480" w:firstLineChars="200"/>
        <w:jc w:val="left"/>
        <w:rPr>
          <w:rFonts w:ascii="宋体" w:cs="宋体"/>
          <w:color w:val="FF0000"/>
          <w:kern w:val="0"/>
          <w:sz w:val="24"/>
        </w:rPr>
      </w:pPr>
      <w:r>
        <w:rPr>
          <w:rFonts w:hint="eastAsia" w:ascii="宋体" w:cs="宋体"/>
          <w:color w:val="FF0000"/>
          <w:kern w:val="0"/>
          <w:sz w:val="24"/>
        </w:rPr>
        <w:t>垃圾填埋场粉尘污染来源主要为：运输车辆倾倒垃圾时排放的粉尘及有风时填埋作业区地面堆料的扬尘。</w:t>
      </w:r>
    </w:p>
    <w:p>
      <w:pPr>
        <w:autoSpaceDE w:val="0"/>
        <w:autoSpaceDN w:val="0"/>
        <w:adjustRightInd w:val="0"/>
        <w:snapToGrid w:val="0"/>
        <w:spacing w:line="360" w:lineRule="auto"/>
        <w:ind w:firstLine="480"/>
        <w:jc w:val="left"/>
        <w:rPr>
          <w:rFonts w:ascii="宋体" w:cs="宋体"/>
          <w:color w:val="FF0000"/>
          <w:kern w:val="0"/>
          <w:sz w:val="24"/>
        </w:rPr>
      </w:pPr>
      <w:r>
        <w:rPr>
          <w:rFonts w:hint="eastAsia" w:ascii="宋体" w:cs="宋体"/>
          <w:color w:val="FF0000"/>
          <w:kern w:val="0"/>
          <w:sz w:val="24"/>
        </w:rPr>
        <w:t>①垃圾倾倒粉尘</w:t>
      </w:r>
    </w:p>
    <w:p>
      <w:pPr>
        <w:autoSpaceDE w:val="0"/>
        <w:autoSpaceDN w:val="0"/>
        <w:adjustRightInd w:val="0"/>
        <w:snapToGrid w:val="0"/>
        <w:spacing w:line="360" w:lineRule="auto"/>
        <w:ind w:firstLine="480" w:firstLineChars="200"/>
        <w:jc w:val="left"/>
        <w:rPr>
          <w:color w:val="FF0000"/>
          <w:kern w:val="0"/>
          <w:sz w:val="24"/>
        </w:rPr>
      </w:pPr>
      <w:r>
        <w:rPr>
          <w:rFonts w:hint="eastAsia" w:ascii="宋体" w:cs="宋体"/>
          <w:color w:val="FF0000"/>
          <w:kern w:val="0"/>
          <w:sz w:val="24"/>
        </w:rPr>
        <w:t>参照《扬尘源颗粒物排放清单编制技术指南（试行）》对生活垃圾卸车时</w:t>
      </w:r>
      <w:r>
        <w:rPr>
          <w:color w:val="FF0000"/>
          <w:kern w:val="0"/>
          <w:sz w:val="24"/>
        </w:rPr>
        <w:t>产生的瞬时粉尘进行估算：</w:t>
      </w:r>
    </w:p>
    <w:p>
      <w:pPr>
        <w:snapToGrid w:val="0"/>
        <w:spacing w:line="360" w:lineRule="auto"/>
        <w:ind w:firstLine="420" w:firstLineChars="200"/>
        <w:rPr>
          <w:color w:val="FF0000"/>
          <w:sz w:val="24"/>
        </w:rPr>
      </w:pPr>
      <w:r>
        <w:rPr>
          <w:color w:val="FF0000"/>
          <w:szCs w:val="21"/>
        </w:rPr>
        <w:drawing>
          <wp:inline distT="0" distB="0" distL="0" distR="0">
            <wp:extent cx="2571750" cy="771525"/>
            <wp:effectExtent l="0" t="0" r="0" b="9525"/>
            <wp:docPr id="291" name="图片 291" descr="C:\Users\众成环境\AppData\Local\Temp\ksohtml30216\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C:\Users\众成环境\AppData\Local\Temp\ksohtml30216\wps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571750" cy="771525"/>
                    </a:xfrm>
                    <a:prstGeom prst="rect">
                      <a:avLst/>
                    </a:prstGeom>
                    <a:noFill/>
                    <a:ln>
                      <a:noFill/>
                    </a:ln>
                  </pic:spPr>
                </pic:pic>
              </a:graphicData>
            </a:graphic>
          </wp:inline>
        </w:drawing>
      </w:r>
      <w:r>
        <w:rPr>
          <w:color w:val="FF0000"/>
          <w:sz w:val="24"/>
        </w:rPr>
        <w:t>（1）</w:t>
      </w:r>
    </w:p>
    <w:p>
      <w:pPr>
        <w:snapToGrid w:val="0"/>
        <w:spacing w:line="360" w:lineRule="auto"/>
        <w:ind w:firstLine="480" w:firstLineChars="200"/>
        <w:rPr>
          <w:color w:val="FF0000"/>
          <w:sz w:val="24"/>
        </w:rPr>
      </w:pPr>
      <w:r>
        <w:rPr>
          <w:color w:val="FF0000"/>
          <w:sz w:val="24"/>
        </w:rPr>
        <w:t xml:space="preserve">1） </w:t>
      </w:r>
      <w:r>
        <w:rPr>
          <w:i/>
          <w:iCs/>
          <w:color w:val="FF0000"/>
          <w:sz w:val="24"/>
        </w:rPr>
        <w:t xml:space="preserve">Eh </w:t>
      </w:r>
      <w:r>
        <w:rPr>
          <w:color w:val="FF0000"/>
          <w:sz w:val="24"/>
        </w:rPr>
        <w:t>为堆场装卸扬尘的排放系数，kg/t。</w:t>
      </w:r>
    </w:p>
    <w:p>
      <w:pPr>
        <w:snapToGrid w:val="0"/>
        <w:spacing w:line="360" w:lineRule="auto"/>
        <w:ind w:firstLine="480" w:firstLineChars="200"/>
        <w:rPr>
          <w:color w:val="FF0000"/>
          <w:sz w:val="24"/>
        </w:rPr>
      </w:pPr>
      <w:r>
        <w:rPr>
          <w:color w:val="FF0000"/>
          <w:sz w:val="24"/>
        </w:rPr>
        <w:t xml:space="preserve">2） </w:t>
      </w:r>
      <w:r>
        <w:rPr>
          <w:i/>
          <w:iCs/>
          <w:color w:val="FF0000"/>
          <w:sz w:val="24"/>
        </w:rPr>
        <w:t xml:space="preserve">ki </w:t>
      </w:r>
      <w:r>
        <w:rPr>
          <w:color w:val="FF0000"/>
          <w:sz w:val="24"/>
        </w:rPr>
        <w:t>为物料的粒度乘数，取值0.74。</w:t>
      </w:r>
    </w:p>
    <w:p>
      <w:pPr>
        <w:snapToGrid w:val="0"/>
        <w:spacing w:line="360" w:lineRule="auto"/>
        <w:ind w:firstLine="480" w:firstLineChars="200"/>
        <w:rPr>
          <w:color w:val="FF0000"/>
          <w:sz w:val="24"/>
        </w:rPr>
      </w:pPr>
      <w:r>
        <w:rPr>
          <w:color w:val="FF0000"/>
          <w:sz w:val="24"/>
        </w:rPr>
        <w:t xml:space="preserve">3） </w:t>
      </w:r>
      <w:r>
        <w:rPr>
          <w:i/>
          <w:iCs/>
          <w:color w:val="FF0000"/>
          <w:sz w:val="24"/>
        </w:rPr>
        <w:t xml:space="preserve">u </w:t>
      </w:r>
      <w:r>
        <w:rPr>
          <w:color w:val="FF0000"/>
          <w:sz w:val="24"/>
        </w:rPr>
        <w:t>为地面平均风速，2.2m/s。</w:t>
      </w:r>
    </w:p>
    <w:p>
      <w:pPr>
        <w:snapToGrid w:val="0"/>
        <w:spacing w:line="360" w:lineRule="auto"/>
        <w:ind w:firstLine="480" w:firstLineChars="200"/>
        <w:rPr>
          <w:color w:val="FF0000"/>
          <w:sz w:val="24"/>
        </w:rPr>
      </w:pPr>
      <w:r>
        <w:rPr>
          <w:color w:val="FF0000"/>
          <w:sz w:val="24"/>
        </w:rPr>
        <w:t xml:space="preserve">4） </w:t>
      </w:r>
      <w:r>
        <w:rPr>
          <w:i/>
          <w:iCs/>
          <w:color w:val="FF0000"/>
          <w:sz w:val="24"/>
        </w:rPr>
        <w:t xml:space="preserve">M </w:t>
      </w:r>
      <w:r>
        <w:rPr>
          <w:color w:val="FF0000"/>
          <w:sz w:val="24"/>
        </w:rPr>
        <w:t>为物料含水率，%，取值30%。</w:t>
      </w:r>
    </w:p>
    <w:p>
      <w:pPr>
        <w:snapToGrid w:val="0"/>
        <w:spacing w:line="360" w:lineRule="auto"/>
        <w:ind w:firstLine="480" w:firstLineChars="200"/>
        <w:rPr>
          <w:color w:val="FF0000"/>
          <w:sz w:val="24"/>
        </w:rPr>
      </w:pPr>
      <w:r>
        <w:rPr>
          <w:color w:val="FF0000"/>
          <w:sz w:val="24"/>
        </w:rPr>
        <w:t xml:space="preserve">5） </w:t>
      </w:r>
      <w:r>
        <w:rPr>
          <w:i/>
          <w:iCs/>
          <w:color w:val="FF0000"/>
          <w:sz w:val="24"/>
        </w:rPr>
        <w:t>η</w:t>
      </w:r>
      <w:r>
        <w:rPr>
          <w:color w:val="FF0000"/>
          <w:sz w:val="24"/>
        </w:rPr>
        <w:t>为污染控制技术对扬尘的去除效率，%，通过洒水抑尘，防风抑尘网抑尘，效率取74%。</w:t>
      </w:r>
    </w:p>
    <w:p>
      <w:pPr>
        <w:snapToGrid w:val="0"/>
        <w:spacing w:line="360" w:lineRule="auto"/>
        <w:ind w:firstLine="480" w:firstLineChars="200"/>
        <w:rPr>
          <w:color w:val="FF0000"/>
          <w:sz w:val="24"/>
        </w:rPr>
      </w:pPr>
      <w:r>
        <w:rPr>
          <w:rFonts w:hint="eastAsia"/>
          <w:color w:val="FF0000"/>
          <w:sz w:val="24"/>
        </w:rPr>
        <w:t>经以上公式计算得：生活垃圾装卸Eh为0.00</w:t>
      </w:r>
      <w:r>
        <w:rPr>
          <w:color w:val="FF0000"/>
          <w:sz w:val="24"/>
        </w:rPr>
        <w:t>44</w:t>
      </w:r>
      <w:r>
        <w:rPr>
          <w:rFonts w:hint="eastAsia"/>
          <w:color w:val="FF0000"/>
          <w:sz w:val="24"/>
        </w:rPr>
        <w:t>kg/t。</w:t>
      </w:r>
    </w:p>
    <w:p>
      <w:pPr>
        <w:snapToGrid w:val="0"/>
        <w:spacing w:line="360" w:lineRule="auto"/>
        <w:ind w:firstLine="480" w:firstLineChars="200"/>
        <w:rPr>
          <w:color w:val="FF0000"/>
          <w:sz w:val="24"/>
        </w:rPr>
      </w:pPr>
      <w:r>
        <w:rPr>
          <w:color w:val="FF0000"/>
          <w:sz w:val="24"/>
        </w:rPr>
        <w:fldChar w:fldCharType="begin"/>
      </w:r>
      <w:r>
        <w:rPr>
          <w:color w:val="FF0000"/>
          <w:sz w:val="24"/>
        </w:rPr>
        <w:instrText xml:space="preserve"> </w:instrText>
      </w:r>
      <w:r>
        <w:rPr>
          <w:rFonts w:hint="eastAsia"/>
          <w:color w:val="FF0000"/>
          <w:sz w:val="24"/>
        </w:rPr>
        <w:instrText xml:space="preserve">= 2 \* GB3</w:instrText>
      </w:r>
      <w:r>
        <w:rPr>
          <w:color w:val="FF0000"/>
          <w:sz w:val="24"/>
        </w:rPr>
        <w:instrText xml:space="preserve"> </w:instrText>
      </w:r>
      <w:r>
        <w:rPr>
          <w:color w:val="FF0000"/>
          <w:sz w:val="24"/>
        </w:rPr>
        <w:fldChar w:fldCharType="separate"/>
      </w:r>
      <w:r>
        <w:rPr>
          <w:rFonts w:hint="eastAsia"/>
          <w:color w:val="FF0000"/>
          <w:sz w:val="24"/>
        </w:rPr>
        <w:t>②</w:t>
      </w:r>
      <w:r>
        <w:rPr>
          <w:color w:val="FF0000"/>
          <w:sz w:val="24"/>
        </w:rPr>
        <w:fldChar w:fldCharType="end"/>
      </w:r>
      <w:r>
        <w:rPr>
          <w:rFonts w:ascii="宋体" w:hAnsi="宋体"/>
          <w:color w:val="FF0000"/>
          <w:sz w:val="24"/>
        </w:rPr>
        <w:t>堆场风蚀扬尘排放系数的计算方法</w:t>
      </w:r>
    </w:p>
    <w:p>
      <w:pPr>
        <w:widowControl/>
        <w:spacing w:line="360" w:lineRule="auto"/>
        <w:ind w:firstLine="480" w:firstLineChars="200"/>
        <w:rPr>
          <w:color w:val="FF0000"/>
          <w:sz w:val="24"/>
        </w:rPr>
      </w:pPr>
      <w:r>
        <w:rPr>
          <w:rFonts w:ascii="宋体" w:hAnsi="宋体"/>
          <w:color w:val="FF0000"/>
          <w:sz w:val="24"/>
        </w:rPr>
        <w:t>料堆表面遭受风扰动后引起颗粒物排放的排放系数可以用下式计算：</w:t>
      </w:r>
    </w:p>
    <w:p>
      <w:pPr>
        <w:widowControl/>
        <w:spacing w:line="360" w:lineRule="auto"/>
        <w:ind w:firstLine="480" w:firstLineChars="200"/>
        <w:rPr>
          <w:color w:val="FF0000"/>
          <w:sz w:val="24"/>
        </w:rPr>
      </w:pPr>
      <w:r>
        <w:rPr>
          <w:rFonts w:hint="eastAsia"/>
          <w:color w:val="FF0000"/>
          <w:sz w:val="24"/>
        </w:rPr>
        <w:drawing>
          <wp:inline distT="0" distB="0" distL="0" distR="0">
            <wp:extent cx="2076450" cy="485775"/>
            <wp:effectExtent l="0" t="0" r="0" b="9525"/>
            <wp:docPr id="294" name="图片 294" descr="C:\Users\众成环境\AppData\Local\Temp\ksohtml30216\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C:\Users\众成环境\AppData\Local\Temp\ksohtml30216\wps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076450" cy="485775"/>
                    </a:xfrm>
                    <a:prstGeom prst="rect">
                      <a:avLst/>
                    </a:prstGeom>
                    <a:noFill/>
                    <a:ln>
                      <a:noFill/>
                    </a:ln>
                  </pic:spPr>
                </pic:pic>
              </a:graphicData>
            </a:graphic>
          </wp:inline>
        </w:drawing>
      </w:r>
      <w:r>
        <w:rPr>
          <w:rFonts w:ascii="宋体" w:hAnsi="宋体"/>
          <w:color w:val="FF0000"/>
          <w:sz w:val="24"/>
        </w:rPr>
        <w:t>（</w:t>
      </w:r>
      <w:r>
        <w:rPr>
          <w:color w:val="FF0000"/>
          <w:sz w:val="24"/>
        </w:rPr>
        <w:t>2</w:t>
      </w:r>
      <w:r>
        <w:rPr>
          <w:rFonts w:ascii="宋体" w:hAnsi="宋体"/>
          <w:color w:val="FF0000"/>
          <w:sz w:val="24"/>
        </w:rPr>
        <w:t>）</w:t>
      </w:r>
    </w:p>
    <w:p>
      <w:pPr>
        <w:widowControl/>
        <w:spacing w:line="360" w:lineRule="auto"/>
        <w:ind w:firstLine="480" w:firstLineChars="200"/>
        <w:rPr>
          <w:color w:val="FF0000"/>
          <w:sz w:val="24"/>
        </w:rPr>
      </w:pPr>
      <w:r>
        <w:rPr>
          <w:rFonts w:hint="eastAsia"/>
          <w:color w:val="FF0000"/>
          <w:sz w:val="24"/>
        </w:rPr>
        <w:drawing>
          <wp:inline distT="0" distB="0" distL="0" distR="0">
            <wp:extent cx="3733800" cy="914400"/>
            <wp:effectExtent l="0" t="0" r="0" b="0"/>
            <wp:docPr id="313" name="图片 313" descr="C:\Users\众成环境\AppData\Local\Temp\ksohtml30216\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C:\Users\众成环境\AppData\Local\Temp\ksohtml30216\wps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733800" cy="914400"/>
                    </a:xfrm>
                    <a:prstGeom prst="rect">
                      <a:avLst/>
                    </a:prstGeom>
                    <a:noFill/>
                    <a:ln>
                      <a:noFill/>
                    </a:ln>
                  </pic:spPr>
                </pic:pic>
              </a:graphicData>
            </a:graphic>
          </wp:inline>
        </w:drawing>
      </w:r>
      <w:r>
        <w:rPr>
          <w:rFonts w:ascii="宋体" w:hAnsi="宋体"/>
          <w:color w:val="FF0000"/>
          <w:sz w:val="24"/>
        </w:rPr>
        <w:t>（</w:t>
      </w:r>
      <w:r>
        <w:rPr>
          <w:color w:val="FF0000"/>
          <w:sz w:val="24"/>
        </w:rPr>
        <w:t>3</w:t>
      </w:r>
      <w:r>
        <w:rPr>
          <w:rFonts w:ascii="宋体" w:hAnsi="宋体"/>
          <w:color w:val="FF0000"/>
          <w:sz w:val="24"/>
        </w:rPr>
        <w:t>）</w:t>
      </w:r>
    </w:p>
    <w:p>
      <w:pPr>
        <w:widowControl/>
        <w:spacing w:line="360" w:lineRule="auto"/>
        <w:ind w:firstLine="480" w:firstLineChars="200"/>
        <w:rPr>
          <w:color w:val="FF0000"/>
          <w:sz w:val="24"/>
        </w:rPr>
      </w:pPr>
      <w:r>
        <w:rPr>
          <w:color w:val="FF0000"/>
          <w:sz w:val="24"/>
        </w:rPr>
        <w:t>1</w:t>
      </w:r>
      <w:r>
        <w:rPr>
          <w:rFonts w:ascii="宋体" w:hAnsi="宋体"/>
          <w:color w:val="FF0000"/>
          <w:sz w:val="24"/>
        </w:rPr>
        <w:t xml:space="preserve">） </w:t>
      </w:r>
      <w:r>
        <w:rPr>
          <w:i/>
          <w:iCs/>
          <w:color w:val="FF0000"/>
          <w:sz w:val="24"/>
        </w:rPr>
        <w:t xml:space="preserve">Ew </w:t>
      </w:r>
      <w:r>
        <w:rPr>
          <w:rFonts w:ascii="宋体" w:hAnsi="宋体"/>
          <w:color w:val="FF0000"/>
          <w:sz w:val="24"/>
        </w:rPr>
        <w:t>为堆场风蚀扬尘的排放系数，</w:t>
      </w:r>
      <w:r>
        <w:rPr>
          <w:color w:val="FF0000"/>
          <w:sz w:val="24"/>
        </w:rPr>
        <w:t>kg/m</w:t>
      </w:r>
      <w:r>
        <w:rPr>
          <w:color w:val="FF0000"/>
          <w:sz w:val="24"/>
          <w:vertAlign w:val="superscript"/>
        </w:rPr>
        <w:t>2</w:t>
      </w:r>
      <w:r>
        <w:rPr>
          <w:rFonts w:ascii="宋体" w:hAnsi="宋体"/>
          <w:color w:val="FF0000"/>
          <w:sz w:val="24"/>
        </w:rPr>
        <w:t>。</w:t>
      </w:r>
    </w:p>
    <w:p>
      <w:pPr>
        <w:widowControl/>
        <w:spacing w:line="360" w:lineRule="auto"/>
        <w:ind w:firstLine="480" w:firstLineChars="200"/>
        <w:rPr>
          <w:color w:val="FF0000"/>
          <w:sz w:val="24"/>
        </w:rPr>
      </w:pPr>
      <w:r>
        <w:rPr>
          <w:color w:val="FF0000"/>
          <w:sz w:val="24"/>
        </w:rPr>
        <w:t>2</w:t>
      </w:r>
      <w:r>
        <w:rPr>
          <w:rFonts w:ascii="宋体" w:hAnsi="宋体"/>
          <w:color w:val="FF0000"/>
          <w:sz w:val="24"/>
        </w:rPr>
        <w:t xml:space="preserve">） </w:t>
      </w:r>
      <w:r>
        <w:rPr>
          <w:i/>
          <w:iCs/>
          <w:color w:val="FF0000"/>
          <w:sz w:val="24"/>
        </w:rPr>
        <w:t xml:space="preserve">ki </w:t>
      </w:r>
      <w:r>
        <w:rPr>
          <w:rFonts w:ascii="宋体" w:hAnsi="宋体"/>
          <w:color w:val="FF0000"/>
          <w:sz w:val="24"/>
        </w:rPr>
        <w:t>为物料的粒度乘数，</w:t>
      </w:r>
      <w:r>
        <w:rPr>
          <w:rFonts w:hint="eastAsia" w:ascii="宋体" w:hAnsi="宋体"/>
          <w:color w:val="FF0000"/>
          <w:sz w:val="24"/>
        </w:rPr>
        <w:t>取值1</w:t>
      </w:r>
      <w:r>
        <w:rPr>
          <w:rFonts w:ascii="宋体" w:hAnsi="宋体"/>
          <w:color w:val="FF0000"/>
          <w:sz w:val="24"/>
        </w:rPr>
        <w:t>.0。</w:t>
      </w:r>
    </w:p>
    <w:p>
      <w:pPr>
        <w:widowControl/>
        <w:spacing w:line="360" w:lineRule="auto"/>
        <w:ind w:firstLine="480" w:firstLineChars="200"/>
        <w:rPr>
          <w:color w:val="FF0000"/>
          <w:sz w:val="24"/>
        </w:rPr>
      </w:pPr>
      <w:r>
        <w:rPr>
          <w:color w:val="FF0000"/>
          <w:sz w:val="24"/>
        </w:rPr>
        <w:t>3</w:t>
      </w:r>
      <w:r>
        <w:rPr>
          <w:rFonts w:ascii="宋体" w:hAnsi="宋体"/>
          <w:color w:val="FF0000"/>
          <w:sz w:val="24"/>
        </w:rPr>
        <w:t xml:space="preserve">） </w:t>
      </w:r>
      <w:r>
        <w:rPr>
          <w:i/>
          <w:iCs/>
          <w:color w:val="FF0000"/>
          <w:sz w:val="24"/>
        </w:rPr>
        <w:t xml:space="preserve">n </w:t>
      </w:r>
      <w:r>
        <w:rPr>
          <w:rFonts w:ascii="宋体" w:hAnsi="宋体"/>
          <w:color w:val="FF0000"/>
          <w:sz w:val="24"/>
        </w:rPr>
        <w:t>为料堆每年受扰动的次数</w:t>
      </w:r>
      <w:r>
        <w:rPr>
          <w:rFonts w:hint="eastAsia" w:ascii="宋体" w:hAnsi="宋体"/>
          <w:color w:val="FF0000"/>
          <w:sz w:val="24"/>
        </w:rPr>
        <w:t>,取值3</w:t>
      </w:r>
      <w:r>
        <w:rPr>
          <w:rFonts w:ascii="宋体" w:hAnsi="宋体"/>
          <w:color w:val="FF0000"/>
          <w:sz w:val="24"/>
        </w:rPr>
        <w:t>65。</w:t>
      </w:r>
    </w:p>
    <w:p>
      <w:pPr>
        <w:widowControl/>
        <w:spacing w:line="360" w:lineRule="auto"/>
        <w:ind w:firstLine="480" w:firstLineChars="200"/>
        <w:rPr>
          <w:color w:val="FF0000"/>
          <w:sz w:val="24"/>
        </w:rPr>
      </w:pPr>
      <w:r>
        <w:rPr>
          <w:color w:val="FF0000"/>
          <w:sz w:val="24"/>
        </w:rPr>
        <w:t>4</w:t>
      </w:r>
      <w:r>
        <w:rPr>
          <w:rFonts w:ascii="宋体" w:hAnsi="宋体"/>
          <w:color w:val="FF0000"/>
          <w:sz w:val="24"/>
        </w:rPr>
        <w:t xml:space="preserve">） </w:t>
      </w:r>
      <w:r>
        <w:rPr>
          <w:i/>
          <w:iCs/>
          <w:color w:val="FF0000"/>
          <w:sz w:val="24"/>
        </w:rPr>
        <w:t xml:space="preserve">Pi </w:t>
      </w:r>
      <w:r>
        <w:rPr>
          <w:rFonts w:ascii="宋体" w:hAnsi="宋体"/>
          <w:color w:val="FF0000"/>
          <w:sz w:val="24"/>
        </w:rPr>
        <w:t>为第</w:t>
      </w:r>
      <w:r>
        <w:rPr>
          <w:color w:val="FF0000"/>
          <w:sz w:val="24"/>
        </w:rPr>
        <w:t xml:space="preserve">i </w:t>
      </w:r>
      <w:r>
        <w:rPr>
          <w:rFonts w:ascii="宋体" w:hAnsi="宋体"/>
          <w:color w:val="FF0000"/>
          <w:sz w:val="24"/>
        </w:rPr>
        <w:t>次扰动中观测的最大风速的风蚀潜势，</w:t>
      </w:r>
      <w:r>
        <w:rPr>
          <w:color w:val="FF0000"/>
          <w:sz w:val="24"/>
        </w:rPr>
        <w:t>g/m</w:t>
      </w:r>
      <w:r>
        <w:rPr>
          <w:color w:val="FF0000"/>
          <w:sz w:val="24"/>
          <w:vertAlign w:val="superscript"/>
        </w:rPr>
        <w:t>2</w:t>
      </w:r>
      <w:r>
        <w:rPr>
          <w:rFonts w:ascii="宋体" w:hAnsi="宋体"/>
          <w:color w:val="FF0000"/>
          <w:sz w:val="24"/>
        </w:rPr>
        <w:t>，通过公式（</w:t>
      </w:r>
      <w:r>
        <w:rPr>
          <w:color w:val="FF0000"/>
          <w:sz w:val="24"/>
        </w:rPr>
        <w:t>3</w:t>
      </w:r>
      <w:r>
        <w:rPr>
          <w:rFonts w:ascii="宋体" w:hAnsi="宋体"/>
          <w:color w:val="FF0000"/>
          <w:sz w:val="24"/>
        </w:rPr>
        <w:t>）求得。</w:t>
      </w:r>
    </w:p>
    <w:p>
      <w:pPr>
        <w:widowControl/>
        <w:spacing w:line="360" w:lineRule="auto"/>
        <w:ind w:firstLine="480" w:firstLineChars="200"/>
        <w:rPr>
          <w:color w:val="FF0000"/>
          <w:sz w:val="24"/>
        </w:rPr>
      </w:pPr>
      <w:r>
        <w:rPr>
          <w:color w:val="FF0000"/>
          <w:sz w:val="24"/>
        </w:rPr>
        <w:t xml:space="preserve">5） </w:t>
      </w:r>
      <w:r>
        <w:rPr>
          <w:i/>
          <w:iCs/>
          <w:color w:val="FF0000"/>
          <w:sz w:val="24"/>
        </w:rPr>
        <w:t>η</w:t>
      </w:r>
      <w:r>
        <w:rPr>
          <w:color w:val="FF0000"/>
          <w:sz w:val="24"/>
        </w:rPr>
        <w:t>为污染控制技术对扬尘的去除效率，%，取值61%。</w:t>
      </w:r>
    </w:p>
    <w:p>
      <w:pPr>
        <w:widowControl/>
        <w:spacing w:line="360" w:lineRule="auto"/>
        <w:ind w:firstLine="480" w:firstLineChars="200"/>
        <w:rPr>
          <w:color w:val="FF0000"/>
          <w:sz w:val="24"/>
        </w:rPr>
      </w:pPr>
      <w:r>
        <w:rPr>
          <w:color w:val="FF0000"/>
          <w:sz w:val="24"/>
        </w:rPr>
        <w:t>6） u*为摩擦风速，m/s。计算方法见公式(4)。</w:t>
      </w:r>
    </w:p>
    <w:p>
      <w:pPr>
        <w:widowControl/>
        <w:spacing w:line="360" w:lineRule="auto"/>
        <w:ind w:firstLine="480" w:firstLineChars="200"/>
        <w:rPr>
          <w:color w:val="FF0000"/>
          <w:sz w:val="24"/>
        </w:rPr>
      </w:pPr>
      <w:r>
        <w:rPr>
          <w:color w:val="FF0000"/>
          <w:sz w:val="24"/>
        </w:rPr>
        <w:t>7） ut*为阈值摩擦风速，即起尘的临界摩擦风速，m/s，取值1.33 m/s。</w:t>
      </w:r>
    </w:p>
    <w:p>
      <w:pPr>
        <w:widowControl/>
        <w:spacing w:line="360" w:lineRule="auto"/>
        <w:ind w:firstLine="480" w:firstLineChars="200"/>
        <w:rPr>
          <w:color w:val="FF0000"/>
          <w:sz w:val="24"/>
        </w:rPr>
      </w:pPr>
      <w:r>
        <w:rPr>
          <w:color w:val="FF0000"/>
          <w:sz w:val="24"/>
        </w:rPr>
        <w:drawing>
          <wp:inline distT="0" distB="0" distL="0" distR="0">
            <wp:extent cx="3038475" cy="514350"/>
            <wp:effectExtent l="0" t="0" r="9525" b="0"/>
            <wp:docPr id="314" name="图片 314" descr="C:\Users\众成环境\AppData\Local\Temp\ksohtml30216\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C:\Users\众成环境\AppData\Local\Temp\ksohtml30216\wps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3038475" cy="514350"/>
                    </a:xfrm>
                    <a:prstGeom prst="rect">
                      <a:avLst/>
                    </a:prstGeom>
                    <a:noFill/>
                    <a:ln>
                      <a:noFill/>
                    </a:ln>
                  </pic:spPr>
                </pic:pic>
              </a:graphicData>
            </a:graphic>
          </wp:inline>
        </w:drawing>
      </w:r>
      <w:r>
        <w:rPr>
          <w:color w:val="FF0000"/>
          <w:sz w:val="24"/>
        </w:rPr>
        <w:t>（4）</w:t>
      </w:r>
    </w:p>
    <w:p>
      <w:pPr>
        <w:widowControl/>
        <w:spacing w:line="360" w:lineRule="auto"/>
        <w:ind w:firstLine="480" w:firstLineChars="200"/>
        <w:rPr>
          <w:color w:val="FF0000"/>
          <w:sz w:val="24"/>
        </w:rPr>
      </w:pPr>
      <w:r>
        <w:rPr>
          <w:color w:val="FF0000"/>
          <w:sz w:val="24"/>
        </w:rPr>
        <w:t>1） u(z)为地面风速，2.2m/s。</w:t>
      </w:r>
    </w:p>
    <w:p>
      <w:pPr>
        <w:widowControl/>
        <w:spacing w:line="360" w:lineRule="auto"/>
        <w:ind w:firstLine="480" w:firstLineChars="200"/>
        <w:rPr>
          <w:color w:val="FF0000"/>
          <w:sz w:val="24"/>
        </w:rPr>
      </w:pPr>
      <w:r>
        <w:rPr>
          <w:color w:val="FF0000"/>
          <w:sz w:val="24"/>
        </w:rPr>
        <w:t>2） z 为地面风速检测高度，取值10m。</w:t>
      </w:r>
    </w:p>
    <w:p>
      <w:pPr>
        <w:widowControl/>
        <w:spacing w:line="360" w:lineRule="auto"/>
        <w:ind w:firstLine="480" w:firstLineChars="200"/>
        <w:rPr>
          <w:color w:val="FF0000"/>
          <w:sz w:val="24"/>
        </w:rPr>
      </w:pPr>
      <w:r>
        <w:rPr>
          <w:color w:val="FF0000"/>
          <w:sz w:val="24"/>
        </w:rPr>
        <w:t>3</w:t>
      </w:r>
      <w:r>
        <w:rPr>
          <w:rFonts w:ascii="宋体" w:hAnsi="宋体"/>
          <w:color w:val="FF0000"/>
          <w:sz w:val="24"/>
        </w:rPr>
        <w:t xml:space="preserve">） </w:t>
      </w:r>
      <w:r>
        <w:rPr>
          <w:color w:val="FF0000"/>
          <w:sz w:val="24"/>
        </w:rPr>
        <w:t xml:space="preserve">z0 </w:t>
      </w:r>
      <w:r>
        <w:rPr>
          <w:rFonts w:ascii="宋体" w:hAnsi="宋体"/>
          <w:color w:val="FF0000"/>
          <w:sz w:val="24"/>
        </w:rPr>
        <w:t>为地面粗糙度，</w:t>
      </w:r>
      <w:r>
        <w:rPr>
          <w:color w:val="FF0000"/>
          <w:sz w:val="24"/>
        </w:rPr>
        <w:t>m</w:t>
      </w:r>
      <w:r>
        <w:rPr>
          <w:rFonts w:ascii="宋体" w:hAnsi="宋体"/>
          <w:color w:val="FF0000"/>
          <w:sz w:val="24"/>
        </w:rPr>
        <w:t>，城市取值</w:t>
      </w:r>
      <w:r>
        <w:rPr>
          <w:color w:val="FF0000"/>
          <w:sz w:val="24"/>
        </w:rPr>
        <w:t>0.6</w:t>
      </w:r>
      <w:r>
        <w:rPr>
          <w:rFonts w:ascii="宋体" w:hAnsi="宋体"/>
          <w:color w:val="FF0000"/>
          <w:sz w:val="24"/>
        </w:rPr>
        <w:t>，郊区取值</w:t>
      </w:r>
      <w:r>
        <w:rPr>
          <w:color w:val="FF0000"/>
          <w:sz w:val="24"/>
        </w:rPr>
        <w:t>0.2</w:t>
      </w:r>
      <w:r>
        <w:rPr>
          <w:rFonts w:ascii="宋体" w:hAnsi="宋体"/>
          <w:color w:val="FF0000"/>
          <w:sz w:val="24"/>
        </w:rPr>
        <w:t>。</w:t>
      </w:r>
    </w:p>
    <w:p>
      <w:pPr>
        <w:widowControl/>
        <w:spacing w:line="360" w:lineRule="auto"/>
        <w:ind w:firstLine="480" w:firstLineChars="200"/>
        <w:rPr>
          <w:rFonts w:ascii="宋体" w:hAnsi="宋体"/>
          <w:color w:val="FF0000"/>
          <w:sz w:val="24"/>
        </w:rPr>
      </w:pPr>
      <w:r>
        <w:rPr>
          <w:color w:val="FF0000"/>
          <w:sz w:val="24"/>
        </w:rPr>
        <w:t>4</w:t>
      </w:r>
      <w:r>
        <w:rPr>
          <w:rFonts w:ascii="宋体" w:hAnsi="宋体"/>
          <w:color w:val="FF0000"/>
          <w:sz w:val="24"/>
        </w:rPr>
        <w:t xml:space="preserve">） </w:t>
      </w:r>
      <w:r>
        <w:rPr>
          <w:color w:val="FF0000"/>
          <w:sz w:val="24"/>
        </w:rPr>
        <w:t xml:space="preserve">0.4 </w:t>
      </w:r>
      <w:r>
        <w:rPr>
          <w:rFonts w:ascii="宋体" w:hAnsi="宋体"/>
          <w:color w:val="FF0000"/>
          <w:sz w:val="24"/>
        </w:rPr>
        <w:t>为冯卡门常数，无量纲。</w:t>
      </w:r>
    </w:p>
    <w:p>
      <w:pPr>
        <w:widowControl/>
        <w:spacing w:line="360" w:lineRule="auto"/>
        <w:ind w:firstLine="480" w:firstLineChars="200"/>
        <w:rPr>
          <w:color w:val="FF0000"/>
          <w:sz w:val="24"/>
        </w:rPr>
      </w:pPr>
      <w:r>
        <w:rPr>
          <w:rFonts w:hint="eastAsia" w:ascii="宋体" w:hAnsi="宋体"/>
          <w:color w:val="FF0000"/>
          <w:sz w:val="24"/>
        </w:rPr>
        <w:t>计算得</w:t>
      </w:r>
      <w:r>
        <w:rPr>
          <w:color w:val="FF0000"/>
          <w:sz w:val="24"/>
        </w:rPr>
        <w:t>u*</w:t>
      </w:r>
      <w:r>
        <w:rPr>
          <w:rFonts w:hint="eastAsia"/>
          <w:color w:val="FF0000"/>
          <w:sz w:val="24"/>
        </w:rPr>
        <w:t>为</w:t>
      </w:r>
      <w:r>
        <w:rPr>
          <w:color w:val="FF0000"/>
          <w:sz w:val="24"/>
        </w:rPr>
        <w:t>0.22 m/s</w:t>
      </w:r>
      <w:r>
        <w:rPr>
          <w:rFonts w:hint="eastAsia"/>
          <w:color w:val="FF0000"/>
          <w:sz w:val="24"/>
        </w:rPr>
        <w:t>，则</w:t>
      </w:r>
      <w:r>
        <w:rPr>
          <w:iCs/>
          <w:color w:val="FF0000"/>
          <w:sz w:val="24"/>
        </w:rPr>
        <w:t>Pi</w:t>
      </w:r>
      <w:r>
        <w:rPr>
          <w:rFonts w:hint="eastAsia"/>
          <w:iCs/>
          <w:color w:val="FF0000"/>
          <w:sz w:val="24"/>
        </w:rPr>
        <w:t>为0，</w:t>
      </w:r>
      <w:r>
        <w:rPr>
          <w:i/>
          <w:iCs/>
          <w:color w:val="FF0000"/>
          <w:sz w:val="24"/>
        </w:rPr>
        <w:t>Ew</w:t>
      </w:r>
      <w:r>
        <w:rPr>
          <w:rFonts w:hint="eastAsia"/>
          <w:iCs/>
          <w:color w:val="FF0000"/>
          <w:sz w:val="24"/>
        </w:rPr>
        <w:t>为0。</w:t>
      </w:r>
    </w:p>
    <w:p>
      <w:pPr>
        <w:spacing w:line="360" w:lineRule="auto"/>
        <w:ind w:firstLine="480" w:firstLineChars="200"/>
        <w:rPr>
          <w:color w:val="FF0000"/>
          <w:sz w:val="24"/>
        </w:rPr>
      </w:pPr>
      <w:r>
        <w:rPr>
          <w:color w:val="FF0000"/>
          <w:sz w:val="24"/>
        </w:rPr>
        <w:fldChar w:fldCharType="begin"/>
      </w:r>
      <w:r>
        <w:rPr>
          <w:color w:val="FF0000"/>
          <w:sz w:val="24"/>
        </w:rPr>
        <w:instrText xml:space="preserve"> </w:instrText>
      </w:r>
      <w:r>
        <w:rPr>
          <w:rFonts w:hint="eastAsia"/>
          <w:color w:val="FF0000"/>
          <w:sz w:val="24"/>
        </w:rPr>
        <w:instrText xml:space="preserve">= 3 \* GB3</w:instrText>
      </w:r>
      <w:r>
        <w:rPr>
          <w:color w:val="FF0000"/>
          <w:sz w:val="24"/>
        </w:rPr>
        <w:instrText xml:space="preserve"> </w:instrText>
      </w:r>
      <w:r>
        <w:rPr>
          <w:color w:val="FF0000"/>
          <w:sz w:val="24"/>
        </w:rPr>
        <w:fldChar w:fldCharType="separate"/>
      </w:r>
      <w:r>
        <w:rPr>
          <w:rFonts w:hint="eastAsia"/>
          <w:color w:val="FF0000"/>
          <w:sz w:val="24"/>
        </w:rPr>
        <w:t>③</w:t>
      </w:r>
      <w:r>
        <w:rPr>
          <w:color w:val="FF0000"/>
          <w:sz w:val="24"/>
        </w:rPr>
        <w:fldChar w:fldCharType="end"/>
      </w:r>
      <w:r>
        <w:rPr>
          <w:rFonts w:ascii="宋体" w:hAnsi="宋体"/>
          <w:color w:val="FF0000"/>
          <w:sz w:val="24"/>
        </w:rPr>
        <w:t>扬尘量合计</w:t>
      </w:r>
    </w:p>
    <w:p>
      <w:pPr>
        <w:spacing w:line="360" w:lineRule="auto"/>
        <w:ind w:firstLine="480" w:firstLineChars="200"/>
        <w:rPr>
          <w:color w:val="FF0000"/>
          <w:sz w:val="24"/>
        </w:rPr>
      </w:pPr>
      <w:r>
        <w:rPr>
          <w:color w:val="FF0000"/>
          <w:sz w:val="24"/>
        </w:rPr>
        <w:t>堆场的扬尘源排放量是装卸、运输引起的扬尘与堆积存放期间风蚀扬尘的加和，计算公式如下：</w:t>
      </w:r>
    </w:p>
    <w:p>
      <w:pPr>
        <w:spacing w:line="360" w:lineRule="auto"/>
        <w:ind w:firstLine="420" w:firstLineChars="200"/>
        <w:rPr>
          <w:color w:val="FF0000"/>
          <w:sz w:val="24"/>
        </w:rPr>
      </w:pPr>
      <w:r>
        <w:rPr>
          <w:color w:val="FF0000"/>
          <w:szCs w:val="21"/>
        </w:rPr>
        <w:drawing>
          <wp:inline distT="0" distB="0" distL="0" distR="0">
            <wp:extent cx="3467100" cy="619125"/>
            <wp:effectExtent l="0" t="0" r="0" b="9525"/>
            <wp:docPr id="315" name="图片 315" descr="C:\Users\众成环境\AppData\Local\Temp\ksohtml3021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C:\Users\众成环境\AppData\Local\Temp\ksohtml30216\wps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467100" cy="619125"/>
                    </a:xfrm>
                    <a:prstGeom prst="rect">
                      <a:avLst/>
                    </a:prstGeom>
                    <a:noFill/>
                    <a:ln>
                      <a:noFill/>
                    </a:ln>
                  </pic:spPr>
                </pic:pic>
              </a:graphicData>
            </a:graphic>
          </wp:inline>
        </w:drawing>
      </w:r>
      <w:r>
        <w:rPr>
          <w:color w:val="FF0000"/>
          <w:sz w:val="24"/>
        </w:rPr>
        <w:t>（5）</w:t>
      </w:r>
    </w:p>
    <w:p>
      <w:pPr>
        <w:snapToGrid w:val="0"/>
        <w:spacing w:line="360" w:lineRule="auto"/>
        <w:ind w:firstLine="480" w:firstLineChars="200"/>
        <w:rPr>
          <w:color w:val="FF0000"/>
          <w:sz w:val="24"/>
        </w:rPr>
      </w:pPr>
      <w:r>
        <w:rPr>
          <w:color w:val="FF0000"/>
          <w:sz w:val="24"/>
        </w:rPr>
        <w:t>式中：</w:t>
      </w:r>
    </w:p>
    <w:p>
      <w:pPr>
        <w:snapToGrid w:val="0"/>
        <w:spacing w:line="360" w:lineRule="auto"/>
        <w:ind w:firstLine="480" w:firstLineChars="200"/>
        <w:rPr>
          <w:color w:val="FF0000"/>
          <w:sz w:val="24"/>
        </w:rPr>
      </w:pPr>
      <w:r>
        <w:rPr>
          <w:color w:val="FF0000"/>
          <w:sz w:val="24"/>
        </w:rPr>
        <w:t xml:space="preserve">1） </w:t>
      </w:r>
      <w:r>
        <w:rPr>
          <w:i/>
          <w:iCs/>
          <w:color w:val="FF0000"/>
          <w:sz w:val="24"/>
        </w:rPr>
        <w:t>W</w:t>
      </w:r>
      <w:r>
        <w:rPr>
          <w:i/>
          <w:iCs/>
          <w:color w:val="FF0000"/>
          <w:sz w:val="24"/>
          <w:vertAlign w:val="subscript"/>
        </w:rPr>
        <w:t>Y</w:t>
      </w:r>
      <w:r>
        <w:rPr>
          <w:i/>
          <w:iCs/>
          <w:color w:val="FF0000"/>
          <w:sz w:val="24"/>
        </w:rPr>
        <w:t xml:space="preserve"> </w:t>
      </w:r>
      <w:r>
        <w:rPr>
          <w:color w:val="FF0000"/>
          <w:sz w:val="24"/>
        </w:rPr>
        <w:t>为堆场扬尘源中颗粒物总排放量，t/a。</w:t>
      </w:r>
    </w:p>
    <w:p>
      <w:pPr>
        <w:snapToGrid w:val="0"/>
        <w:spacing w:line="360" w:lineRule="auto"/>
        <w:ind w:firstLine="480" w:firstLineChars="200"/>
        <w:rPr>
          <w:color w:val="FF0000"/>
          <w:sz w:val="24"/>
        </w:rPr>
      </w:pPr>
      <w:r>
        <w:rPr>
          <w:color w:val="FF0000"/>
          <w:sz w:val="24"/>
        </w:rPr>
        <w:t xml:space="preserve">2） </w:t>
      </w:r>
      <w:r>
        <w:rPr>
          <w:i/>
          <w:iCs/>
          <w:color w:val="FF0000"/>
          <w:sz w:val="24"/>
        </w:rPr>
        <w:t xml:space="preserve">Eh </w:t>
      </w:r>
      <w:r>
        <w:rPr>
          <w:color w:val="FF0000"/>
          <w:sz w:val="24"/>
        </w:rPr>
        <w:t>为堆场装卸运输过程的扬尘颗粒物排放系数，kg/t，其估算公式见（1）。</w:t>
      </w:r>
    </w:p>
    <w:p>
      <w:pPr>
        <w:snapToGrid w:val="0"/>
        <w:spacing w:line="360" w:lineRule="auto"/>
        <w:ind w:firstLine="480" w:firstLineChars="200"/>
        <w:rPr>
          <w:color w:val="FF0000"/>
          <w:sz w:val="24"/>
        </w:rPr>
      </w:pPr>
      <w:r>
        <w:rPr>
          <w:color w:val="FF0000"/>
          <w:sz w:val="24"/>
        </w:rPr>
        <w:t>3）</w:t>
      </w:r>
      <w:r>
        <w:rPr>
          <w:i/>
          <w:iCs/>
          <w:color w:val="FF0000"/>
          <w:sz w:val="24"/>
        </w:rPr>
        <w:t xml:space="preserve">m </w:t>
      </w:r>
      <w:r>
        <w:rPr>
          <w:color w:val="FF0000"/>
          <w:sz w:val="24"/>
        </w:rPr>
        <w:t>为每年料堆物料装卸总次数，取值365次。</w:t>
      </w:r>
    </w:p>
    <w:p>
      <w:pPr>
        <w:snapToGrid w:val="0"/>
        <w:spacing w:line="360" w:lineRule="auto"/>
        <w:ind w:firstLine="480" w:firstLineChars="200"/>
        <w:rPr>
          <w:color w:val="FF0000"/>
          <w:sz w:val="24"/>
        </w:rPr>
      </w:pPr>
      <w:r>
        <w:rPr>
          <w:color w:val="FF0000"/>
          <w:sz w:val="24"/>
        </w:rPr>
        <w:t>4）</w:t>
      </w:r>
      <w:r>
        <w:rPr>
          <w:i/>
          <w:iCs/>
          <w:color w:val="FF0000"/>
          <w:sz w:val="24"/>
        </w:rPr>
        <w:t>G</w:t>
      </w:r>
      <w:r>
        <w:rPr>
          <w:i/>
          <w:iCs/>
          <w:color w:val="FF0000"/>
          <w:sz w:val="24"/>
          <w:vertAlign w:val="subscript"/>
        </w:rPr>
        <w:t>Yi</w:t>
      </w:r>
      <w:r>
        <w:rPr>
          <w:i/>
          <w:iCs/>
          <w:color w:val="FF0000"/>
          <w:sz w:val="24"/>
        </w:rPr>
        <w:t xml:space="preserve"> </w:t>
      </w:r>
      <w:r>
        <w:rPr>
          <w:color w:val="FF0000"/>
          <w:sz w:val="24"/>
        </w:rPr>
        <w:t>为第i 次装卸过程的物料装卸量，取值50t。</w:t>
      </w:r>
    </w:p>
    <w:p>
      <w:pPr>
        <w:snapToGrid w:val="0"/>
        <w:spacing w:line="360" w:lineRule="auto"/>
        <w:ind w:firstLine="480" w:firstLineChars="200"/>
        <w:rPr>
          <w:color w:val="FF0000"/>
          <w:sz w:val="24"/>
        </w:rPr>
      </w:pPr>
      <w:r>
        <w:rPr>
          <w:color w:val="FF0000"/>
          <w:sz w:val="24"/>
        </w:rPr>
        <w:t xml:space="preserve">5） </w:t>
      </w:r>
      <w:r>
        <w:rPr>
          <w:i/>
          <w:iCs/>
          <w:color w:val="FF0000"/>
          <w:sz w:val="24"/>
        </w:rPr>
        <w:t xml:space="preserve">Ew </w:t>
      </w:r>
      <w:r>
        <w:rPr>
          <w:color w:val="FF0000"/>
          <w:sz w:val="24"/>
        </w:rPr>
        <w:t>为料堆受到风蚀作用的颗粒物排放系数，kg/m</w:t>
      </w:r>
      <w:r>
        <w:rPr>
          <w:color w:val="FF0000"/>
          <w:sz w:val="24"/>
          <w:vertAlign w:val="superscript"/>
        </w:rPr>
        <w:t>2</w:t>
      </w:r>
      <w:r>
        <w:rPr>
          <w:color w:val="FF0000"/>
          <w:sz w:val="24"/>
        </w:rPr>
        <w:t>，其估算公式见（2）。</w:t>
      </w:r>
    </w:p>
    <w:p>
      <w:pPr>
        <w:adjustRightInd w:val="0"/>
        <w:snapToGrid w:val="0"/>
        <w:spacing w:line="360" w:lineRule="auto"/>
        <w:ind w:firstLine="480" w:firstLineChars="200"/>
        <w:rPr>
          <w:color w:val="FF0000"/>
          <w:sz w:val="24"/>
        </w:rPr>
      </w:pPr>
      <w:r>
        <w:rPr>
          <w:color w:val="FF0000"/>
          <w:sz w:val="24"/>
        </w:rPr>
        <w:t>6）</w:t>
      </w:r>
      <w:r>
        <w:rPr>
          <w:i/>
          <w:iCs/>
          <w:color w:val="FF0000"/>
          <w:sz w:val="24"/>
        </w:rPr>
        <w:t>A</w:t>
      </w:r>
      <w:r>
        <w:rPr>
          <w:i/>
          <w:iCs/>
          <w:color w:val="FF0000"/>
          <w:sz w:val="24"/>
          <w:vertAlign w:val="subscript"/>
        </w:rPr>
        <w:t>Y</w:t>
      </w:r>
      <w:r>
        <w:rPr>
          <w:i/>
          <w:iCs/>
          <w:color w:val="FF0000"/>
          <w:sz w:val="24"/>
        </w:rPr>
        <w:t xml:space="preserve"> </w:t>
      </w:r>
      <w:r>
        <w:rPr>
          <w:color w:val="FF0000"/>
          <w:sz w:val="24"/>
        </w:rPr>
        <w:t>为料堆表面积，m</w:t>
      </w:r>
      <w:r>
        <w:rPr>
          <w:color w:val="FF0000"/>
          <w:sz w:val="24"/>
          <w:vertAlign w:val="superscript"/>
        </w:rPr>
        <w:t>2</w:t>
      </w:r>
      <w:r>
        <w:rPr>
          <w:rFonts w:hint="eastAsia"/>
          <w:color w:val="FF0000"/>
          <w:sz w:val="24"/>
        </w:rPr>
        <w:t>，取生活垃圾作业面积</w:t>
      </w:r>
      <w:r>
        <w:rPr>
          <w:color w:val="FF0000"/>
          <w:sz w:val="24"/>
        </w:rPr>
        <w:t>80m</w:t>
      </w:r>
      <w:r>
        <w:rPr>
          <w:color w:val="FF0000"/>
          <w:sz w:val="24"/>
          <w:vertAlign w:val="superscript"/>
        </w:rPr>
        <w:t>2</w:t>
      </w:r>
      <w:r>
        <w:rPr>
          <w:color w:val="FF0000"/>
          <w:sz w:val="24"/>
        </w:rPr>
        <w:t>。</w:t>
      </w:r>
    </w:p>
    <w:p>
      <w:pPr>
        <w:widowControl/>
        <w:adjustRightInd w:val="0"/>
        <w:snapToGrid w:val="0"/>
        <w:spacing w:line="360" w:lineRule="auto"/>
        <w:ind w:firstLine="480" w:firstLineChars="200"/>
        <w:jc w:val="left"/>
        <w:rPr>
          <w:color w:val="FF0000"/>
          <w:kern w:val="0"/>
          <w:sz w:val="24"/>
        </w:rPr>
      </w:pPr>
      <w:r>
        <w:rPr>
          <w:color w:val="FF0000"/>
          <w:kern w:val="0"/>
          <w:sz w:val="24"/>
        </w:rPr>
        <w:t>根据上述公式及相关参数，计算填埋区粉尘排放量为</w:t>
      </w:r>
      <w:r>
        <w:rPr>
          <w:rFonts w:hint="eastAsia"/>
          <w:color w:val="FF0000"/>
          <w:kern w:val="0"/>
          <w:sz w:val="24"/>
        </w:rPr>
        <w:t>0</w:t>
      </w:r>
      <w:r>
        <w:rPr>
          <w:color w:val="FF0000"/>
          <w:kern w:val="0"/>
          <w:sz w:val="24"/>
        </w:rPr>
        <w:t>.08t/a。</w:t>
      </w:r>
    </w:p>
    <w:p>
      <w:pPr>
        <w:adjustRightInd w:val="0"/>
        <w:snapToGrid w:val="0"/>
        <w:spacing w:line="360" w:lineRule="auto"/>
        <w:ind w:firstLine="480" w:firstLineChars="200"/>
        <w:rPr>
          <w:color w:val="FF0000"/>
          <w:sz w:val="24"/>
        </w:rPr>
      </w:pPr>
      <w:r>
        <w:rPr>
          <w:color w:val="FF0000"/>
          <w:sz w:val="24"/>
        </w:rPr>
        <w:t>3</w:t>
      </w:r>
      <w:r>
        <w:rPr>
          <w:rFonts w:hint="eastAsia"/>
          <w:color w:val="FF0000"/>
          <w:sz w:val="24"/>
        </w:rPr>
        <w:t>、渗滤液处理站恶臭气体</w:t>
      </w:r>
    </w:p>
    <w:p>
      <w:pPr>
        <w:snapToGrid w:val="0"/>
        <w:spacing w:line="360" w:lineRule="auto"/>
        <w:ind w:firstLine="480" w:firstLineChars="200"/>
        <w:rPr>
          <w:color w:val="FF0000"/>
          <w:sz w:val="24"/>
        </w:rPr>
      </w:pPr>
      <w:r>
        <w:rPr>
          <w:rFonts w:hint="eastAsia"/>
          <w:color w:val="FF0000"/>
          <w:sz w:val="24"/>
        </w:rPr>
        <w:t>渗滤液处理站恶臭气体主要为硫化氢（</w:t>
      </w:r>
      <w:r>
        <w:rPr>
          <w:color w:val="FF0000"/>
          <w:sz w:val="24"/>
        </w:rPr>
        <w:t>H</w:t>
      </w:r>
      <w:r>
        <w:rPr>
          <w:color w:val="FF0000"/>
          <w:sz w:val="24"/>
          <w:vertAlign w:val="subscript"/>
        </w:rPr>
        <w:t>2</w:t>
      </w:r>
      <w:r>
        <w:rPr>
          <w:color w:val="FF0000"/>
          <w:sz w:val="24"/>
        </w:rPr>
        <w:t>S</w:t>
      </w:r>
      <w:r>
        <w:rPr>
          <w:rFonts w:hint="eastAsia"/>
          <w:color w:val="FF0000"/>
          <w:sz w:val="24"/>
        </w:rPr>
        <w:t>）、氨（</w:t>
      </w:r>
      <w:r>
        <w:rPr>
          <w:color w:val="FF0000"/>
          <w:sz w:val="24"/>
        </w:rPr>
        <w:t>NH</w:t>
      </w:r>
      <w:r>
        <w:rPr>
          <w:color w:val="FF0000"/>
          <w:sz w:val="24"/>
          <w:vertAlign w:val="subscript"/>
        </w:rPr>
        <w:t>3</w:t>
      </w:r>
      <w:r>
        <w:rPr>
          <w:rFonts w:hint="eastAsia"/>
          <w:color w:val="FF0000"/>
          <w:sz w:val="24"/>
        </w:rPr>
        <w:t>）、硫醇类等挥发性物质，其感官体现为综合性恶臭异味。根据《生活垃圾填埋场污染控制标准（</w:t>
      </w:r>
      <w:r>
        <w:rPr>
          <w:color w:val="FF0000"/>
          <w:sz w:val="24"/>
        </w:rPr>
        <w:t>GB16889-2008</w:t>
      </w:r>
      <w:r>
        <w:rPr>
          <w:rFonts w:hint="eastAsia"/>
          <w:color w:val="FF0000"/>
          <w:sz w:val="24"/>
        </w:rPr>
        <w:t>）》的要求，本项目调节池采取设置顶盖密闭措施，采取封闭渗滤液处理站，喷洒除臭剂，减少无组织恶臭散发。</w:t>
      </w:r>
    </w:p>
    <w:p>
      <w:pPr>
        <w:snapToGrid w:val="0"/>
        <w:spacing w:line="360" w:lineRule="auto"/>
        <w:ind w:firstLine="480" w:firstLineChars="200"/>
        <w:rPr>
          <w:color w:val="FF0000"/>
          <w:sz w:val="24"/>
        </w:rPr>
      </w:pPr>
      <w:r>
        <w:rPr>
          <w:rFonts w:hint="eastAsia"/>
          <w:color w:val="FF0000"/>
          <w:sz w:val="24"/>
        </w:rPr>
        <w:t>参照美国</w:t>
      </w:r>
      <w:r>
        <w:rPr>
          <w:color w:val="FF0000"/>
          <w:sz w:val="24"/>
        </w:rPr>
        <w:t>EPA</w:t>
      </w:r>
      <w:r>
        <w:rPr>
          <w:rFonts w:hint="eastAsia"/>
          <w:color w:val="FF0000"/>
          <w:sz w:val="24"/>
        </w:rPr>
        <w:t>对城市污水处理厂恶臭污染物产生情况的研究，每削减</w:t>
      </w:r>
      <w:r>
        <w:rPr>
          <w:color w:val="FF0000"/>
          <w:sz w:val="24"/>
        </w:rPr>
        <w:t>1g</w:t>
      </w:r>
      <w:r>
        <w:rPr>
          <w:rFonts w:hint="eastAsia"/>
          <w:color w:val="FF0000"/>
          <w:sz w:val="24"/>
        </w:rPr>
        <w:t>的</w:t>
      </w:r>
      <w:r>
        <w:rPr>
          <w:color w:val="FF0000"/>
          <w:sz w:val="24"/>
        </w:rPr>
        <w:t>BOD</w:t>
      </w:r>
      <w:r>
        <w:rPr>
          <w:color w:val="FF0000"/>
          <w:sz w:val="24"/>
          <w:vertAlign w:val="subscript"/>
        </w:rPr>
        <w:t>5</w:t>
      </w:r>
      <w:r>
        <w:rPr>
          <w:rFonts w:hint="eastAsia"/>
          <w:color w:val="FF0000"/>
          <w:sz w:val="24"/>
        </w:rPr>
        <w:t>，可产生</w:t>
      </w:r>
      <w:r>
        <w:rPr>
          <w:color w:val="FF0000"/>
          <w:sz w:val="24"/>
        </w:rPr>
        <w:t>0.0031g</w:t>
      </w:r>
      <w:r>
        <w:rPr>
          <w:rFonts w:hint="eastAsia"/>
          <w:color w:val="FF0000"/>
          <w:sz w:val="24"/>
        </w:rPr>
        <w:t>的</w:t>
      </w:r>
      <w:r>
        <w:rPr>
          <w:color w:val="FF0000"/>
          <w:sz w:val="24"/>
        </w:rPr>
        <w:t>NH</w:t>
      </w:r>
      <w:r>
        <w:rPr>
          <w:color w:val="FF0000"/>
          <w:sz w:val="24"/>
          <w:vertAlign w:val="subscript"/>
        </w:rPr>
        <w:t>3</w:t>
      </w:r>
      <w:r>
        <w:rPr>
          <w:rFonts w:hint="eastAsia"/>
          <w:color w:val="FF0000"/>
          <w:sz w:val="24"/>
        </w:rPr>
        <w:t>和</w:t>
      </w:r>
      <w:r>
        <w:rPr>
          <w:color w:val="FF0000"/>
          <w:sz w:val="24"/>
        </w:rPr>
        <w:t>0.00012g</w:t>
      </w:r>
      <w:r>
        <w:rPr>
          <w:rFonts w:hint="eastAsia"/>
          <w:color w:val="FF0000"/>
          <w:sz w:val="24"/>
        </w:rPr>
        <w:t>的</w:t>
      </w:r>
      <w:r>
        <w:rPr>
          <w:color w:val="FF0000"/>
          <w:sz w:val="24"/>
        </w:rPr>
        <w:t>H</w:t>
      </w:r>
      <w:r>
        <w:rPr>
          <w:color w:val="FF0000"/>
          <w:sz w:val="24"/>
          <w:vertAlign w:val="subscript"/>
        </w:rPr>
        <w:t>2</w:t>
      </w:r>
      <w:r>
        <w:rPr>
          <w:color w:val="FF0000"/>
          <w:sz w:val="24"/>
        </w:rPr>
        <w:t>S</w:t>
      </w:r>
      <w:r>
        <w:rPr>
          <w:rFonts w:hint="eastAsia"/>
          <w:color w:val="FF0000"/>
          <w:sz w:val="24"/>
        </w:rPr>
        <w:t>。本项目污水处理站</w:t>
      </w:r>
      <w:r>
        <w:rPr>
          <w:color w:val="FF0000"/>
          <w:sz w:val="24"/>
        </w:rPr>
        <w:t>BOD</w:t>
      </w:r>
      <w:r>
        <w:rPr>
          <w:color w:val="FF0000"/>
          <w:sz w:val="24"/>
          <w:vertAlign w:val="subscript"/>
        </w:rPr>
        <w:t>5</w:t>
      </w:r>
      <w:r>
        <w:rPr>
          <w:rFonts w:hint="eastAsia"/>
          <w:color w:val="FF0000"/>
          <w:sz w:val="24"/>
        </w:rPr>
        <w:t>处理量为</w:t>
      </w:r>
      <w:r>
        <w:rPr>
          <w:color w:val="FF0000"/>
          <w:sz w:val="24"/>
        </w:rPr>
        <w:t>0.275t/a</w:t>
      </w:r>
      <w:r>
        <w:rPr>
          <w:rFonts w:hint="eastAsia"/>
          <w:color w:val="FF0000"/>
          <w:sz w:val="24"/>
        </w:rPr>
        <w:t>，因此污水处理站</w:t>
      </w:r>
      <w:r>
        <w:rPr>
          <w:color w:val="FF0000"/>
          <w:sz w:val="24"/>
        </w:rPr>
        <w:t>NH</w:t>
      </w:r>
      <w:r>
        <w:rPr>
          <w:color w:val="FF0000"/>
          <w:sz w:val="24"/>
          <w:vertAlign w:val="subscript"/>
        </w:rPr>
        <w:t>3</w:t>
      </w:r>
      <w:r>
        <w:rPr>
          <w:rFonts w:hint="eastAsia"/>
          <w:color w:val="FF0000"/>
          <w:sz w:val="24"/>
        </w:rPr>
        <w:t>产生量为</w:t>
      </w:r>
      <w:r>
        <w:rPr>
          <w:color w:val="FF0000"/>
          <w:sz w:val="24"/>
        </w:rPr>
        <w:t>0.00085t/a</w:t>
      </w:r>
      <w:r>
        <w:rPr>
          <w:rFonts w:hint="eastAsia"/>
          <w:color w:val="FF0000"/>
          <w:sz w:val="24"/>
        </w:rPr>
        <w:t>，</w:t>
      </w:r>
      <w:r>
        <w:rPr>
          <w:color w:val="FF0000"/>
          <w:sz w:val="24"/>
        </w:rPr>
        <w:t xml:space="preserve"> H</w:t>
      </w:r>
      <w:r>
        <w:rPr>
          <w:color w:val="FF0000"/>
          <w:sz w:val="24"/>
          <w:vertAlign w:val="subscript"/>
        </w:rPr>
        <w:t>2</w:t>
      </w:r>
      <w:r>
        <w:rPr>
          <w:color w:val="FF0000"/>
          <w:sz w:val="24"/>
        </w:rPr>
        <w:t>S</w:t>
      </w:r>
      <w:r>
        <w:rPr>
          <w:rFonts w:hint="eastAsia"/>
          <w:color w:val="FF0000"/>
          <w:sz w:val="24"/>
        </w:rPr>
        <w:t>产生量为</w:t>
      </w:r>
      <w:r>
        <w:rPr>
          <w:color w:val="FF0000"/>
          <w:sz w:val="24"/>
        </w:rPr>
        <w:t>0.0000001t/a</w:t>
      </w:r>
      <w:r>
        <w:rPr>
          <w:rFonts w:hint="eastAsia"/>
          <w:color w:val="FF0000"/>
          <w:sz w:val="24"/>
        </w:rPr>
        <w:t>。</w:t>
      </w:r>
    </w:p>
    <w:p>
      <w:pPr>
        <w:adjustRightInd w:val="0"/>
        <w:snapToGrid w:val="0"/>
        <w:spacing w:line="360" w:lineRule="auto"/>
        <w:ind w:firstLine="480" w:firstLineChars="200"/>
        <w:rPr>
          <w:color w:val="FF0000"/>
          <w:sz w:val="24"/>
        </w:rPr>
      </w:pPr>
      <w:r>
        <w:rPr>
          <w:rFonts w:hint="eastAsia"/>
          <w:color w:val="FF0000"/>
          <w:sz w:val="24"/>
        </w:rPr>
        <w:t>4、废气污染物排放核算</w:t>
      </w:r>
    </w:p>
    <w:p>
      <w:pPr>
        <w:adjustRightInd w:val="0"/>
        <w:snapToGrid w:val="0"/>
        <w:spacing w:line="360" w:lineRule="auto"/>
        <w:ind w:firstLine="480" w:firstLineChars="200"/>
        <w:rPr>
          <w:color w:val="FF0000"/>
          <w:sz w:val="24"/>
        </w:rPr>
      </w:pPr>
      <w:r>
        <w:rPr>
          <w:rFonts w:hint="eastAsia"/>
          <w:color w:val="FF0000"/>
          <w:sz w:val="24"/>
        </w:rPr>
        <w:t>本项目大气污染物排放不涉及有组织排放，作业过程均为无组织排放，无组织废气排放量见表</w:t>
      </w:r>
      <w:r>
        <w:rPr>
          <w:color w:val="FF0000"/>
          <w:sz w:val="24"/>
        </w:rPr>
        <w:t>3.2-9</w:t>
      </w:r>
      <w:r>
        <w:rPr>
          <w:rFonts w:hint="eastAsia"/>
          <w:color w:val="FF0000"/>
          <w:sz w:val="24"/>
        </w:rPr>
        <w:t>。</w:t>
      </w:r>
    </w:p>
    <w:p>
      <w:pPr>
        <w:adjustRightInd w:val="0"/>
        <w:snapToGrid w:val="0"/>
        <w:ind w:firstLine="482" w:firstLineChars="200"/>
        <w:jc w:val="center"/>
        <w:rPr>
          <w:b/>
          <w:color w:val="FF0000"/>
          <w:sz w:val="24"/>
        </w:rPr>
      </w:pPr>
    </w:p>
    <w:p>
      <w:pPr>
        <w:adjustRightInd w:val="0"/>
        <w:snapToGrid w:val="0"/>
        <w:ind w:firstLine="482" w:firstLineChars="200"/>
        <w:jc w:val="center"/>
        <w:rPr>
          <w:b/>
          <w:color w:val="FF0000"/>
          <w:sz w:val="24"/>
        </w:rPr>
      </w:pPr>
    </w:p>
    <w:p>
      <w:pPr>
        <w:adjustRightInd w:val="0"/>
        <w:snapToGrid w:val="0"/>
        <w:ind w:firstLine="482" w:firstLineChars="200"/>
        <w:jc w:val="center"/>
        <w:rPr>
          <w:b/>
          <w:color w:val="FF0000"/>
          <w:sz w:val="24"/>
        </w:rPr>
      </w:pPr>
    </w:p>
    <w:p>
      <w:pPr>
        <w:adjustRightInd w:val="0"/>
        <w:snapToGrid w:val="0"/>
        <w:ind w:firstLine="482" w:firstLineChars="200"/>
        <w:jc w:val="center"/>
        <w:rPr>
          <w:b/>
          <w:color w:val="FF0000"/>
          <w:sz w:val="24"/>
        </w:rPr>
      </w:pPr>
      <w:r>
        <w:rPr>
          <w:b/>
          <w:color w:val="FF0000"/>
          <w:sz w:val="24"/>
        </w:rPr>
        <w:t>表3.2-9</w:t>
      </w:r>
      <w:r>
        <w:rPr>
          <w:rFonts w:hint="eastAsia"/>
          <w:b/>
          <w:color w:val="FF0000"/>
          <w:sz w:val="24"/>
        </w:rPr>
        <w:t xml:space="preserve"> </w:t>
      </w:r>
      <w:r>
        <w:rPr>
          <w:b/>
          <w:color w:val="FF0000"/>
          <w:sz w:val="24"/>
        </w:rPr>
        <w:t xml:space="preserve"> </w:t>
      </w:r>
      <w:r>
        <w:rPr>
          <w:rFonts w:hint="eastAsia"/>
          <w:b/>
          <w:color w:val="FF0000"/>
          <w:sz w:val="24"/>
        </w:rPr>
        <w:t>大气污染物无组织排放量核算表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43"/>
        <w:gridCol w:w="777"/>
        <w:gridCol w:w="779"/>
        <w:gridCol w:w="1450"/>
        <w:gridCol w:w="1943"/>
        <w:gridCol w:w="1421"/>
        <w:gridCol w:w="11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vMerge w:val="restart"/>
            <w:vAlign w:val="center"/>
          </w:tcPr>
          <w:p>
            <w:pPr>
              <w:adjustRightInd w:val="0"/>
              <w:snapToGrid w:val="0"/>
              <w:jc w:val="center"/>
              <w:rPr>
                <w:color w:val="FF0000"/>
                <w:szCs w:val="21"/>
              </w:rPr>
            </w:pPr>
            <w:r>
              <w:rPr>
                <w:rFonts w:hint="eastAsia"/>
                <w:color w:val="FF0000"/>
                <w:szCs w:val="21"/>
              </w:rPr>
              <w:t>序号</w:t>
            </w:r>
          </w:p>
        </w:tc>
        <w:tc>
          <w:tcPr>
            <w:tcW w:w="535" w:type="pct"/>
            <w:vMerge w:val="restart"/>
            <w:vAlign w:val="center"/>
          </w:tcPr>
          <w:p>
            <w:pPr>
              <w:adjustRightInd w:val="0"/>
              <w:snapToGrid w:val="0"/>
              <w:jc w:val="center"/>
              <w:rPr>
                <w:color w:val="FF0000"/>
                <w:szCs w:val="21"/>
              </w:rPr>
            </w:pPr>
            <w:r>
              <w:rPr>
                <w:rFonts w:hint="eastAsia"/>
                <w:color w:val="FF0000"/>
                <w:szCs w:val="21"/>
              </w:rPr>
              <w:t>产污环节</w:t>
            </w:r>
          </w:p>
        </w:tc>
        <w:tc>
          <w:tcPr>
            <w:tcW w:w="536" w:type="pct"/>
            <w:vMerge w:val="restart"/>
            <w:vAlign w:val="center"/>
          </w:tcPr>
          <w:p>
            <w:pPr>
              <w:adjustRightInd w:val="0"/>
              <w:snapToGrid w:val="0"/>
              <w:jc w:val="center"/>
              <w:rPr>
                <w:color w:val="FF0000"/>
                <w:szCs w:val="21"/>
              </w:rPr>
            </w:pPr>
            <w:r>
              <w:rPr>
                <w:rFonts w:hint="eastAsia"/>
                <w:color w:val="FF0000"/>
                <w:szCs w:val="21"/>
              </w:rPr>
              <w:t>污染物</w:t>
            </w:r>
          </w:p>
        </w:tc>
        <w:tc>
          <w:tcPr>
            <w:tcW w:w="930" w:type="pct"/>
            <w:vMerge w:val="restart"/>
            <w:vAlign w:val="center"/>
          </w:tcPr>
          <w:p>
            <w:pPr>
              <w:adjustRightInd w:val="0"/>
              <w:snapToGrid w:val="0"/>
              <w:jc w:val="center"/>
              <w:rPr>
                <w:color w:val="FF0000"/>
                <w:szCs w:val="21"/>
              </w:rPr>
            </w:pPr>
            <w:r>
              <w:rPr>
                <w:rFonts w:hint="eastAsia"/>
                <w:color w:val="FF0000"/>
                <w:szCs w:val="21"/>
              </w:rPr>
              <w:t>主要污染物防治措施</w:t>
            </w:r>
          </w:p>
        </w:tc>
        <w:tc>
          <w:tcPr>
            <w:tcW w:w="1706" w:type="pct"/>
            <w:gridSpan w:val="2"/>
          </w:tcPr>
          <w:p>
            <w:pPr>
              <w:adjustRightInd w:val="0"/>
              <w:snapToGrid w:val="0"/>
              <w:jc w:val="center"/>
              <w:rPr>
                <w:color w:val="FF0000"/>
                <w:szCs w:val="21"/>
              </w:rPr>
            </w:pPr>
            <w:r>
              <w:rPr>
                <w:rFonts w:hint="eastAsia"/>
                <w:color w:val="FF0000"/>
                <w:szCs w:val="21"/>
              </w:rPr>
              <w:t>国家或地方污染物排放标准</w:t>
            </w:r>
          </w:p>
        </w:tc>
        <w:tc>
          <w:tcPr>
            <w:tcW w:w="602" w:type="pct"/>
            <w:vMerge w:val="restart"/>
            <w:vAlign w:val="center"/>
          </w:tcPr>
          <w:p>
            <w:pPr>
              <w:adjustRightInd w:val="0"/>
              <w:snapToGrid w:val="0"/>
              <w:jc w:val="center"/>
              <w:rPr>
                <w:color w:val="FF0000"/>
                <w:szCs w:val="21"/>
              </w:rPr>
            </w:pPr>
            <w:r>
              <w:rPr>
                <w:rFonts w:hint="eastAsia"/>
                <w:color w:val="FF0000"/>
                <w:szCs w:val="21"/>
              </w:rPr>
              <w:t>年排放量（</w:t>
            </w:r>
            <w:r>
              <w:rPr>
                <w:color w:val="FF0000"/>
                <w:szCs w:val="21"/>
              </w:rPr>
              <w:t>t/a</w:t>
            </w:r>
            <w:r>
              <w:rPr>
                <w:rFonts w:hint="eastAsia"/>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vMerge w:val="continue"/>
            <w:vAlign w:val="center"/>
          </w:tcPr>
          <w:p>
            <w:pPr>
              <w:adjustRightInd w:val="0"/>
              <w:snapToGrid w:val="0"/>
              <w:jc w:val="center"/>
              <w:rPr>
                <w:color w:val="FF0000"/>
                <w:szCs w:val="21"/>
              </w:rPr>
            </w:pPr>
          </w:p>
        </w:tc>
        <w:tc>
          <w:tcPr>
            <w:tcW w:w="535" w:type="pct"/>
            <w:vMerge w:val="continue"/>
            <w:vAlign w:val="center"/>
          </w:tcPr>
          <w:p>
            <w:pPr>
              <w:adjustRightInd w:val="0"/>
              <w:snapToGrid w:val="0"/>
              <w:jc w:val="center"/>
              <w:rPr>
                <w:color w:val="FF0000"/>
                <w:szCs w:val="21"/>
              </w:rPr>
            </w:pPr>
          </w:p>
        </w:tc>
        <w:tc>
          <w:tcPr>
            <w:tcW w:w="536" w:type="pct"/>
            <w:vMerge w:val="continue"/>
            <w:vAlign w:val="center"/>
          </w:tcPr>
          <w:p>
            <w:pPr>
              <w:adjustRightInd w:val="0"/>
              <w:snapToGrid w:val="0"/>
              <w:jc w:val="center"/>
              <w:rPr>
                <w:color w:val="FF0000"/>
                <w:szCs w:val="21"/>
              </w:rPr>
            </w:pPr>
          </w:p>
        </w:tc>
        <w:tc>
          <w:tcPr>
            <w:tcW w:w="930" w:type="pct"/>
            <w:vMerge w:val="continue"/>
            <w:vAlign w:val="center"/>
          </w:tcPr>
          <w:p>
            <w:pPr>
              <w:adjustRightInd w:val="0"/>
              <w:snapToGrid w:val="0"/>
              <w:jc w:val="center"/>
              <w:rPr>
                <w:color w:val="FF0000"/>
                <w:szCs w:val="21"/>
              </w:rPr>
            </w:pPr>
          </w:p>
        </w:tc>
        <w:tc>
          <w:tcPr>
            <w:tcW w:w="793" w:type="pct"/>
            <w:vAlign w:val="center"/>
          </w:tcPr>
          <w:p>
            <w:pPr>
              <w:adjustRightInd w:val="0"/>
              <w:snapToGrid w:val="0"/>
              <w:jc w:val="center"/>
              <w:rPr>
                <w:color w:val="FF0000"/>
                <w:szCs w:val="21"/>
              </w:rPr>
            </w:pPr>
            <w:r>
              <w:rPr>
                <w:rFonts w:hint="eastAsia"/>
                <w:color w:val="FF0000"/>
                <w:szCs w:val="21"/>
              </w:rPr>
              <w:t>标准名称</w:t>
            </w:r>
          </w:p>
        </w:tc>
        <w:tc>
          <w:tcPr>
            <w:tcW w:w="913" w:type="pct"/>
            <w:vAlign w:val="center"/>
          </w:tcPr>
          <w:p>
            <w:pPr>
              <w:adjustRightInd w:val="0"/>
              <w:snapToGrid w:val="0"/>
              <w:jc w:val="center"/>
              <w:rPr>
                <w:color w:val="FF0000"/>
                <w:szCs w:val="21"/>
              </w:rPr>
            </w:pPr>
            <w:r>
              <w:rPr>
                <w:rFonts w:hint="eastAsia"/>
                <w:color w:val="FF0000"/>
                <w:szCs w:val="21"/>
              </w:rPr>
              <w:t>浓度限值</w:t>
            </w:r>
          </w:p>
          <w:p>
            <w:pPr>
              <w:adjustRightInd w:val="0"/>
              <w:snapToGrid w:val="0"/>
              <w:jc w:val="center"/>
              <w:rPr>
                <w:color w:val="FF0000"/>
                <w:szCs w:val="21"/>
              </w:rPr>
            </w:pPr>
            <w:r>
              <w:rPr>
                <w:color w:val="FF0000"/>
                <w:szCs w:val="21"/>
              </w:rPr>
              <w:t>mg/m</w:t>
            </w:r>
            <w:r>
              <w:rPr>
                <w:color w:val="FF0000"/>
                <w:szCs w:val="21"/>
                <w:vertAlign w:val="superscript"/>
              </w:rPr>
              <w:t>3</w:t>
            </w:r>
          </w:p>
        </w:tc>
        <w:tc>
          <w:tcPr>
            <w:tcW w:w="602" w:type="pct"/>
            <w:vMerge w:val="continue"/>
            <w:vAlign w:val="center"/>
          </w:tcPr>
          <w:p>
            <w:pPr>
              <w:adjustRightInd w:val="0"/>
              <w:snapToGrid w:val="0"/>
              <w:jc w:val="center"/>
              <w:rPr>
                <w:color w:val="FF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691" w:type="pct"/>
            <w:vMerge w:val="restart"/>
            <w:vAlign w:val="center"/>
          </w:tcPr>
          <w:p>
            <w:pPr>
              <w:adjustRightInd w:val="0"/>
              <w:snapToGrid w:val="0"/>
              <w:jc w:val="center"/>
              <w:rPr>
                <w:color w:val="FF0000"/>
                <w:szCs w:val="21"/>
              </w:rPr>
            </w:pPr>
            <w:r>
              <w:rPr>
                <w:rFonts w:hint="eastAsia"/>
                <w:color w:val="FF0000"/>
                <w:szCs w:val="21"/>
              </w:rPr>
              <w:t>1</w:t>
            </w:r>
          </w:p>
        </w:tc>
        <w:tc>
          <w:tcPr>
            <w:tcW w:w="535" w:type="pct"/>
            <w:vMerge w:val="restart"/>
            <w:vAlign w:val="center"/>
          </w:tcPr>
          <w:p>
            <w:pPr>
              <w:adjustRightInd w:val="0"/>
              <w:snapToGrid w:val="0"/>
              <w:jc w:val="center"/>
              <w:rPr>
                <w:color w:val="FF0000"/>
                <w:szCs w:val="21"/>
              </w:rPr>
            </w:pPr>
            <w:r>
              <w:rPr>
                <w:rFonts w:hint="eastAsia"/>
                <w:color w:val="FF0000"/>
                <w:szCs w:val="21"/>
              </w:rPr>
              <w:t>填埋场填埋气</w:t>
            </w:r>
          </w:p>
        </w:tc>
        <w:tc>
          <w:tcPr>
            <w:tcW w:w="536" w:type="pct"/>
            <w:vAlign w:val="center"/>
          </w:tcPr>
          <w:p>
            <w:pPr>
              <w:adjustRightInd w:val="0"/>
              <w:snapToGrid w:val="0"/>
              <w:jc w:val="center"/>
              <w:rPr>
                <w:color w:val="FF0000"/>
                <w:szCs w:val="21"/>
              </w:rPr>
            </w:pPr>
            <w:r>
              <w:rPr>
                <w:rFonts w:hint="eastAsia"/>
                <w:color w:val="FF0000"/>
                <w:szCs w:val="21"/>
              </w:rPr>
              <w:t>甲烷</w:t>
            </w:r>
          </w:p>
        </w:tc>
        <w:tc>
          <w:tcPr>
            <w:tcW w:w="930" w:type="pct"/>
            <w:vMerge w:val="restart"/>
            <w:vAlign w:val="center"/>
          </w:tcPr>
          <w:p>
            <w:pPr>
              <w:adjustRightInd w:val="0"/>
              <w:snapToGrid w:val="0"/>
              <w:jc w:val="center"/>
              <w:rPr>
                <w:color w:val="FF0000"/>
                <w:szCs w:val="21"/>
              </w:rPr>
            </w:pPr>
            <w:r>
              <w:rPr>
                <w:rFonts w:hint="eastAsia"/>
                <w:color w:val="FF0000"/>
                <w:szCs w:val="21"/>
              </w:rPr>
              <w:t>填埋废气通过导气系统导出，垃圾进场后当日完成摊铺、压实、覆盖工作、喷洒除臭剂</w:t>
            </w:r>
          </w:p>
        </w:tc>
        <w:tc>
          <w:tcPr>
            <w:tcW w:w="793" w:type="pct"/>
            <w:vAlign w:val="center"/>
          </w:tcPr>
          <w:p>
            <w:pPr>
              <w:adjustRightInd w:val="0"/>
              <w:snapToGrid w:val="0"/>
              <w:jc w:val="center"/>
              <w:rPr>
                <w:color w:val="FF0000"/>
                <w:szCs w:val="21"/>
              </w:rPr>
            </w:pPr>
            <w:r>
              <w:rPr>
                <w:rFonts w:hint="eastAsia"/>
                <w:color w:val="FF0000"/>
                <w:szCs w:val="21"/>
              </w:rPr>
              <w:t>《生活垃圾填埋污染控制标准》（GB16889-2008）</w:t>
            </w:r>
          </w:p>
        </w:tc>
        <w:tc>
          <w:tcPr>
            <w:tcW w:w="913" w:type="pct"/>
            <w:vAlign w:val="center"/>
          </w:tcPr>
          <w:p>
            <w:pPr>
              <w:adjustRightInd w:val="0"/>
              <w:snapToGrid w:val="0"/>
              <w:jc w:val="center"/>
              <w:rPr>
                <w:color w:val="FF0000"/>
                <w:szCs w:val="21"/>
              </w:rPr>
            </w:pPr>
            <w:r>
              <w:rPr>
                <w:rFonts w:hint="eastAsia"/>
                <w:color w:val="FF0000"/>
                <w:szCs w:val="21"/>
              </w:rPr>
              <w:t>填埋工作面上2m以下高度范围内甲烷的体积分数应不大于0.1%，导气管排放口的甲烷体积分数不大于5%</w:t>
            </w:r>
          </w:p>
        </w:tc>
        <w:tc>
          <w:tcPr>
            <w:tcW w:w="602" w:type="pct"/>
            <w:vAlign w:val="center"/>
          </w:tcPr>
          <w:p>
            <w:pPr>
              <w:adjustRightInd w:val="0"/>
              <w:snapToGrid w:val="0"/>
              <w:jc w:val="center"/>
              <w:rPr>
                <w:color w:val="FF0000"/>
                <w:szCs w:val="21"/>
              </w:rPr>
            </w:pPr>
            <w:r>
              <w:rPr>
                <w:color w:val="FF0000"/>
                <w:szCs w:val="21"/>
              </w:rPr>
              <w:t>112.0194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691" w:type="pct"/>
            <w:vMerge w:val="continue"/>
            <w:vAlign w:val="center"/>
          </w:tcPr>
          <w:p>
            <w:pPr>
              <w:adjustRightInd w:val="0"/>
              <w:snapToGrid w:val="0"/>
              <w:jc w:val="center"/>
              <w:rPr>
                <w:color w:val="FF0000"/>
                <w:szCs w:val="21"/>
              </w:rPr>
            </w:pPr>
          </w:p>
        </w:tc>
        <w:tc>
          <w:tcPr>
            <w:tcW w:w="535" w:type="pct"/>
            <w:vMerge w:val="continue"/>
            <w:vAlign w:val="center"/>
          </w:tcPr>
          <w:p>
            <w:pPr>
              <w:adjustRightInd w:val="0"/>
              <w:snapToGrid w:val="0"/>
              <w:jc w:val="center"/>
              <w:rPr>
                <w:color w:val="FF0000"/>
                <w:szCs w:val="21"/>
              </w:rPr>
            </w:pPr>
          </w:p>
        </w:tc>
        <w:tc>
          <w:tcPr>
            <w:tcW w:w="536" w:type="pct"/>
            <w:vAlign w:val="center"/>
          </w:tcPr>
          <w:p>
            <w:pPr>
              <w:adjustRightInd w:val="0"/>
              <w:snapToGrid w:val="0"/>
              <w:jc w:val="center"/>
              <w:rPr>
                <w:color w:val="FF0000"/>
                <w:szCs w:val="21"/>
              </w:rPr>
            </w:pPr>
            <w:r>
              <w:rPr>
                <w:color w:val="FF0000"/>
                <w:szCs w:val="21"/>
              </w:rPr>
              <w:t>H</w:t>
            </w:r>
            <w:r>
              <w:rPr>
                <w:color w:val="FF0000"/>
                <w:szCs w:val="21"/>
                <w:vertAlign w:val="subscript"/>
              </w:rPr>
              <w:t>2</w:t>
            </w:r>
            <w:r>
              <w:rPr>
                <w:color w:val="FF0000"/>
                <w:szCs w:val="21"/>
              </w:rPr>
              <w:t>S</w:t>
            </w:r>
          </w:p>
        </w:tc>
        <w:tc>
          <w:tcPr>
            <w:tcW w:w="930" w:type="pct"/>
            <w:vMerge w:val="continue"/>
            <w:vAlign w:val="center"/>
          </w:tcPr>
          <w:p>
            <w:pPr>
              <w:adjustRightInd w:val="0"/>
              <w:snapToGrid w:val="0"/>
              <w:jc w:val="center"/>
              <w:rPr>
                <w:color w:val="FF0000"/>
                <w:szCs w:val="21"/>
              </w:rPr>
            </w:pPr>
          </w:p>
        </w:tc>
        <w:tc>
          <w:tcPr>
            <w:tcW w:w="793" w:type="pct"/>
            <w:vMerge w:val="restart"/>
            <w:vAlign w:val="center"/>
          </w:tcPr>
          <w:p>
            <w:pPr>
              <w:adjustRightInd w:val="0"/>
              <w:snapToGrid w:val="0"/>
              <w:jc w:val="center"/>
              <w:rPr>
                <w:color w:val="FF0000"/>
                <w:szCs w:val="21"/>
              </w:rPr>
            </w:pPr>
            <w:r>
              <w:rPr>
                <w:rFonts w:hint="eastAsia"/>
                <w:color w:val="FF0000"/>
                <w:szCs w:val="21"/>
              </w:rPr>
              <w:t>《恶臭污染物排放标准》（GB14554-93）</w:t>
            </w:r>
          </w:p>
        </w:tc>
        <w:tc>
          <w:tcPr>
            <w:tcW w:w="913" w:type="pct"/>
            <w:vAlign w:val="center"/>
          </w:tcPr>
          <w:p>
            <w:pPr>
              <w:adjustRightInd w:val="0"/>
              <w:snapToGrid w:val="0"/>
              <w:jc w:val="center"/>
              <w:rPr>
                <w:color w:val="FF0000"/>
                <w:szCs w:val="21"/>
              </w:rPr>
            </w:pPr>
            <w:r>
              <w:rPr>
                <w:rFonts w:hint="eastAsia"/>
                <w:color w:val="FF0000"/>
                <w:szCs w:val="21"/>
              </w:rPr>
              <w:t>0</w:t>
            </w:r>
            <w:r>
              <w:rPr>
                <w:color w:val="FF0000"/>
                <w:szCs w:val="21"/>
              </w:rPr>
              <w:t>.06</w:t>
            </w:r>
          </w:p>
        </w:tc>
        <w:tc>
          <w:tcPr>
            <w:tcW w:w="602" w:type="pct"/>
            <w:vAlign w:val="center"/>
          </w:tcPr>
          <w:p>
            <w:pPr>
              <w:adjustRightInd w:val="0"/>
              <w:snapToGrid w:val="0"/>
              <w:jc w:val="center"/>
              <w:rPr>
                <w:color w:val="FF0000"/>
                <w:szCs w:val="21"/>
              </w:rPr>
            </w:pPr>
            <w:r>
              <w:rPr>
                <w:color w:val="FF0000"/>
                <w:szCs w:val="21"/>
              </w:rPr>
              <w:t>0.0819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691" w:type="pct"/>
            <w:vMerge w:val="continue"/>
            <w:vAlign w:val="center"/>
          </w:tcPr>
          <w:p>
            <w:pPr>
              <w:adjustRightInd w:val="0"/>
              <w:snapToGrid w:val="0"/>
              <w:jc w:val="center"/>
              <w:rPr>
                <w:color w:val="FF0000"/>
                <w:szCs w:val="21"/>
              </w:rPr>
            </w:pPr>
          </w:p>
        </w:tc>
        <w:tc>
          <w:tcPr>
            <w:tcW w:w="535" w:type="pct"/>
            <w:vMerge w:val="continue"/>
            <w:vAlign w:val="center"/>
          </w:tcPr>
          <w:p>
            <w:pPr>
              <w:adjustRightInd w:val="0"/>
              <w:snapToGrid w:val="0"/>
              <w:jc w:val="center"/>
              <w:rPr>
                <w:color w:val="FF0000"/>
                <w:szCs w:val="21"/>
              </w:rPr>
            </w:pPr>
          </w:p>
        </w:tc>
        <w:tc>
          <w:tcPr>
            <w:tcW w:w="536" w:type="pct"/>
            <w:vAlign w:val="center"/>
          </w:tcPr>
          <w:p>
            <w:pPr>
              <w:adjustRightInd w:val="0"/>
              <w:snapToGrid w:val="0"/>
              <w:jc w:val="center"/>
              <w:rPr>
                <w:color w:val="FF0000"/>
                <w:szCs w:val="21"/>
              </w:rPr>
            </w:pPr>
            <w:r>
              <w:rPr>
                <w:rFonts w:hint="eastAsia"/>
                <w:color w:val="FF0000"/>
                <w:szCs w:val="21"/>
              </w:rPr>
              <w:t>N</w:t>
            </w:r>
            <w:r>
              <w:rPr>
                <w:color w:val="FF0000"/>
                <w:szCs w:val="21"/>
              </w:rPr>
              <w:t>H</w:t>
            </w:r>
            <w:r>
              <w:rPr>
                <w:color w:val="FF0000"/>
                <w:szCs w:val="21"/>
                <w:vertAlign w:val="subscript"/>
              </w:rPr>
              <w:t>3</w:t>
            </w:r>
          </w:p>
        </w:tc>
        <w:tc>
          <w:tcPr>
            <w:tcW w:w="930" w:type="pct"/>
            <w:vMerge w:val="continue"/>
            <w:vAlign w:val="center"/>
          </w:tcPr>
          <w:p>
            <w:pPr>
              <w:adjustRightInd w:val="0"/>
              <w:snapToGrid w:val="0"/>
              <w:jc w:val="center"/>
              <w:rPr>
                <w:color w:val="FF0000"/>
                <w:szCs w:val="21"/>
              </w:rPr>
            </w:pPr>
          </w:p>
        </w:tc>
        <w:tc>
          <w:tcPr>
            <w:tcW w:w="793" w:type="pct"/>
            <w:vMerge w:val="continue"/>
            <w:vAlign w:val="center"/>
          </w:tcPr>
          <w:p>
            <w:pPr>
              <w:adjustRightInd w:val="0"/>
              <w:snapToGrid w:val="0"/>
              <w:jc w:val="center"/>
              <w:rPr>
                <w:color w:val="FF0000"/>
                <w:szCs w:val="21"/>
              </w:rPr>
            </w:pPr>
          </w:p>
        </w:tc>
        <w:tc>
          <w:tcPr>
            <w:tcW w:w="913" w:type="pct"/>
            <w:vAlign w:val="center"/>
          </w:tcPr>
          <w:p>
            <w:pPr>
              <w:adjustRightInd w:val="0"/>
              <w:snapToGrid w:val="0"/>
              <w:jc w:val="center"/>
              <w:rPr>
                <w:color w:val="FF0000"/>
                <w:szCs w:val="21"/>
              </w:rPr>
            </w:pPr>
            <w:r>
              <w:rPr>
                <w:rFonts w:hint="eastAsia"/>
                <w:color w:val="FF0000"/>
                <w:szCs w:val="21"/>
              </w:rPr>
              <w:t>1</w:t>
            </w:r>
            <w:r>
              <w:rPr>
                <w:color w:val="FF0000"/>
                <w:szCs w:val="21"/>
              </w:rPr>
              <w:t>.5</w:t>
            </w:r>
          </w:p>
        </w:tc>
        <w:tc>
          <w:tcPr>
            <w:tcW w:w="602" w:type="pct"/>
            <w:vAlign w:val="center"/>
          </w:tcPr>
          <w:p>
            <w:pPr>
              <w:adjustRightInd w:val="0"/>
              <w:snapToGrid w:val="0"/>
              <w:jc w:val="center"/>
              <w:rPr>
                <w:color w:val="FF0000"/>
                <w:szCs w:val="21"/>
              </w:rPr>
            </w:pPr>
            <w:r>
              <w:rPr>
                <w:color w:val="FF0000"/>
                <w:szCs w:val="21"/>
              </w:rPr>
              <w:t>1.1675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1" w:type="pct"/>
            <w:vAlign w:val="center"/>
          </w:tcPr>
          <w:p>
            <w:pPr>
              <w:adjustRightInd w:val="0"/>
              <w:snapToGrid w:val="0"/>
              <w:jc w:val="center"/>
              <w:rPr>
                <w:color w:val="FF0000"/>
                <w:szCs w:val="21"/>
              </w:rPr>
            </w:pPr>
            <w:r>
              <w:rPr>
                <w:color w:val="FF0000"/>
                <w:szCs w:val="21"/>
              </w:rPr>
              <w:t>2</w:t>
            </w:r>
          </w:p>
        </w:tc>
        <w:tc>
          <w:tcPr>
            <w:tcW w:w="535" w:type="pct"/>
            <w:vAlign w:val="center"/>
          </w:tcPr>
          <w:p>
            <w:pPr>
              <w:adjustRightInd w:val="0"/>
              <w:snapToGrid w:val="0"/>
              <w:jc w:val="center"/>
              <w:rPr>
                <w:color w:val="FF0000"/>
                <w:szCs w:val="21"/>
              </w:rPr>
            </w:pPr>
            <w:r>
              <w:rPr>
                <w:rFonts w:hint="eastAsia"/>
                <w:color w:val="FF0000"/>
                <w:szCs w:val="21"/>
              </w:rPr>
              <w:t>填埋作业区粉尘</w:t>
            </w:r>
          </w:p>
        </w:tc>
        <w:tc>
          <w:tcPr>
            <w:tcW w:w="536" w:type="pct"/>
            <w:vAlign w:val="center"/>
          </w:tcPr>
          <w:p>
            <w:pPr>
              <w:adjustRightInd w:val="0"/>
              <w:snapToGrid w:val="0"/>
              <w:jc w:val="center"/>
              <w:rPr>
                <w:color w:val="FF0000"/>
                <w:szCs w:val="21"/>
              </w:rPr>
            </w:pPr>
            <w:r>
              <w:rPr>
                <w:rFonts w:hint="eastAsia"/>
                <w:color w:val="FF0000"/>
                <w:szCs w:val="21"/>
              </w:rPr>
              <w:t>颗粒物</w:t>
            </w:r>
          </w:p>
        </w:tc>
        <w:tc>
          <w:tcPr>
            <w:tcW w:w="930" w:type="pct"/>
            <w:vAlign w:val="center"/>
          </w:tcPr>
          <w:p>
            <w:pPr>
              <w:adjustRightInd w:val="0"/>
              <w:snapToGrid w:val="0"/>
              <w:jc w:val="center"/>
              <w:rPr>
                <w:color w:val="FF0000"/>
                <w:szCs w:val="21"/>
              </w:rPr>
            </w:pPr>
            <w:r>
              <w:rPr>
                <w:rFonts w:hint="eastAsia"/>
                <w:color w:val="FF0000"/>
                <w:szCs w:val="21"/>
              </w:rPr>
              <w:t>分区、分单元进行填埋作业；降低卸车高度、速率；每日填埋作业结束后，对作业面进行覆盖，洒水抑尘</w:t>
            </w:r>
          </w:p>
        </w:tc>
        <w:tc>
          <w:tcPr>
            <w:tcW w:w="793" w:type="pct"/>
            <w:vAlign w:val="center"/>
          </w:tcPr>
          <w:p>
            <w:pPr>
              <w:adjustRightInd w:val="0"/>
              <w:snapToGrid w:val="0"/>
              <w:jc w:val="center"/>
              <w:rPr>
                <w:color w:val="FF0000"/>
                <w:szCs w:val="21"/>
              </w:rPr>
            </w:pPr>
            <w:r>
              <w:rPr>
                <w:rFonts w:hint="eastAsia"/>
                <w:color w:val="FF0000"/>
                <w:szCs w:val="21"/>
              </w:rPr>
              <w:t>《大气污染物综合排放标准》（GB16297-1996）</w:t>
            </w:r>
          </w:p>
        </w:tc>
        <w:tc>
          <w:tcPr>
            <w:tcW w:w="913" w:type="pct"/>
            <w:vAlign w:val="center"/>
          </w:tcPr>
          <w:p>
            <w:pPr>
              <w:adjustRightInd w:val="0"/>
              <w:snapToGrid w:val="0"/>
              <w:jc w:val="center"/>
              <w:rPr>
                <w:color w:val="FF0000"/>
                <w:szCs w:val="21"/>
              </w:rPr>
            </w:pPr>
            <w:r>
              <w:rPr>
                <w:color w:val="FF0000"/>
                <w:szCs w:val="21"/>
              </w:rPr>
              <w:t>1</w:t>
            </w:r>
          </w:p>
        </w:tc>
        <w:tc>
          <w:tcPr>
            <w:tcW w:w="602" w:type="pct"/>
            <w:vAlign w:val="center"/>
          </w:tcPr>
          <w:p>
            <w:pPr>
              <w:adjustRightInd w:val="0"/>
              <w:snapToGrid w:val="0"/>
              <w:jc w:val="center"/>
              <w:rPr>
                <w:color w:val="FF0000"/>
                <w:szCs w:val="21"/>
              </w:rPr>
            </w:pPr>
            <w:r>
              <w:rPr>
                <w:rFonts w:hint="eastAsia"/>
                <w:color w:val="FF0000"/>
                <w:szCs w:val="21"/>
              </w:rPr>
              <w:t>0</w:t>
            </w:r>
            <w:r>
              <w:rPr>
                <w:color w:val="FF0000"/>
                <w:szCs w:val="21"/>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691" w:type="pct"/>
            <w:vMerge w:val="restart"/>
            <w:vAlign w:val="center"/>
          </w:tcPr>
          <w:p>
            <w:pPr>
              <w:adjustRightInd w:val="0"/>
              <w:snapToGrid w:val="0"/>
              <w:jc w:val="center"/>
              <w:rPr>
                <w:color w:val="FF0000"/>
                <w:szCs w:val="21"/>
              </w:rPr>
            </w:pPr>
            <w:r>
              <w:rPr>
                <w:rFonts w:hint="eastAsia"/>
                <w:color w:val="FF0000"/>
                <w:szCs w:val="21"/>
              </w:rPr>
              <w:t>3</w:t>
            </w:r>
          </w:p>
        </w:tc>
        <w:tc>
          <w:tcPr>
            <w:tcW w:w="535" w:type="pct"/>
            <w:vMerge w:val="restart"/>
            <w:vAlign w:val="center"/>
          </w:tcPr>
          <w:p>
            <w:pPr>
              <w:adjustRightInd w:val="0"/>
              <w:snapToGrid w:val="0"/>
              <w:jc w:val="center"/>
              <w:rPr>
                <w:color w:val="FF0000"/>
                <w:szCs w:val="21"/>
              </w:rPr>
            </w:pPr>
            <w:r>
              <w:rPr>
                <w:rFonts w:hint="eastAsia"/>
                <w:color w:val="FF0000"/>
                <w:szCs w:val="21"/>
              </w:rPr>
              <w:t>渗滤液处理站</w:t>
            </w:r>
          </w:p>
        </w:tc>
        <w:tc>
          <w:tcPr>
            <w:tcW w:w="536" w:type="pct"/>
            <w:vAlign w:val="center"/>
          </w:tcPr>
          <w:p>
            <w:pPr>
              <w:adjustRightInd w:val="0"/>
              <w:snapToGrid w:val="0"/>
              <w:jc w:val="center"/>
              <w:rPr>
                <w:color w:val="FF0000"/>
                <w:szCs w:val="21"/>
              </w:rPr>
            </w:pPr>
            <w:r>
              <w:rPr>
                <w:color w:val="FF0000"/>
                <w:szCs w:val="21"/>
              </w:rPr>
              <w:t>H</w:t>
            </w:r>
            <w:r>
              <w:rPr>
                <w:color w:val="FF0000"/>
                <w:szCs w:val="21"/>
                <w:vertAlign w:val="subscript"/>
              </w:rPr>
              <w:t>2</w:t>
            </w:r>
            <w:r>
              <w:rPr>
                <w:color w:val="FF0000"/>
                <w:szCs w:val="21"/>
              </w:rPr>
              <w:t>S</w:t>
            </w:r>
          </w:p>
        </w:tc>
        <w:tc>
          <w:tcPr>
            <w:tcW w:w="930" w:type="pct"/>
            <w:vMerge w:val="restart"/>
            <w:vAlign w:val="center"/>
          </w:tcPr>
          <w:p>
            <w:pPr>
              <w:adjustRightInd w:val="0"/>
              <w:snapToGrid w:val="0"/>
              <w:jc w:val="center"/>
              <w:rPr>
                <w:color w:val="FF0000"/>
                <w:szCs w:val="21"/>
              </w:rPr>
            </w:pPr>
            <w:r>
              <w:rPr>
                <w:rFonts w:hint="eastAsia"/>
                <w:color w:val="FF0000"/>
                <w:szCs w:val="21"/>
              </w:rPr>
              <w:t>调节池采取设置顶盖密闭</w:t>
            </w:r>
          </w:p>
          <w:p>
            <w:pPr>
              <w:adjustRightInd w:val="0"/>
              <w:snapToGrid w:val="0"/>
              <w:jc w:val="center"/>
              <w:rPr>
                <w:color w:val="FF0000"/>
                <w:szCs w:val="21"/>
              </w:rPr>
            </w:pPr>
            <w:r>
              <w:rPr>
                <w:rFonts w:hint="eastAsia"/>
                <w:color w:val="FF0000"/>
                <w:szCs w:val="21"/>
              </w:rPr>
              <w:t>措施，采取封闭渗滤液处</w:t>
            </w:r>
          </w:p>
          <w:p>
            <w:pPr>
              <w:adjustRightInd w:val="0"/>
              <w:snapToGrid w:val="0"/>
              <w:jc w:val="center"/>
              <w:rPr>
                <w:color w:val="FF0000"/>
                <w:szCs w:val="21"/>
              </w:rPr>
            </w:pPr>
            <w:r>
              <w:rPr>
                <w:rFonts w:hint="eastAsia"/>
                <w:color w:val="FF0000"/>
                <w:szCs w:val="21"/>
              </w:rPr>
              <w:t>理车间，喷洒除臭剂</w:t>
            </w:r>
          </w:p>
        </w:tc>
        <w:tc>
          <w:tcPr>
            <w:tcW w:w="793" w:type="pct"/>
            <w:vMerge w:val="restart"/>
            <w:vAlign w:val="center"/>
          </w:tcPr>
          <w:p>
            <w:pPr>
              <w:adjustRightInd w:val="0"/>
              <w:snapToGrid w:val="0"/>
              <w:jc w:val="center"/>
              <w:rPr>
                <w:color w:val="FF0000"/>
                <w:szCs w:val="21"/>
              </w:rPr>
            </w:pPr>
            <w:r>
              <w:rPr>
                <w:rFonts w:hint="eastAsia"/>
                <w:color w:val="FF0000"/>
                <w:szCs w:val="21"/>
              </w:rPr>
              <w:t>《恶臭污染物排放标准》（GB14554-93）</w:t>
            </w:r>
          </w:p>
        </w:tc>
        <w:tc>
          <w:tcPr>
            <w:tcW w:w="913" w:type="pct"/>
            <w:vAlign w:val="center"/>
          </w:tcPr>
          <w:p>
            <w:pPr>
              <w:adjustRightInd w:val="0"/>
              <w:snapToGrid w:val="0"/>
              <w:jc w:val="center"/>
              <w:rPr>
                <w:color w:val="FF0000"/>
                <w:szCs w:val="21"/>
              </w:rPr>
            </w:pPr>
            <w:r>
              <w:rPr>
                <w:rFonts w:hint="eastAsia"/>
                <w:color w:val="FF0000"/>
                <w:szCs w:val="21"/>
              </w:rPr>
              <w:t>0</w:t>
            </w:r>
            <w:r>
              <w:rPr>
                <w:color w:val="FF0000"/>
                <w:szCs w:val="21"/>
              </w:rPr>
              <w:t>.06</w:t>
            </w:r>
          </w:p>
        </w:tc>
        <w:tc>
          <w:tcPr>
            <w:tcW w:w="602" w:type="pct"/>
            <w:vAlign w:val="center"/>
          </w:tcPr>
          <w:p>
            <w:pPr>
              <w:adjustRightInd w:val="0"/>
              <w:snapToGrid w:val="0"/>
              <w:jc w:val="center"/>
              <w:rPr>
                <w:color w:val="FF0000"/>
                <w:szCs w:val="21"/>
              </w:rPr>
            </w:pPr>
            <w:r>
              <w:rPr>
                <w:color w:val="FF0000"/>
                <w:szCs w:val="21"/>
              </w:rPr>
              <w:t>0.00085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1" w:type="pct"/>
            <w:vMerge w:val="continue"/>
            <w:vAlign w:val="center"/>
          </w:tcPr>
          <w:p>
            <w:pPr>
              <w:adjustRightInd w:val="0"/>
              <w:snapToGrid w:val="0"/>
              <w:jc w:val="center"/>
              <w:rPr>
                <w:color w:val="FF0000"/>
                <w:szCs w:val="21"/>
              </w:rPr>
            </w:pPr>
          </w:p>
        </w:tc>
        <w:tc>
          <w:tcPr>
            <w:tcW w:w="535" w:type="pct"/>
            <w:vMerge w:val="continue"/>
            <w:vAlign w:val="center"/>
          </w:tcPr>
          <w:p>
            <w:pPr>
              <w:adjustRightInd w:val="0"/>
              <w:snapToGrid w:val="0"/>
              <w:jc w:val="center"/>
              <w:rPr>
                <w:color w:val="FF0000"/>
                <w:szCs w:val="21"/>
              </w:rPr>
            </w:pPr>
          </w:p>
        </w:tc>
        <w:tc>
          <w:tcPr>
            <w:tcW w:w="536" w:type="pct"/>
            <w:vAlign w:val="center"/>
          </w:tcPr>
          <w:p>
            <w:pPr>
              <w:adjustRightInd w:val="0"/>
              <w:snapToGrid w:val="0"/>
              <w:jc w:val="center"/>
              <w:rPr>
                <w:color w:val="FF0000"/>
                <w:szCs w:val="21"/>
              </w:rPr>
            </w:pPr>
            <w:r>
              <w:rPr>
                <w:rFonts w:hint="eastAsia"/>
                <w:color w:val="FF0000"/>
                <w:szCs w:val="21"/>
              </w:rPr>
              <w:t>N</w:t>
            </w:r>
            <w:r>
              <w:rPr>
                <w:color w:val="FF0000"/>
                <w:szCs w:val="21"/>
              </w:rPr>
              <w:t>H</w:t>
            </w:r>
            <w:r>
              <w:rPr>
                <w:color w:val="FF0000"/>
                <w:szCs w:val="21"/>
                <w:vertAlign w:val="subscript"/>
              </w:rPr>
              <w:t>3</w:t>
            </w:r>
          </w:p>
        </w:tc>
        <w:tc>
          <w:tcPr>
            <w:tcW w:w="930" w:type="pct"/>
            <w:vMerge w:val="continue"/>
            <w:vAlign w:val="center"/>
          </w:tcPr>
          <w:p>
            <w:pPr>
              <w:adjustRightInd w:val="0"/>
              <w:snapToGrid w:val="0"/>
              <w:jc w:val="center"/>
              <w:rPr>
                <w:color w:val="FF0000"/>
                <w:szCs w:val="21"/>
              </w:rPr>
            </w:pPr>
          </w:p>
        </w:tc>
        <w:tc>
          <w:tcPr>
            <w:tcW w:w="793" w:type="pct"/>
            <w:vMerge w:val="continue"/>
            <w:vAlign w:val="center"/>
          </w:tcPr>
          <w:p>
            <w:pPr>
              <w:adjustRightInd w:val="0"/>
              <w:snapToGrid w:val="0"/>
              <w:jc w:val="center"/>
              <w:rPr>
                <w:color w:val="FF0000"/>
                <w:szCs w:val="21"/>
              </w:rPr>
            </w:pPr>
          </w:p>
        </w:tc>
        <w:tc>
          <w:tcPr>
            <w:tcW w:w="913" w:type="pct"/>
            <w:vAlign w:val="center"/>
          </w:tcPr>
          <w:p>
            <w:pPr>
              <w:adjustRightInd w:val="0"/>
              <w:snapToGrid w:val="0"/>
              <w:jc w:val="center"/>
              <w:rPr>
                <w:color w:val="FF0000"/>
                <w:szCs w:val="21"/>
              </w:rPr>
            </w:pPr>
            <w:r>
              <w:rPr>
                <w:rFonts w:hint="eastAsia"/>
                <w:color w:val="FF0000"/>
                <w:szCs w:val="21"/>
              </w:rPr>
              <w:t>1</w:t>
            </w:r>
            <w:r>
              <w:rPr>
                <w:color w:val="FF0000"/>
                <w:szCs w:val="21"/>
              </w:rPr>
              <w:t>.5</w:t>
            </w:r>
          </w:p>
        </w:tc>
        <w:tc>
          <w:tcPr>
            <w:tcW w:w="602" w:type="pct"/>
            <w:vAlign w:val="center"/>
          </w:tcPr>
          <w:p>
            <w:pPr>
              <w:adjustRightInd w:val="0"/>
              <w:snapToGrid w:val="0"/>
              <w:jc w:val="center"/>
              <w:rPr>
                <w:color w:val="FF0000"/>
                <w:szCs w:val="21"/>
              </w:rPr>
            </w:pPr>
            <w:r>
              <w:rPr>
                <w:color w:val="FF0000"/>
                <w:szCs w:val="21"/>
              </w:rPr>
              <w:t>0.0000001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7"/>
            <w:vAlign w:val="center"/>
          </w:tcPr>
          <w:p>
            <w:pPr>
              <w:adjustRightInd w:val="0"/>
              <w:snapToGrid w:val="0"/>
              <w:jc w:val="center"/>
              <w:rPr>
                <w:color w:val="FF0000"/>
                <w:szCs w:val="21"/>
              </w:rPr>
            </w:pPr>
            <w:r>
              <w:rPr>
                <w:rFonts w:hint="eastAsia"/>
                <w:color w:val="FF0000"/>
                <w:szCs w:val="21"/>
              </w:rPr>
              <w:t>无组织总计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gridSpan w:val="2"/>
            <w:vMerge w:val="restart"/>
            <w:vAlign w:val="center"/>
          </w:tcPr>
          <w:p>
            <w:pPr>
              <w:adjustRightInd w:val="0"/>
              <w:snapToGrid w:val="0"/>
              <w:jc w:val="center"/>
              <w:rPr>
                <w:color w:val="FF0000"/>
                <w:szCs w:val="21"/>
              </w:rPr>
            </w:pPr>
            <w:r>
              <w:rPr>
                <w:rFonts w:hint="eastAsia"/>
                <w:color w:val="FF0000"/>
                <w:szCs w:val="21"/>
              </w:rPr>
              <w:t>无组织总计</w:t>
            </w:r>
          </w:p>
        </w:tc>
        <w:tc>
          <w:tcPr>
            <w:tcW w:w="3172" w:type="pct"/>
            <w:gridSpan w:val="4"/>
            <w:vAlign w:val="center"/>
          </w:tcPr>
          <w:p>
            <w:pPr>
              <w:adjustRightInd w:val="0"/>
              <w:snapToGrid w:val="0"/>
              <w:jc w:val="center"/>
              <w:rPr>
                <w:color w:val="FF0000"/>
                <w:szCs w:val="21"/>
              </w:rPr>
            </w:pPr>
            <w:r>
              <w:rPr>
                <w:rFonts w:hint="eastAsia"/>
                <w:color w:val="FF0000"/>
                <w:szCs w:val="21"/>
              </w:rPr>
              <w:t>颗粒物</w:t>
            </w:r>
          </w:p>
        </w:tc>
        <w:tc>
          <w:tcPr>
            <w:tcW w:w="602" w:type="pct"/>
            <w:vAlign w:val="center"/>
          </w:tcPr>
          <w:p>
            <w:pPr>
              <w:adjustRightInd w:val="0"/>
              <w:snapToGrid w:val="0"/>
              <w:jc w:val="center"/>
              <w:rPr>
                <w:color w:val="FF0000"/>
                <w:szCs w:val="21"/>
              </w:rPr>
            </w:pPr>
            <w:r>
              <w:rPr>
                <w:rFonts w:hint="eastAsia"/>
                <w:color w:val="FF0000"/>
                <w:szCs w:val="21"/>
              </w:rPr>
              <w:t>0</w:t>
            </w:r>
            <w:r>
              <w:rPr>
                <w:color w:val="FF0000"/>
                <w:szCs w:val="21"/>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gridSpan w:val="2"/>
            <w:vMerge w:val="continue"/>
            <w:vAlign w:val="center"/>
          </w:tcPr>
          <w:p>
            <w:pPr>
              <w:adjustRightInd w:val="0"/>
              <w:snapToGrid w:val="0"/>
              <w:jc w:val="center"/>
              <w:rPr>
                <w:color w:val="FF0000"/>
                <w:szCs w:val="21"/>
              </w:rPr>
            </w:pPr>
          </w:p>
        </w:tc>
        <w:tc>
          <w:tcPr>
            <w:tcW w:w="3172" w:type="pct"/>
            <w:gridSpan w:val="4"/>
            <w:vAlign w:val="center"/>
          </w:tcPr>
          <w:p>
            <w:pPr>
              <w:adjustRightInd w:val="0"/>
              <w:snapToGrid w:val="0"/>
              <w:jc w:val="center"/>
              <w:rPr>
                <w:color w:val="FF0000"/>
                <w:szCs w:val="21"/>
              </w:rPr>
            </w:pPr>
            <w:r>
              <w:rPr>
                <w:color w:val="FF0000"/>
                <w:szCs w:val="21"/>
              </w:rPr>
              <w:t>H</w:t>
            </w:r>
            <w:r>
              <w:rPr>
                <w:color w:val="FF0000"/>
                <w:szCs w:val="21"/>
                <w:vertAlign w:val="subscript"/>
              </w:rPr>
              <w:t>2</w:t>
            </w:r>
            <w:r>
              <w:rPr>
                <w:color w:val="FF0000"/>
                <w:szCs w:val="21"/>
              </w:rPr>
              <w:t>S</w:t>
            </w:r>
          </w:p>
        </w:tc>
        <w:tc>
          <w:tcPr>
            <w:tcW w:w="602" w:type="pct"/>
            <w:vAlign w:val="center"/>
          </w:tcPr>
          <w:p>
            <w:pPr>
              <w:adjustRightInd w:val="0"/>
              <w:snapToGrid w:val="0"/>
              <w:jc w:val="center"/>
              <w:rPr>
                <w:color w:val="FF0000"/>
                <w:szCs w:val="21"/>
              </w:rPr>
            </w:pPr>
            <w:r>
              <w:rPr>
                <w:rFonts w:hint="eastAsia"/>
                <w:color w:val="FF0000"/>
                <w:szCs w:val="21"/>
              </w:rPr>
              <w:t>0.</w:t>
            </w:r>
            <w:r>
              <w:rPr>
                <w:color w:val="FF0000"/>
                <w:szCs w:val="21"/>
              </w:rPr>
              <w:t>0828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gridSpan w:val="2"/>
            <w:vMerge w:val="continue"/>
            <w:vAlign w:val="center"/>
          </w:tcPr>
          <w:p>
            <w:pPr>
              <w:adjustRightInd w:val="0"/>
              <w:snapToGrid w:val="0"/>
              <w:jc w:val="center"/>
              <w:rPr>
                <w:color w:val="FF0000"/>
                <w:szCs w:val="21"/>
              </w:rPr>
            </w:pPr>
          </w:p>
        </w:tc>
        <w:tc>
          <w:tcPr>
            <w:tcW w:w="3172" w:type="pct"/>
            <w:gridSpan w:val="4"/>
            <w:vAlign w:val="center"/>
          </w:tcPr>
          <w:p>
            <w:pPr>
              <w:adjustRightInd w:val="0"/>
              <w:snapToGrid w:val="0"/>
              <w:jc w:val="center"/>
              <w:rPr>
                <w:color w:val="FF0000"/>
                <w:szCs w:val="21"/>
              </w:rPr>
            </w:pPr>
            <w:r>
              <w:rPr>
                <w:rFonts w:hint="eastAsia"/>
                <w:color w:val="FF0000"/>
                <w:szCs w:val="21"/>
              </w:rPr>
              <w:t>N</w:t>
            </w:r>
            <w:r>
              <w:rPr>
                <w:color w:val="FF0000"/>
                <w:szCs w:val="21"/>
              </w:rPr>
              <w:t>H</w:t>
            </w:r>
            <w:r>
              <w:rPr>
                <w:color w:val="FF0000"/>
                <w:szCs w:val="21"/>
                <w:vertAlign w:val="subscript"/>
              </w:rPr>
              <w:t>3</w:t>
            </w:r>
          </w:p>
        </w:tc>
        <w:tc>
          <w:tcPr>
            <w:tcW w:w="602" w:type="pct"/>
            <w:vAlign w:val="center"/>
          </w:tcPr>
          <w:p>
            <w:pPr>
              <w:adjustRightInd w:val="0"/>
              <w:snapToGrid w:val="0"/>
              <w:jc w:val="center"/>
              <w:rPr>
                <w:color w:val="FF0000"/>
                <w:szCs w:val="21"/>
              </w:rPr>
            </w:pPr>
            <w:r>
              <w:rPr>
                <w:rFonts w:hint="eastAsia"/>
                <w:color w:val="FF0000"/>
                <w:szCs w:val="21"/>
              </w:rPr>
              <w:t>1.</w:t>
            </w:r>
            <w:r>
              <w:rPr>
                <w:color w:val="FF0000"/>
                <w:szCs w:val="21"/>
              </w:rPr>
              <w:t>1675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gridSpan w:val="2"/>
            <w:vMerge w:val="continue"/>
            <w:vAlign w:val="center"/>
          </w:tcPr>
          <w:p>
            <w:pPr>
              <w:adjustRightInd w:val="0"/>
              <w:snapToGrid w:val="0"/>
              <w:jc w:val="center"/>
              <w:rPr>
                <w:color w:val="FF0000"/>
                <w:szCs w:val="21"/>
              </w:rPr>
            </w:pPr>
          </w:p>
        </w:tc>
        <w:tc>
          <w:tcPr>
            <w:tcW w:w="3172" w:type="pct"/>
            <w:gridSpan w:val="4"/>
            <w:vAlign w:val="center"/>
          </w:tcPr>
          <w:p>
            <w:pPr>
              <w:adjustRightInd w:val="0"/>
              <w:snapToGrid w:val="0"/>
              <w:jc w:val="center"/>
              <w:rPr>
                <w:color w:val="FF0000"/>
                <w:szCs w:val="21"/>
              </w:rPr>
            </w:pPr>
            <w:r>
              <w:rPr>
                <w:rFonts w:hint="eastAsia"/>
                <w:color w:val="FF0000"/>
                <w:szCs w:val="21"/>
              </w:rPr>
              <w:t>甲烷</w:t>
            </w:r>
          </w:p>
        </w:tc>
        <w:tc>
          <w:tcPr>
            <w:tcW w:w="602" w:type="pct"/>
            <w:vAlign w:val="center"/>
          </w:tcPr>
          <w:p>
            <w:pPr>
              <w:adjustRightInd w:val="0"/>
              <w:snapToGrid w:val="0"/>
              <w:jc w:val="center"/>
              <w:rPr>
                <w:color w:val="FF0000"/>
                <w:szCs w:val="21"/>
              </w:rPr>
            </w:pPr>
            <w:r>
              <w:rPr>
                <w:color w:val="FF0000"/>
                <w:szCs w:val="21"/>
              </w:rPr>
              <w:t>112.0194</w:t>
            </w:r>
          </w:p>
        </w:tc>
      </w:tr>
    </w:tbl>
    <w:p>
      <w:pPr>
        <w:adjustRightInd w:val="0"/>
        <w:snapToGrid w:val="0"/>
        <w:spacing w:line="360" w:lineRule="auto"/>
        <w:ind w:firstLine="480" w:firstLineChars="200"/>
        <w:rPr>
          <w:color w:val="FF0000"/>
          <w:sz w:val="24"/>
        </w:rPr>
      </w:pPr>
    </w:p>
    <w:p>
      <w:pPr>
        <w:adjustRightInd w:val="0"/>
        <w:snapToGrid w:val="0"/>
        <w:spacing w:line="360" w:lineRule="auto"/>
        <w:outlineLvl w:val="3"/>
        <w:rPr>
          <w:b/>
          <w:sz w:val="24"/>
        </w:rPr>
      </w:pPr>
      <w:bookmarkStart w:id="183" w:name="_Toc304537855"/>
      <w:bookmarkStart w:id="184" w:name="_Toc304736367"/>
      <w:bookmarkStart w:id="185" w:name="_Toc307561281"/>
      <w:bookmarkStart w:id="186" w:name="_Toc305323586"/>
      <w:bookmarkStart w:id="187" w:name="_Toc305308378"/>
      <w:bookmarkStart w:id="188" w:name="_Toc307566400"/>
      <w:bookmarkStart w:id="189" w:name="_Toc303002794"/>
      <w:bookmarkStart w:id="190" w:name="_Toc407443822"/>
      <w:bookmarkStart w:id="191" w:name="_Toc347089957"/>
      <w:r>
        <w:rPr>
          <w:b/>
          <w:sz w:val="24"/>
        </w:rPr>
        <w:t>3.2.4.</w:t>
      </w:r>
      <w:bookmarkEnd w:id="183"/>
      <w:bookmarkEnd w:id="184"/>
      <w:bookmarkEnd w:id="185"/>
      <w:bookmarkEnd w:id="186"/>
      <w:bookmarkEnd w:id="187"/>
      <w:bookmarkEnd w:id="188"/>
      <w:bookmarkEnd w:id="189"/>
      <w:bookmarkEnd w:id="190"/>
      <w:bookmarkEnd w:id="191"/>
      <w:r>
        <w:rPr>
          <w:b/>
          <w:sz w:val="24"/>
        </w:rPr>
        <w:t>2水污染源分析</w:t>
      </w:r>
    </w:p>
    <w:p>
      <w:pPr>
        <w:adjustRightInd w:val="0"/>
        <w:snapToGrid w:val="0"/>
        <w:spacing w:line="360" w:lineRule="auto"/>
        <w:ind w:firstLine="480" w:firstLineChars="200"/>
        <w:rPr>
          <w:sz w:val="24"/>
        </w:rPr>
      </w:pPr>
      <w:r>
        <w:rPr>
          <w:sz w:val="24"/>
        </w:rPr>
        <w:t>生活垃圾处理场污水主要包括垃圾渗滤液和生活污水。</w:t>
      </w:r>
    </w:p>
    <w:p>
      <w:pPr>
        <w:adjustRightInd w:val="0"/>
        <w:snapToGrid w:val="0"/>
        <w:spacing w:line="360" w:lineRule="auto"/>
        <w:ind w:firstLine="480" w:firstLineChars="200"/>
        <w:rPr>
          <w:sz w:val="24"/>
        </w:rPr>
      </w:pPr>
      <w:r>
        <w:rPr>
          <w:sz w:val="24"/>
        </w:rPr>
        <w:fldChar w:fldCharType="begin"/>
      </w:r>
      <w:r>
        <w:rPr>
          <w:sz w:val="24"/>
        </w:rPr>
        <w:instrText xml:space="preserve"> = 1 \* Arabic </w:instrText>
      </w:r>
      <w:r>
        <w:rPr>
          <w:sz w:val="24"/>
        </w:rPr>
        <w:fldChar w:fldCharType="separate"/>
      </w:r>
      <w:r>
        <w:rPr>
          <w:sz w:val="24"/>
        </w:rPr>
        <w:t>1</w:t>
      </w:r>
      <w:r>
        <w:rPr>
          <w:sz w:val="24"/>
        </w:rPr>
        <w:fldChar w:fldCharType="end"/>
      </w:r>
      <w:r>
        <w:rPr>
          <w:sz w:val="24"/>
        </w:rPr>
        <w:t>、渗滤液水污染源分析</w:t>
      </w:r>
    </w:p>
    <w:p>
      <w:pPr>
        <w:numPr>
          <w:ilvl w:val="0"/>
          <w:numId w:val="2"/>
        </w:numPr>
        <w:adjustRightInd w:val="0"/>
        <w:snapToGrid w:val="0"/>
        <w:spacing w:line="360" w:lineRule="auto"/>
        <w:ind w:left="0" w:firstLine="480" w:firstLineChars="200"/>
        <w:rPr>
          <w:bCs/>
          <w:snapToGrid w:val="0"/>
          <w:kern w:val="56"/>
          <w:sz w:val="24"/>
        </w:rPr>
      </w:pPr>
      <w:r>
        <w:rPr>
          <w:bCs/>
          <w:snapToGrid w:val="0"/>
          <w:kern w:val="56"/>
          <w:sz w:val="24"/>
        </w:rPr>
        <w:t>渗滤液</w:t>
      </w:r>
      <w:r>
        <w:rPr>
          <w:rFonts w:hint="eastAsia"/>
          <w:bCs/>
          <w:snapToGrid w:val="0"/>
          <w:kern w:val="56"/>
          <w:sz w:val="24"/>
        </w:rPr>
        <w:t>来源</w:t>
      </w:r>
    </w:p>
    <w:p>
      <w:pPr>
        <w:adjustRightInd w:val="0"/>
        <w:snapToGrid w:val="0"/>
        <w:spacing w:line="360" w:lineRule="auto"/>
        <w:ind w:firstLine="480" w:firstLineChars="200"/>
        <w:rPr>
          <w:bCs/>
          <w:snapToGrid w:val="0"/>
          <w:color w:val="FF0000"/>
          <w:kern w:val="56"/>
          <w:sz w:val="24"/>
        </w:rPr>
      </w:pPr>
      <w:r>
        <w:rPr>
          <w:rFonts w:hint="eastAsia"/>
          <w:bCs/>
          <w:snapToGrid w:val="0"/>
          <w:color w:val="FF0000"/>
          <w:kern w:val="56"/>
          <w:sz w:val="24"/>
        </w:rPr>
        <w:t>本项目</w:t>
      </w:r>
      <w:r>
        <w:rPr>
          <w:bCs/>
          <w:snapToGrid w:val="0"/>
          <w:color w:val="FF0000"/>
          <w:kern w:val="56"/>
          <w:sz w:val="24"/>
        </w:rPr>
        <w:t>垃圾渗滤液来源于三个方面：一是垃圾本身所带的水分；二是垃圾中有机物经分解后所产生的水；三是以各种途径进入垃圾填埋场的大气降水。</w:t>
      </w:r>
    </w:p>
    <w:p>
      <w:pPr>
        <w:adjustRightInd w:val="0"/>
        <w:snapToGrid w:val="0"/>
        <w:spacing w:line="360" w:lineRule="auto"/>
        <w:ind w:firstLine="480" w:firstLineChars="200"/>
        <w:rPr>
          <w:b/>
          <w:bCs/>
          <w:spacing w:val="-4"/>
        </w:rPr>
      </w:pPr>
      <w:r>
        <w:rPr>
          <w:bCs/>
          <w:snapToGrid w:val="0"/>
          <w:kern w:val="56"/>
          <w:sz w:val="24"/>
        </w:rPr>
        <w:t>填埋场地区包括渗出液在内的水的活动是一个流入、流出均衡的动态系统。流入系统有：降水、进场垃圾本身含有的反应生成水；流出系统有：表面蒸发水、垃圾渗滤液。填埋垃圾在生物降解过程中产生的液体和各种渗入填埋场的水混合后，如总量超过了填埋场垃圾的极限含水量，多余部分就以渗滤液的形式排出。</w:t>
      </w:r>
    </w:p>
    <w:p>
      <w:pPr>
        <w:adjustRightInd w:val="0"/>
        <w:snapToGrid w:val="0"/>
        <w:spacing w:line="360" w:lineRule="auto"/>
        <w:ind w:firstLine="480" w:firstLineChars="200"/>
        <w:rPr>
          <w:sz w:val="24"/>
        </w:rPr>
      </w:pPr>
      <w:r>
        <w:rPr>
          <w:sz w:val="24"/>
        </w:rPr>
        <w:t>垃圾渗滤液的性质受垃圾成分、季节、降雨量、填埋工艺、填埋时间等因素的影响，具有以下特点：</w:t>
      </w:r>
    </w:p>
    <w:p>
      <w:pPr>
        <w:adjustRightInd w:val="0"/>
        <w:snapToGrid w:val="0"/>
        <w:spacing w:line="360" w:lineRule="auto"/>
        <w:ind w:firstLine="480" w:firstLineChars="200"/>
        <w:rPr>
          <w:sz w:val="24"/>
        </w:rPr>
      </w:pPr>
      <w:r>
        <w:rPr>
          <w:rFonts w:hint="eastAsia" w:ascii="宋体" w:hAnsi="宋体" w:cs="宋体"/>
          <w:sz w:val="24"/>
        </w:rPr>
        <w:t>①</w:t>
      </w:r>
      <w:r>
        <w:rPr>
          <w:sz w:val="24"/>
        </w:rPr>
        <w:t>浸出量及水质变化特别大，而且当浸出量增大时，往往伴随着浓度的升高。其浸出量的变化一般与降雨量有直接的关系；</w:t>
      </w:r>
    </w:p>
    <w:p>
      <w:pPr>
        <w:adjustRightInd w:val="0"/>
        <w:snapToGrid w:val="0"/>
        <w:spacing w:line="360" w:lineRule="auto"/>
        <w:ind w:firstLine="480" w:firstLineChars="200"/>
        <w:rPr>
          <w:sz w:val="24"/>
        </w:rPr>
      </w:pPr>
      <w:r>
        <w:rPr>
          <w:rFonts w:hint="eastAsia" w:ascii="宋体" w:hAnsi="宋体" w:cs="宋体"/>
          <w:sz w:val="24"/>
        </w:rPr>
        <w:t>②</w:t>
      </w:r>
      <w:r>
        <w:rPr>
          <w:sz w:val="24"/>
        </w:rPr>
        <w:t>渗滤液水质复杂，不仅含有好氧有机污染物，还含有金属和植物营养素（氨氮）等，甚至还会含有毒有害的有机物，而且各污染物成分浓度非常高。</w:t>
      </w:r>
    </w:p>
    <w:p>
      <w:pPr>
        <w:adjustRightInd w:val="0"/>
        <w:snapToGrid w:val="0"/>
        <w:spacing w:line="360" w:lineRule="auto"/>
        <w:ind w:firstLine="480" w:firstLineChars="200"/>
        <w:rPr>
          <w:sz w:val="24"/>
        </w:rPr>
      </w:pPr>
      <w:r>
        <w:rPr>
          <w:rFonts w:hint="eastAsia"/>
          <w:sz w:val="24"/>
        </w:rPr>
        <w:t>（2）</w:t>
      </w:r>
      <w:r>
        <w:rPr>
          <w:sz w:val="24"/>
        </w:rPr>
        <w:t>渗滤液产</w:t>
      </w:r>
      <w:r>
        <w:rPr>
          <w:rFonts w:hint="eastAsia"/>
          <w:sz w:val="24"/>
        </w:rPr>
        <w:t>生</w:t>
      </w:r>
      <w:r>
        <w:rPr>
          <w:sz w:val="24"/>
        </w:rPr>
        <w:t>量</w:t>
      </w:r>
    </w:p>
    <w:p>
      <w:pPr>
        <w:pStyle w:val="44"/>
        <w:adjustRightInd w:val="0"/>
        <w:snapToGrid w:val="0"/>
        <w:ind w:firstLine="480"/>
        <w:rPr>
          <w:rFonts w:cs="Times New Roman"/>
          <w:color w:val="FF0000"/>
          <w:szCs w:val="24"/>
        </w:rPr>
      </w:pPr>
      <w:r>
        <w:rPr>
          <w:rFonts w:hint="eastAsia" w:cs="Times New Roman"/>
          <w:color w:val="FF0000"/>
          <w:szCs w:val="24"/>
        </w:rPr>
        <w:t>本项目为正常运行填埋场，根据建设单位提供资料，项目渗滤液实际产生量很小，约0</w:t>
      </w:r>
      <w:r>
        <w:rPr>
          <w:rFonts w:cs="Times New Roman"/>
          <w:color w:val="FF0000"/>
          <w:szCs w:val="24"/>
        </w:rPr>
        <w:t>.6</w:t>
      </w:r>
      <w:r>
        <w:rPr>
          <w:color w:val="FF0000"/>
        </w:rPr>
        <w:t xml:space="preserve"> </w:t>
      </w:r>
      <w:r>
        <w:rPr>
          <w:rFonts w:cs="Times New Roman"/>
          <w:color w:val="FF0000"/>
          <w:szCs w:val="24"/>
        </w:rPr>
        <w:t>m</w:t>
      </w:r>
      <w:r>
        <w:rPr>
          <w:rFonts w:cs="Times New Roman"/>
          <w:color w:val="FF0000"/>
          <w:szCs w:val="24"/>
          <w:vertAlign w:val="superscript"/>
        </w:rPr>
        <w:t>3</w:t>
      </w:r>
      <w:r>
        <w:rPr>
          <w:rFonts w:cs="Times New Roman"/>
          <w:color w:val="FF0000"/>
          <w:szCs w:val="24"/>
        </w:rPr>
        <w:t>/d</w:t>
      </w:r>
      <w:r>
        <w:rPr>
          <w:rFonts w:hint="eastAsia" w:cs="Times New Roman"/>
          <w:color w:val="FF0000"/>
          <w:szCs w:val="24"/>
        </w:rPr>
        <w:t>，年渗滤液产生量约</w:t>
      </w:r>
      <w:r>
        <w:rPr>
          <w:rFonts w:cs="Times New Roman"/>
          <w:color w:val="FF0000"/>
          <w:szCs w:val="24"/>
        </w:rPr>
        <w:t>219</w:t>
      </w:r>
      <w:r>
        <w:rPr>
          <w:rFonts w:hint="eastAsia" w:cs="Times New Roman"/>
          <w:color w:val="FF0000"/>
          <w:szCs w:val="24"/>
        </w:rPr>
        <w:t xml:space="preserve"> m</w:t>
      </w:r>
      <w:r>
        <w:rPr>
          <w:rFonts w:hint="eastAsia" w:cs="Times New Roman"/>
          <w:color w:val="FF0000"/>
          <w:szCs w:val="24"/>
          <w:vertAlign w:val="superscript"/>
        </w:rPr>
        <w:t>3</w:t>
      </w:r>
      <w:r>
        <w:rPr>
          <w:rFonts w:hint="eastAsia" w:cs="Times New Roman"/>
          <w:color w:val="FF0000"/>
          <w:szCs w:val="24"/>
        </w:rPr>
        <w:t>/a。考虑到填埋量变化及雨水等不确定因素，本次评价估算渗滤液日产生量取</w:t>
      </w:r>
      <w:r>
        <w:rPr>
          <w:rFonts w:cs="Times New Roman"/>
          <w:color w:val="FF0000"/>
          <w:szCs w:val="24"/>
        </w:rPr>
        <w:t>1.2m</w:t>
      </w:r>
      <w:r>
        <w:rPr>
          <w:rFonts w:cs="Times New Roman"/>
          <w:color w:val="FF0000"/>
          <w:szCs w:val="24"/>
          <w:vertAlign w:val="superscript"/>
        </w:rPr>
        <w:t>3</w:t>
      </w:r>
      <w:r>
        <w:rPr>
          <w:rFonts w:cs="Times New Roman"/>
          <w:color w:val="FF0000"/>
          <w:szCs w:val="24"/>
        </w:rPr>
        <w:t>/d</w:t>
      </w:r>
      <w:r>
        <w:rPr>
          <w:rFonts w:hint="eastAsia" w:cs="Times New Roman"/>
          <w:color w:val="FF0000"/>
          <w:szCs w:val="24"/>
        </w:rPr>
        <w:t>，年产生量</w:t>
      </w:r>
      <w:r>
        <w:rPr>
          <w:rFonts w:cs="Times New Roman"/>
          <w:color w:val="FF0000"/>
          <w:szCs w:val="24"/>
        </w:rPr>
        <w:t>438</w:t>
      </w:r>
      <w:r>
        <w:rPr>
          <w:rFonts w:hint="eastAsia" w:cs="Times New Roman"/>
          <w:color w:val="FF0000"/>
          <w:szCs w:val="24"/>
        </w:rPr>
        <w:t xml:space="preserve"> m</w:t>
      </w:r>
      <w:r>
        <w:rPr>
          <w:rFonts w:hint="eastAsia" w:cs="Times New Roman"/>
          <w:color w:val="FF0000"/>
          <w:szCs w:val="24"/>
          <w:vertAlign w:val="superscript"/>
        </w:rPr>
        <w:t>3</w:t>
      </w:r>
      <w:r>
        <w:rPr>
          <w:rFonts w:hint="eastAsia" w:cs="Times New Roman"/>
          <w:color w:val="FF0000"/>
          <w:szCs w:val="24"/>
        </w:rPr>
        <w:t>/a。</w:t>
      </w:r>
    </w:p>
    <w:p>
      <w:pPr>
        <w:adjustRightInd w:val="0"/>
        <w:snapToGrid w:val="0"/>
        <w:spacing w:line="360" w:lineRule="auto"/>
        <w:ind w:firstLine="480" w:firstLineChars="200"/>
        <w:rPr>
          <w:sz w:val="24"/>
        </w:rPr>
      </w:pPr>
      <w:r>
        <w:rPr>
          <w:sz w:val="24"/>
        </w:rPr>
        <w:t>（3）渗滤液水质</w:t>
      </w:r>
    </w:p>
    <w:p>
      <w:pPr>
        <w:adjustRightInd w:val="0"/>
        <w:snapToGrid w:val="0"/>
        <w:spacing w:line="360" w:lineRule="auto"/>
        <w:ind w:firstLine="480" w:firstLineChars="200"/>
        <w:rPr>
          <w:sz w:val="24"/>
        </w:rPr>
      </w:pPr>
      <w:r>
        <w:rPr>
          <w:sz w:val="24"/>
        </w:rPr>
        <w:t>渗滤液的水质受多种因素的影响，主要有以下几个方面：</w:t>
      </w:r>
    </w:p>
    <w:p>
      <w:pPr>
        <w:adjustRightInd w:val="0"/>
        <w:snapToGrid w:val="0"/>
        <w:spacing w:line="360" w:lineRule="auto"/>
        <w:ind w:firstLine="480" w:firstLineChars="200"/>
        <w:rPr>
          <w:sz w:val="24"/>
        </w:rPr>
      </w:pPr>
      <w:r>
        <w:rPr>
          <w:rFonts w:hint="eastAsia" w:ascii="宋体" w:hAnsi="宋体" w:cs="宋体"/>
          <w:sz w:val="24"/>
        </w:rPr>
        <w:t>①</w:t>
      </w:r>
      <w:r>
        <w:rPr>
          <w:sz w:val="24"/>
        </w:rPr>
        <w:t>进场垃圾的成分中有机物的含量</w:t>
      </w:r>
    </w:p>
    <w:p>
      <w:pPr>
        <w:adjustRightInd w:val="0"/>
        <w:snapToGrid w:val="0"/>
        <w:spacing w:line="360" w:lineRule="auto"/>
        <w:ind w:firstLine="480" w:firstLineChars="200"/>
        <w:rPr>
          <w:sz w:val="24"/>
        </w:rPr>
      </w:pPr>
      <w:r>
        <w:rPr>
          <w:sz w:val="24"/>
        </w:rPr>
        <w:t>渗滤液水质中COD、BOD的主要来源进场垃圾成分中有机物的腐败。垃圾中的无机物属于惰性固废，基本上不发生反应。</w:t>
      </w:r>
    </w:p>
    <w:p>
      <w:pPr>
        <w:adjustRightInd w:val="0"/>
        <w:snapToGrid w:val="0"/>
        <w:spacing w:line="360" w:lineRule="auto"/>
        <w:ind w:firstLine="480" w:firstLineChars="200"/>
        <w:rPr>
          <w:sz w:val="24"/>
        </w:rPr>
      </w:pPr>
      <w:r>
        <w:rPr>
          <w:rFonts w:hint="eastAsia" w:ascii="宋体" w:hAnsi="宋体" w:cs="宋体"/>
          <w:sz w:val="24"/>
        </w:rPr>
        <w:t>②</w:t>
      </w:r>
      <w:r>
        <w:rPr>
          <w:sz w:val="24"/>
        </w:rPr>
        <w:t>采取的防渗方式</w:t>
      </w:r>
    </w:p>
    <w:p>
      <w:pPr>
        <w:adjustRightInd w:val="0"/>
        <w:snapToGrid w:val="0"/>
        <w:spacing w:line="360" w:lineRule="auto"/>
        <w:ind w:firstLine="480" w:firstLineChars="200"/>
        <w:rPr>
          <w:sz w:val="24"/>
        </w:rPr>
      </w:pPr>
      <w:r>
        <w:rPr>
          <w:sz w:val="24"/>
        </w:rPr>
        <w:t>目前，国内采用的防渗方式主要有两种：水平防渗和垂直防渗。水平防渗主要是采用HDPE膜和地下水相隔，单独收集渗滤液。因此其渗滤液浓度较高。垂直防渗则采用在截污坝处帷幕灌浆的方法，使垃圾渗滤液汇集在调节池。这样做，不可避免地使场区内的地下水也进入渗滤液，使渗滤液浓度大大降低。防渗方式的选择，对垃圾渗滤液的产生量和浓度有较大的影响。</w:t>
      </w:r>
    </w:p>
    <w:p>
      <w:pPr>
        <w:adjustRightInd w:val="0"/>
        <w:snapToGrid w:val="0"/>
        <w:spacing w:line="360" w:lineRule="auto"/>
        <w:ind w:firstLine="480" w:firstLineChars="200"/>
        <w:rPr>
          <w:sz w:val="24"/>
        </w:rPr>
      </w:pPr>
      <w:r>
        <w:rPr>
          <w:rFonts w:hint="eastAsia" w:ascii="宋体" w:hAnsi="宋体" w:cs="宋体"/>
          <w:sz w:val="24"/>
        </w:rPr>
        <w:t>③</w:t>
      </w:r>
      <w:r>
        <w:rPr>
          <w:sz w:val="24"/>
        </w:rPr>
        <w:t>其他因素</w:t>
      </w:r>
    </w:p>
    <w:p>
      <w:pPr>
        <w:adjustRightInd w:val="0"/>
        <w:snapToGrid w:val="0"/>
        <w:spacing w:line="360" w:lineRule="auto"/>
        <w:ind w:firstLine="480" w:firstLineChars="200"/>
        <w:rPr>
          <w:sz w:val="24"/>
        </w:rPr>
      </w:pPr>
      <w:r>
        <w:rPr>
          <w:sz w:val="24"/>
        </w:rPr>
        <w:t>其他因素主要包括：场地的排水设施的完整性、管理水平的高低、场地的土壤的入渗率和监测采样的方式等因素。</w:t>
      </w:r>
    </w:p>
    <w:p>
      <w:pPr>
        <w:pStyle w:val="69"/>
        <w:adjustRightInd w:val="0"/>
        <w:snapToGrid w:val="0"/>
        <w:spacing w:after="0" w:line="360" w:lineRule="auto"/>
        <w:ind w:left="0" w:leftChars="0" w:firstLine="480" w:firstLineChars="200"/>
        <w:jc w:val="both"/>
        <w:rPr>
          <w:sz w:val="24"/>
        </w:rPr>
      </w:pPr>
      <w:r>
        <w:rPr>
          <w:rFonts w:hint="eastAsia"/>
          <w:sz w:val="24"/>
        </w:rPr>
        <w:t>（</w:t>
      </w:r>
      <w:r>
        <w:rPr>
          <w:sz w:val="24"/>
        </w:rPr>
        <w:t>4</w:t>
      </w:r>
      <w:r>
        <w:rPr>
          <w:rFonts w:hint="eastAsia"/>
          <w:sz w:val="24"/>
        </w:rPr>
        <w:t>）</w:t>
      </w:r>
      <w:r>
        <w:rPr>
          <w:sz w:val="24"/>
        </w:rPr>
        <w:t>污染源强估算</w:t>
      </w:r>
    </w:p>
    <w:p>
      <w:pPr>
        <w:adjustRightInd w:val="0"/>
        <w:snapToGrid w:val="0"/>
        <w:spacing w:line="360" w:lineRule="auto"/>
        <w:ind w:firstLine="480" w:firstLineChars="200"/>
        <w:rPr>
          <w:kern w:val="0"/>
          <w:sz w:val="24"/>
        </w:rPr>
      </w:pPr>
      <w:r>
        <w:rPr>
          <w:sz w:val="24"/>
        </w:rPr>
        <w:t>垃圾渗滤液水质受垃圾成份、填埋方式、季节、地方气候、垃圾分解不同阶段等诸多因素的影响，其变化范围较大。</w:t>
      </w:r>
      <w:r>
        <w:rPr>
          <w:rFonts w:hint="eastAsia"/>
          <w:sz w:val="24"/>
        </w:rPr>
        <w:t>项目初期水质采用内蒙古航峰检测技术有限公司于2</w:t>
      </w:r>
      <w:r>
        <w:rPr>
          <w:sz w:val="24"/>
        </w:rPr>
        <w:t>023</w:t>
      </w:r>
      <w:r>
        <w:rPr>
          <w:rFonts w:hint="eastAsia"/>
          <w:sz w:val="24"/>
        </w:rPr>
        <w:t>年3月3</w:t>
      </w:r>
      <w:r>
        <w:rPr>
          <w:sz w:val="24"/>
        </w:rPr>
        <w:t>1</w:t>
      </w:r>
      <w:r>
        <w:rPr>
          <w:rFonts w:hint="eastAsia"/>
          <w:sz w:val="24"/>
        </w:rPr>
        <w:t>日对本项目</w:t>
      </w:r>
      <w:r>
        <w:rPr>
          <w:sz w:val="24"/>
        </w:rPr>
        <w:t>实测的渗滤液</w:t>
      </w:r>
      <w:r>
        <w:rPr>
          <w:rFonts w:hint="eastAsia"/>
          <w:sz w:val="24"/>
        </w:rPr>
        <w:t>水质，中后期及封场后渗滤液参考</w:t>
      </w:r>
      <w:r>
        <w:rPr>
          <w:kern w:val="0"/>
          <w:sz w:val="24"/>
        </w:rPr>
        <w:t>《生活垃圾</w:t>
      </w:r>
      <w:r>
        <w:rPr>
          <w:rFonts w:hint="eastAsia"/>
          <w:kern w:val="0"/>
          <w:sz w:val="24"/>
        </w:rPr>
        <w:t>卫生填埋</w:t>
      </w:r>
      <w:r>
        <w:rPr>
          <w:kern w:val="0"/>
          <w:sz w:val="24"/>
        </w:rPr>
        <w:t>处理技术规范》（GB50869-2013）中所提供国内生活垃圾填埋场调节池渗滤液典型水质</w:t>
      </w:r>
      <w:r>
        <w:rPr>
          <w:rFonts w:hint="eastAsia"/>
          <w:kern w:val="0"/>
          <w:sz w:val="24"/>
        </w:rPr>
        <w:t>，确定</w:t>
      </w:r>
      <w:r>
        <w:rPr>
          <w:kern w:val="0"/>
          <w:sz w:val="24"/>
        </w:rPr>
        <w:t>垃圾填埋场渗滤液水质见表</w:t>
      </w:r>
      <w:r>
        <w:rPr>
          <w:rFonts w:hint="eastAsia"/>
          <w:kern w:val="0"/>
          <w:sz w:val="24"/>
        </w:rPr>
        <w:t>：</w:t>
      </w:r>
      <w:r>
        <w:rPr>
          <w:kern w:val="0"/>
          <w:sz w:val="24"/>
        </w:rPr>
        <w:t xml:space="preserve"> </w:t>
      </w:r>
    </w:p>
    <w:p>
      <w:pPr>
        <w:pStyle w:val="69"/>
        <w:adjustRightInd w:val="0"/>
        <w:snapToGrid w:val="0"/>
        <w:spacing w:after="0"/>
        <w:ind w:left="0" w:leftChars="0" w:firstLine="482" w:firstLineChars="200"/>
        <w:jc w:val="center"/>
        <w:rPr>
          <w:b/>
          <w:kern w:val="0"/>
          <w:sz w:val="21"/>
          <w:szCs w:val="21"/>
        </w:rPr>
      </w:pPr>
      <w:r>
        <w:rPr>
          <w:b/>
          <w:kern w:val="0"/>
          <w:sz w:val="24"/>
          <w:szCs w:val="24"/>
        </w:rPr>
        <w:t xml:space="preserve">表3.2-10 </w:t>
      </w:r>
      <w:r>
        <w:rPr>
          <w:rFonts w:hint="eastAsia"/>
          <w:b/>
          <w:kern w:val="0"/>
          <w:sz w:val="24"/>
          <w:szCs w:val="24"/>
        </w:rPr>
        <w:t>不同年限渗滤液水质情况</w:t>
      </w:r>
    </w:p>
    <w:tbl>
      <w:tblPr>
        <w:tblStyle w:val="8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tcBorders>
              <w:tl2br w:val="single" w:color="auto" w:sz="12" w:space="0"/>
            </w:tcBorders>
            <w:vAlign w:val="center"/>
          </w:tcPr>
          <w:p>
            <w:pPr>
              <w:adjustRightInd w:val="0"/>
              <w:snapToGrid w:val="0"/>
              <w:jc w:val="center"/>
              <w:rPr>
                <w:spacing w:val="-4"/>
                <w:szCs w:val="21"/>
              </w:rPr>
            </w:pPr>
            <w:r>
              <w:rPr>
                <w:spacing w:val="-4"/>
                <w:szCs w:val="21"/>
              </w:rPr>
              <w:t>类别</w:t>
            </w:r>
          </w:p>
          <w:p>
            <w:pPr>
              <w:adjustRightInd w:val="0"/>
              <w:snapToGrid w:val="0"/>
              <w:jc w:val="center"/>
              <w:rPr>
                <w:spacing w:val="-4"/>
                <w:szCs w:val="21"/>
              </w:rPr>
            </w:pPr>
            <w:r>
              <w:rPr>
                <w:spacing w:val="-4"/>
                <w:szCs w:val="21"/>
              </w:rPr>
              <w:t>项目</w:t>
            </w:r>
          </w:p>
        </w:tc>
        <w:tc>
          <w:tcPr>
            <w:tcW w:w="2130" w:type="dxa"/>
            <w:vAlign w:val="center"/>
          </w:tcPr>
          <w:p>
            <w:pPr>
              <w:adjustRightInd w:val="0"/>
              <w:snapToGrid w:val="0"/>
              <w:jc w:val="center"/>
              <w:rPr>
                <w:spacing w:val="-4"/>
                <w:szCs w:val="21"/>
              </w:rPr>
            </w:pPr>
            <w:r>
              <w:rPr>
                <w:spacing w:val="-4"/>
                <w:szCs w:val="21"/>
              </w:rPr>
              <w:t>初期渗滤液</w:t>
            </w:r>
          </w:p>
          <w:p>
            <w:pPr>
              <w:adjustRightInd w:val="0"/>
              <w:snapToGrid w:val="0"/>
              <w:jc w:val="center"/>
              <w:rPr>
                <w:spacing w:val="-4"/>
                <w:szCs w:val="21"/>
              </w:rPr>
            </w:pPr>
            <w:r>
              <w:rPr>
                <w:rFonts w:hint="eastAsia"/>
                <w:spacing w:val="-4"/>
                <w:szCs w:val="21"/>
              </w:rPr>
              <w:t>＜5年</w:t>
            </w:r>
          </w:p>
        </w:tc>
        <w:tc>
          <w:tcPr>
            <w:tcW w:w="2131" w:type="dxa"/>
            <w:vAlign w:val="center"/>
          </w:tcPr>
          <w:p>
            <w:pPr>
              <w:adjustRightInd w:val="0"/>
              <w:snapToGrid w:val="0"/>
              <w:jc w:val="center"/>
              <w:rPr>
                <w:spacing w:val="-4"/>
                <w:szCs w:val="21"/>
              </w:rPr>
            </w:pPr>
            <w:r>
              <w:rPr>
                <w:spacing w:val="-4"/>
                <w:szCs w:val="21"/>
              </w:rPr>
              <w:t>中后期渗滤液</w:t>
            </w:r>
          </w:p>
          <w:p>
            <w:pPr>
              <w:adjustRightInd w:val="0"/>
              <w:snapToGrid w:val="0"/>
              <w:jc w:val="center"/>
              <w:rPr>
                <w:spacing w:val="-4"/>
                <w:szCs w:val="21"/>
              </w:rPr>
            </w:pPr>
            <w:r>
              <w:rPr>
                <w:rFonts w:hint="eastAsia"/>
                <w:spacing w:val="-4"/>
                <w:szCs w:val="21"/>
              </w:rPr>
              <w:t>＞5</w:t>
            </w:r>
          </w:p>
        </w:tc>
        <w:tc>
          <w:tcPr>
            <w:tcW w:w="2131" w:type="dxa"/>
            <w:vAlign w:val="center"/>
          </w:tcPr>
          <w:p>
            <w:pPr>
              <w:adjustRightInd w:val="0"/>
              <w:snapToGrid w:val="0"/>
              <w:jc w:val="center"/>
              <w:rPr>
                <w:spacing w:val="-4"/>
                <w:szCs w:val="21"/>
              </w:rPr>
            </w:pPr>
            <w:r>
              <w:rPr>
                <w:spacing w:val="-4"/>
                <w:szCs w:val="21"/>
              </w:rPr>
              <w:t>封场后渗滤液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spacing w:val="-4"/>
                <w:szCs w:val="21"/>
              </w:rPr>
            </w:pPr>
            <w:r>
              <w:rPr>
                <w:kern w:val="0"/>
                <w:szCs w:val="21"/>
              </w:rPr>
              <w:t>BOD</w:t>
            </w:r>
            <w:r>
              <w:rPr>
                <w:kern w:val="0"/>
                <w:szCs w:val="21"/>
                <w:vertAlign w:val="subscript"/>
              </w:rPr>
              <w:t>5</w:t>
            </w:r>
            <w:r>
              <w:rPr>
                <w:kern w:val="0"/>
                <w:szCs w:val="21"/>
              </w:rPr>
              <w:t>（mg/L）</w:t>
            </w:r>
          </w:p>
        </w:tc>
        <w:tc>
          <w:tcPr>
            <w:tcW w:w="2130" w:type="dxa"/>
            <w:vAlign w:val="center"/>
          </w:tcPr>
          <w:p>
            <w:pPr>
              <w:adjustRightInd w:val="0"/>
              <w:snapToGrid w:val="0"/>
              <w:jc w:val="center"/>
              <w:rPr>
                <w:szCs w:val="21"/>
              </w:rPr>
            </w:pPr>
            <w:r>
              <w:t>610</w:t>
            </w:r>
          </w:p>
        </w:tc>
        <w:tc>
          <w:tcPr>
            <w:tcW w:w="2131" w:type="dxa"/>
            <w:vAlign w:val="center"/>
          </w:tcPr>
          <w:p>
            <w:pPr>
              <w:adjustRightInd w:val="0"/>
              <w:snapToGrid w:val="0"/>
              <w:jc w:val="center"/>
              <w:rPr>
                <w:spacing w:val="-4"/>
                <w:szCs w:val="21"/>
              </w:rPr>
            </w:pPr>
            <w:r>
              <w:rPr>
                <w:spacing w:val="-4"/>
                <w:szCs w:val="21"/>
              </w:rPr>
              <w:t>1000</w:t>
            </w:r>
            <w:r>
              <w:t>～</w:t>
            </w:r>
            <w:r>
              <w:rPr>
                <w:spacing w:val="-4"/>
                <w:szCs w:val="21"/>
              </w:rPr>
              <w:t>4000</w:t>
            </w:r>
          </w:p>
        </w:tc>
        <w:tc>
          <w:tcPr>
            <w:tcW w:w="2131" w:type="dxa"/>
            <w:vAlign w:val="center"/>
          </w:tcPr>
          <w:p>
            <w:pPr>
              <w:adjustRightInd w:val="0"/>
              <w:snapToGrid w:val="0"/>
              <w:jc w:val="center"/>
              <w:rPr>
                <w:spacing w:val="-4"/>
                <w:szCs w:val="21"/>
              </w:rPr>
            </w:pPr>
            <w:r>
              <w:rPr>
                <w:spacing w:val="-4"/>
                <w:szCs w:val="21"/>
              </w:rPr>
              <w:t>300</w:t>
            </w:r>
            <w:r>
              <w:t>～</w:t>
            </w:r>
            <w:r>
              <w:rPr>
                <w:spacing w:val="-4"/>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pStyle w:val="69"/>
              <w:adjustRightInd w:val="0"/>
              <w:snapToGrid w:val="0"/>
              <w:spacing w:after="0"/>
              <w:ind w:left="0" w:leftChars="0" w:firstLine="210" w:firstLineChars="100"/>
              <w:jc w:val="center"/>
              <w:rPr>
                <w:kern w:val="0"/>
                <w:sz w:val="21"/>
                <w:szCs w:val="21"/>
              </w:rPr>
            </w:pPr>
            <w:r>
              <w:rPr>
                <w:kern w:val="0"/>
                <w:sz w:val="21"/>
                <w:szCs w:val="21"/>
              </w:rPr>
              <w:t>CODcr（mg/L）</w:t>
            </w:r>
          </w:p>
        </w:tc>
        <w:tc>
          <w:tcPr>
            <w:tcW w:w="2130" w:type="dxa"/>
            <w:vAlign w:val="center"/>
          </w:tcPr>
          <w:p>
            <w:pPr>
              <w:adjustRightInd w:val="0"/>
              <w:snapToGrid w:val="0"/>
              <w:jc w:val="center"/>
              <w:rPr>
                <w:szCs w:val="21"/>
              </w:rPr>
            </w:pPr>
            <w:r>
              <w:t>2034</w:t>
            </w:r>
          </w:p>
        </w:tc>
        <w:tc>
          <w:tcPr>
            <w:tcW w:w="2131" w:type="dxa"/>
            <w:vAlign w:val="center"/>
          </w:tcPr>
          <w:p>
            <w:pPr>
              <w:adjustRightInd w:val="0"/>
              <w:snapToGrid w:val="0"/>
              <w:jc w:val="center"/>
              <w:rPr>
                <w:spacing w:val="-4"/>
                <w:szCs w:val="21"/>
              </w:rPr>
            </w:pPr>
            <w:r>
              <w:rPr>
                <w:spacing w:val="-4"/>
                <w:szCs w:val="21"/>
              </w:rPr>
              <w:t>2000</w:t>
            </w:r>
            <w:r>
              <w:t>～</w:t>
            </w:r>
            <w:r>
              <w:rPr>
                <w:spacing w:val="-4"/>
                <w:szCs w:val="21"/>
              </w:rPr>
              <w:t>10000</w:t>
            </w:r>
          </w:p>
        </w:tc>
        <w:tc>
          <w:tcPr>
            <w:tcW w:w="2131" w:type="dxa"/>
            <w:vAlign w:val="center"/>
          </w:tcPr>
          <w:p>
            <w:pPr>
              <w:adjustRightInd w:val="0"/>
              <w:snapToGrid w:val="0"/>
              <w:jc w:val="center"/>
              <w:rPr>
                <w:spacing w:val="-4"/>
                <w:szCs w:val="21"/>
              </w:rPr>
            </w:pPr>
            <w:r>
              <w:rPr>
                <w:spacing w:val="-4"/>
                <w:szCs w:val="21"/>
              </w:rPr>
              <w:t>1000</w:t>
            </w:r>
            <w:r>
              <w:t>～</w:t>
            </w:r>
            <w:r>
              <w:rPr>
                <w:spacing w:val="-4"/>
                <w:szCs w:val="21"/>
              </w:rPr>
              <w:t>5000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spacing w:val="-4"/>
                <w:szCs w:val="21"/>
              </w:rPr>
            </w:pPr>
            <w:r>
              <w:rPr>
                <w:kern w:val="0"/>
                <w:szCs w:val="21"/>
              </w:rPr>
              <w:t>NH</w:t>
            </w:r>
            <w:r>
              <w:rPr>
                <w:kern w:val="0"/>
                <w:szCs w:val="21"/>
                <w:vertAlign w:val="subscript"/>
              </w:rPr>
              <w:t>3</w:t>
            </w:r>
            <w:r>
              <w:rPr>
                <w:kern w:val="0"/>
                <w:szCs w:val="21"/>
              </w:rPr>
              <w:t>-N（mg/L）</w:t>
            </w:r>
          </w:p>
        </w:tc>
        <w:tc>
          <w:tcPr>
            <w:tcW w:w="2130" w:type="dxa"/>
            <w:vAlign w:val="center"/>
          </w:tcPr>
          <w:p>
            <w:pPr>
              <w:adjustRightInd w:val="0"/>
              <w:snapToGrid w:val="0"/>
              <w:jc w:val="center"/>
              <w:rPr>
                <w:szCs w:val="21"/>
              </w:rPr>
            </w:pPr>
            <w:r>
              <w:t>470</w:t>
            </w:r>
          </w:p>
        </w:tc>
        <w:tc>
          <w:tcPr>
            <w:tcW w:w="2131" w:type="dxa"/>
            <w:vAlign w:val="center"/>
          </w:tcPr>
          <w:p>
            <w:pPr>
              <w:adjustRightInd w:val="0"/>
              <w:snapToGrid w:val="0"/>
              <w:jc w:val="center"/>
              <w:rPr>
                <w:spacing w:val="-4"/>
                <w:szCs w:val="21"/>
              </w:rPr>
            </w:pPr>
            <w:r>
              <w:rPr>
                <w:spacing w:val="-4"/>
                <w:szCs w:val="21"/>
              </w:rPr>
              <w:t>800</w:t>
            </w:r>
            <w:r>
              <w:t>～</w:t>
            </w:r>
            <w:r>
              <w:rPr>
                <w:spacing w:val="-4"/>
                <w:szCs w:val="21"/>
              </w:rPr>
              <w:t>3000</w:t>
            </w:r>
          </w:p>
        </w:tc>
        <w:tc>
          <w:tcPr>
            <w:tcW w:w="2131" w:type="dxa"/>
            <w:vAlign w:val="center"/>
          </w:tcPr>
          <w:p>
            <w:pPr>
              <w:adjustRightInd w:val="0"/>
              <w:snapToGrid w:val="0"/>
              <w:jc w:val="center"/>
              <w:rPr>
                <w:spacing w:val="-4"/>
                <w:szCs w:val="21"/>
              </w:rPr>
            </w:pPr>
            <w:r>
              <w:rPr>
                <w:spacing w:val="-4"/>
                <w:szCs w:val="21"/>
              </w:rPr>
              <w:t>1000</w:t>
            </w:r>
            <w:r>
              <w:t>～</w:t>
            </w:r>
            <w:r>
              <w:rPr>
                <w:spacing w:val="-4"/>
                <w:szCs w:val="21"/>
              </w:rPr>
              <w:t>3000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spacing w:val="-4"/>
                <w:szCs w:val="21"/>
              </w:rPr>
            </w:pPr>
            <w:r>
              <w:rPr>
                <w:kern w:val="0"/>
                <w:szCs w:val="21"/>
              </w:rPr>
              <w:t>SS（mg/L）</w:t>
            </w:r>
          </w:p>
        </w:tc>
        <w:tc>
          <w:tcPr>
            <w:tcW w:w="2130" w:type="dxa"/>
            <w:vAlign w:val="center"/>
          </w:tcPr>
          <w:p>
            <w:pPr>
              <w:adjustRightInd w:val="0"/>
              <w:snapToGrid w:val="0"/>
              <w:jc w:val="center"/>
              <w:rPr>
                <w:szCs w:val="21"/>
              </w:rPr>
            </w:pPr>
            <w:r>
              <w:rPr>
                <w:rFonts w:hint="eastAsia"/>
              </w:rPr>
              <w:t>3</w:t>
            </w:r>
            <w:r>
              <w:t>3</w:t>
            </w:r>
            <w:r>
              <w:rPr>
                <w:rFonts w:hint="eastAsia"/>
              </w:rPr>
              <w:t>8</w:t>
            </w:r>
          </w:p>
        </w:tc>
        <w:tc>
          <w:tcPr>
            <w:tcW w:w="2131" w:type="dxa"/>
            <w:vAlign w:val="center"/>
          </w:tcPr>
          <w:p>
            <w:pPr>
              <w:adjustRightInd w:val="0"/>
              <w:snapToGrid w:val="0"/>
              <w:jc w:val="center"/>
              <w:rPr>
                <w:spacing w:val="-4"/>
                <w:szCs w:val="21"/>
              </w:rPr>
            </w:pPr>
            <w:r>
              <w:rPr>
                <w:spacing w:val="-4"/>
                <w:szCs w:val="21"/>
              </w:rPr>
              <w:t>500</w:t>
            </w:r>
            <w:r>
              <w:t>～</w:t>
            </w:r>
            <w:r>
              <w:rPr>
                <w:spacing w:val="-4"/>
                <w:szCs w:val="21"/>
              </w:rPr>
              <w:t>1500</w:t>
            </w:r>
          </w:p>
        </w:tc>
        <w:tc>
          <w:tcPr>
            <w:tcW w:w="2131" w:type="dxa"/>
            <w:vAlign w:val="center"/>
          </w:tcPr>
          <w:p>
            <w:pPr>
              <w:adjustRightInd w:val="0"/>
              <w:snapToGrid w:val="0"/>
              <w:jc w:val="center"/>
              <w:rPr>
                <w:spacing w:val="-4"/>
                <w:szCs w:val="21"/>
              </w:rPr>
            </w:pPr>
            <w:r>
              <w:rPr>
                <w:spacing w:val="-4"/>
                <w:szCs w:val="21"/>
              </w:rPr>
              <w:t>200</w:t>
            </w:r>
            <w:r>
              <w:t>～</w:t>
            </w:r>
            <w:r>
              <w:rPr>
                <w:spacing w:val="-4"/>
                <w:szCs w:val="21"/>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spacing w:val="-4"/>
                <w:szCs w:val="21"/>
              </w:rPr>
            </w:pPr>
            <w:r>
              <w:rPr>
                <w:kern w:val="0"/>
                <w:szCs w:val="21"/>
              </w:rPr>
              <w:t>pH（mg/L）</w:t>
            </w:r>
          </w:p>
        </w:tc>
        <w:tc>
          <w:tcPr>
            <w:tcW w:w="2130" w:type="dxa"/>
            <w:vAlign w:val="center"/>
          </w:tcPr>
          <w:p>
            <w:pPr>
              <w:adjustRightInd w:val="0"/>
              <w:snapToGrid w:val="0"/>
              <w:jc w:val="center"/>
              <w:rPr>
                <w:szCs w:val="21"/>
              </w:rPr>
            </w:pPr>
            <w:r>
              <w:rPr>
                <w:rFonts w:hint="eastAsia"/>
              </w:rPr>
              <w:t>8.3</w:t>
            </w:r>
          </w:p>
        </w:tc>
        <w:tc>
          <w:tcPr>
            <w:tcW w:w="2131" w:type="dxa"/>
            <w:vAlign w:val="center"/>
          </w:tcPr>
          <w:p>
            <w:pPr>
              <w:adjustRightInd w:val="0"/>
              <w:snapToGrid w:val="0"/>
              <w:jc w:val="center"/>
              <w:rPr>
                <w:spacing w:val="-4"/>
                <w:szCs w:val="21"/>
              </w:rPr>
            </w:pPr>
            <w:r>
              <w:rPr>
                <w:spacing w:val="-4"/>
                <w:szCs w:val="21"/>
              </w:rPr>
              <w:t>6</w:t>
            </w:r>
            <w:r>
              <w:t>～</w:t>
            </w:r>
            <w:r>
              <w:rPr>
                <w:spacing w:val="-4"/>
                <w:szCs w:val="21"/>
              </w:rPr>
              <w:t>8</w:t>
            </w:r>
          </w:p>
        </w:tc>
        <w:tc>
          <w:tcPr>
            <w:tcW w:w="2131" w:type="dxa"/>
            <w:vAlign w:val="center"/>
          </w:tcPr>
          <w:p>
            <w:pPr>
              <w:adjustRightInd w:val="0"/>
              <w:snapToGrid w:val="0"/>
              <w:jc w:val="center"/>
              <w:rPr>
                <w:spacing w:val="-4"/>
                <w:szCs w:val="21"/>
              </w:rPr>
            </w:pPr>
            <w:r>
              <w:rPr>
                <w:spacing w:val="-4"/>
                <w:szCs w:val="21"/>
              </w:rPr>
              <w:t>6</w:t>
            </w:r>
            <w:r>
              <w:t>～</w:t>
            </w:r>
            <w:r>
              <w:rPr>
                <w:spacing w:val="-4"/>
                <w:szCs w:val="21"/>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色度</w:t>
            </w:r>
            <w:r>
              <w:t>(</w:t>
            </w:r>
            <w:r>
              <w:rPr>
                <w:rFonts w:hint="eastAsia" w:ascii="宋体" w:hAnsi="宋体"/>
              </w:rPr>
              <w:t>倍</w:t>
            </w:r>
            <w:r>
              <w:t>)</w:t>
            </w:r>
          </w:p>
        </w:tc>
        <w:tc>
          <w:tcPr>
            <w:tcW w:w="2130" w:type="dxa"/>
            <w:vAlign w:val="center"/>
          </w:tcPr>
          <w:p>
            <w:pPr>
              <w:adjustRightInd w:val="0"/>
              <w:snapToGrid w:val="0"/>
              <w:jc w:val="center"/>
            </w:pPr>
            <w:r>
              <w:t>256</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铅</w:t>
            </w:r>
            <w:r>
              <w:t>(mg/L)</w:t>
            </w:r>
          </w:p>
        </w:tc>
        <w:tc>
          <w:tcPr>
            <w:tcW w:w="2130" w:type="dxa"/>
            <w:vAlign w:val="center"/>
          </w:tcPr>
          <w:p>
            <w:pPr>
              <w:adjustRightInd w:val="0"/>
              <w:snapToGrid w:val="0"/>
              <w:jc w:val="center"/>
            </w:pPr>
            <w:r>
              <w:rPr>
                <w:rFonts w:hint="eastAsia"/>
              </w:rPr>
              <w:t>0.01L</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镉</w:t>
            </w:r>
            <w:r>
              <w:t>(mg/L)</w:t>
            </w:r>
          </w:p>
        </w:tc>
        <w:tc>
          <w:tcPr>
            <w:tcW w:w="2130" w:type="dxa"/>
            <w:vAlign w:val="center"/>
          </w:tcPr>
          <w:p>
            <w:pPr>
              <w:adjustRightInd w:val="0"/>
              <w:snapToGrid w:val="0"/>
              <w:jc w:val="center"/>
            </w:pPr>
            <w:r>
              <w:rPr>
                <w:rFonts w:hint="eastAsia"/>
              </w:rPr>
              <w:t>0.001L</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汞</w:t>
            </w:r>
            <w:r>
              <w:t>(mg/L)</w:t>
            </w:r>
          </w:p>
        </w:tc>
        <w:tc>
          <w:tcPr>
            <w:tcW w:w="2130" w:type="dxa"/>
            <w:vAlign w:val="center"/>
          </w:tcPr>
          <w:p>
            <w:pPr>
              <w:adjustRightInd w:val="0"/>
              <w:snapToGrid w:val="0"/>
              <w:jc w:val="center"/>
            </w:pPr>
            <w:r>
              <w:rPr>
                <w:rFonts w:hint="eastAsia"/>
              </w:rPr>
              <w:t>4</w:t>
            </w:r>
            <w:r>
              <w:t>×</w:t>
            </w:r>
            <w:r>
              <w:rPr>
                <w:rFonts w:hint="eastAsia"/>
              </w:rPr>
              <w:t>10</w:t>
            </w:r>
            <w:r>
              <w:rPr>
                <w:rFonts w:hint="eastAsia"/>
                <w:vertAlign w:val="superscript"/>
              </w:rPr>
              <w:t>-5</w:t>
            </w:r>
            <w:r>
              <w:rPr>
                <w:rFonts w:hint="eastAsia"/>
              </w:rPr>
              <w:t>L</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砷</w:t>
            </w:r>
            <w:r>
              <w:t>(mg/L)</w:t>
            </w:r>
          </w:p>
        </w:tc>
        <w:tc>
          <w:tcPr>
            <w:tcW w:w="2130" w:type="dxa"/>
            <w:vAlign w:val="center"/>
          </w:tcPr>
          <w:p>
            <w:pPr>
              <w:adjustRightInd w:val="0"/>
              <w:snapToGrid w:val="0"/>
              <w:jc w:val="center"/>
            </w:pPr>
            <w:r>
              <w:rPr>
                <w:rFonts w:hint="eastAsia"/>
              </w:rPr>
              <w:t>1.6</w:t>
            </w:r>
            <w:r>
              <w:t>×</w:t>
            </w:r>
            <w:r>
              <w:rPr>
                <w:rFonts w:hint="eastAsia"/>
              </w:rPr>
              <w:t>10</w:t>
            </w:r>
            <w:r>
              <w:rPr>
                <w:rFonts w:hint="eastAsia"/>
                <w:vertAlign w:val="superscript"/>
              </w:rPr>
              <w:t>-3</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总磷</w:t>
            </w:r>
            <w:r>
              <w:t>(mg/L)</w:t>
            </w:r>
          </w:p>
        </w:tc>
        <w:tc>
          <w:tcPr>
            <w:tcW w:w="2130" w:type="dxa"/>
            <w:vAlign w:val="center"/>
          </w:tcPr>
          <w:p>
            <w:pPr>
              <w:adjustRightInd w:val="0"/>
              <w:snapToGrid w:val="0"/>
              <w:jc w:val="center"/>
            </w:pPr>
            <w:r>
              <w:t>5.14</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总氮</w:t>
            </w:r>
            <w:r>
              <w:t>(mg/L)</w:t>
            </w:r>
          </w:p>
        </w:tc>
        <w:tc>
          <w:tcPr>
            <w:tcW w:w="2130" w:type="dxa"/>
            <w:vAlign w:val="center"/>
          </w:tcPr>
          <w:p>
            <w:pPr>
              <w:adjustRightInd w:val="0"/>
              <w:snapToGrid w:val="0"/>
              <w:jc w:val="center"/>
            </w:pPr>
            <w:r>
              <w:t>652</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总铬</w:t>
            </w:r>
            <w:r>
              <w:t>(mg/L)</w:t>
            </w:r>
          </w:p>
        </w:tc>
        <w:tc>
          <w:tcPr>
            <w:tcW w:w="2130" w:type="dxa"/>
            <w:vAlign w:val="center"/>
          </w:tcPr>
          <w:p>
            <w:pPr>
              <w:adjustRightInd w:val="0"/>
              <w:snapToGrid w:val="0"/>
              <w:jc w:val="center"/>
            </w:pPr>
            <w:r>
              <w:rPr>
                <w:rFonts w:hint="eastAsia"/>
              </w:rPr>
              <w:t>0.03L</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kern w:val="0"/>
                <w:szCs w:val="21"/>
              </w:rPr>
            </w:pPr>
            <w:r>
              <w:rPr>
                <w:rFonts w:ascii="宋体" w:hAnsi="宋体"/>
              </w:rPr>
              <w:t>六价铬</w:t>
            </w:r>
            <w:r>
              <w:t>(mg/L)</w:t>
            </w:r>
          </w:p>
        </w:tc>
        <w:tc>
          <w:tcPr>
            <w:tcW w:w="2130" w:type="dxa"/>
            <w:vAlign w:val="center"/>
          </w:tcPr>
          <w:p>
            <w:pPr>
              <w:adjustRightInd w:val="0"/>
              <w:snapToGrid w:val="0"/>
              <w:jc w:val="center"/>
            </w:pPr>
            <w:r>
              <w:rPr>
                <w:rFonts w:hint="eastAsia"/>
              </w:rPr>
              <w:t>0.004L</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130" w:type="dxa"/>
            <w:vAlign w:val="center"/>
          </w:tcPr>
          <w:p>
            <w:pPr>
              <w:adjustRightInd w:val="0"/>
              <w:snapToGrid w:val="0"/>
              <w:jc w:val="center"/>
              <w:rPr>
                <w:szCs w:val="21"/>
              </w:rPr>
            </w:pPr>
            <w:r>
              <w:rPr>
                <w:rFonts w:ascii="宋体" w:hAnsi="宋体"/>
              </w:rPr>
              <w:t>粪大肠菌群（</w:t>
            </w:r>
            <w:r>
              <w:t>MPN/L</w:t>
            </w:r>
            <w:r>
              <w:rPr>
                <w:rFonts w:ascii="宋体" w:hAnsi="宋体"/>
              </w:rPr>
              <w:t>）</w:t>
            </w:r>
          </w:p>
        </w:tc>
        <w:tc>
          <w:tcPr>
            <w:tcW w:w="2130" w:type="dxa"/>
            <w:vAlign w:val="center"/>
          </w:tcPr>
          <w:p>
            <w:pPr>
              <w:adjustRightInd w:val="0"/>
              <w:snapToGrid w:val="0"/>
              <w:jc w:val="center"/>
            </w:pPr>
            <w:r>
              <w:rPr>
                <w:rFonts w:hint="eastAsia"/>
              </w:rPr>
              <w:t>3.5</w:t>
            </w:r>
            <w:r>
              <w:t>×10</w:t>
            </w:r>
            <w:r>
              <w:rPr>
                <w:rFonts w:hint="eastAsia"/>
                <w:vertAlign w:val="superscript"/>
              </w:rPr>
              <w:t>3</w:t>
            </w:r>
          </w:p>
        </w:tc>
        <w:tc>
          <w:tcPr>
            <w:tcW w:w="2131" w:type="dxa"/>
            <w:vAlign w:val="center"/>
          </w:tcPr>
          <w:p>
            <w:pPr>
              <w:adjustRightInd w:val="0"/>
              <w:snapToGrid w:val="0"/>
              <w:jc w:val="center"/>
              <w:rPr>
                <w:spacing w:val="-4"/>
                <w:szCs w:val="21"/>
              </w:rPr>
            </w:pPr>
          </w:p>
        </w:tc>
        <w:tc>
          <w:tcPr>
            <w:tcW w:w="2131" w:type="dxa"/>
            <w:vAlign w:val="center"/>
          </w:tcPr>
          <w:p>
            <w:pPr>
              <w:adjustRightInd w:val="0"/>
              <w:snapToGrid w:val="0"/>
              <w:jc w:val="center"/>
              <w:rPr>
                <w:spacing w:val="-4"/>
                <w:szCs w:val="21"/>
              </w:rPr>
            </w:pPr>
          </w:p>
        </w:tc>
      </w:tr>
    </w:tbl>
    <w:p>
      <w:pPr>
        <w:autoSpaceDE w:val="0"/>
        <w:autoSpaceDN w:val="0"/>
        <w:adjustRightInd w:val="0"/>
        <w:snapToGrid w:val="0"/>
        <w:spacing w:before="156" w:beforeLines="50" w:line="360" w:lineRule="auto"/>
        <w:ind w:firstLine="480" w:firstLineChars="200"/>
        <w:rPr>
          <w:b/>
          <w:bCs/>
          <w:spacing w:val="-4"/>
          <w:sz w:val="24"/>
        </w:rPr>
      </w:pPr>
      <w:r>
        <w:rPr>
          <w:rFonts w:hint="eastAsia"/>
          <w:sz w:val="24"/>
        </w:rPr>
        <w:t>本次采用实测值确定项目渗滤液污染源源强。</w:t>
      </w:r>
    </w:p>
    <w:p>
      <w:pPr>
        <w:pStyle w:val="69"/>
        <w:adjustRightInd w:val="0"/>
        <w:snapToGrid w:val="0"/>
        <w:spacing w:before="156" w:beforeLines="50" w:after="0"/>
        <w:ind w:left="0" w:leftChars="0" w:firstLine="482" w:firstLineChars="200"/>
        <w:jc w:val="center"/>
        <w:rPr>
          <w:b/>
          <w:kern w:val="0"/>
          <w:sz w:val="24"/>
          <w:szCs w:val="24"/>
        </w:rPr>
      </w:pPr>
      <w:r>
        <w:rPr>
          <w:b/>
          <w:kern w:val="0"/>
          <w:sz w:val="24"/>
          <w:szCs w:val="24"/>
        </w:rPr>
        <w:t>表3.2-11项目垃圾渗滤液污染源源强</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5"/>
        <w:gridCol w:w="991"/>
        <w:gridCol w:w="1199"/>
        <w:gridCol w:w="1459"/>
        <w:gridCol w:w="876"/>
        <w:gridCol w:w="1461"/>
        <w:gridCol w:w="182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restart"/>
            <w:vAlign w:val="center"/>
          </w:tcPr>
          <w:p>
            <w:pPr>
              <w:adjustRightInd w:val="0"/>
              <w:snapToGrid w:val="0"/>
              <w:jc w:val="center"/>
              <w:rPr>
                <w:color w:val="FF0000"/>
                <w:spacing w:val="-4"/>
                <w:szCs w:val="21"/>
              </w:rPr>
            </w:pPr>
            <w:r>
              <w:rPr>
                <w:color w:val="FF0000"/>
                <w:spacing w:val="-4"/>
                <w:szCs w:val="21"/>
              </w:rPr>
              <w:t>渗滤液量</w:t>
            </w:r>
          </w:p>
        </w:tc>
        <w:tc>
          <w:tcPr>
            <w:tcW w:w="581" w:type="pct"/>
            <w:vMerge w:val="restart"/>
            <w:vAlign w:val="center"/>
          </w:tcPr>
          <w:p>
            <w:pPr>
              <w:adjustRightInd w:val="0"/>
              <w:snapToGrid w:val="0"/>
              <w:jc w:val="center"/>
              <w:rPr>
                <w:color w:val="FF0000"/>
                <w:spacing w:val="-4"/>
                <w:szCs w:val="21"/>
              </w:rPr>
            </w:pPr>
            <w:r>
              <w:rPr>
                <w:color w:val="FF0000"/>
                <w:spacing w:val="-4"/>
                <w:szCs w:val="21"/>
              </w:rPr>
              <w:t>污染物名称</w:t>
            </w:r>
          </w:p>
        </w:tc>
        <w:tc>
          <w:tcPr>
            <w:tcW w:w="1559" w:type="pct"/>
            <w:gridSpan w:val="2"/>
          </w:tcPr>
          <w:p>
            <w:pPr>
              <w:adjustRightInd w:val="0"/>
              <w:snapToGrid w:val="0"/>
              <w:jc w:val="center"/>
              <w:rPr>
                <w:color w:val="FF0000"/>
                <w:szCs w:val="21"/>
              </w:rPr>
            </w:pPr>
            <w:r>
              <w:rPr>
                <w:rFonts w:hint="eastAsia"/>
                <w:color w:val="FF0000"/>
                <w:szCs w:val="21"/>
              </w:rPr>
              <w:t>污染物产生</w:t>
            </w:r>
          </w:p>
        </w:tc>
        <w:tc>
          <w:tcPr>
            <w:tcW w:w="1371" w:type="pct"/>
            <w:gridSpan w:val="2"/>
            <w:vAlign w:val="center"/>
          </w:tcPr>
          <w:p>
            <w:pPr>
              <w:adjustRightInd w:val="0"/>
              <w:snapToGrid w:val="0"/>
              <w:jc w:val="center"/>
              <w:rPr>
                <w:color w:val="FF0000"/>
                <w:szCs w:val="21"/>
              </w:rPr>
            </w:pPr>
            <w:r>
              <w:rPr>
                <w:color w:val="FF0000"/>
                <w:szCs w:val="21"/>
              </w:rPr>
              <w:t>正常排放</w:t>
            </w:r>
          </w:p>
        </w:tc>
        <w:tc>
          <w:tcPr>
            <w:tcW w:w="1069" w:type="pct"/>
            <w:vAlign w:val="center"/>
          </w:tcPr>
          <w:p>
            <w:pPr>
              <w:adjustRightInd w:val="0"/>
              <w:snapToGrid w:val="0"/>
              <w:jc w:val="center"/>
              <w:rPr>
                <w:color w:val="FF0000"/>
                <w:szCs w:val="21"/>
              </w:rPr>
            </w:pPr>
            <w:r>
              <w:rPr>
                <w:rFonts w:hint="eastAsia"/>
                <w:color w:val="FF0000"/>
                <w:szCs w:val="21"/>
              </w:rPr>
              <w:t>排放去向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continue"/>
            <w:vAlign w:val="center"/>
          </w:tcPr>
          <w:p>
            <w:pPr>
              <w:adjustRightInd w:val="0"/>
              <w:snapToGrid w:val="0"/>
              <w:jc w:val="center"/>
              <w:rPr>
                <w:color w:val="FF0000"/>
              </w:rPr>
            </w:pPr>
          </w:p>
        </w:tc>
        <w:tc>
          <w:tcPr>
            <w:tcW w:w="581" w:type="pct"/>
            <w:vMerge w:val="continue"/>
            <w:vAlign w:val="center"/>
          </w:tcPr>
          <w:p>
            <w:pPr>
              <w:adjustRightInd w:val="0"/>
              <w:snapToGrid w:val="0"/>
              <w:jc w:val="center"/>
              <w:rPr>
                <w:color w:val="FF0000"/>
              </w:rPr>
            </w:pPr>
          </w:p>
        </w:tc>
        <w:tc>
          <w:tcPr>
            <w:tcW w:w="703" w:type="pct"/>
            <w:vAlign w:val="center"/>
          </w:tcPr>
          <w:p>
            <w:pPr>
              <w:adjustRightInd w:val="0"/>
              <w:snapToGrid w:val="0"/>
              <w:jc w:val="center"/>
              <w:rPr>
                <w:color w:val="FF0000"/>
                <w:szCs w:val="21"/>
              </w:rPr>
            </w:pPr>
            <w:r>
              <w:rPr>
                <w:color w:val="FF0000"/>
                <w:szCs w:val="21"/>
              </w:rPr>
              <w:t>浓度(mg/l)</w:t>
            </w:r>
          </w:p>
        </w:tc>
        <w:tc>
          <w:tcPr>
            <w:tcW w:w="856" w:type="pct"/>
            <w:vAlign w:val="center"/>
          </w:tcPr>
          <w:p>
            <w:pPr>
              <w:adjustRightInd w:val="0"/>
              <w:snapToGrid w:val="0"/>
              <w:jc w:val="center"/>
              <w:rPr>
                <w:color w:val="FF0000"/>
                <w:szCs w:val="21"/>
              </w:rPr>
            </w:pPr>
            <w:r>
              <w:rPr>
                <w:rFonts w:hint="eastAsia"/>
                <w:color w:val="FF0000"/>
                <w:szCs w:val="21"/>
              </w:rPr>
              <w:t>产生</w:t>
            </w:r>
            <w:r>
              <w:rPr>
                <w:color w:val="FF0000"/>
                <w:szCs w:val="21"/>
              </w:rPr>
              <w:t>量(kg/d)</w:t>
            </w:r>
          </w:p>
        </w:tc>
        <w:tc>
          <w:tcPr>
            <w:tcW w:w="514" w:type="pct"/>
            <w:vAlign w:val="center"/>
          </w:tcPr>
          <w:p>
            <w:pPr>
              <w:adjustRightInd w:val="0"/>
              <w:snapToGrid w:val="0"/>
              <w:jc w:val="center"/>
              <w:rPr>
                <w:color w:val="FF0000"/>
                <w:szCs w:val="21"/>
              </w:rPr>
            </w:pPr>
            <w:r>
              <w:rPr>
                <w:color w:val="FF0000"/>
                <w:szCs w:val="21"/>
              </w:rPr>
              <w:t>浓度(mg/l)</w:t>
            </w:r>
          </w:p>
        </w:tc>
        <w:tc>
          <w:tcPr>
            <w:tcW w:w="857" w:type="pct"/>
            <w:vAlign w:val="center"/>
          </w:tcPr>
          <w:p>
            <w:pPr>
              <w:adjustRightInd w:val="0"/>
              <w:snapToGrid w:val="0"/>
              <w:jc w:val="center"/>
              <w:rPr>
                <w:color w:val="FF0000"/>
                <w:szCs w:val="21"/>
              </w:rPr>
            </w:pPr>
            <w:r>
              <w:rPr>
                <w:color w:val="FF0000"/>
                <w:szCs w:val="21"/>
              </w:rPr>
              <w:t>排放量(kg/d)</w:t>
            </w:r>
          </w:p>
        </w:tc>
        <w:tc>
          <w:tcPr>
            <w:tcW w:w="1069" w:type="pct"/>
            <w:vMerge w:val="restart"/>
            <w:vAlign w:val="center"/>
          </w:tcPr>
          <w:p>
            <w:pPr>
              <w:adjustRightInd w:val="0"/>
              <w:snapToGrid w:val="0"/>
              <w:jc w:val="center"/>
              <w:rPr>
                <w:color w:val="FF0000"/>
                <w:szCs w:val="21"/>
              </w:rPr>
            </w:pPr>
            <w:r>
              <w:rPr>
                <w:rFonts w:hint="eastAsia"/>
                <w:color w:val="FF0000"/>
                <w:szCs w:val="21"/>
              </w:rPr>
              <w:t>回用于绿化、抑尘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restart"/>
            <w:vAlign w:val="center"/>
          </w:tcPr>
          <w:p>
            <w:pPr>
              <w:adjustRightInd w:val="0"/>
              <w:snapToGrid w:val="0"/>
              <w:jc w:val="center"/>
              <w:rPr>
                <w:color w:val="FF0000"/>
                <w:spacing w:val="-4"/>
                <w:szCs w:val="21"/>
              </w:rPr>
            </w:pPr>
            <w:r>
              <w:rPr>
                <w:color w:val="FF0000"/>
                <w:spacing w:val="-4"/>
                <w:szCs w:val="21"/>
              </w:rPr>
              <w:t>1.2m</w:t>
            </w:r>
            <w:r>
              <w:rPr>
                <w:color w:val="FF0000"/>
                <w:spacing w:val="-4"/>
                <w:szCs w:val="21"/>
                <w:vertAlign w:val="superscript"/>
              </w:rPr>
              <w:t>3</w:t>
            </w:r>
            <w:r>
              <w:rPr>
                <w:color w:val="FF0000"/>
                <w:spacing w:val="-4"/>
                <w:szCs w:val="21"/>
              </w:rPr>
              <w:t>/d</w:t>
            </w:r>
          </w:p>
        </w:tc>
        <w:tc>
          <w:tcPr>
            <w:tcW w:w="581" w:type="pct"/>
            <w:vAlign w:val="center"/>
          </w:tcPr>
          <w:p>
            <w:pPr>
              <w:adjustRightInd w:val="0"/>
              <w:snapToGrid w:val="0"/>
              <w:jc w:val="center"/>
              <w:rPr>
                <w:color w:val="FF0000"/>
                <w:spacing w:val="-4"/>
                <w:szCs w:val="21"/>
              </w:rPr>
            </w:pPr>
            <w:r>
              <w:rPr>
                <w:color w:val="FF0000"/>
                <w:spacing w:val="-4"/>
                <w:szCs w:val="21"/>
              </w:rPr>
              <w:t>COD</w:t>
            </w:r>
            <w:r>
              <w:rPr>
                <w:color w:val="FF0000"/>
                <w:spacing w:val="-4"/>
                <w:szCs w:val="21"/>
                <w:vertAlign w:val="subscript"/>
              </w:rPr>
              <w:t>Cr</w:t>
            </w:r>
          </w:p>
        </w:tc>
        <w:tc>
          <w:tcPr>
            <w:tcW w:w="703" w:type="pct"/>
            <w:vAlign w:val="center"/>
          </w:tcPr>
          <w:p>
            <w:pPr>
              <w:snapToGrid w:val="0"/>
              <w:jc w:val="center"/>
              <w:rPr>
                <w:color w:val="FF0000"/>
                <w:szCs w:val="21"/>
              </w:rPr>
            </w:pPr>
            <w:r>
              <w:rPr>
                <w:color w:val="FF0000"/>
                <w:szCs w:val="21"/>
              </w:rPr>
              <w:t>2034</w:t>
            </w:r>
          </w:p>
        </w:tc>
        <w:tc>
          <w:tcPr>
            <w:tcW w:w="856" w:type="pct"/>
            <w:vAlign w:val="center"/>
          </w:tcPr>
          <w:p>
            <w:pPr>
              <w:snapToGrid w:val="0"/>
              <w:jc w:val="center"/>
              <w:rPr>
                <w:color w:val="FF0000"/>
                <w:szCs w:val="21"/>
              </w:rPr>
            </w:pPr>
            <w:r>
              <w:rPr>
                <w:color w:val="FF0000"/>
              </w:rPr>
              <w:t>2.44</w:t>
            </w:r>
          </w:p>
        </w:tc>
        <w:tc>
          <w:tcPr>
            <w:tcW w:w="514" w:type="pct"/>
            <w:vAlign w:val="center"/>
          </w:tcPr>
          <w:p>
            <w:pPr>
              <w:snapToGrid w:val="0"/>
              <w:jc w:val="center"/>
              <w:rPr>
                <w:color w:val="FF0000"/>
                <w:szCs w:val="21"/>
              </w:rPr>
            </w:pPr>
            <w:r>
              <w:rPr>
                <w:color w:val="FF0000"/>
                <w:szCs w:val="21"/>
              </w:rPr>
              <w:t>100</w:t>
            </w:r>
          </w:p>
        </w:tc>
        <w:tc>
          <w:tcPr>
            <w:tcW w:w="857" w:type="pct"/>
            <w:vAlign w:val="center"/>
          </w:tcPr>
          <w:p>
            <w:pPr>
              <w:snapToGrid w:val="0"/>
              <w:jc w:val="center"/>
              <w:rPr>
                <w:color w:val="FF0000"/>
                <w:szCs w:val="21"/>
              </w:rPr>
            </w:pPr>
            <w:r>
              <w:rPr>
                <w:color w:val="FF0000"/>
              </w:rPr>
              <w:t>0.12</w:t>
            </w:r>
          </w:p>
        </w:tc>
        <w:tc>
          <w:tcPr>
            <w:tcW w:w="1069" w:type="pct"/>
            <w:vMerge w:val="continue"/>
          </w:tcPr>
          <w:p>
            <w:pPr>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continue"/>
            <w:vAlign w:val="center"/>
          </w:tcPr>
          <w:p>
            <w:pPr>
              <w:adjustRightInd w:val="0"/>
              <w:snapToGrid w:val="0"/>
              <w:jc w:val="center"/>
              <w:rPr>
                <w:color w:val="FF0000"/>
              </w:rPr>
            </w:pPr>
          </w:p>
        </w:tc>
        <w:tc>
          <w:tcPr>
            <w:tcW w:w="581" w:type="pct"/>
            <w:vAlign w:val="center"/>
          </w:tcPr>
          <w:p>
            <w:pPr>
              <w:adjustRightInd w:val="0"/>
              <w:snapToGrid w:val="0"/>
              <w:jc w:val="center"/>
              <w:rPr>
                <w:color w:val="FF0000"/>
                <w:spacing w:val="-4"/>
                <w:szCs w:val="21"/>
              </w:rPr>
            </w:pPr>
            <w:r>
              <w:rPr>
                <w:color w:val="FF0000"/>
                <w:spacing w:val="-4"/>
                <w:szCs w:val="21"/>
              </w:rPr>
              <w:t>BOD</w:t>
            </w:r>
            <w:r>
              <w:rPr>
                <w:color w:val="FF0000"/>
                <w:spacing w:val="-4"/>
                <w:szCs w:val="21"/>
                <w:vertAlign w:val="subscript"/>
              </w:rPr>
              <w:t>5</w:t>
            </w:r>
          </w:p>
        </w:tc>
        <w:tc>
          <w:tcPr>
            <w:tcW w:w="703" w:type="pct"/>
            <w:vAlign w:val="center"/>
          </w:tcPr>
          <w:p>
            <w:pPr>
              <w:snapToGrid w:val="0"/>
              <w:jc w:val="center"/>
              <w:rPr>
                <w:color w:val="FF0000"/>
                <w:szCs w:val="21"/>
              </w:rPr>
            </w:pPr>
            <w:r>
              <w:rPr>
                <w:color w:val="FF0000"/>
                <w:szCs w:val="21"/>
              </w:rPr>
              <w:t>610</w:t>
            </w:r>
          </w:p>
        </w:tc>
        <w:tc>
          <w:tcPr>
            <w:tcW w:w="856" w:type="pct"/>
            <w:vAlign w:val="center"/>
          </w:tcPr>
          <w:p>
            <w:pPr>
              <w:snapToGrid w:val="0"/>
              <w:jc w:val="center"/>
              <w:rPr>
                <w:color w:val="FF0000"/>
                <w:szCs w:val="21"/>
              </w:rPr>
            </w:pPr>
            <w:r>
              <w:rPr>
                <w:color w:val="FF0000"/>
              </w:rPr>
              <w:t>0.73</w:t>
            </w:r>
          </w:p>
        </w:tc>
        <w:tc>
          <w:tcPr>
            <w:tcW w:w="514" w:type="pct"/>
            <w:vAlign w:val="center"/>
          </w:tcPr>
          <w:p>
            <w:pPr>
              <w:snapToGrid w:val="0"/>
              <w:jc w:val="center"/>
              <w:rPr>
                <w:color w:val="FF0000"/>
                <w:szCs w:val="21"/>
              </w:rPr>
            </w:pPr>
            <w:r>
              <w:rPr>
                <w:color w:val="FF0000"/>
                <w:szCs w:val="21"/>
              </w:rPr>
              <w:t>10</w:t>
            </w:r>
          </w:p>
        </w:tc>
        <w:tc>
          <w:tcPr>
            <w:tcW w:w="857" w:type="pct"/>
            <w:vAlign w:val="center"/>
          </w:tcPr>
          <w:p>
            <w:pPr>
              <w:snapToGrid w:val="0"/>
              <w:jc w:val="center"/>
              <w:rPr>
                <w:color w:val="FF0000"/>
                <w:szCs w:val="21"/>
              </w:rPr>
            </w:pPr>
            <w:r>
              <w:rPr>
                <w:color w:val="FF0000"/>
              </w:rPr>
              <w:t>0.01</w:t>
            </w:r>
          </w:p>
        </w:tc>
        <w:tc>
          <w:tcPr>
            <w:tcW w:w="1069" w:type="pct"/>
            <w:vMerge w:val="continue"/>
          </w:tcPr>
          <w:p>
            <w:pPr>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continue"/>
            <w:vAlign w:val="center"/>
          </w:tcPr>
          <w:p>
            <w:pPr>
              <w:adjustRightInd w:val="0"/>
              <w:snapToGrid w:val="0"/>
              <w:jc w:val="center"/>
              <w:rPr>
                <w:color w:val="FF0000"/>
              </w:rPr>
            </w:pPr>
          </w:p>
        </w:tc>
        <w:tc>
          <w:tcPr>
            <w:tcW w:w="581" w:type="pct"/>
            <w:vAlign w:val="center"/>
          </w:tcPr>
          <w:p>
            <w:pPr>
              <w:adjustRightInd w:val="0"/>
              <w:snapToGrid w:val="0"/>
              <w:jc w:val="center"/>
              <w:rPr>
                <w:color w:val="FF0000"/>
                <w:spacing w:val="-4"/>
                <w:szCs w:val="21"/>
              </w:rPr>
            </w:pPr>
            <w:r>
              <w:rPr>
                <w:color w:val="FF0000"/>
                <w:spacing w:val="-4"/>
                <w:szCs w:val="21"/>
              </w:rPr>
              <w:t>SS</w:t>
            </w:r>
          </w:p>
        </w:tc>
        <w:tc>
          <w:tcPr>
            <w:tcW w:w="703" w:type="pct"/>
            <w:vAlign w:val="center"/>
          </w:tcPr>
          <w:p>
            <w:pPr>
              <w:snapToGrid w:val="0"/>
              <w:jc w:val="center"/>
              <w:rPr>
                <w:color w:val="FF0000"/>
                <w:szCs w:val="21"/>
              </w:rPr>
            </w:pPr>
            <w:r>
              <w:rPr>
                <w:color w:val="FF0000"/>
                <w:szCs w:val="21"/>
              </w:rPr>
              <w:t>338</w:t>
            </w:r>
          </w:p>
        </w:tc>
        <w:tc>
          <w:tcPr>
            <w:tcW w:w="856" w:type="pct"/>
            <w:vAlign w:val="center"/>
          </w:tcPr>
          <w:p>
            <w:pPr>
              <w:snapToGrid w:val="0"/>
              <w:jc w:val="center"/>
              <w:rPr>
                <w:color w:val="FF0000"/>
                <w:szCs w:val="21"/>
              </w:rPr>
            </w:pPr>
            <w:r>
              <w:rPr>
                <w:color w:val="FF0000"/>
              </w:rPr>
              <w:t>0.41</w:t>
            </w:r>
          </w:p>
        </w:tc>
        <w:tc>
          <w:tcPr>
            <w:tcW w:w="514" w:type="pct"/>
            <w:vAlign w:val="center"/>
          </w:tcPr>
          <w:p>
            <w:pPr>
              <w:snapToGrid w:val="0"/>
              <w:jc w:val="center"/>
              <w:rPr>
                <w:color w:val="FF0000"/>
                <w:szCs w:val="21"/>
              </w:rPr>
            </w:pPr>
            <w:r>
              <w:rPr>
                <w:color w:val="FF0000"/>
                <w:szCs w:val="21"/>
              </w:rPr>
              <w:t>30</w:t>
            </w:r>
          </w:p>
        </w:tc>
        <w:tc>
          <w:tcPr>
            <w:tcW w:w="857" w:type="pct"/>
            <w:vAlign w:val="center"/>
          </w:tcPr>
          <w:p>
            <w:pPr>
              <w:snapToGrid w:val="0"/>
              <w:jc w:val="center"/>
              <w:rPr>
                <w:color w:val="FF0000"/>
                <w:szCs w:val="21"/>
              </w:rPr>
            </w:pPr>
            <w:r>
              <w:rPr>
                <w:color w:val="FF0000"/>
              </w:rPr>
              <w:t>0.04</w:t>
            </w:r>
          </w:p>
        </w:tc>
        <w:tc>
          <w:tcPr>
            <w:tcW w:w="1069" w:type="pct"/>
            <w:vMerge w:val="continue"/>
          </w:tcPr>
          <w:p>
            <w:pPr>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continue"/>
            <w:vAlign w:val="center"/>
          </w:tcPr>
          <w:p>
            <w:pPr>
              <w:adjustRightInd w:val="0"/>
              <w:snapToGrid w:val="0"/>
              <w:jc w:val="center"/>
              <w:rPr>
                <w:color w:val="FF0000"/>
              </w:rPr>
            </w:pPr>
          </w:p>
        </w:tc>
        <w:tc>
          <w:tcPr>
            <w:tcW w:w="581" w:type="pct"/>
            <w:vAlign w:val="center"/>
          </w:tcPr>
          <w:p>
            <w:pPr>
              <w:adjustRightInd w:val="0"/>
              <w:snapToGrid w:val="0"/>
              <w:jc w:val="center"/>
              <w:rPr>
                <w:color w:val="FF0000"/>
                <w:spacing w:val="-4"/>
                <w:szCs w:val="21"/>
              </w:rPr>
            </w:pPr>
            <w:r>
              <w:rPr>
                <w:color w:val="FF0000"/>
                <w:spacing w:val="-4"/>
                <w:szCs w:val="21"/>
              </w:rPr>
              <w:t>NH</w:t>
            </w:r>
            <w:r>
              <w:rPr>
                <w:color w:val="FF0000"/>
                <w:spacing w:val="-4"/>
                <w:szCs w:val="21"/>
                <w:vertAlign w:val="subscript"/>
              </w:rPr>
              <w:t>3</w:t>
            </w:r>
            <w:r>
              <w:rPr>
                <w:color w:val="FF0000"/>
                <w:spacing w:val="-4"/>
                <w:szCs w:val="21"/>
              </w:rPr>
              <w:t>-N</w:t>
            </w:r>
          </w:p>
        </w:tc>
        <w:tc>
          <w:tcPr>
            <w:tcW w:w="703" w:type="pct"/>
            <w:vAlign w:val="center"/>
          </w:tcPr>
          <w:p>
            <w:pPr>
              <w:snapToGrid w:val="0"/>
              <w:jc w:val="center"/>
              <w:rPr>
                <w:color w:val="FF0000"/>
                <w:szCs w:val="21"/>
              </w:rPr>
            </w:pPr>
            <w:r>
              <w:rPr>
                <w:color w:val="FF0000"/>
                <w:szCs w:val="21"/>
              </w:rPr>
              <w:t>470</w:t>
            </w:r>
          </w:p>
        </w:tc>
        <w:tc>
          <w:tcPr>
            <w:tcW w:w="856" w:type="pct"/>
            <w:vAlign w:val="center"/>
          </w:tcPr>
          <w:p>
            <w:pPr>
              <w:snapToGrid w:val="0"/>
              <w:jc w:val="center"/>
              <w:rPr>
                <w:color w:val="FF0000"/>
                <w:szCs w:val="21"/>
              </w:rPr>
            </w:pPr>
            <w:r>
              <w:rPr>
                <w:color w:val="FF0000"/>
              </w:rPr>
              <w:t>0.56</w:t>
            </w:r>
          </w:p>
        </w:tc>
        <w:tc>
          <w:tcPr>
            <w:tcW w:w="514" w:type="pct"/>
            <w:vAlign w:val="center"/>
          </w:tcPr>
          <w:p>
            <w:pPr>
              <w:snapToGrid w:val="0"/>
              <w:jc w:val="center"/>
              <w:rPr>
                <w:color w:val="FF0000"/>
                <w:szCs w:val="21"/>
              </w:rPr>
            </w:pPr>
            <w:r>
              <w:rPr>
                <w:color w:val="FF0000"/>
                <w:szCs w:val="21"/>
              </w:rPr>
              <w:t>8</w:t>
            </w:r>
          </w:p>
        </w:tc>
        <w:tc>
          <w:tcPr>
            <w:tcW w:w="857" w:type="pct"/>
            <w:vAlign w:val="center"/>
          </w:tcPr>
          <w:p>
            <w:pPr>
              <w:snapToGrid w:val="0"/>
              <w:jc w:val="center"/>
              <w:rPr>
                <w:color w:val="FF0000"/>
                <w:szCs w:val="21"/>
              </w:rPr>
            </w:pPr>
            <w:r>
              <w:rPr>
                <w:color w:val="FF0000"/>
              </w:rPr>
              <w:t>0.01</w:t>
            </w:r>
          </w:p>
        </w:tc>
        <w:tc>
          <w:tcPr>
            <w:tcW w:w="1069" w:type="pct"/>
            <w:vMerge w:val="continue"/>
          </w:tcPr>
          <w:p>
            <w:pPr>
              <w:snapToGrid w:val="0"/>
              <w:jc w:val="center"/>
              <w:rPr>
                <w:color w:val="FF0000"/>
              </w:rPr>
            </w:pPr>
          </w:p>
        </w:tc>
      </w:tr>
    </w:tbl>
    <w:p>
      <w:pPr>
        <w:spacing w:line="360" w:lineRule="auto"/>
        <w:ind w:firstLine="480" w:firstLineChars="200"/>
        <w:rPr>
          <w:color w:val="FF0000"/>
          <w:sz w:val="24"/>
        </w:rPr>
      </w:pPr>
      <w:r>
        <w:rPr>
          <w:color w:val="FF0000"/>
          <w:sz w:val="24"/>
        </w:rPr>
        <w:t>垃圾渗滤液经渗滤液处理站处理后排放，执行《生活垃圾填埋场污染控制标准》（GB16889-2008）表2标准</w:t>
      </w:r>
      <w:r>
        <w:rPr>
          <w:rFonts w:hint="eastAsia"/>
          <w:color w:val="FF0000"/>
          <w:sz w:val="24"/>
        </w:rPr>
        <w:t>及《城市污水再生利用城市杂用水水质》（GB/T18920-2020）水质要求，用于绿化、填埋场洒水抑尘</w:t>
      </w:r>
      <w:r>
        <w:rPr>
          <w:color w:val="FF0000"/>
          <w:sz w:val="24"/>
        </w:rPr>
        <w:t>。</w:t>
      </w:r>
    </w:p>
    <w:p>
      <w:pPr>
        <w:adjustRightInd w:val="0"/>
        <w:snapToGrid w:val="0"/>
        <w:spacing w:line="360" w:lineRule="auto"/>
        <w:ind w:firstLine="480" w:firstLineChars="200"/>
        <w:rPr>
          <w:sz w:val="24"/>
        </w:rPr>
      </w:pPr>
      <w:r>
        <w:rPr>
          <w:sz w:val="24"/>
        </w:rPr>
        <w:t>2、生活废水水污染源分析</w:t>
      </w:r>
    </w:p>
    <w:p>
      <w:pPr>
        <w:adjustRightInd w:val="0"/>
        <w:snapToGrid w:val="0"/>
        <w:spacing w:line="360" w:lineRule="auto"/>
        <w:ind w:firstLine="480" w:firstLineChars="200"/>
        <w:rPr>
          <w:sz w:val="24"/>
        </w:rPr>
      </w:pPr>
      <w:r>
        <w:rPr>
          <w:sz w:val="24"/>
        </w:rPr>
        <w:t>生活污水主要为职工生活污水，排放量为0.14 m</w:t>
      </w:r>
      <w:r>
        <w:rPr>
          <w:sz w:val="24"/>
          <w:vertAlign w:val="superscript"/>
        </w:rPr>
        <w:t>3</w:t>
      </w:r>
      <w:r>
        <w:rPr>
          <w:sz w:val="24"/>
        </w:rPr>
        <w:t>/d</w:t>
      </w:r>
      <w:r>
        <w:rPr>
          <w:rFonts w:hint="eastAsia"/>
          <w:sz w:val="24"/>
        </w:rPr>
        <w:t>，</w:t>
      </w:r>
      <w:r>
        <w:rPr>
          <w:sz w:val="24"/>
        </w:rPr>
        <w:t>52</w:t>
      </w:r>
      <w:r>
        <w:rPr>
          <w:rFonts w:hint="eastAsia"/>
          <w:sz w:val="24"/>
        </w:rPr>
        <w:t>m</w:t>
      </w:r>
      <w:r>
        <w:rPr>
          <w:rFonts w:hint="eastAsia"/>
          <w:sz w:val="24"/>
          <w:vertAlign w:val="superscript"/>
        </w:rPr>
        <w:t>3</w:t>
      </w:r>
      <w:r>
        <w:rPr>
          <w:sz w:val="24"/>
        </w:rPr>
        <w:t>/</w:t>
      </w:r>
      <w:r>
        <w:rPr>
          <w:rFonts w:hint="eastAsia"/>
          <w:sz w:val="24"/>
        </w:rPr>
        <w:t>a</w:t>
      </w:r>
      <w:r>
        <w:rPr>
          <w:sz w:val="24"/>
        </w:rPr>
        <w:t>。</w:t>
      </w:r>
    </w:p>
    <w:p>
      <w:pPr>
        <w:adjustRightInd w:val="0"/>
        <w:snapToGrid w:val="0"/>
        <w:spacing w:line="360" w:lineRule="auto"/>
        <w:ind w:firstLine="480" w:firstLineChars="200"/>
        <w:rPr>
          <w:sz w:val="24"/>
        </w:rPr>
      </w:pPr>
      <w:r>
        <w:rPr>
          <w:sz w:val="24"/>
        </w:rPr>
        <w:t>生活污水经过化粪池预处理后</w:t>
      </w:r>
      <w:r>
        <w:rPr>
          <w:rFonts w:hint="eastAsia"/>
          <w:sz w:val="24"/>
        </w:rPr>
        <w:t>进入渗滤液</w:t>
      </w:r>
      <w:r>
        <w:rPr>
          <w:sz w:val="24"/>
        </w:rPr>
        <w:t>处理站处理</w:t>
      </w:r>
      <w:r>
        <w:rPr>
          <w:rFonts w:hint="eastAsia"/>
          <w:sz w:val="24"/>
        </w:rPr>
        <w:t>，根据《第一次全污染源普查城镇生活源产排污系数手册》及结合《给水排水设计手册》第5册给出的污染物浓度的相关数据，各污染物产生浓度分别为CODcr450mg/L、BOD</w:t>
      </w:r>
      <w:r>
        <w:rPr>
          <w:rFonts w:hint="eastAsia"/>
          <w:sz w:val="24"/>
          <w:vertAlign w:val="subscript"/>
        </w:rPr>
        <w:t>5</w:t>
      </w:r>
      <w:r>
        <w:rPr>
          <w:rFonts w:hint="eastAsia"/>
          <w:sz w:val="24"/>
        </w:rPr>
        <w:t xml:space="preserve"> 250mg/L、SS 300mg/L、NH</w:t>
      </w:r>
      <w:r>
        <w:rPr>
          <w:rFonts w:hint="eastAsia"/>
          <w:sz w:val="24"/>
          <w:vertAlign w:val="subscript"/>
        </w:rPr>
        <w:t>3</w:t>
      </w:r>
      <w:r>
        <w:rPr>
          <w:rFonts w:hint="eastAsia"/>
          <w:sz w:val="24"/>
        </w:rPr>
        <w:t>-N 25mg/L</w:t>
      </w:r>
      <w:r>
        <w:rPr>
          <w:sz w:val="24"/>
        </w:rPr>
        <w:t>。</w:t>
      </w:r>
    </w:p>
    <w:p>
      <w:pPr>
        <w:pStyle w:val="69"/>
        <w:adjustRightInd w:val="0"/>
        <w:snapToGrid w:val="0"/>
        <w:spacing w:before="156" w:beforeLines="50" w:after="0"/>
        <w:ind w:left="0" w:leftChars="0" w:firstLine="482" w:firstLineChars="200"/>
        <w:jc w:val="center"/>
        <w:rPr>
          <w:b/>
          <w:kern w:val="0"/>
          <w:sz w:val="24"/>
          <w:szCs w:val="24"/>
        </w:rPr>
      </w:pPr>
      <w:r>
        <w:rPr>
          <w:b/>
          <w:kern w:val="0"/>
          <w:sz w:val="24"/>
          <w:szCs w:val="24"/>
        </w:rPr>
        <w:t>表3.2-11项目</w:t>
      </w:r>
      <w:r>
        <w:rPr>
          <w:rFonts w:hint="eastAsia"/>
          <w:b/>
          <w:kern w:val="0"/>
          <w:sz w:val="24"/>
          <w:szCs w:val="24"/>
        </w:rPr>
        <w:t>生活废水</w:t>
      </w:r>
      <w:r>
        <w:rPr>
          <w:b/>
          <w:kern w:val="0"/>
          <w:sz w:val="24"/>
          <w:szCs w:val="24"/>
        </w:rPr>
        <w:t>污染源源强</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5"/>
        <w:gridCol w:w="991"/>
        <w:gridCol w:w="1199"/>
        <w:gridCol w:w="1459"/>
        <w:gridCol w:w="876"/>
        <w:gridCol w:w="1461"/>
        <w:gridCol w:w="182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restart"/>
            <w:vAlign w:val="center"/>
          </w:tcPr>
          <w:p>
            <w:pPr>
              <w:adjustRightInd w:val="0"/>
              <w:snapToGrid w:val="0"/>
              <w:jc w:val="center"/>
              <w:rPr>
                <w:color w:val="FF0000"/>
                <w:spacing w:val="-4"/>
                <w:szCs w:val="21"/>
              </w:rPr>
            </w:pPr>
            <w:r>
              <w:rPr>
                <w:color w:val="FF0000"/>
                <w:spacing w:val="-4"/>
                <w:szCs w:val="21"/>
              </w:rPr>
              <w:t>渗滤液量</w:t>
            </w:r>
          </w:p>
        </w:tc>
        <w:tc>
          <w:tcPr>
            <w:tcW w:w="581" w:type="pct"/>
            <w:vMerge w:val="restart"/>
            <w:vAlign w:val="center"/>
          </w:tcPr>
          <w:p>
            <w:pPr>
              <w:adjustRightInd w:val="0"/>
              <w:snapToGrid w:val="0"/>
              <w:jc w:val="center"/>
              <w:rPr>
                <w:color w:val="FF0000"/>
                <w:spacing w:val="-4"/>
                <w:szCs w:val="21"/>
              </w:rPr>
            </w:pPr>
            <w:r>
              <w:rPr>
                <w:color w:val="FF0000"/>
                <w:spacing w:val="-4"/>
                <w:szCs w:val="21"/>
              </w:rPr>
              <w:t>污染物名称</w:t>
            </w:r>
          </w:p>
        </w:tc>
        <w:tc>
          <w:tcPr>
            <w:tcW w:w="1559" w:type="pct"/>
            <w:gridSpan w:val="2"/>
          </w:tcPr>
          <w:p>
            <w:pPr>
              <w:adjustRightInd w:val="0"/>
              <w:snapToGrid w:val="0"/>
              <w:jc w:val="center"/>
              <w:rPr>
                <w:color w:val="FF0000"/>
                <w:szCs w:val="21"/>
              </w:rPr>
            </w:pPr>
            <w:r>
              <w:rPr>
                <w:rFonts w:hint="eastAsia"/>
                <w:color w:val="FF0000"/>
                <w:szCs w:val="21"/>
              </w:rPr>
              <w:t>污染物产生</w:t>
            </w:r>
          </w:p>
        </w:tc>
        <w:tc>
          <w:tcPr>
            <w:tcW w:w="1371" w:type="pct"/>
            <w:gridSpan w:val="2"/>
            <w:vAlign w:val="center"/>
          </w:tcPr>
          <w:p>
            <w:pPr>
              <w:adjustRightInd w:val="0"/>
              <w:snapToGrid w:val="0"/>
              <w:jc w:val="center"/>
              <w:rPr>
                <w:color w:val="FF0000"/>
                <w:szCs w:val="21"/>
              </w:rPr>
            </w:pPr>
            <w:r>
              <w:rPr>
                <w:color w:val="FF0000"/>
                <w:szCs w:val="21"/>
              </w:rPr>
              <w:t>正常排放</w:t>
            </w:r>
          </w:p>
        </w:tc>
        <w:tc>
          <w:tcPr>
            <w:tcW w:w="1069" w:type="pct"/>
            <w:vAlign w:val="center"/>
          </w:tcPr>
          <w:p>
            <w:pPr>
              <w:adjustRightInd w:val="0"/>
              <w:snapToGrid w:val="0"/>
              <w:jc w:val="center"/>
              <w:rPr>
                <w:color w:val="FF0000"/>
                <w:szCs w:val="21"/>
              </w:rPr>
            </w:pPr>
            <w:r>
              <w:rPr>
                <w:rFonts w:hint="eastAsia"/>
                <w:color w:val="FF0000"/>
                <w:szCs w:val="21"/>
              </w:rPr>
              <w:t>排放去向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continue"/>
            <w:vAlign w:val="center"/>
          </w:tcPr>
          <w:p>
            <w:pPr>
              <w:adjustRightInd w:val="0"/>
              <w:snapToGrid w:val="0"/>
              <w:jc w:val="center"/>
              <w:rPr>
                <w:color w:val="FF0000"/>
              </w:rPr>
            </w:pPr>
          </w:p>
        </w:tc>
        <w:tc>
          <w:tcPr>
            <w:tcW w:w="581" w:type="pct"/>
            <w:vMerge w:val="continue"/>
            <w:vAlign w:val="center"/>
          </w:tcPr>
          <w:p>
            <w:pPr>
              <w:adjustRightInd w:val="0"/>
              <w:snapToGrid w:val="0"/>
              <w:jc w:val="center"/>
              <w:rPr>
                <w:color w:val="FF0000"/>
              </w:rPr>
            </w:pPr>
          </w:p>
        </w:tc>
        <w:tc>
          <w:tcPr>
            <w:tcW w:w="703" w:type="pct"/>
            <w:vAlign w:val="center"/>
          </w:tcPr>
          <w:p>
            <w:pPr>
              <w:adjustRightInd w:val="0"/>
              <w:snapToGrid w:val="0"/>
              <w:jc w:val="center"/>
              <w:rPr>
                <w:color w:val="FF0000"/>
                <w:szCs w:val="21"/>
              </w:rPr>
            </w:pPr>
            <w:r>
              <w:rPr>
                <w:color w:val="FF0000"/>
                <w:szCs w:val="21"/>
              </w:rPr>
              <w:t>浓度(mg/l)</w:t>
            </w:r>
          </w:p>
        </w:tc>
        <w:tc>
          <w:tcPr>
            <w:tcW w:w="856" w:type="pct"/>
            <w:vAlign w:val="center"/>
          </w:tcPr>
          <w:p>
            <w:pPr>
              <w:adjustRightInd w:val="0"/>
              <w:snapToGrid w:val="0"/>
              <w:jc w:val="center"/>
              <w:rPr>
                <w:color w:val="FF0000"/>
                <w:szCs w:val="21"/>
              </w:rPr>
            </w:pPr>
            <w:r>
              <w:rPr>
                <w:rFonts w:hint="eastAsia"/>
                <w:color w:val="FF0000"/>
                <w:szCs w:val="21"/>
              </w:rPr>
              <w:t>产生</w:t>
            </w:r>
            <w:r>
              <w:rPr>
                <w:color w:val="FF0000"/>
                <w:szCs w:val="21"/>
              </w:rPr>
              <w:t>量(kg/d)</w:t>
            </w:r>
          </w:p>
        </w:tc>
        <w:tc>
          <w:tcPr>
            <w:tcW w:w="514" w:type="pct"/>
            <w:vAlign w:val="center"/>
          </w:tcPr>
          <w:p>
            <w:pPr>
              <w:adjustRightInd w:val="0"/>
              <w:snapToGrid w:val="0"/>
              <w:jc w:val="center"/>
              <w:rPr>
                <w:color w:val="FF0000"/>
                <w:szCs w:val="21"/>
              </w:rPr>
            </w:pPr>
            <w:r>
              <w:rPr>
                <w:color w:val="FF0000"/>
                <w:szCs w:val="21"/>
              </w:rPr>
              <w:t>浓度(mg/l)</w:t>
            </w:r>
          </w:p>
        </w:tc>
        <w:tc>
          <w:tcPr>
            <w:tcW w:w="857" w:type="pct"/>
            <w:vAlign w:val="center"/>
          </w:tcPr>
          <w:p>
            <w:pPr>
              <w:adjustRightInd w:val="0"/>
              <w:snapToGrid w:val="0"/>
              <w:jc w:val="center"/>
              <w:rPr>
                <w:color w:val="FF0000"/>
                <w:szCs w:val="21"/>
              </w:rPr>
            </w:pPr>
            <w:r>
              <w:rPr>
                <w:color w:val="FF0000"/>
                <w:szCs w:val="21"/>
              </w:rPr>
              <w:t>排放量(kg/d)</w:t>
            </w:r>
          </w:p>
        </w:tc>
        <w:tc>
          <w:tcPr>
            <w:tcW w:w="1069" w:type="pct"/>
            <w:vMerge w:val="restart"/>
            <w:vAlign w:val="center"/>
          </w:tcPr>
          <w:p>
            <w:pPr>
              <w:adjustRightInd w:val="0"/>
              <w:snapToGrid w:val="0"/>
              <w:jc w:val="center"/>
              <w:rPr>
                <w:color w:val="FF0000"/>
                <w:szCs w:val="21"/>
              </w:rPr>
            </w:pPr>
            <w:r>
              <w:rPr>
                <w:rFonts w:hint="eastAsia"/>
                <w:color w:val="FF0000"/>
                <w:szCs w:val="21"/>
              </w:rPr>
              <w:t>回用于绿化、抑尘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restart"/>
            <w:vAlign w:val="center"/>
          </w:tcPr>
          <w:p>
            <w:pPr>
              <w:adjustRightInd w:val="0"/>
              <w:snapToGrid w:val="0"/>
              <w:jc w:val="center"/>
              <w:rPr>
                <w:color w:val="FF0000"/>
                <w:spacing w:val="-4"/>
                <w:szCs w:val="21"/>
              </w:rPr>
            </w:pPr>
            <w:r>
              <w:rPr>
                <w:color w:val="FF0000"/>
                <w:spacing w:val="-4"/>
                <w:szCs w:val="21"/>
              </w:rPr>
              <w:t>0.14m</w:t>
            </w:r>
            <w:r>
              <w:rPr>
                <w:color w:val="FF0000"/>
                <w:spacing w:val="-4"/>
                <w:szCs w:val="21"/>
                <w:vertAlign w:val="superscript"/>
              </w:rPr>
              <w:t>3</w:t>
            </w:r>
            <w:r>
              <w:rPr>
                <w:color w:val="FF0000"/>
                <w:spacing w:val="-4"/>
                <w:szCs w:val="21"/>
              </w:rPr>
              <w:t>/d</w:t>
            </w:r>
          </w:p>
        </w:tc>
        <w:tc>
          <w:tcPr>
            <w:tcW w:w="581" w:type="pct"/>
            <w:vAlign w:val="center"/>
          </w:tcPr>
          <w:p>
            <w:pPr>
              <w:adjustRightInd w:val="0"/>
              <w:snapToGrid w:val="0"/>
              <w:jc w:val="center"/>
              <w:rPr>
                <w:color w:val="FF0000"/>
                <w:spacing w:val="-4"/>
                <w:szCs w:val="21"/>
              </w:rPr>
            </w:pPr>
            <w:r>
              <w:rPr>
                <w:color w:val="FF0000"/>
                <w:spacing w:val="-4"/>
                <w:szCs w:val="21"/>
              </w:rPr>
              <w:t>COD</w:t>
            </w:r>
            <w:r>
              <w:rPr>
                <w:color w:val="FF0000"/>
                <w:spacing w:val="-4"/>
                <w:szCs w:val="21"/>
                <w:vertAlign w:val="subscript"/>
              </w:rPr>
              <w:t>Cr</w:t>
            </w:r>
          </w:p>
        </w:tc>
        <w:tc>
          <w:tcPr>
            <w:tcW w:w="703" w:type="pct"/>
            <w:vAlign w:val="center"/>
          </w:tcPr>
          <w:p>
            <w:pPr>
              <w:snapToGrid w:val="0"/>
              <w:jc w:val="center"/>
              <w:rPr>
                <w:color w:val="FF0000"/>
                <w:szCs w:val="21"/>
              </w:rPr>
            </w:pPr>
            <w:r>
              <w:rPr>
                <w:color w:val="FF0000"/>
                <w:szCs w:val="21"/>
              </w:rPr>
              <w:t>450</w:t>
            </w:r>
          </w:p>
        </w:tc>
        <w:tc>
          <w:tcPr>
            <w:tcW w:w="856" w:type="pct"/>
            <w:vAlign w:val="center"/>
          </w:tcPr>
          <w:p>
            <w:pPr>
              <w:snapToGrid w:val="0"/>
              <w:jc w:val="center"/>
              <w:rPr>
                <w:color w:val="FF0000"/>
                <w:szCs w:val="21"/>
              </w:rPr>
            </w:pPr>
            <w:r>
              <w:rPr>
                <w:color w:val="FF0000"/>
              </w:rPr>
              <w:t>0.063</w:t>
            </w:r>
          </w:p>
        </w:tc>
        <w:tc>
          <w:tcPr>
            <w:tcW w:w="514" w:type="pct"/>
            <w:vAlign w:val="center"/>
          </w:tcPr>
          <w:p>
            <w:pPr>
              <w:snapToGrid w:val="0"/>
              <w:jc w:val="center"/>
              <w:rPr>
                <w:color w:val="FF0000"/>
                <w:szCs w:val="21"/>
              </w:rPr>
            </w:pPr>
            <w:r>
              <w:rPr>
                <w:color w:val="FF0000"/>
                <w:szCs w:val="21"/>
              </w:rPr>
              <w:t>100</w:t>
            </w:r>
          </w:p>
        </w:tc>
        <w:tc>
          <w:tcPr>
            <w:tcW w:w="857" w:type="pct"/>
          </w:tcPr>
          <w:p>
            <w:pPr>
              <w:snapToGrid w:val="0"/>
              <w:jc w:val="center"/>
              <w:rPr>
                <w:color w:val="FF0000"/>
                <w:szCs w:val="21"/>
              </w:rPr>
            </w:pPr>
            <w:r>
              <w:rPr>
                <w:color w:val="FF0000"/>
              </w:rPr>
              <w:t>0.014</w:t>
            </w:r>
          </w:p>
        </w:tc>
        <w:tc>
          <w:tcPr>
            <w:tcW w:w="1069" w:type="pct"/>
            <w:vMerge w:val="continue"/>
          </w:tcPr>
          <w:p>
            <w:pPr>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continue"/>
            <w:vAlign w:val="center"/>
          </w:tcPr>
          <w:p>
            <w:pPr>
              <w:adjustRightInd w:val="0"/>
              <w:snapToGrid w:val="0"/>
              <w:jc w:val="center"/>
              <w:rPr>
                <w:color w:val="FF0000"/>
              </w:rPr>
            </w:pPr>
          </w:p>
        </w:tc>
        <w:tc>
          <w:tcPr>
            <w:tcW w:w="581" w:type="pct"/>
            <w:vAlign w:val="center"/>
          </w:tcPr>
          <w:p>
            <w:pPr>
              <w:adjustRightInd w:val="0"/>
              <w:snapToGrid w:val="0"/>
              <w:jc w:val="center"/>
              <w:rPr>
                <w:color w:val="FF0000"/>
                <w:spacing w:val="-4"/>
                <w:szCs w:val="21"/>
              </w:rPr>
            </w:pPr>
            <w:r>
              <w:rPr>
                <w:color w:val="FF0000"/>
                <w:spacing w:val="-4"/>
                <w:szCs w:val="21"/>
              </w:rPr>
              <w:t>BOD</w:t>
            </w:r>
            <w:r>
              <w:rPr>
                <w:color w:val="FF0000"/>
                <w:spacing w:val="-4"/>
                <w:szCs w:val="21"/>
                <w:vertAlign w:val="subscript"/>
              </w:rPr>
              <w:t>5</w:t>
            </w:r>
          </w:p>
        </w:tc>
        <w:tc>
          <w:tcPr>
            <w:tcW w:w="703" w:type="pct"/>
            <w:vAlign w:val="center"/>
          </w:tcPr>
          <w:p>
            <w:pPr>
              <w:snapToGrid w:val="0"/>
              <w:jc w:val="center"/>
              <w:rPr>
                <w:color w:val="FF0000"/>
                <w:szCs w:val="21"/>
              </w:rPr>
            </w:pPr>
            <w:r>
              <w:rPr>
                <w:color w:val="FF0000"/>
                <w:szCs w:val="21"/>
              </w:rPr>
              <w:t>250</w:t>
            </w:r>
          </w:p>
        </w:tc>
        <w:tc>
          <w:tcPr>
            <w:tcW w:w="856" w:type="pct"/>
            <w:vAlign w:val="center"/>
          </w:tcPr>
          <w:p>
            <w:pPr>
              <w:snapToGrid w:val="0"/>
              <w:jc w:val="center"/>
              <w:rPr>
                <w:color w:val="FF0000"/>
                <w:szCs w:val="21"/>
              </w:rPr>
            </w:pPr>
            <w:r>
              <w:rPr>
                <w:color w:val="FF0000"/>
              </w:rPr>
              <w:t>0.035</w:t>
            </w:r>
          </w:p>
        </w:tc>
        <w:tc>
          <w:tcPr>
            <w:tcW w:w="514" w:type="pct"/>
            <w:vAlign w:val="center"/>
          </w:tcPr>
          <w:p>
            <w:pPr>
              <w:snapToGrid w:val="0"/>
              <w:jc w:val="center"/>
              <w:rPr>
                <w:color w:val="FF0000"/>
                <w:szCs w:val="21"/>
              </w:rPr>
            </w:pPr>
            <w:r>
              <w:rPr>
                <w:color w:val="FF0000"/>
                <w:szCs w:val="21"/>
              </w:rPr>
              <w:t>10</w:t>
            </w:r>
          </w:p>
        </w:tc>
        <w:tc>
          <w:tcPr>
            <w:tcW w:w="857" w:type="pct"/>
          </w:tcPr>
          <w:p>
            <w:pPr>
              <w:snapToGrid w:val="0"/>
              <w:jc w:val="center"/>
              <w:rPr>
                <w:color w:val="FF0000"/>
                <w:szCs w:val="21"/>
              </w:rPr>
            </w:pPr>
            <w:r>
              <w:rPr>
                <w:color w:val="FF0000"/>
              </w:rPr>
              <w:t>0.0014</w:t>
            </w:r>
          </w:p>
        </w:tc>
        <w:tc>
          <w:tcPr>
            <w:tcW w:w="1069" w:type="pct"/>
            <w:vMerge w:val="continue"/>
          </w:tcPr>
          <w:p>
            <w:pPr>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continue"/>
            <w:vAlign w:val="center"/>
          </w:tcPr>
          <w:p>
            <w:pPr>
              <w:adjustRightInd w:val="0"/>
              <w:snapToGrid w:val="0"/>
              <w:jc w:val="center"/>
              <w:rPr>
                <w:color w:val="FF0000"/>
              </w:rPr>
            </w:pPr>
          </w:p>
        </w:tc>
        <w:tc>
          <w:tcPr>
            <w:tcW w:w="581" w:type="pct"/>
            <w:vAlign w:val="center"/>
          </w:tcPr>
          <w:p>
            <w:pPr>
              <w:adjustRightInd w:val="0"/>
              <w:snapToGrid w:val="0"/>
              <w:jc w:val="center"/>
              <w:rPr>
                <w:color w:val="FF0000"/>
                <w:spacing w:val="-4"/>
                <w:szCs w:val="21"/>
              </w:rPr>
            </w:pPr>
            <w:r>
              <w:rPr>
                <w:color w:val="FF0000"/>
                <w:spacing w:val="-4"/>
                <w:szCs w:val="21"/>
              </w:rPr>
              <w:t>SS</w:t>
            </w:r>
          </w:p>
        </w:tc>
        <w:tc>
          <w:tcPr>
            <w:tcW w:w="703" w:type="pct"/>
            <w:vAlign w:val="center"/>
          </w:tcPr>
          <w:p>
            <w:pPr>
              <w:snapToGrid w:val="0"/>
              <w:jc w:val="center"/>
              <w:rPr>
                <w:color w:val="FF0000"/>
                <w:szCs w:val="21"/>
              </w:rPr>
            </w:pPr>
            <w:r>
              <w:rPr>
                <w:color w:val="FF0000"/>
                <w:szCs w:val="21"/>
              </w:rPr>
              <w:t>300</w:t>
            </w:r>
          </w:p>
        </w:tc>
        <w:tc>
          <w:tcPr>
            <w:tcW w:w="856" w:type="pct"/>
            <w:vAlign w:val="center"/>
          </w:tcPr>
          <w:p>
            <w:pPr>
              <w:snapToGrid w:val="0"/>
              <w:jc w:val="center"/>
              <w:rPr>
                <w:color w:val="FF0000"/>
                <w:szCs w:val="21"/>
              </w:rPr>
            </w:pPr>
            <w:r>
              <w:rPr>
                <w:color w:val="FF0000"/>
              </w:rPr>
              <w:t>0.042</w:t>
            </w:r>
          </w:p>
        </w:tc>
        <w:tc>
          <w:tcPr>
            <w:tcW w:w="514" w:type="pct"/>
            <w:vAlign w:val="center"/>
          </w:tcPr>
          <w:p>
            <w:pPr>
              <w:snapToGrid w:val="0"/>
              <w:jc w:val="center"/>
              <w:rPr>
                <w:color w:val="FF0000"/>
                <w:szCs w:val="21"/>
              </w:rPr>
            </w:pPr>
            <w:r>
              <w:rPr>
                <w:color w:val="FF0000"/>
                <w:szCs w:val="21"/>
              </w:rPr>
              <w:t>30</w:t>
            </w:r>
          </w:p>
        </w:tc>
        <w:tc>
          <w:tcPr>
            <w:tcW w:w="857" w:type="pct"/>
          </w:tcPr>
          <w:p>
            <w:pPr>
              <w:snapToGrid w:val="0"/>
              <w:jc w:val="center"/>
              <w:rPr>
                <w:color w:val="FF0000"/>
                <w:szCs w:val="21"/>
              </w:rPr>
            </w:pPr>
            <w:r>
              <w:rPr>
                <w:color w:val="FF0000"/>
              </w:rPr>
              <w:t>0.0042</w:t>
            </w:r>
          </w:p>
        </w:tc>
        <w:tc>
          <w:tcPr>
            <w:tcW w:w="1069" w:type="pct"/>
            <w:vMerge w:val="continue"/>
          </w:tcPr>
          <w:p>
            <w:pPr>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rPr>
        <w:tc>
          <w:tcPr>
            <w:tcW w:w="419" w:type="pct"/>
            <w:vMerge w:val="continue"/>
            <w:vAlign w:val="center"/>
          </w:tcPr>
          <w:p>
            <w:pPr>
              <w:adjustRightInd w:val="0"/>
              <w:snapToGrid w:val="0"/>
              <w:jc w:val="center"/>
              <w:rPr>
                <w:color w:val="FF0000"/>
              </w:rPr>
            </w:pPr>
          </w:p>
        </w:tc>
        <w:tc>
          <w:tcPr>
            <w:tcW w:w="581" w:type="pct"/>
            <w:vAlign w:val="center"/>
          </w:tcPr>
          <w:p>
            <w:pPr>
              <w:adjustRightInd w:val="0"/>
              <w:snapToGrid w:val="0"/>
              <w:jc w:val="center"/>
              <w:rPr>
                <w:color w:val="FF0000"/>
                <w:spacing w:val="-4"/>
                <w:szCs w:val="21"/>
              </w:rPr>
            </w:pPr>
            <w:r>
              <w:rPr>
                <w:color w:val="FF0000"/>
                <w:spacing w:val="-4"/>
                <w:szCs w:val="21"/>
              </w:rPr>
              <w:t>NH</w:t>
            </w:r>
            <w:r>
              <w:rPr>
                <w:color w:val="FF0000"/>
                <w:spacing w:val="-4"/>
                <w:szCs w:val="21"/>
                <w:vertAlign w:val="subscript"/>
              </w:rPr>
              <w:t>3</w:t>
            </w:r>
            <w:r>
              <w:rPr>
                <w:color w:val="FF0000"/>
                <w:spacing w:val="-4"/>
                <w:szCs w:val="21"/>
              </w:rPr>
              <w:t>-N</w:t>
            </w:r>
          </w:p>
        </w:tc>
        <w:tc>
          <w:tcPr>
            <w:tcW w:w="703" w:type="pct"/>
            <w:vAlign w:val="center"/>
          </w:tcPr>
          <w:p>
            <w:pPr>
              <w:snapToGrid w:val="0"/>
              <w:jc w:val="center"/>
              <w:rPr>
                <w:color w:val="FF0000"/>
                <w:szCs w:val="21"/>
              </w:rPr>
            </w:pPr>
            <w:r>
              <w:rPr>
                <w:color w:val="FF0000"/>
                <w:szCs w:val="21"/>
              </w:rPr>
              <w:t>25</w:t>
            </w:r>
          </w:p>
        </w:tc>
        <w:tc>
          <w:tcPr>
            <w:tcW w:w="856" w:type="pct"/>
            <w:vAlign w:val="center"/>
          </w:tcPr>
          <w:p>
            <w:pPr>
              <w:snapToGrid w:val="0"/>
              <w:jc w:val="center"/>
              <w:rPr>
                <w:color w:val="FF0000"/>
                <w:szCs w:val="21"/>
              </w:rPr>
            </w:pPr>
            <w:r>
              <w:rPr>
                <w:color w:val="FF0000"/>
              </w:rPr>
              <w:t>0.0035</w:t>
            </w:r>
          </w:p>
        </w:tc>
        <w:tc>
          <w:tcPr>
            <w:tcW w:w="514" w:type="pct"/>
            <w:vAlign w:val="center"/>
          </w:tcPr>
          <w:p>
            <w:pPr>
              <w:snapToGrid w:val="0"/>
              <w:jc w:val="center"/>
              <w:rPr>
                <w:color w:val="FF0000"/>
                <w:szCs w:val="21"/>
              </w:rPr>
            </w:pPr>
            <w:r>
              <w:rPr>
                <w:color w:val="FF0000"/>
                <w:szCs w:val="21"/>
              </w:rPr>
              <w:t>8</w:t>
            </w:r>
          </w:p>
        </w:tc>
        <w:tc>
          <w:tcPr>
            <w:tcW w:w="857" w:type="pct"/>
          </w:tcPr>
          <w:p>
            <w:pPr>
              <w:snapToGrid w:val="0"/>
              <w:jc w:val="center"/>
              <w:rPr>
                <w:color w:val="FF0000"/>
                <w:szCs w:val="21"/>
              </w:rPr>
            </w:pPr>
            <w:r>
              <w:rPr>
                <w:color w:val="FF0000"/>
              </w:rPr>
              <w:t>0.00112</w:t>
            </w:r>
          </w:p>
        </w:tc>
        <w:tc>
          <w:tcPr>
            <w:tcW w:w="1069" w:type="pct"/>
            <w:vMerge w:val="continue"/>
          </w:tcPr>
          <w:p>
            <w:pPr>
              <w:snapToGrid w:val="0"/>
              <w:jc w:val="center"/>
              <w:rPr>
                <w:color w:val="FF0000"/>
              </w:rPr>
            </w:pPr>
          </w:p>
        </w:tc>
      </w:tr>
    </w:tbl>
    <w:p>
      <w:pPr>
        <w:adjustRightInd w:val="0"/>
        <w:snapToGrid w:val="0"/>
        <w:spacing w:before="156" w:beforeLines="50" w:line="360" w:lineRule="auto"/>
        <w:ind w:firstLine="480" w:firstLineChars="200"/>
        <w:rPr>
          <w:color w:val="FF0000"/>
          <w:sz w:val="24"/>
        </w:rPr>
      </w:pPr>
      <w:r>
        <w:rPr>
          <w:rFonts w:hint="eastAsia"/>
          <w:color w:val="FF0000"/>
          <w:sz w:val="24"/>
        </w:rPr>
        <w:t>3、反渗透膜冲洗废水</w:t>
      </w:r>
    </w:p>
    <w:p>
      <w:pPr>
        <w:adjustRightInd w:val="0"/>
        <w:snapToGrid w:val="0"/>
        <w:spacing w:line="360" w:lineRule="auto"/>
        <w:ind w:firstLine="480" w:firstLineChars="200"/>
        <w:rPr>
          <w:color w:val="FF0000"/>
          <w:sz w:val="24"/>
        </w:rPr>
      </w:pPr>
      <w:r>
        <w:rPr>
          <w:rFonts w:hint="eastAsia"/>
          <w:color w:val="FF0000"/>
          <w:sz w:val="24"/>
        </w:rPr>
        <w:t>项目反渗透膜冲洗废水产生量约</w:t>
      </w:r>
      <w:r>
        <w:rPr>
          <w:color w:val="FF0000"/>
          <w:sz w:val="24"/>
        </w:rPr>
        <w:t>0.1m</w:t>
      </w:r>
      <w:r>
        <w:rPr>
          <w:color w:val="FF0000"/>
          <w:sz w:val="24"/>
          <w:vertAlign w:val="superscript"/>
        </w:rPr>
        <w:t>3</w:t>
      </w:r>
      <w:r>
        <w:rPr>
          <w:color w:val="FF0000"/>
          <w:sz w:val="24"/>
        </w:rPr>
        <w:t>/d</w:t>
      </w:r>
      <w:r>
        <w:rPr>
          <w:rFonts w:hint="eastAsia"/>
          <w:color w:val="FF0000"/>
          <w:sz w:val="24"/>
        </w:rPr>
        <w:t>（</w:t>
      </w:r>
      <w:r>
        <w:rPr>
          <w:color w:val="FF0000"/>
          <w:sz w:val="24"/>
        </w:rPr>
        <w:t>36.5m</w:t>
      </w:r>
      <w:r>
        <w:rPr>
          <w:color w:val="FF0000"/>
          <w:sz w:val="24"/>
          <w:vertAlign w:val="superscript"/>
        </w:rPr>
        <w:t>3</w:t>
      </w:r>
      <w:r>
        <w:rPr>
          <w:color w:val="FF0000"/>
          <w:sz w:val="24"/>
        </w:rPr>
        <w:t>/a</w:t>
      </w:r>
      <w:r>
        <w:rPr>
          <w:rFonts w:hint="eastAsia"/>
          <w:color w:val="FF0000"/>
          <w:sz w:val="24"/>
        </w:rPr>
        <w:t>），水质较渗滤液水质各指标较低，进入渗滤液处理站处理，废水处理达标符合要求后用于绿化、填埋场洒水抑尘。</w:t>
      </w:r>
    </w:p>
    <w:p>
      <w:pPr>
        <w:adjustRightInd w:val="0"/>
        <w:snapToGrid w:val="0"/>
        <w:spacing w:line="360" w:lineRule="auto"/>
        <w:ind w:firstLine="480" w:firstLineChars="200"/>
        <w:rPr>
          <w:sz w:val="24"/>
        </w:rPr>
      </w:pPr>
      <w:r>
        <w:rPr>
          <w:sz w:val="24"/>
        </w:rPr>
        <w:t>综上所述，项目建设后水污染物产生及排放量见表3.2-12。</w:t>
      </w:r>
    </w:p>
    <w:p>
      <w:pPr>
        <w:pStyle w:val="44"/>
        <w:kinsoku w:val="0"/>
        <w:overflowPunct w:val="0"/>
        <w:autoSpaceDE w:val="0"/>
        <w:autoSpaceDN w:val="0"/>
        <w:adjustRightInd w:val="0"/>
        <w:snapToGrid w:val="0"/>
        <w:spacing w:line="240" w:lineRule="auto"/>
        <w:ind w:firstLine="361" w:firstLineChars="150"/>
        <w:jc w:val="center"/>
        <w:rPr>
          <w:rFonts w:cs="Times New Roman"/>
          <w:b/>
          <w:szCs w:val="24"/>
        </w:rPr>
      </w:pPr>
      <w:r>
        <w:rPr>
          <w:rFonts w:cs="Times New Roman"/>
          <w:b/>
          <w:szCs w:val="24"/>
        </w:rPr>
        <w:t>表3.2-12  本项目废水排放情况一览表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2268"/>
        <w:gridCol w:w="1134"/>
        <w:gridCol w:w="36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1"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sz w:val="21"/>
              </w:rPr>
              <w:t>污染源名称</w:t>
            </w:r>
          </w:p>
        </w:tc>
        <w:tc>
          <w:tcPr>
            <w:tcW w:w="2268"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主要成分</w:t>
            </w:r>
          </w:p>
        </w:tc>
        <w:tc>
          <w:tcPr>
            <w:tcW w:w="1134"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产生量（</w:t>
            </w:r>
            <w:r>
              <w:rPr>
                <w:sz w:val="21"/>
              </w:rPr>
              <w:t>m</w:t>
            </w:r>
            <w:r>
              <w:rPr>
                <w:sz w:val="21"/>
                <w:vertAlign w:val="superscript"/>
              </w:rPr>
              <w:t>3</w:t>
            </w:r>
            <w:r>
              <w:rPr>
                <w:sz w:val="21"/>
              </w:rPr>
              <w:t>/a</w:t>
            </w:r>
            <w:r>
              <w:rPr>
                <w:rFonts w:hint="eastAsia"/>
                <w:sz w:val="21"/>
              </w:rPr>
              <w:t>）</w:t>
            </w:r>
          </w:p>
        </w:tc>
        <w:tc>
          <w:tcPr>
            <w:tcW w:w="3613"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最终去向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1261" w:type="dxa"/>
            <w:vAlign w:val="center"/>
          </w:tcPr>
          <w:p>
            <w:pPr>
              <w:pStyle w:val="44"/>
              <w:kinsoku w:val="0"/>
              <w:overflowPunct w:val="0"/>
              <w:autoSpaceDE w:val="0"/>
              <w:autoSpaceDN w:val="0"/>
              <w:adjustRightInd w:val="0"/>
              <w:snapToGrid w:val="0"/>
              <w:spacing w:line="240" w:lineRule="auto"/>
              <w:ind w:firstLine="0" w:firstLineChars="0"/>
              <w:jc w:val="center"/>
              <w:rPr>
                <w:sz w:val="21"/>
              </w:rPr>
            </w:pPr>
            <w:r>
              <w:rPr>
                <w:sz w:val="21"/>
              </w:rPr>
              <w:t>垃圾渗滤液</w:t>
            </w:r>
          </w:p>
        </w:tc>
        <w:tc>
          <w:tcPr>
            <w:tcW w:w="2268" w:type="dxa"/>
            <w:vAlign w:val="center"/>
          </w:tcPr>
          <w:p>
            <w:pPr>
              <w:pStyle w:val="44"/>
              <w:kinsoku w:val="0"/>
              <w:overflowPunct w:val="0"/>
              <w:autoSpaceDE w:val="0"/>
              <w:autoSpaceDN w:val="0"/>
              <w:adjustRightInd w:val="0"/>
              <w:snapToGrid w:val="0"/>
              <w:spacing w:line="240" w:lineRule="auto"/>
              <w:ind w:firstLine="0" w:firstLineChars="0"/>
              <w:rPr>
                <w:rFonts w:cs="Times New Roman"/>
                <w:sz w:val="21"/>
              </w:rPr>
            </w:pPr>
            <w:r>
              <w:rPr>
                <w:rFonts w:cs="Times New Roman"/>
                <w:sz w:val="21"/>
              </w:rPr>
              <w:t>COD</w:t>
            </w:r>
            <w:r>
              <w:rPr>
                <w:rFonts w:hint="eastAsia" w:cs="Times New Roman"/>
                <w:sz w:val="21"/>
              </w:rPr>
              <w:t>、</w:t>
            </w:r>
            <w:r>
              <w:rPr>
                <w:rFonts w:cs="Times New Roman"/>
                <w:sz w:val="21"/>
              </w:rPr>
              <w:t>BOD</w:t>
            </w:r>
            <w:r>
              <w:rPr>
                <w:rFonts w:cs="Times New Roman"/>
                <w:sz w:val="21"/>
                <w:vertAlign w:val="subscript"/>
              </w:rPr>
              <w:t>5</w:t>
            </w:r>
            <w:r>
              <w:rPr>
                <w:rFonts w:hint="eastAsia" w:cs="Times New Roman"/>
                <w:sz w:val="21"/>
              </w:rPr>
              <w:t>、</w:t>
            </w:r>
            <w:r>
              <w:rPr>
                <w:rFonts w:cs="Times New Roman"/>
                <w:sz w:val="21"/>
              </w:rPr>
              <w:t>SS</w:t>
            </w:r>
            <w:r>
              <w:rPr>
                <w:rFonts w:hint="eastAsia" w:cs="Times New Roman"/>
                <w:sz w:val="21"/>
              </w:rPr>
              <w:t>、氨氮等</w:t>
            </w:r>
          </w:p>
        </w:tc>
        <w:tc>
          <w:tcPr>
            <w:tcW w:w="1134"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438</w:t>
            </w:r>
          </w:p>
        </w:tc>
        <w:tc>
          <w:tcPr>
            <w:tcW w:w="3613" w:type="dxa"/>
            <w:vMerge w:val="restart"/>
            <w:vAlign w:val="center"/>
          </w:tcPr>
          <w:p>
            <w:pPr>
              <w:pStyle w:val="44"/>
              <w:kinsoku w:val="0"/>
              <w:overflowPunct w:val="0"/>
              <w:autoSpaceDE w:val="0"/>
              <w:autoSpaceDN w:val="0"/>
              <w:adjustRightInd w:val="0"/>
              <w:snapToGrid w:val="0"/>
              <w:spacing w:line="240" w:lineRule="auto"/>
              <w:ind w:firstLine="420"/>
              <w:jc w:val="center"/>
              <w:rPr>
                <w:rFonts w:cs="Times New Roman"/>
                <w:sz w:val="21"/>
              </w:rPr>
            </w:pPr>
            <w:r>
              <w:rPr>
                <w:rFonts w:hint="eastAsia" w:ascii="宋体" w:cs="宋体"/>
                <w:kern w:val="0"/>
                <w:sz w:val="21"/>
              </w:rPr>
              <w:t>去渗滤液处理站处理后水质满足</w:t>
            </w:r>
            <w:r>
              <w:rPr>
                <w:sz w:val="21"/>
              </w:rPr>
              <w:t>《生活垃圾填埋场污染控制标准》（GB16889-2008）表2标准</w:t>
            </w:r>
            <w:r>
              <w:rPr>
                <w:rFonts w:hint="eastAsia"/>
                <w:sz w:val="21"/>
              </w:rPr>
              <w:t>及《城市污水再生利用城市杂用水水质》（GB/T18920-2020）水质要求，用于绿化、填埋场洒水抑尘</w:t>
            </w:r>
            <w:r>
              <w:rPr>
                <w:sz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1261" w:type="dxa"/>
            <w:vAlign w:val="center"/>
          </w:tcPr>
          <w:p>
            <w:pPr>
              <w:pStyle w:val="44"/>
              <w:kinsoku w:val="0"/>
              <w:overflowPunct w:val="0"/>
              <w:autoSpaceDE w:val="0"/>
              <w:autoSpaceDN w:val="0"/>
              <w:adjustRightInd w:val="0"/>
              <w:snapToGrid w:val="0"/>
              <w:spacing w:line="240" w:lineRule="auto"/>
              <w:ind w:firstLine="0" w:firstLineChars="0"/>
              <w:jc w:val="center"/>
              <w:rPr>
                <w:sz w:val="21"/>
              </w:rPr>
            </w:pPr>
            <w:r>
              <w:rPr>
                <w:sz w:val="21"/>
              </w:rPr>
              <w:t>生活污水</w:t>
            </w:r>
          </w:p>
        </w:tc>
        <w:tc>
          <w:tcPr>
            <w:tcW w:w="2268"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COD</w:t>
            </w:r>
            <w:r>
              <w:rPr>
                <w:rFonts w:hint="eastAsia" w:cs="Times New Roman"/>
                <w:sz w:val="21"/>
              </w:rPr>
              <w:t>、</w:t>
            </w:r>
            <w:r>
              <w:rPr>
                <w:rFonts w:cs="Times New Roman"/>
                <w:sz w:val="21"/>
              </w:rPr>
              <w:t>BOD</w:t>
            </w:r>
            <w:r>
              <w:rPr>
                <w:rFonts w:cs="Times New Roman"/>
                <w:sz w:val="21"/>
                <w:vertAlign w:val="subscript"/>
              </w:rPr>
              <w:t>5</w:t>
            </w:r>
            <w:r>
              <w:rPr>
                <w:rFonts w:hint="eastAsia" w:cs="Times New Roman"/>
                <w:sz w:val="21"/>
              </w:rPr>
              <w:t>、</w:t>
            </w:r>
            <w:r>
              <w:rPr>
                <w:rFonts w:cs="Times New Roman"/>
                <w:sz w:val="21"/>
              </w:rPr>
              <w:t>SS</w:t>
            </w:r>
            <w:r>
              <w:rPr>
                <w:rFonts w:hint="eastAsia" w:cs="Times New Roman"/>
                <w:sz w:val="21"/>
              </w:rPr>
              <w:t>、氨氮等</w:t>
            </w:r>
          </w:p>
        </w:tc>
        <w:tc>
          <w:tcPr>
            <w:tcW w:w="1134"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5</w:t>
            </w:r>
            <w:r>
              <w:rPr>
                <w:rFonts w:cs="Times New Roman"/>
                <w:sz w:val="21"/>
              </w:rPr>
              <w:t>2</w:t>
            </w:r>
          </w:p>
        </w:tc>
        <w:tc>
          <w:tcPr>
            <w:tcW w:w="3613" w:type="dxa"/>
            <w:vMerge w:val="continue"/>
            <w:vAlign w:val="center"/>
          </w:tcPr>
          <w:p>
            <w:pPr>
              <w:pStyle w:val="44"/>
              <w:kinsoku w:val="0"/>
              <w:overflowPunct w:val="0"/>
              <w:autoSpaceDE w:val="0"/>
              <w:autoSpaceDN w:val="0"/>
              <w:adjustRightInd w:val="0"/>
              <w:snapToGrid w:val="0"/>
              <w:spacing w:line="240" w:lineRule="auto"/>
              <w:ind w:firstLine="420"/>
              <w:jc w:val="center"/>
              <w:rPr>
                <w:rFonts w:cs="Times New Roman"/>
                <w:sz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1" w:type="dxa"/>
            <w:vAlign w:val="center"/>
          </w:tcPr>
          <w:p>
            <w:pPr>
              <w:pStyle w:val="44"/>
              <w:kinsoku w:val="0"/>
              <w:overflowPunct w:val="0"/>
              <w:autoSpaceDE w:val="0"/>
              <w:autoSpaceDN w:val="0"/>
              <w:adjustRightInd w:val="0"/>
              <w:snapToGrid w:val="0"/>
              <w:spacing w:line="240" w:lineRule="auto"/>
              <w:ind w:firstLine="0" w:firstLineChars="0"/>
              <w:jc w:val="center"/>
              <w:rPr>
                <w:sz w:val="21"/>
              </w:rPr>
            </w:pPr>
            <w:r>
              <w:rPr>
                <w:rFonts w:hint="eastAsia"/>
                <w:sz w:val="21"/>
              </w:rPr>
              <w:t>反渗透膜冲洗废水</w:t>
            </w:r>
          </w:p>
        </w:tc>
        <w:tc>
          <w:tcPr>
            <w:tcW w:w="2268"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cs="Times New Roman"/>
                <w:sz w:val="21"/>
              </w:rPr>
              <w:t>COD</w:t>
            </w:r>
            <w:r>
              <w:rPr>
                <w:rFonts w:hint="eastAsia" w:cs="Times New Roman"/>
                <w:sz w:val="21"/>
              </w:rPr>
              <w:t>、</w:t>
            </w:r>
            <w:r>
              <w:rPr>
                <w:rFonts w:cs="Times New Roman"/>
                <w:sz w:val="21"/>
              </w:rPr>
              <w:t>BOD</w:t>
            </w:r>
            <w:r>
              <w:rPr>
                <w:rFonts w:cs="Times New Roman"/>
                <w:sz w:val="21"/>
                <w:vertAlign w:val="subscript"/>
              </w:rPr>
              <w:t>5</w:t>
            </w:r>
            <w:r>
              <w:rPr>
                <w:rFonts w:hint="eastAsia" w:cs="Times New Roman"/>
                <w:sz w:val="21"/>
              </w:rPr>
              <w:t>、</w:t>
            </w:r>
            <w:r>
              <w:rPr>
                <w:rFonts w:cs="Times New Roman"/>
                <w:sz w:val="21"/>
              </w:rPr>
              <w:t>SS</w:t>
            </w:r>
            <w:r>
              <w:rPr>
                <w:rFonts w:hint="eastAsia" w:cs="Times New Roman"/>
                <w:sz w:val="21"/>
              </w:rPr>
              <w:t>、氨氮等</w:t>
            </w:r>
          </w:p>
        </w:tc>
        <w:tc>
          <w:tcPr>
            <w:tcW w:w="1134" w:type="dxa"/>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r>
              <w:rPr>
                <w:rFonts w:hint="eastAsia" w:cs="Times New Roman"/>
                <w:sz w:val="21"/>
              </w:rPr>
              <w:t>3</w:t>
            </w:r>
            <w:r>
              <w:rPr>
                <w:rFonts w:cs="Times New Roman"/>
                <w:sz w:val="21"/>
              </w:rPr>
              <w:t>6.5</w:t>
            </w:r>
          </w:p>
        </w:tc>
        <w:tc>
          <w:tcPr>
            <w:tcW w:w="3613" w:type="dxa"/>
            <w:vMerge w:val="continue"/>
            <w:vAlign w:val="center"/>
          </w:tcPr>
          <w:p>
            <w:pPr>
              <w:pStyle w:val="44"/>
              <w:kinsoku w:val="0"/>
              <w:overflowPunct w:val="0"/>
              <w:autoSpaceDE w:val="0"/>
              <w:autoSpaceDN w:val="0"/>
              <w:adjustRightInd w:val="0"/>
              <w:snapToGrid w:val="0"/>
              <w:spacing w:line="240" w:lineRule="auto"/>
              <w:ind w:firstLine="0" w:firstLineChars="0"/>
              <w:jc w:val="center"/>
              <w:rPr>
                <w:rFonts w:cs="Times New Roman"/>
                <w:sz w:val="21"/>
              </w:rPr>
            </w:pPr>
          </w:p>
        </w:tc>
      </w:tr>
    </w:tbl>
    <w:p>
      <w:pPr>
        <w:spacing w:line="360" w:lineRule="auto"/>
        <w:outlineLvl w:val="3"/>
        <w:rPr>
          <w:b/>
          <w:sz w:val="24"/>
        </w:rPr>
      </w:pPr>
      <w:bookmarkStart w:id="192" w:name="_Toc347089958"/>
      <w:bookmarkStart w:id="193" w:name="_Toc407443823"/>
      <w:r>
        <w:rPr>
          <w:b/>
          <w:sz w:val="24"/>
        </w:rPr>
        <w:t>3.2.4.</w:t>
      </w:r>
      <w:bookmarkEnd w:id="192"/>
      <w:bookmarkEnd w:id="193"/>
      <w:r>
        <w:rPr>
          <w:b/>
          <w:sz w:val="24"/>
        </w:rPr>
        <w:t>3固体废物污染源分析</w:t>
      </w:r>
    </w:p>
    <w:p>
      <w:pPr>
        <w:tabs>
          <w:tab w:val="left" w:pos="1320"/>
        </w:tabs>
        <w:spacing w:line="360" w:lineRule="auto"/>
        <w:ind w:firstLine="480" w:firstLineChars="200"/>
        <w:rPr>
          <w:sz w:val="24"/>
        </w:rPr>
      </w:pPr>
      <w:r>
        <w:rPr>
          <w:rFonts w:hint="eastAsia"/>
          <w:sz w:val="24"/>
        </w:rPr>
        <w:t>（1）污泥</w:t>
      </w:r>
    </w:p>
    <w:p>
      <w:pPr>
        <w:autoSpaceDE w:val="0"/>
        <w:autoSpaceDN w:val="0"/>
        <w:adjustRightInd w:val="0"/>
        <w:snapToGrid w:val="0"/>
        <w:spacing w:line="360" w:lineRule="auto"/>
        <w:ind w:firstLine="480" w:firstLineChars="200"/>
        <w:jc w:val="left"/>
        <w:rPr>
          <w:kern w:val="0"/>
          <w:sz w:val="24"/>
        </w:rPr>
      </w:pPr>
      <w:r>
        <w:rPr>
          <w:sz w:val="24"/>
        </w:rPr>
        <w:t>项目渗滤液调节池会产生污泥，</w:t>
      </w:r>
      <w:r>
        <w:rPr>
          <w:rFonts w:hint="eastAsia"/>
          <w:sz w:val="24"/>
        </w:rPr>
        <w:t>产生量约0</w:t>
      </w:r>
      <w:r>
        <w:rPr>
          <w:sz w:val="24"/>
        </w:rPr>
        <w:t>.05t/d</w:t>
      </w:r>
      <w:r>
        <w:rPr>
          <w:rFonts w:hint="eastAsia"/>
          <w:sz w:val="24"/>
        </w:rPr>
        <w:t>（1</w:t>
      </w:r>
      <w:r>
        <w:rPr>
          <w:sz w:val="24"/>
        </w:rPr>
        <w:t>8.25 t/a</w:t>
      </w:r>
      <w:r>
        <w:rPr>
          <w:rFonts w:hint="eastAsia"/>
          <w:sz w:val="24"/>
        </w:rPr>
        <w:t>），</w:t>
      </w:r>
      <w:r>
        <w:rPr>
          <w:kern w:val="0"/>
          <w:sz w:val="24"/>
        </w:rPr>
        <w:t>根据《生活垃圾卫生填埋处理技术规范》（GB50869-2013）及《生活垃圾填埋场污染控制标准》（GB16889-2008），渗滤液调节池产生的污泥经压滤机压滤后，含水率＜60%，直接送入本项目生活垃圾填埋场进行填埋处理。</w:t>
      </w:r>
    </w:p>
    <w:p>
      <w:pPr>
        <w:tabs>
          <w:tab w:val="left" w:pos="1320"/>
        </w:tabs>
        <w:spacing w:line="360" w:lineRule="auto"/>
        <w:ind w:firstLine="480" w:firstLineChars="200"/>
        <w:rPr>
          <w:sz w:val="24"/>
        </w:rPr>
      </w:pPr>
      <w:r>
        <w:rPr>
          <w:rFonts w:hint="eastAsia"/>
          <w:sz w:val="24"/>
        </w:rPr>
        <w:t>（2）生活垃圾</w:t>
      </w:r>
    </w:p>
    <w:p>
      <w:pPr>
        <w:tabs>
          <w:tab w:val="left" w:pos="1320"/>
        </w:tabs>
        <w:spacing w:line="360" w:lineRule="auto"/>
        <w:ind w:firstLine="480" w:firstLineChars="200"/>
        <w:rPr>
          <w:sz w:val="24"/>
        </w:rPr>
      </w:pPr>
      <w:r>
        <w:rPr>
          <w:sz w:val="24"/>
        </w:rPr>
        <w:t>固废为填埋场工作人员产生的生活垃圾</w:t>
      </w:r>
      <w:r>
        <w:rPr>
          <w:rFonts w:hint="eastAsia"/>
          <w:sz w:val="24"/>
        </w:rPr>
        <w:t>，</w:t>
      </w:r>
      <w:r>
        <w:rPr>
          <w:sz w:val="24"/>
        </w:rPr>
        <w:t>人员3人，产生量0.37t/a（1kg/d）。经场区垃圾桶收集后进入填埋场统一处理。</w:t>
      </w:r>
    </w:p>
    <w:p>
      <w:pPr>
        <w:tabs>
          <w:tab w:val="left" w:pos="1320"/>
        </w:tabs>
        <w:spacing w:line="360" w:lineRule="auto"/>
        <w:ind w:firstLine="480"/>
        <w:rPr>
          <w:color w:val="FF0000"/>
          <w:sz w:val="24"/>
        </w:rPr>
      </w:pPr>
      <w:r>
        <w:rPr>
          <w:rFonts w:hint="eastAsia"/>
          <w:color w:val="FF0000"/>
          <w:sz w:val="24"/>
        </w:rPr>
        <w:t>（3）废旧反渗透膜</w:t>
      </w:r>
    </w:p>
    <w:p>
      <w:pPr>
        <w:tabs>
          <w:tab w:val="left" w:pos="1320"/>
        </w:tabs>
        <w:spacing w:line="360" w:lineRule="auto"/>
        <w:ind w:firstLine="480" w:firstLineChars="200"/>
        <w:rPr>
          <w:color w:val="FF0000"/>
          <w:sz w:val="24"/>
        </w:rPr>
      </w:pPr>
      <w:r>
        <w:rPr>
          <w:rFonts w:hint="eastAsia"/>
          <w:color w:val="FF0000"/>
          <w:sz w:val="24"/>
        </w:rPr>
        <w:t>渗滤液处理站产生的废旧反渗透膜，根据厂家运行数据年产生量约</w:t>
      </w:r>
      <w:r>
        <w:rPr>
          <w:color w:val="FF0000"/>
          <w:sz w:val="24"/>
        </w:rPr>
        <w:t>0.1t/a</w:t>
      </w:r>
      <w:r>
        <w:rPr>
          <w:rFonts w:hint="eastAsia"/>
          <w:color w:val="FF0000"/>
          <w:sz w:val="24"/>
        </w:rPr>
        <w:t>，由厂家定期更换回收，不在项目区存储。</w:t>
      </w:r>
    </w:p>
    <w:p>
      <w:pPr>
        <w:tabs>
          <w:tab w:val="left" w:pos="1320"/>
        </w:tabs>
        <w:spacing w:line="360" w:lineRule="auto"/>
        <w:ind w:firstLine="480" w:firstLineChars="200"/>
        <w:rPr>
          <w:sz w:val="24"/>
        </w:rPr>
      </w:pPr>
      <w:r>
        <w:rPr>
          <w:rFonts w:hint="eastAsia"/>
          <w:sz w:val="24"/>
        </w:rPr>
        <w:t>项目固废</w:t>
      </w:r>
      <w:r>
        <w:rPr>
          <w:sz w:val="24"/>
        </w:rPr>
        <w:t>排放情况见表3.2-13。</w:t>
      </w:r>
    </w:p>
    <w:p>
      <w:pPr>
        <w:pStyle w:val="44"/>
        <w:ind w:firstLine="361" w:firstLineChars="150"/>
        <w:jc w:val="center"/>
        <w:rPr>
          <w:rFonts w:cs="Times New Roman"/>
          <w:b/>
          <w:szCs w:val="24"/>
        </w:rPr>
      </w:pPr>
      <w:r>
        <w:rPr>
          <w:rFonts w:cs="Times New Roman"/>
          <w:b/>
          <w:szCs w:val="24"/>
        </w:rPr>
        <w:t>表3.2-13固体废物产生及处置情况</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2"/>
        <w:gridCol w:w="1287"/>
        <w:gridCol w:w="1885"/>
        <w:gridCol w:w="34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1104" w:type="pct"/>
            <w:vAlign w:val="center"/>
          </w:tcPr>
          <w:p>
            <w:pPr>
              <w:spacing w:line="340" w:lineRule="exact"/>
              <w:jc w:val="center"/>
              <w:rPr>
                <w:szCs w:val="21"/>
              </w:rPr>
            </w:pPr>
            <w:r>
              <w:rPr>
                <w:szCs w:val="21"/>
              </w:rPr>
              <w:t>固废名称</w:t>
            </w:r>
          </w:p>
        </w:tc>
        <w:tc>
          <w:tcPr>
            <w:tcW w:w="755" w:type="pct"/>
            <w:vAlign w:val="center"/>
          </w:tcPr>
          <w:p>
            <w:pPr>
              <w:spacing w:line="340" w:lineRule="exact"/>
              <w:jc w:val="center"/>
              <w:rPr>
                <w:szCs w:val="21"/>
              </w:rPr>
            </w:pPr>
            <w:r>
              <w:rPr>
                <w:szCs w:val="21"/>
              </w:rPr>
              <w:t>产生量t/a</w:t>
            </w:r>
          </w:p>
        </w:tc>
        <w:tc>
          <w:tcPr>
            <w:tcW w:w="1106" w:type="pct"/>
            <w:vAlign w:val="center"/>
          </w:tcPr>
          <w:p>
            <w:pPr>
              <w:spacing w:line="340" w:lineRule="exact"/>
              <w:jc w:val="center"/>
              <w:rPr>
                <w:szCs w:val="21"/>
              </w:rPr>
            </w:pPr>
            <w:r>
              <w:rPr>
                <w:szCs w:val="21"/>
              </w:rPr>
              <w:t>性质</w:t>
            </w:r>
          </w:p>
        </w:tc>
        <w:tc>
          <w:tcPr>
            <w:tcW w:w="2035" w:type="pct"/>
            <w:vAlign w:val="center"/>
          </w:tcPr>
          <w:p>
            <w:pPr>
              <w:spacing w:line="340" w:lineRule="exact"/>
              <w:jc w:val="center"/>
              <w:rPr>
                <w:szCs w:val="21"/>
              </w:rPr>
            </w:pPr>
            <w:r>
              <w:rPr>
                <w:szCs w:val="21"/>
              </w:rPr>
              <w:t>处置措施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1104" w:type="pct"/>
            <w:vAlign w:val="center"/>
          </w:tcPr>
          <w:p>
            <w:pPr>
              <w:spacing w:line="340" w:lineRule="exact"/>
              <w:jc w:val="center"/>
              <w:rPr>
                <w:szCs w:val="21"/>
              </w:rPr>
            </w:pPr>
            <w:r>
              <w:rPr>
                <w:rFonts w:hint="eastAsia"/>
                <w:szCs w:val="21"/>
              </w:rPr>
              <w:t>污泥</w:t>
            </w:r>
          </w:p>
        </w:tc>
        <w:tc>
          <w:tcPr>
            <w:tcW w:w="755" w:type="pct"/>
            <w:vAlign w:val="center"/>
          </w:tcPr>
          <w:p>
            <w:pPr>
              <w:spacing w:line="340" w:lineRule="exact"/>
              <w:jc w:val="center"/>
              <w:rPr>
                <w:szCs w:val="21"/>
              </w:rPr>
            </w:pPr>
            <w:r>
              <w:rPr>
                <w:rFonts w:hint="eastAsia"/>
                <w:szCs w:val="21"/>
              </w:rPr>
              <w:t>1</w:t>
            </w:r>
            <w:r>
              <w:rPr>
                <w:szCs w:val="21"/>
              </w:rPr>
              <w:t>8.25</w:t>
            </w:r>
          </w:p>
        </w:tc>
        <w:tc>
          <w:tcPr>
            <w:tcW w:w="1106" w:type="pct"/>
            <w:vAlign w:val="center"/>
          </w:tcPr>
          <w:p>
            <w:pPr>
              <w:spacing w:line="340" w:lineRule="exact"/>
              <w:jc w:val="center"/>
              <w:rPr>
                <w:szCs w:val="21"/>
              </w:rPr>
            </w:pPr>
            <w:r>
              <w:rPr>
                <w:rFonts w:hint="eastAsia"/>
                <w:szCs w:val="21"/>
              </w:rPr>
              <w:t>一般固废</w:t>
            </w:r>
          </w:p>
        </w:tc>
        <w:tc>
          <w:tcPr>
            <w:tcW w:w="2035" w:type="pct"/>
            <w:vAlign w:val="center"/>
          </w:tcPr>
          <w:p>
            <w:pPr>
              <w:spacing w:line="340" w:lineRule="exact"/>
              <w:jc w:val="center"/>
              <w:rPr>
                <w:szCs w:val="21"/>
              </w:rPr>
            </w:pPr>
            <w:r>
              <w:rPr>
                <w:rFonts w:hint="eastAsia"/>
                <w:szCs w:val="21"/>
              </w:rPr>
              <w:t>污泥经压滤机压滤后入填埋场填埋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1104" w:type="pct"/>
            <w:vAlign w:val="center"/>
          </w:tcPr>
          <w:p>
            <w:pPr>
              <w:spacing w:line="340" w:lineRule="exact"/>
              <w:jc w:val="center"/>
              <w:rPr>
                <w:szCs w:val="21"/>
              </w:rPr>
            </w:pPr>
            <w:r>
              <w:rPr>
                <w:szCs w:val="21"/>
              </w:rPr>
              <w:t>生活垃圾</w:t>
            </w:r>
          </w:p>
        </w:tc>
        <w:tc>
          <w:tcPr>
            <w:tcW w:w="755" w:type="pct"/>
            <w:vAlign w:val="center"/>
          </w:tcPr>
          <w:p>
            <w:pPr>
              <w:jc w:val="center"/>
              <w:rPr>
                <w:szCs w:val="21"/>
              </w:rPr>
            </w:pPr>
            <w:r>
              <w:rPr>
                <w:szCs w:val="21"/>
              </w:rPr>
              <w:t>0.37</w:t>
            </w:r>
          </w:p>
        </w:tc>
        <w:tc>
          <w:tcPr>
            <w:tcW w:w="1106" w:type="pct"/>
            <w:vAlign w:val="center"/>
          </w:tcPr>
          <w:p>
            <w:pPr>
              <w:spacing w:line="340" w:lineRule="exact"/>
              <w:jc w:val="center"/>
              <w:rPr>
                <w:szCs w:val="21"/>
              </w:rPr>
            </w:pPr>
            <w:r>
              <w:rPr>
                <w:rFonts w:hint="eastAsia"/>
                <w:szCs w:val="21"/>
              </w:rPr>
              <w:t>生活垃圾</w:t>
            </w:r>
          </w:p>
        </w:tc>
        <w:tc>
          <w:tcPr>
            <w:tcW w:w="2035" w:type="pct"/>
            <w:vAlign w:val="center"/>
          </w:tcPr>
          <w:p>
            <w:pPr>
              <w:spacing w:line="340" w:lineRule="exact"/>
              <w:jc w:val="center"/>
              <w:rPr>
                <w:spacing w:val="-20"/>
                <w:szCs w:val="21"/>
              </w:rPr>
            </w:pPr>
            <w:r>
              <w:rPr>
                <w:szCs w:val="21"/>
              </w:rPr>
              <w:t>经场区垃圾桶收集后进入填埋场统一处理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1104" w:type="pct"/>
            <w:vAlign w:val="center"/>
          </w:tcPr>
          <w:p>
            <w:pPr>
              <w:spacing w:line="340" w:lineRule="exact"/>
              <w:jc w:val="center"/>
              <w:rPr>
                <w:color w:val="FF0000"/>
                <w:szCs w:val="21"/>
              </w:rPr>
            </w:pPr>
            <w:r>
              <w:rPr>
                <w:rFonts w:hint="eastAsia"/>
                <w:color w:val="FF0000"/>
                <w:szCs w:val="21"/>
              </w:rPr>
              <w:t>废旧反渗透膜</w:t>
            </w:r>
          </w:p>
        </w:tc>
        <w:tc>
          <w:tcPr>
            <w:tcW w:w="755" w:type="pct"/>
            <w:vAlign w:val="center"/>
          </w:tcPr>
          <w:p>
            <w:pPr>
              <w:jc w:val="center"/>
              <w:rPr>
                <w:color w:val="FF0000"/>
                <w:szCs w:val="21"/>
              </w:rPr>
            </w:pPr>
            <w:r>
              <w:rPr>
                <w:rFonts w:hint="eastAsia"/>
                <w:color w:val="FF0000"/>
                <w:szCs w:val="21"/>
              </w:rPr>
              <w:t>0</w:t>
            </w:r>
            <w:r>
              <w:rPr>
                <w:color w:val="FF0000"/>
                <w:szCs w:val="21"/>
              </w:rPr>
              <w:t>.1</w:t>
            </w:r>
          </w:p>
        </w:tc>
        <w:tc>
          <w:tcPr>
            <w:tcW w:w="1106" w:type="pct"/>
            <w:vAlign w:val="center"/>
          </w:tcPr>
          <w:p>
            <w:pPr>
              <w:spacing w:line="340" w:lineRule="exact"/>
              <w:jc w:val="center"/>
              <w:rPr>
                <w:color w:val="FF0000"/>
                <w:szCs w:val="21"/>
              </w:rPr>
            </w:pPr>
            <w:r>
              <w:rPr>
                <w:rFonts w:hint="eastAsia"/>
                <w:color w:val="FF0000"/>
                <w:szCs w:val="21"/>
              </w:rPr>
              <w:t>一般固废</w:t>
            </w:r>
          </w:p>
        </w:tc>
        <w:tc>
          <w:tcPr>
            <w:tcW w:w="2035" w:type="pct"/>
            <w:vAlign w:val="center"/>
          </w:tcPr>
          <w:p>
            <w:pPr>
              <w:spacing w:line="340" w:lineRule="exact"/>
              <w:jc w:val="center"/>
              <w:rPr>
                <w:color w:val="FF0000"/>
                <w:szCs w:val="21"/>
              </w:rPr>
            </w:pPr>
            <w:r>
              <w:rPr>
                <w:rFonts w:hint="eastAsia"/>
                <w:color w:val="FF0000"/>
                <w:szCs w:val="21"/>
              </w:rPr>
              <w:t>厂家更换并回收，不暂存</w:t>
            </w:r>
          </w:p>
        </w:tc>
      </w:tr>
    </w:tbl>
    <w:p>
      <w:pPr>
        <w:spacing w:line="360" w:lineRule="auto"/>
        <w:outlineLvl w:val="3"/>
        <w:rPr>
          <w:b/>
          <w:sz w:val="24"/>
        </w:rPr>
      </w:pPr>
      <w:r>
        <w:rPr>
          <w:b/>
          <w:sz w:val="24"/>
        </w:rPr>
        <w:t>3.2.3.4噪声污染源分析</w:t>
      </w:r>
    </w:p>
    <w:p>
      <w:pPr>
        <w:spacing w:line="360" w:lineRule="auto"/>
        <w:ind w:firstLine="480" w:firstLineChars="200"/>
        <w:rPr>
          <w:b/>
          <w:sz w:val="24"/>
        </w:rPr>
      </w:pPr>
      <w:r>
        <w:rPr>
          <w:kern w:val="0"/>
          <w:sz w:val="24"/>
        </w:rPr>
        <w:t>本项目运行期的噪声主要来源于</w:t>
      </w:r>
      <w:r>
        <w:rPr>
          <w:rFonts w:hint="eastAsia"/>
          <w:kern w:val="0"/>
          <w:sz w:val="24"/>
        </w:rPr>
        <w:t>，</w:t>
      </w:r>
      <w:r>
        <w:rPr>
          <w:kern w:val="0"/>
          <w:sz w:val="24"/>
        </w:rPr>
        <w:t>填埋区作业用的推土机、压实机、自卸汽车、</w:t>
      </w:r>
      <w:r>
        <w:rPr>
          <w:sz w:val="24"/>
        </w:rPr>
        <w:t>挖掘</w:t>
      </w:r>
      <w:r>
        <w:rPr>
          <w:kern w:val="0"/>
          <w:sz w:val="24"/>
        </w:rPr>
        <w:t>机、</w:t>
      </w:r>
      <w:r>
        <w:rPr>
          <w:rFonts w:hint="eastAsia"/>
          <w:kern w:val="0"/>
          <w:sz w:val="24"/>
        </w:rPr>
        <w:t>洒水车</w:t>
      </w:r>
      <w:r>
        <w:rPr>
          <w:kern w:val="0"/>
          <w:sz w:val="24"/>
        </w:rPr>
        <w:t>等</w:t>
      </w:r>
      <w:r>
        <w:rPr>
          <w:rFonts w:hint="eastAsia"/>
          <w:kern w:val="0"/>
          <w:sz w:val="24"/>
        </w:rPr>
        <w:t>。</w:t>
      </w:r>
    </w:p>
    <w:p>
      <w:pPr>
        <w:pStyle w:val="44"/>
        <w:ind w:firstLine="361" w:firstLineChars="150"/>
        <w:jc w:val="center"/>
        <w:rPr>
          <w:rFonts w:cs="Times New Roman"/>
          <w:b/>
          <w:szCs w:val="24"/>
        </w:rPr>
      </w:pPr>
      <w:r>
        <w:rPr>
          <w:rFonts w:cs="Times New Roman"/>
          <w:b/>
          <w:szCs w:val="24"/>
        </w:rPr>
        <w:t>表3.2-14 噪声排放一览表</w:t>
      </w:r>
    </w:p>
    <w:bookmarkEnd w:id="143"/>
    <w:bookmarkEnd w:id="147"/>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469"/>
        <w:gridCol w:w="405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2622" w:type="pct"/>
            <w:vAlign w:val="center"/>
          </w:tcPr>
          <w:p>
            <w:pPr>
              <w:jc w:val="center"/>
              <w:rPr>
                <w:spacing w:val="-4"/>
                <w:szCs w:val="21"/>
              </w:rPr>
            </w:pPr>
            <w:r>
              <w:rPr>
                <w:spacing w:val="-4"/>
                <w:szCs w:val="21"/>
              </w:rPr>
              <w:t>设备名称</w:t>
            </w:r>
          </w:p>
        </w:tc>
        <w:tc>
          <w:tcPr>
            <w:tcW w:w="2378" w:type="pct"/>
            <w:vAlign w:val="center"/>
          </w:tcPr>
          <w:p>
            <w:pPr>
              <w:jc w:val="center"/>
              <w:rPr>
                <w:spacing w:val="-4"/>
                <w:szCs w:val="21"/>
              </w:rPr>
            </w:pPr>
            <w:r>
              <w:rPr>
                <w:spacing w:val="-4"/>
                <w:szCs w:val="21"/>
              </w:rPr>
              <w:t>声级（5m，dB（A））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2622" w:type="pct"/>
            <w:vAlign w:val="center"/>
          </w:tcPr>
          <w:p>
            <w:pPr>
              <w:jc w:val="center"/>
              <w:rPr>
                <w:szCs w:val="21"/>
              </w:rPr>
            </w:pPr>
            <w:r>
              <w:rPr>
                <w:szCs w:val="21"/>
              </w:rPr>
              <w:t>推土机</w:t>
            </w:r>
          </w:p>
        </w:tc>
        <w:tc>
          <w:tcPr>
            <w:tcW w:w="2378" w:type="pct"/>
            <w:vAlign w:val="center"/>
          </w:tcPr>
          <w:p>
            <w:pPr>
              <w:jc w:val="center"/>
              <w:rPr>
                <w:szCs w:val="21"/>
              </w:rPr>
            </w:pPr>
            <w:r>
              <w:rPr>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2622" w:type="pct"/>
            <w:vAlign w:val="center"/>
          </w:tcPr>
          <w:p>
            <w:pPr>
              <w:jc w:val="center"/>
              <w:rPr>
                <w:szCs w:val="21"/>
              </w:rPr>
            </w:pPr>
            <w:r>
              <w:rPr>
                <w:szCs w:val="21"/>
              </w:rPr>
              <w:t>压实机</w:t>
            </w:r>
          </w:p>
        </w:tc>
        <w:tc>
          <w:tcPr>
            <w:tcW w:w="2378" w:type="pct"/>
            <w:vAlign w:val="center"/>
          </w:tcPr>
          <w:p>
            <w:pPr>
              <w:jc w:val="center"/>
              <w:rPr>
                <w:szCs w:val="21"/>
              </w:rPr>
            </w:pPr>
            <w:r>
              <w:rPr>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2622" w:type="pct"/>
            <w:vAlign w:val="center"/>
          </w:tcPr>
          <w:p>
            <w:pPr>
              <w:jc w:val="center"/>
              <w:rPr>
                <w:szCs w:val="21"/>
              </w:rPr>
            </w:pPr>
            <w:r>
              <w:rPr>
                <w:szCs w:val="21"/>
              </w:rPr>
              <w:t>挖掘机</w:t>
            </w:r>
          </w:p>
        </w:tc>
        <w:tc>
          <w:tcPr>
            <w:tcW w:w="2378" w:type="pct"/>
            <w:vAlign w:val="center"/>
          </w:tcPr>
          <w:p>
            <w:pPr>
              <w:jc w:val="center"/>
              <w:rPr>
                <w:szCs w:val="21"/>
              </w:rPr>
            </w:pPr>
            <w:r>
              <w:rPr>
                <w:szCs w:val="21"/>
              </w:rPr>
              <w:t>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2622" w:type="pct"/>
            <w:vAlign w:val="center"/>
          </w:tcPr>
          <w:p>
            <w:pPr>
              <w:jc w:val="center"/>
              <w:rPr>
                <w:szCs w:val="21"/>
              </w:rPr>
            </w:pPr>
            <w:r>
              <w:rPr>
                <w:szCs w:val="21"/>
              </w:rPr>
              <w:t>自卸汽车</w:t>
            </w:r>
          </w:p>
        </w:tc>
        <w:tc>
          <w:tcPr>
            <w:tcW w:w="2378" w:type="pct"/>
            <w:vAlign w:val="center"/>
          </w:tcPr>
          <w:p>
            <w:pPr>
              <w:jc w:val="center"/>
              <w:rPr>
                <w:szCs w:val="21"/>
              </w:rPr>
            </w:pPr>
            <w:r>
              <w:rPr>
                <w:szCs w:val="21"/>
              </w:rPr>
              <w:t>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2622" w:type="pct"/>
            <w:vAlign w:val="center"/>
          </w:tcPr>
          <w:p>
            <w:pPr>
              <w:jc w:val="center"/>
              <w:rPr>
                <w:szCs w:val="21"/>
              </w:rPr>
            </w:pPr>
            <w:r>
              <w:rPr>
                <w:szCs w:val="21"/>
              </w:rPr>
              <w:t>撒药车</w:t>
            </w:r>
          </w:p>
        </w:tc>
        <w:tc>
          <w:tcPr>
            <w:tcW w:w="2378" w:type="pct"/>
            <w:vAlign w:val="center"/>
          </w:tcPr>
          <w:p>
            <w:pPr>
              <w:jc w:val="center"/>
              <w:rPr>
                <w:szCs w:val="21"/>
              </w:rPr>
            </w:pPr>
            <w:r>
              <w:rPr>
                <w:szCs w:val="21"/>
              </w:rPr>
              <w:t>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2622" w:type="pct"/>
            <w:vAlign w:val="center"/>
          </w:tcPr>
          <w:p>
            <w:pPr>
              <w:jc w:val="center"/>
              <w:rPr>
                <w:szCs w:val="21"/>
              </w:rPr>
            </w:pPr>
            <w:r>
              <w:rPr>
                <w:rFonts w:hint="eastAsia"/>
                <w:szCs w:val="21"/>
              </w:rPr>
              <w:t>洒水车</w:t>
            </w:r>
          </w:p>
        </w:tc>
        <w:tc>
          <w:tcPr>
            <w:tcW w:w="2378" w:type="pct"/>
            <w:vAlign w:val="center"/>
          </w:tcPr>
          <w:p>
            <w:pPr>
              <w:jc w:val="center"/>
              <w:rPr>
                <w:szCs w:val="21"/>
              </w:rPr>
            </w:pPr>
            <w:r>
              <w:rPr>
                <w:rFonts w:hint="eastAsia"/>
                <w:szCs w:val="21"/>
              </w:rPr>
              <w:t>9</w:t>
            </w: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2622" w:type="pct"/>
            <w:vAlign w:val="center"/>
          </w:tcPr>
          <w:p>
            <w:pPr>
              <w:jc w:val="center"/>
              <w:rPr>
                <w:szCs w:val="21"/>
              </w:rPr>
            </w:pPr>
            <w:r>
              <w:rPr>
                <w:rFonts w:hint="eastAsia"/>
                <w:szCs w:val="21"/>
              </w:rPr>
              <w:t>水泵</w:t>
            </w:r>
          </w:p>
        </w:tc>
        <w:tc>
          <w:tcPr>
            <w:tcW w:w="2378" w:type="pct"/>
            <w:vAlign w:val="center"/>
          </w:tcPr>
          <w:p>
            <w:pPr>
              <w:jc w:val="center"/>
              <w:rPr>
                <w:szCs w:val="21"/>
              </w:rPr>
            </w:pPr>
            <w:r>
              <w:rPr>
                <w:rFonts w:hint="eastAsia"/>
                <w:szCs w:val="21"/>
              </w:rPr>
              <w:t>9</w:t>
            </w:r>
            <w:r>
              <w:rPr>
                <w:szCs w:val="21"/>
              </w:rPr>
              <w:t>0</w:t>
            </w:r>
          </w:p>
        </w:tc>
      </w:tr>
    </w:tbl>
    <w:p>
      <w:pPr>
        <w:pStyle w:val="831"/>
        <w:keepNext w:val="0"/>
        <w:spacing w:before="156" w:beforeLines="50" w:after="156" w:afterLines="50" w:line="360" w:lineRule="auto"/>
        <w:rPr>
          <w:rFonts w:cs="Times New Roman"/>
        </w:rPr>
      </w:pPr>
      <w:bookmarkStart w:id="194" w:name="_Toc489432990"/>
      <w:bookmarkStart w:id="195" w:name="_Toc143762318"/>
      <w:bookmarkStart w:id="196" w:name="_Toc149098565"/>
      <w:bookmarkStart w:id="197" w:name="_Toc148412245"/>
      <w:bookmarkStart w:id="198" w:name="_Toc148419972"/>
      <w:bookmarkStart w:id="199" w:name="_Toc152989137"/>
      <w:bookmarkStart w:id="200" w:name="_Toc153101429"/>
      <w:bookmarkStart w:id="201" w:name="_Toc151266922"/>
      <w:bookmarkStart w:id="202" w:name="_Toc148410804"/>
      <w:bookmarkStart w:id="203" w:name="_Toc143335057"/>
      <w:bookmarkStart w:id="204" w:name="_Toc142823387"/>
      <w:bookmarkStart w:id="205" w:name="_Toc151885828"/>
      <w:bookmarkStart w:id="206" w:name="_Toc151265502"/>
      <w:bookmarkStart w:id="207" w:name="_Toc145902000"/>
      <w:bookmarkStart w:id="208" w:name="_Toc149042623"/>
      <w:bookmarkStart w:id="209" w:name="_Toc152990489"/>
      <w:r>
        <w:rPr>
          <w:rFonts w:cs="Times New Roman"/>
        </w:rPr>
        <w:t>3.2.5</w:t>
      </w:r>
      <w:bookmarkEnd w:id="194"/>
      <w:r>
        <w:rPr>
          <w:rFonts w:cs="Times New Roman"/>
        </w:rPr>
        <w:t xml:space="preserve"> </w:t>
      </w:r>
      <w:r>
        <w:rPr>
          <w:rFonts w:hint="eastAsia" w:cs="Times New Roman"/>
        </w:rPr>
        <w:t>封场后污染分析</w:t>
      </w:r>
      <w:bookmarkEnd w:id="195"/>
    </w:p>
    <w:p>
      <w:pPr>
        <w:pStyle w:val="44"/>
        <w:adjustRightInd w:val="0"/>
        <w:snapToGrid w:val="0"/>
        <w:ind w:firstLine="480"/>
        <w:rPr>
          <w:rFonts w:cs="Times New Roman"/>
          <w:szCs w:val="24"/>
        </w:rPr>
      </w:pPr>
      <w:r>
        <w:rPr>
          <w:rFonts w:hint="eastAsia" w:cs="Times New Roman"/>
          <w:szCs w:val="24"/>
        </w:rPr>
        <w:t>当垃圾填埋场服务期满不再承担新的贮存、处置任务时，应分别予以关闭或封场，必须编制关闭或封场计划，并采取污染防治措施。</w:t>
      </w:r>
    </w:p>
    <w:p>
      <w:pPr>
        <w:pStyle w:val="44"/>
        <w:adjustRightInd w:val="0"/>
        <w:snapToGrid w:val="0"/>
        <w:ind w:firstLine="480"/>
        <w:rPr>
          <w:rFonts w:cs="Times New Roman"/>
          <w:szCs w:val="24"/>
        </w:rPr>
      </w:pPr>
      <w:r>
        <w:rPr>
          <w:rFonts w:cs="Times New Roman"/>
          <w:kern w:val="0"/>
        </w:rPr>
        <w:t>1、废气</w:t>
      </w:r>
    </w:p>
    <w:p>
      <w:pPr>
        <w:autoSpaceDE w:val="0"/>
        <w:autoSpaceDN w:val="0"/>
        <w:adjustRightInd w:val="0"/>
        <w:snapToGrid w:val="0"/>
        <w:spacing w:line="360" w:lineRule="auto"/>
        <w:ind w:firstLine="480" w:firstLineChars="200"/>
        <w:rPr>
          <w:kern w:val="0"/>
          <w:sz w:val="24"/>
        </w:rPr>
      </w:pPr>
      <w:r>
        <w:rPr>
          <w:kern w:val="0"/>
          <w:sz w:val="24"/>
        </w:rPr>
        <w:t>由于垃圾的腐解过程需要时间，填埋场产生的恶臭气体等还会继续影响区域的环境质量。填埋场封场后5～10 年内，填埋气体的状况与运营期间相似，因此填埋场封场后，仍需要保持填埋气体导排系统正常运行。</w:t>
      </w:r>
    </w:p>
    <w:p>
      <w:pPr>
        <w:autoSpaceDE w:val="0"/>
        <w:autoSpaceDN w:val="0"/>
        <w:adjustRightInd w:val="0"/>
        <w:snapToGrid w:val="0"/>
        <w:spacing w:line="360" w:lineRule="auto"/>
        <w:ind w:firstLine="480" w:firstLineChars="200"/>
        <w:jc w:val="left"/>
        <w:rPr>
          <w:kern w:val="0"/>
          <w:sz w:val="24"/>
        </w:rPr>
      </w:pPr>
      <w:r>
        <w:rPr>
          <w:kern w:val="0"/>
          <w:sz w:val="24"/>
        </w:rPr>
        <w:t>2、废水</w:t>
      </w:r>
    </w:p>
    <w:p>
      <w:pPr>
        <w:autoSpaceDE w:val="0"/>
        <w:autoSpaceDN w:val="0"/>
        <w:adjustRightInd w:val="0"/>
        <w:snapToGrid w:val="0"/>
        <w:spacing w:line="360" w:lineRule="auto"/>
        <w:ind w:firstLine="480" w:firstLineChars="200"/>
        <w:rPr>
          <w:kern w:val="0"/>
          <w:sz w:val="24"/>
        </w:rPr>
      </w:pPr>
      <w:r>
        <w:rPr>
          <w:kern w:val="0"/>
          <w:sz w:val="24"/>
        </w:rPr>
        <w:t>本工程填埋场封场后将进行终场覆盖和植被恢复，填埋场封场后雨水不再进入场区，渗滤液废水量将随时间而逐步降低，填埋场后初期的渗滤液水质与运营期水质相近，但随着封场年龄的增加，水质会慢慢趋于良好，此后在低浓度水平上保持稳定。封场后渗滤液导排系统仍要保持正常运行，保证渗滤液正常收集，直至渗滤液水质连续2 年低于《生活垃圾填埋场污染控制标准》(GB16889-2008) 表2 中标准限值后，渗滤液可不在收集处理。</w:t>
      </w:r>
    </w:p>
    <w:p>
      <w:pPr>
        <w:autoSpaceDE w:val="0"/>
        <w:autoSpaceDN w:val="0"/>
        <w:adjustRightInd w:val="0"/>
        <w:snapToGrid w:val="0"/>
        <w:spacing w:line="360" w:lineRule="auto"/>
        <w:ind w:firstLine="480" w:firstLineChars="200"/>
        <w:jc w:val="left"/>
        <w:rPr>
          <w:kern w:val="0"/>
          <w:sz w:val="24"/>
        </w:rPr>
      </w:pPr>
      <w:r>
        <w:rPr>
          <w:kern w:val="0"/>
          <w:sz w:val="24"/>
        </w:rPr>
        <w:t>3、噪声</w:t>
      </w:r>
    </w:p>
    <w:p>
      <w:pPr>
        <w:autoSpaceDE w:val="0"/>
        <w:autoSpaceDN w:val="0"/>
        <w:adjustRightInd w:val="0"/>
        <w:snapToGrid w:val="0"/>
        <w:spacing w:line="360" w:lineRule="auto"/>
        <w:ind w:firstLine="480" w:firstLineChars="200"/>
        <w:jc w:val="left"/>
        <w:rPr>
          <w:kern w:val="0"/>
          <w:sz w:val="24"/>
        </w:rPr>
      </w:pPr>
      <w:r>
        <w:rPr>
          <w:kern w:val="0"/>
          <w:sz w:val="24"/>
        </w:rPr>
        <w:t>填埋场封场后不进行垃圾的填埋，因此无机械及运输噪声产生，不会对周围环境产生影响。</w:t>
      </w:r>
    </w:p>
    <w:p>
      <w:pPr>
        <w:autoSpaceDE w:val="0"/>
        <w:autoSpaceDN w:val="0"/>
        <w:adjustRightInd w:val="0"/>
        <w:snapToGrid w:val="0"/>
        <w:spacing w:line="360" w:lineRule="auto"/>
        <w:ind w:firstLine="480" w:firstLineChars="200"/>
        <w:jc w:val="left"/>
        <w:rPr>
          <w:kern w:val="0"/>
          <w:sz w:val="24"/>
        </w:rPr>
      </w:pPr>
      <w:r>
        <w:rPr>
          <w:kern w:val="0"/>
          <w:sz w:val="24"/>
        </w:rPr>
        <w:t>4、固废</w:t>
      </w:r>
    </w:p>
    <w:p>
      <w:pPr>
        <w:autoSpaceDE w:val="0"/>
        <w:autoSpaceDN w:val="0"/>
        <w:adjustRightInd w:val="0"/>
        <w:snapToGrid w:val="0"/>
        <w:spacing w:line="360" w:lineRule="auto"/>
        <w:ind w:firstLine="480" w:firstLineChars="200"/>
        <w:jc w:val="left"/>
        <w:rPr>
          <w:kern w:val="0"/>
          <w:sz w:val="24"/>
        </w:rPr>
      </w:pPr>
      <w:r>
        <w:rPr>
          <w:kern w:val="0"/>
          <w:sz w:val="24"/>
        </w:rPr>
        <w:t>填埋场封场后无劳动定员，不会产生生活垃圾，对环境影响较小。</w:t>
      </w:r>
    </w:p>
    <w:p>
      <w:pPr>
        <w:autoSpaceDE w:val="0"/>
        <w:autoSpaceDN w:val="0"/>
        <w:adjustRightInd w:val="0"/>
        <w:snapToGrid w:val="0"/>
        <w:spacing w:line="360" w:lineRule="auto"/>
        <w:ind w:firstLine="480" w:firstLineChars="200"/>
        <w:jc w:val="left"/>
        <w:rPr>
          <w:kern w:val="0"/>
        </w:rPr>
      </w:pPr>
      <w:r>
        <w:rPr>
          <w:kern w:val="0"/>
          <w:sz w:val="24"/>
        </w:rPr>
        <w:t>此外，封场后的填埋库区通过后期管理，栽植花卉和草皮，填埋库区的生态环境将进一步恢复。</w:t>
      </w:r>
    </w:p>
    <w:p>
      <w:pPr>
        <w:pStyle w:val="44"/>
        <w:ind w:firstLine="0" w:firstLineChars="0"/>
        <w:outlineLvl w:val="2"/>
        <w:rPr>
          <w:rFonts w:cs="Times New Roman"/>
          <w:b/>
          <w:bCs/>
          <w:kern w:val="0"/>
          <w:sz w:val="28"/>
          <w:szCs w:val="20"/>
        </w:rPr>
      </w:pPr>
      <w:bookmarkStart w:id="210" w:name="_Toc143762319"/>
      <w:bookmarkStart w:id="211" w:name="_Toc489432991"/>
      <w:r>
        <w:rPr>
          <w:rFonts w:hint="eastAsia" w:cs="Times New Roman"/>
          <w:b/>
          <w:bCs/>
          <w:kern w:val="0"/>
          <w:sz w:val="28"/>
          <w:szCs w:val="20"/>
        </w:rPr>
        <w:t>3.2.</w:t>
      </w:r>
      <w:r>
        <w:rPr>
          <w:rFonts w:cs="Times New Roman"/>
          <w:b/>
          <w:bCs/>
          <w:kern w:val="0"/>
          <w:sz w:val="28"/>
          <w:szCs w:val="20"/>
        </w:rPr>
        <w:t>6</w:t>
      </w:r>
      <w:r>
        <w:rPr>
          <w:rFonts w:hint="eastAsia" w:cs="Times New Roman"/>
          <w:b/>
          <w:bCs/>
          <w:kern w:val="0"/>
          <w:sz w:val="28"/>
          <w:szCs w:val="20"/>
        </w:rPr>
        <w:t>排放总量</w:t>
      </w:r>
      <w:bookmarkEnd w:id="210"/>
      <w:bookmarkEnd w:id="211"/>
    </w:p>
    <w:p>
      <w:pPr>
        <w:pStyle w:val="44"/>
        <w:ind w:firstLine="480"/>
        <w:rPr>
          <w:rFonts w:cs="Times New Roman"/>
          <w:szCs w:val="24"/>
        </w:rPr>
      </w:pPr>
      <w:r>
        <w:rPr>
          <w:rFonts w:cs="Times New Roman"/>
          <w:szCs w:val="24"/>
        </w:rPr>
        <w:t>本项目</w:t>
      </w:r>
      <w:r>
        <w:rPr>
          <w:rFonts w:hint="eastAsia" w:cs="Times New Roman"/>
          <w:szCs w:val="24"/>
        </w:rPr>
        <w:t>采用电锅炉</w:t>
      </w:r>
      <w:r>
        <w:rPr>
          <w:rFonts w:cs="Times New Roman"/>
          <w:szCs w:val="24"/>
        </w:rPr>
        <w:t>取暖，</w:t>
      </w:r>
      <w:r>
        <w:rPr>
          <w:rFonts w:hint="eastAsia" w:cs="Times New Roman"/>
          <w:szCs w:val="24"/>
        </w:rPr>
        <w:t>无SO</w:t>
      </w:r>
      <w:r>
        <w:rPr>
          <w:rFonts w:hint="eastAsia" w:cs="Times New Roman"/>
          <w:szCs w:val="24"/>
          <w:vertAlign w:val="subscript"/>
        </w:rPr>
        <w:t>2</w:t>
      </w:r>
      <w:r>
        <w:rPr>
          <w:rFonts w:hint="eastAsia" w:cs="Times New Roman"/>
          <w:szCs w:val="24"/>
        </w:rPr>
        <w:t>、NOx、</w:t>
      </w:r>
      <w:r>
        <w:t>烟尘</w:t>
      </w:r>
      <w:r>
        <w:rPr>
          <w:rFonts w:hint="eastAsia" w:cs="Times New Roman"/>
          <w:szCs w:val="24"/>
        </w:rPr>
        <w:t>排放。</w:t>
      </w:r>
    </w:p>
    <w:p>
      <w:pPr>
        <w:pStyle w:val="44"/>
        <w:ind w:firstLine="480"/>
        <w:rPr>
          <w:rFonts w:cs="Times New Roman"/>
          <w:szCs w:val="24"/>
        </w:rPr>
      </w:pPr>
      <w:r>
        <w:rPr>
          <w:rFonts w:hint="eastAsia" w:cs="Times New Roman"/>
          <w:szCs w:val="24"/>
        </w:rPr>
        <w:t>项目垃圾渗滤液、</w:t>
      </w:r>
      <w:r>
        <w:rPr>
          <w:rFonts w:hint="eastAsia" w:cs="Times New Roman"/>
          <w:color w:val="548235" w:themeColor="accent6" w:themeShade="BF"/>
          <w:szCs w:val="24"/>
        </w:rPr>
        <w:t>反渗透膜冲洗废水、</w:t>
      </w:r>
      <w:r>
        <w:rPr>
          <w:rFonts w:hint="eastAsia" w:cs="Times New Roman"/>
          <w:szCs w:val="24"/>
        </w:rPr>
        <w:t>生活污水全部回用，无废水外排。</w:t>
      </w:r>
    </w:p>
    <w:p>
      <w:pPr>
        <w:pStyle w:val="44"/>
        <w:ind w:firstLine="0" w:firstLineChars="0"/>
        <w:rPr>
          <w:rFonts w:cs="Times New Roman"/>
        </w:rPr>
        <w:sectPr>
          <w:pgSz w:w="11906" w:h="16838"/>
          <w:pgMar w:top="1440" w:right="1800" w:bottom="1440" w:left="1800" w:header="851" w:footer="992" w:gutter="0"/>
          <w:cols w:space="720" w:num="1"/>
          <w:docGrid w:type="lines" w:linePitch="312" w:charSpace="0"/>
        </w:sectPr>
      </w:pPr>
    </w:p>
    <w:p>
      <w:pPr>
        <w:pStyle w:val="823"/>
        <w:adjustRightInd/>
        <w:spacing w:before="156" w:beforeLines="50" w:after="156" w:afterLines="50" w:line="360" w:lineRule="auto"/>
        <w:rPr>
          <w:rFonts w:cs="Times New Roman"/>
        </w:rPr>
      </w:pPr>
      <w:bookmarkStart w:id="212" w:name="_Toc143762320"/>
      <w:bookmarkStart w:id="213" w:name="_Toc489432992"/>
      <w:r>
        <w:rPr>
          <w:rFonts w:cs="Times New Roman"/>
        </w:rPr>
        <w:t>4</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Pr>
          <w:rFonts w:cs="Times New Roman"/>
        </w:rPr>
        <w:t>环境现状调查与评价</w:t>
      </w:r>
      <w:bookmarkEnd w:id="212"/>
      <w:bookmarkEnd w:id="213"/>
    </w:p>
    <w:p>
      <w:pPr>
        <w:pStyle w:val="347"/>
        <w:keepNext w:val="0"/>
        <w:topLinePunct w:val="0"/>
        <w:spacing w:before="156" w:beforeLines="50" w:after="156" w:afterLines="50" w:line="360" w:lineRule="auto"/>
        <w:rPr>
          <w:rFonts w:cs="Times New Roman"/>
        </w:rPr>
      </w:pPr>
      <w:bookmarkStart w:id="214" w:name="_Toc149042624"/>
      <w:bookmarkStart w:id="215" w:name="_Toc143335058"/>
      <w:bookmarkStart w:id="216" w:name="_Toc145902001"/>
      <w:bookmarkStart w:id="217" w:name="_Toc151265503"/>
      <w:bookmarkStart w:id="218" w:name="_Toc151885829"/>
      <w:bookmarkStart w:id="219" w:name="_Toc148412246"/>
      <w:bookmarkStart w:id="220" w:name="_Toc142823388"/>
      <w:bookmarkStart w:id="221" w:name="_Toc153101430"/>
      <w:bookmarkStart w:id="222" w:name="_Toc152990490"/>
      <w:bookmarkStart w:id="223" w:name="_Toc152989138"/>
      <w:bookmarkStart w:id="224" w:name="_Toc149098566"/>
      <w:bookmarkStart w:id="225" w:name="_Toc151266923"/>
      <w:bookmarkStart w:id="226" w:name="_Toc148410805"/>
      <w:bookmarkStart w:id="227" w:name="_Toc489432993"/>
      <w:bookmarkStart w:id="228" w:name="_Toc148419973"/>
      <w:bookmarkStart w:id="229" w:name="_Toc143762321"/>
      <w:r>
        <w:rPr>
          <w:rFonts w:cs="Times New Roman"/>
        </w:rPr>
        <w:t>4.1自然环境</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Start w:id="230" w:name="_Toc152989139"/>
      <w:bookmarkStart w:id="231" w:name="_Toc153101431"/>
      <w:bookmarkStart w:id="232" w:name="_Toc152990491"/>
      <w:bookmarkStart w:id="233" w:name="_Toc149098567"/>
      <w:bookmarkStart w:id="234" w:name="_Toc148412247"/>
      <w:bookmarkStart w:id="235" w:name="_Toc149042625"/>
      <w:bookmarkStart w:id="236" w:name="_Toc142823389"/>
      <w:bookmarkStart w:id="237" w:name="_Toc151266924"/>
      <w:bookmarkStart w:id="238" w:name="_Toc151885830"/>
      <w:bookmarkStart w:id="239" w:name="_Toc148410806"/>
      <w:bookmarkStart w:id="240" w:name="_Toc143335059"/>
      <w:bookmarkStart w:id="241" w:name="_Toc151265504"/>
      <w:bookmarkStart w:id="242" w:name="_Toc145902002"/>
      <w:bookmarkStart w:id="243" w:name="_Toc148419974"/>
    </w:p>
    <w:p>
      <w:pPr>
        <w:pStyle w:val="831"/>
        <w:spacing w:before="156" w:beforeLines="50" w:after="156" w:afterLines="50" w:line="360" w:lineRule="auto"/>
        <w:rPr>
          <w:rFonts w:cs="Times New Roman"/>
        </w:rPr>
      </w:pPr>
      <w:bookmarkStart w:id="244" w:name="_Toc489432994"/>
      <w:bookmarkStart w:id="245" w:name="_Toc143762322"/>
      <w:r>
        <w:rPr>
          <w:rFonts w:cs="Times New Roman"/>
        </w:rPr>
        <w:t>4.1.1地理位置</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p>
    <w:p>
      <w:pPr>
        <w:spacing w:line="360" w:lineRule="auto"/>
        <w:ind w:firstLine="480" w:firstLineChars="200"/>
        <w:rPr>
          <w:sz w:val="24"/>
        </w:rPr>
      </w:pPr>
      <w:bookmarkStart w:id="246" w:name="_Toc145902003"/>
      <w:bookmarkStart w:id="247" w:name="_Toc149042626"/>
      <w:bookmarkStart w:id="248" w:name="_Toc143335060"/>
      <w:bookmarkStart w:id="249" w:name="_Toc148419975"/>
      <w:bookmarkStart w:id="250" w:name="_Toc151885831"/>
      <w:bookmarkStart w:id="251" w:name="_Toc151265505"/>
      <w:bookmarkStart w:id="252" w:name="_Toc142823390"/>
      <w:bookmarkStart w:id="253" w:name="_Toc149098568"/>
      <w:bookmarkStart w:id="254" w:name="_Toc152989140"/>
      <w:bookmarkStart w:id="255" w:name="_Toc148410807"/>
      <w:bookmarkStart w:id="256" w:name="_Toc152990492"/>
      <w:bookmarkStart w:id="257" w:name="_Toc153101432"/>
      <w:bookmarkStart w:id="258" w:name="_Toc148412248"/>
      <w:bookmarkStart w:id="259" w:name="_Toc151266925"/>
      <w:r>
        <w:rPr>
          <w:rFonts w:hint="eastAsia"/>
          <w:sz w:val="24"/>
          <w:shd w:val="clear" w:color="auto" w:fill="FFFFFF"/>
        </w:rPr>
        <w:t>五原地处内蒙古河套平原腹地，县域南临黄河（属黄河最北端），北有阴山横亘，东临鹿城包头，西与临河市接壤，是一颗有着两千多年文明历史的塞上明珠。地理坐标为东经107°35′70″－108°37′50″，北纬40°46" 30′－41°16″45′。县境东西最长82公里，均长62.3公里，南北最宽55.5公里，均宽40公里。总面积2492.9平方公里。占河套灌区总面积的1/4。</w:t>
      </w:r>
    </w:p>
    <w:p>
      <w:pPr>
        <w:pStyle w:val="831"/>
        <w:spacing w:before="156" w:beforeLines="50" w:after="156" w:afterLines="50" w:line="360" w:lineRule="auto"/>
        <w:rPr>
          <w:rFonts w:cs="Times New Roman"/>
        </w:rPr>
      </w:pPr>
      <w:bookmarkStart w:id="260" w:name="_Toc489432995"/>
      <w:bookmarkStart w:id="261" w:name="_Toc143762323"/>
      <w:r>
        <w:rPr>
          <w:rFonts w:cs="Times New Roman"/>
        </w:rPr>
        <w:t>4.1.2地形和地貌</w:t>
      </w:r>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pPr>
        <w:widowControl/>
        <w:shd w:val="clear" w:color="auto" w:fill="FFFFFF"/>
        <w:adjustRightInd w:val="0"/>
        <w:snapToGrid w:val="0"/>
        <w:spacing w:line="360" w:lineRule="auto"/>
        <w:ind w:firstLine="480" w:firstLineChars="200"/>
        <w:rPr>
          <w:kern w:val="0"/>
          <w:sz w:val="24"/>
        </w:rPr>
      </w:pPr>
      <w:r>
        <w:rPr>
          <w:kern w:val="0"/>
          <w:sz w:val="24"/>
        </w:rPr>
        <w:t>五原县在大地构造单元上，属阴山天山纬向构造带，并受新华夏系构造的影响，形成内陆断陷盆地，整个辖区属河套平原，为第四纪松散的地层所覆盖，沉积了较厚的湖相地层。上部是冲积、风积层，主要岩性为细砂、粉砂和砂粘土互层。砂层层理清晰，厚度 10－70米。中部为河湖交替层，主要岩性为淤泥质、粉砂与粘土互层。下部为巨厚的新老第四纪湖相沉积层，主要岩性为淤泥质砂粘土。土质膏腴肥美，适于农作物及各种植被的生长。虽然有的土地呈盐碱化，但并不影响耐碱作物，如葵花、枸杞等作物的生长。</w:t>
      </w:r>
    </w:p>
    <w:p>
      <w:pPr>
        <w:widowControl/>
        <w:shd w:val="clear" w:color="auto" w:fill="FFFFFF"/>
        <w:adjustRightInd w:val="0"/>
        <w:snapToGrid w:val="0"/>
        <w:spacing w:line="360" w:lineRule="auto"/>
        <w:ind w:firstLine="480" w:firstLineChars="200"/>
        <w:rPr>
          <w:kern w:val="0"/>
          <w:sz w:val="24"/>
        </w:rPr>
      </w:pPr>
      <w:r>
        <w:rPr>
          <w:kern w:val="0"/>
          <w:sz w:val="24"/>
        </w:rPr>
        <w:t>五原境内因黄河冲积层在长期风蚀作用下形成许多风蚀洼地和黄河改道时冲刷的天然壕沟。这些洼地与壕沟长年积水，形成大小不同的海子（湖泊，俗称泊尔洞）。全县有面积三亩以上的海子 171个，总面积 5.45万亩；其中千亩以上的海子 5个，总面积 1.06万亩；百亩以上的海子 37个，总面积 1.33万亩。海子水深大于 1.5米的 116个，面积 2.71万亩。 1986年已被利用的水面 3.8万亩，占 70％。这些海子大多分布在县境西部的塔尔湖镇、银定图乡、海子堰乡、什巴乡，以及县境南部的套海镇、东部的胜丰镇。城南、美林、隆镇也有零星分布。</w:t>
      </w:r>
    </w:p>
    <w:p>
      <w:pPr>
        <w:pStyle w:val="831"/>
        <w:spacing w:before="156" w:beforeLines="50" w:after="156" w:afterLines="50" w:line="360" w:lineRule="auto"/>
        <w:rPr>
          <w:rFonts w:cs="Times New Roman"/>
        </w:rPr>
      </w:pPr>
      <w:bookmarkStart w:id="262" w:name="_Toc143762324"/>
      <w:bookmarkStart w:id="263" w:name="_Toc489432996"/>
      <w:r>
        <w:rPr>
          <w:rFonts w:cs="Times New Roman"/>
        </w:rPr>
        <w:t>4.1.3</w:t>
      </w:r>
      <w:r>
        <w:rPr>
          <w:rFonts w:hint="eastAsia" w:cs="Times New Roman"/>
        </w:rPr>
        <w:t>气候概况</w:t>
      </w:r>
      <w:bookmarkEnd w:id="262"/>
      <w:bookmarkEnd w:id="263"/>
    </w:p>
    <w:p>
      <w:pPr>
        <w:autoSpaceDE w:val="0"/>
        <w:autoSpaceDN w:val="0"/>
        <w:adjustRightInd w:val="0"/>
        <w:snapToGrid w:val="0"/>
        <w:spacing w:line="360" w:lineRule="auto"/>
        <w:ind w:firstLine="480" w:firstLineChars="200"/>
        <w:rPr>
          <w:rStyle w:val="2229"/>
        </w:rPr>
      </w:pPr>
      <w:bookmarkStart w:id="264" w:name="_Toc489432997"/>
      <w:r>
        <w:rPr>
          <w:rFonts w:hint="eastAsia"/>
          <w:sz w:val="24"/>
        </w:rPr>
        <w:t>五原县地处中温带大陆性气候与季风气候的交界处，四季分明，冬季漫长寒冷，春季多风干燥，夏季炎热短促。降水集中，雨热同季，日照充足，年平均气温</w:t>
      </w:r>
      <w:r>
        <w:rPr>
          <w:sz w:val="24"/>
        </w:rPr>
        <w:t>8.2</w:t>
      </w:r>
      <w:r>
        <w:rPr>
          <w:rFonts w:hint="eastAsia"/>
          <w:sz w:val="24"/>
        </w:rPr>
        <w:t>℃，极端最高气温</w:t>
      </w:r>
      <w:r>
        <w:rPr>
          <w:sz w:val="24"/>
        </w:rPr>
        <w:t>38.1</w:t>
      </w:r>
      <w:r>
        <w:rPr>
          <w:rFonts w:hint="eastAsia"/>
          <w:sz w:val="24"/>
        </w:rPr>
        <w:t>℃（</w:t>
      </w:r>
      <w:r>
        <w:rPr>
          <w:sz w:val="24"/>
        </w:rPr>
        <w:t xml:space="preserve">1999 </w:t>
      </w:r>
      <w:r>
        <w:rPr>
          <w:rFonts w:hint="eastAsia"/>
          <w:sz w:val="24"/>
        </w:rPr>
        <w:t>年</w:t>
      </w:r>
      <w:r>
        <w:rPr>
          <w:sz w:val="24"/>
        </w:rPr>
        <w:t xml:space="preserve">7 </w:t>
      </w:r>
      <w:r>
        <w:rPr>
          <w:rFonts w:hint="eastAsia"/>
          <w:sz w:val="24"/>
        </w:rPr>
        <w:t>月</w:t>
      </w:r>
      <w:r>
        <w:rPr>
          <w:sz w:val="24"/>
        </w:rPr>
        <w:t xml:space="preserve">26 </w:t>
      </w:r>
      <w:r>
        <w:rPr>
          <w:rFonts w:hint="eastAsia"/>
          <w:sz w:val="24"/>
        </w:rPr>
        <w:t>日），极端最低气温</w:t>
      </w:r>
      <w:r>
        <w:rPr>
          <w:sz w:val="24"/>
        </w:rPr>
        <w:t>-29</w:t>
      </w:r>
      <w:r>
        <w:rPr>
          <w:rFonts w:hint="eastAsia"/>
          <w:sz w:val="24"/>
        </w:rPr>
        <w:t>℃（</w:t>
      </w:r>
      <w:r>
        <w:rPr>
          <w:sz w:val="24"/>
        </w:rPr>
        <w:t xml:space="preserve">2008 </w:t>
      </w:r>
      <w:r>
        <w:rPr>
          <w:rFonts w:hint="eastAsia"/>
          <w:sz w:val="24"/>
        </w:rPr>
        <w:t>年</w:t>
      </w:r>
      <w:r>
        <w:rPr>
          <w:sz w:val="24"/>
        </w:rPr>
        <w:t xml:space="preserve">1 </w:t>
      </w:r>
      <w:r>
        <w:rPr>
          <w:rFonts w:hint="eastAsia"/>
          <w:sz w:val="24"/>
        </w:rPr>
        <w:t>月</w:t>
      </w:r>
      <w:r>
        <w:rPr>
          <w:sz w:val="24"/>
        </w:rPr>
        <w:t>24</w:t>
      </w:r>
      <w:r>
        <w:rPr>
          <w:rFonts w:hint="eastAsia"/>
          <w:sz w:val="24"/>
        </w:rPr>
        <w:t>日）。年平均日照时数</w:t>
      </w:r>
      <w:r>
        <w:rPr>
          <w:sz w:val="24"/>
        </w:rPr>
        <w:t xml:space="preserve">3047.4 </w:t>
      </w:r>
      <w:r>
        <w:rPr>
          <w:rFonts w:hint="eastAsia"/>
          <w:sz w:val="24"/>
        </w:rPr>
        <w:t>小时，全年无霜期为</w:t>
      </w:r>
      <w:r>
        <w:rPr>
          <w:sz w:val="24"/>
        </w:rPr>
        <w:t>127</w:t>
      </w:r>
      <w:r>
        <w:rPr>
          <w:rFonts w:hint="eastAsia"/>
          <w:sz w:val="24"/>
        </w:rPr>
        <w:t>～</w:t>
      </w:r>
      <w:r>
        <w:rPr>
          <w:sz w:val="24"/>
        </w:rPr>
        <w:t xml:space="preserve">213 </w:t>
      </w:r>
      <w:r>
        <w:rPr>
          <w:rFonts w:hint="eastAsia"/>
          <w:sz w:val="24"/>
        </w:rPr>
        <w:t>天，年平均风速</w:t>
      </w:r>
      <w:r>
        <w:rPr>
          <w:sz w:val="24"/>
        </w:rPr>
        <w:t>1.9</w:t>
      </w:r>
      <w:r>
        <w:rPr>
          <w:rFonts w:hint="eastAsia"/>
          <w:sz w:val="24"/>
        </w:rPr>
        <w:t>米</w:t>
      </w:r>
      <w:r>
        <w:rPr>
          <w:sz w:val="24"/>
        </w:rPr>
        <w:t>/</w:t>
      </w:r>
      <w:r>
        <w:rPr>
          <w:rFonts w:hint="eastAsia"/>
          <w:sz w:val="24"/>
        </w:rPr>
        <w:t>秒。降水量偏少，蒸发量大，年平均降水量</w:t>
      </w:r>
      <w:r>
        <w:rPr>
          <w:sz w:val="24"/>
        </w:rPr>
        <w:t>177mm</w:t>
      </w:r>
      <w:r>
        <w:rPr>
          <w:rFonts w:hint="eastAsia"/>
          <w:sz w:val="24"/>
        </w:rPr>
        <w:t>，年蒸发量</w:t>
      </w:r>
      <w:r>
        <w:rPr>
          <w:sz w:val="24"/>
        </w:rPr>
        <w:t>2093.2mm</w:t>
      </w:r>
      <w:r>
        <w:rPr>
          <w:rFonts w:hint="eastAsia"/>
          <w:sz w:val="24"/>
        </w:rPr>
        <w:t>，降水量由西向东逐渐增多。降水主要集中在</w:t>
      </w:r>
      <w:r>
        <w:rPr>
          <w:sz w:val="24"/>
        </w:rPr>
        <w:t>6</w:t>
      </w:r>
      <w:r>
        <w:rPr>
          <w:rFonts w:hint="eastAsia"/>
          <w:sz w:val="24"/>
        </w:rPr>
        <w:t>～</w:t>
      </w:r>
      <w:r>
        <w:rPr>
          <w:sz w:val="24"/>
        </w:rPr>
        <w:t xml:space="preserve">9 </w:t>
      </w:r>
      <w:r>
        <w:rPr>
          <w:rFonts w:hint="eastAsia"/>
          <w:sz w:val="24"/>
        </w:rPr>
        <w:t>月，占全年降水量的</w:t>
      </w:r>
      <w:r>
        <w:rPr>
          <w:sz w:val="24"/>
        </w:rPr>
        <w:t>75</w:t>
      </w:r>
      <w:r>
        <w:rPr>
          <w:rFonts w:hint="eastAsia"/>
          <w:sz w:val="24"/>
        </w:rPr>
        <w:t>～</w:t>
      </w:r>
      <w:r>
        <w:rPr>
          <w:sz w:val="24"/>
        </w:rPr>
        <w:t>80%</w:t>
      </w:r>
      <w:r>
        <w:rPr>
          <w:rFonts w:hint="eastAsia"/>
          <w:sz w:val="24"/>
        </w:rPr>
        <w:t>，日最</w:t>
      </w:r>
      <w:r>
        <w:rPr>
          <w:rStyle w:val="2229"/>
          <w:rFonts w:hint="eastAsia"/>
        </w:rPr>
        <w:t>大降水量</w:t>
      </w:r>
      <w:r>
        <w:rPr>
          <w:rStyle w:val="2229"/>
        </w:rPr>
        <w:t>92mm</w:t>
      </w:r>
      <w:r>
        <w:rPr>
          <w:rStyle w:val="2229"/>
          <w:rFonts w:hint="eastAsia"/>
        </w:rPr>
        <w:t>。主要气象灾害有冰雹、霜冻、寒潮、大风、洪涝、沙尘暴等。</w:t>
      </w:r>
    </w:p>
    <w:p>
      <w:pPr>
        <w:pStyle w:val="831"/>
        <w:spacing w:before="156" w:beforeLines="50" w:after="156" w:afterLines="50" w:line="360" w:lineRule="auto"/>
        <w:rPr>
          <w:rFonts w:cs="Times New Roman"/>
        </w:rPr>
      </w:pPr>
      <w:bookmarkStart w:id="265" w:name="_Toc143762325"/>
      <w:r>
        <w:rPr>
          <w:rFonts w:cs="Times New Roman"/>
        </w:rPr>
        <w:t>4.1.4</w:t>
      </w:r>
      <w:r>
        <w:rPr>
          <w:rFonts w:hint="eastAsia" w:cs="Times New Roman"/>
        </w:rPr>
        <w:t>动植物及</w:t>
      </w:r>
      <w:r>
        <w:rPr>
          <w:rFonts w:cs="Times New Roman"/>
        </w:rPr>
        <w:t>土壤</w:t>
      </w:r>
      <w:bookmarkEnd w:id="264"/>
      <w:bookmarkEnd w:id="265"/>
    </w:p>
    <w:p>
      <w:pPr>
        <w:autoSpaceDE w:val="0"/>
        <w:autoSpaceDN w:val="0"/>
        <w:adjustRightInd w:val="0"/>
        <w:snapToGrid w:val="0"/>
        <w:spacing w:line="360" w:lineRule="auto"/>
        <w:ind w:firstLine="480" w:firstLineChars="200"/>
        <w:rPr>
          <w:sz w:val="24"/>
        </w:rPr>
      </w:pPr>
      <w:bookmarkStart w:id="266" w:name="_Toc401479055"/>
      <w:bookmarkStart w:id="267" w:name="_Toc489432998"/>
      <w:bookmarkStart w:id="268" w:name="_Toc282069405"/>
      <w:r>
        <w:rPr>
          <w:rFonts w:hint="eastAsia"/>
          <w:sz w:val="24"/>
        </w:rPr>
        <w:t>五原县土壤类型可划分为灌淤土、盐土、碱土、风沙土、草甸土</w:t>
      </w:r>
      <w:r>
        <w:rPr>
          <w:sz w:val="24"/>
        </w:rPr>
        <w:t xml:space="preserve">5 </w:t>
      </w:r>
      <w:r>
        <w:rPr>
          <w:rFonts w:hint="eastAsia"/>
          <w:sz w:val="24"/>
        </w:rPr>
        <w:t>个土类、</w:t>
      </w:r>
      <w:r>
        <w:rPr>
          <w:sz w:val="24"/>
        </w:rPr>
        <w:t xml:space="preserve">8 </w:t>
      </w:r>
      <w:r>
        <w:rPr>
          <w:rFonts w:hint="eastAsia"/>
          <w:sz w:val="24"/>
        </w:rPr>
        <w:t>个亚类、</w:t>
      </w:r>
      <w:r>
        <w:rPr>
          <w:sz w:val="24"/>
        </w:rPr>
        <w:t xml:space="preserve">26 </w:t>
      </w:r>
      <w:r>
        <w:rPr>
          <w:rFonts w:hint="eastAsia"/>
          <w:sz w:val="24"/>
        </w:rPr>
        <w:t>个土属、</w:t>
      </w:r>
      <w:r>
        <w:rPr>
          <w:sz w:val="24"/>
        </w:rPr>
        <w:t xml:space="preserve">268 </w:t>
      </w:r>
      <w:r>
        <w:rPr>
          <w:rFonts w:hint="eastAsia"/>
          <w:sz w:val="24"/>
        </w:rPr>
        <w:t>个土种。灌淤土在全县分布广、面积大，是本县耕地的主要土类；盐土在本县面积较大，是荒地的主要土类，只生长一些红柳、碱蓬、盐蒿、猪尾巴等盐生植物；碱土在本县面积较少，土壤的物理性状差，结构不良，难以改造利用；草甸土全县面积较少，是天然的牧场；风沙土在全县分布较少，是发展林业生产和基地和天然牧草场。</w:t>
      </w:r>
    </w:p>
    <w:bookmarkEnd w:id="266"/>
    <w:bookmarkEnd w:id="267"/>
    <w:bookmarkEnd w:id="268"/>
    <w:p>
      <w:pPr>
        <w:jc w:val="center"/>
        <w:rPr>
          <w:b/>
        </w:rPr>
        <w:sectPr>
          <w:pgSz w:w="11906" w:h="16838"/>
          <w:pgMar w:top="1440" w:right="1800" w:bottom="1440" w:left="1800" w:header="851" w:footer="992" w:gutter="0"/>
          <w:cols w:space="720" w:num="1"/>
          <w:docGrid w:type="lines" w:linePitch="312" w:charSpace="0"/>
        </w:sectPr>
      </w:pPr>
    </w:p>
    <w:p>
      <w:pPr>
        <w:pStyle w:val="347"/>
        <w:keepNext w:val="0"/>
        <w:topLinePunct w:val="0"/>
        <w:spacing w:before="156" w:beforeLines="50" w:after="156" w:afterLines="50" w:line="360" w:lineRule="auto"/>
        <w:rPr>
          <w:rFonts w:cs="Times New Roman"/>
        </w:rPr>
      </w:pPr>
      <w:bookmarkStart w:id="269" w:name="_Toc143762326"/>
      <w:bookmarkStart w:id="270" w:name="_Toc489432999"/>
      <w:r>
        <w:rPr>
          <w:rFonts w:cs="Times New Roman"/>
        </w:rPr>
        <w:t>4.2环境质量现状评价</w:t>
      </w:r>
      <w:bookmarkEnd w:id="269"/>
      <w:bookmarkEnd w:id="270"/>
    </w:p>
    <w:p>
      <w:pPr>
        <w:adjustRightInd w:val="0"/>
        <w:snapToGrid w:val="0"/>
        <w:spacing w:line="360" w:lineRule="auto"/>
        <w:outlineLvl w:val="2"/>
        <w:rPr>
          <w:b/>
          <w:bCs/>
          <w:sz w:val="28"/>
          <w:szCs w:val="32"/>
        </w:rPr>
      </w:pPr>
      <w:bookmarkStart w:id="271" w:name="_Toc489433000"/>
      <w:bookmarkStart w:id="272" w:name="_Toc143762327"/>
      <w:r>
        <w:rPr>
          <w:b/>
          <w:bCs/>
          <w:sz w:val="28"/>
          <w:szCs w:val="32"/>
        </w:rPr>
        <w:t>4.2.1大气环境现状监测与评价</w:t>
      </w:r>
      <w:bookmarkEnd w:id="271"/>
      <w:bookmarkEnd w:id="272"/>
    </w:p>
    <w:p>
      <w:pPr>
        <w:adjustRightInd w:val="0"/>
        <w:snapToGrid w:val="0"/>
        <w:spacing w:line="360" w:lineRule="auto"/>
        <w:rPr>
          <w:b/>
          <w:sz w:val="24"/>
        </w:rPr>
      </w:pPr>
      <w:bookmarkStart w:id="273" w:name="_Toc151265529"/>
      <w:bookmarkStart w:id="274" w:name="_Toc151266949"/>
      <w:bookmarkStart w:id="275" w:name="_Toc401479077"/>
      <w:r>
        <w:rPr>
          <w:rFonts w:hint="eastAsia"/>
          <w:b/>
          <w:sz w:val="24"/>
        </w:rPr>
        <w:t>一、达标区判定</w:t>
      </w:r>
    </w:p>
    <w:p>
      <w:pPr>
        <w:pStyle w:val="2248"/>
        <w:adjustRightInd w:val="0"/>
        <w:snapToGrid w:val="0"/>
        <w:spacing w:line="360" w:lineRule="auto"/>
        <w:ind w:firstLine="480" w:firstLineChars="200"/>
        <w:rPr>
          <w:color w:val="FF0000"/>
          <w:sz w:val="24"/>
          <w:szCs w:val="24"/>
        </w:rPr>
      </w:pPr>
      <w:r>
        <w:rPr>
          <w:color w:val="FF0000"/>
          <w:sz w:val="24"/>
          <w:szCs w:val="24"/>
        </w:rPr>
        <w:t>本项目所在区域达标判定引用2022年巴彦淖尔市大气公报中五原县隆兴昌镇监测数据平均值</w:t>
      </w:r>
      <w:r>
        <w:rPr>
          <w:color w:val="FF0000"/>
          <w:sz w:val="24"/>
        </w:rPr>
        <w:t>，</w:t>
      </w:r>
      <w:r>
        <w:rPr>
          <w:rFonts w:hint="eastAsia"/>
          <w:color w:val="FF0000"/>
          <w:sz w:val="24"/>
        </w:rPr>
        <w:t>五原县隆兴昌镇</w:t>
      </w:r>
      <w:r>
        <w:rPr>
          <w:color w:val="FF0000"/>
          <w:sz w:val="24"/>
        </w:rPr>
        <w:t>2022年SO</w:t>
      </w:r>
      <w:r>
        <w:rPr>
          <w:color w:val="FF0000"/>
          <w:sz w:val="24"/>
          <w:vertAlign w:val="subscript"/>
        </w:rPr>
        <w:t>2</w:t>
      </w:r>
      <w:r>
        <w:rPr>
          <w:color w:val="FF0000"/>
          <w:sz w:val="24"/>
        </w:rPr>
        <w:t>、NO</w:t>
      </w:r>
      <w:r>
        <w:rPr>
          <w:color w:val="FF0000"/>
          <w:sz w:val="24"/>
          <w:vertAlign w:val="subscript"/>
        </w:rPr>
        <w:t>2</w:t>
      </w:r>
      <w:r>
        <w:rPr>
          <w:color w:val="FF0000"/>
          <w:sz w:val="24"/>
        </w:rPr>
        <w:t>、PM</w:t>
      </w:r>
      <w:r>
        <w:rPr>
          <w:color w:val="FF0000"/>
          <w:sz w:val="24"/>
          <w:vertAlign w:val="subscript"/>
        </w:rPr>
        <w:t>10</w:t>
      </w:r>
      <w:r>
        <w:rPr>
          <w:color w:val="FF0000"/>
          <w:sz w:val="24"/>
        </w:rPr>
        <w:t>、PM</w:t>
      </w:r>
      <w:r>
        <w:rPr>
          <w:color w:val="FF0000"/>
          <w:sz w:val="24"/>
          <w:vertAlign w:val="subscript"/>
        </w:rPr>
        <w:t>2.5</w:t>
      </w:r>
      <w:r>
        <w:rPr>
          <w:color w:val="FF0000"/>
          <w:sz w:val="24"/>
        </w:rPr>
        <w:t>年均浓度分别为12 ug/m</w:t>
      </w:r>
      <w:r>
        <w:rPr>
          <w:color w:val="FF0000"/>
          <w:sz w:val="24"/>
          <w:vertAlign w:val="superscript"/>
        </w:rPr>
        <w:t>3</w:t>
      </w:r>
      <w:r>
        <w:rPr>
          <w:color w:val="FF0000"/>
          <w:sz w:val="24"/>
        </w:rPr>
        <w:t>、20 ug/m</w:t>
      </w:r>
      <w:r>
        <w:rPr>
          <w:color w:val="FF0000"/>
          <w:sz w:val="24"/>
          <w:vertAlign w:val="superscript"/>
        </w:rPr>
        <w:t>3</w:t>
      </w:r>
      <w:r>
        <w:rPr>
          <w:color w:val="FF0000"/>
          <w:sz w:val="24"/>
        </w:rPr>
        <w:t>、56 ug/m</w:t>
      </w:r>
      <w:r>
        <w:rPr>
          <w:color w:val="FF0000"/>
          <w:sz w:val="24"/>
          <w:vertAlign w:val="superscript"/>
        </w:rPr>
        <w:t>3</w:t>
      </w:r>
      <w:r>
        <w:rPr>
          <w:color w:val="FF0000"/>
          <w:sz w:val="24"/>
        </w:rPr>
        <w:t>、27 ug/m</w:t>
      </w:r>
      <w:r>
        <w:rPr>
          <w:color w:val="FF0000"/>
          <w:sz w:val="24"/>
          <w:vertAlign w:val="superscript"/>
        </w:rPr>
        <w:t>3</w:t>
      </w:r>
      <w:r>
        <w:rPr>
          <w:color w:val="FF0000"/>
          <w:sz w:val="24"/>
        </w:rPr>
        <w:t>；CO 24小时平均第95百分位数为1.4mg/m</w:t>
      </w:r>
      <w:r>
        <w:rPr>
          <w:color w:val="FF0000"/>
          <w:sz w:val="24"/>
          <w:vertAlign w:val="superscript"/>
        </w:rPr>
        <w:t>3</w:t>
      </w:r>
      <w:r>
        <w:rPr>
          <w:color w:val="FF0000"/>
          <w:sz w:val="24"/>
        </w:rPr>
        <w:t>，O</w:t>
      </w:r>
      <w:r>
        <w:rPr>
          <w:color w:val="FF0000"/>
          <w:sz w:val="24"/>
          <w:vertAlign w:val="subscript"/>
        </w:rPr>
        <w:t>3</w:t>
      </w:r>
      <w:r>
        <w:rPr>
          <w:color w:val="FF0000"/>
          <w:sz w:val="24"/>
        </w:rPr>
        <w:t>日最大8小时平均第90百分位数为145 ug/m</w:t>
      </w:r>
      <w:r>
        <w:rPr>
          <w:color w:val="FF0000"/>
          <w:sz w:val="24"/>
          <w:vertAlign w:val="superscript"/>
        </w:rPr>
        <w:t>3</w:t>
      </w:r>
      <w:r>
        <w:rPr>
          <w:rFonts w:hint="eastAsia"/>
          <w:color w:val="FF0000"/>
          <w:sz w:val="24"/>
        </w:rPr>
        <w:t>，均满足《环境空气质量标准》（GB3095—2012）中二级标准的限值，</w:t>
      </w:r>
      <w:r>
        <w:rPr>
          <w:color w:val="FF0000"/>
          <w:sz w:val="24"/>
        </w:rPr>
        <w:t>区域判定结果为达标区。</w:t>
      </w:r>
    </w:p>
    <w:p>
      <w:pPr>
        <w:adjustRightInd w:val="0"/>
        <w:snapToGrid w:val="0"/>
        <w:jc w:val="center"/>
        <w:rPr>
          <w:b/>
          <w:color w:val="FF0000"/>
          <w:sz w:val="24"/>
        </w:rPr>
      </w:pPr>
      <w:r>
        <w:rPr>
          <w:b/>
          <w:color w:val="FF0000"/>
          <w:sz w:val="24"/>
        </w:rPr>
        <w:t>表</w:t>
      </w:r>
      <w:r>
        <w:rPr>
          <w:rFonts w:hint="eastAsia"/>
          <w:b/>
          <w:color w:val="FF0000"/>
          <w:sz w:val="24"/>
        </w:rPr>
        <w:t>4.</w:t>
      </w:r>
      <w:r>
        <w:rPr>
          <w:b/>
          <w:color w:val="FF0000"/>
          <w:sz w:val="24"/>
        </w:rPr>
        <w:t>2</w:t>
      </w:r>
      <w:r>
        <w:rPr>
          <w:rFonts w:hint="eastAsia"/>
          <w:b/>
          <w:color w:val="FF0000"/>
          <w:sz w:val="24"/>
        </w:rPr>
        <w:t xml:space="preserve">-1 </w:t>
      </w:r>
      <w:r>
        <w:rPr>
          <w:b/>
          <w:color w:val="FF0000"/>
          <w:sz w:val="24"/>
        </w:rPr>
        <w:t xml:space="preserve"> 区域空气质量现状评价</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3162"/>
        <w:gridCol w:w="1408"/>
        <w:gridCol w:w="1270"/>
        <w:gridCol w:w="953"/>
        <w:gridCol w:w="9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2" w:type="pct"/>
            <w:shd w:val="clear" w:color="auto" w:fill="auto"/>
            <w:vAlign w:val="center"/>
          </w:tcPr>
          <w:p>
            <w:pPr>
              <w:jc w:val="center"/>
              <w:rPr>
                <w:color w:val="FF0000"/>
                <w:kern w:val="0"/>
                <w:szCs w:val="21"/>
              </w:rPr>
            </w:pPr>
            <w:r>
              <w:rPr>
                <w:color w:val="FF0000"/>
                <w:kern w:val="0"/>
                <w:szCs w:val="21"/>
              </w:rPr>
              <w:t>污染物</w:t>
            </w:r>
          </w:p>
        </w:tc>
        <w:tc>
          <w:tcPr>
            <w:tcW w:w="1855" w:type="pct"/>
            <w:shd w:val="clear" w:color="auto" w:fill="auto"/>
            <w:vAlign w:val="center"/>
          </w:tcPr>
          <w:p>
            <w:pPr>
              <w:jc w:val="center"/>
              <w:rPr>
                <w:color w:val="FF0000"/>
                <w:kern w:val="0"/>
                <w:szCs w:val="21"/>
              </w:rPr>
            </w:pPr>
            <w:r>
              <w:rPr>
                <w:color w:val="FF0000"/>
                <w:kern w:val="0"/>
                <w:szCs w:val="21"/>
              </w:rPr>
              <w:t>年评价指标</w:t>
            </w:r>
          </w:p>
        </w:tc>
        <w:tc>
          <w:tcPr>
            <w:tcW w:w="826" w:type="pct"/>
            <w:shd w:val="clear" w:color="auto" w:fill="auto"/>
            <w:vAlign w:val="center"/>
          </w:tcPr>
          <w:p>
            <w:pPr>
              <w:jc w:val="center"/>
              <w:rPr>
                <w:color w:val="FF0000"/>
                <w:kern w:val="0"/>
                <w:szCs w:val="21"/>
              </w:rPr>
            </w:pPr>
            <w:r>
              <w:rPr>
                <w:color w:val="FF0000"/>
                <w:kern w:val="0"/>
                <w:szCs w:val="21"/>
              </w:rPr>
              <w:t>现状浓度/（μg/m</w:t>
            </w:r>
            <w:r>
              <w:rPr>
                <w:color w:val="FF0000"/>
                <w:kern w:val="0"/>
                <w:szCs w:val="21"/>
                <w:vertAlign w:val="superscript"/>
              </w:rPr>
              <w:t>3</w:t>
            </w:r>
            <w:r>
              <w:rPr>
                <w:color w:val="FF0000"/>
                <w:kern w:val="0"/>
                <w:szCs w:val="21"/>
              </w:rPr>
              <w:t>）</w:t>
            </w:r>
          </w:p>
        </w:tc>
        <w:tc>
          <w:tcPr>
            <w:tcW w:w="745" w:type="pct"/>
            <w:shd w:val="clear" w:color="auto" w:fill="auto"/>
            <w:vAlign w:val="center"/>
          </w:tcPr>
          <w:p>
            <w:pPr>
              <w:jc w:val="center"/>
              <w:rPr>
                <w:color w:val="FF0000"/>
                <w:kern w:val="0"/>
                <w:szCs w:val="21"/>
              </w:rPr>
            </w:pPr>
            <w:r>
              <w:rPr>
                <w:color w:val="FF0000"/>
                <w:kern w:val="0"/>
                <w:szCs w:val="21"/>
              </w:rPr>
              <w:t>标准值/（μg/m</w:t>
            </w:r>
            <w:r>
              <w:rPr>
                <w:color w:val="FF0000"/>
                <w:kern w:val="0"/>
                <w:szCs w:val="21"/>
                <w:vertAlign w:val="superscript"/>
              </w:rPr>
              <w:t>3</w:t>
            </w:r>
            <w:r>
              <w:rPr>
                <w:color w:val="FF0000"/>
                <w:kern w:val="0"/>
                <w:szCs w:val="21"/>
              </w:rPr>
              <w:t>）</w:t>
            </w:r>
          </w:p>
        </w:tc>
        <w:tc>
          <w:tcPr>
            <w:tcW w:w="559" w:type="pct"/>
            <w:shd w:val="clear" w:color="auto" w:fill="auto"/>
            <w:vAlign w:val="center"/>
          </w:tcPr>
          <w:p>
            <w:pPr>
              <w:jc w:val="center"/>
              <w:rPr>
                <w:color w:val="FF0000"/>
                <w:kern w:val="0"/>
                <w:szCs w:val="21"/>
              </w:rPr>
            </w:pPr>
            <w:r>
              <w:rPr>
                <w:color w:val="FF0000"/>
                <w:kern w:val="0"/>
                <w:szCs w:val="21"/>
              </w:rPr>
              <w:t>占标率/%</w:t>
            </w:r>
          </w:p>
        </w:tc>
        <w:tc>
          <w:tcPr>
            <w:tcW w:w="554" w:type="pct"/>
            <w:shd w:val="clear" w:color="auto" w:fill="auto"/>
            <w:vAlign w:val="center"/>
          </w:tcPr>
          <w:p>
            <w:pPr>
              <w:jc w:val="center"/>
              <w:rPr>
                <w:color w:val="FF0000"/>
                <w:kern w:val="0"/>
                <w:szCs w:val="21"/>
              </w:rPr>
            </w:pPr>
            <w:r>
              <w:rPr>
                <w:color w:val="FF0000"/>
                <w:kern w:val="0"/>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2" w:type="pct"/>
            <w:shd w:val="clear" w:color="auto" w:fill="auto"/>
            <w:vAlign w:val="center"/>
          </w:tcPr>
          <w:p>
            <w:pPr>
              <w:jc w:val="center"/>
              <w:rPr>
                <w:color w:val="FF0000"/>
                <w:kern w:val="0"/>
                <w:szCs w:val="21"/>
              </w:rPr>
            </w:pPr>
            <w:r>
              <w:rPr>
                <w:color w:val="FF0000"/>
                <w:kern w:val="0"/>
                <w:szCs w:val="21"/>
              </w:rPr>
              <w:t>SO</w:t>
            </w:r>
            <w:r>
              <w:rPr>
                <w:color w:val="FF0000"/>
                <w:kern w:val="0"/>
                <w:szCs w:val="21"/>
                <w:vertAlign w:val="subscript"/>
              </w:rPr>
              <w:t>2</w:t>
            </w:r>
          </w:p>
        </w:tc>
        <w:tc>
          <w:tcPr>
            <w:tcW w:w="1855" w:type="pct"/>
            <w:shd w:val="clear" w:color="auto" w:fill="auto"/>
            <w:vAlign w:val="center"/>
          </w:tcPr>
          <w:p>
            <w:pPr>
              <w:jc w:val="center"/>
              <w:rPr>
                <w:color w:val="FF0000"/>
                <w:kern w:val="0"/>
                <w:szCs w:val="21"/>
              </w:rPr>
            </w:pPr>
            <w:r>
              <w:rPr>
                <w:color w:val="FF0000"/>
                <w:kern w:val="0"/>
                <w:szCs w:val="21"/>
              </w:rPr>
              <w:t>年平均质量浓度</w:t>
            </w:r>
          </w:p>
        </w:tc>
        <w:tc>
          <w:tcPr>
            <w:tcW w:w="826" w:type="pct"/>
            <w:shd w:val="clear" w:color="auto" w:fill="auto"/>
            <w:vAlign w:val="center"/>
          </w:tcPr>
          <w:p>
            <w:pPr>
              <w:jc w:val="center"/>
              <w:rPr>
                <w:color w:val="FF0000"/>
                <w:kern w:val="0"/>
                <w:szCs w:val="21"/>
              </w:rPr>
            </w:pPr>
            <w:r>
              <w:rPr>
                <w:color w:val="FF0000"/>
                <w:kern w:val="0"/>
                <w:szCs w:val="21"/>
              </w:rPr>
              <w:t>12</w:t>
            </w:r>
          </w:p>
        </w:tc>
        <w:tc>
          <w:tcPr>
            <w:tcW w:w="745" w:type="pct"/>
            <w:shd w:val="clear" w:color="auto" w:fill="auto"/>
            <w:vAlign w:val="center"/>
          </w:tcPr>
          <w:p>
            <w:pPr>
              <w:jc w:val="center"/>
              <w:rPr>
                <w:color w:val="FF0000"/>
                <w:kern w:val="0"/>
                <w:szCs w:val="21"/>
              </w:rPr>
            </w:pPr>
            <w:r>
              <w:rPr>
                <w:color w:val="FF0000"/>
                <w:kern w:val="0"/>
                <w:szCs w:val="21"/>
              </w:rPr>
              <w:t>60</w:t>
            </w:r>
          </w:p>
        </w:tc>
        <w:tc>
          <w:tcPr>
            <w:tcW w:w="559" w:type="pct"/>
            <w:shd w:val="clear" w:color="auto" w:fill="auto"/>
            <w:vAlign w:val="center"/>
          </w:tcPr>
          <w:p>
            <w:pPr>
              <w:jc w:val="center"/>
              <w:rPr>
                <w:color w:val="FF0000"/>
                <w:szCs w:val="21"/>
              </w:rPr>
            </w:pPr>
            <w:r>
              <w:rPr>
                <w:color w:val="FF0000"/>
              </w:rPr>
              <w:t>20.00</w:t>
            </w:r>
          </w:p>
        </w:tc>
        <w:tc>
          <w:tcPr>
            <w:tcW w:w="554" w:type="pct"/>
            <w:shd w:val="clear" w:color="auto" w:fill="auto"/>
            <w:vAlign w:val="center"/>
          </w:tcPr>
          <w:p>
            <w:pPr>
              <w:jc w:val="center"/>
              <w:rPr>
                <w:color w:val="FF0000"/>
                <w:kern w:val="0"/>
                <w:szCs w:val="21"/>
              </w:rPr>
            </w:pPr>
            <w:r>
              <w:rPr>
                <w:color w:val="FF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2" w:type="pct"/>
            <w:shd w:val="clear" w:color="auto" w:fill="auto"/>
            <w:vAlign w:val="center"/>
          </w:tcPr>
          <w:p>
            <w:pPr>
              <w:jc w:val="center"/>
              <w:rPr>
                <w:color w:val="FF0000"/>
                <w:kern w:val="0"/>
                <w:szCs w:val="21"/>
              </w:rPr>
            </w:pPr>
            <w:r>
              <w:rPr>
                <w:color w:val="FF0000"/>
                <w:kern w:val="0"/>
                <w:szCs w:val="21"/>
              </w:rPr>
              <w:t>NO</w:t>
            </w:r>
            <w:r>
              <w:rPr>
                <w:color w:val="FF0000"/>
                <w:kern w:val="0"/>
                <w:szCs w:val="21"/>
                <w:vertAlign w:val="subscript"/>
              </w:rPr>
              <w:t>2</w:t>
            </w:r>
          </w:p>
        </w:tc>
        <w:tc>
          <w:tcPr>
            <w:tcW w:w="1855" w:type="pct"/>
            <w:shd w:val="clear" w:color="auto" w:fill="auto"/>
            <w:vAlign w:val="center"/>
          </w:tcPr>
          <w:p>
            <w:pPr>
              <w:jc w:val="center"/>
              <w:rPr>
                <w:color w:val="FF0000"/>
                <w:kern w:val="0"/>
                <w:szCs w:val="21"/>
              </w:rPr>
            </w:pPr>
            <w:r>
              <w:rPr>
                <w:color w:val="FF0000"/>
                <w:kern w:val="0"/>
                <w:szCs w:val="21"/>
              </w:rPr>
              <w:t>年平均质量浓度</w:t>
            </w:r>
          </w:p>
        </w:tc>
        <w:tc>
          <w:tcPr>
            <w:tcW w:w="826" w:type="pct"/>
            <w:shd w:val="clear" w:color="auto" w:fill="auto"/>
            <w:vAlign w:val="center"/>
          </w:tcPr>
          <w:p>
            <w:pPr>
              <w:jc w:val="center"/>
              <w:rPr>
                <w:color w:val="FF0000"/>
                <w:kern w:val="0"/>
                <w:szCs w:val="21"/>
              </w:rPr>
            </w:pPr>
            <w:r>
              <w:rPr>
                <w:color w:val="FF0000"/>
                <w:kern w:val="0"/>
                <w:szCs w:val="21"/>
              </w:rPr>
              <w:t>20</w:t>
            </w:r>
          </w:p>
        </w:tc>
        <w:tc>
          <w:tcPr>
            <w:tcW w:w="745" w:type="pct"/>
            <w:shd w:val="clear" w:color="auto" w:fill="auto"/>
            <w:vAlign w:val="center"/>
          </w:tcPr>
          <w:p>
            <w:pPr>
              <w:jc w:val="center"/>
              <w:rPr>
                <w:color w:val="FF0000"/>
                <w:kern w:val="0"/>
                <w:szCs w:val="21"/>
              </w:rPr>
            </w:pPr>
            <w:r>
              <w:rPr>
                <w:color w:val="FF0000"/>
                <w:kern w:val="0"/>
                <w:szCs w:val="21"/>
              </w:rPr>
              <w:t>50</w:t>
            </w:r>
          </w:p>
        </w:tc>
        <w:tc>
          <w:tcPr>
            <w:tcW w:w="559" w:type="pct"/>
            <w:shd w:val="clear" w:color="auto" w:fill="auto"/>
            <w:vAlign w:val="center"/>
          </w:tcPr>
          <w:p>
            <w:pPr>
              <w:jc w:val="center"/>
              <w:rPr>
                <w:color w:val="FF0000"/>
                <w:szCs w:val="21"/>
              </w:rPr>
            </w:pPr>
            <w:r>
              <w:rPr>
                <w:color w:val="FF0000"/>
              </w:rPr>
              <w:t>40.00</w:t>
            </w:r>
          </w:p>
        </w:tc>
        <w:tc>
          <w:tcPr>
            <w:tcW w:w="554" w:type="pct"/>
            <w:shd w:val="clear" w:color="auto" w:fill="auto"/>
            <w:vAlign w:val="center"/>
          </w:tcPr>
          <w:p>
            <w:pPr>
              <w:jc w:val="center"/>
              <w:rPr>
                <w:color w:val="FF0000"/>
                <w:kern w:val="0"/>
                <w:szCs w:val="21"/>
              </w:rPr>
            </w:pPr>
            <w:r>
              <w:rPr>
                <w:color w:val="FF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2" w:type="pct"/>
            <w:shd w:val="clear" w:color="auto" w:fill="auto"/>
            <w:vAlign w:val="center"/>
          </w:tcPr>
          <w:p>
            <w:pPr>
              <w:jc w:val="center"/>
              <w:rPr>
                <w:color w:val="FF0000"/>
                <w:kern w:val="0"/>
                <w:szCs w:val="21"/>
              </w:rPr>
            </w:pPr>
            <w:r>
              <w:rPr>
                <w:color w:val="FF0000"/>
                <w:kern w:val="0"/>
                <w:szCs w:val="21"/>
              </w:rPr>
              <w:t>PM</w:t>
            </w:r>
            <w:r>
              <w:rPr>
                <w:color w:val="FF0000"/>
                <w:kern w:val="0"/>
                <w:szCs w:val="21"/>
                <w:vertAlign w:val="subscript"/>
              </w:rPr>
              <w:t>10</w:t>
            </w:r>
          </w:p>
        </w:tc>
        <w:tc>
          <w:tcPr>
            <w:tcW w:w="1855" w:type="pct"/>
            <w:shd w:val="clear" w:color="auto" w:fill="auto"/>
            <w:vAlign w:val="center"/>
          </w:tcPr>
          <w:p>
            <w:pPr>
              <w:jc w:val="center"/>
              <w:rPr>
                <w:color w:val="FF0000"/>
                <w:kern w:val="0"/>
                <w:szCs w:val="21"/>
              </w:rPr>
            </w:pPr>
            <w:r>
              <w:rPr>
                <w:color w:val="FF0000"/>
                <w:kern w:val="0"/>
                <w:szCs w:val="21"/>
              </w:rPr>
              <w:t>年平均质量浓度</w:t>
            </w:r>
          </w:p>
        </w:tc>
        <w:tc>
          <w:tcPr>
            <w:tcW w:w="826" w:type="pct"/>
            <w:shd w:val="clear" w:color="auto" w:fill="auto"/>
            <w:vAlign w:val="center"/>
          </w:tcPr>
          <w:p>
            <w:pPr>
              <w:jc w:val="center"/>
              <w:rPr>
                <w:color w:val="FF0000"/>
                <w:kern w:val="0"/>
                <w:szCs w:val="21"/>
              </w:rPr>
            </w:pPr>
            <w:r>
              <w:rPr>
                <w:color w:val="FF0000"/>
                <w:kern w:val="0"/>
                <w:szCs w:val="21"/>
              </w:rPr>
              <w:t>56</w:t>
            </w:r>
          </w:p>
        </w:tc>
        <w:tc>
          <w:tcPr>
            <w:tcW w:w="745" w:type="pct"/>
            <w:shd w:val="clear" w:color="auto" w:fill="auto"/>
            <w:vAlign w:val="center"/>
          </w:tcPr>
          <w:p>
            <w:pPr>
              <w:jc w:val="center"/>
              <w:rPr>
                <w:color w:val="FF0000"/>
                <w:kern w:val="0"/>
                <w:szCs w:val="21"/>
              </w:rPr>
            </w:pPr>
            <w:r>
              <w:rPr>
                <w:color w:val="FF0000"/>
                <w:kern w:val="0"/>
                <w:szCs w:val="21"/>
              </w:rPr>
              <w:t>70</w:t>
            </w:r>
          </w:p>
        </w:tc>
        <w:tc>
          <w:tcPr>
            <w:tcW w:w="559" w:type="pct"/>
            <w:shd w:val="clear" w:color="auto" w:fill="auto"/>
            <w:vAlign w:val="center"/>
          </w:tcPr>
          <w:p>
            <w:pPr>
              <w:jc w:val="center"/>
              <w:rPr>
                <w:color w:val="FF0000"/>
                <w:szCs w:val="21"/>
              </w:rPr>
            </w:pPr>
            <w:r>
              <w:rPr>
                <w:color w:val="FF0000"/>
              </w:rPr>
              <w:t>80.00</w:t>
            </w:r>
          </w:p>
        </w:tc>
        <w:tc>
          <w:tcPr>
            <w:tcW w:w="554" w:type="pct"/>
            <w:shd w:val="clear" w:color="auto" w:fill="auto"/>
            <w:vAlign w:val="center"/>
          </w:tcPr>
          <w:p>
            <w:pPr>
              <w:jc w:val="center"/>
              <w:rPr>
                <w:color w:val="FF0000"/>
                <w:kern w:val="0"/>
                <w:szCs w:val="21"/>
              </w:rPr>
            </w:pPr>
            <w:r>
              <w:rPr>
                <w:color w:val="FF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2" w:type="pct"/>
            <w:shd w:val="clear" w:color="auto" w:fill="auto"/>
            <w:vAlign w:val="center"/>
          </w:tcPr>
          <w:p>
            <w:pPr>
              <w:jc w:val="center"/>
              <w:rPr>
                <w:color w:val="FF0000"/>
                <w:kern w:val="0"/>
                <w:szCs w:val="21"/>
              </w:rPr>
            </w:pPr>
            <w:r>
              <w:rPr>
                <w:color w:val="FF0000"/>
                <w:kern w:val="0"/>
                <w:szCs w:val="21"/>
              </w:rPr>
              <w:t>PM</w:t>
            </w:r>
            <w:r>
              <w:rPr>
                <w:color w:val="FF0000"/>
                <w:kern w:val="0"/>
                <w:szCs w:val="21"/>
                <w:vertAlign w:val="subscript"/>
              </w:rPr>
              <w:t>2.5</w:t>
            </w:r>
          </w:p>
        </w:tc>
        <w:tc>
          <w:tcPr>
            <w:tcW w:w="1855" w:type="pct"/>
            <w:shd w:val="clear" w:color="auto" w:fill="auto"/>
            <w:vAlign w:val="center"/>
          </w:tcPr>
          <w:p>
            <w:pPr>
              <w:jc w:val="center"/>
              <w:rPr>
                <w:color w:val="FF0000"/>
                <w:kern w:val="0"/>
                <w:szCs w:val="21"/>
              </w:rPr>
            </w:pPr>
            <w:r>
              <w:rPr>
                <w:color w:val="FF0000"/>
                <w:kern w:val="0"/>
                <w:szCs w:val="21"/>
              </w:rPr>
              <w:t>年平均质量浓度</w:t>
            </w:r>
          </w:p>
        </w:tc>
        <w:tc>
          <w:tcPr>
            <w:tcW w:w="826" w:type="pct"/>
            <w:shd w:val="clear" w:color="auto" w:fill="auto"/>
            <w:vAlign w:val="center"/>
          </w:tcPr>
          <w:p>
            <w:pPr>
              <w:jc w:val="center"/>
              <w:rPr>
                <w:color w:val="FF0000"/>
                <w:kern w:val="0"/>
                <w:szCs w:val="21"/>
              </w:rPr>
            </w:pPr>
            <w:r>
              <w:rPr>
                <w:color w:val="FF0000"/>
                <w:kern w:val="0"/>
                <w:szCs w:val="21"/>
              </w:rPr>
              <w:t>27</w:t>
            </w:r>
          </w:p>
        </w:tc>
        <w:tc>
          <w:tcPr>
            <w:tcW w:w="745" w:type="pct"/>
            <w:shd w:val="clear" w:color="auto" w:fill="auto"/>
            <w:vAlign w:val="center"/>
          </w:tcPr>
          <w:p>
            <w:pPr>
              <w:jc w:val="center"/>
              <w:rPr>
                <w:color w:val="FF0000"/>
                <w:kern w:val="0"/>
                <w:szCs w:val="21"/>
              </w:rPr>
            </w:pPr>
            <w:r>
              <w:rPr>
                <w:color w:val="FF0000"/>
                <w:kern w:val="0"/>
                <w:szCs w:val="21"/>
              </w:rPr>
              <w:t>35</w:t>
            </w:r>
          </w:p>
        </w:tc>
        <w:tc>
          <w:tcPr>
            <w:tcW w:w="559" w:type="pct"/>
            <w:shd w:val="clear" w:color="auto" w:fill="auto"/>
            <w:vAlign w:val="center"/>
          </w:tcPr>
          <w:p>
            <w:pPr>
              <w:jc w:val="center"/>
              <w:rPr>
                <w:color w:val="FF0000"/>
                <w:szCs w:val="21"/>
              </w:rPr>
            </w:pPr>
            <w:r>
              <w:rPr>
                <w:color w:val="FF0000"/>
              </w:rPr>
              <w:t>77.14</w:t>
            </w:r>
          </w:p>
        </w:tc>
        <w:tc>
          <w:tcPr>
            <w:tcW w:w="554" w:type="pct"/>
            <w:shd w:val="clear" w:color="auto" w:fill="auto"/>
            <w:vAlign w:val="center"/>
          </w:tcPr>
          <w:p>
            <w:pPr>
              <w:jc w:val="center"/>
              <w:rPr>
                <w:color w:val="FF0000"/>
                <w:kern w:val="0"/>
                <w:szCs w:val="21"/>
              </w:rPr>
            </w:pPr>
            <w:r>
              <w:rPr>
                <w:color w:val="FF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2" w:type="pct"/>
            <w:shd w:val="clear" w:color="auto" w:fill="auto"/>
            <w:vAlign w:val="center"/>
          </w:tcPr>
          <w:p>
            <w:pPr>
              <w:jc w:val="center"/>
              <w:rPr>
                <w:color w:val="FF0000"/>
                <w:kern w:val="0"/>
                <w:szCs w:val="21"/>
              </w:rPr>
            </w:pPr>
            <w:r>
              <w:rPr>
                <w:color w:val="FF0000"/>
                <w:kern w:val="0"/>
                <w:szCs w:val="21"/>
              </w:rPr>
              <w:t>CO</w:t>
            </w:r>
          </w:p>
        </w:tc>
        <w:tc>
          <w:tcPr>
            <w:tcW w:w="1855" w:type="pct"/>
            <w:shd w:val="clear" w:color="auto" w:fill="auto"/>
            <w:vAlign w:val="center"/>
          </w:tcPr>
          <w:p>
            <w:pPr>
              <w:jc w:val="center"/>
              <w:rPr>
                <w:color w:val="FF0000"/>
                <w:kern w:val="0"/>
                <w:szCs w:val="21"/>
              </w:rPr>
            </w:pPr>
            <w:r>
              <w:rPr>
                <w:color w:val="FF0000"/>
                <w:kern w:val="0"/>
                <w:szCs w:val="21"/>
              </w:rPr>
              <w:t>24小时平均第95百分位数</w:t>
            </w:r>
          </w:p>
        </w:tc>
        <w:tc>
          <w:tcPr>
            <w:tcW w:w="826" w:type="pct"/>
            <w:shd w:val="clear" w:color="auto" w:fill="auto"/>
            <w:vAlign w:val="center"/>
          </w:tcPr>
          <w:p>
            <w:pPr>
              <w:jc w:val="center"/>
              <w:rPr>
                <w:color w:val="FF0000"/>
                <w:kern w:val="0"/>
                <w:szCs w:val="21"/>
              </w:rPr>
            </w:pPr>
            <w:r>
              <w:rPr>
                <w:color w:val="FF0000"/>
                <w:kern w:val="0"/>
                <w:szCs w:val="21"/>
              </w:rPr>
              <w:t>1400</w:t>
            </w:r>
          </w:p>
        </w:tc>
        <w:tc>
          <w:tcPr>
            <w:tcW w:w="745" w:type="pct"/>
            <w:shd w:val="clear" w:color="auto" w:fill="auto"/>
            <w:vAlign w:val="center"/>
          </w:tcPr>
          <w:p>
            <w:pPr>
              <w:jc w:val="center"/>
              <w:rPr>
                <w:color w:val="FF0000"/>
                <w:kern w:val="0"/>
                <w:szCs w:val="21"/>
              </w:rPr>
            </w:pPr>
            <w:r>
              <w:rPr>
                <w:color w:val="FF0000"/>
                <w:kern w:val="0"/>
                <w:szCs w:val="21"/>
              </w:rPr>
              <w:t>4000</w:t>
            </w:r>
          </w:p>
        </w:tc>
        <w:tc>
          <w:tcPr>
            <w:tcW w:w="559" w:type="pct"/>
            <w:shd w:val="clear" w:color="auto" w:fill="auto"/>
            <w:vAlign w:val="center"/>
          </w:tcPr>
          <w:p>
            <w:pPr>
              <w:jc w:val="center"/>
              <w:rPr>
                <w:color w:val="FF0000"/>
                <w:szCs w:val="21"/>
              </w:rPr>
            </w:pPr>
            <w:r>
              <w:rPr>
                <w:color w:val="FF0000"/>
              </w:rPr>
              <w:t>35.00</w:t>
            </w:r>
          </w:p>
        </w:tc>
        <w:tc>
          <w:tcPr>
            <w:tcW w:w="554" w:type="pct"/>
            <w:shd w:val="clear" w:color="auto" w:fill="auto"/>
            <w:vAlign w:val="center"/>
          </w:tcPr>
          <w:p>
            <w:pPr>
              <w:jc w:val="center"/>
              <w:rPr>
                <w:color w:val="FF0000"/>
                <w:kern w:val="0"/>
                <w:szCs w:val="21"/>
              </w:rPr>
            </w:pPr>
            <w:r>
              <w:rPr>
                <w:color w:val="FF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2" w:type="pct"/>
            <w:shd w:val="clear" w:color="auto" w:fill="auto"/>
            <w:vAlign w:val="center"/>
          </w:tcPr>
          <w:p>
            <w:pPr>
              <w:jc w:val="center"/>
              <w:rPr>
                <w:color w:val="FF0000"/>
                <w:kern w:val="0"/>
                <w:szCs w:val="21"/>
              </w:rPr>
            </w:pPr>
            <w:r>
              <w:rPr>
                <w:color w:val="FF0000"/>
                <w:kern w:val="0"/>
                <w:szCs w:val="21"/>
              </w:rPr>
              <w:t>O</w:t>
            </w:r>
            <w:r>
              <w:rPr>
                <w:color w:val="FF0000"/>
                <w:kern w:val="0"/>
                <w:szCs w:val="21"/>
                <w:vertAlign w:val="subscript"/>
              </w:rPr>
              <w:t>3</w:t>
            </w:r>
          </w:p>
        </w:tc>
        <w:tc>
          <w:tcPr>
            <w:tcW w:w="1855" w:type="pct"/>
            <w:shd w:val="clear" w:color="auto" w:fill="auto"/>
            <w:vAlign w:val="center"/>
          </w:tcPr>
          <w:p>
            <w:pPr>
              <w:jc w:val="center"/>
              <w:rPr>
                <w:color w:val="FF0000"/>
                <w:kern w:val="0"/>
                <w:szCs w:val="21"/>
              </w:rPr>
            </w:pPr>
            <w:r>
              <w:rPr>
                <w:color w:val="FF0000"/>
                <w:kern w:val="0"/>
                <w:szCs w:val="21"/>
              </w:rPr>
              <w:t>日最大8小时平均第90百分位数</w:t>
            </w:r>
          </w:p>
        </w:tc>
        <w:tc>
          <w:tcPr>
            <w:tcW w:w="826" w:type="pct"/>
            <w:shd w:val="clear" w:color="auto" w:fill="auto"/>
            <w:vAlign w:val="center"/>
          </w:tcPr>
          <w:p>
            <w:pPr>
              <w:jc w:val="center"/>
              <w:rPr>
                <w:color w:val="FF0000"/>
                <w:kern w:val="0"/>
                <w:szCs w:val="21"/>
              </w:rPr>
            </w:pPr>
            <w:r>
              <w:rPr>
                <w:color w:val="FF0000"/>
                <w:kern w:val="0"/>
                <w:szCs w:val="21"/>
              </w:rPr>
              <w:t>145</w:t>
            </w:r>
          </w:p>
        </w:tc>
        <w:tc>
          <w:tcPr>
            <w:tcW w:w="745" w:type="pct"/>
            <w:shd w:val="clear" w:color="auto" w:fill="auto"/>
            <w:vAlign w:val="center"/>
          </w:tcPr>
          <w:p>
            <w:pPr>
              <w:jc w:val="center"/>
              <w:rPr>
                <w:color w:val="FF0000"/>
                <w:kern w:val="0"/>
                <w:szCs w:val="21"/>
              </w:rPr>
            </w:pPr>
            <w:r>
              <w:rPr>
                <w:color w:val="FF0000"/>
                <w:kern w:val="0"/>
                <w:szCs w:val="21"/>
              </w:rPr>
              <w:t>160</w:t>
            </w:r>
          </w:p>
        </w:tc>
        <w:tc>
          <w:tcPr>
            <w:tcW w:w="559" w:type="pct"/>
            <w:shd w:val="clear" w:color="auto" w:fill="auto"/>
            <w:vAlign w:val="center"/>
          </w:tcPr>
          <w:p>
            <w:pPr>
              <w:jc w:val="center"/>
              <w:rPr>
                <w:color w:val="FF0000"/>
                <w:szCs w:val="21"/>
              </w:rPr>
            </w:pPr>
            <w:r>
              <w:rPr>
                <w:color w:val="FF0000"/>
              </w:rPr>
              <w:t>90.63</w:t>
            </w:r>
          </w:p>
        </w:tc>
        <w:tc>
          <w:tcPr>
            <w:tcW w:w="554" w:type="pct"/>
            <w:shd w:val="clear" w:color="auto" w:fill="auto"/>
            <w:vAlign w:val="center"/>
          </w:tcPr>
          <w:p>
            <w:pPr>
              <w:jc w:val="center"/>
              <w:rPr>
                <w:color w:val="FF0000"/>
                <w:kern w:val="0"/>
                <w:szCs w:val="21"/>
              </w:rPr>
            </w:pPr>
            <w:r>
              <w:rPr>
                <w:color w:val="FF0000"/>
                <w:kern w:val="0"/>
                <w:szCs w:val="21"/>
              </w:rPr>
              <w:t>达标</w:t>
            </w:r>
          </w:p>
        </w:tc>
      </w:tr>
      <w:bookmarkEnd w:id="273"/>
      <w:bookmarkEnd w:id="274"/>
      <w:bookmarkEnd w:id="275"/>
    </w:tbl>
    <w:p>
      <w:pPr>
        <w:spacing w:line="360" w:lineRule="auto"/>
        <w:rPr>
          <w:b/>
          <w:sz w:val="24"/>
        </w:rPr>
      </w:pPr>
      <w:r>
        <w:rPr>
          <w:rFonts w:hint="eastAsia"/>
          <w:b/>
          <w:sz w:val="24"/>
        </w:rPr>
        <w:t>二、特征污染物现状监测与评价</w:t>
      </w:r>
    </w:p>
    <w:p>
      <w:pPr>
        <w:spacing w:line="360" w:lineRule="auto"/>
        <w:ind w:firstLine="480" w:firstLineChars="200"/>
        <w:rPr>
          <w:sz w:val="24"/>
        </w:rPr>
      </w:pPr>
      <w:r>
        <w:rPr>
          <w:sz w:val="24"/>
        </w:rPr>
        <w:t>本项目环境空气质量现状委托内蒙古</w:t>
      </w:r>
      <w:r>
        <w:rPr>
          <w:rFonts w:hint="eastAsia"/>
          <w:sz w:val="24"/>
        </w:rPr>
        <w:t>航峰检测</w:t>
      </w:r>
      <w:r>
        <w:rPr>
          <w:sz w:val="24"/>
        </w:rPr>
        <w:t>技术有限公司于2023年3月</w:t>
      </w:r>
      <w:r>
        <w:rPr>
          <w:rFonts w:hint="eastAsia"/>
          <w:sz w:val="24"/>
        </w:rPr>
        <w:t>2</w:t>
      </w:r>
      <w:r>
        <w:rPr>
          <w:sz w:val="24"/>
        </w:rPr>
        <w:t>8日</w:t>
      </w:r>
      <w:r>
        <w:rPr>
          <w:rFonts w:hint="eastAsia"/>
          <w:sz w:val="24"/>
        </w:rPr>
        <w:t>至</w:t>
      </w:r>
      <w:r>
        <w:rPr>
          <w:sz w:val="24"/>
        </w:rPr>
        <w:t>2023年4月3日</w:t>
      </w:r>
      <w:r>
        <w:rPr>
          <w:rFonts w:hint="eastAsia"/>
          <w:sz w:val="24"/>
        </w:rPr>
        <w:t>进行监测。</w:t>
      </w:r>
    </w:p>
    <w:p>
      <w:pPr>
        <w:spacing w:line="360" w:lineRule="auto"/>
        <w:ind w:firstLine="480" w:firstLineChars="200"/>
        <w:rPr>
          <w:snapToGrid w:val="0"/>
          <w:sz w:val="24"/>
        </w:rPr>
      </w:pPr>
      <w:bookmarkStart w:id="276" w:name="_Toc423602247"/>
      <w:r>
        <w:rPr>
          <w:snapToGrid w:val="0"/>
          <w:sz w:val="24"/>
        </w:rPr>
        <w:t>1、监测点</w:t>
      </w:r>
      <w:bookmarkEnd w:id="276"/>
    </w:p>
    <w:p>
      <w:pPr>
        <w:spacing w:line="360" w:lineRule="auto"/>
        <w:ind w:firstLine="480" w:firstLineChars="200"/>
        <w:rPr>
          <w:sz w:val="24"/>
        </w:rPr>
      </w:pPr>
      <w:r>
        <w:rPr>
          <w:rFonts w:hint="eastAsia"/>
          <w:sz w:val="24"/>
        </w:rPr>
        <w:t>本次监测于厂区上风向、下风向各布置一个监测点位</w:t>
      </w:r>
      <w:r>
        <w:rPr>
          <w:sz w:val="24"/>
        </w:rPr>
        <w:t>。监测布点位置见表4.2-2，监测布点图见图4.2-1。</w:t>
      </w:r>
    </w:p>
    <w:p>
      <w:pPr>
        <w:pStyle w:val="44"/>
        <w:adjustRightInd w:val="0"/>
        <w:snapToGrid w:val="0"/>
        <w:spacing w:line="240" w:lineRule="auto"/>
        <w:ind w:firstLine="361" w:firstLineChars="150"/>
        <w:jc w:val="center"/>
        <w:rPr>
          <w:rFonts w:cs="Times New Roman"/>
          <w:b/>
          <w:szCs w:val="24"/>
        </w:rPr>
      </w:pPr>
      <w:r>
        <w:rPr>
          <w:rFonts w:cs="Times New Roman"/>
          <w:b/>
          <w:szCs w:val="24"/>
        </w:rPr>
        <w:t>表4.2-2 环境空气质量现状监测点名称及相对位置</w:t>
      </w:r>
    </w:p>
    <w:tbl>
      <w:tblPr>
        <w:tblStyle w:val="87"/>
        <w:tblpPr w:leftFromText="180" w:rightFromText="180" w:vertAnchor="text" w:horzAnchor="margin" w:tblpXSpec="center" w:tblpY="5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2955"/>
        <w:gridCol w:w="2955"/>
        <w:gridCol w:w="17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27" w:type="pct"/>
            <w:vAlign w:val="center"/>
          </w:tcPr>
          <w:p>
            <w:pPr>
              <w:adjustRightInd w:val="0"/>
              <w:snapToGrid w:val="0"/>
              <w:jc w:val="center"/>
              <w:rPr>
                <w:b/>
                <w:bCs/>
                <w:szCs w:val="21"/>
              </w:rPr>
            </w:pPr>
            <w:bookmarkStart w:id="277" w:name="_Toc237417353"/>
            <w:bookmarkStart w:id="278" w:name="_Toc237419384"/>
            <w:r>
              <w:rPr>
                <w:rFonts w:hAnsi="宋体"/>
                <w:b/>
                <w:bCs/>
                <w:szCs w:val="21"/>
              </w:rPr>
              <w:t>序号</w:t>
            </w:r>
          </w:p>
        </w:tc>
        <w:tc>
          <w:tcPr>
            <w:tcW w:w="1734" w:type="pct"/>
            <w:vAlign w:val="center"/>
          </w:tcPr>
          <w:p>
            <w:pPr>
              <w:adjustRightInd w:val="0"/>
              <w:snapToGrid w:val="0"/>
              <w:jc w:val="center"/>
              <w:rPr>
                <w:rFonts w:hAnsi="宋体"/>
                <w:b/>
                <w:bCs/>
                <w:szCs w:val="21"/>
              </w:rPr>
            </w:pPr>
            <w:r>
              <w:rPr>
                <w:rFonts w:hint="eastAsia" w:hAnsi="宋体"/>
                <w:b/>
                <w:bCs/>
                <w:szCs w:val="21"/>
              </w:rPr>
              <w:t>位置</w:t>
            </w:r>
          </w:p>
        </w:tc>
        <w:tc>
          <w:tcPr>
            <w:tcW w:w="1734" w:type="pct"/>
            <w:vAlign w:val="center"/>
          </w:tcPr>
          <w:p>
            <w:pPr>
              <w:adjustRightInd w:val="0"/>
              <w:snapToGrid w:val="0"/>
              <w:jc w:val="center"/>
              <w:rPr>
                <w:b/>
                <w:bCs/>
                <w:szCs w:val="21"/>
              </w:rPr>
            </w:pPr>
            <w:r>
              <w:rPr>
                <w:rFonts w:hint="eastAsia" w:hAnsi="宋体"/>
                <w:b/>
                <w:bCs/>
                <w:szCs w:val="21"/>
              </w:rPr>
              <w:t>坐标</w:t>
            </w:r>
          </w:p>
        </w:tc>
        <w:tc>
          <w:tcPr>
            <w:tcW w:w="1005" w:type="pct"/>
            <w:vAlign w:val="center"/>
          </w:tcPr>
          <w:p>
            <w:pPr>
              <w:adjustRightInd w:val="0"/>
              <w:snapToGrid w:val="0"/>
              <w:jc w:val="center"/>
              <w:rPr>
                <w:b/>
                <w:bCs/>
                <w:szCs w:val="21"/>
              </w:rPr>
            </w:pPr>
            <w:r>
              <w:rPr>
                <w:rFonts w:hAnsi="宋体"/>
                <w:b/>
                <w:bCs/>
                <w:szCs w:val="21"/>
              </w:rPr>
              <w:t>检测项目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27" w:type="pct"/>
            <w:vAlign w:val="center"/>
          </w:tcPr>
          <w:p>
            <w:pPr>
              <w:adjustRightInd w:val="0"/>
              <w:snapToGrid w:val="0"/>
              <w:jc w:val="center"/>
              <w:rPr>
                <w:szCs w:val="21"/>
              </w:rPr>
            </w:pPr>
            <w:r>
              <w:rPr>
                <w:rFonts w:hint="eastAsia"/>
                <w:szCs w:val="21"/>
              </w:rPr>
              <w:t>1#</w:t>
            </w:r>
          </w:p>
        </w:tc>
        <w:tc>
          <w:tcPr>
            <w:tcW w:w="1734" w:type="pct"/>
            <w:vAlign w:val="center"/>
          </w:tcPr>
          <w:p>
            <w:pPr>
              <w:adjustRightInd w:val="0"/>
              <w:snapToGrid w:val="0"/>
              <w:jc w:val="center"/>
              <w:rPr>
                <w:szCs w:val="21"/>
              </w:rPr>
            </w:pPr>
            <w:r>
              <w:rPr>
                <w:rFonts w:hint="eastAsia"/>
                <w:szCs w:val="21"/>
              </w:rPr>
              <w:t>厂区上风向</w:t>
            </w:r>
          </w:p>
        </w:tc>
        <w:tc>
          <w:tcPr>
            <w:tcW w:w="1734" w:type="pct"/>
            <w:vAlign w:val="center"/>
          </w:tcPr>
          <w:p>
            <w:pPr>
              <w:adjustRightInd w:val="0"/>
              <w:snapToGrid w:val="0"/>
              <w:jc w:val="center"/>
              <w:rPr>
                <w:szCs w:val="21"/>
              </w:rPr>
            </w:pPr>
            <w:r>
              <w:rPr>
                <w:szCs w:val="21"/>
              </w:rPr>
              <w:t>107.920021,40.995170</w:t>
            </w:r>
          </w:p>
        </w:tc>
        <w:tc>
          <w:tcPr>
            <w:tcW w:w="1005" w:type="pct"/>
            <w:vMerge w:val="restart"/>
            <w:vAlign w:val="center"/>
          </w:tcPr>
          <w:p>
            <w:pPr>
              <w:adjustRightInd w:val="0"/>
              <w:snapToGrid w:val="0"/>
              <w:jc w:val="center"/>
              <w:rPr>
                <w:szCs w:val="21"/>
              </w:rPr>
            </w:pPr>
            <w:r>
              <w:rPr>
                <w:rFonts w:hint="eastAsia"/>
                <w:szCs w:val="21"/>
              </w:rPr>
              <w:t>NH</w:t>
            </w:r>
            <w:r>
              <w:rPr>
                <w:rFonts w:hint="eastAsia"/>
                <w:szCs w:val="21"/>
                <w:vertAlign w:val="subscript"/>
              </w:rPr>
              <w:t>3</w:t>
            </w:r>
            <w:r>
              <w:rPr>
                <w:rFonts w:hint="eastAsia"/>
                <w:szCs w:val="21"/>
              </w:rPr>
              <w:t>、H</w:t>
            </w:r>
            <w:r>
              <w:rPr>
                <w:rFonts w:hint="eastAsia"/>
                <w:szCs w:val="21"/>
                <w:vertAlign w:val="subscript"/>
              </w:rPr>
              <w:t>2</w:t>
            </w:r>
            <w:r>
              <w:rPr>
                <w:rFonts w:hint="eastAsia"/>
                <w:szCs w:val="21"/>
              </w:rPr>
              <w:t>S、臭气浓度、T</w:t>
            </w:r>
            <w:r>
              <w:rPr>
                <w:szCs w:val="21"/>
              </w:rPr>
              <w: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27" w:type="pct"/>
            <w:vAlign w:val="center"/>
          </w:tcPr>
          <w:p>
            <w:pPr>
              <w:adjustRightInd w:val="0"/>
              <w:snapToGrid w:val="0"/>
              <w:jc w:val="center"/>
              <w:rPr>
                <w:szCs w:val="21"/>
              </w:rPr>
            </w:pPr>
            <w:r>
              <w:rPr>
                <w:rFonts w:hint="eastAsia"/>
                <w:szCs w:val="21"/>
              </w:rPr>
              <w:t>2</w:t>
            </w:r>
            <w:r>
              <w:rPr>
                <w:szCs w:val="21"/>
              </w:rPr>
              <w:t>#</w:t>
            </w:r>
          </w:p>
        </w:tc>
        <w:tc>
          <w:tcPr>
            <w:tcW w:w="1734" w:type="pct"/>
            <w:vAlign w:val="center"/>
          </w:tcPr>
          <w:p>
            <w:pPr>
              <w:adjustRightInd w:val="0"/>
              <w:snapToGrid w:val="0"/>
              <w:jc w:val="center"/>
              <w:rPr>
                <w:szCs w:val="21"/>
              </w:rPr>
            </w:pPr>
            <w:r>
              <w:rPr>
                <w:rFonts w:hint="eastAsia"/>
                <w:szCs w:val="21"/>
              </w:rPr>
              <w:t>厂区下风向</w:t>
            </w:r>
          </w:p>
        </w:tc>
        <w:tc>
          <w:tcPr>
            <w:tcW w:w="1734" w:type="pct"/>
            <w:vAlign w:val="center"/>
          </w:tcPr>
          <w:p>
            <w:pPr>
              <w:adjustRightInd w:val="0"/>
              <w:snapToGrid w:val="0"/>
              <w:jc w:val="center"/>
              <w:rPr>
                <w:szCs w:val="21"/>
              </w:rPr>
            </w:pPr>
            <w:r>
              <w:rPr>
                <w:szCs w:val="21"/>
              </w:rPr>
              <w:t>107.915129,40.988947</w:t>
            </w:r>
          </w:p>
        </w:tc>
        <w:tc>
          <w:tcPr>
            <w:tcW w:w="1005" w:type="pct"/>
            <w:vMerge w:val="continue"/>
            <w:vAlign w:val="center"/>
          </w:tcPr>
          <w:p>
            <w:pPr>
              <w:adjustRightInd w:val="0"/>
              <w:snapToGrid w:val="0"/>
              <w:jc w:val="center"/>
              <w:rPr>
                <w:szCs w:val="21"/>
              </w:rPr>
            </w:pPr>
          </w:p>
        </w:tc>
      </w:tr>
      <w:bookmarkEnd w:id="277"/>
      <w:bookmarkEnd w:id="278"/>
    </w:tbl>
    <w:p>
      <w:pPr>
        <w:spacing w:before="240" w:after="120" w:line="440" w:lineRule="exact"/>
        <w:ind w:left="-107" w:leftChars="-51" w:firstLine="600" w:firstLineChars="250"/>
        <w:rPr>
          <w:sz w:val="24"/>
        </w:rPr>
      </w:pPr>
    </w:p>
    <w:p>
      <w:pPr>
        <w:spacing w:before="240" w:after="120" w:line="440" w:lineRule="exact"/>
        <w:ind w:left="-107" w:leftChars="-51" w:firstLine="600" w:firstLineChars="250"/>
        <w:rPr>
          <w:sz w:val="24"/>
        </w:rPr>
      </w:pPr>
    </w:p>
    <w:p>
      <w:pPr>
        <w:adjustRightInd w:val="0"/>
        <w:snapToGrid w:val="0"/>
        <w:spacing w:line="360" w:lineRule="auto"/>
        <w:rPr>
          <w:rFonts w:ascii="宋体" w:hAnsi="宋体"/>
          <w:bCs/>
          <w:sz w:val="18"/>
          <w:szCs w:val="18"/>
        </w:rPr>
      </w:pPr>
      <w:r>
        <w:rPr>
          <w:sz w:val="24"/>
        </w:rPr>
        <w:drawing>
          <wp:anchor distT="0" distB="0" distL="114300" distR="114300" simplePos="0" relativeHeight="251676672" behindDoc="0" locked="0" layoutInCell="1" allowOverlap="1">
            <wp:simplePos x="0" y="0"/>
            <wp:positionH relativeFrom="margin">
              <wp:align>left</wp:align>
            </wp:positionH>
            <wp:positionV relativeFrom="paragraph">
              <wp:posOffset>20955</wp:posOffset>
            </wp:positionV>
            <wp:extent cx="655955" cy="676275"/>
            <wp:effectExtent l="0" t="0" r="0" b="0"/>
            <wp:wrapNone/>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5871" cy="676096"/>
                    </a:xfrm>
                    <a:prstGeom prst="rect">
                      <a:avLst/>
                    </a:prstGeom>
                  </pic:spPr>
                </pic:pic>
              </a:graphicData>
            </a:graphic>
          </wp:anchor>
        </w:drawing>
      </w:r>
      <w:r>
        <w:rPr>
          <w:b/>
          <w:sz w:val="24"/>
        </w:rPr>
        <w:drawing>
          <wp:inline distT="0" distB="0" distL="0" distR="0">
            <wp:extent cx="5274310" cy="259969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9"/>
                    <a:stretch>
                      <a:fillRect/>
                    </a:stretch>
                  </pic:blipFill>
                  <pic:spPr>
                    <a:xfrm>
                      <a:off x="0" y="0"/>
                      <a:ext cx="5274310" cy="2599690"/>
                    </a:xfrm>
                    <a:prstGeom prst="rect">
                      <a:avLst/>
                    </a:prstGeom>
                  </pic:spPr>
                </pic:pic>
              </a:graphicData>
            </a:graphic>
          </wp:inline>
        </w:drawing>
      </w:r>
      <w:r>
        <w:rPr>
          <w:rFonts w:hint="eastAsia" w:ascii="宋体" w:hAnsi="宋体"/>
          <w:bCs/>
          <w:sz w:val="18"/>
          <w:szCs w:val="18"/>
        </w:rPr>
        <w:t xml:space="preserve">检测点位示意图： </w:t>
      </w:r>
      <w:r>
        <w:rPr>
          <w:rFonts w:hint="eastAsia"/>
          <w:sz w:val="18"/>
          <w:szCs w:val="18"/>
        </w:rPr>
        <w:drawing>
          <wp:inline distT="0" distB="0" distL="0" distR="0">
            <wp:extent cx="152400" cy="152400"/>
            <wp:effectExtent l="0" t="0" r="0" b="0"/>
            <wp:docPr id="29" name="图片 29" descr="C:\Users\众成环境\AppData\Local\Temp\ksohtml3816\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众成环境\AppData\Local\Temp\ksohtml3816\wps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ascii="宋体" w:hAnsi="宋体"/>
          <w:bCs/>
          <w:sz w:val="18"/>
          <w:szCs w:val="18"/>
        </w:rPr>
        <w:t xml:space="preserve"> 为土壤检测点位 </w:t>
      </w:r>
      <w:r>
        <w:rPr>
          <w:rFonts w:hint="eastAsia"/>
          <w:sz w:val="18"/>
          <w:szCs w:val="18"/>
        </w:rPr>
        <w:drawing>
          <wp:inline distT="0" distB="0" distL="0" distR="0">
            <wp:extent cx="152400" cy="152400"/>
            <wp:effectExtent l="0" t="0" r="0" b="0"/>
            <wp:docPr id="30" name="图片 30" descr="C:\Users\众成环境\AppData\Local\Temp\ksohtml3816\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众成环境\AppData\Local\Temp\ksohtml3816\wps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ascii="宋体" w:hAnsi="宋体"/>
          <w:bCs/>
          <w:sz w:val="18"/>
          <w:szCs w:val="18"/>
        </w:rPr>
        <w:t xml:space="preserve">  为环境空气检测点位 </w:t>
      </w:r>
      <w:r>
        <w:rPr>
          <w:rFonts w:hint="eastAsia"/>
          <w:sz w:val="18"/>
          <w:szCs w:val="18"/>
        </w:rPr>
        <w:drawing>
          <wp:inline distT="0" distB="0" distL="0" distR="0">
            <wp:extent cx="152400" cy="171450"/>
            <wp:effectExtent l="0" t="0" r="0" b="0"/>
            <wp:docPr id="33" name="图片 33" descr="C:\Users\众成环境\AppData\Local\Temp\ksohtml3816\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众成环境\AppData\Local\Temp\ksohtml3816\wps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152400" cy="171450"/>
                    </a:xfrm>
                    <a:prstGeom prst="rect">
                      <a:avLst/>
                    </a:prstGeom>
                    <a:noFill/>
                    <a:ln>
                      <a:noFill/>
                    </a:ln>
                  </pic:spPr>
                </pic:pic>
              </a:graphicData>
            </a:graphic>
          </wp:inline>
        </w:drawing>
      </w:r>
      <w:r>
        <w:rPr>
          <w:rFonts w:hint="eastAsia" w:ascii="宋体" w:hAnsi="宋体"/>
          <w:bCs/>
          <w:sz w:val="18"/>
          <w:szCs w:val="18"/>
        </w:rPr>
        <w:t xml:space="preserve"> 为环境噪声检测点位  </w:t>
      </w:r>
    </w:p>
    <w:p>
      <w:pPr>
        <w:spacing w:line="360" w:lineRule="auto"/>
        <w:jc w:val="center"/>
        <w:rPr>
          <w:color w:val="FF0000"/>
          <w:szCs w:val="21"/>
        </w:rPr>
      </w:pPr>
      <w:r>
        <w:rPr>
          <w:b/>
          <w:color w:val="FF0000"/>
          <w:sz w:val="24"/>
        </w:rPr>
        <w:t xml:space="preserve">图4.2-1 </w:t>
      </w:r>
      <w:r>
        <w:rPr>
          <w:rFonts w:hint="eastAsia"/>
          <w:b/>
          <w:color w:val="FF0000"/>
          <w:sz w:val="24"/>
        </w:rPr>
        <w:t>监测布点图</w:t>
      </w:r>
    </w:p>
    <w:p>
      <w:pPr>
        <w:spacing w:before="240" w:after="120" w:line="440" w:lineRule="exact"/>
        <w:ind w:left="-107" w:leftChars="-51" w:firstLine="600" w:firstLineChars="250"/>
        <w:rPr>
          <w:sz w:val="24"/>
        </w:rPr>
      </w:pPr>
      <w:r>
        <w:rPr>
          <w:rFonts w:hint="eastAsia"/>
          <w:sz w:val="24"/>
        </w:rPr>
        <w:t>2、监测方法</w:t>
      </w:r>
    </w:p>
    <w:p>
      <w:pPr>
        <w:pStyle w:val="44"/>
        <w:adjustRightInd w:val="0"/>
        <w:snapToGrid w:val="0"/>
        <w:spacing w:line="240" w:lineRule="auto"/>
        <w:ind w:firstLine="361" w:firstLineChars="150"/>
        <w:jc w:val="center"/>
        <w:rPr>
          <w:rFonts w:cs="Times New Roman"/>
          <w:b/>
          <w:szCs w:val="24"/>
        </w:rPr>
      </w:pPr>
      <w:r>
        <w:rPr>
          <w:rFonts w:cs="Times New Roman"/>
          <w:b/>
          <w:szCs w:val="24"/>
        </w:rPr>
        <w:t xml:space="preserve">表4.2-3 </w:t>
      </w:r>
      <w:r>
        <w:rPr>
          <w:rFonts w:hint="eastAsia" w:cs="Times New Roman"/>
          <w:b/>
          <w:szCs w:val="24"/>
        </w:rPr>
        <w:t>监测方法一览表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60"/>
        <w:gridCol w:w="4980"/>
        <w:gridCol w:w="15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50" w:type="pct"/>
            <w:vAlign w:val="center"/>
          </w:tcPr>
          <w:p>
            <w:pPr>
              <w:kinsoku w:val="0"/>
              <w:overflowPunct w:val="0"/>
              <w:autoSpaceDE w:val="0"/>
              <w:autoSpaceDN w:val="0"/>
              <w:adjustRightInd w:val="0"/>
              <w:snapToGrid w:val="0"/>
              <w:jc w:val="center"/>
              <w:rPr>
                <w:bCs/>
                <w:szCs w:val="21"/>
              </w:rPr>
            </w:pPr>
            <w:r>
              <w:rPr>
                <w:bCs/>
                <w:szCs w:val="21"/>
              </w:rPr>
              <w:t>检测项目</w:t>
            </w:r>
          </w:p>
        </w:tc>
        <w:tc>
          <w:tcPr>
            <w:tcW w:w="2922" w:type="pct"/>
            <w:vAlign w:val="center"/>
          </w:tcPr>
          <w:p>
            <w:pPr>
              <w:kinsoku w:val="0"/>
              <w:overflowPunct w:val="0"/>
              <w:autoSpaceDE w:val="0"/>
              <w:autoSpaceDN w:val="0"/>
              <w:adjustRightInd w:val="0"/>
              <w:snapToGrid w:val="0"/>
              <w:jc w:val="center"/>
              <w:rPr>
                <w:bCs/>
                <w:szCs w:val="21"/>
              </w:rPr>
            </w:pPr>
            <w:r>
              <w:rPr>
                <w:bCs/>
                <w:szCs w:val="21"/>
              </w:rPr>
              <w:t>检测依据</w:t>
            </w:r>
          </w:p>
        </w:tc>
        <w:tc>
          <w:tcPr>
            <w:tcW w:w="928" w:type="pct"/>
            <w:vAlign w:val="center"/>
          </w:tcPr>
          <w:p>
            <w:pPr>
              <w:kinsoku w:val="0"/>
              <w:overflowPunct w:val="0"/>
              <w:autoSpaceDE w:val="0"/>
              <w:autoSpaceDN w:val="0"/>
              <w:adjustRightInd w:val="0"/>
              <w:snapToGrid w:val="0"/>
              <w:jc w:val="center"/>
              <w:rPr>
                <w:bCs/>
                <w:szCs w:val="21"/>
              </w:rPr>
            </w:pPr>
            <w:r>
              <w:rPr>
                <w:bCs/>
                <w:szCs w:val="21"/>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50" w:type="pct"/>
            <w:vAlign w:val="center"/>
          </w:tcPr>
          <w:p>
            <w:pPr>
              <w:kinsoku w:val="0"/>
              <w:overflowPunct w:val="0"/>
              <w:autoSpaceDE w:val="0"/>
              <w:autoSpaceDN w:val="0"/>
              <w:adjustRightInd w:val="0"/>
              <w:snapToGrid w:val="0"/>
              <w:jc w:val="center"/>
              <w:rPr>
                <w:bCs/>
                <w:szCs w:val="21"/>
              </w:rPr>
            </w:pPr>
            <w:r>
              <w:rPr>
                <w:bCs/>
                <w:szCs w:val="21"/>
              </w:rPr>
              <w:t>总悬浮颗粒物TSP</w:t>
            </w:r>
          </w:p>
        </w:tc>
        <w:tc>
          <w:tcPr>
            <w:tcW w:w="2922" w:type="pct"/>
            <w:vAlign w:val="center"/>
          </w:tcPr>
          <w:p>
            <w:pPr>
              <w:kinsoku w:val="0"/>
              <w:overflowPunct w:val="0"/>
              <w:autoSpaceDE w:val="0"/>
              <w:autoSpaceDN w:val="0"/>
              <w:adjustRightInd w:val="0"/>
              <w:snapToGrid w:val="0"/>
              <w:jc w:val="center"/>
              <w:rPr>
                <w:bCs/>
                <w:szCs w:val="21"/>
              </w:rPr>
            </w:pPr>
            <w:r>
              <w:rPr>
                <w:bCs/>
                <w:szCs w:val="21"/>
              </w:rPr>
              <w:t>《环境空气 总悬浮颗粒物的测定 重量法》</w:t>
            </w:r>
          </w:p>
          <w:p>
            <w:pPr>
              <w:kinsoku w:val="0"/>
              <w:overflowPunct w:val="0"/>
              <w:autoSpaceDE w:val="0"/>
              <w:autoSpaceDN w:val="0"/>
              <w:adjustRightInd w:val="0"/>
              <w:snapToGrid w:val="0"/>
              <w:jc w:val="center"/>
              <w:rPr>
                <w:bCs/>
                <w:szCs w:val="21"/>
              </w:rPr>
            </w:pPr>
            <w:r>
              <w:rPr>
                <w:bCs/>
                <w:szCs w:val="21"/>
              </w:rPr>
              <w:t>HJ 1263 -2022</w:t>
            </w:r>
          </w:p>
        </w:tc>
        <w:tc>
          <w:tcPr>
            <w:tcW w:w="928" w:type="pct"/>
            <w:vAlign w:val="center"/>
          </w:tcPr>
          <w:p>
            <w:pPr>
              <w:kinsoku w:val="0"/>
              <w:overflowPunct w:val="0"/>
              <w:autoSpaceDE w:val="0"/>
              <w:autoSpaceDN w:val="0"/>
              <w:adjustRightInd w:val="0"/>
              <w:snapToGrid w:val="0"/>
              <w:jc w:val="center"/>
              <w:rPr>
                <w:bCs/>
                <w:szCs w:val="21"/>
              </w:rPr>
            </w:pPr>
            <w:r>
              <w:rPr>
                <w:bCs/>
                <w:szCs w:val="21"/>
              </w:rPr>
              <w:t>0.007mg/m</w:t>
            </w:r>
            <w:r>
              <w:rPr>
                <w:bCs/>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50" w:type="pct"/>
            <w:vAlign w:val="center"/>
          </w:tcPr>
          <w:p>
            <w:pPr>
              <w:kinsoku w:val="0"/>
              <w:overflowPunct w:val="0"/>
              <w:autoSpaceDE w:val="0"/>
              <w:autoSpaceDN w:val="0"/>
              <w:adjustRightInd w:val="0"/>
              <w:snapToGrid w:val="0"/>
              <w:jc w:val="center"/>
              <w:rPr>
                <w:bCs/>
                <w:szCs w:val="21"/>
              </w:rPr>
            </w:pPr>
            <w:r>
              <w:rPr>
                <w:bCs/>
                <w:szCs w:val="21"/>
              </w:rPr>
              <w:t>氨气</w:t>
            </w:r>
          </w:p>
        </w:tc>
        <w:tc>
          <w:tcPr>
            <w:tcW w:w="2922" w:type="pct"/>
            <w:vAlign w:val="center"/>
          </w:tcPr>
          <w:p>
            <w:pPr>
              <w:kinsoku w:val="0"/>
              <w:overflowPunct w:val="0"/>
              <w:autoSpaceDE w:val="0"/>
              <w:autoSpaceDN w:val="0"/>
              <w:adjustRightInd w:val="0"/>
              <w:snapToGrid w:val="0"/>
              <w:jc w:val="center"/>
              <w:textAlignment w:val="center"/>
              <w:rPr>
                <w:bCs/>
                <w:szCs w:val="21"/>
              </w:rPr>
            </w:pPr>
            <w:r>
              <w:rPr>
                <w:bCs/>
                <w:szCs w:val="21"/>
              </w:rPr>
              <w:t>《环境空气和废气氨的测定纳氏试剂分光光度法》 HJ 533-2009</w:t>
            </w:r>
          </w:p>
        </w:tc>
        <w:tc>
          <w:tcPr>
            <w:tcW w:w="928" w:type="pct"/>
            <w:vAlign w:val="center"/>
          </w:tcPr>
          <w:p>
            <w:pPr>
              <w:kinsoku w:val="0"/>
              <w:overflowPunct w:val="0"/>
              <w:autoSpaceDE w:val="0"/>
              <w:autoSpaceDN w:val="0"/>
              <w:adjustRightInd w:val="0"/>
              <w:snapToGrid w:val="0"/>
              <w:jc w:val="center"/>
              <w:rPr>
                <w:bCs/>
                <w:szCs w:val="21"/>
              </w:rPr>
            </w:pPr>
            <w:r>
              <w:rPr>
                <w:bCs/>
                <w:szCs w:val="21"/>
              </w:rPr>
              <w:t>0.01mg/m</w:t>
            </w:r>
            <w:r>
              <w:rPr>
                <w:bCs/>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50" w:type="pct"/>
            <w:vAlign w:val="center"/>
          </w:tcPr>
          <w:p>
            <w:pPr>
              <w:kinsoku w:val="0"/>
              <w:overflowPunct w:val="0"/>
              <w:autoSpaceDE w:val="0"/>
              <w:autoSpaceDN w:val="0"/>
              <w:adjustRightInd w:val="0"/>
              <w:snapToGrid w:val="0"/>
              <w:jc w:val="center"/>
              <w:rPr>
                <w:bCs/>
                <w:szCs w:val="21"/>
              </w:rPr>
            </w:pPr>
            <w:r>
              <w:rPr>
                <w:bCs/>
                <w:szCs w:val="21"/>
              </w:rPr>
              <w:t>硫化氢</w:t>
            </w:r>
          </w:p>
        </w:tc>
        <w:tc>
          <w:tcPr>
            <w:tcW w:w="2922" w:type="pct"/>
            <w:vAlign w:val="center"/>
          </w:tcPr>
          <w:p>
            <w:pPr>
              <w:kinsoku w:val="0"/>
              <w:overflowPunct w:val="0"/>
              <w:autoSpaceDE w:val="0"/>
              <w:autoSpaceDN w:val="0"/>
              <w:adjustRightInd w:val="0"/>
              <w:snapToGrid w:val="0"/>
              <w:jc w:val="center"/>
              <w:textAlignment w:val="center"/>
              <w:rPr>
                <w:bCs/>
                <w:szCs w:val="21"/>
              </w:rPr>
            </w:pPr>
            <w:r>
              <w:rPr>
                <w:bCs/>
                <w:szCs w:val="21"/>
              </w:rPr>
              <w:t>《空气和废气监测分析方法》 (第四版增补版)国家环境保护总局(2003年)第三篇第一章十一 (二)  亚甲基蓝分光光度法(B)</w:t>
            </w:r>
          </w:p>
        </w:tc>
        <w:tc>
          <w:tcPr>
            <w:tcW w:w="928" w:type="pct"/>
            <w:vAlign w:val="center"/>
          </w:tcPr>
          <w:p>
            <w:pPr>
              <w:kinsoku w:val="0"/>
              <w:overflowPunct w:val="0"/>
              <w:autoSpaceDE w:val="0"/>
              <w:autoSpaceDN w:val="0"/>
              <w:adjustRightInd w:val="0"/>
              <w:snapToGrid w:val="0"/>
              <w:jc w:val="center"/>
              <w:rPr>
                <w:bCs/>
                <w:szCs w:val="21"/>
              </w:rPr>
            </w:pPr>
            <w:r>
              <w:rPr>
                <w:bCs/>
                <w:szCs w:val="21"/>
              </w:rPr>
              <w:t>0.001mg/m</w:t>
            </w:r>
            <w:r>
              <w:rPr>
                <w:bCs/>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50" w:type="pct"/>
            <w:vAlign w:val="center"/>
          </w:tcPr>
          <w:p>
            <w:pPr>
              <w:kinsoku w:val="0"/>
              <w:overflowPunct w:val="0"/>
              <w:autoSpaceDE w:val="0"/>
              <w:autoSpaceDN w:val="0"/>
              <w:adjustRightInd w:val="0"/>
              <w:snapToGrid w:val="0"/>
              <w:jc w:val="center"/>
              <w:rPr>
                <w:bCs/>
                <w:szCs w:val="21"/>
              </w:rPr>
            </w:pPr>
            <w:r>
              <w:rPr>
                <w:bCs/>
                <w:szCs w:val="21"/>
              </w:rPr>
              <w:t>臭气浓度</w:t>
            </w:r>
          </w:p>
        </w:tc>
        <w:tc>
          <w:tcPr>
            <w:tcW w:w="2922" w:type="pct"/>
            <w:vAlign w:val="center"/>
          </w:tcPr>
          <w:p>
            <w:pPr>
              <w:kinsoku w:val="0"/>
              <w:overflowPunct w:val="0"/>
              <w:autoSpaceDE w:val="0"/>
              <w:autoSpaceDN w:val="0"/>
              <w:adjustRightInd w:val="0"/>
              <w:snapToGrid w:val="0"/>
              <w:jc w:val="center"/>
              <w:textAlignment w:val="center"/>
              <w:rPr>
                <w:bCs/>
                <w:szCs w:val="21"/>
              </w:rPr>
            </w:pPr>
            <w:r>
              <w:rPr>
                <w:bCs/>
                <w:szCs w:val="21"/>
              </w:rPr>
              <w:t>《环境空气和废气 臭气的测定 三点比较式臭袋法》HJ 1262 -2022</w:t>
            </w:r>
          </w:p>
        </w:tc>
        <w:tc>
          <w:tcPr>
            <w:tcW w:w="928" w:type="pct"/>
            <w:vAlign w:val="center"/>
          </w:tcPr>
          <w:p>
            <w:pPr>
              <w:kinsoku w:val="0"/>
              <w:overflowPunct w:val="0"/>
              <w:autoSpaceDE w:val="0"/>
              <w:autoSpaceDN w:val="0"/>
              <w:adjustRightInd w:val="0"/>
              <w:snapToGrid w:val="0"/>
              <w:jc w:val="center"/>
              <w:textAlignment w:val="center"/>
              <w:rPr>
                <w:bCs/>
                <w:szCs w:val="21"/>
              </w:rPr>
            </w:pPr>
            <w:r>
              <w:rPr>
                <w:bCs/>
                <w:szCs w:val="21"/>
              </w:rPr>
              <w:t>/</w:t>
            </w:r>
          </w:p>
        </w:tc>
      </w:tr>
    </w:tbl>
    <w:p>
      <w:pPr>
        <w:spacing w:before="240" w:after="120" w:line="440" w:lineRule="exact"/>
        <w:ind w:left="-107" w:leftChars="-51" w:firstLine="600" w:firstLineChars="250"/>
        <w:rPr>
          <w:sz w:val="24"/>
        </w:rPr>
      </w:pPr>
      <w:r>
        <w:rPr>
          <w:sz w:val="24"/>
        </w:rPr>
        <w:t>2、监测</w:t>
      </w:r>
      <w:r>
        <w:rPr>
          <w:rFonts w:hint="eastAsia"/>
          <w:sz w:val="24"/>
        </w:rPr>
        <w:t>及评价</w:t>
      </w:r>
      <w:r>
        <w:rPr>
          <w:sz w:val="24"/>
        </w:rPr>
        <w:t>结果</w:t>
      </w:r>
    </w:p>
    <w:p>
      <w:pPr>
        <w:spacing w:line="360" w:lineRule="auto"/>
        <w:ind w:firstLine="480"/>
        <w:rPr>
          <w:bCs/>
          <w:sz w:val="24"/>
        </w:rPr>
      </w:pPr>
      <w:r>
        <w:rPr>
          <w:sz w:val="24"/>
        </w:rPr>
        <w:t>监测统计结果见表4.2-4。</w:t>
      </w:r>
    </w:p>
    <w:p>
      <w:pPr>
        <w:pStyle w:val="44"/>
        <w:ind w:firstLine="361" w:firstLineChars="150"/>
        <w:jc w:val="center"/>
        <w:rPr>
          <w:rFonts w:cs="Times New Roman"/>
          <w:b/>
          <w:szCs w:val="24"/>
        </w:rPr>
      </w:pPr>
      <w:bookmarkStart w:id="279" w:name="_Toc277778801"/>
      <w:bookmarkStart w:id="280" w:name="_Toc117998761"/>
      <w:bookmarkStart w:id="281" w:name="_Toc153283998"/>
      <w:bookmarkStart w:id="282" w:name="_Toc208830090"/>
      <w:bookmarkStart w:id="283" w:name="_Toc226348341"/>
      <w:bookmarkStart w:id="284" w:name="_Toc208826706"/>
      <w:bookmarkStart w:id="285" w:name="_Toc121048223"/>
      <w:bookmarkStart w:id="286" w:name="_Toc423602248"/>
      <w:bookmarkStart w:id="287" w:name="_Toc124138573"/>
      <w:bookmarkStart w:id="288" w:name="_Toc209538646"/>
      <w:bookmarkStart w:id="289" w:name="_Toc332960655"/>
      <w:bookmarkStart w:id="290" w:name="_Toc226349824"/>
      <w:bookmarkStart w:id="291" w:name="_Toc94284571"/>
      <w:bookmarkStart w:id="292" w:name="_Toc208825750"/>
      <w:bookmarkStart w:id="293" w:name="_Toc208829550"/>
      <w:bookmarkStart w:id="294" w:name="_Toc208823875"/>
      <w:bookmarkStart w:id="295" w:name="_Toc153387890"/>
      <w:bookmarkStart w:id="296" w:name="_Toc208827994"/>
      <w:bookmarkStart w:id="297" w:name="_Toc203877925"/>
      <w:bookmarkStart w:id="298" w:name="_Toc208827720"/>
      <w:bookmarkStart w:id="299" w:name="_Toc208825298"/>
      <w:bookmarkStart w:id="300" w:name="_Toc208829820"/>
      <w:bookmarkStart w:id="301" w:name="_Toc107361969"/>
      <w:bookmarkStart w:id="302" w:name="_Toc208826342"/>
      <w:bookmarkStart w:id="303" w:name="_Toc206995612"/>
      <w:r>
        <w:rPr>
          <w:rFonts w:cs="Times New Roman"/>
          <w:b/>
          <w:szCs w:val="24"/>
        </w:rPr>
        <w:t>表4.2-4 环境空气质量现状监测结果表（单位：mg/</w:t>
      </w:r>
      <w:r>
        <w:rPr>
          <w:rFonts w:cs="Times New Roman"/>
          <w:b/>
        </w:rPr>
        <w:t xml:space="preserve"> m</w:t>
      </w:r>
      <w:r>
        <w:rPr>
          <w:rFonts w:cs="Times New Roman"/>
          <w:b/>
          <w:vertAlign w:val="superscript"/>
        </w:rPr>
        <w:t>3</w:t>
      </w:r>
      <w:r>
        <w:rPr>
          <w:rFonts w:cs="Times New Roman"/>
          <w:b/>
          <w:szCs w:val="24"/>
        </w:rPr>
        <w:t>）</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327"/>
        <w:gridCol w:w="524"/>
        <w:gridCol w:w="1588"/>
        <w:gridCol w:w="1013"/>
        <w:gridCol w:w="1431"/>
        <w:gridCol w:w="1418"/>
        <w:gridCol w:w="995"/>
        <w:gridCol w:w="113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tcMar>
              <w:top w:w="0" w:type="dxa"/>
              <w:left w:w="0" w:type="dxa"/>
              <w:bottom w:w="0" w:type="dxa"/>
              <w:right w:w="0" w:type="dxa"/>
            </w:tcMar>
            <w:vAlign w:val="center"/>
          </w:tcPr>
          <w:p>
            <w:pPr>
              <w:widowControl/>
              <w:adjustRightInd w:val="0"/>
              <w:snapToGrid w:val="0"/>
              <w:jc w:val="center"/>
              <w:textAlignment w:val="baseline"/>
              <w:rPr>
                <w:szCs w:val="21"/>
                <w:lang w:eastAsia="en-US" w:bidi="en-US"/>
              </w:rPr>
            </w:pPr>
            <w:bookmarkStart w:id="304" w:name="_Toc424484517"/>
            <w:r>
              <w:rPr>
                <w:szCs w:val="21"/>
                <w:lang w:eastAsia="en-US" w:bidi="en-US"/>
              </w:rPr>
              <w:t>序号</w:t>
            </w:r>
          </w:p>
        </w:tc>
        <w:tc>
          <w:tcPr>
            <w:tcW w:w="311" w:type="pct"/>
            <w:tcMar>
              <w:top w:w="0" w:type="dxa"/>
              <w:left w:w="0" w:type="dxa"/>
              <w:bottom w:w="0" w:type="dxa"/>
              <w:right w:w="0" w:type="dxa"/>
            </w:tcMar>
            <w:vAlign w:val="center"/>
          </w:tcPr>
          <w:p>
            <w:pPr>
              <w:widowControl/>
              <w:adjustRightInd w:val="0"/>
              <w:snapToGrid w:val="0"/>
              <w:jc w:val="center"/>
              <w:textAlignment w:val="baseline"/>
              <w:rPr>
                <w:szCs w:val="21"/>
                <w:lang w:eastAsia="en-US" w:bidi="en-US"/>
              </w:rPr>
            </w:pPr>
            <w:r>
              <w:rPr>
                <w:szCs w:val="21"/>
                <w:lang w:eastAsia="en-US" w:bidi="en-US"/>
              </w:rPr>
              <w:t>监测点位</w:t>
            </w:r>
          </w:p>
        </w:tc>
        <w:tc>
          <w:tcPr>
            <w:tcW w:w="942" w:type="pct"/>
            <w:tcMar>
              <w:top w:w="0" w:type="dxa"/>
              <w:left w:w="0" w:type="dxa"/>
              <w:bottom w:w="0" w:type="dxa"/>
              <w:right w:w="0" w:type="dxa"/>
            </w:tcMar>
            <w:vAlign w:val="center"/>
          </w:tcPr>
          <w:p>
            <w:pPr>
              <w:widowControl/>
              <w:adjustRightInd w:val="0"/>
              <w:snapToGrid w:val="0"/>
              <w:jc w:val="center"/>
              <w:textAlignment w:val="baseline"/>
              <w:rPr>
                <w:szCs w:val="21"/>
                <w:lang w:eastAsia="en-US" w:bidi="en-US"/>
              </w:rPr>
            </w:pPr>
            <w:r>
              <w:rPr>
                <w:szCs w:val="21"/>
                <w:lang w:eastAsia="en-US" w:bidi="en-US"/>
              </w:rPr>
              <w:t>监测项目</w:t>
            </w:r>
          </w:p>
        </w:tc>
        <w:tc>
          <w:tcPr>
            <w:tcW w:w="601" w:type="pct"/>
            <w:tcMar>
              <w:top w:w="0" w:type="dxa"/>
              <w:left w:w="0" w:type="dxa"/>
              <w:bottom w:w="0" w:type="dxa"/>
              <w:right w:w="0" w:type="dxa"/>
            </w:tcMar>
            <w:vAlign w:val="center"/>
          </w:tcPr>
          <w:p>
            <w:pPr>
              <w:widowControl/>
              <w:adjustRightInd w:val="0"/>
              <w:snapToGrid w:val="0"/>
              <w:jc w:val="center"/>
              <w:textAlignment w:val="baseline"/>
              <w:rPr>
                <w:szCs w:val="21"/>
                <w:lang w:eastAsia="en-US" w:bidi="en-US"/>
              </w:rPr>
            </w:pPr>
            <w:r>
              <w:rPr>
                <w:szCs w:val="21"/>
                <w:lang w:eastAsia="en-US" w:bidi="en-US"/>
              </w:rPr>
              <w:t>小时浓度范围</w:t>
            </w:r>
          </w:p>
        </w:tc>
        <w:tc>
          <w:tcPr>
            <w:tcW w:w="849" w:type="pct"/>
            <w:tcMar>
              <w:top w:w="0" w:type="dxa"/>
              <w:left w:w="0" w:type="dxa"/>
              <w:bottom w:w="0" w:type="dxa"/>
              <w:right w:w="0" w:type="dxa"/>
            </w:tcMar>
            <w:vAlign w:val="center"/>
          </w:tcPr>
          <w:p>
            <w:pPr>
              <w:widowControl/>
              <w:adjustRightInd w:val="0"/>
              <w:snapToGrid w:val="0"/>
              <w:jc w:val="center"/>
              <w:textAlignment w:val="baseline"/>
              <w:rPr>
                <w:szCs w:val="21"/>
                <w:lang w:eastAsia="en-US" w:bidi="en-US"/>
              </w:rPr>
            </w:pPr>
            <w:r>
              <w:rPr>
                <w:szCs w:val="21"/>
                <w:lang w:eastAsia="en-US" w:bidi="en-US"/>
              </w:rPr>
              <w:t>日均浓度范围</w:t>
            </w:r>
          </w:p>
        </w:tc>
        <w:tc>
          <w:tcPr>
            <w:tcW w:w="841" w:type="pct"/>
            <w:vAlign w:val="center"/>
          </w:tcPr>
          <w:p>
            <w:pPr>
              <w:widowControl/>
              <w:adjustRightInd w:val="0"/>
              <w:snapToGrid w:val="0"/>
              <w:jc w:val="center"/>
              <w:textAlignment w:val="baseline"/>
              <w:rPr>
                <w:szCs w:val="21"/>
                <w:lang w:eastAsia="en-US" w:bidi="en-US"/>
              </w:rPr>
            </w:pPr>
            <w:r>
              <w:rPr>
                <w:rFonts w:hint="eastAsia"/>
                <w:szCs w:val="21"/>
                <w:lang w:bidi="en-US"/>
              </w:rPr>
              <w:t>指数范围</w:t>
            </w:r>
          </w:p>
        </w:tc>
        <w:tc>
          <w:tcPr>
            <w:tcW w:w="590" w:type="pct"/>
            <w:vAlign w:val="center"/>
          </w:tcPr>
          <w:p>
            <w:pPr>
              <w:widowControl/>
              <w:adjustRightInd w:val="0"/>
              <w:snapToGrid w:val="0"/>
              <w:jc w:val="center"/>
              <w:textAlignment w:val="baseline"/>
              <w:rPr>
                <w:szCs w:val="21"/>
                <w:lang w:eastAsia="en-US" w:bidi="en-US"/>
              </w:rPr>
            </w:pPr>
            <w:r>
              <w:rPr>
                <w:rFonts w:hint="eastAsia"/>
                <w:szCs w:val="21"/>
                <w:lang w:bidi="en-US"/>
              </w:rPr>
              <w:t>最大超标倍数</w:t>
            </w:r>
          </w:p>
        </w:tc>
        <w:tc>
          <w:tcPr>
            <w:tcW w:w="672" w:type="pct"/>
            <w:vAlign w:val="center"/>
          </w:tcPr>
          <w:p>
            <w:pPr>
              <w:widowControl/>
              <w:adjustRightInd w:val="0"/>
              <w:snapToGrid w:val="0"/>
              <w:jc w:val="center"/>
              <w:textAlignment w:val="baseline"/>
              <w:rPr>
                <w:szCs w:val="21"/>
                <w:lang w:bidi="en-US"/>
              </w:rPr>
            </w:pPr>
            <w:r>
              <w:rPr>
                <w:rFonts w:hint="eastAsia"/>
                <w:szCs w:val="21"/>
                <w:lang w:bidi="en-US"/>
              </w:rPr>
              <w:t>达标情况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vMerge w:val="restart"/>
            <w:vAlign w:val="center"/>
          </w:tcPr>
          <w:p>
            <w:pPr>
              <w:widowControl/>
              <w:adjustRightInd w:val="0"/>
              <w:snapToGrid w:val="0"/>
              <w:jc w:val="center"/>
              <w:rPr>
                <w:szCs w:val="21"/>
              </w:rPr>
            </w:pPr>
            <w:r>
              <w:rPr>
                <w:rFonts w:hint="eastAsia"/>
                <w:szCs w:val="21"/>
              </w:rPr>
              <w:t>1</w:t>
            </w:r>
          </w:p>
        </w:tc>
        <w:tc>
          <w:tcPr>
            <w:tcW w:w="311" w:type="pct"/>
            <w:vMerge w:val="restart"/>
            <w:vAlign w:val="center"/>
          </w:tcPr>
          <w:p>
            <w:pPr>
              <w:widowControl/>
              <w:adjustRightInd w:val="0"/>
              <w:snapToGrid w:val="0"/>
              <w:jc w:val="center"/>
              <w:rPr>
                <w:szCs w:val="21"/>
              </w:rPr>
            </w:pPr>
            <w:r>
              <w:rPr>
                <w:rFonts w:hint="eastAsia"/>
                <w:szCs w:val="21"/>
              </w:rPr>
              <w:t>厂区上风向</w:t>
            </w:r>
          </w:p>
        </w:tc>
        <w:tc>
          <w:tcPr>
            <w:tcW w:w="942" w:type="pct"/>
            <w:tcMar>
              <w:top w:w="0" w:type="dxa"/>
              <w:left w:w="0" w:type="dxa"/>
              <w:bottom w:w="0" w:type="dxa"/>
              <w:right w:w="0" w:type="dxa"/>
            </w:tcMar>
            <w:vAlign w:val="center"/>
          </w:tcPr>
          <w:p>
            <w:pPr>
              <w:adjustRightInd w:val="0"/>
              <w:snapToGrid w:val="0"/>
              <w:jc w:val="center"/>
              <w:rPr>
                <w:szCs w:val="21"/>
              </w:rPr>
            </w:pPr>
            <w:bookmarkStart w:id="305" w:name="_Toc426292571"/>
            <w:bookmarkStart w:id="306" w:name="_Toc427837857"/>
            <w:bookmarkStart w:id="307" w:name="_Toc451849786"/>
            <w:bookmarkStart w:id="308" w:name="_Toc436603491"/>
            <w:bookmarkStart w:id="309" w:name="_Toc441236509"/>
            <w:bookmarkStart w:id="310" w:name="_Toc427814118"/>
            <w:bookmarkStart w:id="311" w:name="_Toc489021322"/>
            <w:bookmarkStart w:id="312" w:name="_Toc436225894"/>
            <w:bookmarkStart w:id="313" w:name="_Toc433376500"/>
            <w:bookmarkStart w:id="314" w:name="_Toc432669650"/>
            <w:bookmarkStart w:id="315" w:name="_Toc489433009"/>
            <w:bookmarkStart w:id="316" w:name="_Toc424470158"/>
            <w:bookmarkStart w:id="317" w:name="_Toc2262328"/>
            <w:bookmarkStart w:id="318" w:name="_Toc448729730"/>
            <w:bookmarkStart w:id="319" w:name="_Toc428091436"/>
            <w:bookmarkStart w:id="320" w:name="_Toc428237062"/>
            <w:bookmarkStart w:id="321" w:name="_Toc424484509"/>
            <w:r>
              <w:rPr>
                <w:szCs w:val="21"/>
              </w:rPr>
              <w:t>TSP</w:t>
            </w:r>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Pr>
                <w:bCs/>
                <w:szCs w:val="21"/>
              </w:rPr>
              <w:t>(μg/m</w:t>
            </w:r>
            <w:r>
              <w:rPr>
                <w:bCs/>
                <w:szCs w:val="21"/>
                <w:vertAlign w:val="superscript"/>
              </w:rPr>
              <w:t>3</w:t>
            </w:r>
            <w:r>
              <w:rPr>
                <w:bCs/>
                <w:szCs w:val="21"/>
              </w:rPr>
              <w:t>)</w:t>
            </w:r>
          </w:p>
        </w:tc>
        <w:tc>
          <w:tcPr>
            <w:tcW w:w="601" w:type="pct"/>
            <w:tcMar>
              <w:top w:w="0" w:type="dxa"/>
              <w:left w:w="0" w:type="dxa"/>
              <w:bottom w:w="0" w:type="dxa"/>
              <w:right w:w="0" w:type="dxa"/>
            </w:tcMar>
            <w:vAlign w:val="center"/>
          </w:tcPr>
          <w:p>
            <w:pPr>
              <w:adjustRightInd w:val="0"/>
              <w:snapToGrid w:val="0"/>
              <w:jc w:val="center"/>
              <w:rPr>
                <w:szCs w:val="21"/>
              </w:rPr>
            </w:pPr>
            <w:r>
              <w:rPr>
                <w:szCs w:val="21"/>
              </w:rPr>
              <w:t>—</w:t>
            </w:r>
          </w:p>
        </w:tc>
        <w:tc>
          <w:tcPr>
            <w:tcW w:w="849" w:type="pct"/>
            <w:tcMar>
              <w:top w:w="0" w:type="dxa"/>
              <w:left w:w="0" w:type="dxa"/>
              <w:bottom w:w="0" w:type="dxa"/>
              <w:right w:w="0" w:type="dxa"/>
            </w:tcMar>
            <w:vAlign w:val="center"/>
          </w:tcPr>
          <w:p>
            <w:pPr>
              <w:adjustRightInd w:val="0"/>
              <w:snapToGrid w:val="0"/>
              <w:jc w:val="center"/>
              <w:rPr>
                <w:szCs w:val="21"/>
                <w:lang w:eastAsia="en-US" w:bidi="en-US"/>
              </w:rPr>
            </w:pPr>
            <w:r>
              <w:rPr>
                <w:szCs w:val="21"/>
                <w:lang w:bidi="en-US"/>
              </w:rPr>
              <w:t>94～279</w:t>
            </w:r>
          </w:p>
        </w:tc>
        <w:tc>
          <w:tcPr>
            <w:tcW w:w="841" w:type="pct"/>
            <w:vAlign w:val="center"/>
          </w:tcPr>
          <w:p>
            <w:pPr>
              <w:adjustRightInd w:val="0"/>
              <w:snapToGrid w:val="0"/>
              <w:jc w:val="center"/>
              <w:rPr>
                <w:szCs w:val="21"/>
                <w:lang w:bidi="en-US"/>
              </w:rPr>
            </w:pPr>
            <w:r>
              <w:rPr>
                <w:szCs w:val="21"/>
                <w:lang w:bidi="en-US"/>
              </w:rPr>
              <w:t>0.31～0.93</w:t>
            </w:r>
          </w:p>
        </w:tc>
        <w:tc>
          <w:tcPr>
            <w:tcW w:w="590" w:type="pct"/>
            <w:vAlign w:val="center"/>
          </w:tcPr>
          <w:p>
            <w:pPr>
              <w:adjustRightInd w:val="0"/>
              <w:snapToGrid w:val="0"/>
              <w:jc w:val="center"/>
              <w:rPr>
                <w:szCs w:val="21"/>
                <w:lang w:bidi="en-US"/>
              </w:rPr>
            </w:pPr>
            <w:r>
              <w:rPr>
                <w:rFonts w:hint="eastAsia"/>
                <w:szCs w:val="21"/>
                <w:lang w:bidi="en-US"/>
              </w:rPr>
              <w:t>0</w:t>
            </w:r>
          </w:p>
        </w:tc>
        <w:tc>
          <w:tcPr>
            <w:tcW w:w="672" w:type="pct"/>
            <w:vAlign w:val="center"/>
          </w:tcPr>
          <w:p>
            <w:pPr>
              <w:adjustRightInd w:val="0"/>
              <w:snapToGrid w:val="0"/>
              <w:jc w:val="center"/>
              <w:rPr>
                <w:szCs w:val="21"/>
                <w:lang w:bidi="en-US"/>
              </w:rPr>
            </w:pPr>
            <w:r>
              <w:rPr>
                <w:rFonts w:hint="eastAsia"/>
                <w:szCs w:val="21"/>
                <w:lang w:bidi="en-US"/>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vMerge w:val="continue"/>
            <w:vAlign w:val="center"/>
          </w:tcPr>
          <w:p>
            <w:pPr>
              <w:widowControl/>
              <w:adjustRightInd w:val="0"/>
              <w:snapToGrid w:val="0"/>
              <w:jc w:val="center"/>
              <w:rPr>
                <w:szCs w:val="21"/>
              </w:rPr>
            </w:pPr>
          </w:p>
        </w:tc>
        <w:tc>
          <w:tcPr>
            <w:tcW w:w="311" w:type="pct"/>
            <w:vMerge w:val="continue"/>
            <w:vAlign w:val="center"/>
          </w:tcPr>
          <w:p>
            <w:pPr>
              <w:widowControl/>
              <w:adjustRightInd w:val="0"/>
              <w:snapToGrid w:val="0"/>
              <w:jc w:val="center"/>
              <w:rPr>
                <w:szCs w:val="21"/>
              </w:rPr>
            </w:pPr>
          </w:p>
        </w:tc>
        <w:tc>
          <w:tcPr>
            <w:tcW w:w="942" w:type="pct"/>
            <w:tcMar>
              <w:top w:w="0" w:type="dxa"/>
              <w:left w:w="0" w:type="dxa"/>
              <w:bottom w:w="0" w:type="dxa"/>
              <w:right w:w="0" w:type="dxa"/>
            </w:tcMar>
            <w:vAlign w:val="center"/>
          </w:tcPr>
          <w:p>
            <w:pPr>
              <w:adjustRightInd w:val="0"/>
              <w:snapToGrid w:val="0"/>
              <w:jc w:val="center"/>
              <w:rPr>
                <w:color w:val="FF0000"/>
                <w:szCs w:val="21"/>
              </w:rPr>
            </w:pPr>
            <w:bookmarkStart w:id="322" w:name="_Toc2262331"/>
            <w:bookmarkStart w:id="323" w:name="_Toc451849789"/>
            <w:bookmarkStart w:id="324" w:name="_Toc489021325"/>
            <w:bookmarkStart w:id="325" w:name="_Toc489433012"/>
            <w:bookmarkStart w:id="326" w:name="_Toc441236512"/>
            <w:bookmarkStart w:id="327" w:name="_Toc448729733"/>
            <w:r>
              <w:rPr>
                <w:color w:val="FF0000"/>
                <w:szCs w:val="21"/>
              </w:rPr>
              <w:t>NH</w:t>
            </w:r>
            <w:r>
              <w:rPr>
                <w:color w:val="FF0000"/>
                <w:szCs w:val="21"/>
                <w:vertAlign w:val="subscript"/>
              </w:rPr>
              <w:t>3</w:t>
            </w:r>
            <w:bookmarkEnd w:id="322"/>
            <w:bookmarkEnd w:id="323"/>
            <w:bookmarkEnd w:id="324"/>
            <w:bookmarkEnd w:id="325"/>
            <w:bookmarkEnd w:id="326"/>
            <w:bookmarkEnd w:id="327"/>
            <w:r>
              <w:rPr>
                <w:color w:val="FF0000"/>
                <w:szCs w:val="21"/>
              </w:rPr>
              <w:t>（mg/ m</w:t>
            </w:r>
            <w:r>
              <w:rPr>
                <w:color w:val="FF0000"/>
                <w:szCs w:val="21"/>
                <w:vertAlign w:val="superscript"/>
              </w:rPr>
              <w:t>3</w:t>
            </w:r>
            <w:r>
              <w:rPr>
                <w:color w:val="FF0000"/>
                <w:szCs w:val="21"/>
              </w:rPr>
              <w:t>）</w:t>
            </w:r>
          </w:p>
        </w:tc>
        <w:tc>
          <w:tcPr>
            <w:tcW w:w="601" w:type="pct"/>
            <w:tcMar>
              <w:top w:w="0" w:type="dxa"/>
              <w:left w:w="0" w:type="dxa"/>
              <w:bottom w:w="0" w:type="dxa"/>
              <w:right w:w="0" w:type="dxa"/>
            </w:tcMar>
            <w:vAlign w:val="center"/>
          </w:tcPr>
          <w:p>
            <w:pPr>
              <w:adjustRightInd w:val="0"/>
              <w:snapToGrid w:val="0"/>
              <w:jc w:val="center"/>
              <w:rPr>
                <w:color w:val="FF0000"/>
                <w:szCs w:val="21"/>
              </w:rPr>
            </w:pPr>
            <w:r>
              <w:rPr>
                <w:color w:val="FF0000"/>
                <w:szCs w:val="21"/>
                <w:lang w:bidi="en-US"/>
              </w:rPr>
              <w:t>0.01～</w:t>
            </w:r>
            <w:r>
              <w:rPr>
                <w:rFonts w:hint="eastAsia"/>
                <w:color w:val="FF0000"/>
                <w:szCs w:val="21"/>
                <w:lang w:bidi="en-US"/>
              </w:rPr>
              <w:t>0</w:t>
            </w:r>
            <w:r>
              <w:rPr>
                <w:color w:val="FF0000"/>
                <w:szCs w:val="21"/>
                <w:lang w:bidi="en-US"/>
              </w:rPr>
              <w:t>.02</w:t>
            </w:r>
          </w:p>
        </w:tc>
        <w:tc>
          <w:tcPr>
            <w:tcW w:w="849" w:type="pct"/>
            <w:tcMar>
              <w:top w:w="0" w:type="dxa"/>
              <w:left w:w="0" w:type="dxa"/>
              <w:bottom w:w="0" w:type="dxa"/>
              <w:right w:w="0" w:type="dxa"/>
            </w:tcMar>
            <w:vAlign w:val="center"/>
          </w:tcPr>
          <w:p>
            <w:pPr>
              <w:adjustRightInd w:val="0"/>
              <w:snapToGrid w:val="0"/>
              <w:jc w:val="center"/>
              <w:rPr>
                <w:szCs w:val="21"/>
                <w:lang w:bidi="en-US"/>
              </w:rPr>
            </w:pPr>
            <w:r>
              <w:rPr>
                <w:szCs w:val="21"/>
              </w:rPr>
              <w:t>—</w:t>
            </w:r>
          </w:p>
        </w:tc>
        <w:tc>
          <w:tcPr>
            <w:tcW w:w="841" w:type="pct"/>
            <w:vAlign w:val="center"/>
          </w:tcPr>
          <w:p>
            <w:pPr>
              <w:adjustRightInd w:val="0"/>
              <w:snapToGrid w:val="0"/>
              <w:jc w:val="center"/>
              <w:rPr>
                <w:szCs w:val="21"/>
                <w:lang w:bidi="en-US"/>
              </w:rPr>
            </w:pPr>
            <w:r>
              <w:rPr>
                <w:rFonts w:hint="eastAsia"/>
                <w:color w:val="FF0000"/>
                <w:szCs w:val="21"/>
                <w:lang w:bidi="en-US"/>
              </w:rPr>
              <w:t>0</w:t>
            </w:r>
            <w:r>
              <w:rPr>
                <w:color w:val="FF0000"/>
                <w:szCs w:val="21"/>
                <w:lang w:bidi="en-US"/>
              </w:rPr>
              <w:t>.05～0.1</w:t>
            </w:r>
          </w:p>
        </w:tc>
        <w:tc>
          <w:tcPr>
            <w:tcW w:w="590" w:type="pct"/>
            <w:vAlign w:val="center"/>
          </w:tcPr>
          <w:p>
            <w:pPr>
              <w:adjustRightInd w:val="0"/>
              <w:snapToGrid w:val="0"/>
              <w:jc w:val="center"/>
              <w:rPr>
                <w:szCs w:val="21"/>
                <w:lang w:bidi="en-US"/>
              </w:rPr>
            </w:pPr>
            <w:r>
              <w:rPr>
                <w:rFonts w:hint="eastAsia"/>
                <w:szCs w:val="21"/>
                <w:lang w:bidi="en-US"/>
              </w:rPr>
              <w:t>0</w:t>
            </w:r>
          </w:p>
        </w:tc>
        <w:tc>
          <w:tcPr>
            <w:tcW w:w="672" w:type="pct"/>
            <w:vAlign w:val="center"/>
          </w:tcPr>
          <w:p>
            <w:pPr>
              <w:adjustRightInd w:val="0"/>
              <w:snapToGrid w:val="0"/>
              <w:jc w:val="center"/>
              <w:rPr>
                <w:szCs w:val="21"/>
                <w:lang w:bidi="en-US"/>
              </w:rPr>
            </w:pPr>
            <w:r>
              <w:rPr>
                <w:rFonts w:hint="eastAsia"/>
                <w:szCs w:val="21"/>
                <w:lang w:bidi="en-US"/>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vMerge w:val="continue"/>
            <w:vAlign w:val="center"/>
          </w:tcPr>
          <w:p>
            <w:pPr>
              <w:widowControl/>
              <w:adjustRightInd w:val="0"/>
              <w:snapToGrid w:val="0"/>
              <w:jc w:val="center"/>
              <w:rPr>
                <w:szCs w:val="21"/>
              </w:rPr>
            </w:pPr>
          </w:p>
        </w:tc>
        <w:tc>
          <w:tcPr>
            <w:tcW w:w="311" w:type="pct"/>
            <w:vMerge w:val="continue"/>
            <w:vAlign w:val="center"/>
          </w:tcPr>
          <w:p>
            <w:pPr>
              <w:widowControl/>
              <w:adjustRightInd w:val="0"/>
              <w:snapToGrid w:val="0"/>
              <w:jc w:val="center"/>
              <w:rPr>
                <w:szCs w:val="21"/>
              </w:rPr>
            </w:pPr>
          </w:p>
        </w:tc>
        <w:tc>
          <w:tcPr>
            <w:tcW w:w="942" w:type="pct"/>
            <w:tcMar>
              <w:top w:w="0" w:type="dxa"/>
              <w:left w:w="0" w:type="dxa"/>
              <w:bottom w:w="0" w:type="dxa"/>
              <w:right w:w="0" w:type="dxa"/>
            </w:tcMar>
            <w:vAlign w:val="center"/>
          </w:tcPr>
          <w:p>
            <w:pPr>
              <w:adjustRightInd w:val="0"/>
              <w:snapToGrid w:val="0"/>
              <w:jc w:val="center"/>
              <w:rPr>
                <w:color w:val="FF0000"/>
                <w:szCs w:val="21"/>
              </w:rPr>
            </w:pPr>
            <w:bookmarkStart w:id="328" w:name="_Toc489433013"/>
            <w:bookmarkStart w:id="329" w:name="_Toc441236513"/>
            <w:bookmarkStart w:id="330" w:name="_Toc451849790"/>
            <w:bookmarkStart w:id="331" w:name="_Toc2262332"/>
            <w:bookmarkStart w:id="332" w:name="_Toc448729734"/>
            <w:bookmarkStart w:id="333" w:name="_Toc489021326"/>
            <w:r>
              <w:rPr>
                <w:color w:val="FF0000"/>
                <w:szCs w:val="21"/>
              </w:rPr>
              <w:t>H</w:t>
            </w:r>
            <w:r>
              <w:rPr>
                <w:color w:val="FF0000"/>
                <w:szCs w:val="21"/>
                <w:vertAlign w:val="subscript"/>
              </w:rPr>
              <w:t>2</w:t>
            </w:r>
            <w:r>
              <w:rPr>
                <w:color w:val="FF0000"/>
                <w:szCs w:val="21"/>
              </w:rPr>
              <w:t>S</w:t>
            </w:r>
            <w:bookmarkEnd w:id="328"/>
            <w:bookmarkEnd w:id="329"/>
            <w:bookmarkEnd w:id="330"/>
            <w:bookmarkEnd w:id="331"/>
            <w:bookmarkEnd w:id="332"/>
            <w:bookmarkEnd w:id="333"/>
            <w:r>
              <w:rPr>
                <w:color w:val="FF0000"/>
                <w:szCs w:val="21"/>
              </w:rPr>
              <w:t>（mg/ m</w:t>
            </w:r>
            <w:r>
              <w:rPr>
                <w:color w:val="FF0000"/>
                <w:szCs w:val="21"/>
                <w:vertAlign w:val="superscript"/>
              </w:rPr>
              <w:t>3</w:t>
            </w:r>
            <w:r>
              <w:rPr>
                <w:color w:val="FF0000"/>
                <w:szCs w:val="21"/>
              </w:rPr>
              <w:t>）</w:t>
            </w:r>
          </w:p>
        </w:tc>
        <w:tc>
          <w:tcPr>
            <w:tcW w:w="601" w:type="pct"/>
            <w:tcMar>
              <w:top w:w="0" w:type="dxa"/>
              <w:left w:w="0" w:type="dxa"/>
              <w:bottom w:w="0" w:type="dxa"/>
              <w:right w:w="0" w:type="dxa"/>
            </w:tcMar>
            <w:vAlign w:val="center"/>
          </w:tcPr>
          <w:p>
            <w:pPr>
              <w:adjustRightInd w:val="0"/>
              <w:snapToGrid w:val="0"/>
              <w:jc w:val="center"/>
              <w:rPr>
                <w:color w:val="FF0000"/>
                <w:szCs w:val="21"/>
              </w:rPr>
            </w:pPr>
            <w:r>
              <w:rPr>
                <w:rFonts w:hint="eastAsia"/>
                <w:bCs/>
                <w:color w:val="FF0000"/>
                <w:szCs w:val="21"/>
              </w:rPr>
              <w:t>0.001</w:t>
            </w:r>
          </w:p>
        </w:tc>
        <w:tc>
          <w:tcPr>
            <w:tcW w:w="849" w:type="pct"/>
            <w:tcMar>
              <w:top w:w="0" w:type="dxa"/>
              <w:left w:w="0" w:type="dxa"/>
              <w:bottom w:w="0" w:type="dxa"/>
              <w:right w:w="0" w:type="dxa"/>
            </w:tcMar>
            <w:vAlign w:val="center"/>
          </w:tcPr>
          <w:p>
            <w:pPr>
              <w:adjustRightInd w:val="0"/>
              <w:snapToGrid w:val="0"/>
              <w:jc w:val="center"/>
              <w:rPr>
                <w:szCs w:val="21"/>
                <w:lang w:bidi="en-US"/>
              </w:rPr>
            </w:pPr>
            <w:r>
              <w:rPr>
                <w:szCs w:val="21"/>
              </w:rPr>
              <w:t>—</w:t>
            </w:r>
          </w:p>
        </w:tc>
        <w:tc>
          <w:tcPr>
            <w:tcW w:w="841" w:type="pct"/>
            <w:vAlign w:val="center"/>
          </w:tcPr>
          <w:p>
            <w:pPr>
              <w:adjustRightInd w:val="0"/>
              <w:snapToGrid w:val="0"/>
              <w:jc w:val="center"/>
              <w:rPr>
                <w:szCs w:val="21"/>
                <w:lang w:bidi="en-US"/>
              </w:rPr>
            </w:pPr>
            <w:r>
              <w:rPr>
                <w:rFonts w:hint="eastAsia"/>
                <w:szCs w:val="21"/>
                <w:lang w:bidi="en-US"/>
              </w:rPr>
              <w:t>0</w:t>
            </w:r>
            <w:r>
              <w:rPr>
                <w:szCs w:val="21"/>
                <w:lang w:bidi="en-US"/>
              </w:rPr>
              <w:t>.1</w:t>
            </w:r>
          </w:p>
        </w:tc>
        <w:tc>
          <w:tcPr>
            <w:tcW w:w="590" w:type="pct"/>
            <w:vAlign w:val="center"/>
          </w:tcPr>
          <w:p>
            <w:pPr>
              <w:adjustRightInd w:val="0"/>
              <w:snapToGrid w:val="0"/>
              <w:jc w:val="center"/>
              <w:rPr>
                <w:szCs w:val="21"/>
                <w:lang w:bidi="en-US"/>
              </w:rPr>
            </w:pPr>
            <w:r>
              <w:rPr>
                <w:rFonts w:hint="eastAsia"/>
                <w:szCs w:val="21"/>
                <w:lang w:bidi="en-US"/>
              </w:rPr>
              <w:t>0</w:t>
            </w:r>
          </w:p>
        </w:tc>
        <w:tc>
          <w:tcPr>
            <w:tcW w:w="672" w:type="pct"/>
            <w:vAlign w:val="center"/>
          </w:tcPr>
          <w:p>
            <w:pPr>
              <w:adjustRightInd w:val="0"/>
              <w:snapToGrid w:val="0"/>
              <w:jc w:val="center"/>
              <w:rPr>
                <w:szCs w:val="21"/>
                <w:lang w:bidi="en-US"/>
              </w:rPr>
            </w:pPr>
            <w:r>
              <w:rPr>
                <w:rFonts w:hint="eastAsia"/>
                <w:szCs w:val="21"/>
                <w:lang w:bidi="en-US"/>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vMerge w:val="continue"/>
            <w:vAlign w:val="center"/>
          </w:tcPr>
          <w:p>
            <w:pPr>
              <w:widowControl/>
              <w:adjustRightInd w:val="0"/>
              <w:snapToGrid w:val="0"/>
              <w:jc w:val="center"/>
              <w:rPr>
                <w:szCs w:val="21"/>
              </w:rPr>
            </w:pPr>
          </w:p>
        </w:tc>
        <w:tc>
          <w:tcPr>
            <w:tcW w:w="311" w:type="pct"/>
            <w:vMerge w:val="continue"/>
            <w:vAlign w:val="center"/>
          </w:tcPr>
          <w:p>
            <w:pPr>
              <w:widowControl/>
              <w:adjustRightInd w:val="0"/>
              <w:snapToGrid w:val="0"/>
              <w:jc w:val="center"/>
              <w:rPr>
                <w:szCs w:val="21"/>
              </w:rPr>
            </w:pPr>
          </w:p>
        </w:tc>
        <w:tc>
          <w:tcPr>
            <w:tcW w:w="942" w:type="pct"/>
            <w:tcMar>
              <w:top w:w="0" w:type="dxa"/>
              <w:left w:w="0" w:type="dxa"/>
              <w:bottom w:w="0" w:type="dxa"/>
              <w:right w:w="0" w:type="dxa"/>
            </w:tcMar>
            <w:vAlign w:val="center"/>
          </w:tcPr>
          <w:p>
            <w:pPr>
              <w:adjustRightInd w:val="0"/>
              <w:snapToGrid w:val="0"/>
              <w:jc w:val="center"/>
              <w:rPr>
                <w:szCs w:val="21"/>
              </w:rPr>
            </w:pPr>
            <w:r>
              <w:rPr>
                <w:rFonts w:hint="eastAsia"/>
                <w:szCs w:val="21"/>
              </w:rPr>
              <w:t>臭气浓度</w:t>
            </w:r>
            <w:r>
              <w:rPr>
                <w:rFonts w:hint="eastAsia" w:ascii="宋体" w:hAnsi="宋体"/>
                <w:bCs/>
                <w:szCs w:val="21"/>
              </w:rPr>
              <w:t>（无量纲）</w:t>
            </w:r>
          </w:p>
        </w:tc>
        <w:tc>
          <w:tcPr>
            <w:tcW w:w="601" w:type="pct"/>
            <w:tcMar>
              <w:top w:w="0" w:type="dxa"/>
              <w:left w:w="0" w:type="dxa"/>
              <w:bottom w:w="0" w:type="dxa"/>
              <w:right w:w="0" w:type="dxa"/>
            </w:tcMar>
            <w:vAlign w:val="center"/>
          </w:tcPr>
          <w:p>
            <w:pPr>
              <w:adjustRightInd w:val="0"/>
              <w:snapToGrid w:val="0"/>
              <w:jc w:val="center"/>
              <w:rPr>
                <w:szCs w:val="21"/>
              </w:rPr>
            </w:pPr>
            <w:r>
              <w:rPr>
                <w:rFonts w:ascii="宋体" w:hAnsi="宋体"/>
                <w:bCs/>
                <w:szCs w:val="21"/>
              </w:rPr>
              <w:t>＜</w:t>
            </w:r>
            <w:r>
              <w:rPr>
                <w:bCs/>
                <w:szCs w:val="21"/>
              </w:rPr>
              <w:t>10</w:t>
            </w:r>
          </w:p>
        </w:tc>
        <w:tc>
          <w:tcPr>
            <w:tcW w:w="849" w:type="pct"/>
            <w:tcMar>
              <w:top w:w="0" w:type="dxa"/>
              <w:left w:w="0" w:type="dxa"/>
              <w:bottom w:w="0" w:type="dxa"/>
              <w:right w:w="0" w:type="dxa"/>
            </w:tcMar>
            <w:vAlign w:val="center"/>
          </w:tcPr>
          <w:p>
            <w:pPr>
              <w:adjustRightInd w:val="0"/>
              <w:snapToGrid w:val="0"/>
              <w:jc w:val="center"/>
              <w:rPr>
                <w:szCs w:val="21"/>
                <w:lang w:bidi="en-US"/>
              </w:rPr>
            </w:pPr>
            <w:r>
              <w:rPr>
                <w:szCs w:val="21"/>
              </w:rPr>
              <w:t>—</w:t>
            </w:r>
          </w:p>
        </w:tc>
        <w:tc>
          <w:tcPr>
            <w:tcW w:w="841" w:type="pct"/>
            <w:vAlign w:val="center"/>
          </w:tcPr>
          <w:p>
            <w:pPr>
              <w:adjustRightInd w:val="0"/>
              <w:snapToGrid w:val="0"/>
              <w:jc w:val="center"/>
              <w:rPr>
                <w:szCs w:val="21"/>
                <w:lang w:bidi="en-US"/>
              </w:rPr>
            </w:pPr>
            <w:r>
              <w:rPr>
                <w:szCs w:val="21"/>
              </w:rPr>
              <w:t>—</w:t>
            </w:r>
          </w:p>
        </w:tc>
        <w:tc>
          <w:tcPr>
            <w:tcW w:w="590" w:type="pct"/>
            <w:vAlign w:val="center"/>
          </w:tcPr>
          <w:p>
            <w:pPr>
              <w:adjustRightInd w:val="0"/>
              <w:snapToGrid w:val="0"/>
              <w:jc w:val="center"/>
              <w:rPr>
                <w:szCs w:val="21"/>
                <w:lang w:bidi="en-US"/>
              </w:rPr>
            </w:pPr>
            <w:r>
              <w:rPr>
                <w:rFonts w:hint="eastAsia"/>
                <w:szCs w:val="21"/>
                <w:lang w:bidi="en-US"/>
              </w:rPr>
              <w:t>0</w:t>
            </w:r>
          </w:p>
        </w:tc>
        <w:tc>
          <w:tcPr>
            <w:tcW w:w="672" w:type="pct"/>
            <w:vAlign w:val="center"/>
          </w:tcPr>
          <w:p>
            <w:pPr>
              <w:adjustRightInd w:val="0"/>
              <w:snapToGrid w:val="0"/>
              <w:jc w:val="center"/>
              <w:rPr>
                <w:szCs w:val="21"/>
                <w:lang w:bidi="en-US"/>
              </w:rPr>
            </w:pPr>
            <w:r>
              <w:rPr>
                <w:rFonts w:hint="eastAsia"/>
                <w:szCs w:val="21"/>
                <w:lang w:bidi="en-US"/>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vMerge w:val="restart"/>
            <w:vAlign w:val="center"/>
          </w:tcPr>
          <w:p>
            <w:pPr>
              <w:widowControl/>
              <w:adjustRightInd w:val="0"/>
              <w:snapToGrid w:val="0"/>
              <w:jc w:val="center"/>
              <w:rPr>
                <w:szCs w:val="21"/>
              </w:rPr>
            </w:pPr>
            <w:r>
              <w:rPr>
                <w:szCs w:val="21"/>
              </w:rPr>
              <w:t>2</w:t>
            </w:r>
          </w:p>
        </w:tc>
        <w:tc>
          <w:tcPr>
            <w:tcW w:w="311" w:type="pct"/>
            <w:vMerge w:val="restart"/>
            <w:vAlign w:val="center"/>
          </w:tcPr>
          <w:p>
            <w:pPr>
              <w:widowControl/>
              <w:adjustRightInd w:val="0"/>
              <w:snapToGrid w:val="0"/>
              <w:jc w:val="center"/>
              <w:rPr>
                <w:szCs w:val="21"/>
              </w:rPr>
            </w:pPr>
            <w:r>
              <w:rPr>
                <w:rFonts w:hint="eastAsia"/>
                <w:szCs w:val="21"/>
              </w:rPr>
              <w:t>厂区下风向</w:t>
            </w:r>
          </w:p>
        </w:tc>
        <w:tc>
          <w:tcPr>
            <w:tcW w:w="942" w:type="pct"/>
            <w:tcMar>
              <w:top w:w="0" w:type="dxa"/>
              <w:left w:w="0" w:type="dxa"/>
              <w:bottom w:w="0" w:type="dxa"/>
              <w:right w:w="0" w:type="dxa"/>
            </w:tcMar>
            <w:vAlign w:val="center"/>
          </w:tcPr>
          <w:p>
            <w:pPr>
              <w:adjustRightInd w:val="0"/>
              <w:snapToGrid w:val="0"/>
              <w:jc w:val="center"/>
            </w:pPr>
            <w:r>
              <w:rPr>
                <w:szCs w:val="21"/>
              </w:rPr>
              <w:t>TSP(μg/m</w:t>
            </w:r>
            <w:r>
              <w:rPr>
                <w:szCs w:val="21"/>
                <w:vertAlign w:val="superscript"/>
              </w:rPr>
              <w:t>3</w:t>
            </w:r>
            <w:r>
              <w:rPr>
                <w:szCs w:val="21"/>
              </w:rPr>
              <w:t>)</w:t>
            </w:r>
          </w:p>
        </w:tc>
        <w:tc>
          <w:tcPr>
            <w:tcW w:w="601" w:type="pct"/>
            <w:tcMar>
              <w:top w:w="0" w:type="dxa"/>
              <w:left w:w="0" w:type="dxa"/>
              <w:bottom w:w="0" w:type="dxa"/>
              <w:right w:w="0" w:type="dxa"/>
            </w:tcMar>
            <w:vAlign w:val="center"/>
          </w:tcPr>
          <w:p>
            <w:pPr>
              <w:widowControl/>
              <w:adjustRightInd w:val="0"/>
              <w:snapToGrid w:val="0"/>
              <w:jc w:val="center"/>
              <w:textAlignment w:val="baseline"/>
              <w:rPr>
                <w:szCs w:val="21"/>
                <w:lang w:eastAsia="en-US" w:bidi="en-US"/>
              </w:rPr>
            </w:pPr>
            <w:r>
              <w:rPr>
                <w:szCs w:val="21"/>
              </w:rPr>
              <w:t>—</w:t>
            </w:r>
          </w:p>
        </w:tc>
        <w:tc>
          <w:tcPr>
            <w:tcW w:w="849" w:type="pct"/>
            <w:tcMar>
              <w:top w:w="0" w:type="dxa"/>
              <w:left w:w="0" w:type="dxa"/>
              <w:bottom w:w="0" w:type="dxa"/>
              <w:right w:w="0" w:type="dxa"/>
            </w:tcMar>
            <w:vAlign w:val="center"/>
          </w:tcPr>
          <w:p>
            <w:pPr>
              <w:adjustRightInd w:val="0"/>
              <w:snapToGrid w:val="0"/>
              <w:jc w:val="center"/>
              <w:rPr>
                <w:szCs w:val="21"/>
                <w:lang w:eastAsia="en-US" w:bidi="en-US"/>
              </w:rPr>
            </w:pPr>
            <w:r>
              <w:rPr>
                <w:szCs w:val="21"/>
                <w:lang w:bidi="en-US"/>
              </w:rPr>
              <w:t>101～293</w:t>
            </w:r>
          </w:p>
        </w:tc>
        <w:tc>
          <w:tcPr>
            <w:tcW w:w="841" w:type="pct"/>
            <w:vAlign w:val="center"/>
          </w:tcPr>
          <w:p>
            <w:pPr>
              <w:adjustRightInd w:val="0"/>
              <w:snapToGrid w:val="0"/>
              <w:jc w:val="center"/>
              <w:rPr>
                <w:szCs w:val="21"/>
                <w:lang w:bidi="en-US"/>
              </w:rPr>
            </w:pPr>
            <w:r>
              <w:rPr>
                <w:color w:val="FF0000"/>
                <w:szCs w:val="21"/>
                <w:lang w:bidi="en-US"/>
              </w:rPr>
              <w:t>0.34～0.98</w:t>
            </w:r>
          </w:p>
        </w:tc>
        <w:tc>
          <w:tcPr>
            <w:tcW w:w="590" w:type="pct"/>
            <w:vAlign w:val="center"/>
          </w:tcPr>
          <w:p>
            <w:pPr>
              <w:adjustRightInd w:val="0"/>
              <w:snapToGrid w:val="0"/>
              <w:jc w:val="center"/>
              <w:rPr>
                <w:szCs w:val="21"/>
                <w:lang w:bidi="en-US"/>
              </w:rPr>
            </w:pPr>
            <w:r>
              <w:rPr>
                <w:rFonts w:hint="eastAsia"/>
                <w:szCs w:val="21"/>
                <w:lang w:bidi="en-US"/>
              </w:rPr>
              <w:t>0</w:t>
            </w:r>
          </w:p>
        </w:tc>
        <w:tc>
          <w:tcPr>
            <w:tcW w:w="672" w:type="pct"/>
            <w:vAlign w:val="center"/>
          </w:tcPr>
          <w:p>
            <w:pPr>
              <w:adjustRightInd w:val="0"/>
              <w:snapToGrid w:val="0"/>
              <w:jc w:val="center"/>
              <w:rPr>
                <w:szCs w:val="21"/>
                <w:lang w:bidi="en-US"/>
              </w:rPr>
            </w:pPr>
            <w:r>
              <w:rPr>
                <w:rFonts w:hint="eastAsia"/>
                <w:szCs w:val="21"/>
                <w:lang w:bidi="en-US"/>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vMerge w:val="continue"/>
            <w:vAlign w:val="center"/>
          </w:tcPr>
          <w:p>
            <w:pPr>
              <w:widowControl/>
              <w:adjustRightInd w:val="0"/>
              <w:snapToGrid w:val="0"/>
              <w:jc w:val="center"/>
              <w:rPr>
                <w:szCs w:val="21"/>
              </w:rPr>
            </w:pPr>
          </w:p>
        </w:tc>
        <w:tc>
          <w:tcPr>
            <w:tcW w:w="311" w:type="pct"/>
            <w:vMerge w:val="continue"/>
            <w:vAlign w:val="center"/>
          </w:tcPr>
          <w:p>
            <w:pPr>
              <w:widowControl/>
              <w:adjustRightInd w:val="0"/>
              <w:snapToGrid w:val="0"/>
              <w:jc w:val="center"/>
              <w:rPr>
                <w:szCs w:val="21"/>
              </w:rPr>
            </w:pPr>
          </w:p>
        </w:tc>
        <w:tc>
          <w:tcPr>
            <w:tcW w:w="942" w:type="pct"/>
            <w:tcMar>
              <w:top w:w="0" w:type="dxa"/>
              <w:left w:w="0" w:type="dxa"/>
              <w:bottom w:w="0" w:type="dxa"/>
              <w:right w:w="0" w:type="dxa"/>
            </w:tcMar>
            <w:vAlign w:val="center"/>
          </w:tcPr>
          <w:p>
            <w:pPr>
              <w:adjustRightInd w:val="0"/>
              <w:snapToGrid w:val="0"/>
              <w:jc w:val="center"/>
              <w:rPr>
                <w:color w:val="FF0000"/>
                <w:szCs w:val="21"/>
              </w:rPr>
            </w:pPr>
            <w:r>
              <w:rPr>
                <w:color w:val="FF0000"/>
                <w:szCs w:val="21"/>
              </w:rPr>
              <w:t>NH</w:t>
            </w:r>
            <w:r>
              <w:rPr>
                <w:color w:val="FF0000"/>
                <w:szCs w:val="21"/>
                <w:vertAlign w:val="subscript"/>
              </w:rPr>
              <w:t>3</w:t>
            </w:r>
            <w:r>
              <w:rPr>
                <w:color w:val="FF0000"/>
                <w:szCs w:val="21"/>
              </w:rPr>
              <w:t>（mg/ m</w:t>
            </w:r>
            <w:r>
              <w:rPr>
                <w:color w:val="FF0000"/>
                <w:szCs w:val="21"/>
                <w:vertAlign w:val="superscript"/>
              </w:rPr>
              <w:t>3</w:t>
            </w:r>
            <w:r>
              <w:rPr>
                <w:color w:val="FF0000"/>
                <w:szCs w:val="21"/>
              </w:rPr>
              <w:t>）</w:t>
            </w:r>
          </w:p>
        </w:tc>
        <w:tc>
          <w:tcPr>
            <w:tcW w:w="601" w:type="pct"/>
            <w:tcMar>
              <w:top w:w="0" w:type="dxa"/>
              <w:left w:w="0" w:type="dxa"/>
              <w:bottom w:w="0" w:type="dxa"/>
              <w:right w:w="0" w:type="dxa"/>
            </w:tcMar>
            <w:vAlign w:val="center"/>
          </w:tcPr>
          <w:p>
            <w:pPr>
              <w:widowControl/>
              <w:adjustRightInd w:val="0"/>
              <w:snapToGrid w:val="0"/>
              <w:jc w:val="center"/>
              <w:textAlignment w:val="baseline"/>
              <w:rPr>
                <w:color w:val="FF0000"/>
                <w:szCs w:val="21"/>
                <w:lang w:eastAsia="en-US" w:bidi="en-US"/>
              </w:rPr>
            </w:pPr>
            <w:r>
              <w:rPr>
                <w:color w:val="FF0000"/>
                <w:szCs w:val="21"/>
                <w:lang w:bidi="en-US"/>
              </w:rPr>
              <w:t>0.01</w:t>
            </w:r>
          </w:p>
        </w:tc>
        <w:tc>
          <w:tcPr>
            <w:tcW w:w="849" w:type="pct"/>
            <w:tcMar>
              <w:top w:w="0" w:type="dxa"/>
              <w:left w:w="0" w:type="dxa"/>
              <w:bottom w:w="0" w:type="dxa"/>
              <w:right w:w="0" w:type="dxa"/>
            </w:tcMar>
            <w:vAlign w:val="center"/>
          </w:tcPr>
          <w:p>
            <w:pPr>
              <w:adjustRightInd w:val="0"/>
              <w:snapToGrid w:val="0"/>
              <w:jc w:val="center"/>
              <w:rPr>
                <w:szCs w:val="21"/>
                <w:lang w:bidi="en-US"/>
              </w:rPr>
            </w:pPr>
            <w:r>
              <w:rPr>
                <w:szCs w:val="21"/>
              </w:rPr>
              <w:t>—</w:t>
            </w:r>
          </w:p>
        </w:tc>
        <w:tc>
          <w:tcPr>
            <w:tcW w:w="841" w:type="pct"/>
            <w:vAlign w:val="center"/>
          </w:tcPr>
          <w:p>
            <w:pPr>
              <w:adjustRightInd w:val="0"/>
              <w:snapToGrid w:val="0"/>
              <w:jc w:val="center"/>
              <w:rPr>
                <w:szCs w:val="21"/>
                <w:lang w:eastAsia="en-US" w:bidi="en-US"/>
              </w:rPr>
            </w:pPr>
            <w:r>
              <w:rPr>
                <w:szCs w:val="21"/>
              </w:rPr>
              <w:t>0.05</w:t>
            </w:r>
          </w:p>
        </w:tc>
        <w:tc>
          <w:tcPr>
            <w:tcW w:w="590" w:type="pct"/>
            <w:vAlign w:val="center"/>
          </w:tcPr>
          <w:p>
            <w:pPr>
              <w:adjustRightInd w:val="0"/>
              <w:snapToGrid w:val="0"/>
              <w:jc w:val="center"/>
              <w:rPr>
                <w:szCs w:val="21"/>
                <w:lang w:eastAsia="en-US" w:bidi="en-US"/>
              </w:rPr>
            </w:pPr>
            <w:r>
              <w:rPr>
                <w:rFonts w:hint="eastAsia"/>
                <w:szCs w:val="21"/>
                <w:lang w:bidi="en-US"/>
              </w:rPr>
              <w:t>0</w:t>
            </w:r>
          </w:p>
        </w:tc>
        <w:tc>
          <w:tcPr>
            <w:tcW w:w="672" w:type="pct"/>
            <w:vAlign w:val="center"/>
          </w:tcPr>
          <w:p>
            <w:pPr>
              <w:adjustRightInd w:val="0"/>
              <w:snapToGrid w:val="0"/>
              <w:jc w:val="center"/>
              <w:rPr>
                <w:szCs w:val="21"/>
                <w:lang w:bidi="en-US"/>
              </w:rPr>
            </w:pPr>
            <w:r>
              <w:rPr>
                <w:rFonts w:hint="eastAsia"/>
                <w:szCs w:val="21"/>
                <w:lang w:bidi="en-US"/>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vMerge w:val="continue"/>
            <w:vAlign w:val="center"/>
          </w:tcPr>
          <w:p>
            <w:pPr>
              <w:widowControl/>
              <w:adjustRightInd w:val="0"/>
              <w:snapToGrid w:val="0"/>
              <w:jc w:val="center"/>
              <w:rPr>
                <w:szCs w:val="21"/>
              </w:rPr>
            </w:pPr>
          </w:p>
        </w:tc>
        <w:tc>
          <w:tcPr>
            <w:tcW w:w="311" w:type="pct"/>
            <w:vMerge w:val="continue"/>
            <w:vAlign w:val="center"/>
          </w:tcPr>
          <w:p>
            <w:pPr>
              <w:widowControl/>
              <w:adjustRightInd w:val="0"/>
              <w:snapToGrid w:val="0"/>
              <w:jc w:val="center"/>
              <w:rPr>
                <w:szCs w:val="21"/>
              </w:rPr>
            </w:pPr>
          </w:p>
        </w:tc>
        <w:tc>
          <w:tcPr>
            <w:tcW w:w="942" w:type="pct"/>
            <w:tcMar>
              <w:top w:w="0" w:type="dxa"/>
              <w:left w:w="0" w:type="dxa"/>
              <w:bottom w:w="0" w:type="dxa"/>
              <w:right w:w="0" w:type="dxa"/>
            </w:tcMar>
            <w:vAlign w:val="center"/>
          </w:tcPr>
          <w:p>
            <w:pPr>
              <w:adjustRightInd w:val="0"/>
              <w:snapToGrid w:val="0"/>
              <w:jc w:val="center"/>
              <w:rPr>
                <w:color w:val="FF0000"/>
                <w:szCs w:val="21"/>
              </w:rPr>
            </w:pPr>
            <w:r>
              <w:rPr>
                <w:color w:val="FF0000"/>
                <w:szCs w:val="21"/>
              </w:rPr>
              <w:t>H</w:t>
            </w:r>
            <w:r>
              <w:rPr>
                <w:color w:val="FF0000"/>
                <w:szCs w:val="21"/>
                <w:vertAlign w:val="subscript"/>
              </w:rPr>
              <w:t>2</w:t>
            </w:r>
            <w:r>
              <w:rPr>
                <w:color w:val="FF0000"/>
                <w:szCs w:val="21"/>
              </w:rPr>
              <w:t>S（mg/ m</w:t>
            </w:r>
            <w:r>
              <w:rPr>
                <w:color w:val="FF0000"/>
                <w:szCs w:val="21"/>
                <w:vertAlign w:val="superscript"/>
              </w:rPr>
              <w:t>3</w:t>
            </w:r>
            <w:r>
              <w:rPr>
                <w:color w:val="FF0000"/>
                <w:szCs w:val="21"/>
              </w:rPr>
              <w:t>）</w:t>
            </w:r>
          </w:p>
        </w:tc>
        <w:tc>
          <w:tcPr>
            <w:tcW w:w="601" w:type="pct"/>
            <w:tcMar>
              <w:top w:w="0" w:type="dxa"/>
              <w:left w:w="0" w:type="dxa"/>
              <w:bottom w:w="0" w:type="dxa"/>
              <w:right w:w="0" w:type="dxa"/>
            </w:tcMar>
            <w:vAlign w:val="center"/>
          </w:tcPr>
          <w:p>
            <w:pPr>
              <w:widowControl/>
              <w:adjustRightInd w:val="0"/>
              <w:snapToGrid w:val="0"/>
              <w:jc w:val="center"/>
              <w:textAlignment w:val="baseline"/>
              <w:rPr>
                <w:color w:val="FF0000"/>
                <w:szCs w:val="21"/>
                <w:lang w:bidi="en-US"/>
              </w:rPr>
            </w:pPr>
            <w:r>
              <w:rPr>
                <w:color w:val="FF0000"/>
                <w:szCs w:val="21"/>
                <w:lang w:bidi="en-US"/>
              </w:rPr>
              <w:t>0.001～</w:t>
            </w:r>
            <w:r>
              <w:rPr>
                <w:rFonts w:hint="eastAsia"/>
                <w:color w:val="FF0000"/>
                <w:szCs w:val="21"/>
                <w:lang w:bidi="en-US"/>
              </w:rPr>
              <w:t>0</w:t>
            </w:r>
            <w:r>
              <w:rPr>
                <w:color w:val="FF0000"/>
                <w:szCs w:val="21"/>
                <w:lang w:bidi="en-US"/>
              </w:rPr>
              <w:t>.002</w:t>
            </w:r>
          </w:p>
        </w:tc>
        <w:tc>
          <w:tcPr>
            <w:tcW w:w="849" w:type="pct"/>
            <w:tcMar>
              <w:top w:w="0" w:type="dxa"/>
              <w:left w:w="0" w:type="dxa"/>
              <w:bottom w:w="0" w:type="dxa"/>
              <w:right w:w="0" w:type="dxa"/>
            </w:tcMar>
            <w:vAlign w:val="center"/>
          </w:tcPr>
          <w:p>
            <w:pPr>
              <w:adjustRightInd w:val="0"/>
              <w:snapToGrid w:val="0"/>
              <w:jc w:val="center"/>
              <w:rPr>
                <w:szCs w:val="21"/>
                <w:lang w:bidi="en-US"/>
              </w:rPr>
            </w:pPr>
            <w:r>
              <w:rPr>
                <w:szCs w:val="21"/>
              </w:rPr>
              <w:t>—</w:t>
            </w:r>
          </w:p>
        </w:tc>
        <w:tc>
          <w:tcPr>
            <w:tcW w:w="841" w:type="pct"/>
            <w:vAlign w:val="center"/>
          </w:tcPr>
          <w:p>
            <w:pPr>
              <w:adjustRightInd w:val="0"/>
              <w:snapToGrid w:val="0"/>
              <w:jc w:val="center"/>
              <w:rPr>
                <w:szCs w:val="21"/>
                <w:lang w:bidi="en-US"/>
              </w:rPr>
            </w:pPr>
            <w:r>
              <w:rPr>
                <w:color w:val="FF0000"/>
                <w:szCs w:val="21"/>
              </w:rPr>
              <w:t>0.1</w:t>
            </w:r>
            <w:r>
              <w:rPr>
                <w:color w:val="FF0000"/>
                <w:szCs w:val="21"/>
                <w:lang w:bidi="en-US"/>
              </w:rPr>
              <w:t>～0.2</w:t>
            </w:r>
          </w:p>
        </w:tc>
        <w:tc>
          <w:tcPr>
            <w:tcW w:w="590" w:type="pct"/>
            <w:vAlign w:val="center"/>
          </w:tcPr>
          <w:p>
            <w:pPr>
              <w:adjustRightInd w:val="0"/>
              <w:snapToGrid w:val="0"/>
              <w:jc w:val="center"/>
              <w:rPr>
                <w:szCs w:val="21"/>
                <w:lang w:bidi="en-US"/>
              </w:rPr>
            </w:pPr>
            <w:r>
              <w:rPr>
                <w:rFonts w:hint="eastAsia"/>
                <w:szCs w:val="21"/>
                <w:lang w:bidi="en-US"/>
              </w:rPr>
              <w:t>0</w:t>
            </w:r>
          </w:p>
        </w:tc>
        <w:tc>
          <w:tcPr>
            <w:tcW w:w="672" w:type="pct"/>
            <w:vAlign w:val="center"/>
          </w:tcPr>
          <w:p>
            <w:pPr>
              <w:adjustRightInd w:val="0"/>
              <w:snapToGrid w:val="0"/>
              <w:jc w:val="center"/>
              <w:rPr>
                <w:szCs w:val="21"/>
                <w:lang w:bidi="en-US"/>
              </w:rPr>
            </w:pPr>
            <w:r>
              <w:rPr>
                <w:rFonts w:hint="eastAsia"/>
                <w:szCs w:val="21"/>
                <w:lang w:bidi="en-US"/>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194" w:type="pct"/>
            <w:vMerge w:val="continue"/>
            <w:vAlign w:val="center"/>
          </w:tcPr>
          <w:p>
            <w:pPr>
              <w:widowControl/>
              <w:adjustRightInd w:val="0"/>
              <w:snapToGrid w:val="0"/>
              <w:jc w:val="center"/>
              <w:rPr>
                <w:szCs w:val="21"/>
              </w:rPr>
            </w:pPr>
          </w:p>
        </w:tc>
        <w:tc>
          <w:tcPr>
            <w:tcW w:w="311" w:type="pct"/>
            <w:vMerge w:val="continue"/>
            <w:vAlign w:val="center"/>
          </w:tcPr>
          <w:p>
            <w:pPr>
              <w:widowControl/>
              <w:adjustRightInd w:val="0"/>
              <w:snapToGrid w:val="0"/>
              <w:jc w:val="center"/>
              <w:rPr>
                <w:szCs w:val="21"/>
              </w:rPr>
            </w:pPr>
          </w:p>
        </w:tc>
        <w:tc>
          <w:tcPr>
            <w:tcW w:w="942" w:type="pct"/>
            <w:tcMar>
              <w:top w:w="0" w:type="dxa"/>
              <w:left w:w="0" w:type="dxa"/>
              <w:bottom w:w="0" w:type="dxa"/>
              <w:right w:w="0" w:type="dxa"/>
            </w:tcMar>
            <w:vAlign w:val="center"/>
          </w:tcPr>
          <w:p>
            <w:pPr>
              <w:pStyle w:val="939"/>
              <w:adjustRightInd w:val="0"/>
              <w:snapToGrid w:val="0"/>
              <w:spacing w:line="240" w:lineRule="auto"/>
              <w:ind w:firstLine="0" w:firstLineChars="0"/>
              <w:rPr>
                <w:sz w:val="21"/>
                <w:szCs w:val="21"/>
              </w:rPr>
            </w:pPr>
            <w:r>
              <w:rPr>
                <w:rFonts w:hint="eastAsia"/>
                <w:sz w:val="21"/>
                <w:szCs w:val="21"/>
              </w:rPr>
              <w:t>臭</w:t>
            </w:r>
            <w:r>
              <w:rPr>
                <w:rStyle w:val="2229"/>
                <w:rFonts w:hint="eastAsia"/>
                <w:sz w:val="21"/>
                <w:szCs w:val="21"/>
              </w:rPr>
              <w:t>气浓度（无量纲）</w:t>
            </w:r>
          </w:p>
        </w:tc>
        <w:tc>
          <w:tcPr>
            <w:tcW w:w="601" w:type="pct"/>
            <w:tcMar>
              <w:top w:w="0" w:type="dxa"/>
              <w:left w:w="0" w:type="dxa"/>
              <w:bottom w:w="0" w:type="dxa"/>
              <w:right w:w="0" w:type="dxa"/>
            </w:tcMar>
            <w:vAlign w:val="center"/>
          </w:tcPr>
          <w:p>
            <w:pPr>
              <w:widowControl/>
              <w:adjustRightInd w:val="0"/>
              <w:snapToGrid w:val="0"/>
              <w:jc w:val="center"/>
              <w:textAlignment w:val="baseline"/>
              <w:rPr>
                <w:szCs w:val="21"/>
                <w:lang w:bidi="en-US"/>
              </w:rPr>
            </w:pPr>
            <w:r>
              <w:rPr>
                <w:rFonts w:ascii="宋体" w:hAnsi="宋体"/>
                <w:bCs/>
                <w:szCs w:val="21"/>
              </w:rPr>
              <w:t>＜</w:t>
            </w:r>
            <w:r>
              <w:rPr>
                <w:bCs/>
                <w:szCs w:val="21"/>
              </w:rPr>
              <w:t>10</w:t>
            </w:r>
          </w:p>
        </w:tc>
        <w:tc>
          <w:tcPr>
            <w:tcW w:w="849" w:type="pct"/>
            <w:tcMar>
              <w:top w:w="0" w:type="dxa"/>
              <w:left w:w="0" w:type="dxa"/>
              <w:bottom w:w="0" w:type="dxa"/>
              <w:right w:w="0" w:type="dxa"/>
            </w:tcMar>
            <w:vAlign w:val="center"/>
          </w:tcPr>
          <w:p>
            <w:pPr>
              <w:adjustRightInd w:val="0"/>
              <w:snapToGrid w:val="0"/>
              <w:jc w:val="center"/>
              <w:rPr>
                <w:szCs w:val="21"/>
                <w:lang w:eastAsia="en-US" w:bidi="en-US"/>
              </w:rPr>
            </w:pPr>
            <w:r>
              <w:rPr>
                <w:szCs w:val="21"/>
              </w:rPr>
              <w:t>—</w:t>
            </w:r>
          </w:p>
        </w:tc>
        <w:tc>
          <w:tcPr>
            <w:tcW w:w="841" w:type="pct"/>
            <w:vAlign w:val="center"/>
          </w:tcPr>
          <w:p>
            <w:pPr>
              <w:adjustRightInd w:val="0"/>
              <w:snapToGrid w:val="0"/>
              <w:jc w:val="center"/>
              <w:rPr>
                <w:szCs w:val="21"/>
                <w:lang w:bidi="en-US"/>
              </w:rPr>
            </w:pPr>
            <w:r>
              <w:rPr>
                <w:szCs w:val="21"/>
              </w:rPr>
              <w:t>—</w:t>
            </w:r>
          </w:p>
        </w:tc>
        <w:tc>
          <w:tcPr>
            <w:tcW w:w="590" w:type="pct"/>
            <w:vAlign w:val="center"/>
          </w:tcPr>
          <w:p>
            <w:pPr>
              <w:adjustRightInd w:val="0"/>
              <w:snapToGrid w:val="0"/>
              <w:jc w:val="center"/>
              <w:rPr>
                <w:szCs w:val="21"/>
                <w:lang w:bidi="en-US"/>
              </w:rPr>
            </w:pPr>
            <w:r>
              <w:rPr>
                <w:rFonts w:hint="eastAsia"/>
                <w:szCs w:val="21"/>
                <w:lang w:bidi="en-US"/>
              </w:rPr>
              <w:t>0</w:t>
            </w:r>
          </w:p>
        </w:tc>
        <w:tc>
          <w:tcPr>
            <w:tcW w:w="672" w:type="pct"/>
            <w:vAlign w:val="center"/>
          </w:tcPr>
          <w:p>
            <w:pPr>
              <w:adjustRightInd w:val="0"/>
              <w:snapToGrid w:val="0"/>
              <w:jc w:val="center"/>
              <w:rPr>
                <w:szCs w:val="21"/>
                <w:lang w:bidi="en-US"/>
              </w:rPr>
            </w:pPr>
            <w:r>
              <w:rPr>
                <w:rFonts w:hint="eastAsia"/>
                <w:szCs w:val="21"/>
                <w:lang w:bidi="en-US"/>
              </w:rPr>
              <w:t>达标</w:t>
            </w:r>
          </w:p>
        </w:tc>
      </w:t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tbl>
    <w:p>
      <w:pPr>
        <w:tabs>
          <w:tab w:val="left" w:pos="405"/>
          <w:tab w:val="center" w:pos="4156"/>
        </w:tabs>
        <w:spacing w:line="360" w:lineRule="auto"/>
        <w:ind w:firstLine="480" w:firstLineChars="200"/>
        <w:rPr>
          <w:sz w:val="24"/>
        </w:rPr>
      </w:pPr>
      <w:r>
        <w:rPr>
          <w:rFonts w:hint="eastAsia"/>
          <w:sz w:val="24"/>
        </w:rPr>
        <w:t>由监测结果，TSP</w:t>
      </w:r>
      <w:r>
        <w:rPr>
          <w:sz w:val="24"/>
        </w:rPr>
        <w:t>现状值符合《环境空气质量标准》（GB3095-2012）中二级标准要求</w:t>
      </w:r>
      <w:r>
        <w:rPr>
          <w:rFonts w:hint="eastAsia"/>
          <w:sz w:val="24"/>
        </w:rPr>
        <w:t>，</w:t>
      </w:r>
      <w:r>
        <w:rPr>
          <w:sz w:val="24"/>
        </w:rPr>
        <w:t xml:space="preserve"> NH</w:t>
      </w:r>
      <w:r>
        <w:rPr>
          <w:sz w:val="24"/>
          <w:vertAlign w:val="subscript"/>
        </w:rPr>
        <w:t>3</w:t>
      </w:r>
      <w:r>
        <w:rPr>
          <w:sz w:val="24"/>
        </w:rPr>
        <w:t>和H</w:t>
      </w:r>
      <w:r>
        <w:rPr>
          <w:sz w:val="24"/>
          <w:vertAlign w:val="subscript"/>
        </w:rPr>
        <w:t>2</w:t>
      </w:r>
      <w:r>
        <w:rPr>
          <w:sz w:val="24"/>
        </w:rPr>
        <w:t>S满足</w:t>
      </w:r>
      <w:r>
        <w:rPr>
          <w:rFonts w:hint="eastAsia"/>
          <w:sz w:val="24"/>
        </w:rPr>
        <w:t>《环境影响评价技术导则-大气环境》（HJ2.2-2018）附录D 中表D.1 其他污染物空气质量浓度参考限值</w:t>
      </w:r>
      <w:r>
        <w:rPr>
          <w:sz w:val="24"/>
        </w:rPr>
        <w:t>。</w:t>
      </w:r>
      <w:r>
        <w:rPr>
          <w:rFonts w:hint="eastAsia"/>
          <w:sz w:val="24"/>
        </w:rPr>
        <w:t>臭气浓度满足《恶臭污染物排放标准》（GB14554-93）限值要求。</w:t>
      </w:r>
    </w:p>
    <w:p>
      <w:pPr>
        <w:spacing w:line="360" w:lineRule="auto"/>
        <w:outlineLvl w:val="2"/>
        <w:rPr>
          <w:b/>
          <w:bCs/>
          <w:sz w:val="28"/>
          <w:szCs w:val="32"/>
        </w:rPr>
      </w:pPr>
      <w:bookmarkStart w:id="334" w:name="_Toc489433058"/>
      <w:bookmarkStart w:id="335" w:name="_Toc2262377"/>
      <w:bookmarkStart w:id="336" w:name="_Toc489021371"/>
      <w:bookmarkStart w:id="337" w:name="_Toc143762328"/>
      <w:r>
        <w:rPr>
          <w:b/>
          <w:bCs/>
          <w:sz w:val="28"/>
          <w:szCs w:val="32"/>
        </w:rPr>
        <w:t>4.2.2地下水环境质量现状调查及评价</w:t>
      </w:r>
      <w:bookmarkEnd w:id="334"/>
      <w:bookmarkEnd w:id="335"/>
      <w:bookmarkEnd w:id="336"/>
      <w:bookmarkEnd w:id="337"/>
    </w:p>
    <w:p>
      <w:pPr>
        <w:spacing w:line="360" w:lineRule="auto"/>
        <w:outlineLvl w:val="3"/>
        <w:rPr>
          <w:b/>
          <w:sz w:val="24"/>
        </w:rPr>
      </w:pPr>
      <w:r>
        <w:rPr>
          <w:b/>
          <w:sz w:val="24"/>
        </w:rPr>
        <w:t>4.2.2.1地下水环境质量现状监测</w:t>
      </w:r>
    </w:p>
    <w:p>
      <w:pPr>
        <w:spacing w:line="360" w:lineRule="auto"/>
        <w:ind w:firstLine="482" w:firstLineChars="200"/>
        <w:rPr>
          <w:b/>
          <w:sz w:val="24"/>
        </w:rPr>
      </w:pPr>
      <w:r>
        <w:rPr>
          <w:rFonts w:hint="eastAsia"/>
          <w:b/>
          <w:sz w:val="24"/>
        </w:rPr>
        <w:t>一、</w:t>
      </w:r>
      <w:r>
        <w:rPr>
          <w:b/>
          <w:sz w:val="24"/>
        </w:rPr>
        <w:t>水位调查</w:t>
      </w:r>
    </w:p>
    <w:p>
      <w:pPr>
        <w:spacing w:line="360" w:lineRule="auto"/>
        <w:ind w:firstLine="480" w:firstLineChars="200"/>
        <w:rPr>
          <w:sz w:val="24"/>
        </w:rPr>
      </w:pPr>
      <w:r>
        <w:rPr>
          <w:sz w:val="24"/>
        </w:rPr>
        <w:t>本次评价委托内蒙古航峰检测技术有限公司对评价区进行了2期水位调查，调查时间分别为2023年2月1日（枯水期）、2023年4月6日（平水期），</w:t>
      </w:r>
      <w:r>
        <w:rPr>
          <w:color w:val="FF0000"/>
          <w:sz w:val="24"/>
        </w:rPr>
        <w:t>2023年7月30日（丰水期）</w:t>
      </w:r>
      <w:r>
        <w:rPr>
          <w:rFonts w:hint="eastAsia" w:ascii="宋体" w:hAnsi="宋体"/>
          <w:color w:val="FF0000"/>
          <w:sz w:val="24"/>
        </w:rPr>
        <w:t>，</w:t>
      </w:r>
      <w:r>
        <w:rPr>
          <w:rFonts w:ascii="宋体" w:hAnsi="宋体"/>
          <w:sz w:val="24"/>
        </w:rPr>
        <w:t>共调查</w:t>
      </w:r>
      <w:r>
        <w:rPr>
          <w:sz w:val="24"/>
        </w:rPr>
        <w:t>14</w:t>
      </w:r>
      <w:r>
        <w:rPr>
          <w:rFonts w:ascii="宋体" w:hAnsi="宋体"/>
          <w:sz w:val="24"/>
        </w:rPr>
        <w:t>个点位。根据分析，评价区地下水总体流向为自南向北，地下水平均水力梯度约为</w:t>
      </w:r>
      <w:r>
        <w:rPr>
          <w:sz w:val="24"/>
        </w:rPr>
        <w:t>0.45‰</w:t>
      </w:r>
      <w:r>
        <w:rPr>
          <w:rFonts w:ascii="宋体" w:hAnsi="宋体"/>
          <w:sz w:val="24"/>
        </w:rPr>
        <w:t>。</w:t>
      </w:r>
    </w:p>
    <w:p>
      <w:pPr>
        <w:spacing w:line="360" w:lineRule="auto"/>
        <w:ind w:firstLine="420" w:firstLineChars="200"/>
        <w:rPr>
          <w:sz w:val="24"/>
        </w:rPr>
      </w:pPr>
      <w:r>
        <w:drawing>
          <wp:inline distT="0" distB="0" distL="0" distR="0">
            <wp:extent cx="4464050" cy="43910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4467759" cy="4395046"/>
                    </a:xfrm>
                    <a:prstGeom prst="rect">
                      <a:avLst/>
                    </a:prstGeom>
                    <a:noFill/>
                    <a:ln>
                      <a:noFill/>
                    </a:ln>
                  </pic:spPr>
                </pic:pic>
              </a:graphicData>
            </a:graphic>
          </wp:inline>
        </w:drawing>
      </w:r>
    </w:p>
    <w:p>
      <w:pPr>
        <w:adjustRightInd w:val="0"/>
        <w:snapToGrid w:val="0"/>
        <w:spacing w:line="360" w:lineRule="auto"/>
        <w:jc w:val="center"/>
        <w:rPr>
          <w:sz w:val="24"/>
        </w:rPr>
      </w:pPr>
      <w:r>
        <w:rPr>
          <w:b/>
          <w:bCs/>
          <w:szCs w:val="21"/>
        </w:rPr>
        <w:t>a.2023</w:t>
      </w:r>
      <w:r>
        <w:rPr>
          <w:rFonts w:ascii="宋体" w:hAnsi="宋体"/>
          <w:b/>
          <w:bCs/>
          <w:szCs w:val="21"/>
        </w:rPr>
        <w:t>年</w:t>
      </w:r>
      <w:r>
        <w:rPr>
          <w:b/>
          <w:bCs/>
          <w:szCs w:val="21"/>
        </w:rPr>
        <w:t>2</w:t>
      </w:r>
      <w:r>
        <w:rPr>
          <w:rFonts w:ascii="宋体" w:hAnsi="宋体"/>
          <w:b/>
          <w:bCs/>
          <w:szCs w:val="21"/>
        </w:rPr>
        <w:t>月</w:t>
      </w:r>
      <w:r>
        <w:rPr>
          <w:b/>
          <w:bCs/>
          <w:szCs w:val="21"/>
        </w:rPr>
        <w:t>1</w:t>
      </w:r>
      <w:r>
        <w:rPr>
          <w:rFonts w:ascii="宋体" w:hAnsi="宋体"/>
          <w:b/>
          <w:bCs/>
          <w:szCs w:val="21"/>
        </w:rPr>
        <w:t>日（枯水期）</w:t>
      </w:r>
    </w:p>
    <w:p>
      <w:pPr>
        <w:widowControl/>
        <w:adjustRightInd w:val="0"/>
        <w:snapToGrid w:val="0"/>
        <w:spacing w:line="360" w:lineRule="auto"/>
        <w:jc w:val="center"/>
        <w:rPr>
          <w:b/>
          <w:bCs/>
          <w:szCs w:val="21"/>
        </w:rPr>
      </w:pPr>
      <w:r>
        <w:drawing>
          <wp:inline distT="0" distB="0" distL="0" distR="0">
            <wp:extent cx="4965065" cy="4919980"/>
            <wp:effectExtent l="0" t="0" r="698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4969100" cy="4924171"/>
                    </a:xfrm>
                    <a:prstGeom prst="rect">
                      <a:avLst/>
                    </a:prstGeom>
                    <a:noFill/>
                    <a:ln>
                      <a:noFill/>
                    </a:ln>
                  </pic:spPr>
                </pic:pic>
              </a:graphicData>
            </a:graphic>
          </wp:inline>
        </w:drawing>
      </w:r>
    </w:p>
    <w:p>
      <w:pPr>
        <w:widowControl/>
        <w:adjustRightInd w:val="0"/>
        <w:snapToGrid w:val="0"/>
        <w:spacing w:line="360" w:lineRule="auto"/>
        <w:jc w:val="center"/>
        <w:rPr>
          <w:rFonts w:ascii="宋体" w:hAnsi="宋体"/>
          <w:b/>
          <w:bCs/>
          <w:sz w:val="24"/>
        </w:rPr>
      </w:pPr>
      <w:r>
        <w:rPr>
          <w:b/>
          <w:bCs/>
          <w:sz w:val="24"/>
        </w:rPr>
        <w:t>b.2023</w:t>
      </w:r>
      <w:r>
        <w:rPr>
          <w:rFonts w:ascii="宋体" w:hAnsi="宋体"/>
          <w:b/>
          <w:bCs/>
          <w:sz w:val="24"/>
        </w:rPr>
        <w:t>年</w:t>
      </w:r>
      <w:r>
        <w:rPr>
          <w:b/>
          <w:bCs/>
          <w:sz w:val="24"/>
        </w:rPr>
        <w:t>4</w:t>
      </w:r>
      <w:r>
        <w:rPr>
          <w:rFonts w:ascii="宋体" w:hAnsi="宋体"/>
          <w:b/>
          <w:bCs/>
          <w:sz w:val="24"/>
        </w:rPr>
        <w:t>月</w:t>
      </w:r>
      <w:r>
        <w:rPr>
          <w:b/>
          <w:bCs/>
          <w:sz w:val="24"/>
        </w:rPr>
        <w:t>6</w:t>
      </w:r>
      <w:r>
        <w:rPr>
          <w:rFonts w:ascii="宋体" w:hAnsi="宋体"/>
          <w:b/>
          <w:bCs/>
          <w:sz w:val="24"/>
        </w:rPr>
        <w:t>日（平水期）</w:t>
      </w:r>
    </w:p>
    <w:p>
      <w:pPr>
        <w:adjustRightInd w:val="0"/>
        <w:snapToGrid w:val="0"/>
        <w:spacing w:line="360" w:lineRule="auto"/>
        <w:jc w:val="center"/>
        <w:rPr>
          <w:b/>
          <w:bCs/>
          <w:color w:val="0000FF"/>
          <w:szCs w:val="21"/>
        </w:rPr>
      </w:pPr>
      <w:r>
        <w:rPr>
          <w:rFonts w:hint="eastAsia"/>
        </w:rPr>
        <w:drawing>
          <wp:inline distT="0" distB="0" distL="0" distR="0">
            <wp:extent cx="4881245" cy="4830445"/>
            <wp:effectExtent l="0" t="0" r="0" b="8255"/>
            <wp:docPr id="47" name="图片 47" descr="C:\Users\众成环境\AppData\Local\Temp\ksohtml12676\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众成环境\AppData\Local\Temp\ksohtml12676\wps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886619" cy="4835330"/>
                    </a:xfrm>
                    <a:prstGeom prst="rect">
                      <a:avLst/>
                    </a:prstGeom>
                    <a:noFill/>
                    <a:ln>
                      <a:noFill/>
                    </a:ln>
                  </pic:spPr>
                </pic:pic>
              </a:graphicData>
            </a:graphic>
          </wp:inline>
        </w:drawing>
      </w:r>
    </w:p>
    <w:p>
      <w:pPr>
        <w:adjustRightInd w:val="0"/>
        <w:snapToGrid w:val="0"/>
        <w:spacing w:line="360" w:lineRule="auto"/>
        <w:jc w:val="center"/>
        <w:rPr>
          <w:b/>
          <w:bCs/>
          <w:color w:val="FF0000"/>
        </w:rPr>
      </w:pPr>
      <w:r>
        <w:rPr>
          <w:b/>
          <w:bCs/>
          <w:color w:val="FF0000"/>
        </w:rPr>
        <w:t>c.2023</w:t>
      </w:r>
      <w:r>
        <w:rPr>
          <w:rFonts w:ascii="宋体" w:hAnsi="宋体"/>
          <w:b/>
          <w:bCs/>
          <w:color w:val="FF0000"/>
        </w:rPr>
        <w:t>年</w:t>
      </w:r>
      <w:r>
        <w:rPr>
          <w:rFonts w:hint="eastAsia"/>
          <w:b/>
          <w:bCs/>
          <w:color w:val="FF0000"/>
        </w:rPr>
        <w:t>7</w:t>
      </w:r>
      <w:r>
        <w:rPr>
          <w:rFonts w:hint="eastAsia" w:ascii="宋体" w:hAnsi="宋体"/>
          <w:b/>
          <w:bCs/>
          <w:color w:val="FF0000"/>
        </w:rPr>
        <w:t>月</w:t>
      </w:r>
      <w:r>
        <w:rPr>
          <w:rFonts w:hint="eastAsia"/>
          <w:b/>
          <w:bCs/>
          <w:color w:val="FF0000"/>
        </w:rPr>
        <w:t>3</w:t>
      </w:r>
      <w:r>
        <w:rPr>
          <w:b/>
          <w:bCs/>
          <w:color w:val="FF0000"/>
        </w:rPr>
        <w:t>0</w:t>
      </w:r>
      <w:r>
        <w:rPr>
          <w:rFonts w:ascii="宋体" w:hAnsi="宋体"/>
          <w:b/>
          <w:bCs/>
          <w:color w:val="FF0000"/>
        </w:rPr>
        <w:t>日（丰水期）</w:t>
      </w:r>
    </w:p>
    <w:p>
      <w:pPr>
        <w:widowControl/>
        <w:adjustRightInd w:val="0"/>
        <w:snapToGrid w:val="0"/>
        <w:spacing w:line="360" w:lineRule="auto"/>
        <w:jc w:val="center"/>
        <w:rPr>
          <w:b/>
          <w:bCs/>
          <w:color w:val="FF0000"/>
          <w:sz w:val="24"/>
        </w:rPr>
      </w:pPr>
    </w:p>
    <w:p>
      <w:pPr>
        <w:adjustRightInd w:val="0"/>
        <w:snapToGrid w:val="0"/>
        <w:spacing w:line="360" w:lineRule="auto"/>
        <w:jc w:val="center"/>
        <w:rPr>
          <w:color w:val="FF0000"/>
          <w:sz w:val="24"/>
        </w:rPr>
      </w:pPr>
      <w:r>
        <w:rPr>
          <w:b/>
          <w:bCs/>
          <w:color w:val="FF0000"/>
          <w:sz w:val="24"/>
        </w:rPr>
        <w:t>图4.2-2  评价区地下水等水位线图</w:t>
      </w:r>
    </w:p>
    <w:p>
      <w:pPr>
        <w:spacing w:line="360" w:lineRule="auto"/>
        <w:ind w:firstLine="480" w:firstLineChars="200"/>
        <w:rPr>
          <w:sz w:val="24"/>
        </w:rPr>
        <w:sectPr>
          <w:pgSz w:w="11906" w:h="16838"/>
          <w:pgMar w:top="1440" w:right="1800" w:bottom="1440" w:left="1800" w:header="851" w:footer="992" w:gutter="0"/>
          <w:cols w:space="720" w:num="1"/>
          <w:docGrid w:type="lines" w:linePitch="312" w:charSpace="0"/>
        </w:sectPr>
      </w:pPr>
    </w:p>
    <w:p>
      <w:pPr>
        <w:widowControl/>
        <w:jc w:val="center"/>
        <w:rPr>
          <w:b/>
          <w:bCs/>
          <w:spacing w:val="4"/>
          <w:kern w:val="0"/>
          <w:sz w:val="24"/>
        </w:rPr>
      </w:pPr>
      <w:r>
        <w:rPr>
          <w:b/>
          <w:bCs/>
          <w:spacing w:val="4"/>
          <w:kern w:val="0"/>
          <w:sz w:val="24"/>
        </w:rPr>
        <w:t>表4.2-5  地下水水位调查结果一览表</w:t>
      </w:r>
    </w:p>
    <w:tbl>
      <w:tblPr>
        <w:tblStyle w:val="8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5"/>
        <w:gridCol w:w="1282"/>
        <w:gridCol w:w="855"/>
        <w:gridCol w:w="1281"/>
        <w:gridCol w:w="1139"/>
        <w:gridCol w:w="1139"/>
        <w:gridCol w:w="855"/>
        <w:gridCol w:w="712"/>
        <w:gridCol w:w="854"/>
        <w:gridCol w:w="712"/>
        <w:gridCol w:w="712"/>
        <w:gridCol w:w="711"/>
        <w:gridCol w:w="712"/>
        <w:gridCol w:w="713"/>
        <w:gridCol w:w="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vMerge w:val="restart"/>
            <w:tcBorders>
              <w:top w:val="single" w:color="auto" w:sz="12" w:space="0"/>
              <w:left w:val="single" w:color="auto" w:sz="12" w:space="0"/>
              <w:bottom w:val="single" w:color="auto" w:sz="4" w:space="0"/>
              <w:right w:val="single" w:color="auto" w:sz="4" w:space="0"/>
            </w:tcBorders>
            <w:noWrap/>
            <w:vAlign w:val="center"/>
          </w:tcPr>
          <w:p>
            <w:pPr>
              <w:widowControl/>
              <w:jc w:val="center"/>
              <w:rPr>
                <w:color w:val="FF0000"/>
                <w:kern w:val="0"/>
                <w:szCs w:val="21"/>
              </w:rPr>
            </w:pPr>
            <w:r>
              <w:rPr>
                <w:rFonts w:ascii="宋体" w:hAnsi="宋体"/>
                <w:color w:val="FF0000"/>
                <w:kern w:val="0"/>
              </w:rPr>
              <w:t>序号</w:t>
            </w:r>
          </w:p>
        </w:tc>
        <w:tc>
          <w:tcPr>
            <w:tcW w:w="1276" w:type="dxa"/>
            <w:vMerge w:val="restart"/>
            <w:tcBorders>
              <w:top w:val="single" w:color="auto" w:sz="12"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名称</w:t>
            </w:r>
          </w:p>
        </w:tc>
        <w:tc>
          <w:tcPr>
            <w:tcW w:w="851" w:type="dxa"/>
            <w:vMerge w:val="restart"/>
            <w:tcBorders>
              <w:top w:val="single" w:color="auto" w:sz="12"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位于项目厂区上游</w:t>
            </w:r>
            <w:r>
              <w:rPr>
                <w:color w:val="FF0000"/>
                <w:kern w:val="0"/>
              </w:rPr>
              <w:t>/</w:t>
            </w:r>
            <w:r>
              <w:rPr>
                <w:rFonts w:ascii="宋体" w:hAnsi="宋体"/>
                <w:color w:val="FF0000"/>
                <w:kern w:val="0"/>
              </w:rPr>
              <w:t>下游</w:t>
            </w:r>
            <w:r>
              <w:rPr>
                <w:color w:val="FF0000"/>
                <w:kern w:val="0"/>
              </w:rPr>
              <w:t>/</w:t>
            </w:r>
            <w:r>
              <w:rPr>
                <w:rFonts w:ascii="宋体" w:hAnsi="宋体"/>
                <w:color w:val="FF0000"/>
                <w:kern w:val="0"/>
              </w:rPr>
              <w:t>侧向</w:t>
            </w:r>
          </w:p>
        </w:tc>
        <w:tc>
          <w:tcPr>
            <w:tcW w:w="2409" w:type="dxa"/>
            <w:gridSpan w:val="2"/>
            <w:tcBorders>
              <w:top w:val="single" w:color="auto" w:sz="12"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坐标</w:t>
            </w:r>
          </w:p>
        </w:tc>
        <w:tc>
          <w:tcPr>
            <w:tcW w:w="1134" w:type="dxa"/>
            <w:vMerge w:val="restart"/>
            <w:tcBorders>
              <w:top w:val="single" w:color="auto" w:sz="12"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用途</w:t>
            </w:r>
          </w:p>
        </w:tc>
        <w:tc>
          <w:tcPr>
            <w:tcW w:w="851" w:type="dxa"/>
            <w:vMerge w:val="restart"/>
            <w:tcBorders>
              <w:top w:val="single" w:color="auto" w:sz="12"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水井深度（</w:t>
            </w:r>
            <w:r>
              <w:rPr>
                <w:color w:val="FF0000"/>
                <w:kern w:val="0"/>
              </w:rPr>
              <w:t>m</w:t>
            </w:r>
            <w:r>
              <w:rPr>
                <w:rFonts w:ascii="宋体" w:hAnsi="宋体"/>
                <w:color w:val="FF0000"/>
                <w:kern w:val="0"/>
              </w:rPr>
              <w:t>）</w:t>
            </w:r>
          </w:p>
        </w:tc>
        <w:tc>
          <w:tcPr>
            <w:tcW w:w="709" w:type="dxa"/>
            <w:vMerge w:val="restart"/>
            <w:tcBorders>
              <w:top w:val="single" w:color="auto" w:sz="12"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监测层位</w:t>
            </w:r>
          </w:p>
        </w:tc>
        <w:tc>
          <w:tcPr>
            <w:tcW w:w="850" w:type="dxa"/>
            <w:vMerge w:val="restart"/>
            <w:tcBorders>
              <w:top w:val="single" w:color="auto" w:sz="12"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地表</w:t>
            </w:r>
          </w:p>
          <w:p>
            <w:pPr>
              <w:widowControl/>
              <w:jc w:val="center"/>
              <w:rPr>
                <w:color w:val="FF0000"/>
                <w:kern w:val="0"/>
              </w:rPr>
            </w:pPr>
            <w:r>
              <w:rPr>
                <w:rFonts w:ascii="宋体" w:hAnsi="宋体"/>
                <w:color w:val="FF0000"/>
                <w:kern w:val="0"/>
              </w:rPr>
              <w:t>高程（</w:t>
            </w:r>
            <w:r>
              <w:rPr>
                <w:color w:val="FF0000"/>
                <w:kern w:val="0"/>
              </w:rPr>
              <w:t>m</w:t>
            </w:r>
            <w:r>
              <w:rPr>
                <w:rFonts w:ascii="宋体" w:hAnsi="宋体"/>
                <w:color w:val="FF0000"/>
                <w:kern w:val="0"/>
              </w:rPr>
              <w:t>）</w:t>
            </w:r>
          </w:p>
        </w:tc>
        <w:tc>
          <w:tcPr>
            <w:tcW w:w="4298" w:type="dxa"/>
            <w:gridSpan w:val="6"/>
            <w:tcBorders>
              <w:top w:val="single" w:color="auto" w:sz="12" w:space="0"/>
              <w:left w:val="nil"/>
              <w:bottom w:val="nil"/>
              <w:right w:val="single" w:color="auto" w:sz="12" w:space="0"/>
            </w:tcBorders>
            <w:noWrap/>
            <w:vAlign w:val="center"/>
          </w:tcPr>
          <w:p>
            <w:pPr>
              <w:widowControl/>
              <w:jc w:val="center"/>
              <w:rPr>
                <w:color w:val="FF0000"/>
                <w:kern w:val="0"/>
              </w:rPr>
            </w:pPr>
            <w:r>
              <w:rPr>
                <w:rFonts w:ascii="宋体" w:hAnsi="宋体"/>
                <w:color w:val="FF0000"/>
                <w:kern w:val="0"/>
              </w:rPr>
              <w:t>水位调查结果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0" w:type="auto"/>
            <w:vMerge w:val="continue"/>
            <w:tcBorders>
              <w:top w:val="single" w:color="auto" w:sz="12" w:space="0"/>
              <w:left w:val="single" w:color="auto" w:sz="12" w:space="0"/>
              <w:bottom w:val="single" w:color="auto" w:sz="4" w:space="0"/>
              <w:right w:val="single" w:color="auto" w:sz="4" w:space="0"/>
            </w:tcBorders>
            <w:vAlign w:val="center"/>
          </w:tcPr>
          <w:p>
            <w:pPr>
              <w:widowControl/>
              <w:jc w:val="left"/>
              <w:rPr>
                <w:color w:val="FF0000"/>
                <w:kern w:val="0"/>
                <w:szCs w:val="21"/>
              </w:rPr>
            </w:pPr>
          </w:p>
        </w:tc>
        <w:tc>
          <w:tcPr>
            <w:tcW w:w="0" w:type="auto"/>
            <w:vMerge w:val="continue"/>
            <w:tcBorders>
              <w:top w:val="single" w:color="auto" w:sz="12" w:space="0"/>
              <w:left w:val="nil"/>
              <w:bottom w:val="single" w:color="auto" w:sz="4" w:space="0"/>
              <w:right w:val="single" w:color="auto" w:sz="4" w:space="0"/>
            </w:tcBorders>
            <w:vAlign w:val="center"/>
          </w:tcPr>
          <w:p>
            <w:pPr>
              <w:widowControl/>
              <w:jc w:val="left"/>
              <w:rPr>
                <w:color w:val="FF0000"/>
                <w:kern w:val="0"/>
                <w:szCs w:val="21"/>
              </w:rPr>
            </w:pPr>
          </w:p>
        </w:tc>
        <w:tc>
          <w:tcPr>
            <w:tcW w:w="0" w:type="auto"/>
            <w:vMerge w:val="continue"/>
            <w:tcBorders>
              <w:top w:val="single" w:color="auto" w:sz="12" w:space="0"/>
              <w:left w:val="nil"/>
              <w:bottom w:val="single" w:color="auto" w:sz="4" w:space="0"/>
              <w:right w:val="single" w:color="auto" w:sz="4" w:space="0"/>
            </w:tcBorders>
            <w:vAlign w:val="center"/>
          </w:tcPr>
          <w:p>
            <w:pPr>
              <w:widowControl/>
              <w:jc w:val="left"/>
              <w:rPr>
                <w:color w:val="FF0000"/>
                <w:kern w:val="0"/>
                <w:szCs w:val="21"/>
              </w:rPr>
            </w:pP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E</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N</w:t>
            </w:r>
          </w:p>
        </w:tc>
        <w:tc>
          <w:tcPr>
            <w:tcW w:w="0" w:type="auto"/>
            <w:vMerge w:val="continue"/>
            <w:tcBorders>
              <w:top w:val="single" w:color="auto" w:sz="12" w:space="0"/>
              <w:left w:val="nil"/>
              <w:bottom w:val="single" w:color="auto" w:sz="4" w:space="0"/>
              <w:right w:val="single" w:color="auto" w:sz="4" w:space="0"/>
            </w:tcBorders>
            <w:vAlign w:val="center"/>
          </w:tcPr>
          <w:p>
            <w:pPr>
              <w:widowControl/>
              <w:jc w:val="left"/>
              <w:rPr>
                <w:color w:val="FF0000"/>
                <w:kern w:val="0"/>
                <w:szCs w:val="21"/>
              </w:rPr>
            </w:pPr>
          </w:p>
        </w:tc>
        <w:tc>
          <w:tcPr>
            <w:tcW w:w="0" w:type="auto"/>
            <w:vMerge w:val="continue"/>
            <w:tcBorders>
              <w:top w:val="single" w:color="auto" w:sz="12" w:space="0"/>
              <w:left w:val="nil"/>
              <w:bottom w:val="single" w:color="auto" w:sz="4" w:space="0"/>
              <w:right w:val="single" w:color="auto" w:sz="4" w:space="0"/>
            </w:tcBorders>
            <w:vAlign w:val="center"/>
          </w:tcPr>
          <w:p>
            <w:pPr>
              <w:widowControl/>
              <w:jc w:val="left"/>
              <w:rPr>
                <w:color w:val="FF0000"/>
                <w:kern w:val="0"/>
                <w:szCs w:val="21"/>
              </w:rPr>
            </w:pPr>
          </w:p>
        </w:tc>
        <w:tc>
          <w:tcPr>
            <w:tcW w:w="0" w:type="auto"/>
            <w:vMerge w:val="continue"/>
            <w:tcBorders>
              <w:top w:val="single" w:color="auto" w:sz="12" w:space="0"/>
              <w:left w:val="nil"/>
              <w:bottom w:val="single" w:color="auto" w:sz="4" w:space="0"/>
              <w:right w:val="single" w:color="auto" w:sz="4" w:space="0"/>
            </w:tcBorders>
            <w:vAlign w:val="center"/>
          </w:tcPr>
          <w:p>
            <w:pPr>
              <w:widowControl/>
              <w:jc w:val="left"/>
              <w:rPr>
                <w:color w:val="FF0000"/>
                <w:kern w:val="0"/>
                <w:szCs w:val="21"/>
              </w:rPr>
            </w:pPr>
          </w:p>
        </w:tc>
        <w:tc>
          <w:tcPr>
            <w:tcW w:w="0" w:type="auto"/>
            <w:vMerge w:val="continue"/>
            <w:tcBorders>
              <w:top w:val="single" w:color="auto" w:sz="12" w:space="0"/>
              <w:left w:val="nil"/>
              <w:bottom w:val="single" w:color="auto" w:sz="4" w:space="0"/>
              <w:right w:val="single" w:color="auto" w:sz="4" w:space="0"/>
            </w:tcBorders>
            <w:vAlign w:val="center"/>
          </w:tcPr>
          <w:p>
            <w:pPr>
              <w:widowControl/>
              <w:jc w:val="left"/>
              <w:rPr>
                <w:color w:val="FF0000"/>
                <w:kern w:val="0"/>
                <w:szCs w:val="21"/>
              </w:rPr>
            </w:pP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w:t>
            </w:r>
            <w:r>
              <w:rPr>
                <w:rFonts w:ascii="宋体" w:hAnsi="宋体"/>
                <w:color w:val="FF0000"/>
                <w:kern w:val="0"/>
              </w:rPr>
              <w:t>月水位埋深（</w:t>
            </w:r>
            <w:r>
              <w:rPr>
                <w:color w:val="FF0000"/>
                <w:kern w:val="0"/>
              </w:rPr>
              <w:t>m</w:t>
            </w:r>
            <w:r>
              <w:rPr>
                <w:rFonts w:ascii="宋体" w:hAnsi="宋体"/>
                <w:color w:val="FF0000"/>
                <w:kern w:val="0"/>
              </w:rPr>
              <w:t>）</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w:t>
            </w:r>
            <w:r>
              <w:rPr>
                <w:rFonts w:ascii="宋体" w:hAnsi="宋体"/>
                <w:color w:val="FF0000"/>
                <w:kern w:val="0"/>
              </w:rPr>
              <w:t>月水位标高（</w:t>
            </w:r>
            <w:r>
              <w:rPr>
                <w:color w:val="FF0000"/>
                <w:kern w:val="0"/>
              </w:rPr>
              <w:t>m</w:t>
            </w:r>
            <w:r>
              <w:rPr>
                <w:rFonts w:ascii="宋体" w:hAnsi="宋体"/>
                <w:color w:val="FF0000"/>
                <w:kern w:val="0"/>
              </w:rPr>
              <w:t>）</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w:t>
            </w:r>
            <w:r>
              <w:rPr>
                <w:rFonts w:ascii="宋体" w:hAnsi="宋体"/>
                <w:color w:val="FF0000"/>
                <w:kern w:val="0"/>
              </w:rPr>
              <w:t>月水位埋深（</w:t>
            </w:r>
            <w:r>
              <w:rPr>
                <w:color w:val="FF0000"/>
                <w:kern w:val="0"/>
              </w:rPr>
              <w:t>m</w:t>
            </w:r>
            <w:r>
              <w:rPr>
                <w:rFonts w:ascii="宋体" w:hAnsi="宋体"/>
                <w:color w:val="FF0000"/>
                <w:kern w:val="0"/>
              </w:rPr>
              <w:t>）</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w:t>
            </w:r>
            <w:r>
              <w:rPr>
                <w:rFonts w:ascii="宋体" w:hAnsi="宋体"/>
                <w:color w:val="FF0000"/>
                <w:kern w:val="0"/>
              </w:rPr>
              <w:t>月水位标高（</w:t>
            </w:r>
            <w:r>
              <w:rPr>
                <w:color w:val="FF0000"/>
                <w:kern w:val="0"/>
              </w:rPr>
              <w:t>m</w:t>
            </w:r>
            <w:r>
              <w:rPr>
                <w:rFonts w:ascii="宋体" w:hAnsi="宋体"/>
                <w:color w:val="FF0000"/>
                <w:kern w:val="0"/>
              </w:rPr>
              <w:t>）</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color w:val="FF0000"/>
                <w:kern w:val="0"/>
              </w:rPr>
              <w:t>7</w:t>
            </w:r>
            <w:r>
              <w:rPr>
                <w:rFonts w:ascii="宋体" w:hAnsi="宋体"/>
                <w:color w:val="FF0000"/>
                <w:kern w:val="0"/>
              </w:rPr>
              <w:t>月水位埋深（</w:t>
            </w:r>
            <w:r>
              <w:rPr>
                <w:color w:val="FF0000"/>
                <w:kern w:val="0"/>
              </w:rPr>
              <w:t>m</w:t>
            </w:r>
            <w:r>
              <w:rPr>
                <w:rFonts w:ascii="宋体" w:hAnsi="宋体"/>
                <w:color w:val="FF0000"/>
                <w:kern w:val="0"/>
              </w:rPr>
              <w:t>）</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color w:val="FF0000"/>
                <w:kern w:val="0"/>
              </w:rPr>
              <w:t>7</w:t>
            </w:r>
            <w:r>
              <w:rPr>
                <w:rFonts w:ascii="宋体" w:hAnsi="宋体"/>
                <w:color w:val="FF0000"/>
                <w:kern w:val="0"/>
              </w:rPr>
              <w:t>月水位标高（</w:t>
            </w:r>
            <w:r>
              <w:rPr>
                <w:color w:val="FF0000"/>
                <w:kern w:val="0"/>
              </w:rPr>
              <w:t>m</w:t>
            </w:r>
            <w:r>
              <w:rPr>
                <w:rFonts w:ascii="宋体" w:hAnsi="宋体"/>
                <w:color w:val="FF0000"/>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D1</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填埋场监测井</w:t>
            </w:r>
            <w:r>
              <w:rPr>
                <w:color w:val="FF0000"/>
                <w:kern w:val="0"/>
              </w:rPr>
              <w:t>1</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上游</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107°55'04.50"</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40°59'29.11"</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跟踪监测</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1030.24</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4.13</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1026.11</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3.97</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1026.27</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3.89</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D2</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填埋场监测井</w:t>
            </w:r>
            <w:r>
              <w:rPr>
                <w:color w:val="FF0000"/>
                <w:kern w:val="0"/>
              </w:rPr>
              <w:t>2</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侧向</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107°55'07.42"</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40°59'30.78"</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跟踪监测</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1030.21</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4.09</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1026.12</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3.96</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1026.25</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3.87</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1026.34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D3</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填埋场监测井</w:t>
            </w:r>
            <w:r>
              <w:rPr>
                <w:color w:val="FF0000"/>
                <w:kern w:val="0"/>
              </w:rPr>
              <w:t>3</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侧向</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107°55'06.54"</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40°59'34.84"</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跟踪监测</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1030.24</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4.22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1026.02</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4.06</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1026.18</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3.95</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1026.29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D4</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填埋场监测井</w:t>
            </w:r>
            <w:r>
              <w:rPr>
                <w:color w:val="FF0000"/>
                <w:kern w:val="0"/>
              </w:rPr>
              <w:t>4</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下游</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107°55'04.19"</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40°59'40.47"</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跟踪监测</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1030.09</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4.06</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1026.03</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3.98</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1026.11</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3.88</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1026.21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D5</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填埋场监测井</w:t>
            </w:r>
            <w:r>
              <w:rPr>
                <w:color w:val="FF0000"/>
                <w:kern w:val="0"/>
              </w:rPr>
              <w:t>5</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侧向</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107°54'59.22"</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40°59'33.99"</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跟踪监测</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1030.16</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4.03</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1026.13</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3.95</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1026.21</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3.88</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D6</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李建国家水井</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侧向</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107°54'36.80"</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40°59'38.73"</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ascii="宋体" w:hAnsi="宋体"/>
                <w:color w:val="FF0000"/>
                <w:kern w:val="0"/>
              </w:rPr>
              <w:t>生活饮用、养羊</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13</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1030.05</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4.02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1026.03</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1026.13</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3.83</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1026.22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D7</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填埋场自备水井</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下游</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107°55'04.37"</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40°59'49.62"</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跟踪监测、饮用</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100</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1029.8</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3.95</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1025.85</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3.88</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1025.92</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D8</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李三柜村水井</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下游</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107°55'36.47"</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41°00'34.03"</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饮用</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30</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1029.67</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4.33</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1025.34</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4.22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1025.45</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4.12</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1025.55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D9</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金联村水井</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下游</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107°54'38.22"</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41°00'04.37"</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饮用</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25</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1029.72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3.96</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1025.76</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1025.79</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3.81</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D10</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西樊柜村水井</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ascii="宋体" w:hAnsi="宋体"/>
                <w:color w:val="FF0000"/>
                <w:kern w:val="0"/>
              </w:rPr>
              <w:t>上游</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107°55'56.71"</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40°59'20.34"</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饮用</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28</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1030.43</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4.21</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1026.22</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3.95</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1026.48</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3.86</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1026.57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D11</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大牛圪旦水村井</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color w:val="FF0000"/>
                <w:kern w:val="0"/>
              </w:rPr>
              <w:t>--</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107°54'50.51"</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40°58'37.93"</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饮用</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31</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1030.78</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4.02</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1026.76</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3.73</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1027.05</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3.6</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1027.18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D12</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李柜村水井</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color w:val="FF0000"/>
                <w:kern w:val="0"/>
              </w:rPr>
              <w:t>--</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107°53'51.80"</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41°00'05.99"</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饮用</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26</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1029.77</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4.05</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1025.72</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3.95</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1025.82</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3.84</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4" w:space="0"/>
              <w:right w:val="single" w:color="auto" w:sz="4" w:space="0"/>
            </w:tcBorders>
            <w:noWrap/>
            <w:vAlign w:val="center"/>
          </w:tcPr>
          <w:p>
            <w:pPr>
              <w:widowControl/>
              <w:jc w:val="center"/>
              <w:rPr>
                <w:color w:val="FF0000"/>
                <w:kern w:val="0"/>
              </w:rPr>
            </w:pPr>
            <w:r>
              <w:rPr>
                <w:color w:val="FF0000"/>
                <w:kern w:val="0"/>
              </w:rPr>
              <w:t>D13</w:t>
            </w:r>
          </w:p>
        </w:tc>
        <w:tc>
          <w:tcPr>
            <w:tcW w:w="1276"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三牛圪旦村水井</w:t>
            </w:r>
          </w:p>
        </w:tc>
        <w:tc>
          <w:tcPr>
            <w:tcW w:w="851"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color w:val="FF0000"/>
                <w:kern w:val="0"/>
              </w:rPr>
              <w:t>--</w:t>
            </w:r>
          </w:p>
        </w:tc>
        <w:tc>
          <w:tcPr>
            <w:tcW w:w="1275"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107°53'43.92"</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40°58'32.76"</w:t>
            </w:r>
          </w:p>
        </w:tc>
        <w:tc>
          <w:tcPr>
            <w:tcW w:w="1134"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ascii="宋体" w:hAnsi="宋体"/>
                <w:color w:val="FF0000"/>
                <w:kern w:val="0"/>
              </w:rPr>
              <w:t>饮用</w:t>
            </w:r>
          </w:p>
        </w:tc>
        <w:tc>
          <w:tcPr>
            <w:tcW w:w="851"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30</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color w:val="FF0000"/>
                <w:kern w:val="0"/>
              </w:rPr>
              <w:t>1030.64</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3.5</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1027.14</w:t>
            </w:r>
          </w:p>
        </w:tc>
        <w:tc>
          <w:tcPr>
            <w:tcW w:w="708"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3.36</w:t>
            </w:r>
          </w:p>
        </w:tc>
        <w:tc>
          <w:tcPr>
            <w:tcW w:w="709" w:type="dxa"/>
            <w:tcBorders>
              <w:top w:val="single" w:color="auto" w:sz="4" w:space="0"/>
              <w:left w:val="nil"/>
              <w:bottom w:val="single" w:color="auto" w:sz="4" w:space="0"/>
              <w:right w:val="single" w:color="auto" w:sz="4" w:space="0"/>
            </w:tcBorders>
            <w:noWrap/>
            <w:vAlign w:val="center"/>
          </w:tcPr>
          <w:p>
            <w:pPr>
              <w:widowControl/>
              <w:jc w:val="center"/>
              <w:rPr>
                <w:color w:val="FF0000"/>
                <w:kern w:val="0"/>
              </w:rPr>
            </w:pPr>
            <w:r>
              <w:rPr>
                <w:rFonts w:hint="eastAsia"/>
                <w:color w:val="FF0000"/>
                <w:kern w:val="0"/>
              </w:rPr>
              <w:t>1027.28</w:t>
            </w:r>
          </w:p>
        </w:tc>
        <w:tc>
          <w:tcPr>
            <w:tcW w:w="709" w:type="dxa"/>
            <w:tcBorders>
              <w:top w:val="single" w:color="auto" w:sz="4" w:space="0"/>
              <w:left w:val="nil"/>
              <w:bottom w:val="single" w:color="auto" w:sz="4" w:space="0"/>
              <w:right w:val="single" w:color="auto" w:sz="4" w:space="0"/>
            </w:tcBorders>
            <w:vAlign w:val="center"/>
          </w:tcPr>
          <w:p>
            <w:pPr>
              <w:widowControl/>
              <w:jc w:val="center"/>
              <w:rPr>
                <w:color w:val="FF0000"/>
                <w:kern w:val="0"/>
              </w:rPr>
            </w:pPr>
            <w:r>
              <w:rPr>
                <w:rFonts w:hint="eastAsia"/>
                <w:color w:val="FF0000"/>
                <w:kern w:val="0"/>
              </w:rPr>
              <w:t>3.24</w:t>
            </w:r>
          </w:p>
        </w:tc>
        <w:tc>
          <w:tcPr>
            <w:tcW w:w="754" w:type="dxa"/>
            <w:tcBorders>
              <w:top w:val="single" w:color="auto" w:sz="4" w:space="0"/>
              <w:left w:val="nil"/>
              <w:bottom w:val="single" w:color="auto" w:sz="4" w:space="0"/>
              <w:right w:val="single" w:color="auto" w:sz="12" w:space="0"/>
            </w:tcBorders>
            <w:vAlign w:val="center"/>
          </w:tcPr>
          <w:p>
            <w:pPr>
              <w:widowControl/>
              <w:jc w:val="center"/>
              <w:rPr>
                <w:color w:val="FF0000"/>
                <w:kern w:val="0"/>
              </w:rPr>
            </w:pPr>
            <w:r>
              <w:rPr>
                <w:rFonts w:hint="eastAsia"/>
                <w:color w:val="FF0000"/>
                <w:kern w:val="0"/>
              </w:rPr>
              <w:t>1027.4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2" w:type="dxa"/>
            <w:tcBorders>
              <w:top w:val="single" w:color="auto" w:sz="4" w:space="0"/>
              <w:left w:val="single" w:color="auto" w:sz="12" w:space="0"/>
              <w:bottom w:val="single" w:color="auto" w:sz="12" w:space="0"/>
              <w:right w:val="single" w:color="auto" w:sz="4" w:space="0"/>
            </w:tcBorders>
            <w:noWrap/>
            <w:vAlign w:val="center"/>
          </w:tcPr>
          <w:p>
            <w:pPr>
              <w:widowControl/>
              <w:jc w:val="center"/>
              <w:rPr>
                <w:color w:val="FF0000"/>
                <w:kern w:val="0"/>
              </w:rPr>
            </w:pPr>
            <w:r>
              <w:rPr>
                <w:color w:val="FF0000"/>
                <w:kern w:val="0"/>
              </w:rPr>
              <w:t>D14</w:t>
            </w:r>
          </w:p>
        </w:tc>
        <w:tc>
          <w:tcPr>
            <w:tcW w:w="1276"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rFonts w:ascii="宋体" w:hAnsi="宋体"/>
                <w:color w:val="FF0000"/>
                <w:kern w:val="0"/>
              </w:rPr>
              <w:t>东樊柜村水井</w:t>
            </w:r>
          </w:p>
        </w:tc>
        <w:tc>
          <w:tcPr>
            <w:tcW w:w="851" w:type="dxa"/>
            <w:tcBorders>
              <w:top w:val="single" w:color="auto" w:sz="4" w:space="0"/>
              <w:left w:val="nil"/>
              <w:bottom w:val="single" w:color="auto" w:sz="12" w:space="0"/>
              <w:right w:val="single" w:color="auto" w:sz="4" w:space="0"/>
            </w:tcBorders>
            <w:vAlign w:val="center"/>
          </w:tcPr>
          <w:p>
            <w:pPr>
              <w:widowControl/>
              <w:jc w:val="center"/>
              <w:rPr>
                <w:color w:val="FF0000"/>
                <w:kern w:val="0"/>
              </w:rPr>
            </w:pPr>
            <w:r>
              <w:rPr>
                <w:color w:val="FF0000"/>
                <w:kern w:val="0"/>
              </w:rPr>
              <w:t>--</w:t>
            </w:r>
          </w:p>
        </w:tc>
        <w:tc>
          <w:tcPr>
            <w:tcW w:w="1275"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color w:val="FF0000"/>
                <w:kern w:val="0"/>
              </w:rPr>
              <w:t>107°56'47.79"</w:t>
            </w:r>
          </w:p>
        </w:tc>
        <w:tc>
          <w:tcPr>
            <w:tcW w:w="1134"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color w:val="FF0000"/>
                <w:kern w:val="0"/>
              </w:rPr>
              <w:t>40°59'32.79"</w:t>
            </w:r>
          </w:p>
        </w:tc>
        <w:tc>
          <w:tcPr>
            <w:tcW w:w="1134"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rFonts w:ascii="宋体" w:hAnsi="宋体"/>
                <w:color w:val="FF0000"/>
                <w:kern w:val="0"/>
              </w:rPr>
              <w:t>饮用</w:t>
            </w:r>
          </w:p>
        </w:tc>
        <w:tc>
          <w:tcPr>
            <w:tcW w:w="851"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color w:val="FF0000"/>
                <w:kern w:val="0"/>
              </w:rPr>
              <w:t>25</w:t>
            </w:r>
          </w:p>
        </w:tc>
        <w:tc>
          <w:tcPr>
            <w:tcW w:w="709"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color w:val="FF0000"/>
                <w:kern w:val="0"/>
              </w:rPr>
              <w:t>Q</w:t>
            </w:r>
            <w:r>
              <w:rPr>
                <w:color w:val="FF0000"/>
                <w:kern w:val="0"/>
                <w:vertAlign w:val="subscript"/>
              </w:rPr>
              <w:t>3-4</w:t>
            </w:r>
          </w:p>
        </w:tc>
        <w:tc>
          <w:tcPr>
            <w:tcW w:w="850"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color w:val="FF0000"/>
                <w:kern w:val="0"/>
              </w:rPr>
              <w:t>1030.28</w:t>
            </w:r>
          </w:p>
        </w:tc>
        <w:tc>
          <w:tcPr>
            <w:tcW w:w="709"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rFonts w:hint="eastAsia"/>
                <w:color w:val="FF0000"/>
                <w:kern w:val="0"/>
              </w:rPr>
              <w:t>3.98</w:t>
            </w:r>
          </w:p>
        </w:tc>
        <w:tc>
          <w:tcPr>
            <w:tcW w:w="709"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rFonts w:hint="eastAsia"/>
                <w:color w:val="FF0000"/>
                <w:kern w:val="0"/>
              </w:rPr>
              <w:t>1026.3</w:t>
            </w:r>
          </w:p>
        </w:tc>
        <w:tc>
          <w:tcPr>
            <w:tcW w:w="708"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rFonts w:hint="eastAsia"/>
                <w:color w:val="FF0000"/>
                <w:kern w:val="0"/>
              </w:rPr>
              <w:t>3.77</w:t>
            </w:r>
          </w:p>
        </w:tc>
        <w:tc>
          <w:tcPr>
            <w:tcW w:w="709" w:type="dxa"/>
            <w:tcBorders>
              <w:top w:val="single" w:color="auto" w:sz="4" w:space="0"/>
              <w:left w:val="nil"/>
              <w:bottom w:val="single" w:color="auto" w:sz="12" w:space="0"/>
              <w:right w:val="single" w:color="auto" w:sz="4" w:space="0"/>
            </w:tcBorders>
            <w:noWrap/>
            <w:vAlign w:val="center"/>
          </w:tcPr>
          <w:p>
            <w:pPr>
              <w:widowControl/>
              <w:jc w:val="center"/>
              <w:rPr>
                <w:color w:val="FF0000"/>
                <w:kern w:val="0"/>
              </w:rPr>
            </w:pPr>
            <w:r>
              <w:rPr>
                <w:rFonts w:hint="eastAsia"/>
                <w:color w:val="FF0000"/>
                <w:kern w:val="0"/>
              </w:rPr>
              <w:t>1026.51</w:t>
            </w:r>
          </w:p>
        </w:tc>
        <w:tc>
          <w:tcPr>
            <w:tcW w:w="709" w:type="dxa"/>
            <w:tcBorders>
              <w:top w:val="single" w:color="auto" w:sz="4" w:space="0"/>
              <w:left w:val="nil"/>
              <w:bottom w:val="single" w:color="auto" w:sz="12" w:space="0"/>
              <w:right w:val="single" w:color="auto" w:sz="4" w:space="0"/>
            </w:tcBorders>
            <w:vAlign w:val="center"/>
          </w:tcPr>
          <w:p>
            <w:pPr>
              <w:widowControl/>
              <w:jc w:val="center"/>
              <w:rPr>
                <w:color w:val="FF0000"/>
                <w:kern w:val="0"/>
              </w:rPr>
            </w:pPr>
            <w:r>
              <w:rPr>
                <w:rFonts w:hint="eastAsia"/>
                <w:color w:val="FF0000"/>
                <w:kern w:val="0"/>
              </w:rPr>
              <w:t>3.66</w:t>
            </w:r>
          </w:p>
        </w:tc>
        <w:tc>
          <w:tcPr>
            <w:tcW w:w="754" w:type="dxa"/>
            <w:tcBorders>
              <w:top w:val="single" w:color="auto" w:sz="4" w:space="0"/>
              <w:left w:val="nil"/>
              <w:bottom w:val="single" w:color="auto" w:sz="12" w:space="0"/>
              <w:right w:val="single" w:color="auto" w:sz="12" w:space="0"/>
            </w:tcBorders>
            <w:vAlign w:val="center"/>
          </w:tcPr>
          <w:p>
            <w:pPr>
              <w:widowControl/>
              <w:jc w:val="center"/>
              <w:rPr>
                <w:color w:val="FF0000"/>
                <w:kern w:val="0"/>
              </w:rPr>
            </w:pPr>
            <w:r>
              <w:rPr>
                <w:rFonts w:hint="eastAsia"/>
                <w:color w:val="FF0000"/>
                <w:kern w:val="0"/>
              </w:rPr>
              <w:t>1026.62</w:t>
            </w:r>
          </w:p>
        </w:tc>
      </w:tr>
    </w:tbl>
    <w:p>
      <w:pPr>
        <w:widowControl/>
        <w:spacing w:line="360" w:lineRule="auto"/>
        <w:rPr>
          <w:b/>
          <w:bCs/>
          <w:spacing w:val="4"/>
          <w:kern w:val="0"/>
          <w:szCs w:val="21"/>
        </w:rPr>
      </w:pPr>
      <w:r>
        <w:rPr>
          <w:b/>
          <w:bCs/>
          <w:spacing w:val="4"/>
          <w:kern w:val="0"/>
          <w:szCs w:val="21"/>
        </w:rPr>
        <w:t xml:space="preserve"> </w:t>
      </w:r>
    </w:p>
    <w:p>
      <w:pPr>
        <w:widowControl/>
        <w:adjustRightInd w:val="0"/>
        <w:snapToGrid w:val="0"/>
        <w:rPr>
          <w:kern w:val="0"/>
          <w:szCs w:val="21"/>
        </w:rPr>
        <w:sectPr>
          <w:pgSz w:w="15840" w:h="12240" w:orient="landscape"/>
          <w:pgMar w:top="1800" w:right="1440" w:bottom="1800" w:left="1440" w:header="720" w:footer="720" w:gutter="0"/>
          <w:cols w:space="720" w:num="1"/>
          <w:docGrid w:linePitch="286" w:charSpace="0"/>
        </w:sectPr>
      </w:pPr>
    </w:p>
    <w:p>
      <w:pPr>
        <w:spacing w:line="360" w:lineRule="auto"/>
        <w:ind w:firstLine="482"/>
        <w:rPr>
          <w:b/>
          <w:sz w:val="24"/>
        </w:rPr>
      </w:pPr>
      <w:r>
        <w:rPr>
          <w:rFonts w:hint="eastAsia"/>
          <w:b/>
          <w:sz w:val="24"/>
        </w:rPr>
        <w:t>二、</w:t>
      </w:r>
      <w:r>
        <w:rPr>
          <w:b/>
          <w:sz w:val="24"/>
        </w:rPr>
        <w:t>水</w:t>
      </w:r>
      <w:r>
        <w:rPr>
          <w:rFonts w:hint="eastAsia"/>
          <w:b/>
          <w:sz w:val="24"/>
        </w:rPr>
        <w:t>质监测与评价</w:t>
      </w:r>
    </w:p>
    <w:p>
      <w:pPr>
        <w:spacing w:line="360" w:lineRule="auto"/>
        <w:ind w:firstLine="480" w:firstLineChars="200"/>
        <w:rPr>
          <w:sz w:val="24"/>
        </w:rPr>
      </w:pPr>
      <w:r>
        <w:rPr>
          <w:rFonts w:ascii="宋体" w:hAnsi="宋体"/>
          <w:kern w:val="0"/>
          <w:sz w:val="24"/>
        </w:rPr>
        <w:t>本次评价委托</w:t>
      </w:r>
      <w:r>
        <w:rPr>
          <w:rFonts w:ascii="宋体" w:hAnsi="宋体"/>
          <w:sz w:val="24"/>
        </w:rPr>
        <w:t>内蒙古航峰检测技术有限公司</w:t>
      </w:r>
      <w:r>
        <w:rPr>
          <w:rFonts w:ascii="宋体" w:hAnsi="宋体"/>
          <w:kern w:val="0"/>
          <w:sz w:val="24"/>
        </w:rPr>
        <w:t>对评价区</w:t>
      </w:r>
      <w:r>
        <w:rPr>
          <w:rFonts w:ascii="宋体" w:hAnsi="宋体"/>
          <w:sz w:val="24"/>
        </w:rPr>
        <w:t>地下水水质进行</w:t>
      </w:r>
      <w:r>
        <w:rPr>
          <w:sz w:val="24"/>
        </w:rPr>
        <w:t>1</w:t>
      </w:r>
      <w:r>
        <w:rPr>
          <w:rFonts w:ascii="宋体" w:hAnsi="宋体"/>
          <w:sz w:val="24"/>
        </w:rPr>
        <w:t>期监测，数据监测时间为</w:t>
      </w:r>
      <w:r>
        <w:rPr>
          <w:sz w:val="24"/>
        </w:rPr>
        <w:t>2023</w:t>
      </w:r>
      <w:r>
        <w:rPr>
          <w:rFonts w:ascii="宋体" w:hAnsi="宋体"/>
          <w:sz w:val="24"/>
        </w:rPr>
        <w:t>年</w:t>
      </w:r>
      <w:r>
        <w:rPr>
          <w:sz w:val="24"/>
        </w:rPr>
        <w:t>3</w:t>
      </w:r>
      <w:r>
        <w:rPr>
          <w:rFonts w:ascii="宋体" w:hAnsi="宋体"/>
          <w:sz w:val="24"/>
        </w:rPr>
        <w:t>月</w:t>
      </w:r>
      <w:r>
        <w:rPr>
          <w:sz w:val="24"/>
        </w:rPr>
        <w:t>31</w:t>
      </w:r>
      <w:r>
        <w:rPr>
          <w:rFonts w:ascii="宋体" w:hAnsi="宋体"/>
          <w:sz w:val="24"/>
        </w:rPr>
        <w:t>日。</w:t>
      </w:r>
    </w:p>
    <w:p>
      <w:pPr>
        <w:adjustRightInd w:val="0"/>
        <w:snapToGrid w:val="0"/>
        <w:spacing w:line="360" w:lineRule="auto"/>
        <w:ind w:firstLine="480" w:firstLineChars="200"/>
        <w:rPr>
          <w:sz w:val="24"/>
        </w:rPr>
      </w:pPr>
      <w:r>
        <w:rPr>
          <w:rFonts w:ascii="宋体" w:hAnsi="宋体"/>
          <w:sz w:val="24"/>
        </w:rPr>
        <w:t>（</w:t>
      </w:r>
      <w:r>
        <w:rPr>
          <w:sz w:val="24"/>
        </w:rPr>
        <w:t>1</w:t>
      </w:r>
      <w:r>
        <w:rPr>
          <w:rFonts w:ascii="宋体" w:hAnsi="宋体"/>
          <w:sz w:val="24"/>
        </w:rPr>
        <w:t>）水质监测布点</w:t>
      </w:r>
    </w:p>
    <w:p>
      <w:pPr>
        <w:adjustRightInd w:val="0"/>
        <w:snapToGrid w:val="0"/>
        <w:spacing w:line="360" w:lineRule="auto"/>
        <w:ind w:firstLine="480" w:firstLineChars="200"/>
        <w:rPr>
          <w:sz w:val="24"/>
        </w:rPr>
      </w:pPr>
      <w:r>
        <w:rPr>
          <w:rFonts w:ascii="宋体" w:hAnsi="宋体"/>
          <w:sz w:val="24"/>
        </w:rPr>
        <w:t>地下水水质监测井点布设情况见下表及</w:t>
      </w:r>
      <w:r>
        <w:rPr>
          <w:sz w:val="24"/>
        </w:rPr>
        <w:t>图4.2-3。</w:t>
      </w:r>
    </w:p>
    <w:p>
      <w:pPr>
        <w:widowControl/>
        <w:adjustRightInd w:val="0"/>
        <w:snapToGrid w:val="0"/>
        <w:jc w:val="center"/>
        <w:rPr>
          <w:b/>
          <w:bCs/>
          <w:spacing w:val="4"/>
          <w:kern w:val="0"/>
          <w:sz w:val="24"/>
        </w:rPr>
      </w:pPr>
      <w:r>
        <w:rPr>
          <w:b/>
          <w:bCs/>
          <w:spacing w:val="4"/>
          <w:kern w:val="0"/>
          <w:sz w:val="24"/>
        </w:rPr>
        <w:t>表4.2-6   地下水水质监测布点一览表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35"/>
        <w:gridCol w:w="1710"/>
        <w:gridCol w:w="1495"/>
        <w:gridCol w:w="1495"/>
        <w:gridCol w:w="1026"/>
        <w:gridCol w:w="739"/>
        <w:gridCol w:w="15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08" w:type="dxa"/>
            <w:vMerge w:val="restart"/>
            <w:vAlign w:val="center"/>
          </w:tcPr>
          <w:p>
            <w:pPr>
              <w:widowControl/>
              <w:adjustRightInd w:val="0"/>
              <w:snapToGrid w:val="0"/>
              <w:jc w:val="center"/>
              <w:rPr>
                <w:kern w:val="0"/>
                <w:szCs w:val="21"/>
              </w:rPr>
            </w:pPr>
            <w:r>
              <w:rPr>
                <w:rFonts w:ascii="宋体" w:hAnsi="宋体"/>
                <w:kern w:val="0"/>
                <w:szCs w:val="21"/>
              </w:rPr>
              <w:t>编号</w:t>
            </w:r>
          </w:p>
        </w:tc>
        <w:tc>
          <w:tcPr>
            <w:tcW w:w="1637" w:type="dxa"/>
            <w:vMerge w:val="restart"/>
            <w:vAlign w:val="center"/>
          </w:tcPr>
          <w:p>
            <w:pPr>
              <w:widowControl/>
              <w:adjustRightInd w:val="0"/>
              <w:snapToGrid w:val="0"/>
              <w:jc w:val="center"/>
              <w:rPr>
                <w:kern w:val="0"/>
                <w:szCs w:val="21"/>
              </w:rPr>
            </w:pPr>
            <w:r>
              <w:rPr>
                <w:rFonts w:ascii="宋体" w:hAnsi="宋体"/>
                <w:kern w:val="0"/>
                <w:szCs w:val="21"/>
              </w:rPr>
              <w:t>名称</w:t>
            </w:r>
          </w:p>
        </w:tc>
        <w:tc>
          <w:tcPr>
            <w:tcW w:w="2864" w:type="dxa"/>
            <w:gridSpan w:val="2"/>
            <w:vAlign w:val="center"/>
          </w:tcPr>
          <w:p>
            <w:pPr>
              <w:widowControl/>
              <w:adjustRightInd w:val="0"/>
              <w:snapToGrid w:val="0"/>
              <w:jc w:val="center"/>
              <w:rPr>
                <w:kern w:val="0"/>
                <w:szCs w:val="21"/>
              </w:rPr>
            </w:pPr>
            <w:r>
              <w:rPr>
                <w:rFonts w:ascii="宋体" w:hAnsi="宋体"/>
                <w:kern w:val="0"/>
                <w:szCs w:val="21"/>
              </w:rPr>
              <w:t>坐标</w:t>
            </w:r>
          </w:p>
        </w:tc>
        <w:tc>
          <w:tcPr>
            <w:tcW w:w="982" w:type="dxa"/>
            <w:vMerge w:val="restart"/>
            <w:vAlign w:val="center"/>
          </w:tcPr>
          <w:p>
            <w:pPr>
              <w:widowControl/>
              <w:adjustRightInd w:val="0"/>
              <w:snapToGrid w:val="0"/>
              <w:jc w:val="center"/>
              <w:rPr>
                <w:kern w:val="0"/>
                <w:szCs w:val="21"/>
              </w:rPr>
            </w:pPr>
            <w:r>
              <w:rPr>
                <w:rFonts w:ascii="宋体" w:hAnsi="宋体"/>
                <w:kern w:val="0"/>
                <w:szCs w:val="21"/>
              </w:rPr>
              <w:t>监测层位</w:t>
            </w:r>
          </w:p>
        </w:tc>
        <w:tc>
          <w:tcPr>
            <w:tcW w:w="708" w:type="dxa"/>
            <w:vMerge w:val="restart"/>
            <w:vAlign w:val="center"/>
          </w:tcPr>
          <w:p>
            <w:pPr>
              <w:widowControl/>
              <w:adjustRightInd w:val="0"/>
              <w:snapToGrid w:val="0"/>
              <w:jc w:val="center"/>
              <w:rPr>
                <w:kern w:val="0"/>
                <w:szCs w:val="21"/>
              </w:rPr>
            </w:pPr>
            <w:r>
              <w:rPr>
                <w:rFonts w:ascii="宋体" w:hAnsi="宋体"/>
                <w:kern w:val="0"/>
                <w:szCs w:val="21"/>
              </w:rPr>
              <w:t>井深</w:t>
            </w:r>
            <w:r>
              <w:rPr>
                <w:kern w:val="0"/>
                <w:szCs w:val="21"/>
              </w:rPr>
              <w:t>(m)</w:t>
            </w:r>
          </w:p>
        </w:tc>
        <w:tc>
          <w:tcPr>
            <w:tcW w:w="1503" w:type="dxa"/>
            <w:vMerge w:val="restart"/>
            <w:vAlign w:val="center"/>
          </w:tcPr>
          <w:p>
            <w:pPr>
              <w:widowControl/>
              <w:adjustRightInd w:val="0"/>
              <w:snapToGrid w:val="0"/>
              <w:jc w:val="center"/>
              <w:rPr>
                <w:kern w:val="0"/>
                <w:szCs w:val="21"/>
              </w:rPr>
            </w:pPr>
            <w:r>
              <w:rPr>
                <w:rFonts w:ascii="宋体" w:hAnsi="宋体"/>
                <w:kern w:val="0"/>
                <w:szCs w:val="21"/>
              </w:rPr>
              <w:t>水井用途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0" w:type="auto"/>
            <w:vMerge w:val="continue"/>
            <w:vAlign w:val="center"/>
          </w:tcPr>
          <w:p>
            <w:pPr>
              <w:widowControl/>
              <w:jc w:val="left"/>
              <w:rPr>
                <w:kern w:val="0"/>
                <w:szCs w:val="21"/>
              </w:rPr>
            </w:pPr>
          </w:p>
        </w:tc>
        <w:tc>
          <w:tcPr>
            <w:tcW w:w="0" w:type="auto"/>
            <w:vMerge w:val="continue"/>
            <w:vAlign w:val="center"/>
          </w:tcPr>
          <w:p>
            <w:pPr>
              <w:widowControl/>
              <w:jc w:val="left"/>
              <w:rPr>
                <w:kern w:val="0"/>
                <w:szCs w:val="21"/>
              </w:rPr>
            </w:pPr>
          </w:p>
        </w:tc>
        <w:tc>
          <w:tcPr>
            <w:tcW w:w="1432" w:type="dxa"/>
            <w:vAlign w:val="center"/>
          </w:tcPr>
          <w:p>
            <w:pPr>
              <w:widowControl/>
              <w:adjustRightInd w:val="0"/>
              <w:snapToGrid w:val="0"/>
              <w:jc w:val="center"/>
              <w:rPr>
                <w:kern w:val="0"/>
                <w:szCs w:val="21"/>
              </w:rPr>
            </w:pPr>
            <w:r>
              <w:rPr>
                <w:kern w:val="0"/>
                <w:szCs w:val="21"/>
              </w:rPr>
              <w:t>E</w:t>
            </w:r>
          </w:p>
        </w:tc>
        <w:tc>
          <w:tcPr>
            <w:tcW w:w="1432" w:type="dxa"/>
            <w:vAlign w:val="center"/>
          </w:tcPr>
          <w:p>
            <w:pPr>
              <w:widowControl/>
              <w:adjustRightInd w:val="0"/>
              <w:snapToGrid w:val="0"/>
              <w:jc w:val="center"/>
              <w:rPr>
                <w:kern w:val="0"/>
                <w:szCs w:val="21"/>
              </w:rPr>
            </w:pPr>
            <w:r>
              <w:rPr>
                <w:kern w:val="0"/>
                <w:szCs w:val="21"/>
              </w:rPr>
              <w:t>N</w:t>
            </w:r>
          </w:p>
        </w:tc>
        <w:tc>
          <w:tcPr>
            <w:tcW w:w="0" w:type="auto"/>
            <w:vMerge w:val="continue"/>
            <w:vAlign w:val="center"/>
          </w:tcPr>
          <w:p>
            <w:pPr>
              <w:widowControl/>
              <w:jc w:val="left"/>
              <w:rPr>
                <w:kern w:val="0"/>
                <w:szCs w:val="21"/>
              </w:rPr>
            </w:pPr>
          </w:p>
        </w:tc>
        <w:tc>
          <w:tcPr>
            <w:tcW w:w="0" w:type="auto"/>
            <w:vMerge w:val="continue"/>
            <w:vAlign w:val="center"/>
          </w:tcPr>
          <w:p>
            <w:pPr>
              <w:widowControl/>
              <w:jc w:val="left"/>
              <w:rPr>
                <w:kern w:val="0"/>
                <w:szCs w:val="21"/>
              </w:rPr>
            </w:pPr>
          </w:p>
        </w:tc>
        <w:tc>
          <w:tcPr>
            <w:tcW w:w="0" w:type="auto"/>
            <w:vMerge w:val="continue"/>
            <w:vAlign w:val="center"/>
          </w:tcPr>
          <w:p>
            <w:pPr>
              <w:widowControl/>
              <w:jc w:val="left"/>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08" w:type="dxa"/>
            <w:vAlign w:val="center"/>
          </w:tcPr>
          <w:p>
            <w:pPr>
              <w:widowControl/>
              <w:adjustRightInd w:val="0"/>
              <w:snapToGrid w:val="0"/>
              <w:jc w:val="center"/>
              <w:rPr>
                <w:szCs w:val="21"/>
              </w:rPr>
            </w:pPr>
            <w:r>
              <w:rPr>
                <w:kern w:val="0"/>
                <w:szCs w:val="21"/>
              </w:rPr>
              <w:t>D1</w:t>
            </w:r>
          </w:p>
        </w:tc>
        <w:tc>
          <w:tcPr>
            <w:tcW w:w="1637"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1</w:t>
            </w:r>
          </w:p>
        </w:tc>
        <w:tc>
          <w:tcPr>
            <w:tcW w:w="1432" w:type="dxa"/>
            <w:vAlign w:val="center"/>
          </w:tcPr>
          <w:p>
            <w:pPr>
              <w:widowControl/>
              <w:adjustRightInd w:val="0"/>
              <w:snapToGrid w:val="0"/>
              <w:jc w:val="center"/>
              <w:rPr>
                <w:szCs w:val="21"/>
              </w:rPr>
            </w:pPr>
            <w:r>
              <w:rPr>
                <w:kern w:val="0"/>
                <w:szCs w:val="21"/>
              </w:rPr>
              <w:t>107°55'04.50"</w:t>
            </w:r>
          </w:p>
        </w:tc>
        <w:tc>
          <w:tcPr>
            <w:tcW w:w="1432" w:type="dxa"/>
            <w:vAlign w:val="center"/>
          </w:tcPr>
          <w:p>
            <w:pPr>
              <w:adjustRightInd w:val="0"/>
              <w:snapToGrid w:val="0"/>
              <w:jc w:val="center"/>
              <w:rPr>
                <w:szCs w:val="21"/>
              </w:rPr>
            </w:pPr>
            <w:r>
              <w:rPr>
                <w:kern w:val="0"/>
                <w:szCs w:val="21"/>
              </w:rPr>
              <w:t>40°59'29.11"</w:t>
            </w:r>
          </w:p>
        </w:tc>
        <w:tc>
          <w:tcPr>
            <w:tcW w:w="982" w:type="dxa"/>
            <w:vAlign w:val="center"/>
          </w:tcPr>
          <w:p>
            <w:pPr>
              <w:widowControl/>
              <w:adjustRightInd w:val="0"/>
              <w:snapToGrid w:val="0"/>
              <w:jc w:val="center"/>
              <w:rPr>
                <w:kern w:val="0"/>
                <w:szCs w:val="21"/>
              </w:rPr>
            </w:pPr>
            <w:r>
              <w:rPr>
                <w:rFonts w:ascii="宋体" w:hAnsi="宋体"/>
                <w:kern w:val="0"/>
                <w:szCs w:val="21"/>
              </w:rPr>
              <w:t>潜水</w:t>
            </w:r>
          </w:p>
        </w:tc>
        <w:tc>
          <w:tcPr>
            <w:tcW w:w="708" w:type="dxa"/>
            <w:vAlign w:val="center"/>
          </w:tcPr>
          <w:p>
            <w:pPr>
              <w:widowControl/>
              <w:adjustRightInd w:val="0"/>
              <w:snapToGrid w:val="0"/>
              <w:jc w:val="center"/>
              <w:rPr>
                <w:szCs w:val="21"/>
              </w:rPr>
            </w:pPr>
            <w:r>
              <w:rPr>
                <w:kern w:val="0"/>
                <w:szCs w:val="21"/>
              </w:rPr>
              <w:t>22</w:t>
            </w:r>
          </w:p>
        </w:tc>
        <w:tc>
          <w:tcPr>
            <w:tcW w:w="1503" w:type="dxa"/>
            <w:vAlign w:val="center"/>
          </w:tcPr>
          <w:p>
            <w:pPr>
              <w:widowControl/>
              <w:adjustRightInd w:val="0"/>
              <w:snapToGrid w:val="0"/>
              <w:jc w:val="center"/>
              <w:rPr>
                <w:szCs w:val="21"/>
              </w:rPr>
            </w:pPr>
            <w:r>
              <w:rPr>
                <w:rFonts w:ascii="宋体" w:hAnsi="宋体"/>
                <w:kern w:val="0"/>
                <w:szCs w:val="21"/>
              </w:rPr>
              <w:t>跟踪监测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08" w:type="dxa"/>
            <w:vAlign w:val="center"/>
          </w:tcPr>
          <w:p>
            <w:pPr>
              <w:adjustRightInd w:val="0"/>
              <w:snapToGrid w:val="0"/>
              <w:jc w:val="center"/>
              <w:rPr>
                <w:szCs w:val="21"/>
              </w:rPr>
            </w:pPr>
            <w:r>
              <w:rPr>
                <w:kern w:val="0"/>
                <w:szCs w:val="21"/>
              </w:rPr>
              <w:t>D2</w:t>
            </w:r>
          </w:p>
        </w:tc>
        <w:tc>
          <w:tcPr>
            <w:tcW w:w="1637"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2</w:t>
            </w:r>
          </w:p>
        </w:tc>
        <w:tc>
          <w:tcPr>
            <w:tcW w:w="1432" w:type="dxa"/>
            <w:vAlign w:val="center"/>
          </w:tcPr>
          <w:p>
            <w:pPr>
              <w:adjustRightInd w:val="0"/>
              <w:snapToGrid w:val="0"/>
              <w:jc w:val="center"/>
              <w:rPr>
                <w:szCs w:val="21"/>
              </w:rPr>
            </w:pPr>
            <w:r>
              <w:rPr>
                <w:kern w:val="0"/>
                <w:szCs w:val="21"/>
              </w:rPr>
              <w:t>107°55'07.42"</w:t>
            </w:r>
          </w:p>
        </w:tc>
        <w:tc>
          <w:tcPr>
            <w:tcW w:w="1432" w:type="dxa"/>
            <w:vAlign w:val="center"/>
          </w:tcPr>
          <w:p>
            <w:pPr>
              <w:adjustRightInd w:val="0"/>
              <w:snapToGrid w:val="0"/>
              <w:jc w:val="center"/>
              <w:rPr>
                <w:szCs w:val="21"/>
              </w:rPr>
            </w:pPr>
            <w:r>
              <w:rPr>
                <w:kern w:val="0"/>
                <w:szCs w:val="21"/>
              </w:rPr>
              <w:t>40°59'30.78"</w:t>
            </w:r>
          </w:p>
        </w:tc>
        <w:tc>
          <w:tcPr>
            <w:tcW w:w="982" w:type="dxa"/>
            <w:vAlign w:val="center"/>
          </w:tcPr>
          <w:p>
            <w:pPr>
              <w:widowControl/>
              <w:adjustRightInd w:val="0"/>
              <w:snapToGrid w:val="0"/>
              <w:jc w:val="center"/>
              <w:rPr>
                <w:kern w:val="0"/>
                <w:szCs w:val="21"/>
              </w:rPr>
            </w:pPr>
            <w:r>
              <w:rPr>
                <w:rFonts w:ascii="宋体" w:hAnsi="宋体"/>
                <w:kern w:val="0"/>
                <w:szCs w:val="21"/>
              </w:rPr>
              <w:t>潜水</w:t>
            </w:r>
          </w:p>
        </w:tc>
        <w:tc>
          <w:tcPr>
            <w:tcW w:w="708" w:type="dxa"/>
            <w:vAlign w:val="center"/>
          </w:tcPr>
          <w:p>
            <w:pPr>
              <w:adjustRightInd w:val="0"/>
              <w:snapToGrid w:val="0"/>
              <w:jc w:val="center"/>
              <w:rPr>
                <w:szCs w:val="21"/>
              </w:rPr>
            </w:pPr>
            <w:r>
              <w:rPr>
                <w:kern w:val="0"/>
                <w:szCs w:val="21"/>
              </w:rPr>
              <w:t>22</w:t>
            </w:r>
          </w:p>
        </w:tc>
        <w:tc>
          <w:tcPr>
            <w:tcW w:w="1503" w:type="dxa"/>
            <w:vAlign w:val="center"/>
          </w:tcPr>
          <w:p>
            <w:pPr>
              <w:adjustRightInd w:val="0"/>
              <w:snapToGrid w:val="0"/>
              <w:jc w:val="center"/>
              <w:rPr>
                <w:szCs w:val="21"/>
              </w:rPr>
            </w:pPr>
            <w:r>
              <w:rPr>
                <w:rFonts w:ascii="宋体" w:hAnsi="宋体"/>
                <w:kern w:val="0"/>
                <w:szCs w:val="21"/>
              </w:rPr>
              <w:t>跟踪监测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08" w:type="dxa"/>
            <w:vAlign w:val="center"/>
          </w:tcPr>
          <w:p>
            <w:pPr>
              <w:adjustRightInd w:val="0"/>
              <w:snapToGrid w:val="0"/>
              <w:jc w:val="center"/>
              <w:rPr>
                <w:szCs w:val="21"/>
              </w:rPr>
            </w:pPr>
            <w:r>
              <w:rPr>
                <w:kern w:val="0"/>
                <w:szCs w:val="21"/>
              </w:rPr>
              <w:t>D3</w:t>
            </w:r>
          </w:p>
        </w:tc>
        <w:tc>
          <w:tcPr>
            <w:tcW w:w="1637"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3</w:t>
            </w:r>
          </w:p>
        </w:tc>
        <w:tc>
          <w:tcPr>
            <w:tcW w:w="1432" w:type="dxa"/>
            <w:vAlign w:val="center"/>
          </w:tcPr>
          <w:p>
            <w:pPr>
              <w:adjustRightInd w:val="0"/>
              <w:snapToGrid w:val="0"/>
              <w:jc w:val="center"/>
              <w:rPr>
                <w:szCs w:val="21"/>
              </w:rPr>
            </w:pPr>
            <w:r>
              <w:rPr>
                <w:kern w:val="0"/>
                <w:szCs w:val="21"/>
              </w:rPr>
              <w:t>107°55'06.54"</w:t>
            </w:r>
          </w:p>
        </w:tc>
        <w:tc>
          <w:tcPr>
            <w:tcW w:w="1432" w:type="dxa"/>
            <w:vAlign w:val="center"/>
          </w:tcPr>
          <w:p>
            <w:pPr>
              <w:adjustRightInd w:val="0"/>
              <w:snapToGrid w:val="0"/>
              <w:jc w:val="center"/>
              <w:rPr>
                <w:szCs w:val="21"/>
              </w:rPr>
            </w:pPr>
            <w:r>
              <w:rPr>
                <w:kern w:val="0"/>
                <w:szCs w:val="21"/>
              </w:rPr>
              <w:t>40°59'34.84"</w:t>
            </w:r>
          </w:p>
        </w:tc>
        <w:tc>
          <w:tcPr>
            <w:tcW w:w="982" w:type="dxa"/>
            <w:vAlign w:val="center"/>
          </w:tcPr>
          <w:p>
            <w:pPr>
              <w:widowControl/>
              <w:adjustRightInd w:val="0"/>
              <w:snapToGrid w:val="0"/>
              <w:jc w:val="center"/>
              <w:rPr>
                <w:kern w:val="0"/>
                <w:szCs w:val="21"/>
              </w:rPr>
            </w:pPr>
            <w:r>
              <w:rPr>
                <w:rFonts w:ascii="宋体" w:hAnsi="宋体"/>
                <w:kern w:val="0"/>
                <w:szCs w:val="21"/>
              </w:rPr>
              <w:t>潜水</w:t>
            </w:r>
          </w:p>
        </w:tc>
        <w:tc>
          <w:tcPr>
            <w:tcW w:w="708" w:type="dxa"/>
            <w:vAlign w:val="center"/>
          </w:tcPr>
          <w:p>
            <w:pPr>
              <w:adjustRightInd w:val="0"/>
              <w:snapToGrid w:val="0"/>
              <w:jc w:val="center"/>
              <w:rPr>
                <w:szCs w:val="21"/>
              </w:rPr>
            </w:pPr>
            <w:r>
              <w:rPr>
                <w:kern w:val="0"/>
                <w:szCs w:val="21"/>
              </w:rPr>
              <w:t>22</w:t>
            </w:r>
          </w:p>
        </w:tc>
        <w:tc>
          <w:tcPr>
            <w:tcW w:w="1503" w:type="dxa"/>
            <w:vAlign w:val="center"/>
          </w:tcPr>
          <w:p>
            <w:pPr>
              <w:adjustRightInd w:val="0"/>
              <w:snapToGrid w:val="0"/>
              <w:jc w:val="center"/>
              <w:rPr>
                <w:szCs w:val="21"/>
              </w:rPr>
            </w:pPr>
            <w:r>
              <w:rPr>
                <w:rFonts w:ascii="宋体" w:hAnsi="宋体"/>
                <w:kern w:val="0"/>
                <w:szCs w:val="21"/>
              </w:rPr>
              <w:t>跟踪监测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08" w:type="dxa"/>
            <w:vAlign w:val="center"/>
          </w:tcPr>
          <w:p>
            <w:pPr>
              <w:adjustRightInd w:val="0"/>
              <w:snapToGrid w:val="0"/>
              <w:jc w:val="center"/>
              <w:rPr>
                <w:szCs w:val="21"/>
              </w:rPr>
            </w:pPr>
            <w:r>
              <w:rPr>
                <w:kern w:val="0"/>
                <w:szCs w:val="21"/>
              </w:rPr>
              <w:t>D4</w:t>
            </w:r>
          </w:p>
        </w:tc>
        <w:tc>
          <w:tcPr>
            <w:tcW w:w="1637"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4</w:t>
            </w:r>
          </w:p>
        </w:tc>
        <w:tc>
          <w:tcPr>
            <w:tcW w:w="1432" w:type="dxa"/>
            <w:vAlign w:val="center"/>
          </w:tcPr>
          <w:p>
            <w:pPr>
              <w:adjustRightInd w:val="0"/>
              <w:snapToGrid w:val="0"/>
              <w:jc w:val="center"/>
              <w:rPr>
                <w:szCs w:val="21"/>
              </w:rPr>
            </w:pPr>
            <w:r>
              <w:rPr>
                <w:kern w:val="0"/>
                <w:szCs w:val="21"/>
              </w:rPr>
              <w:t>107°55'04.19"</w:t>
            </w:r>
          </w:p>
        </w:tc>
        <w:tc>
          <w:tcPr>
            <w:tcW w:w="1432" w:type="dxa"/>
            <w:vAlign w:val="center"/>
          </w:tcPr>
          <w:p>
            <w:pPr>
              <w:adjustRightInd w:val="0"/>
              <w:snapToGrid w:val="0"/>
              <w:jc w:val="center"/>
              <w:rPr>
                <w:szCs w:val="21"/>
              </w:rPr>
            </w:pPr>
            <w:r>
              <w:rPr>
                <w:kern w:val="0"/>
                <w:szCs w:val="21"/>
              </w:rPr>
              <w:t>40°59'40.47"</w:t>
            </w:r>
          </w:p>
        </w:tc>
        <w:tc>
          <w:tcPr>
            <w:tcW w:w="982" w:type="dxa"/>
            <w:vAlign w:val="center"/>
          </w:tcPr>
          <w:p>
            <w:pPr>
              <w:widowControl/>
              <w:adjustRightInd w:val="0"/>
              <w:snapToGrid w:val="0"/>
              <w:jc w:val="center"/>
              <w:rPr>
                <w:kern w:val="0"/>
                <w:szCs w:val="21"/>
              </w:rPr>
            </w:pPr>
            <w:r>
              <w:rPr>
                <w:rFonts w:ascii="宋体" w:hAnsi="宋体"/>
                <w:kern w:val="0"/>
                <w:szCs w:val="21"/>
              </w:rPr>
              <w:t>潜水</w:t>
            </w:r>
          </w:p>
        </w:tc>
        <w:tc>
          <w:tcPr>
            <w:tcW w:w="708" w:type="dxa"/>
            <w:vAlign w:val="center"/>
          </w:tcPr>
          <w:p>
            <w:pPr>
              <w:adjustRightInd w:val="0"/>
              <w:snapToGrid w:val="0"/>
              <w:jc w:val="center"/>
              <w:rPr>
                <w:szCs w:val="21"/>
              </w:rPr>
            </w:pPr>
            <w:r>
              <w:rPr>
                <w:kern w:val="0"/>
                <w:szCs w:val="21"/>
              </w:rPr>
              <w:t>22</w:t>
            </w:r>
          </w:p>
        </w:tc>
        <w:tc>
          <w:tcPr>
            <w:tcW w:w="1503" w:type="dxa"/>
            <w:vAlign w:val="center"/>
          </w:tcPr>
          <w:p>
            <w:pPr>
              <w:adjustRightInd w:val="0"/>
              <w:snapToGrid w:val="0"/>
              <w:jc w:val="center"/>
              <w:rPr>
                <w:szCs w:val="21"/>
              </w:rPr>
            </w:pPr>
            <w:r>
              <w:rPr>
                <w:rFonts w:ascii="宋体" w:hAnsi="宋体"/>
                <w:kern w:val="0"/>
                <w:szCs w:val="21"/>
              </w:rPr>
              <w:t>跟踪监测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08" w:type="dxa"/>
            <w:vAlign w:val="center"/>
          </w:tcPr>
          <w:p>
            <w:pPr>
              <w:adjustRightInd w:val="0"/>
              <w:snapToGrid w:val="0"/>
              <w:jc w:val="center"/>
              <w:rPr>
                <w:szCs w:val="21"/>
              </w:rPr>
            </w:pPr>
            <w:r>
              <w:rPr>
                <w:kern w:val="0"/>
                <w:szCs w:val="21"/>
              </w:rPr>
              <w:t>D5</w:t>
            </w:r>
          </w:p>
        </w:tc>
        <w:tc>
          <w:tcPr>
            <w:tcW w:w="1637"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5</w:t>
            </w:r>
          </w:p>
        </w:tc>
        <w:tc>
          <w:tcPr>
            <w:tcW w:w="1432" w:type="dxa"/>
            <w:vAlign w:val="center"/>
          </w:tcPr>
          <w:p>
            <w:pPr>
              <w:adjustRightInd w:val="0"/>
              <w:snapToGrid w:val="0"/>
              <w:jc w:val="center"/>
              <w:rPr>
                <w:szCs w:val="21"/>
              </w:rPr>
            </w:pPr>
            <w:r>
              <w:rPr>
                <w:kern w:val="0"/>
                <w:szCs w:val="21"/>
              </w:rPr>
              <w:t>107°54'59.22"</w:t>
            </w:r>
          </w:p>
        </w:tc>
        <w:tc>
          <w:tcPr>
            <w:tcW w:w="1432" w:type="dxa"/>
            <w:vAlign w:val="center"/>
          </w:tcPr>
          <w:p>
            <w:pPr>
              <w:adjustRightInd w:val="0"/>
              <w:snapToGrid w:val="0"/>
              <w:jc w:val="center"/>
              <w:rPr>
                <w:szCs w:val="21"/>
              </w:rPr>
            </w:pPr>
            <w:r>
              <w:rPr>
                <w:kern w:val="0"/>
                <w:szCs w:val="21"/>
              </w:rPr>
              <w:t>40°59'33.99"</w:t>
            </w:r>
          </w:p>
        </w:tc>
        <w:tc>
          <w:tcPr>
            <w:tcW w:w="982" w:type="dxa"/>
            <w:vAlign w:val="center"/>
          </w:tcPr>
          <w:p>
            <w:pPr>
              <w:widowControl/>
              <w:adjustRightInd w:val="0"/>
              <w:snapToGrid w:val="0"/>
              <w:jc w:val="center"/>
              <w:rPr>
                <w:kern w:val="0"/>
                <w:szCs w:val="21"/>
              </w:rPr>
            </w:pPr>
            <w:r>
              <w:rPr>
                <w:rFonts w:ascii="宋体" w:hAnsi="宋体"/>
                <w:kern w:val="0"/>
                <w:szCs w:val="21"/>
              </w:rPr>
              <w:t>潜水</w:t>
            </w:r>
          </w:p>
        </w:tc>
        <w:tc>
          <w:tcPr>
            <w:tcW w:w="708" w:type="dxa"/>
            <w:vAlign w:val="center"/>
          </w:tcPr>
          <w:p>
            <w:pPr>
              <w:adjustRightInd w:val="0"/>
              <w:snapToGrid w:val="0"/>
              <w:jc w:val="center"/>
              <w:rPr>
                <w:szCs w:val="21"/>
              </w:rPr>
            </w:pPr>
            <w:r>
              <w:rPr>
                <w:kern w:val="0"/>
                <w:szCs w:val="21"/>
              </w:rPr>
              <w:t>22</w:t>
            </w:r>
          </w:p>
        </w:tc>
        <w:tc>
          <w:tcPr>
            <w:tcW w:w="1503" w:type="dxa"/>
            <w:vAlign w:val="center"/>
          </w:tcPr>
          <w:p>
            <w:pPr>
              <w:adjustRightInd w:val="0"/>
              <w:snapToGrid w:val="0"/>
              <w:jc w:val="center"/>
              <w:rPr>
                <w:szCs w:val="21"/>
              </w:rPr>
            </w:pPr>
            <w:r>
              <w:rPr>
                <w:rFonts w:ascii="宋体" w:hAnsi="宋体"/>
                <w:kern w:val="0"/>
                <w:szCs w:val="21"/>
              </w:rPr>
              <w:t>跟踪监测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08" w:type="dxa"/>
            <w:vAlign w:val="center"/>
          </w:tcPr>
          <w:p>
            <w:pPr>
              <w:adjustRightInd w:val="0"/>
              <w:snapToGrid w:val="0"/>
              <w:jc w:val="center"/>
              <w:rPr>
                <w:szCs w:val="21"/>
              </w:rPr>
            </w:pPr>
            <w:r>
              <w:rPr>
                <w:kern w:val="0"/>
                <w:szCs w:val="21"/>
              </w:rPr>
              <w:t>D6</w:t>
            </w:r>
          </w:p>
        </w:tc>
        <w:tc>
          <w:tcPr>
            <w:tcW w:w="1637" w:type="dxa"/>
            <w:vAlign w:val="center"/>
          </w:tcPr>
          <w:p>
            <w:pPr>
              <w:widowControl/>
              <w:adjustRightInd w:val="0"/>
              <w:snapToGrid w:val="0"/>
              <w:jc w:val="center"/>
              <w:rPr>
                <w:kern w:val="0"/>
                <w:szCs w:val="21"/>
              </w:rPr>
            </w:pPr>
            <w:r>
              <w:rPr>
                <w:rFonts w:ascii="宋体" w:hAnsi="宋体"/>
                <w:kern w:val="0"/>
                <w:szCs w:val="21"/>
              </w:rPr>
              <w:t>李建国家水井</w:t>
            </w:r>
          </w:p>
        </w:tc>
        <w:tc>
          <w:tcPr>
            <w:tcW w:w="1432" w:type="dxa"/>
            <w:vAlign w:val="center"/>
          </w:tcPr>
          <w:p>
            <w:pPr>
              <w:adjustRightInd w:val="0"/>
              <w:snapToGrid w:val="0"/>
              <w:jc w:val="center"/>
              <w:rPr>
                <w:szCs w:val="21"/>
              </w:rPr>
            </w:pPr>
            <w:r>
              <w:rPr>
                <w:kern w:val="0"/>
                <w:szCs w:val="21"/>
              </w:rPr>
              <w:t>107°54'36.80"</w:t>
            </w:r>
          </w:p>
        </w:tc>
        <w:tc>
          <w:tcPr>
            <w:tcW w:w="1432" w:type="dxa"/>
            <w:vAlign w:val="center"/>
          </w:tcPr>
          <w:p>
            <w:pPr>
              <w:adjustRightInd w:val="0"/>
              <w:snapToGrid w:val="0"/>
              <w:jc w:val="center"/>
              <w:rPr>
                <w:szCs w:val="21"/>
              </w:rPr>
            </w:pPr>
            <w:r>
              <w:rPr>
                <w:kern w:val="0"/>
                <w:szCs w:val="21"/>
              </w:rPr>
              <w:t>40°59'38.73"</w:t>
            </w:r>
          </w:p>
        </w:tc>
        <w:tc>
          <w:tcPr>
            <w:tcW w:w="982" w:type="dxa"/>
            <w:vAlign w:val="center"/>
          </w:tcPr>
          <w:p>
            <w:pPr>
              <w:widowControl/>
              <w:adjustRightInd w:val="0"/>
              <w:snapToGrid w:val="0"/>
              <w:jc w:val="center"/>
              <w:rPr>
                <w:kern w:val="0"/>
                <w:szCs w:val="21"/>
              </w:rPr>
            </w:pPr>
            <w:r>
              <w:rPr>
                <w:rFonts w:ascii="宋体" w:hAnsi="宋体"/>
                <w:kern w:val="0"/>
                <w:szCs w:val="21"/>
              </w:rPr>
              <w:t>潜水</w:t>
            </w:r>
          </w:p>
        </w:tc>
        <w:tc>
          <w:tcPr>
            <w:tcW w:w="708" w:type="dxa"/>
            <w:vAlign w:val="center"/>
          </w:tcPr>
          <w:p>
            <w:pPr>
              <w:adjustRightInd w:val="0"/>
              <w:snapToGrid w:val="0"/>
              <w:jc w:val="center"/>
              <w:rPr>
                <w:szCs w:val="21"/>
              </w:rPr>
            </w:pPr>
            <w:r>
              <w:rPr>
                <w:kern w:val="0"/>
                <w:szCs w:val="21"/>
              </w:rPr>
              <w:t>13</w:t>
            </w:r>
          </w:p>
        </w:tc>
        <w:tc>
          <w:tcPr>
            <w:tcW w:w="1503" w:type="dxa"/>
            <w:vAlign w:val="center"/>
          </w:tcPr>
          <w:p>
            <w:pPr>
              <w:adjustRightInd w:val="0"/>
              <w:snapToGrid w:val="0"/>
              <w:jc w:val="center"/>
              <w:rPr>
                <w:szCs w:val="21"/>
              </w:rPr>
            </w:pPr>
            <w:r>
              <w:rPr>
                <w:rFonts w:ascii="宋体" w:hAnsi="宋体"/>
                <w:kern w:val="0"/>
                <w:szCs w:val="21"/>
              </w:rPr>
              <w:t>饮用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608" w:type="dxa"/>
            <w:vAlign w:val="center"/>
          </w:tcPr>
          <w:p>
            <w:pPr>
              <w:adjustRightInd w:val="0"/>
              <w:snapToGrid w:val="0"/>
              <w:jc w:val="center"/>
              <w:rPr>
                <w:szCs w:val="21"/>
              </w:rPr>
            </w:pPr>
            <w:r>
              <w:rPr>
                <w:kern w:val="0"/>
                <w:szCs w:val="21"/>
              </w:rPr>
              <w:t>D7</w:t>
            </w:r>
          </w:p>
        </w:tc>
        <w:tc>
          <w:tcPr>
            <w:tcW w:w="1637" w:type="dxa"/>
            <w:vAlign w:val="center"/>
          </w:tcPr>
          <w:p>
            <w:pPr>
              <w:widowControl/>
              <w:adjustRightInd w:val="0"/>
              <w:snapToGrid w:val="0"/>
              <w:jc w:val="center"/>
              <w:rPr>
                <w:kern w:val="0"/>
                <w:szCs w:val="21"/>
              </w:rPr>
            </w:pPr>
            <w:r>
              <w:rPr>
                <w:rFonts w:ascii="宋体" w:hAnsi="宋体"/>
                <w:kern w:val="0"/>
                <w:szCs w:val="21"/>
              </w:rPr>
              <w:t>填埋场自备水井</w:t>
            </w:r>
          </w:p>
        </w:tc>
        <w:tc>
          <w:tcPr>
            <w:tcW w:w="1432" w:type="dxa"/>
            <w:vAlign w:val="center"/>
          </w:tcPr>
          <w:p>
            <w:pPr>
              <w:adjustRightInd w:val="0"/>
              <w:snapToGrid w:val="0"/>
              <w:jc w:val="center"/>
              <w:rPr>
                <w:szCs w:val="21"/>
              </w:rPr>
            </w:pPr>
            <w:r>
              <w:rPr>
                <w:kern w:val="0"/>
                <w:szCs w:val="21"/>
              </w:rPr>
              <w:t>107°55'04.37"</w:t>
            </w:r>
          </w:p>
        </w:tc>
        <w:tc>
          <w:tcPr>
            <w:tcW w:w="1432" w:type="dxa"/>
            <w:vAlign w:val="center"/>
          </w:tcPr>
          <w:p>
            <w:pPr>
              <w:adjustRightInd w:val="0"/>
              <w:snapToGrid w:val="0"/>
              <w:jc w:val="center"/>
              <w:rPr>
                <w:szCs w:val="21"/>
              </w:rPr>
            </w:pPr>
            <w:r>
              <w:rPr>
                <w:kern w:val="0"/>
                <w:szCs w:val="21"/>
              </w:rPr>
              <w:t>40°59'49.62"</w:t>
            </w:r>
          </w:p>
        </w:tc>
        <w:tc>
          <w:tcPr>
            <w:tcW w:w="982" w:type="dxa"/>
            <w:vAlign w:val="center"/>
          </w:tcPr>
          <w:p>
            <w:pPr>
              <w:widowControl/>
              <w:adjustRightInd w:val="0"/>
              <w:snapToGrid w:val="0"/>
              <w:jc w:val="center"/>
              <w:rPr>
                <w:kern w:val="0"/>
                <w:szCs w:val="21"/>
              </w:rPr>
            </w:pPr>
            <w:r>
              <w:rPr>
                <w:rFonts w:ascii="宋体" w:hAnsi="宋体"/>
                <w:kern w:val="0"/>
                <w:szCs w:val="21"/>
              </w:rPr>
              <w:t>潜水</w:t>
            </w:r>
          </w:p>
        </w:tc>
        <w:tc>
          <w:tcPr>
            <w:tcW w:w="708" w:type="dxa"/>
            <w:vAlign w:val="center"/>
          </w:tcPr>
          <w:p>
            <w:pPr>
              <w:adjustRightInd w:val="0"/>
              <w:snapToGrid w:val="0"/>
              <w:jc w:val="center"/>
              <w:rPr>
                <w:szCs w:val="21"/>
              </w:rPr>
            </w:pPr>
            <w:r>
              <w:rPr>
                <w:kern w:val="0"/>
                <w:szCs w:val="21"/>
              </w:rPr>
              <w:t>100</w:t>
            </w:r>
          </w:p>
        </w:tc>
        <w:tc>
          <w:tcPr>
            <w:tcW w:w="1503" w:type="dxa"/>
            <w:vAlign w:val="center"/>
          </w:tcPr>
          <w:p>
            <w:pPr>
              <w:adjustRightInd w:val="0"/>
              <w:snapToGrid w:val="0"/>
              <w:jc w:val="center"/>
              <w:rPr>
                <w:szCs w:val="21"/>
              </w:rPr>
            </w:pPr>
            <w:r>
              <w:rPr>
                <w:rFonts w:ascii="宋体" w:hAnsi="宋体"/>
                <w:kern w:val="0"/>
                <w:szCs w:val="21"/>
              </w:rPr>
              <w:t>饮用</w:t>
            </w:r>
          </w:p>
        </w:tc>
      </w:tr>
    </w:tbl>
    <w:p>
      <w:pPr>
        <w:widowControl/>
        <w:spacing w:line="360" w:lineRule="auto"/>
        <w:jc w:val="left"/>
        <w:rPr>
          <w:kern w:val="0"/>
          <w:sz w:val="24"/>
        </w:rPr>
      </w:pPr>
      <w:r>
        <w:rPr>
          <w:rFonts w:hint="eastAsia"/>
          <w:szCs w:val="21"/>
        </w:rPr>
        <w:drawing>
          <wp:inline distT="0" distB="0" distL="0" distR="0">
            <wp:extent cx="5267325" cy="5200650"/>
            <wp:effectExtent l="0" t="0" r="9525" b="0"/>
            <wp:docPr id="61" name="图片 61" descr="C:\Users\众成环境\AppData\Local\Temp\ksohtml24568\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众成环境\AppData\Local\Temp\ksohtml24568\wps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67325" cy="5200650"/>
                    </a:xfrm>
                    <a:prstGeom prst="rect">
                      <a:avLst/>
                    </a:prstGeom>
                    <a:noFill/>
                    <a:ln>
                      <a:noFill/>
                    </a:ln>
                  </pic:spPr>
                </pic:pic>
              </a:graphicData>
            </a:graphic>
          </wp:inline>
        </w:drawing>
      </w:r>
      <w:r>
        <w:rPr>
          <w:kern w:val="0"/>
          <w:sz w:val="24"/>
        </w:rPr>
        <w:t xml:space="preserve"> </w:t>
      </w:r>
    </w:p>
    <w:p>
      <w:pPr>
        <w:widowControl/>
        <w:spacing w:line="360" w:lineRule="auto"/>
        <w:jc w:val="center"/>
        <w:rPr>
          <w:b/>
          <w:bCs/>
          <w:spacing w:val="4"/>
          <w:kern w:val="0"/>
          <w:sz w:val="24"/>
        </w:rPr>
      </w:pPr>
      <w:r>
        <w:rPr>
          <w:b/>
          <w:bCs/>
          <w:spacing w:val="4"/>
          <w:kern w:val="0"/>
          <w:sz w:val="24"/>
        </w:rPr>
        <w:t>图4.2-3  地下水监测布点示意图</w:t>
      </w:r>
    </w:p>
    <w:p>
      <w:pPr>
        <w:spacing w:before="240"/>
        <w:jc w:val="center"/>
        <w:rPr>
          <w:sz w:val="24"/>
        </w:rPr>
      </w:pPr>
    </w:p>
    <w:p>
      <w:pPr>
        <w:spacing w:line="360" w:lineRule="auto"/>
        <w:ind w:firstLine="480" w:firstLineChars="200"/>
        <w:rPr>
          <w:sz w:val="24"/>
        </w:rPr>
      </w:pPr>
      <w:r>
        <w:rPr>
          <w:rFonts w:ascii="宋体" w:hAnsi="宋体"/>
          <w:sz w:val="24"/>
        </w:rPr>
        <w:t>（</w:t>
      </w:r>
      <w:r>
        <w:rPr>
          <w:sz w:val="24"/>
        </w:rPr>
        <w:t>2</w:t>
      </w:r>
      <w:r>
        <w:rPr>
          <w:rFonts w:ascii="宋体" w:hAnsi="宋体"/>
          <w:sz w:val="24"/>
        </w:rPr>
        <w:t>）监测因子</w:t>
      </w:r>
    </w:p>
    <w:p>
      <w:pPr>
        <w:spacing w:line="360" w:lineRule="auto"/>
        <w:ind w:firstLine="480" w:firstLineChars="200"/>
        <w:rPr>
          <w:sz w:val="24"/>
        </w:rPr>
      </w:pPr>
      <w:r>
        <w:rPr>
          <w:sz w:val="24"/>
        </w:rPr>
        <w:t>K</w:t>
      </w:r>
      <w:r>
        <w:rPr>
          <w:sz w:val="24"/>
          <w:vertAlign w:val="superscript"/>
        </w:rPr>
        <w:t>+</w:t>
      </w:r>
      <w:r>
        <w:rPr>
          <w:rFonts w:ascii="宋体" w:hAnsi="宋体"/>
          <w:sz w:val="24"/>
        </w:rPr>
        <w:t>、</w:t>
      </w:r>
      <w:r>
        <w:rPr>
          <w:sz w:val="24"/>
        </w:rPr>
        <w:t>Na</w:t>
      </w:r>
      <w:r>
        <w:rPr>
          <w:sz w:val="24"/>
          <w:vertAlign w:val="superscript"/>
        </w:rPr>
        <w:t>+</w:t>
      </w:r>
      <w:r>
        <w:rPr>
          <w:rFonts w:ascii="宋体" w:hAnsi="宋体"/>
          <w:sz w:val="24"/>
        </w:rPr>
        <w:t>、</w:t>
      </w:r>
      <w:r>
        <w:rPr>
          <w:sz w:val="24"/>
        </w:rPr>
        <w:t>Ca</w:t>
      </w:r>
      <w:r>
        <w:rPr>
          <w:sz w:val="24"/>
          <w:vertAlign w:val="superscript"/>
        </w:rPr>
        <w:t>2+</w:t>
      </w:r>
      <w:r>
        <w:rPr>
          <w:rFonts w:ascii="宋体" w:hAnsi="宋体"/>
          <w:sz w:val="24"/>
        </w:rPr>
        <w:t>、</w:t>
      </w:r>
      <w:r>
        <w:rPr>
          <w:sz w:val="24"/>
        </w:rPr>
        <w:t>Mg</w:t>
      </w:r>
      <w:r>
        <w:rPr>
          <w:sz w:val="24"/>
          <w:vertAlign w:val="superscript"/>
        </w:rPr>
        <w:t>2+</w:t>
      </w:r>
      <w:r>
        <w:rPr>
          <w:rFonts w:ascii="宋体" w:hAnsi="宋体"/>
          <w:sz w:val="24"/>
        </w:rPr>
        <w:t>、</w:t>
      </w:r>
      <w:r>
        <w:rPr>
          <w:sz w:val="24"/>
        </w:rPr>
        <w:t>CO</w:t>
      </w:r>
      <w:r>
        <w:rPr>
          <w:sz w:val="24"/>
          <w:vertAlign w:val="subscript"/>
        </w:rPr>
        <w:t>3</w:t>
      </w:r>
      <w:r>
        <w:rPr>
          <w:sz w:val="24"/>
          <w:vertAlign w:val="superscript"/>
        </w:rPr>
        <w:t>2-</w:t>
      </w:r>
      <w:r>
        <w:rPr>
          <w:rFonts w:ascii="宋体" w:hAnsi="宋体"/>
          <w:sz w:val="24"/>
        </w:rPr>
        <w:t>、</w:t>
      </w:r>
      <w:r>
        <w:rPr>
          <w:sz w:val="24"/>
        </w:rPr>
        <w:t>HCO</w:t>
      </w:r>
      <w:r>
        <w:rPr>
          <w:sz w:val="24"/>
          <w:vertAlign w:val="subscript"/>
        </w:rPr>
        <w:t>3</w:t>
      </w:r>
      <w:r>
        <w:rPr>
          <w:sz w:val="24"/>
          <w:vertAlign w:val="superscript"/>
        </w:rPr>
        <w:t>-</w:t>
      </w:r>
      <w:r>
        <w:rPr>
          <w:rFonts w:ascii="宋体" w:hAnsi="宋体"/>
          <w:sz w:val="24"/>
        </w:rPr>
        <w:t>、</w:t>
      </w:r>
      <w:r>
        <w:rPr>
          <w:sz w:val="24"/>
        </w:rPr>
        <w:t>Cl</w:t>
      </w:r>
      <w:r>
        <w:rPr>
          <w:sz w:val="24"/>
          <w:vertAlign w:val="superscript"/>
        </w:rPr>
        <w:t>-</w:t>
      </w:r>
      <w:r>
        <w:rPr>
          <w:rFonts w:ascii="宋体" w:hAnsi="宋体"/>
          <w:sz w:val="24"/>
        </w:rPr>
        <w:t>、</w:t>
      </w:r>
      <w:r>
        <w:rPr>
          <w:sz w:val="24"/>
        </w:rPr>
        <w:t>SO</w:t>
      </w:r>
      <w:r>
        <w:rPr>
          <w:sz w:val="24"/>
          <w:vertAlign w:val="subscript"/>
        </w:rPr>
        <w:t>4</w:t>
      </w:r>
      <w:r>
        <w:rPr>
          <w:sz w:val="24"/>
          <w:vertAlign w:val="superscript"/>
        </w:rPr>
        <w:t>2-</w:t>
      </w:r>
      <w:r>
        <w:rPr>
          <w:rFonts w:ascii="宋体" w:hAnsi="宋体"/>
          <w:sz w:val="24"/>
        </w:rPr>
        <w:t>；</w:t>
      </w:r>
      <w:r>
        <w:rPr>
          <w:sz w:val="24"/>
        </w:rPr>
        <w:t>pH</w:t>
      </w:r>
      <w:r>
        <w:rPr>
          <w:rFonts w:ascii="宋体" w:hAnsi="宋体"/>
          <w:sz w:val="24"/>
        </w:rPr>
        <w:t>、总硬度、硝酸盐氮、亚硝酸盐氮、氨氮、耗氧量、氟化物、氰化物、溶解性总固体、挥发性酚类、铬（六价）、总大肠菌群、菌落总数、砷、汞、铅、铁、锰、镉、锌、铜、总铬，共计</w:t>
      </w:r>
      <w:r>
        <w:rPr>
          <w:sz w:val="24"/>
        </w:rPr>
        <w:t>29</w:t>
      </w:r>
      <w:r>
        <w:rPr>
          <w:rFonts w:ascii="宋体" w:hAnsi="宋体"/>
          <w:sz w:val="24"/>
        </w:rPr>
        <w:t>项。</w:t>
      </w:r>
    </w:p>
    <w:p>
      <w:pPr>
        <w:spacing w:line="360" w:lineRule="auto"/>
        <w:ind w:firstLine="480" w:firstLineChars="200"/>
        <w:rPr>
          <w:sz w:val="24"/>
        </w:rPr>
      </w:pPr>
      <w:r>
        <w:rPr>
          <w:rFonts w:ascii="宋体" w:hAnsi="宋体"/>
          <w:sz w:val="24"/>
        </w:rPr>
        <w:t>（</w:t>
      </w:r>
      <w:r>
        <w:rPr>
          <w:sz w:val="24"/>
        </w:rPr>
        <w:t>3</w:t>
      </w:r>
      <w:r>
        <w:rPr>
          <w:rFonts w:ascii="宋体" w:hAnsi="宋体"/>
          <w:sz w:val="24"/>
        </w:rPr>
        <w:t>）监测时间</w:t>
      </w:r>
    </w:p>
    <w:p>
      <w:pPr>
        <w:spacing w:line="360" w:lineRule="auto"/>
        <w:ind w:firstLine="480" w:firstLineChars="200"/>
        <w:rPr>
          <w:sz w:val="24"/>
        </w:rPr>
      </w:pPr>
      <w:r>
        <w:rPr>
          <w:rFonts w:ascii="宋体" w:hAnsi="宋体"/>
          <w:kern w:val="0"/>
          <w:sz w:val="24"/>
        </w:rPr>
        <w:t>监测时间为</w:t>
      </w:r>
      <w:r>
        <w:rPr>
          <w:kern w:val="0"/>
          <w:sz w:val="24"/>
        </w:rPr>
        <w:t>2023</w:t>
      </w:r>
      <w:r>
        <w:rPr>
          <w:rFonts w:ascii="宋体" w:hAnsi="宋体"/>
          <w:kern w:val="0"/>
          <w:sz w:val="24"/>
        </w:rPr>
        <w:t>年</w:t>
      </w:r>
      <w:r>
        <w:rPr>
          <w:kern w:val="0"/>
          <w:sz w:val="24"/>
        </w:rPr>
        <w:t>3</w:t>
      </w:r>
      <w:r>
        <w:rPr>
          <w:rFonts w:ascii="宋体" w:hAnsi="宋体"/>
          <w:kern w:val="0"/>
          <w:sz w:val="24"/>
        </w:rPr>
        <w:t>月</w:t>
      </w:r>
      <w:r>
        <w:rPr>
          <w:kern w:val="0"/>
          <w:sz w:val="24"/>
        </w:rPr>
        <w:t>31</w:t>
      </w:r>
      <w:r>
        <w:rPr>
          <w:rFonts w:ascii="宋体" w:hAnsi="宋体"/>
          <w:kern w:val="0"/>
          <w:sz w:val="24"/>
        </w:rPr>
        <w:t>日。</w:t>
      </w:r>
    </w:p>
    <w:p>
      <w:pPr>
        <w:spacing w:line="360" w:lineRule="auto"/>
        <w:ind w:firstLine="480" w:firstLineChars="200"/>
        <w:rPr>
          <w:sz w:val="24"/>
        </w:rPr>
      </w:pPr>
      <w:r>
        <w:rPr>
          <w:rFonts w:ascii="宋体" w:hAnsi="宋体"/>
          <w:sz w:val="24"/>
        </w:rPr>
        <w:t>（</w:t>
      </w:r>
      <w:r>
        <w:rPr>
          <w:sz w:val="24"/>
        </w:rPr>
        <w:t>4</w:t>
      </w:r>
      <w:r>
        <w:rPr>
          <w:rFonts w:ascii="宋体" w:hAnsi="宋体"/>
          <w:sz w:val="24"/>
        </w:rPr>
        <w:t>）评价方法</w:t>
      </w:r>
    </w:p>
    <w:p>
      <w:pPr>
        <w:spacing w:line="360" w:lineRule="auto"/>
        <w:ind w:firstLine="480" w:firstLineChars="200"/>
        <w:rPr>
          <w:sz w:val="24"/>
        </w:rPr>
      </w:pPr>
      <w:r>
        <w:rPr>
          <w:rFonts w:ascii="宋体" w:hAnsi="宋体"/>
          <w:sz w:val="24"/>
        </w:rPr>
        <w:t>根据《环境影响评价技术导则</w:t>
      </w:r>
      <w:r>
        <w:rPr>
          <w:sz w:val="24"/>
        </w:rPr>
        <w:t xml:space="preserve"> </w:t>
      </w:r>
      <w:r>
        <w:rPr>
          <w:rFonts w:ascii="宋体" w:hAnsi="宋体"/>
          <w:sz w:val="24"/>
        </w:rPr>
        <w:t>地下水环境》（</w:t>
      </w:r>
      <w:r>
        <w:rPr>
          <w:sz w:val="24"/>
        </w:rPr>
        <w:t>HJ610-2016</w:t>
      </w:r>
      <w:r>
        <w:rPr>
          <w:rFonts w:ascii="宋体" w:hAnsi="宋体"/>
          <w:sz w:val="24"/>
        </w:rPr>
        <w:t>），水质评价方法采用标准指数法。</w:t>
      </w:r>
    </w:p>
    <w:p>
      <w:pPr>
        <w:spacing w:line="360" w:lineRule="auto"/>
        <w:ind w:firstLine="480" w:firstLineChars="200"/>
        <w:rPr>
          <w:sz w:val="24"/>
        </w:rPr>
      </w:pPr>
      <w:r>
        <w:rPr>
          <w:rFonts w:hint="eastAsia" w:ascii="宋体" w:hAnsi="宋体"/>
          <w:sz w:val="24"/>
        </w:rPr>
        <w:t>①</w:t>
      </w:r>
      <w:r>
        <w:rPr>
          <w:rFonts w:ascii="宋体" w:hAnsi="宋体"/>
          <w:sz w:val="24"/>
        </w:rPr>
        <w:t>对于评价标准为定值的水质因子，其标准指数计算公式：</w:t>
      </w:r>
    </w:p>
    <w:p>
      <w:pPr>
        <w:spacing w:line="360" w:lineRule="auto"/>
        <w:ind w:firstLine="420" w:firstLineChars="200"/>
        <w:jc w:val="center"/>
        <w:rPr>
          <w:sz w:val="24"/>
        </w:rPr>
      </w:pPr>
      <w:r>
        <w:rPr>
          <w:rFonts w:hint="eastAsia"/>
          <w:szCs w:val="21"/>
        </w:rPr>
        <w:drawing>
          <wp:inline distT="0" distB="0" distL="0" distR="0">
            <wp:extent cx="571500" cy="447675"/>
            <wp:effectExtent l="0" t="0" r="0" b="9525"/>
            <wp:docPr id="62" name="图片 62" descr="C:\Users\众成环境\AppData\Local\Temp\ksohtml24568\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众成环境\AppData\Local\Temp\ksohtml24568\wps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71500" cy="447675"/>
                    </a:xfrm>
                    <a:prstGeom prst="rect">
                      <a:avLst/>
                    </a:prstGeom>
                    <a:noFill/>
                    <a:ln>
                      <a:noFill/>
                    </a:ln>
                  </pic:spPr>
                </pic:pic>
              </a:graphicData>
            </a:graphic>
          </wp:inline>
        </w:drawing>
      </w:r>
      <w:r>
        <w:rPr>
          <w:sz w:val="24"/>
        </w:rPr>
        <w:t xml:space="preserve"> </w:t>
      </w:r>
    </w:p>
    <w:p>
      <w:pPr>
        <w:spacing w:line="360" w:lineRule="auto"/>
        <w:ind w:firstLine="480" w:firstLineChars="200"/>
        <w:rPr>
          <w:sz w:val="24"/>
        </w:rPr>
      </w:pPr>
      <w:r>
        <w:rPr>
          <w:rFonts w:ascii="宋体" w:hAnsi="宋体"/>
          <w:sz w:val="24"/>
        </w:rPr>
        <w:t>式中：</w:t>
      </w:r>
      <w:r>
        <w:rPr>
          <w:sz w:val="24"/>
        </w:rPr>
        <w:t>P</w:t>
      </w:r>
      <w:r>
        <w:rPr>
          <w:sz w:val="24"/>
          <w:vertAlign w:val="subscript"/>
        </w:rPr>
        <w:t>i</w:t>
      </w:r>
      <w:r>
        <w:rPr>
          <w:sz w:val="24"/>
        </w:rPr>
        <w:t>—</w:t>
      </w:r>
      <w:r>
        <w:rPr>
          <w:rFonts w:ascii="宋体" w:hAnsi="宋体"/>
          <w:sz w:val="24"/>
        </w:rPr>
        <w:t>第</w:t>
      </w:r>
      <w:r>
        <w:rPr>
          <w:sz w:val="24"/>
        </w:rPr>
        <w:t>i</w:t>
      </w:r>
      <w:r>
        <w:rPr>
          <w:rFonts w:ascii="宋体" w:hAnsi="宋体"/>
          <w:sz w:val="24"/>
        </w:rPr>
        <w:t>个水质因子的标准指数，无量纲；</w:t>
      </w:r>
    </w:p>
    <w:p>
      <w:pPr>
        <w:spacing w:line="360" w:lineRule="auto"/>
        <w:ind w:firstLine="480" w:firstLineChars="200"/>
        <w:rPr>
          <w:sz w:val="24"/>
        </w:rPr>
      </w:pPr>
      <w:r>
        <w:rPr>
          <w:sz w:val="24"/>
        </w:rPr>
        <w:t>Ci—</w:t>
      </w:r>
      <w:r>
        <w:rPr>
          <w:rFonts w:ascii="宋体" w:hAnsi="宋体"/>
          <w:sz w:val="24"/>
        </w:rPr>
        <w:t>第</w:t>
      </w:r>
      <w:r>
        <w:rPr>
          <w:sz w:val="24"/>
        </w:rPr>
        <w:t>i</w:t>
      </w:r>
      <w:r>
        <w:rPr>
          <w:rFonts w:ascii="宋体" w:hAnsi="宋体"/>
          <w:sz w:val="24"/>
        </w:rPr>
        <w:t>个水质因子的监测浓度值，</w:t>
      </w:r>
      <w:r>
        <w:rPr>
          <w:sz w:val="24"/>
        </w:rPr>
        <w:t>mg/L</w:t>
      </w:r>
      <w:r>
        <w:rPr>
          <w:rFonts w:ascii="宋体" w:hAnsi="宋体"/>
          <w:sz w:val="24"/>
        </w:rPr>
        <w:t>；</w:t>
      </w:r>
    </w:p>
    <w:p>
      <w:pPr>
        <w:spacing w:line="360" w:lineRule="auto"/>
        <w:ind w:firstLine="480" w:firstLineChars="200"/>
        <w:rPr>
          <w:sz w:val="24"/>
        </w:rPr>
      </w:pPr>
      <w:r>
        <w:rPr>
          <w:sz w:val="24"/>
        </w:rPr>
        <w:t>Csi—</w:t>
      </w:r>
      <w:r>
        <w:rPr>
          <w:rFonts w:ascii="宋体" w:hAnsi="宋体"/>
          <w:sz w:val="24"/>
        </w:rPr>
        <w:t>第</w:t>
      </w:r>
      <w:r>
        <w:rPr>
          <w:sz w:val="24"/>
        </w:rPr>
        <w:t>i</w:t>
      </w:r>
      <w:r>
        <w:rPr>
          <w:rFonts w:ascii="宋体" w:hAnsi="宋体"/>
          <w:sz w:val="24"/>
        </w:rPr>
        <w:t>个水质因子的标准浓度值，</w:t>
      </w:r>
      <w:r>
        <w:rPr>
          <w:sz w:val="24"/>
        </w:rPr>
        <w:t>mg/L</w:t>
      </w:r>
      <w:r>
        <w:rPr>
          <w:rFonts w:ascii="宋体" w:hAnsi="宋体"/>
          <w:sz w:val="24"/>
        </w:rPr>
        <w:t>。</w:t>
      </w:r>
    </w:p>
    <w:p>
      <w:pPr>
        <w:spacing w:line="360" w:lineRule="auto"/>
        <w:ind w:firstLine="480" w:firstLineChars="200"/>
        <w:rPr>
          <w:sz w:val="24"/>
        </w:rPr>
      </w:pPr>
      <w:r>
        <w:rPr>
          <w:rFonts w:hint="eastAsia" w:ascii="宋体" w:hAnsi="宋体"/>
          <w:sz w:val="24"/>
        </w:rPr>
        <w:t>②</w:t>
      </w:r>
      <w:r>
        <w:rPr>
          <w:rFonts w:ascii="宋体" w:hAnsi="宋体"/>
          <w:sz w:val="24"/>
        </w:rPr>
        <w:t>对于评价标准为区间值的水质因子（如</w:t>
      </w:r>
      <w:r>
        <w:rPr>
          <w:sz w:val="24"/>
        </w:rPr>
        <w:t>pH</w:t>
      </w:r>
      <w:r>
        <w:rPr>
          <w:rFonts w:ascii="宋体" w:hAnsi="宋体"/>
          <w:sz w:val="24"/>
        </w:rPr>
        <w:t>值），其标准指数计算公式：</w:t>
      </w:r>
    </w:p>
    <w:p>
      <w:pPr>
        <w:spacing w:line="360" w:lineRule="auto"/>
        <w:ind w:firstLine="480" w:firstLineChars="200"/>
        <w:jc w:val="center"/>
        <w:rPr>
          <w:sz w:val="24"/>
        </w:rPr>
      </w:pPr>
      <w:r>
        <w:rPr>
          <w:sz w:val="24"/>
        </w:rPr>
        <w:t xml:space="preserve"> </w:t>
      </w:r>
      <w:r>
        <w:rPr>
          <w:rFonts w:hint="eastAsia"/>
          <w:szCs w:val="21"/>
        </w:rPr>
        <w:drawing>
          <wp:inline distT="0" distB="0" distL="0" distR="0">
            <wp:extent cx="2552700" cy="1076325"/>
            <wp:effectExtent l="0" t="0" r="0" b="9525"/>
            <wp:docPr id="63" name="图片 63" descr="C:\Users\众成环境\AppData\Local\Temp\ksohtml24568\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众成环境\AppData\Local\Temp\ksohtml24568\wps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552700" cy="1076325"/>
                    </a:xfrm>
                    <a:prstGeom prst="rect">
                      <a:avLst/>
                    </a:prstGeom>
                    <a:noFill/>
                    <a:ln>
                      <a:noFill/>
                    </a:ln>
                  </pic:spPr>
                </pic:pic>
              </a:graphicData>
            </a:graphic>
          </wp:inline>
        </w:drawing>
      </w:r>
    </w:p>
    <w:p>
      <w:pPr>
        <w:spacing w:line="360" w:lineRule="auto"/>
        <w:ind w:firstLine="480" w:firstLineChars="200"/>
        <w:rPr>
          <w:sz w:val="24"/>
        </w:rPr>
      </w:pPr>
      <w:r>
        <w:rPr>
          <w:sz w:val="24"/>
        </w:rPr>
        <w:t>P</w:t>
      </w:r>
      <w:r>
        <w:rPr>
          <w:sz w:val="24"/>
          <w:vertAlign w:val="subscript"/>
        </w:rPr>
        <w:t>pH</w:t>
      </w:r>
      <w:r>
        <w:rPr>
          <w:sz w:val="24"/>
        </w:rPr>
        <w:t>—pH</w:t>
      </w:r>
      <w:r>
        <w:rPr>
          <w:rFonts w:ascii="宋体" w:hAnsi="宋体"/>
          <w:sz w:val="24"/>
        </w:rPr>
        <w:t>的标准指数，无量纲；</w:t>
      </w:r>
    </w:p>
    <w:p>
      <w:pPr>
        <w:spacing w:line="360" w:lineRule="auto"/>
        <w:ind w:firstLine="480" w:firstLineChars="200"/>
        <w:rPr>
          <w:sz w:val="24"/>
        </w:rPr>
      </w:pPr>
      <w:r>
        <w:rPr>
          <w:sz w:val="24"/>
        </w:rPr>
        <w:t>pH—pH</w:t>
      </w:r>
      <w:r>
        <w:rPr>
          <w:rFonts w:ascii="宋体" w:hAnsi="宋体"/>
          <w:sz w:val="24"/>
        </w:rPr>
        <w:t>监测值；</w:t>
      </w:r>
    </w:p>
    <w:p>
      <w:pPr>
        <w:spacing w:line="360" w:lineRule="auto"/>
        <w:ind w:firstLine="480" w:firstLineChars="200"/>
        <w:rPr>
          <w:sz w:val="24"/>
        </w:rPr>
      </w:pPr>
      <w:r>
        <w:rPr>
          <w:sz w:val="24"/>
        </w:rPr>
        <w:t>pH</w:t>
      </w:r>
      <w:r>
        <w:rPr>
          <w:sz w:val="24"/>
          <w:vertAlign w:val="subscript"/>
        </w:rPr>
        <w:t>su</w:t>
      </w:r>
      <w:r>
        <w:rPr>
          <w:sz w:val="24"/>
        </w:rPr>
        <w:t>—</w:t>
      </w:r>
      <w:r>
        <w:rPr>
          <w:rFonts w:ascii="宋体" w:hAnsi="宋体"/>
          <w:sz w:val="24"/>
        </w:rPr>
        <w:t>标准中</w:t>
      </w:r>
      <w:r>
        <w:rPr>
          <w:sz w:val="24"/>
        </w:rPr>
        <w:t>pH</w:t>
      </w:r>
      <w:r>
        <w:rPr>
          <w:rFonts w:ascii="宋体" w:hAnsi="宋体"/>
          <w:sz w:val="24"/>
        </w:rPr>
        <w:t>的上限值；</w:t>
      </w:r>
    </w:p>
    <w:p>
      <w:pPr>
        <w:spacing w:line="360" w:lineRule="auto"/>
        <w:ind w:firstLine="480" w:firstLineChars="200"/>
        <w:rPr>
          <w:sz w:val="24"/>
        </w:rPr>
      </w:pPr>
      <w:r>
        <w:rPr>
          <w:sz w:val="24"/>
        </w:rPr>
        <w:t>pH</w:t>
      </w:r>
      <w:r>
        <w:rPr>
          <w:sz w:val="24"/>
          <w:vertAlign w:val="subscript"/>
        </w:rPr>
        <w:t>sd</w:t>
      </w:r>
      <w:r>
        <w:rPr>
          <w:sz w:val="24"/>
        </w:rPr>
        <w:t>—</w:t>
      </w:r>
      <w:r>
        <w:rPr>
          <w:rFonts w:ascii="宋体" w:hAnsi="宋体"/>
          <w:sz w:val="24"/>
        </w:rPr>
        <w:t>标准中</w:t>
      </w:r>
      <w:r>
        <w:rPr>
          <w:sz w:val="24"/>
        </w:rPr>
        <w:t>pH</w:t>
      </w:r>
      <w:r>
        <w:rPr>
          <w:rFonts w:ascii="宋体" w:hAnsi="宋体"/>
          <w:sz w:val="24"/>
        </w:rPr>
        <w:t>的下限值。</w:t>
      </w:r>
    </w:p>
    <w:p>
      <w:pPr>
        <w:spacing w:line="360" w:lineRule="auto"/>
        <w:ind w:firstLine="480" w:firstLineChars="200"/>
        <w:rPr>
          <w:sz w:val="24"/>
        </w:rPr>
      </w:pPr>
      <w:r>
        <w:rPr>
          <w:rFonts w:ascii="宋体" w:hAnsi="宋体"/>
          <w:sz w:val="24"/>
        </w:rPr>
        <w:t>标准指数</w:t>
      </w:r>
      <w:r>
        <w:rPr>
          <w:sz w:val="24"/>
        </w:rPr>
        <w:t>P&gt;1</w:t>
      </w:r>
      <w:r>
        <w:rPr>
          <w:rFonts w:ascii="宋体" w:hAnsi="宋体"/>
          <w:sz w:val="24"/>
        </w:rPr>
        <w:t>时，即表明该水质因子已经超过了规定的水质标准，且指数越大，超标越严重。</w:t>
      </w:r>
    </w:p>
    <w:p>
      <w:pPr>
        <w:spacing w:line="360" w:lineRule="auto"/>
        <w:ind w:firstLine="480" w:firstLineChars="200"/>
        <w:rPr>
          <w:sz w:val="24"/>
        </w:rPr>
      </w:pPr>
      <w:r>
        <w:rPr>
          <w:rFonts w:ascii="宋体" w:hAnsi="宋体"/>
          <w:sz w:val="24"/>
        </w:rPr>
        <w:t>（</w:t>
      </w:r>
      <w:r>
        <w:rPr>
          <w:sz w:val="24"/>
        </w:rPr>
        <w:t>5</w:t>
      </w:r>
      <w:r>
        <w:rPr>
          <w:rFonts w:ascii="宋体" w:hAnsi="宋体"/>
          <w:sz w:val="24"/>
        </w:rPr>
        <w:t>）评价标准</w:t>
      </w:r>
    </w:p>
    <w:p>
      <w:pPr>
        <w:spacing w:line="360" w:lineRule="auto"/>
        <w:ind w:firstLine="480" w:firstLineChars="200"/>
        <w:jc w:val="left"/>
        <w:rPr>
          <w:bCs/>
          <w:kern w:val="0"/>
          <w:sz w:val="24"/>
        </w:rPr>
      </w:pPr>
      <w:r>
        <w:rPr>
          <w:rFonts w:ascii="宋体" w:hAnsi="宋体"/>
          <w:sz w:val="24"/>
        </w:rPr>
        <w:t>执行《地下水质量标准》（</w:t>
      </w:r>
      <w:r>
        <w:rPr>
          <w:sz w:val="24"/>
        </w:rPr>
        <w:t>GB/T14848</w:t>
      </w:r>
      <w:r>
        <w:rPr>
          <w:rFonts w:ascii="宋体" w:hAnsi="宋体"/>
          <w:sz w:val="24"/>
        </w:rPr>
        <w:t>－</w:t>
      </w:r>
      <w:r>
        <w:rPr>
          <w:sz w:val="24"/>
        </w:rPr>
        <w:t>2017</w:t>
      </w:r>
      <w:r>
        <w:rPr>
          <w:rFonts w:ascii="宋体" w:hAnsi="宋体"/>
          <w:sz w:val="24"/>
        </w:rPr>
        <w:t>）</w:t>
      </w:r>
      <w:r>
        <w:rPr>
          <w:sz w:val="24"/>
        </w:rPr>
        <w:t>III</w:t>
      </w:r>
      <w:r>
        <w:rPr>
          <w:rFonts w:ascii="宋体" w:hAnsi="宋体"/>
          <w:sz w:val="24"/>
        </w:rPr>
        <w:t>类标准。</w:t>
      </w:r>
    </w:p>
    <w:p>
      <w:pPr>
        <w:spacing w:line="360" w:lineRule="auto"/>
        <w:ind w:firstLine="480" w:firstLineChars="200"/>
        <w:rPr>
          <w:sz w:val="24"/>
        </w:rPr>
      </w:pPr>
      <w:r>
        <w:rPr>
          <w:rFonts w:ascii="宋体" w:hAnsi="宋体"/>
          <w:sz w:val="24"/>
        </w:rPr>
        <w:t>（</w:t>
      </w:r>
      <w:r>
        <w:rPr>
          <w:sz w:val="24"/>
        </w:rPr>
        <w:t>6</w:t>
      </w:r>
      <w:r>
        <w:rPr>
          <w:rFonts w:ascii="宋体" w:hAnsi="宋体"/>
          <w:sz w:val="24"/>
        </w:rPr>
        <w:t>）监测及评价结果</w:t>
      </w:r>
    </w:p>
    <w:p>
      <w:pPr>
        <w:spacing w:line="360" w:lineRule="auto"/>
        <w:ind w:firstLine="480" w:firstLineChars="200"/>
        <w:rPr>
          <w:b/>
          <w:color w:val="FF0000"/>
          <w:kern w:val="0"/>
          <w:sz w:val="24"/>
        </w:rPr>
      </w:pPr>
      <w:r>
        <w:rPr>
          <w:rFonts w:ascii="宋体" w:hAnsi="宋体"/>
          <w:color w:val="FF0000"/>
          <w:sz w:val="24"/>
        </w:rPr>
        <w:t>由监测结果可知，</w:t>
      </w:r>
      <w:r>
        <w:rPr>
          <w:color w:val="FF0000"/>
          <w:sz w:val="24"/>
        </w:rPr>
        <w:t>D7</w:t>
      </w:r>
      <w:r>
        <w:rPr>
          <w:rFonts w:ascii="宋体" w:hAnsi="宋体"/>
          <w:color w:val="FF0000"/>
          <w:sz w:val="24"/>
        </w:rPr>
        <w:t>监测点</w:t>
      </w:r>
      <w:r>
        <w:rPr>
          <w:rFonts w:hint="eastAsia" w:ascii="宋体" w:hAnsi="宋体"/>
          <w:color w:val="FF0000"/>
          <w:sz w:val="24"/>
        </w:rPr>
        <w:t>氨氮、总硬度、溶解性总固体</w:t>
      </w:r>
      <w:r>
        <w:rPr>
          <w:rFonts w:ascii="宋体" w:hAnsi="宋体"/>
          <w:color w:val="FF0000"/>
          <w:sz w:val="24"/>
        </w:rPr>
        <w:t>出现超标，超标原因为</w:t>
      </w:r>
      <w:r>
        <w:rPr>
          <w:rFonts w:hint="eastAsia" w:ascii="宋体" w:hAnsi="宋体"/>
          <w:color w:val="FF0000"/>
          <w:sz w:val="24"/>
        </w:rPr>
        <w:t>该水井为养羊场内水井，可能受到养殖污染</w:t>
      </w:r>
      <w:r>
        <w:rPr>
          <w:rFonts w:ascii="宋体" w:hAnsi="宋体"/>
          <w:color w:val="FF0000"/>
          <w:sz w:val="24"/>
        </w:rPr>
        <w:t>，其他各监测点监测因子均满足《地下水质量标准》（</w:t>
      </w:r>
      <w:r>
        <w:rPr>
          <w:color w:val="FF0000"/>
          <w:sz w:val="24"/>
        </w:rPr>
        <w:t>GB/T14848-2017</w:t>
      </w:r>
      <w:r>
        <w:rPr>
          <w:rFonts w:ascii="宋体" w:hAnsi="宋体"/>
          <w:color w:val="FF0000"/>
          <w:sz w:val="24"/>
        </w:rPr>
        <w:t>）</w:t>
      </w:r>
      <w:r>
        <w:rPr>
          <w:color w:val="FF0000"/>
          <w:sz w:val="24"/>
        </w:rPr>
        <w:t>III</w:t>
      </w:r>
      <w:r>
        <w:rPr>
          <w:rFonts w:ascii="宋体" w:hAnsi="宋体"/>
          <w:color w:val="FF0000"/>
          <w:sz w:val="24"/>
        </w:rPr>
        <w:t>类标准。</w:t>
      </w:r>
    </w:p>
    <w:p>
      <w:pPr>
        <w:widowControl/>
        <w:adjustRightInd w:val="0"/>
        <w:snapToGrid w:val="0"/>
        <w:spacing w:line="360" w:lineRule="auto"/>
        <w:jc w:val="center"/>
        <w:rPr>
          <w:b/>
          <w:bCs/>
          <w:kern w:val="0"/>
          <w:szCs w:val="21"/>
        </w:rPr>
        <w:sectPr>
          <w:pgSz w:w="12240" w:h="15840"/>
          <w:pgMar w:top="1440" w:right="1800" w:bottom="1440" w:left="1800" w:header="720" w:footer="720" w:gutter="0"/>
          <w:cols w:space="720" w:num="1"/>
        </w:sectPr>
      </w:pPr>
    </w:p>
    <w:p>
      <w:pPr>
        <w:tabs>
          <w:tab w:val="left" w:pos="1260"/>
          <w:tab w:val="center" w:pos="6979"/>
        </w:tabs>
        <w:spacing w:before="240"/>
        <w:jc w:val="center"/>
        <w:rPr>
          <w:b/>
          <w:bCs/>
          <w:kern w:val="0"/>
          <w:sz w:val="24"/>
        </w:rPr>
      </w:pPr>
      <w:r>
        <w:rPr>
          <w:b/>
          <w:bCs/>
          <w:kern w:val="0"/>
          <w:sz w:val="24"/>
        </w:rPr>
        <w:t>表4.2-7  地下水水质监测及评价结果一览表</w:t>
      </w:r>
    </w:p>
    <w:tbl>
      <w:tblPr>
        <w:tblStyle w:val="87"/>
        <w:tblW w:w="500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314"/>
        <w:gridCol w:w="1187"/>
        <w:gridCol w:w="1037"/>
        <w:gridCol w:w="1037"/>
        <w:gridCol w:w="1037"/>
        <w:gridCol w:w="1037"/>
        <w:gridCol w:w="1037"/>
        <w:gridCol w:w="1037"/>
        <w:gridCol w:w="1061"/>
        <w:gridCol w:w="695"/>
        <w:gridCol w:w="539"/>
        <w:gridCol w:w="737"/>
        <w:gridCol w:w="790"/>
        <w:gridCol w:w="539"/>
        <w:gridCol w:w="539"/>
        <w:gridCol w:w="545"/>
        <w:gridCol w:w="545"/>
        <w:gridCol w:w="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6" w:type="pct"/>
          <w:trHeight w:val="227" w:hRule="atLeast"/>
          <w:jc w:val="center"/>
        </w:trPr>
        <w:tc>
          <w:tcPr>
            <w:tcW w:w="446" w:type="pct"/>
            <w:vMerge w:val="restart"/>
            <w:vAlign w:val="center"/>
          </w:tcPr>
          <w:p>
            <w:pPr>
              <w:jc w:val="center"/>
              <w:rPr>
                <w:color w:val="FF0000"/>
                <w:szCs w:val="21"/>
              </w:rPr>
            </w:pPr>
            <w:r>
              <w:rPr>
                <w:rFonts w:ascii="宋体" w:hAnsi="宋体"/>
                <w:color w:val="FF0000"/>
                <w:szCs w:val="21"/>
              </w:rPr>
              <w:t>监测项目</w:t>
            </w:r>
          </w:p>
        </w:tc>
        <w:tc>
          <w:tcPr>
            <w:tcW w:w="403" w:type="pct"/>
            <w:vMerge w:val="restart"/>
            <w:vAlign w:val="center"/>
          </w:tcPr>
          <w:p>
            <w:pPr>
              <w:keepLines/>
              <w:jc w:val="center"/>
              <w:rPr>
                <w:color w:val="FF0000"/>
                <w:szCs w:val="21"/>
              </w:rPr>
            </w:pPr>
            <w:r>
              <w:rPr>
                <w:rFonts w:ascii="宋体" w:hAnsi="宋体"/>
                <w:color w:val="FF0000"/>
                <w:szCs w:val="21"/>
              </w:rPr>
              <w:t>单位</w:t>
            </w:r>
          </w:p>
        </w:tc>
        <w:tc>
          <w:tcPr>
            <w:tcW w:w="2472" w:type="pct"/>
            <w:gridSpan w:val="7"/>
            <w:vAlign w:val="center"/>
          </w:tcPr>
          <w:p>
            <w:pPr>
              <w:keepLines/>
              <w:jc w:val="center"/>
              <w:rPr>
                <w:color w:val="FF0000"/>
                <w:szCs w:val="21"/>
              </w:rPr>
            </w:pPr>
            <w:r>
              <w:rPr>
                <w:rFonts w:ascii="宋体" w:hAnsi="宋体"/>
                <w:color w:val="FF0000"/>
                <w:szCs w:val="21"/>
              </w:rPr>
              <w:t>监测结果</w:t>
            </w:r>
          </w:p>
        </w:tc>
        <w:tc>
          <w:tcPr>
            <w:tcW w:w="236" w:type="pct"/>
            <w:vMerge w:val="restart"/>
            <w:vAlign w:val="center"/>
          </w:tcPr>
          <w:p>
            <w:pPr>
              <w:keepLines/>
              <w:jc w:val="center"/>
              <w:rPr>
                <w:color w:val="FF0000"/>
                <w:szCs w:val="21"/>
              </w:rPr>
            </w:pPr>
            <w:r>
              <w:rPr>
                <w:rFonts w:ascii="宋体" w:hAnsi="宋体"/>
                <w:color w:val="FF0000"/>
                <w:szCs w:val="21"/>
              </w:rPr>
              <w:t>评价</w:t>
            </w:r>
          </w:p>
          <w:p>
            <w:pPr>
              <w:keepLines/>
              <w:jc w:val="center"/>
              <w:rPr>
                <w:color w:val="FF0000"/>
                <w:szCs w:val="21"/>
              </w:rPr>
            </w:pPr>
            <w:r>
              <w:rPr>
                <w:rFonts w:ascii="宋体" w:hAnsi="宋体"/>
                <w:color w:val="FF0000"/>
                <w:szCs w:val="21"/>
              </w:rPr>
              <w:t>标准</w:t>
            </w:r>
          </w:p>
        </w:tc>
        <w:tc>
          <w:tcPr>
            <w:tcW w:w="1437" w:type="pct"/>
            <w:gridSpan w:val="7"/>
            <w:vAlign w:val="center"/>
          </w:tcPr>
          <w:p>
            <w:pPr>
              <w:keepLines/>
              <w:jc w:val="center"/>
              <w:rPr>
                <w:color w:val="FF0000"/>
                <w:szCs w:val="21"/>
              </w:rPr>
            </w:pPr>
            <w:r>
              <w:rPr>
                <w:rFonts w:ascii="宋体" w:hAnsi="宋体"/>
                <w:color w:val="FF0000"/>
                <w:szCs w:val="21"/>
              </w:rPr>
              <w:t>评价结果（标准指数）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0" w:type="auto"/>
            <w:vMerge w:val="continue"/>
            <w:vAlign w:val="center"/>
          </w:tcPr>
          <w:p>
            <w:pPr>
              <w:widowControl/>
              <w:jc w:val="left"/>
              <w:rPr>
                <w:color w:val="FF0000"/>
                <w:szCs w:val="21"/>
              </w:rPr>
            </w:pPr>
          </w:p>
        </w:tc>
        <w:tc>
          <w:tcPr>
            <w:tcW w:w="0" w:type="auto"/>
            <w:vMerge w:val="continue"/>
            <w:vAlign w:val="center"/>
          </w:tcPr>
          <w:p>
            <w:pPr>
              <w:widowControl/>
              <w:jc w:val="left"/>
              <w:rPr>
                <w:color w:val="FF0000"/>
                <w:szCs w:val="21"/>
              </w:rPr>
            </w:pPr>
          </w:p>
        </w:tc>
        <w:tc>
          <w:tcPr>
            <w:tcW w:w="352" w:type="pct"/>
            <w:vAlign w:val="center"/>
          </w:tcPr>
          <w:p>
            <w:pPr>
              <w:keepLines/>
              <w:jc w:val="center"/>
              <w:rPr>
                <w:color w:val="FF0000"/>
                <w:szCs w:val="21"/>
              </w:rPr>
            </w:pPr>
            <w:r>
              <w:rPr>
                <w:color w:val="FF0000"/>
                <w:szCs w:val="21"/>
              </w:rPr>
              <w:t>D1</w:t>
            </w:r>
          </w:p>
        </w:tc>
        <w:tc>
          <w:tcPr>
            <w:tcW w:w="352" w:type="pct"/>
            <w:vAlign w:val="center"/>
          </w:tcPr>
          <w:p>
            <w:pPr>
              <w:keepLines/>
              <w:jc w:val="center"/>
              <w:rPr>
                <w:color w:val="FF0000"/>
                <w:szCs w:val="21"/>
              </w:rPr>
            </w:pPr>
            <w:r>
              <w:rPr>
                <w:color w:val="FF0000"/>
                <w:szCs w:val="21"/>
              </w:rPr>
              <w:t>D2</w:t>
            </w:r>
          </w:p>
        </w:tc>
        <w:tc>
          <w:tcPr>
            <w:tcW w:w="352" w:type="pct"/>
            <w:vAlign w:val="center"/>
          </w:tcPr>
          <w:p>
            <w:pPr>
              <w:keepLines/>
              <w:jc w:val="center"/>
              <w:rPr>
                <w:color w:val="FF0000"/>
                <w:szCs w:val="21"/>
              </w:rPr>
            </w:pPr>
            <w:r>
              <w:rPr>
                <w:color w:val="FF0000"/>
                <w:szCs w:val="21"/>
              </w:rPr>
              <w:t>D3</w:t>
            </w:r>
          </w:p>
        </w:tc>
        <w:tc>
          <w:tcPr>
            <w:tcW w:w="352" w:type="pct"/>
            <w:vAlign w:val="center"/>
          </w:tcPr>
          <w:p>
            <w:pPr>
              <w:keepLines/>
              <w:jc w:val="center"/>
              <w:rPr>
                <w:color w:val="FF0000"/>
                <w:szCs w:val="21"/>
              </w:rPr>
            </w:pPr>
            <w:r>
              <w:rPr>
                <w:color w:val="FF0000"/>
                <w:szCs w:val="21"/>
              </w:rPr>
              <w:t>D4</w:t>
            </w:r>
          </w:p>
        </w:tc>
        <w:tc>
          <w:tcPr>
            <w:tcW w:w="352" w:type="pct"/>
            <w:vAlign w:val="center"/>
          </w:tcPr>
          <w:p>
            <w:pPr>
              <w:keepLines/>
              <w:jc w:val="center"/>
              <w:rPr>
                <w:color w:val="FF0000"/>
                <w:szCs w:val="21"/>
              </w:rPr>
            </w:pPr>
            <w:r>
              <w:rPr>
                <w:color w:val="FF0000"/>
                <w:szCs w:val="21"/>
              </w:rPr>
              <w:t>D5</w:t>
            </w:r>
          </w:p>
        </w:tc>
        <w:tc>
          <w:tcPr>
            <w:tcW w:w="352" w:type="pct"/>
            <w:vAlign w:val="center"/>
          </w:tcPr>
          <w:p>
            <w:pPr>
              <w:keepLines/>
              <w:jc w:val="center"/>
              <w:rPr>
                <w:color w:val="FF0000"/>
                <w:szCs w:val="21"/>
              </w:rPr>
            </w:pPr>
            <w:r>
              <w:rPr>
                <w:color w:val="FF0000"/>
                <w:szCs w:val="21"/>
              </w:rPr>
              <w:t>D6</w:t>
            </w:r>
          </w:p>
        </w:tc>
        <w:tc>
          <w:tcPr>
            <w:tcW w:w="360" w:type="pct"/>
            <w:vAlign w:val="center"/>
          </w:tcPr>
          <w:p>
            <w:pPr>
              <w:keepLines/>
              <w:jc w:val="center"/>
              <w:rPr>
                <w:color w:val="FF0000"/>
                <w:szCs w:val="21"/>
              </w:rPr>
            </w:pPr>
            <w:r>
              <w:rPr>
                <w:color w:val="FF0000"/>
                <w:szCs w:val="21"/>
              </w:rPr>
              <w:t>D7</w:t>
            </w:r>
          </w:p>
        </w:tc>
        <w:tc>
          <w:tcPr>
            <w:tcW w:w="0" w:type="auto"/>
            <w:vMerge w:val="continue"/>
            <w:vAlign w:val="center"/>
          </w:tcPr>
          <w:p>
            <w:pPr>
              <w:widowControl/>
              <w:jc w:val="left"/>
              <w:rPr>
                <w:color w:val="FF0000"/>
                <w:szCs w:val="21"/>
              </w:rPr>
            </w:pPr>
          </w:p>
        </w:tc>
        <w:tc>
          <w:tcPr>
            <w:tcW w:w="183" w:type="pct"/>
            <w:vAlign w:val="center"/>
          </w:tcPr>
          <w:p>
            <w:pPr>
              <w:keepLines/>
              <w:jc w:val="center"/>
              <w:rPr>
                <w:color w:val="FF0000"/>
                <w:szCs w:val="21"/>
              </w:rPr>
            </w:pPr>
            <w:r>
              <w:rPr>
                <w:color w:val="FF0000"/>
                <w:szCs w:val="21"/>
              </w:rPr>
              <w:t>D1</w:t>
            </w:r>
          </w:p>
        </w:tc>
        <w:tc>
          <w:tcPr>
            <w:tcW w:w="250" w:type="pct"/>
            <w:vAlign w:val="center"/>
          </w:tcPr>
          <w:p>
            <w:pPr>
              <w:keepLines/>
              <w:jc w:val="center"/>
              <w:rPr>
                <w:color w:val="FF0000"/>
                <w:szCs w:val="21"/>
              </w:rPr>
            </w:pPr>
            <w:r>
              <w:rPr>
                <w:color w:val="FF0000"/>
                <w:szCs w:val="21"/>
              </w:rPr>
              <w:t>D2</w:t>
            </w:r>
          </w:p>
        </w:tc>
        <w:tc>
          <w:tcPr>
            <w:tcW w:w="268" w:type="pct"/>
            <w:vAlign w:val="center"/>
          </w:tcPr>
          <w:p>
            <w:pPr>
              <w:keepLines/>
              <w:jc w:val="center"/>
              <w:rPr>
                <w:color w:val="FF0000"/>
                <w:szCs w:val="21"/>
              </w:rPr>
            </w:pPr>
            <w:r>
              <w:rPr>
                <w:color w:val="FF0000"/>
                <w:szCs w:val="21"/>
              </w:rPr>
              <w:t>D3</w:t>
            </w:r>
          </w:p>
        </w:tc>
        <w:tc>
          <w:tcPr>
            <w:tcW w:w="183" w:type="pct"/>
            <w:vAlign w:val="center"/>
          </w:tcPr>
          <w:p>
            <w:pPr>
              <w:keepLines/>
              <w:jc w:val="center"/>
              <w:rPr>
                <w:color w:val="FF0000"/>
                <w:szCs w:val="21"/>
              </w:rPr>
            </w:pPr>
            <w:r>
              <w:rPr>
                <w:color w:val="FF0000"/>
                <w:szCs w:val="21"/>
              </w:rPr>
              <w:t>D4</w:t>
            </w:r>
          </w:p>
        </w:tc>
        <w:tc>
          <w:tcPr>
            <w:tcW w:w="183" w:type="pct"/>
            <w:vAlign w:val="center"/>
          </w:tcPr>
          <w:p>
            <w:pPr>
              <w:keepLines/>
              <w:jc w:val="center"/>
              <w:rPr>
                <w:color w:val="FF0000"/>
                <w:szCs w:val="21"/>
              </w:rPr>
            </w:pPr>
            <w:r>
              <w:rPr>
                <w:color w:val="FF0000"/>
                <w:szCs w:val="21"/>
              </w:rPr>
              <w:t>D5</w:t>
            </w:r>
          </w:p>
        </w:tc>
        <w:tc>
          <w:tcPr>
            <w:tcW w:w="185" w:type="pct"/>
            <w:vAlign w:val="center"/>
          </w:tcPr>
          <w:p>
            <w:pPr>
              <w:keepLines/>
              <w:jc w:val="center"/>
              <w:rPr>
                <w:color w:val="FF0000"/>
                <w:szCs w:val="21"/>
              </w:rPr>
            </w:pPr>
            <w:r>
              <w:rPr>
                <w:color w:val="FF0000"/>
                <w:szCs w:val="21"/>
              </w:rPr>
              <w:t>D6</w:t>
            </w:r>
          </w:p>
        </w:tc>
        <w:tc>
          <w:tcPr>
            <w:tcW w:w="191" w:type="pct"/>
            <w:gridSpan w:val="2"/>
            <w:vAlign w:val="center"/>
          </w:tcPr>
          <w:p>
            <w:pPr>
              <w:keepLines/>
              <w:jc w:val="center"/>
              <w:rPr>
                <w:color w:val="FF0000"/>
                <w:szCs w:val="21"/>
              </w:rPr>
            </w:pPr>
            <w:r>
              <w:rPr>
                <w:color w:val="FF0000"/>
                <w:szCs w:val="21"/>
              </w:rPr>
              <w:t>D7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vertAlign w:val="superscript"/>
              </w:rPr>
            </w:pPr>
            <w:r>
              <w:rPr>
                <w:color w:val="FF0000"/>
                <w:szCs w:val="21"/>
              </w:rPr>
              <w:t>K</w:t>
            </w:r>
            <w:r>
              <w:rPr>
                <w:color w:val="FF0000"/>
                <w:szCs w:val="21"/>
                <w:vertAlign w:val="superscript"/>
              </w:rPr>
              <w:t>+</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16.3</w:t>
            </w:r>
          </w:p>
        </w:tc>
        <w:tc>
          <w:tcPr>
            <w:tcW w:w="352" w:type="pct"/>
            <w:vAlign w:val="center"/>
          </w:tcPr>
          <w:p>
            <w:pPr>
              <w:keepLines/>
              <w:jc w:val="center"/>
              <w:rPr>
                <w:color w:val="FF0000"/>
                <w:szCs w:val="21"/>
              </w:rPr>
            </w:pPr>
            <w:r>
              <w:rPr>
                <w:color w:val="FF0000"/>
                <w:szCs w:val="21"/>
              </w:rPr>
              <w:t>20.7</w:t>
            </w:r>
          </w:p>
        </w:tc>
        <w:tc>
          <w:tcPr>
            <w:tcW w:w="352" w:type="pct"/>
            <w:vAlign w:val="center"/>
          </w:tcPr>
          <w:p>
            <w:pPr>
              <w:keepLines/>
              <w:jc w:val="center"/>
              <w:rPr>
                <w:color w:val="FF0000"/>
                <w:szCs w:val="21"/>
              </w:rPr>
            </w:pPr>
            <w:r>
              <w:rPr>
                <w:color w:val="FF0000"/>
                <w:szCs w:val="21"/>
              </w:rPr>
              <w:t>19.9</w:t>
            </w:r>
          </w:p>
        </w:tc>
        <w:tc>
          <w:tcPr>
            <w:tcW w:w="352" w:type="pct"/>
            <w:vAlign w:val="center"/>
          </w:tcPr>
          <w:p>
            <w:pPr>
              <w:keepLines/>
              <w:jc w:val="center"/>
              <w:rPr>
                <w:color w:val="FF0000"/>
                <w:szCs w:val="21"/>
              </w:rPr>
            </w:pPr>
            <w:r>
              <w:rPr>
                <w:color w:val="FF0000"/>
                <w:szCs w:val="21"/>
              </w:rPr>
              <w:t>17.5</w:t>
            </w:r>
          </w:p>
        </w:tc>
        <w:tc>
          <w:tcPr>
            <w:tcW w:w="352" w:type="pct"/>
            <w:vAlign w:val="center"/>
          </w:tcPr>
          <w:p>
            <w:pPr>
              <w:keepLines/>
              <w:jc w:val="center"/>
              <w:rPr>
                <w:color w:val="FF0000"/>
                <w:szCs w:val="21"/>
              </w:rPr>
            </w:pPr>
            <w:r>
              <w:rPr>
                <w:color w:val="FF0000"/>
                <w:szCs w:val="21"/>
              </w:rPr>
              <w:t>19.5</w:t>
            </w:r>
          </w:p>
        </w:tc>
        <w:tc>
          <w:tcPr>
            <w:tcW w:w="352" w:type="pct"/>
            <w:vAlign w:val="center"/>
          </w:tcPr>
          <w:p>
            <w:pPr>
              <w:keepLines/>
              <w:jc w:val="center"/>
              <w:rPr>
                <w:color w:val="FF0000"/>
                <w:szCs w:val="21"/>
              </w:rPr>
            </w:pPr>
            <w:r>
              <w:rPr>
                <w:color w:val="FF0000"/>
                <w:szCs w:val="21"/>
              </w:rPr>
              <w:t>14.3</w:t>
            </w:r>
          </w:p>
        </w:tc>
        <w:tc>
          <w:tcPr>
            <w:tcW w:w="360" w:type="pct"/>
            <w:vAlign w:val="center"/>
          </w:tcPr>
          <w:p>
            <w:pPr>
              <w:keepLines/>
              <w:jc w:val="center"/>
              <w:rPr>
                <w:color w:val="FF0000"/>
                <w:szCs w:val="21"/>
              </w:rPr>
            </w:pPr>
            <w:r>
              <w:rPr>
                <w:color w:val="FF0000"/>
                <w:szCs w:val="21"/>
              </w:rPr>
              <w:t>20.3</w:t>
            </w:r>
          </w:p>
        </w:tc>
        <w:tc>
          <w:tcPr>
            <w:tcW w:w="236"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vertAlign w:val="superscript"/>
              </w:rPr>
            </w:pPr>
            <w:r>
              <w:rPr>
                <w:color w:val="FF0000"/>
                <w:szCs w:val="21"/>
              </w:rPr>
              <w:t>Na</w:t>
            </w:r>
            <w:r>
              <w:rPr>
                <w:color w:val="FF0000"/>
                <w:szCs w:val="21"/>
                <w:vertAlign w:val="superscript"/>
              </w:rPr>
              <w:t>+</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106</w:t>
            </w:r>
          </w:p>
        </w:tc>
        <w:tc>
          <w:tcPr>
            <w:tcW w:w="352" w:type="pct"/>
            <w:vAlign w:val="center"/>
          </w:tcPr>
          <w:p>
            <w:pPr>
              <w:keepLines/>
              <w:jc w:val="center"/>
              <w:rPr>
                <w:color w:val="FF0000"/>
                <w:szCs w:val="21"/>
              </w:rPr>
            </w:pPr>
            <w:r>
              <w:rPr>
                <w:color w:val="FF0000"/>
                <w:szCs w:val="21"/>
              </w:rPr>
              <w:t>109</w:t>
            </w:r>
          </w:p>
        </w:tc>
        <w:tc>
          <w:tcPr>
            <w:tcW w:w="352" w:type="pct"/>
            <w:vAlign w:val="center"/>
          </w:tcPr>
          <w:p>
            <w:pPr>
              <w:keepLines/>
              <w:jc w:val="center"/>
              <w:rPr>
                <w:color w:val="FF0000"/>
                <w:szCs w:val="21"/>
              </w:rPr>
            </w:pPr>
            <w:r>
              <w:rPr>
                <w:color w:val="FF0000"/>
                <w:szCs w:val="21"/>
              </w:rPr>
              <w:t>96.4</w:t>
            </w:r>
          </w:p>
        </w:tc>
        <w:tc>
          <w:tcPr>
            <w:tcW w:w="352" w:type="pct"/>
            <w:vAlign w:val="center"/>
          </w:tcPr>
          <w:p>
            <w:pPr>
              <w:keepLines/>
              <w:jc w:val="center"/>
              <w:rPr>
                <w:color w:val="FF0000"/>
                <w:szCs w:val="21"/>
              </w:rPr>
            </w:pPr>
            <w:r>
              <w:rPr>
                <w:color w:val="FF0000"/>
                <w:szCs w:val="21"/>
              </w:rPr>
              <w:t>125</w:t>
            </w:r>
          </w:p>
        </w:tc>
        <w:tc>
          <w:tcPr>
            <w:tcW w:w="352" w:type="pct"/>
            <w:vAlign w:val="center"/>
          </w:tcPr>
          <w:p>
            <w:pPr>
              <w:keepLines/>
              <w:jc w:val="center"/>
              <w:rPr>
                <w:color w:val="FF0000"/>
                <w:szCs w:val="21"/>
              </w:rPr>
            </w:pPr>
            <w:r>
              <w:rPr>
                <w:color w:val="FF0000"/>
                <w:szCs w:val="21"/>
              </w:rPr>
              <w:t>84.3</w:t>
            </w:r>
          </w:p>
        </w:tc>
        <w:tc>
          <w:tcPr>
            <w:tcW w:w="352" w:type="pct"/>
            <w:vAlign w:val="center"/>
          </w:tcPr>
          <w:p>
            <w:pPr>
              <w:keepLines/>
              <w:jc w:val="center"/>
              <w:rPr>
                <w:color w:val="FF0000"/>
                <w:szCs w:val="21"/>
              </w:rPr>
            </w:pPr>
            <w:r>
              <w:rPr>
                <w:color w:val="FF0000"/>
                <w:szCs w:val="21"/>
              </w:rPr>
              <w:t>106</w:t>
            </w:r>
          </w:p>
        </w:tc>
        <w:tc>
          <w:tcPr>
            <w:tcW w:w="360" w:type="pct"/>
            <w:vAlign w:val="center"/>
          </w:tcPr>
          <w:p>
            <w:pPr>
              <w:keepLines/>
              <w:jc w:val="center"/>
              <w:rPr>
                <w:color w:val="FF0000"/>
                <w:szCs w:val="21"/>
              </w:rPr>
            </w:pPr>
            <w:r>
              <w:rPr>
                <w:color w:val="FF0000"/>
                <w:szCs w:val="21"/>
              </w:rPr>
              <w:t>151</w:t>
            </w:r>
          </w:p>
        </w:tc>
        <w:tc>
          <w:tcPr>
            <w:tcW w:w="236" w:type="pct"/>
            <w:vAlign w:val="center"/>
          </w:tcPr>
          <w:p>
            <w:pPr>
              <w:keepLines/>
              <w:jc w:val="center"/>
              <w:rPr>
                <w:color w:val="FF0000"/>
                <w:szCs w:val="21"/>
              </w:rPr>
            </w:pPr>
            <w:r>
              <w:rPr>
                <w:color w:val="FF0000"/>
                <w:szCs w:val="21"/>
              </w:rPr>
              <w:t>200</w:t>
            </w:r>
          </w:p>
        </w:tc>
        <w:tc>
          <w:tcPr>
            <w:tcW w:w="183" w:type="pct"/>
          </w:tcPr>
          <w:p>
            <w:pPr>
              <w:keepLines/>
              <w:jc w:val="center"/>
              <w:rPr>
                <w:color w:val="FF0000"/>
                <w:szCs w:val="21"/>
              </w:rPr>
            </w:pPr>
            <w:r>
              <w:rPr>
                <w:color w:val="FF0000"/>
              </w:rPr>
              <w:t xml:space="preserve">0.53 </w:t>
            </w:r>
          </w:p>
        </w:tc>
        <w:tc>
          <w:tcPr>
            <w:tcW w:w="250" w:type="pct"/>
          </w:tcPr>
          <w:p>
            <w:pPr>
              <w:keepLines/>
              <w:jc w:val="center"/>
              <w:rPr>
                <w:color w:val="FF0000"/>
                <w:szCs w:val="21"/>
              </w:rPr>
            </w:pPr>
            <w:r>
              <w:rPr>
                <w:color w:val="FF0000"/>
              </w:rPr>
              <w:t xml:space="preserve">0.55 </w:t>
            </w:r>
          </w:p>
        </w:tc>
        <w:tc>
          <w:tcPr>
            <w:tcW w:w="268" w:type="pct"/>
          </w:tcPr>
          <w:p>
            <w:pPr>
              <w:keepLines/>
              <w:jc w:val="center"/>
              <w:rPr>
                <w:color w:val="FF0000"/>
                <w:szCs w:val="21"/>
              </w:rPr>
            </w:pPr>
            <w:r>
              <w:rPr>
                <w:color w:val="FF0000"/>
              </w:rPr>
              <w:t xml:space="preserve">0.48 </w:t>
            </w:r>
          </w:p>
        </w:tc>
        <w:tc>
          <w:tcPr>
            <w:tcW w:w="183" w:type="pct"/>
          </w:tcPr>
          <w:p>
            <w:pPr>
              <w:keepLines/>
              <w:jc w:val="center"/>
              <w:rPr>
                <w:color w:val="FF0000"/>
                <w:szCs w:val="21"/>
              </w:rPr>
            </w:pPr>
            <w:r>
              <w:rPr>
                <w:color w:val="FF0000"/>
              </w:rPr>
              <w:t xml:space="preserve">0.63 </w:t>
            </w:r>
          </w:p>
        </w:tc>
        <w:tc>
          <w:tcPr>
            <w:tcW w:w="183" w:type="pct"/>
          </w:tcPr>
          <w:p>
            <w:pPr>
              <w:keepLines/>
              <w:jc w:val="center"/>
              <w:rPr>
                <w:color w:val="FF0000"/>
                <w:szCs w:val="21"/>
              </w:rPr>
            </w:pPr>
            <w:r>
              <w:rPr>
                <w:color w:val="FF0000"/>
              </w:rPr>
              <w:t xml:space="preserve">0.42 </w:t>
            </w:r>
          </w:p>
        </w:tc>
        <w:tc>
          <w:tcPr>
            <w:tcW w:w="185" w:type="pct"/>
          </w:tcPr>
          <w:p>
            <w:pPr>
              <w:keepLines/>
              <w:jc w:val="center"/>
              <w:rPr>
                <w:color w:val="FF0000"/>
                <w:szCs w:val="21"/>
              </w:rPr>
            </w:pPr>
            <w:r>
              <w:rPr>
                <w:color w:val="FF0000"/>
              </w:rPr>
              <w:t xml:space="preserve">0.53 </w:t>
            </w:r>
          </w:p>
        </w:tc>
        <w:tc>
          <w:tcPr>
            <w:tcW w:w="191" w:type="pct"/>
            <w:gridSpan w:val="2"/>
          </w:tcPr>
          <w:p>
            <w:pPr>
              <w:keepLines/>
              <w:jc w:val="center"/>
              <w:rPr>
                <w:color w:val="FF0000"/>
                <w:szCs w:val="21"/>
              </w:rPr>
            </w:pPr>
            <w:r>
              <w:rPr>
                <w:color w:val="FF0000"/>
              </w:rPr>
              <w:t xml:space="preserve">0.76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vertAlign w:val="superscript"/>
              </w:rPr>
            </w:pPr>
            <w:r>
              <w:rPr>
                <w:color w:val="FF0000"/>
                <w:szCs w:val="21"/>
              </w:rPr>
              <w:t>Ca</w:t>
            </w:r>
            <w:r>
              <w:rPr>
                <w:color w:val="FF0000"/>
                <w:szCs w:val="21"/>
                <w:vertAlign w:val="superscript"/>
              </w:rPr>
              <w:t>2+</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73.4</w:t>
            </w:r>
          </w:p>
        </w:tc>
        <w:tc>
          <w:tcPr>
            <w:tcW w:w="352" w:type="pct"/>
            <w:vAlign w:val="center"/>
          </w:tcPr>
          <w:p>
            <w:pPr>
              <w:keepLines/>
              <w:jc w:val="center"/>
              <w:rPr>
                <w:color w:val="FF0000"/>
                <w:szCs w:val="21"/>
              </w:rPr>
            </w:pPr>
            <w:r>
              <w:rPr>
                <w:color w:val="FF0000"/>
                <w:szCs w:val="21"/>
              </w:rPr>
              <w:t>99.1</w:t>
            </w:r>
          </w:p>
        </w:tc>
        <w:tc>
          <w:tcPr>
            <w:tcW w:w="352" w:type="pct"/>
            <w:vAlign w:val="center"/>
          </w:tcPr>
          <w:p>
            <w:pPr>
              <w:keepLines/>
              <w:jc w:val="center"/>
              <w:rPr>
                <w:color w:val="FF0000"/>
                <w:szCs w:val="21"/>
              </w:rPr>
            </w:pPr>
            <w:r>
              <w:rPr>
                <w:color w:val="FF0000"/>
                <w:szCs w:val="21"/>
              </w:rPr>
              <w:t>85.9</w:t>
            </w:r>
          </w:p>
        </w:tc>
        <w:tc>
          <w:tcPr>
            <w:tcW w:w="352" w:type="pct"/>
            <w:vAlign w:val="center"/>
          </w:tcPr>
          <w:p>
            <w:pPr>
              <w:keepLines/>
              <w:jc w:val="center"/>
              <w:rPr>
                <w:color w:val="FF0000"/>
                <w:szCs w:val="21"/>
              </w:rPr>
            </w:pPr>
            <w:r>
              <w:rPr>
                <w:color w:val="FF0000"/>
                <w:szCs w:val="21"/>
              </w:rPr>
              <w:t>86.9</w:t>
            </w:r>
          </w:p>
        </w:tc>
        <w:tc>
          <w:tcPr>
            <w:tcW w:w="352" w:type="pct"/>
            <w:vAlign w:val="center"/>
          </w:tcPr>
          <w:p>
            <w:pPr>
              <w:keepLines/>
              <w:jc w:val="center"/>
              <w:rPr>
                <w:color w:val="FF0000"/>
                <w:szCs w:val="21"/>
              </w:rPr>
            </w:pPr>
            <w:r>
              <w:rPr>
                <w:color w:val="FF0000"/>
                <w:szCs w:val="21"/>
              </w:rPr>
              <w:t>95.1</w:t>
            </w:r>
          </w:p>
        </w:tc>
        <w:tc>
          <w:tcPr>
            <w:tcW w:w="352" w:type="pct"/>
            <w:vAlign w:val="center"/>
          </w:tcPr>
          <w:p>
            <w:pPr>
              <w:keepLines/>
              <w:jc w:val="center"/>
              <w:rPr>
                <w:color w:val="FF0000"/>
                <w:szCs w:val="21"/>
              </w:rPr>
            </w:pPr>
            <w:r>
              <w:rPr>
                <w:color w:val="FF0000"/>
                <w:szCs w:val="21"/>
              </w:rPr>
              <w:t>153</w:t>
            </w:r>
          </w:p>
        </w:tc>
        <w:tc>
          <w:tcPr>
            <w:tcW w:w="360" w:type="pct"/>
            <w:vAlign w:val="center"/>
          </w:tcPr>
          <w:p>
            <w:pPr>
              <w:keepLines/>
              <w:jc w:val="center"/>
              <w:rPr>
                <w:color w:val="FF0000"/>
                <w:szCs w:val="21"/>
              </w:rPr>
            </w:pPr>
            <w:r>
              <w:rPr>
                <w:color w:val="FF0000"/>
                <w:szCs w:val="21"/>
              </w:rPr>
              <w:t>98.6</w:t>
            </w:r>
          </w:p>
        </w:tc>
        <w:tc>
          <w:tcPr>
            <w:tcW w:w="236"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vertAlign w:val="superscript"/>
              </w:rPr>
            </w:pPr>
            <w:r>
              <w:rPr>
                <w:color w:val="FF0000"/>
                <w:szCs w:val="21"/>
              </w:rPr>
              <w:t>Mg</w:t>
            </w:r>
            <w:r>
              <w:rPr>
                <w:color w:val="FF0000"/>
                <w:szCs w:val="21"/>
                <w:vertAlign w:val="superscript"/>
              </w:rPr>
              <w:t>2+</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19.9</w:t>
            </w:r>
          </w:p>
        </w:tc>
        <w:tc>
          <w:tcPr>
            <w:tcW w:w="352" w:type="pct"/>
            <w:vAlign w:val="center"/>
          </w:tcPr>
          <w:p>
            <w:pPr>
              <w:keepLines/>
              <w:jc w:val="center"/>
              <w:rPr>
                <w:color w:val="FF0000"/>
                <w:szCs w:val="21"/>
              </w:rPr>
            </w:pPr>
            <w:r>
              <w:rPr>
                <w:color w:val="FF0000"/>
                <w:szCs w:val="21"/>
              </w:rPr>
              <w:t>52</w:t>
            </w:r>
          </w:p>
        </w:tc>
        <w:tc>
          <w:tcPr>
            <w:tcW w:w="352" w:type="pct"/>
            <w:vAlign w:val="center"/>
          </w:tcPr>
          <w:p>
            <w:pPr>
              <w:keepLines/>
              <w:jc w:val="center"/>
              <w:rPr>
                <w:color w:val="FF0000"/>
                <w:szCs w:val="21"/>
              </w:rPr>
            </w:pPr>
            <w:r>
              <w:rPr>
                <w:color w:val="FF0000"/>
                <w:szCs w:val="21"/>
              </w:rPr>
              <w:t>41.5</w:t>
            </w:r>
          </w:p>
        </w:tc>
        <w:tc>
          <w:tcPr>
            <w:tcW w:w="352" w:type="pct"/>
            <w:vAlign w:val="center"/>
          </w:tcPr>
          <w:p>
            <w:pPr>
              <w:keepLines/>
              <w:jc w:val="center"/>
              <w:rPr>
                <w:color w:val="FF0000"/>
                <w:szCs w:val="21"/>
              </w:rPr>
            </w:pPr>
            <w:r>
              <w:rPr>
                <w:color w:val="FF0000"/>
                <w:szCs w:val="21"/>
              </w:rPr>
              <w:t>38.6</w:t>
            </w:r>
          </w:p>
        </w:tc>
        <w:tc>
          <w:tcPr>
            <w:tcW w:w="352" w:type="pct"/>
            <w:vAlign w:val="center"/>
          </w:tcPr>
          <w:p>
            <w:pPr>
              <w:keepLines/>
              <w:jc w:val="center"/>
              <w:rPr>
                <w:color w:val="FF0000"/>
                <w:szCs w:val="21"/>
              </w:rPr>
            </w:pPr>
            <w:r>
              <w:rPr>
                <w:color w:val="FF0000"/>
                <w:szCs w:val="21"/>
              </w:rPr>
              <w:t>38.0</w:t>
            </w:r>
          </w:p>
        </w:tc>
        <w:tc>
          <w:tcPr>
            <w:tcW w:w="352" w:type="pct"/>
            <w:vAlign w:val="center"/>
          </w:tcPr>
          <w:p>
            <w:pPr>
              <w:keepLines/>
              <w:jc w:val="center"/>
              <w:rPr>
                <w:color w:val="FF0000"/>
                <w:szCs w:val="21"/>
              </w:rPr>
            </w:pPr>
            <w:r>
              <w:rPr>
                <w:color w:val="FF0000"/>
                <w:szCs w:val="21"/>
              </w:rPr>
              <w:t>38.4</w:t>
            </w:r>
          </w:p>
        </w:tc>
        <w:tc>
          <w:tcPr>
            <w:tcW w:w="360" w:type="pct"/>
            <w:vAlign w:val="center"/>
          </w:tcPr>
          <w:p>
            <w:pPr>
              <w:keepLines/>
              <w:jc w:val="center"/>
              <w:rPr>
                <w:color w:val="FF0000"/>
                <w:szCs w:val="21"/>
              </w:rPr>
            </w:pPr>
            <w:r>
              <w:rPr>
                <w:color w:val="FF0000"/>
                <w:szCs w:val="21"/>
              </w:rPr>
              <w:t>9.6</w:t>
            </w:r>
          </w:p>
        </w:tc>
        <w:tc>
          <w:tcPr>
            <w:tcW w:w="236"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color w:val="FF0000"/>
                <w:szCs w:val="21"/>
              </w:rPr>
              <w:t>CO</w:t>
            </w:r>
            <w:r>
              <w:rPr>
                <w:color w:val="FF0000"/>
                <w:szCs w:val="21"/>
                <w:vertAlign w:val="subscript"/>
              </w:rPr>
              <w:t>3</w:t>
            </w:r>
            <w:r>
              <w:rPr>
                <w:color w:val="FF0000"/>
                <w:szCs w:val="21"/>
                <w:vertAlign w:val="superscript"/>
              </w:rPr>
              <w:t>2-</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w:t>
            </w:r>
          </w:p>
        </w:tc>
        <w:tc>
          <w:tcPr>
            <w:tcW w:w="352" w:type="pct"/>
            <w:vAlign w:val="center"/>
          </w:tcPr>
          <w:p>
            <w:pPr>
              <w:keepLines/>
              <w:jc w:val="center"/>
              <w:rPr>
                <w:color w:val="FF0000"/>
                <w:szCs w:val="21"/>
              </w:rPr>
            </w:pPr>
            <w:r>
              <w:rPr>
                <w:color w:val="FF0000"/>
                <w:szCs w:val="21"/>
              </w:rPr>
              <w:t>0</w:t>
            </w:r>
          </w:p>
        </w:tc>
        <w:tc>
          <w:tcPr>
            <w:tcW w:w="352" w:type="pct"/>
            <w:vAlign w:val="center"/>
          </w:tcPr>
          <w:p>
            <w:pPr>
              <w:keepLines/>
              <w:jc w:val="center"/>
              <w:rPr>
                <w:color w:val="FF0000"/>
                <w:szCs w:val="21"/>
              </w:rPr>
            </w:pPr>
            <w:r>
              <w:rPr>
                <w:color w:val="FF0000"/>
                <w:szCs w:val="21"/>
              </w:rPr>
              <w:t>0</w:t>
            </w:r>
          </w:p>
        </w:tc>
        <w:tc>
          <w:tcPr>
            <w:tcW w:w="352" w:type="pct"/>
            <w:vAlign w:val="center"/>
          </w:tcPr>
          <w:p>
            <w:pPr>
              <w:keepLines/>
              <w:jc w:val="center"/>
              <w:rPr>
                <w:color w:val="FF0000"/>
                <w:szCs w:val="21"/>
              </w:rPr>
            </w:pPr>
            <w:r>
              <w:rPr>
                <w:color w:val="FF0000"/>
                <w:szCs w:val="21"/>
              </w:rPr>
              <w:t>0</w:t>
            </w:r>
          </w:p>
        </w:tc>
        <w:tc>
          <w:tcPr>
            <w:tcW w:w="352" w:type="pct"/>
            <w:vAlign w:val="center"/>
          </w:tcPr>
          <w:p>
            <w:pPr>
              <w:keepLines/>
              <w:jc w:val="center"/>
              <w:rPr>
                <w:color w:val="FF0000"/>
                <w:szCs w:val="21"/>
              </w:rPr>
            </w:pPr>
            <w:r>
              <w:rPr>
                <w:color w:val="FF0000"/>
                <w:szCs w:val="21"/>
              </w:rPr>
              <w:t>0</w:t>
            </w:r>
          </w:p>
        </w:tc>
        <w:tc>
          <w:tcPr>
            <w:tcW w:w="352" w:type="pct"/>
            <w:vAlign w:val="center"/>
          </w:tcPr>
          <w:p>
            <w:pPr>
              <w:keepLines/>
              <w:jc w:val="center"/>
              <w:rPr>
                <w:color w:val="FF0000"/>
                <w:szCs w:val="21"/>
              </w:rPr>
            </w:pPr>
            <w:r>
              <w:rPr>
                <w:color w:val="FF0000"/>
                <w:szCs w:val="21"/>
              </w:rPr>
              <w:t>0</w:t>
            </w:r>
          </w:p>
        </w:tc>
        <w:tc>
          <w:tcPr>
            <w:tcW w:w="360" w:type="pct"/>
            <w:vAlign w:val="center"/>
          </w:tcPr>
          <w:p>
            <w:pPr>
              <w:keepLines/>
              <w:jc w:val="center"/>
              <w:rPr>
                <w:color w:val="FF0000"/>
                <w:szCs w:val="21"/>
              </w:rPr>
            </w:pPr>
            <w:r>
              <w:rPr>
                <w:color w:val="FF0000"/>
                <w:szCs w:val="21"/>
              </w:rPr>
              <w:t>0</w:t>
            </w:r>
          </w:p>
        </w:tc>
        <w:tc>
          <w:tcPr>
            <w:tcW w:w="236"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color w:val="FF0000"/>
                <w:szCs w:val="21"/>
              </w:rPr>
              <w:t>HCO</w:t>
            </w:r>
            <w:r>
              <w:rPr>
                <w:color w:val="FF0000"/>
                <w:szCs w:val="21"/>
                <w:vertAlign w:val="subscript"/>
              </w:rPr>
              <w:t>3</w:t>
            </w:r>
            <w:r>
              <w:rPr>
                <w:color w:val="FF0000"/>
                <w:szCs w:val="21"/>
                <w:vertAlign w:val="superscript"/>
              </w:rPr>
              <w:t>-</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490</w:t>
            </w:r>
          </w:p>
        </w:tc>
        <w:tc>
          <w:tcPr>
            <w:tcW w:w="352" w:type="pct"/>
            <w:vAlign w:val="center"/>
          </w:tcPr>
          <w:p>
            <w:pPr>
              <w:keepLines/>
              <w:jc w:val="center"/>
              <w:rPr>
                <w:color w:val="FF0000"/>
                <w:szCs w:val="21"/>
              </w:rPr>
            </w:pPr>
            <w:r>
              <w:rPr>
                <w:color w:val="FF0000"/>
                <w:szCs w:val="21"/>
              </w:rPr>
              <w:t>639</w:t>
            </w:r>
          </w:p>
        </w:tc>
        <w:tc>
          <w:tcPr>
            <w:tcW w:w="352" w:type="pct"/>
            <w:vAlign w:val="center"/>
          </w:tcPr>
          <w:p>
            <w:pPr>
              <w:keepLines/>
              <w:jc w:val="center"/>
              <w:rPr>
                <w:color w:val="FF0000"/>
                <w:szCs w:val="21"/>
              </w:rPr>
            </w:pPr>
            <w:r>
              <w:rPr>
                <w:color w:val="FF0000"/>
                <w:szCs w:val="21"/>
              </w:rPr>
              <w:t>519</w:t>
            </w:r>
          </w:p>
        </w:tc>
        <w:tc>
          <w:tcPr>
            <w:tcW w:w="352" w:type="pct"/>
            <w:vAlign w:val="center"/>
          </w:tcPr>
          <w:p>
            <w:pPr>
              <w:keepLines/>
              <w:jc w:val="center"/>
              <w:rPr>
                <w:color w:val="FF0000"/>
                <w:szCs w:val="21"/>
              </w:rPr>
            </w:pPr>
            <w:r>
              <w:rPr>
                <w:color w:val="FF0000"/>
                <w:szCs w:val="21"/>
              </w:rPr>
              <w:t>590</w:t>
            </w:r>
          </w:p>
        </w:tc>
        <w:tc>
          <w:tcPr>
            <w:tcW w:w="352" w:type="pct"/>
            <w:vAlign w:val="center"/>
          </w:tcPr>
          <w:p>
            <w:pPr>
              <w:keepLines/>
              <w:jc w:val="center"/>
              <w:rPr>
                <w:color w:val="FF0000"/>
                <w:szCs w:val="21"/>
              </w:rPr>
            </w:pPr>
            <w:r>
              <w:rPr>
                <w:color w:val="FF0000"/>
                <w:szCs w:val="21"/>
              </w:rPr>
              <w:t>608</w:t>
            </w:r>
          </w:p>
        </w:tc>
        <w:tc>
          <w:tcPr>
            <w:tcW w:w="352" w:type="pct"/>
            <w:vAlign w:val="center"/>
          </w:tcPr>
          <w:p>
            <w:pPr>
              <w:keepLines/>
              <w:jc w:val="center"/>
              <w:rPr>
                <w:color w:val="FF0000"/>
                <w:szCs w:val="21"/>
              </w:rPr>
            </w:pPr>
            <w:r>
              <w:rPr>
                <w:color w:val="FF0000"/>
                <w:szCs w:val="21"/>
              </w:rPr>
              <w:t>324</w:t>
            </w:r>
          </w:p>
        </w:tc>
        <w:tc>
          <w:tcPr>
            <w:tcW w:w="360" w:type="pct"/>
            <w:vAlign w:val="center"/>
          </w:tcPr>
          <w:p>
            <w:pPr>
              <w:keepLines/>
              <w:jc w:val="center"/>
              <w:rPr>
                <w:color w:val="FF0000"/>
                <w:szCs w:val="21"/>
              </w:rPr>
            </w:pPr>
            <w:r>
              <w:rPr>
                <w:color w:val="FF0000"/>
                <w:szCs w:val="21"/>
              </w:rPr>
              <w:t>654</w:t>
            </w:r>
          </w:p>
        </w:tc>
        <w:tc>
          <w:tcPr>
            <w:tcW w:w="236"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vertAlign w:val="superscript"/>
              </w:rPr>
            </w:pPr>
            <w:r>
              <w:rPr>
                <w:color w:val="FF0000"/>
                <w:szCs w:val="21"/>
              </w:rPr>
              <w:t>Cl</w:t>
            </w:r>
            <w:r>
              <w:rPr>
                <w:color w:val="FF0000"/>
                <w:szCs w:val="21"/>
                <w:vertAlign w:val="superscript"/>
              </w:rPr>
              <w:t>-</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66</w:t>
            </w:r>
          </w:p>
        </w:tc>
        <w:tc>
          <w:tcPr>
            <w:tcW w:w="352" w:type="pct"/>
            <w:vAlign w:val="center"/>
          </w:tcPr>
          <w:p>
            <w:pPr>
              <w:keepLines/>
              <w:jc w:val="center"/>
              <w:rPr>
                <w:color w:val="FF0000"/>
                <w:szCs w:val="21"/>
              </w:rPr>
            </w:pPr>
            <w:r>
              <w:rPr>
                <w:color w:val="FF0000"/>
                <w:szCs w:val="21"/>
              </w:rPr>
              <w:t>94.8</w:t>
            </w:r>
          </w:p>
        </w:tc>
        <w:tc>
          <w:tcPr>
            <w:tcW w:w="352" w:type="pct"/>
            <w:vAlign w:val="center"/>
          </w:tcPr>
          <w:p>
            <w:pPr>
              <w:keepLines/>
              <w:jc w:val="center"/>
              <w:rPr>
                <w:color w:val="FF0000"/>
                <w:szCs w:val="21"/>
              </w:rPr>
            </w:pPr>
            <w:r>
              <w:rPr>
                <w:color w:val="FF0000"/>
                <w:szCs w:val="21"/>
              </w:rPr>
              <w:t>85.8</w:t>
            </w:r>
          </w:p>
        </w:tc>
        <w:tc>
          <w:tcPr>
            <w:tcW w:w="352" w:type="pct"/>
            <w:vAlign w:val="center"/>
          </w:tcPr>
          <w:p>
            <w:pPr>
              <w:keepLines/>
              <w:jc w:val="center"/>
              <w:rPr>
                <w:color w:val="FF0000"/>
                <w:szCs w:val="21"/>
              </w:rPr>
            </w:pPr>
            <w:r>
              <w:rPr>
                <w:color w:val="FF0000"/>
                <w:szCs w:val="21"/>
              </w:rPr>
              <w:t>55.2</w:t>
            </w:r>
          </w:p>
        </w:tc>
        <w:tc>
          <w:tcPr>
            <w:tcW w:w="352" w:type="pct"/>
            <w:vAlign w:val="center"/>
          </w:tcPr>
          <w:p>
            <w:pPr>
              <w:keepLines/>
              <w:jc w:val="center"/>
              <w:rPr>
                <w:color w:val="FF0000"/>
                <w:szCs w:val="21"/>
              </w:rPr>
            </w:pPr>
            <w:r>
              <w:rPr>
                <w:color w:val="FF0000"/>
                <w:szCs w:val="21"/>
              </w:rPr>
              <w:t>42.6</w:t>
            </w:r>
          </w:p>
        </w:tc>
        <w:tc>
          <w:tcPr>
            <w:tcW w:w="352" w:type="pct"/>
            <w:vAlign w:val="center"/>
          </w:tcPr>
          <w:p>
            <w:pPr>
              <w:keepLines/>
              <w:jc w:val="center"/>
              <w:rPr>
                <w:color w:val="FF0000"/>
                <w:szCs w:val="21"/>
              </w:rPr>
            </w:pPr>
            <w:r>
              <w:rPr>
                <w:color w:val="FF0000"/>
                <w:szCs w:val="21"/>
              </w:rPr>
              <w:t>96.1</w:t>
            </w:r>
          </w:p>
        </w:tc>
        <w:tc>
          <w:tcPr>
            <w:tcW w:w="360" w:type="pct"/>
            <w:vAlign w:val="center"/>
          </w:tcPr>
          <w:p>
            <w:pPr>
              <w:keepLines/>
              <w:jc w:val="center"/>
              <w:rPr>
                <w:color w:val="FF0000"/>
                <w:szCs w:val="21"/>
              </w:rPr>
            </w:pPr>
            <w:r>
              <w:rPr>
                <w:color w:val="FF0000"/>
                <w:szCs w:val="21"/>
              </w:rPr>
              <w:t>59.5</w:t>
            </w:r>
          </w:p>
        </w:tc>
        <w:tc>
          <w:tcPr>
            <w:tcW w:w="236"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vertAlign w:val="superscript"/>
              </w:rPr>
            </w:pPr>
            <w:r>
              <w:rPr>
                <w:color w:val="FF0000"/>
                <w:szCs w:val="21"/>
              </w:rPr>
              <w:t>SO</w:t>
            </w:r>
            <w:r>
              <w:rPr>
                <w:color w:val="FF0000"/>
                <w:szCs w:val="21"/>
                <w:vertAlign w:val="subscript"/>
              </w:rPr>
              <w:t>4</w:t>
            </w:r>
            <w:r>
              <w:rPr>
                <w:color w:val="FF0000"/>
                <w:szCs w:val="21"/>
                <w:vertAlign w:val="superscript"/>
              </w:rPr>
              <w:t>2-</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77.5</w:t>
            </w:r>
          </w:p>
        </w:tc>
        <w:tc>
          <w:tcPr>
            <w:tcW w:w="352" w:type="pct"/>
            <w:vAlign w:val="center"/>
          </w:tcPr>
          <w:p>
            <w:pPr>
              <w:keepLines/>
              <w:jc w:val="center"/>
              <w:rPr>
                <w:color w:val="FF0000"/>
                <w:szCs w:val="21"/>
              </w:rPr>
            </w:pPr>
            <w:r>
              <w:rPr>
                <w:color w:val="FF0000"/>
                <w:szCs w:val="21"/>
              </w:rPr>
              <w:t>82.9</w:t>
            </w:r>
          </w:p>
        </w:tc>
        <w:tc>
          <w:tcPr>
            <w:tcW w:w="352" w:type="pct"/>
            <w:vAlign w:val="center"/>
          </w:tcPr>
          <w:p>
            <w:pPr>
              <w:keepLines/>
              <w:jc w:val="center"/>
              <w:rPr>
                <w:color w:val="FF0000"/>
                <w:szCs w:val="21"/>
              </w:rPr>
            </w:pPr>
            <w:r>
              <w:rPr>
                <w:color w:val="FF0000"/>
                <w:szCs w:val="21"/>
              </w:rPr>
              <w:t>63</w:t>
            </w:r>
          </w:p>
        </w:tc>
        <w:tc>
          <w:tcPr>
            <w:tcW w:w="352" w:type="pct"/>
            <w:vAlign w:val="center"/>
          </w:tcPr>
          <w:p>
            <w:pPr>
              <w:keepLines/>
              <w:jc w:val="center"/>
              <w:rPr>
                <w:color w:val="FF0000"/>
                <w:szCs w:val="21"/>
              </w:rPr>
            </w:pPr>
            <w:r>
              <w:rPr>
                <w:color w:val="FF0000"/>
                <w:szCs w:val="21"/>
              </w:rPr>
              <w:t>73.8</w:t>
            </w:r>
          </w:p>
        </w:tc>
        <w:tc>
          <w:tcPr>
            <w:tcW w:w="352" w:type="pct"/>
            <w:vAlign w:val="center"/>
          </w:tcPr>
          <w:p>
            <w:pPr>
              <w:keepLines/>
              <w:jc w:val="center"/>
              <w:rPr>
                <w:color w:val="FF0000"/>
                <w:szCs w:val="21"/>
              </w:rPr>
            </w:pPr>
            <w:r>
              <w:rPr>
                <w:color w:val="FF0000"/>
                <w:szCs w:val="21"/>
              </w:rPr>
              <w:t>66.2</w:t>
            </w:r>
          </w:p>
        </w:tc>
        <w:tc>
          <w:tcPr>
            <w:tcW w:w="352" w:type="pct"/>
            <w:vAlign w:val="center"/>
          </w:tcPr>
          <w:p>
            <w:pPr>
              <w:keepLines/>
              <w:jc w:val="center"/>
              <w:rPr>
                <w:color w:val="FF0000"/>
                <w:szCs w:val="21"/>
              </w:rPr>
            </w:pPr>
            <w:r>
              <w:rPr>
                <w:color w:val="FF0000"/>
                <w:szCs w:val="21"/>
              </w:rPr>
              <w:t>137</w:t>
            </w:r>
          </w:p>
        </w:tc>
        <w:tc>
          <w:tcPr>
            <w:tcW w:w="360" w:type="pct"/>
            <w:vAlign w:val="center"/>
          </w:tcPr>
          <w:p>
            <w:pPr>
              <w:keepLines/>
              <w:jc w:val="center"/>
              <w:rPr>
                <w:color w:val="FF0000"/>
                <w:szCs w:val="21"/>
              </w:rPr>
            </w:pPr>
            <w:r>
              <w:rPr>
                <w:color w:val="FF0000"/>
                <w:szCs w:val="21"/>
              </w:rPr>
              <w:t>81.1</w:t>
            </w:r>
          </w:p>
        </w:tc>
        <w:tc>
          <w:tcPr>
            <w:tcW w:w="236"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color w:val="FF0000"/>
                <w:szCs w:val="21"/>
              </w:rPr>
              <w:t>pH</w:t>
            </w:r>
          </w:p>
        </w:tc>
        <w:tc>
          <w:tcPr>
            <w:tcW w:w="403" w:type="pct"/>
            <w:vAlign w:val="center"/>
          </w:tcPr>
          <w:p>
            <w:pPr>
              <w:keepLines/>
              <w:jc w:val="center"/>
              <w:rPr>
                <w:color w:val="FF0000"/>
                <w:szCs w:val="21"/>
              </w:rPr>
            </w:pPr>
            <w:r>
              <w:rPr>
                <w:rFonts w:ascii="宋体" w:hAnsi="宋体"/>
                <w:color w:val="FF0000"/>
                <w:szCs w:val="21"/>
              </w:rPr>
              <w:t>无量纲</w:t>
            </w:r>
          </w:p>
        </w:tc>
        <w:tc>
          <w:tcPr>
            <w:tcW w:w="352" w:type="pct"/>
            <w:vAlign w:val="center"/>
          </w:tcPr>
          <w:p>
            <w:pPr>
              <w:keepLines/>
              <w:jc w:val="center"/>
              <w:rPr>
                <w:color w:val="FF0000"/>
                <w:szCs w:val="21"/>
              </w:rPr>
            </w:pPr>
            <w:r>
              <w:rPr>
                <w:color w:val="FF0000"/>
                <w:szCs w:val="21"/>
              </w:rPr>
              <w:t>8.1</w:t>
            </w:r>
          </w:p>
        </w:tc>
        <w:tc>
          <w:tcPr>
            <w:tcW w:w="352" w:type="pct"/>
            <w:vAlign w:val="center"/>
          </w:tcPr>
          <w:p>
            <w:pPr>
              <w:keepLines/>
              <w:jc w:val="center"/>
              <w:rPr>
                <w:color w:val="FF0000"/>
                <w:szCs w:val="21"/>
              </w:rPr>
            </w:pPr>
            <w:r>
              <w:rPr>
                <w:color w:val="FF0000"/>
                <w:szCs w:val="21"/>
              </w:rPr>
              <w:t>8.3</w:t>
            </w:r>
          </w:p>
        </w:tc>
        <w:tc>
          <w:tcPr>
            <w:tcW w:w="352" w:type="pct"/>
            <w:vAlign w:val="center"/>
          </w:tcPr>
          <w:p>
            <w:pPr>
              <w:keepLines/>
              <w:jc w:val="center"/>
              <w:rPr>
                <w:color w:val="FF0000"/>
                <w:szCs w:val="21"/>
              </w:rPr>
            </w:pPr>
            <w:r>
              <w:rPr>
                <w:color w:val="FF0000"/>
                <w:szCs w:val="21"/>
              </w:rPr>
              <w:t>8.3</w:t>
            </w:r>
          </w:p>
        </w:tc>
        <w:tc>
          <w:tcPr>
            <w:tcW w:w="352" w:type="pct"/>
            <w:vAlign w:val="center"/>
          </w:tcPr>
          <w:p>
            <w:pPr>
              <w:keepLines/>
              <w:jc w:val="center"/>
              <w:rPr>
                <w:color w:val="FF0000"/>
                <w:szCs w:val="21"/>
              </w:rPr>
            </w:pPr>
            <w:r>
              <w:rPr>
                <w:color w:val="FF0000"/>
                <w:szCs w:val="21"/>
              </w:rPr>
              <w:t>8.2</w:t>
            </w:r>
          </w:p>
        </w:tc>
        <w:tc>
          <w:tcPr>
            <w:tcW w:w="352" w:type="pct"/>
            <w:vAlign w:val="center"/>
          </w:tcPr>
          <w:p>
            <w:pPr>
              <w:keepLines/>
              <w:jc w:val="center"/>
              <w:rPr>
                <w:color w:val="FF0000"/>
                <w:szCs w:val="21"/>
              </w:rPr>
            </w:pPr>
            <w:r>
              <w:rPr>
                <w:color w:val="FF0000"/>
                <w:szCs w:val="21"/>
              </w:rPr>
              <w:t>8.2</w:t>
            </w:r>
          </w:p>
        </w:tc>
        <w:tc>
          <w:tcPr>
            <w:tcW w:w="352" w:type="pct"/>
            <w:vAlign w:val="center"/>
          </w:tcPr>
          <w:p>
            <w:pPr>
              <w:keepLines/>
              <w:jc w:val="center"/>
              <w:rPr>
                <w:color w:val="FF0000"/>
                <w:szCs w:val="21"/>
              </w:rPr>
            </w:pPr>
            <w:r>
              <w:rPr>
                <w:color w:val="FF0000"/>
                <w:szCs w:val="21"/>
              </w:rPr>
              <w:t>8.2</w:t>
            </w:r>
          </w:p>
        </w:tc>
        <w:tc>
          <w:tcPr>
            <w:tcW w:w="360" w:type="pct"/>
            <w:vAlign w:val="center"/>
          </w:tcPr>
          <w:p>
            <w:pPr>
              <w:keepLines/>
              <w:jc w:val="center"/>
              <w:rPr>
                <w:color w:val="FF0000"/>
                <w:szCs w:val="21"/>
              </w:rPr>
            </w:pPr>
            <w:r>
              <w:rPr>
                <w:color w:val="FF0000"/>
                <w:szCs w:val="21"/>
              </w:rPr>
              <w:t>8.2</w:t>
            </w:r>
          </w:p>
        </w:tc>
        <w:tc>
          <w:tcPr>
            <w:tcW w:w="236" w:type="pct"/>
            <w:vAlign w:val="center"/>
          </w:tcPr>
          <w:p>
            <w:pPr>
              <w:keepLines/>
              <w:jc w:val="center"/>
              <w:rPr>
                <w:color w:val="FF0000"/>
                <w:szCs w:val="21"/>
              </w:rPr>
            </w:pPr>
            <w:r>
              <w:rPr>
                <w:color w:val="FF0000"/>
                <w:szCs w:val="21"/>
              </w:rPr>
              <w:t>6.5-8.5</w:t>
            </w:r>
          </w:p>
        </w:tc>
        <w:tc>
          <w:tcPr>
            <w:tcW w:w="183" w:type="pct"/>
            <w:vAlign w:val="center"/>
          </w:tcPr>
          <w:p>
            <w:pPr>
              <w:keepLines/>
              <w:jc w:val="center"/>
              <w:rPr>
                <w:color w:val="FF0000"/>
                <w:szCs w:val="21"/>
              </w:rPr>
            </w:pPr>
            <w:r>
              <w:rPr>
                <w:color w:val="FF0000"/>
                <w:szCs w:val="21"/>
              </w:rPr>
              <w:t xml:space="preserve">0.73 </w:t>
            </w:r>
          </w:p>
        </w:tc>
        <w:tc>
          <w:tcPr>
            <w:tcW w:w="250" w:type="pct"/>
            <w:vAlign w:val="center"/>
          </w:tcPr>
          <w:p>
            <w:pPr>
              <w:keepLines/>
              <w:jc w:val="center"/>
              <w:rPr>
                <w:color w:val="FF0000"/>
                <w:szCs w:val="21"/>
              </w:rPr>
            </w:pPr>
            <w:r>
              <w:rPr>
                <w:color w:val="FF0000"/>
                <w:szCs w:val="21"/>
              </w:rPr>
              <w:t xml:space="preserve">0.87 </w:t>
            </w:r>
          </w:p>
        </w:tc>
        <w:tc>
          <w:tcPr>
            <w:tcW w:w="268" w:type="pct"/>
            <w:vAlign w:val="center"/>
          </w:tcPr>
          <w:p>
            <w:pPr>
              <w:keepLines/>
              <w:jc w:val="center"/>
              <w:rPr>
                <w:color w:val="FF0000"/>
                <w:szCs w:val="21"/>
              </w:rPr>
            </w:pPr>
            <w:r>
              <w:rPr>
                <w:color w:val="FF0000"/>
                <w:szCs w:val="21"/>
              </w:rPr>
              <w:t xml:space="preserve">0.87 </w:t>
            </w:r>
          </w:p>
        </w:tc>
        <w:tc>
          <w:tcPr>
            <w:tcW w:w="183" w:type="pct"/>
            <w:vAlign w:val="center"/>
          </w:tcPr>
          <w:p>
            <w:pPr>
              <w:keepLines/>
              <w:jc w:val="center"/>
              <w:rPr>
                <w:color w:val="FF0000"/>
                <w:szCs w:val="21"/>
              </w:rPr>
            </w:pPr>
            <w:r>
              <w:rPr>
                <w:color w:val="FF0000"/>
                <w:szCs w:val="21"/>
              </w:rPr>
              <w:t xml:space="preserve">0.80 </w:t>
            </w:r>
          </w:p>
        </w:tc>
        <w:tc>
          <w:tcPr>
            <w:tcW w:w="183" w:type="pct"/>
            <w:vAlign w:val="center"/>
          </w:tcPr>
          <w:p>
            <w:pPr>
              <w:keepLines/>
              <w:jc w:val="center"/>
              <w:rPr>
                <w:color w:val="FF0000"/>
                <w:szCs w:val="21"/>
              </w:rPr>
            </w:pPr>
            <w:r>
              <w:rPr>
                <w:color w:val="FF0000"/>
                <w:szCs w:val="21"/>
              </w:rPr>
              <w:t xml:space="preserve">0.80 </w:t>
            </w:r>
          </w:p>
        </w:tc>
        <w:tc>
          <w:tcPr>
            <w:tcW w:w="185" w:type="pct"/>
            <w:vAlign w:val="center"/>
          </w:tcPr>
          <w:p>
            <w:pPr>
              <w:keepLines/>
              <w:jc w:val="center"/>
              <w:rPr>
                <w:color w:val="FF0000"/>
                <w:szCs w:val="21"/>
              </w:rPr>
            </w:pPr>
            <w:r>
              <w:rPr>
                <w:color w:val="FF0000"/>
                <w:szCs w:val="21"/>
              </w:rPr>
              <w:t xml:space="preserve">0.80 </w:t>
            </w:r>
          </w:p>
        </w:tc>
        <w:tc>
          <w:tcPr>
            <w:tcW w:w="191" w:type="pct"/>
            <w:gridSpan w:val="2"/>
            <w:vAlign w:val="center"/>
          </w:tcPr>
          <w:p>
            <w:pPr>
              <w:keepLines/>
              <w:jc w:val="center"/>
              <w:rPr>
                <w:color w:val="FF0000"/>
                <w:szCs w:val="21"/>
              </w:rPr>
            </w:pPr>
            <w:r>
              <w:rPr>
                <w:color w:val="FF0000"/>
                <w:szCs w:val="21"/>
              </w:rPr>
              <w:t xml:space="preserve">0.80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氨氮</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0.28</w:t>
            </w:r>
          </w:p>
        </w:tc>
        <w:tc>
          <w:tcPr>
            <w:tcW w:w="352" w:type="pct"/>
            <w:vAlign w:val="center"/>
          </w:tcPr>
          <w:p>
            <w:pPr>
              <w:keepLines/>
              <w:jc w:val="center"/>
              <w:rPr>
                <w:color w:val="FF0000"/>
                <w:szCs w:val="21"/>
              </w:rPr>
            </w:pPr>
            <w:r>
              <w:rPr>
                <w:color w:val="FF0000"/>
                <w:szCs w:val="21"/>
              </w:rPr>
              <w:t>0.16</w:t>
            </w:r>
          </w:p>
        </w:tc>
        <w:tc>
          <w:tcPr>
            <w:tcW w:w="352" w:type="pct"/>
            <w:vAlign w:val="center"/>
          </w:tcPr>
          <w:p>
            <w:pPr>
              <w:keepLines/>
              <w:jc w:val="center"/>
              <w:rPr>
                <w:color w:val="FF0000"/>
                <w:szCs w:val="21"/>
              </w:rPr>
            </w:pPr>
            <w:r>
              <w:rPr>
                <w:color w:val="FF0000"/>
                <w:szCs w:val="21"/>
              </w:rPr>
              <w:t>0.25</w:t>
            </w:r>
          </w:p>
        </w:tc>
        <w:tc>
          <w:tcPr>
            <w:tcW w:w="352" w:type="pct"/>
            <w:vAlign w:val="center"/>
          </w:tcPr>
          <w:p>
            <w:pPr>
              <w:keepLines/>
              <w:jc w:val="center"/>
              <w:rPr>
                <w:color w:val="FF0000"/>
                <w:szCs w:val="21"/>
              </w:rPr>
            </w:pPr>
            <w:r>
              <w:rPr>
                <w:color w:val="FF0000"/>
                <w:szCs w:val="21"/>
              </w:rPr>
              <w:t>0.18</w:t>
            </w:r>
          </w:p>
        </w:tc>
        <w:tc>
          <w:tcPr>
            <w:tcW w:w="352" w:type="pct"/>
            <w:vAlign w:val="center"/>
          </w:tcPr>
          <w:p>
            <w:pPr>
              <w:keepLines/>
              <w:jc w:val="center"/>
              <w:rPr>
                <w:color w:val="FF0000"/>
                <w:szCs w:val="21"/>
              </w:rPr>
            </w:pPr>
            <w:r>
              <w:rPr>
                <w:color w:val="FF0000"/>
                <w:szCs w:val="21"/>
              </w:rPr>
              <w:t>0.29</w:t>
            </w:r>
          </w:p>
        </w:tc>
        <w:tc>
          <w:tcPr>
            <w:tcW w:w="352" w:type="pct"/>
            <w:vAlign w:val="center"/>
          </w:tcPr>
          <w:p>
            <w:pPr>
              <w:keepLines/>
              <w:jc w:val="center"/>
              <w:rPr>
                <w:color w:val="FF0000"/>
                <w:szCs w:val="21"/>
              </w:rPr>
            </w:pPr>
            <w:r>
              <w:rPr>
                <w:color w:val="FF0000"/>
                <w:szCs w:val="21"/>
              </w:rPr>
              <w:t>0.88</w:t>
            </w:r>
          </w:p>
        </w:tc>
        <w:tc>
          <w:tcPr>
            <w:tcW w:w="360" w:type="pct"/>
            <w:vAlign w:val="center"/>
          </w:tcPr>
          <w:p>
            <w:pPr>
              <w:keepLines/>
              <w:jc w:val="center"/>
              <w:rPr>
                <w:color w:val="FF0000"/>
                <w:szCs w:val="21"/>
              </w:rPr>
            </w:pPr>
            <w:r>
              <w:rPr>
                <w:color w:val="FF0000"/>
                <w:szCs w:val="21"/>
              </w:rPr>
              <w:t>0.41</w:t>
            </w:r>
          </w:p>
        </w:tc>
        <w:tc>
          <w:tcPr>
            <w:tcW w:w="236" w:type="pct"/>
            <w:vAlign w:val="center"/>
          </w:tcPr>
          <w:p>
            <w:pPr>
              <w:keepLines/>
              <w:jc w:val="center"/>
              <w:rPr>
                <w:color w:val="FF0000"/>
                <w:szCs w:val="21"/>
              </w:rPr>
            </w:pPr>
            <w:r>
              <w:rPr>
                <w:color w:val="FF0000"/>
                <w:szCs w:val="21"/>
              </w:rPr>
              <w:t>0.5</w:t>
            </w:r>
          </w:p>
        </w:tc>
        <w:tc>
          <w:tcPr>
            <w:tcW w:w="183" w:type="pct"/>
          </w:tcPr>
          <w:p>
            <w:pPr>
              <w:keepLines/>
              <w:jc w:val="center"/>
              <w:rPr>
                <w:color w:val="FF0000"/>
                <w:szCs w:val="21"/>
              </w:rPr>
            </w:pPr>
            <w:r>
              <w:rPr>
                <w:color w:val="FF0000"/>
              </w:rPr>
              <w:t xml:space="preserve">0.56 </w:t>
            </w:r>
          </w:p>
        </w:tc>
        <w:tc>
          <w:tcPr>
            <w:tcW w:w="250" w:type="pct"/>
            <w:shd w:val="clear" w:color="auto" w:fill="auto"/>
          </w:tcPr>
          <w:p>
            <w:pPr>
              <w:keepLines/>
              <w:jc w:val="center"/>
              <w:rPr>
                <w:color w:val="FF0000"/>
                <w:szCs w:val="21"/>
              </w:rPr>
            </w:pPr>
            <w:r>
              <w:rPr>
                <w:color w:val="FF0000"/>
              </w:rPr>
              <w:t xml:space="preserve">0.32 </w:t>
            </w:r>
          </w:p>
        </w:tc>
        <w:tc>
          <w:tcPr>
            <w:tcW w:w="268" w:type="pct"/>
          </w:tcPr>
          <w:p>
            <w:pPr>
              <w:keepLines/>
              <w:jc w:val="center"/>
              <w:rPr>
                <w:color w:val="FF0000"/>
                <w:szCs w:val="21"/>
              </w:rPr>
            </w:pPr>
            <w:r>
              <w:rPr>
                <w:color w:val="FF0000"/>
              </w:rPr>
              <w:t xml:space="preserve">0.50 </w:t>
            </w:r>
          </w:p>
        </w:tc>
        <w:tc>
          <w:tcPr>
            <w:tcW w:w="183" w:type="pct"/>
          </w:tcPr>
          <w:p>
            <w:pPr>
              <w:keepLines/>
              <w:jc w:val="center"/>
              <w:rPr>
                <w:color w:val="FF0000"/>
                <w:szCs w:val="21"/>
              </w:rPr>
            </w:pPr>
            <w:r>
              <w:rPr>
                <w:color w:val="FF0000"/>
              </w:rPr>
              <w:t xml:space="preserve">0.36 </w:t>
            </w:r>
          </w:p>
        </w:tc>
        <w:tc>
          <w:tcPr>
            <w:tcW w:w="183" w:type="pct"/>
          </w:tcPr>
          <w:p>
            <w:pPr>
              <w:keepLines/>
              <w:jc w:val="center"/>
              <w:rPr>
                <w:color w:val="FF0000"/>
                <w:szCs w:val="21"/>
              </w:rPr>
            </w:pPr>
            <w:r>
              <w:rPr>
                <w:color w:val="FF0000"/>
              </w:rPr>
              <w:t xml:space="preserve">0.58 </w:t>
            </w:r>
          </w:p>
        </w:tc>
        <w:tc>
          <w:tcPr>
            <w:tcW w:w="185" w:type="pct"/>
          </w:tcPr>
          <w:p>
            <w:pPr>
              <w:keepLines/>
              <w:jc w:val="center"/>
              <w:rPr>
                <w:color w:val="FF0000"/>
                <w:szCs w:val="21"/>
              </w:rPr>
            </w:pPr>
            <w:r>
              <w:rPr>
                <w:color w:val="FF0000"/>
                <w:szCs w:val="21"/>
                <w:shd w:val="clear" w:color="auto" w:fill="F7CAAC" w:themeFill="accent2" w:themeFillTint="66"/>
              </w:rPr>
              <w:t>1.76</w:t>
            </w:r>
            <w:r>
              <w:rPr>
                <w:color w:val="FF0000"/>
                <w:szCs w:val="21"/>
              </w:rPr>
              <w:t xml:space="preserve"> </w:t>
            </w:r>
          </w:p>
        </w:tc>
        <w:tc>
          <w:tcPr>
            <w:tcW w:w="191" w:type="pct"/>
            <w:gridSpan w:val="2"/>
            <w:shd w:val="clear" w:color="auto" w:fill="auto"/>
          </w:tcPr>
          <w:p>
            <w:pPr>
              <w:keepLines/>
              <w:jc w:val="center"/>
              <w:rPr>
                <w:color w:val="FF0000"/>
                <w:szCs w:val="21"/>
              </w:rPr>
            </w:pPr>
            <w:r>
              <w:rPr>
                <w:color w:val="FF0000"/>
              </w:rPr>
              <w:t xml:space="preserve">0.82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硝酸盐氮</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0.283</w:t>
            </w:r>
          </w:p>
        </w:tc>
        <w:tc>
          <w:tcPr>
            <w:tcW w:w="352" w:type="pct"/>
            <w:vAlign w:val="center"/>
          </w:tcPr>
          <w:p>
            <w:pPr>
              <w:keepLines/>
              <w:jc w:val="center"/>
              <w:rPr>
                <w:color w:val="FF0000"/>
                <w:szCs w:val="21"/>
              </w:rPr>
            </w:pPr>
            <w:r>
              <w:rPr>
                <w:color w:val="FF0000"/>
                <w:szCs w:val="21"/>
              </w:rPr>
              <w:t>0.016L</w:t>
            </w:r>
          </w:p>
        </w:tc>
        <w:tc>
          <w:tcPr>
            <w:tcW w:w="352" w:type="pct"/>
            <w:vAlign w:val="center"/>
          </w:tcPr>
          <w:p>
            <w:pPr>
              <w:keepLines/>
              <w:jc w:val="center"/>
              <w:rPr>
                <w:color w:val="FF0000"/>
                <w:szCs w:val="21"/>
              </w:rPr>
            </w:pPr>
            <w:r>
              <w:rPr>
                <w:color w:val="FF0000"/>
                <w:szCs w:val="21"/>
              </w:rPr>
              <w:t>0.016L</w:t>
            </w:r>
          </w:p>
        </w:tc>
        <w:tc>
          <w:tcPr>
            <w:tcW w:w="352" w:type="pct"/>
            <w:vAlign w:val="center"/>
          </w:tcPr>
          <w:p>
            <w:pPr>
              <w:keepLines/>
              <w:jc w:val="center"/>
              <w:rPr>
                <w:color w:val="FF0000"/>
                <w:szCs w:val="21"/>
              </w:rPr>
            </w:pPr>
            <w:r>
              <w:rPr>
                <w:color w:val="FF0000"/>
                <w:szCs w:val="21"/>
              </w:rPr>
              <w:t>1.73</w:t>
            </w:r>
          </w:p>
        </w:tc>
        <w:tc>
          <w:tcPr>
            <w:tcW w:w="352" w:type="pct"/>
            <w:vAlign w:val="center"/>
          </w:tcPr>
          <w:p>
            <w:pPr>
              <w:keepLines/>
              <w:jc w:val="center"/>
              <w:rPr>
                <w:color w:val="FF0000"/>
                <w:szCs w:val="21"/>
              </w:rPr>
            </w:pPr>
            <w:r>
              <w:rPr>
                <w:color w:val="FF0000"/>
                <w:szCs w:val="21"/>
              </w:rPr>
              <w:t>1.73</w:t>
            </w:r>
          </w:p>
        </w:tc>
        <w:tc>
          <w:tcPr>
            <w:tcW w:w="352" w:type="pct"/>
            <w:vAlign w:val="center"/>
          </w:tcPr>
          <w:p>
            <w:pPr>
              <w:keepLines/>
              <w:jc w:val="center"/>
              <w:rPr>
                <w:color w:val="FF0000"/>
                <w:szCs w:val="21"/>
              </w:rPr>
            </w:pPr>
            <w:r>
              <w:rPr>
                <w:color w:val="FF0000"/>
                <w:szCs w:val="21"/>
              </w:rPr>
              <w:t>0.016L</w:t>
            </w:r>
          </w:p>
        </w:tc>
        <w:tc>
          <w:tcPr>
            <w:tcW w:w="360" w:type="pct"/>
            <w:vAlign w:val="center"/>
          </w:tcPr>
          <w:p>
            <w:pPr>
              <w:keepLines/>
              <w:jc w:val="center"/>
              <w:rPr>
                <w:color w:val="FF0000"/>
                <w:szCs w:val="21"/>
              </w:rPr>
            </w:pPr>
            <w:r>
              <w:rPr>
                <w:color w:val="FF0000"/>
                <w:szCs w:val="21"/>
              </w:rPr>
              <w:t>3.1</w:t>
            </w:r>
          </w:p>
        </w:tc>
        <w:tc>
          <w:tcPr>
            <w:tcW w:w="236" w:type="pct"/>
            <w:vAlign w:val="center"/>
          </w:tcPr>
          <w:p>
            <w:pPr>
              <w:keepLines/>
              <w:jc w:val="center"/>
              <w:rPr>
                <w:color w:val="FF0000"/>
                <w:szCs w:val="21"/>
              </w:rPr>
            </w:pPr>
            <w:r>
              <w:rPr>
                <w:color w:val="FF0000"/>
                <w:szCs w:val="21"/>
              </w:rPr>
              <w:t>20</w:t>
            </w:r>
          </w:p>
        </w:tc>
        <w:tc>
          <w:tcPr>
            <w:tcW w:w="183" w:type="pct"/>
            <w:vAlign w:val="center"/>
          </w:tcPr>
          <w:p>
            <w:pPr>
              <w:keepLines/>
              <w:jc w:val="center"/>
              <w:rPr>
                <w:color w:val="FF0000"/>
                <w:szCs w:val="21"/>
              </w:rPr>
            </w:pPr>
            <w:r>
              <w:rPr>
                <w:color w:val="FF0000"/>
                <w:szCs w:val="21"/>
              </w:rPr>
              <w:t xml:space="preserve">0.01 </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 xml:space="preserve">0.09 </w:t>
            </w:r>
          </w:p>
        </w:tc>
        <w:tc>
          <w:tcPr>
            <w:tcW w:w="183" w:type="pct"/>
            <w:vAlign w:val="center"/>
          </w:tcPr>
          <w:p>
            <w:pPr>
              <w:keepLines/>
              <w:jc w:val="center"/>
              <w:rPr>
                <w:color w:val="FF0000"/>
                <w:szCs w:val="21"/>
              </w:rPr>
            </w:pPr>
            <w:r>
              <w:rPr>
                <w:color w:val="FF0000"/>
                <w:szCs w:val="21"/>
              </w:rPr>
              <w:t xml:space="preserve">0.09 </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 xml:space="preserve">0.16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亚硝酸盐氮</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0.008</w:t>
            </w:r>
          </w:p>
        </w:tc>
        <w:tc>
          <w:tcPr>
            <w:tcW w:w="352" w:type="pct"/>
            <w:vAlign w:val="center"/>
          </w:tcPr>
          <w:p>
            <w:pPr>
              <w:keepLines/>
              <w:jc w:val="center"/>
              <w:rPr>
                <w:color w:val="FF0000"/>
                <w:szCs w:val="21"/>
              </w:rPr>
            </w:pPr>
            <w:r>
              <w:rPr>
                <w:color w:val="FF0000"/>
                <w:szCs w:val="21"/>
              </w:rPr>
              <w:t>0.005</w:t>
            </w:r>
          </w:p>
        </w:tc>
        <w:tc>
          <w:tcPr>
            <w:tcW w:w="352" w:type="pct"/>
            <w:vAlign w:val="center"/>
          </w:tcPr>
          <w:p>
            <w:pPr>
              <w:keepLines/>
              <w:jc w:val="center"/>
              <w:rPr>
                <w:color w:val="FF0000"/>
                <w:szCs w:val="21"/>
              </w:rPr>
            </w:pPr>
            <w:r>
              <w:rPr>
                <w:color w:val="FF0000"/>
                <w:szCs w:val="21"/>
              </w:rPr>
              <w:t>0.001L</w:t>
            </w:r>
          </w:p>
        </w:tc>
        <w:tc>
          <w:tcPr>
            <w:tcW w:w="352" w:type="pct"/>
            <w:vAlign w:val="center"/>
          </w:tcPr>
          <w:p>
            <w:pPr>
              <w:keepLines/>
              <w:jc w:val="center"/>
              <w:rPr>
                <w:color w:val="FF0000"/>
                <w:szCs w:val="21"/>
              </w:rPr>
            </w:pPr>
            <w:r>
              <w:rPr>
                <w:color w:val="FF0000"/>
                <w:szCs w:val="21"/>
              </w:rPr>
              <w:t>0.003</w:t>
            </w:r>
          </w:p>
        </w:tc>
        <w:tc>
          <w:tcPr>
            <w:tcW w:w="352" w:type="pct"/>
            <w:vAlign w:val="center"/>
          </w:tcPr>
          <w:p>
            <w:pPr>
              <w:keepLines/>
              <w:jc w:val="center"/>
              <w:rPr>
                <w:color w:val="FF0000"/>
                <w:szCs w:val="21"/>
              </w:rPr>
            </w:pPr>
            <w:r>
              <w:rPr>
                <w:color w:val="FF0000"/>
                <w:szCs w:val="21"/>
              </w:rPr>
              <w:t>0.003</w:t>
            </w:r>
          </w:p>
        </w:tc>
        <w:tc>
          <w:tcPr>
            <w:tcW w:w="352" w:type="pct"/>
            <w:vAlign w:val="center"/>
          </w:tcPr>
          <w:p>
            <w:pPr>
              <w:keepLines/>
              <w:jc w:val="center"/>
              <w:rPr>
                <w:color w:val="FF0000"/>
                <w:szCs w:val="21"/>
              </w:rPr>
            </w:pPr>
            <w:r>
              <w:rPr>
                <w:color w:val="FF0000"/>
                <w:szCs w:val="21"/>
              </w:rPr>
              <w:t>0.016</w:t>
            </w:r>
          </w:p>
        </w:tc>
        <w:tc>
          <w:tcPr>
            <w:tcW w:w="360" w:type="pct"/>
            <w:vAlign w:val="center"/>
          </w:tcPr>
          <w:p>
            <w:pPr>
              <w:keepLines/>
              <w:jc w:val="center"/>
              <w:rPr>
                <w:color w:val="FF0000"/>
                <w:szCs w:val="21"/>
              </w:rPr>
            </w:pPr>
            <w:r>
              <w:rPr>
                <w:color w:val="FF0000"/>
                <w:szCs w:val="21"/>
              </w:rPr>
              <w:t>0.017</w:t>
            </w:r>
          </w:p>
        </w:tc>
        <w:tc>
          <w:tcPr>
            <w:tcW w:w="236" w:type="pct"/>
            <w:vAlign w:val="center"/>
          </w:tcPr>
          <w:p>
            <w:pPr>
              <w:keepLines/>
              <w:jc w:val="center"/>
              <w:rPr>
                <w:color w:val="FF0000"/>
                <w:szCs w:val="21"/>
              </w:rPr>
            </w:pPr>
            <w:r>
              <w:rPr>
                <w:color w:val="FF0000"/>
                <w:szCs w:val="21"/>
              </w:rPr>
              <w:t>1</w:t>
            </w:r>
          </w:p>
        </w:tc>
        <w:tc>
          <w:tcPr>
            <w:tcW w:w="183" w:type="pct"/>
            <w:vAlign w:val="center"/>
          </w:tcPr>
          <w:p>
            <w:pPr>
              <w:keepLines/>
              <w:jc w:val="center"/>
              <w:rPr>
                <w:color w:val="FF0000"/>
                <w:szCs w:val="21"/>
              </w:rPr>
            </w:pPr>
            <w:r>
              <w:rPr>
                <w:color w:val="FF0000"/>
                <w:szCs w:val="21"/>
              </w:rPr>
              <w:t xml:space="preserve">0.01 </w:t>
            </w:r>
          </w:p>
        </w:tc>
        <w:tc>
          <w:tcPr>
            <w:tcW w:w="250" w:type="pct"/>
            <w:vAlign w:val="center"/>
          </w:tcPr>
          <w:p>
            <w:pPr>
              <w:keepLines/>
              <w:jc w:val="center"/>
              <w:rPr>
                <w:color w:val="FF0000"/>
                <w:szCs w:val="21"/>
              </w:rPr>
            </w:pPr>
            <w:r>
              <w:rPr>
                <w:color w:val="FF0000"/>
                <w:szCs w:val="21"/>
              </w:rPr>
              <w:t xml:space="preserve">0.01 </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 xml:space="preserve">0.00 </w:t>
            </w:r>
          </w:p>
        </w:tc>
        <w:tc>
          <w:tcPr>
            <w:tcW w:w="183" w:type="pct"/>
            <w:vAlign w:val="center"/>
          </w:tcPr>
          <w:p>
            <w:pPr>
              <w:keepLines/>
              <w:jc w:val="center"/>
              <w:rPr>
                <w:color w:val="FF0000"/>
                <w:szCs w:val="21"/>
              </w:rPr>
            </w:pPr>
            <w:r>
              <w:rPr>
                <w:color w:val="FF0000"/>
                <w:szCs w:val="21"/>
              </w:rPr>
              <w:t xml:space="preserve">0.00 </w:t>
            </w:r>
          </w:p>
        </w:tc>
        <w:tc>
          <w:tcPr>
            <w:tcW w:w="185" w:type="pct"/>
            <w:vAlign w:val="center"/>
          </w:tcPr>
          <w:p>
            <w:pPr>
              <w:keepLines/>
              <w:jc w:val="center"/>
              <w:rPr>
                <w:color w:val="FF0000"/>
                <w:szCs w:val="21"/>
              </w:rPr>
            </w:pPr>
            <w:r>
              <w:rPr>
                <w:color w:val="FF0000"/>
                <w:szCs w:val="21"/>
              </w:rPr>
              <w:t xml:space="preserve">0.02 </w:t>
            </w:r>
          </w:p>
        </w:tc>
        <w:tc>
          <w:tcPr>
            <w:tcW w:w="191" w:type="pct"/>
            <w:gridSpan w:val="2"/>
            <w:vAlign w:val="center"/>
          </w:tcPr>
          <w:p>
            <w:pPr>
              <w:keepLines/>
              <w:jc w:val="center"/>
              <w:rPr>
                <w:color w:val="FF0000"/>
                <w:szCs w:val="21"/>
              </w:rPr>
            </w:pPr>
            <w:r>
              <w:rPr>
                <w:color w:val="FF0000"/>
                <w:szCs w:val="21"/>
              </w:rPr>
              <w:t xml:space="preserve">0.02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挥发酚</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0.0003L</w:t>
            </w:r>
          </w:p>
        </w:tc>
        <w:tc>
          <w:tcPr>
            <w:tcW w:w="352" w:type="pct"/>
            <w:vAlign w:val="center"/>
          </w:tcPr>
          <w:p>
            <w:pPr>
              <w:keepLines/>
              <w:jc w:val="center"/>
              <w:rPr>
                <w:color w:val="FF0000"/>
                <w:szCs w:val="21"/>
              </w:rPr>
            </w:pPr>
            <w:r>
              <w:rPr>
                <w:color w:val="FF0000"/>
                <w:szCs w:val="21"/>
              </w:rPr>
              <w:t>0.0003L</w:t>
            </w:r>
          </w:p>
        </w:tc>
        <w:tc>
          <w:tcPr>
            <w:tcW w:w="352" w:type="pct"/>
            <w:vAlign w:val="center"/>
          </w:tcPr>
          <w:p>
            <w:pPr>
              <w:keepLines/>
              <w:jc w:val="center"/>
              <w:rPr>
                <w:color w:val="FF0000"/>
                <w:szCs w:val="21"/>
              </w:rPr>
            </w:pPr>
            <w:r>
              <w:rPr>
                <w:color w:val="FF0000"/>
                <w:szCs w:val="21"/>
              </w:rPr>
              <w:t>0.0003L</w:t>
            </w:r>
          </w:p>
        </w:tc>
        <w:tc>
          <w:tcPr>
            <w:tcW w:w="352" w:type="pct"/>
            <w:vAlign w:val="center"/>
          </w:tcPr>
          <w:p>
            <w:pPr>
              <w:keepLines/>
              <w:jc w:val="center"/>
              <w:rPr>
                <w:color w:val="FF0000"/>
                <w:szCs w:val="21"/>
              </w:rPr>
            </w:pPr>
            <w:r>
              <w:rPr>
                <w:color w:val="FF0000"/>
                <w:szCs w:val="21"/>
              </w:rPr>
              <w:t>0.0003L</w:t>
            </w:r>
          </w:p>
        </w:tc>
        <w:tc>
          <w:tcPr>
            <w:tcW w:w="352" w:type="pct"/>
            <w:vAlign w:val="center"/>
          </w:tcPr>
          <w:p>
            <w:pPr>
              <w:keepLines/>
              <w:jc w:val="center"/>
              <w:rPr>
                <w:color w:val="FF0000"/>
                <w:szCs w:val="21"/>
              </w:rPr>
            </w:pPr>
            <w:r>
              <w:rPr>
                <w:color w:val="FF0000"/>
                <w:szCs w:val="21"/>
              </w:rPr>
              <w:t>0.0003L</w:t>
            </w:r>
          </w:p>
        </w:tc>
        <w:tc>
          <w:tcPr>
            <w:tcW w:w="352" w:type="pct"/>
            <w:vAlign w:val="center"/>
          </w:tcPr>
          <w:p>
            <w:pPr>
              <w:keepLines/>
              <w:jc w:val="center"/>
              <w:rPr>
                <w:color w:val="FF0000"/>
                <w:szCs w:val="21"/>
              </w:rPr>
            </w:pPr>
            <w:r>
              <w:rPr>
                <w:color w:val="FF0000"/>
                <w:szCs w:val="21"/>
              </w:rPr>
              <w:t>0.0003L</w:t>
            </w:r>
          </w:p>
        </w:tc>
        <w:tc>
          <w:tcPr>
            <w:tcW w:w="360" w:type="pct"/>
            <w:vAlign w:val="center"/>
          </w:tcPr>
          <w:p>
            <w:pPr>
              <w:keepLines/>
              <w:jc w:val="center"/>
              <w:rPr>
                <w:color w:val="FF0000"/>
                <w:szCs w:val="21"/>
              </w:rPr>
            </w:pPr>
            <w:r>
              <w:rPr>
                <w:color w:val="FF0000"/>
                <w:szCs w:val="21"/>
              </w:rPr>
              <w:t>0.0003L</w:t>
            </w:r>
          </w:p>
        </w:tc>
        <w:tc>
          <w:tcPr>
            <w:tcW w:w="236" w:type="pct"/>
            <w:vAlign w:val="center"/>
          </w:tcPr>
          <w:p>
            <w:pPr>
              <w:keepLines/>
              <w:jc w:val="center"/>
              <w:rPr>
                <w:color w:val="FF0000"/>
                <w:szCs w:val="21"/>
              </w:rPr>
            </w:pPr>
            <w:r>
              <w:rPr>
                <w:color w:val="FF0000"/>
                <w:szCs w:val="21"/>
              </w:rPr>
              <w:t>0.002</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氰化物</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0.002L</w:t>
            </w:r>
          </w:p>
        </w:tc>
        <w:tc>
          <w:tcPr>
            <w:tcW w:w="352" w:type="pct"/>
            <w:vAlign w:val="center"/>
          </w:tcPr>
          <w:p>
            <w:pPr>
              <w:keepLines/>
              <w:jc w:val="center"/>
              <w:rPr>
                <w:color w:val="FF0000"/>
                <w:szCs w:val="21"/>
              </w:rPr>
            </w:pPr>
            <w:r>
              <w:rPr>
                <w:color w:val="FF0000"/>
                <w:szCs w:val="21"/>
              </w:rPr>
              <w:t>0.002L</w:t>
            </w:r>
          </w:p>
        </w:tc>
        <w:tc>
          <w:tcPr>
            <w:tcW w:w="352" w:type="pct"/>
            <w:vAlign w:val="center"/>
          </w:tcPr>
          <w:p>
            <w:pPr>
              <w:keepLines/>
              <w:jc w:val="center"/>
              <w:rPr>
                <w:color w:val="FF0000"/>
                <w:szCs w:val="21"/>
              </w:rPr>
            </w:pPr>
            <w:r>
              <w:rPr>
                <w:color w:val="FF0000"/>
                <w:szCs w:val="21"/>
              </w:rPr>
              <w:t>0.002L</w:t>
            </w:r>
          </w:p>
        </w:tc>
        <w:tc>
          <w:tcPr>
            <w:tcW w:w="352" w:type="pct"/>
            <w:vAlign w:val="center"/>
          </w:tcPr>
          <w:p>
            <w:pPr>
              <w:keepLines/>
              <w:jc w:val="center"/>
              <w:rPr>
                <w:color w:val="FF0000"/>
                <w:szCs w:val="21"/>
              </w:rPr>
            </w:pPr>
            <w:r>
              <w:rPr>
                <w:color w:val="FF0000"/>
                <w:szCs w:val="21"/>
              </w:rPr>
              <w:t>0.002L</w:t>
            </w:r>
          </w:p>
        </w:tc>
        <w:tc>
          <w:tcPr>
            <w:tcW w:w="352" w:type="pct"/>
            <w:vAlign w:val="center"/>
          </w:tcPr>
          <w:p>
            <w:pPr>
              <w:keepLines/>
              <w:jc w:val="center"/>
              <w:rPr>
                <w:color w:val="FF0000"/>
                <w:szCs w:val="21"/>
              </w:rPr>
            </w:pPr>
            <w:r>
              <w:rPr>
                <w:color w:val="FF0000"/>
                <w:szCs w:val="21"/>
              </w:rPr>
              <w:t>0.002L</w:t>
            </w:r>
          </w:p>
        </w:tc>
        <w:tc>
          <w:tcPr>
            <w:tcW w:w="352" w:type="pct"/>
            <w:vAlign w:val="center"/>
          </w:tcPr>
          <w:p>
            <w:pPr>
              <w:keepLines/>
              <w:jc w:val="center"/>
              <w:rPr>
                <w:color w:val="FF0000"/>
                <w:szCs w:val="21"/>
              </w:rPr>
            </w:pPr>
            <w:r>
              <w:rPr>
                <w:color w:val="FF0000"/>
                <w:szCs w:val="21"/>
              </w:rPr>
              <w:t>0.002L</w:t>
            </w:r>
          </w:p>
        </w:tc>
        <w:tc>
          <w:tcPr>
            <w:tcW w:w="360" w:type="pct"/>
            <w:vAlign w:val="center"/>
          </w:tcPr>
          <w:p>
            <w:pPr>
              <w:keepLines/>
              <w:jc w:val="center"/>
              <w:rPr>
                <w:color w:val="FF0000"/>
                <w:szCs w:val="21"/>
              </w:rPr>
            </w:pPr>
            <w:r>
              <w:rPr>
                <w:color w:val="FF0000"/>
                <w:szCs w:val="21"/>
              </w:rPr>
              <w:t>0.002L</w:t>
            </w:r>
          </w:p>
        </w:tc>
        <w:tc>
          <w:tcPr>
            <w:tcW w:w="236" w:type="pct"/>
            <w:vAlign w:val="center"/>
          </w:tcPr>
          <w:p>
            <w:pPr>
              <w:keepLines/>
              <w:jc w:val="center"/>
              <w:rPr>
                <w:color w:val="FF0000"/>
                <w:szCs w:val="21"/>
              </w:rPr>
            </w:pPr>
            <w:r>
              <w:rPr>
                <w:color w:val="FF0000"/>
                <w:szCs w:val="21"/>
              </w:rPr>
              <w:t>0.05</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汞</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352" w:type="pct"/>
            <w:vAlign w:val="center"/>
          </w:tcPr>
          <w:p>
            <w:pPr>
              <w:keepLines/>
              <w:jc w:val="center"/>
              <w:rPr>
                <w:color w:val="FF0000"/>
                <w:szCs w:val="21"/>
              </w:rPr>
            </w:pPr>
            <w:r>
              <w:rPr>
                <w:color w:val="FF0000"/>
                <w:szCs w:val="21"/>
              </w:rPr>
              <w:t>5×10</w:t>
            </w:r>
            <w:r>
              <w:rPr>
                <w:color w:val="FF0000"/>
                <w:szCs w:val="21"/>
                <w:vertAlign w:val="superscript"/>
              </w:rPr>
              <w:t>-5</w:t>
            </w:r>
          </w:p>
        </w:tc>
        <w:tc>
          <w:tcPr>
            <w:tcW w:w="352" w:type="pct"/>
            <w:vAlign w:val="center"/>
          </w:tcPr>
          <w:p>
            <w:pPr>
              <w:keepLines/>
              <w:jc w:val="center"/>
              <w:rPr>
                <w:color w:val="FF0000"/>
                <w:szCs w:val="21"/>
              </w:rPr>
            </w:pPr>
            <w:r>
              <w:rPr>
                <w:color w:val="FF0000"/>
                <w:szCs w:val="21"/>
              </w:rPr>
              <w:t>8×10</w:t>
            </w:r>
            <w:r>
              <w:rPr>
                <w:color w:val="FF0000"/>
                <w:szCs w:val="21"/>
                <w:vertAlign w:val="superscript"/>
              </w:rPr>
              <w:t>-5</w:t>
            </w:r>
          </w:p>
        </w:tc>
        <w:tc>
          <w:tcPr>
            <w:tcW w:w="352"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352"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352"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360"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236" w:type="pct"/>
            <w:vAlign w:val="center"/>
          </w:tcPr>
          <w:p>
            <w:pPr>
              <w:keepLines/>
              <w:jc w:val="center"/>
              <w:rPr>
                <w:color w:val="FF0000"/>
                <w:szCs w:val="21"/>
              </w:rPr>
            </w:pPr>
            <w:r>
              <w:rPr>
                <w:color w:val="FF0000"/>
                <w:szCs w:val="21"/>
              </w:rPr>
              <w:t>0.001</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砷</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2.5×10</w:t>
            </w:r>
            <w:r>
              <w:rPr>
                <w:color w:val="FF0000"/>
                <w:szCs w:val="21"/>
                <w:vertAlign w:val="superscript"/>
              </w:rPr>
              <w:t>-3</w:t>
            </w:r>
          </w:p>
        </w:tc>
        <w:tc>
          <w:tcPr>
            <w:tcW w:w="352" w:type="pct"/>
            <w:vAlign w:val="center"/>
          </w:tcPr>
          <w:p>
            <w:pPr>
              <w:keepLines/>
              <w:jc w:val="center"/>
              <w:rPr>
                <w:color w:val="FF0000"/>
                <w:szCs w:val="21"/>
              </w:rPr>
            </w:pPr>
            <w:r>
              <w:rPr>
                <w:color w:val="FF0000"/>
                <w:szCs w:val="21"/>
              </w:rPr>
              <w:t>2.3×10</w:t>
            </w:r>
            <w:r>
              <w:rPr>
                <w:color w:val="FF0000"/>
                <w:szCs w:val="21"/>
                <w:vertAlign w:val="superscript"/>
              </w:rPr>
              <w:t>-3</w:t>
            </w:r>
          </w:p>
        </w:tc>
        <w:tc>
          <w:tcPr>
            <w:tcW w:w="352" w:type="pct"/>
            <w:vAlign w:val="center"/>
          </w:tcPr>
          <w:p>
            <w:pPr>
              <w:keepLines/>
              <w:jc w:val="center"/>
              <w:rPr>
                <w:color w:val="FF0000"/>
                <w:szCs w:val="21"/>
              </w:rPr>
            </w:pPr>
            <w:r>
              <w:rPr>
                <w:color w:val="FF0000"/>
                <w:szCs w:val="21"/>
              </w:rPr>
              <w:t>2.6×10</w:t>
            </w:r>
            <w:r>
              <w:rPr>
                <w:color w:val="FF0000"/>
                <w:szCs w:val="21"/>
                <w:vertAlign w:val="superscript"/>
              </w:rPr>
              <w:t>-3</w:t>
            </w:r>
          </w:p>
        </w:tc>
        <w:tc>
          <w:tcPr>
            <w:tcW w:w="352" w:type="pct"/>
            <w:vAlign w:val="center"/>
          </w:tcPr>
          <w:p>
            <w:pPr>
              <w:keepLines/>
              <w:jc w:val="center"/>
              <w:rPr>
                <w:color w:val="FF0000"/>
                <w:szCs w:val="21"/>
              </w:rPr>
            </w:pPr>
            <w:r>
              <w:rPr>
                <w:color w:val="FF0000"/>
                <w:szCs w:val="21"/>
              </w:rPr>
              <w:t>3.2×10</w:t>
            </w:r>
            <w:r>
              <w:rPr>
                <w:color w:val="FF0000"/>
                <w:szCs w:val="21"/>
                <w:vertAlign w:val="superscript"/>
              </w:rPr>
              <w:t>-3</w:t>
            </w:r>
          </w:p>
        </w:tc>
        <w:tc>
          <w:tcPr>
            <w:tcW w:w="352" w:type="pct"/>
            <w:vAlign w:val="center"/>
          </w:tcPr>
          <w:p>
            <w:pPr>
              <w:keepLines/>
              <w:jc w:val="center"/>
              <w:rPr>
                <w:color w:val="FF0000"/>
                <w:szCs w:val="21"/>
              </w:rPr>
            </w:pPr>
            <w:r>
              <w:rPr>
                <w:color w:val="FF0000"/>
                <w:szCs w:val="21"/>
              </w:rPr>
              <w:t>1.8×10</w:t>
            </w:r>
            <w:r>
              <w:rPr>
                <w:color w:val="FF0000"/>
                <w:szCs w:val="21"/>
                <w:vertAlign w:val="superscript"/>
              </w:rPr>
              <w:t>-3</w:t>
            </w:r>
          </w:p>
        </w:tc>
        <w:tc>
          <w:tcPr>
            <w:tcW w:w="352" w:type="pct"/>
            <w:vAlign w:val="center"/>
          </w:tcPr>
          <w:p>
            <w:pPr>
              <w:keepLines/>
              <w:jc w:val="center"/>
              <w:rPr>
                <w:color w:val="FF0000"/>
                <w:szCs w:val="21"/>
              </w:rPr>
            </w:pPr>
            <w:r>
              <w:rPr>
                <w:color w:val="FF0000"/>
                <w:szCs w:val="21"/>
              </w:rPr>
              <w:t>3.2×10</w:t>
            </w:r>
            <w:r>
              <w:rPr>
                <w:color w:val="FF0000"/>
                <w:szCs w:val="21"/>
                <w:vertAlign w:val="superscript"/>
              </w:rPr>
              <w:t>-3</w:t>
            </w:r>
          </w:p>
        </w:tc>
        <w:tc>
          <w:tcPr>
            <w:tcW w:w="360" w:type="pct"/>
            <w:vAlign w:val="center"/>
          </w:tcPr>
          <w:p>
            <w:pPr>
              <w:keepLines/>
              <w:jc w:val="center"/>
              <w:rPr>
                <w:color w:val="FF0000"/>
                <w:szCs w:val="21"/>
              </w:rPr>
            </w:pPr>
            <w:r>
              <w:rPr>
                <w:color w:val="FF0000"/>
                <w:szCs w:val="21"/>
              </w:rPr>
              <w:t>2.1×10</w:t>
            </w:r>
            <w:r>
              <w:rPr>
                <w:color w:val="FF0000"/>
                <w:szCs w:val="21"/>
                <w:vertAlign w:val="superscript"/>
              </w:rPr>
              <w:t>-3</w:t>
            </w:r>
          </w:p>
        </w:tc>
        <w:tc>
          <w:tcPr>
            <w:tcW w:w="236" w:type="pct"/>
            <w:vAlign w:val="center"/>
          </w:tcPr>
          <w:p>
            <w:pPr>
              <w:keepLines/>
              <w:jc w:val="center"/>
              <w:rPr>
                <w:color w:val="FF0000"/>
                <w:szCs w:val="21"/>
              </w:rPr>
            </w:pPr>
            <w:r>
              <w:rPr>
                <w:color w:val="FF0000"/>
                <w:szCs w:val="21"/>
              </w:rPr>
              <w:t>0.01</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六价铬</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0.004L</w:t>
            </w:r>
          </w:p>
        </w:tc>
        <w:tc>
          <w:tcPr>
            <w:tcW w:w="352" w:type="pct"/>
            <w:vAlign w:val="center"/>
          </w:tcPr>
          <w:p>
            <w:pPr>
              <w:keepLines/>
              <w:jc w:val="center"/>
              <w:rPr>
                <w:color w:val="FF0000"/>
                <w:szCs w:val="21"/>
              </w:rPr>
            </w:pPr>
            <w:r>
              <w:rPr>
                <w:color w:val="FF0000"/>
                <w:szCs w:val="21"/>
              </w:rPr>
              <w:t>0.004L</w:t>
            </w:r>
          </w:p>
        </w:tc>
        <w:tc>
          <w:tcPr>
            <w:tcW w:w="352" w:type="pct"/>
            <w:vAlign w:val="center"/>
          </w:tcPr>
          <w:p>
            <w:pPr>
              <w:keepLines/>
              <w:jc w:val="center"/>
              <w:rPr>
                <w:color w:val="FF0000"/>
                <w:szCs w:val="21"/>
              </w:rPr>
            </w:pPr>
            <w:r>
              <w:rPr>
                <w:color w:val="FF0000"/>
                <w:szCs w:val="21"/>
              </w:rPr>
              <w:t>0.004L</w:t>
            </w:r>
          </w:p>
        </w:tc>
        <w:tc>
          <w:tcPr>
            <w:tcW w:w="352" w:type="pct"/>
            <w:vAlign w:val="center"/>
          </w:tcPr>
          <w:p>
            <w:pPr>
              <w:keepLines/>
              <w:jc w:val="center"/>
              <w:rPr>
                <w:color w:val="FF0000"/>
                <w:szCs w:val="21"/>
              </w:rPr>
            </w:pPr>
            <w:r>
              <w:rPr>
                <w:color w:val="FF0000"/>
                <w:szCs w:val="21"/>
              </w:rPr>
              <w:t>0.004L</w:t>
            </w:r>
          </w:p>
        </w:tc>
        <w:tc>
          <w:tcPr>
            <w:tcW w:w="352" w:type="pct"/>
            <w:vAlign w:val="center"/>
          </w:tcPr>
          <w:p>
            <w:pPr>
              <w:keepLines/>
              <w:jc w:val="center"/>
              <w:rPr>
                <w:color w:val="FF0000"/>
                <w:szCs w:val="21"/>
              </w:rPr>
            </w:pPr>
            <w:r>
              <w:rPr>
                <w:color w:val="FF0000"/>
                <w:szCs w:val="21"/>
              </w:rPr>
              <w:t>0.004L</w:t>
            </w:r>
          </w:p>
        </w:tc>
        <w:tc>
          <w:tcPr>
            <w:tcW w:w="352" w:type="pct"/>
            <w:vAlign w:val="center"/>
          </w:tcPr>
          <w:p>
            <w:pPr>
              <w:keepLines/>
              <w:jc w:val="center"/>
              <w:rPr>
                <w:color w:val="FF0000"/>
                <w:szCs w:val="21"/>
              </w:rPr>
            </w:pPr>
            <w:r>
              <w:rPr>
                <w:color w:val="FF0000"/>
                <w:szCs w:val="21"/>
              </w:rPr>
              <w:t>0.004L</w:t>
            </w:r>
          </w:p>
        </w:tc>
        <w:tc>
          <w:tcPr>
            <w:tcW w:w="360" w:type="pct"/>
            <w:vAlign w:val="center"/>
          </w:tcPr>
          <w:p>
            <w:pPr>
              <w:keepLines/>
              <w:jc w:val="center"/>
              <w:rPr>
                <w:color w:val="FF0000"/>
                <w:szCs w:val="21"/>
              </w:rPr>
            </w:pPr>
            <w:r>
              <w:rPr>
                <w:color w:val="FF0000"/>
                <w:szCs w:val="21"/>
              </w:rPr>
              <w:t>0.004L</w:t>
            </w:r>
          </w:p>
        </w:tc>
        <w:tc>
          <w:tcPr>
            <w:tcW w:w="236" w:type="pct"/>
            <w:vAlign w:val="center"/>
          </w:tcPr>
          <w:p>
            <w:pPr>
              <w:keepLines/>
              <w:jc w:val="center"/>
              <w:rPr>
                <w:color w:val="FF0000"/>
                <w:szCs w:val="21"/>
              </w:rPr>
            </w:pPr>
            <w:r>
              <w:rPr>
                <w:color w:val="FF0000"/>
                <w:szCs w:val="21"/>
              </w:rPr>
              <w:t>0.05</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总硬度</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281</w:t>
            </w:r>
          </w:p>
        </w:tc>
        <w:tc>
          <w:tcPr>
            <w:tcW w:w="352" w:type="pct"/>
            <w:vAlign w:val="center"/>
          </w:tcPr>
          <w:p>
            <w:pPr>
              <w:keepLines/>
              <w:jc w:val="center"/>
              <w:rPr>
                <w:color w:val="FF0000"/>
                <w:szCs w:val="21"/>
              </w:rPr>
            </w:pPr>
            <w:r>
              <w:rPr>
                <w:color w:val="FF0000"/>
                <w:szCs w:val="21"/>
              </w:rPr>
              <w:t>440</w:t>
            </w:r>
          </w:p>
        </w:tc>
        <w:tc>
          <w:tcPr>
            <w:tcW w:w="352" w:type="pct"/>
            <w:vAlign w:val="center"/>
          </w:tcPr>
          <w:p>
            <w:pPr>
              <w:keepLines/>
              <w:jc w:val="center"/>
              <w:rPr>
                <w:color w:val="FF0000"/>
                <w:szCs w:val="21"/>
              </w:rPr>
            </w:pPr>
            <w:r>
              <w:rPr>
                <w:color w:val="FF0000"/>
                <w:szCs w:val="21"/>
              </w:rPr>
              <w:t>358</w:t>
            </w:r>
          </w:p>
        </w:tc>
        <w:tc>
          <w:tcPr>
            <w:tcW w:w="352" w:type="pct"/>
            <w:vAlign w:val="center"/>
          </w:tcPr>
          <w:p>
            <w:pPr>
              <w:keepLines/>
              <w:jc w:val="center"/>
              <w:rPr>
                <w:color w:val="FF0000"/>
                <w:szCs w:val="21"/>
              </w:rPr>
            </w:pPr>
            <w:r>
              <w:rPr>
                <w:color w:val="FF0000"/>
                <w:szCs w:val="21"/>
              </w:rPr>
              <w:t>367</w:t>
            </w:r>
          </w:p>
        </w:tc>
        <w:tc>
          <w:tcPr>
            <w:tcW w:w="352" w:type="pct"/>
            <w:vAlign w:val="center"/>
          </w:tcPr>
          <w:p>
            <w:pPr>
              <w:keepLines/>
              <w:jc w:val="center"/>
              <w:rPr>
                <w:color w:val="FF0000"/>
                <w:szCs w:val="21"/>
              </w:rPr>
            </w:pPr>
            <w:r>
              <w:rPr>
                <w:color w:val="FF0000"/>
                <w:szCs w:val="21"/>
              </w:rPr>
              <w:t>386</w:t>
            </w:r>
          </w:p>
        </w:tc>
        <w:tc>
          <w:tcPr>
            <w:tcW w:w="352" w:type="pct"/>
            <w:vAlign w:val="center"/>
          </w:tcPr>
          <w:p>
            <w:pPr>
              <w:keepLines/>
              <w:jc w:val="center"/>
              <w:rPr>
                <w:color w:val="FF0000"/>
                <w:szCs w:val="21"/>
              </w:rPr>
            </w:pPr>
            <w:r>
              <w:rPr>
                <w:color w:val="FF0000"/>
                <w:szCs w:val="21"/>
              </w:rPr>
              <w:t>504</w:t>
            </w:r>
          </w:p>
        </w:tc>
        <w:tc>
          <w:tcPr>
            <w:tcW w:w="360" w:type="pct"/>
            <w:vAlign w:val="center"/>
          </w:tcPr>
          <w:p>
            <w:pPr>
              <w:keepLines/>
              <w:jc w:val="center"/>
              <w:rPr>
                <w:color w:val="FF0000"/>
                <w:szCs w:val="21"/>
              </w:rPr>
            </w:pPr>
            <w:r>
              <w:rPr>
                <w:color w:val="FF0000"/>
                <w:szCs w:val="21"/>
              </w:rPr>
              <w:t>306</w:t>
            </w:r>
          </w:p>
        </w:tc>
        <w:tc>
          <w:tcPr>
            <w:tcW w:w="236" w:type="pct"/>
            <w:vAlign w:val="center"/>
          </w:tcPr>
          <w:p>
            <w:pPr>
              <w:keepLines/>
              <w:jc w:val="center"/>
              <w:rPr>
                <w:color w:val="FF0000"/>
                <w:szCs w:val="21"/>
              </w:rPr>
            </w:pPr>
            <w:r>
              <w:rPr>
                <w:color w:val="FF0000"/>
                <w:szCs w:val="21"/>
              </w:rPr>
              <w:t>450</w:t>
            </w:r>
          </w:p>
        </w:tc>
        <w:tc>
          <w:tcPr>
            <w:tcW w:w="183" w:type="pct"/>
            <w:vAlign w:val="center"/>
          </w:tcPr>
          <w:p>
            <w:pPr>
              <w:keepLines/>
              <w:jc w:val="center"/>
              <w:rPr>
                <w:color w:val="FF0000"/>
                <w:szCs w:val="21"/>
              </w:rPr>
            </w:pPr>
            <w:r>
              <w:rPr>
                <w:color w:val="FF0000"/>
                <w:szCs w:val="21"/>
              </w:rPr>
              <w:t xml:space="preserve">0.62 </w:t>
            </w:r>
          </w:p>
        </w:tc>
        <w:tc>
          <w:tcPr>
            <w:tcW w:w="250" w:type="pct"/>
            <w:vAlign w:val="center"/>
          </w:tcPr>
          <w:p>
            <w:pPr>
              <w:keepLines/>
              <w:jc w:val="center"/>
              <w:rPr>
                <w:color w:val="FF0000"/>
                <w:szCs w:val="21"/>
              </w:rPr>
            </w:pPr>
            <w:r>
              <w:rPr>
                <w:color w:val="FF0000"/>
                <w:szCs w:val="21"/>
              </w:rPr>
              <w:t xml:space="preserve">0.98 </w:t>
            </w:r>
          </w:p>
        </w:tc>
        <w:tc>
          <w:tcPr>
            <w:tcW w:w="268" w:type="pct"/>
            <w:vAlign w:val="center"/>
          </w:tcPr>
          <w:p>
            <w:pPr>
              <w:keepLines/>
              <w:jc w:val="center"/>
              <w:rPr>
                <w:color w:val="FF0000"/>
                <w:szCs w:val="21"/>
              </w:rPr>
            </w:pPr>
            <w:r>
              <w:rPr>
                <w:color w:val="FF0000"/>
                <w:szCs w:val="21"/>
              </w:rPr>
              <w:t xml:space="preserve">0.80 </w:t>
            </w:r>
          </w:p>
        </w:tc>
        <w:tc>
          <w:tcPr>
            <w:tcW w:w="183" w:type="pct"/>
            <w:vAlign w:val="center"/>
          </w:tcPr>
          <w:p>
            <w:pPr>
              <w:keepLines/>
              <w:jc w:val="center"/>
              <w:rPr>
                <w:color w:val="FF0000"/>
                <w:szCs w:val="21"/>
              </w:rPr>
            </w:pPr>
            <w:r>
              <w:rPr>
                <w:color w:val="FF0000"/>
                <w:szCs w:val="21"/>
              </w:rPr>
              <w:t xml:space="preserve">0.82 </w:t>
            </w:r>
          </w:p>
        </w:tc>
        <w:tc>
          <w:tcPr>
            <w:tcW w:w="183" w:type="pct"/>
          </w:tcPr>
          <w:p>
            <w:pPr>
              <w:keepLines/>
              <w:jc w:val="center"/>
              <w:rPr>
                <w:color w:val="FF0000"/>
                <w:szCs w:val="21"/>
              </w:rPr>
            </w:pPr>
            <w:r>
              <w:rPr>
                <w:color w:val="FF0000"/>
              </w:rPr>
              <w:t xml:space="preserve">0.86 </w:t>
            </w:r>
          </w:p>
        </w:tc>
        <w:tc>
          <w:tcPr>
            <w:tcW w:w="185" w:type="pct"/>
          </w:tcPr>
          <w:p>
            <w:pPr>
              <w:keepLines/>
              <w:jc w:val="center"/>
              <w:rPr>
                <w:color w:val="FF0000"/>
                <w:szCs w:val="21"/>
              </w:rPr>
            </w:pPr>
            <w:r>
              <w:rPr>
                <w:color w:val="FF0000"/>
                <w:shd w:val="clear" w:color="auto" w:fill="F7CAAC" w:themeFill="accent2" w:themeFillTint="66"/>
              </w:rPr>
              <w:t>1.12</w:t>
            </w:r>
            <w:r>
              <w:rPr>
                <w:color w:val="FF0000"/>
              </w:rPr>
              <w:t xml:space="preserve"> </w:t>
            </w:r>
          </w:p>
        </w:tc>
        <w:tc>
          <w:tcPr>
            <w:tcW w:w="191" w:type="pct"/>
            <w:gridSpan w:val="2"/>
            <w:vAlign w:val="center"/>
          </w:tcPr>
          <w:p>
            <w:pPr>
              <w:keepLines/>
              <w:jc w:val="center"/>
              <w:rPr>
                <w:color w:val="FF0000"/>
                <w:szCs w:val="21"/>
              </w:rPr>
            </w:pPr>
            <w:r>
              <w:rPr>
                <w:color w:val="FF0000"/>
                <w:szCs w:val="21"/>
              </w:rPr>
              <w:t xml:space="preserve">0.50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铅</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52" w:type="pct"/>
            <w:vAlign w:val="center"/>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60" w:type="pct"/>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236" w:type="pct"/>
            <w:vAlign w:val="center"/>
          </w:tcPr>
          <w:p>
            <w:pPr>
              <w:keepLines/>
              <w:jc w:val="center"/>
              <w:rPr>
                <w:color w:val="FF0000"/>
                <w:szCs w:val="21"/>
              </w:rPr>
            </w:pPr>
            <w:r>
              <w:rPr>
                <w:color w:val="FF0000"/>
                <w:szCs w:val="21"/>
              </w:rPr>
              <w:t>0.01</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氟化物</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0.874</w:t>
            </w:r>
          </w:p>
        </w:tc>
        <w:tc>
          <w:tcPr>
            <w:tcW w:w="352" w:type="pct"/>
            <w:vAlign w:val="center"/>
          </w:tcPr>
          <w:p>
            <w:pPr>
              <w:keepLines/>
              <w:jc w:val="center"/>
              <w:rPr>
                <w:color w:val="FF0000"/>
                <w:szCs w:val="21"/>
              </w:rPr>
            </w:pPr>
            <w:r>
              <w:rPr>
                <w:color w:val="FF0000"/>
                <w:szCs w:val="21"/>
              </w:rPr>
              <w:t>0.816</w:t>
            </w:r>
          </w:p>
        </w:tc>
        <w:tc>
          <w:tcPr>
            <w:tcW w:w="352" w:type="pct"/>
            <w:vAlign w:val="center"/>
          </w:tcPr>
          <w:p>
            <w:pPr>
              <w:keepLines/>
              <w:jc w:val="center"/>
              <w:rPr>
                <w:color w:val="FF0000"/>
                <w:szCs w:val="21"/>
              </w:rPr>
            </w:pPr>
            <w:r>
              <w:rPr>
                <w:color w:val="FF0000"/>
                <w:szCs w:val="21"/>
              </w:rPr>
              <w:t>0.806</w:t>
            </w:r>
          </w:p>
        </w:tc>
        <w:tc>
          <w:tcPr>
            <w:tcW w:w="352" w:type="pct"/>
            <w:vAlign w:val="center"/>
          </w:tcPr>
          <w:p>
            <w:pPr>
              <w:keepLines/>
              <w:jc w:val="center"/>
              <w:rPr>
                <w:color w:val="FF0000"/>
                <w:szCs w:val="21"/>
              </w:rPr>
            </w:pPr>
            <w:r>
              <w:rPr>
                <w:color w:val="FF0000"/>
                <w:szCs w:val="21"/>
              </w:rPr>
              <w:t>0.811</w:t>
            </w:r>
          </w:p>
        </w:tc>
        <w:tc>
          <w:tcPr>
            <w:tcW w:w="352" w:type="pct"/>
            <w:vAlign w:val="center"/>
          </w:tcPr>
          <w:p>
            <w:pPr>
              <w:keepLines/>
              <w:jc w:val="center"/>
              <w:rPr>
                <w:color w:val="FF0000"/>
                <w:szCs w:val="21"/>
              </w:rPr>
            </w:pPr>
            <w:r>
              <w:rPr>
                <w:color w:val="FF0000"/>
                <w:szCs w:val="21"/>
              </w:rPr>
              <w:t>0.863</w:t>
            </w:r>
          </w:p>
        </w:tc>
        <w:tc>
          <w:tcPr>
            <w:tcW w:w="352" w:type="pct"/>
            <w:vAlign w:val="center"/>
          </w:tcPr>
          <w:p>
            <w:pPr>
              <w:keepLines/>
              <w:jc w:val="center"/>
              <w:rPr>
                <w:color w:val="FF0000"/>
                <w:szCs w:val="21"/>
              </w:rPr>
            </w:pPr>
            <w:r>
              <w:rPr>
                <w:color w:val="FF0000"/>
                <w:szCs w:val="21"/>
              </w:rPr>
              <w:t>0.806</w:t>
            </w:r>
          </w:p>
        </w:tc>
        <w:tc>
          <w:tcPr>
            <w:tcW w:w="360" w:type="pct"/>
            <w:vAlign w:val="center"/>
          </w:tcPr>
          <w:p>
            <w:pPr>
              <w:keepLines/>
              <w:jc w:val="center"/>
              <w:rPr>
                <w:color w:val="FF0000"/>
                <w:szCs w:val="21"/>
              </w:rPr>
            </w:pPr>
            <w:r>
              <w:rPr>
                <w:color w:val="FF0000"/>
                <w:szCs w:val="21"/>
              </w:rPr>
              <w:t>0.811</w:t>
            </w:r>
          </w:p>
        </w:tc>
        <w:tc>
          <w:tcPr>
            <w:tcW w:w="236" w:type="pct"/>
            <w:vAlign w:val="center"/>
          </w:tcPr>
          <w:p>
            <w:pPr>
              <w:keepLines/>
              <w:jc w:val="center"/>
              <w:rPr>
                <w:color w:val="FF0000"/>
                <w:szCs w:val="21"/>
              </w:rPr>
            </w:pPr>
            <w:r>
              <w:rPr>
                <w:color w:val="FF0000"/>
                <w:szCs w:val="21"/>
              </w:rPr>
              <w:t>1</w:t>
            </w:r>
          </w:p>
        </w:tc>
        <w:tc>
          <w:tcPr>
            <w:tcW w:w="183" w:type="pct"/>
            <w:shd w:val="clear" w:color="auto" w:fill="auto"/>
            <w:vAlign w:val="center"/>
          </w:tcPr>
          <w:p>
            <w:pPr>
              <w:keepLines/>
              <w:jc w:val="center"/>
              <w:rPr>
                <w:color w:val="FF0000"/>
                <w:szCs w:val="21"/>
              </w:rPr>
            </w:pPr>
            <w:r>
              <w:rPr>
                <w:color w:val="FF0000"/>
                <w:szCs w:val="21"/>
              </w:rPr>
              <w:t xml:space="preserve">0.87 </w:t>
            </w:r>
          </w:p>
        </w:tc>
        <w:tc>
          <w:tcPr>
            <w:tcW w:w="250" w:type="pct"/>
            <w:shd w:val="clear" w:color="auto" w:fill="auto"/>
            <w:vAlign w:val="center"/>
          </w:tcPr>
          <w:p>
            <w:pPr>
              <w:keepLines/>
              <w:jc w:val="center"/>
              <w:rPr>
                <w:color w:val="FF0000"/>
                <w:szCs w:val="21"/>
              </w:rPr>
            </w:pPr>
            <w:r>
              <w:rPr>
                <w:color w:val="FF0000"/>
                <w:szCs w:val="21"/>
              </w:rPr>
              <w:t xml:space="preserve">0.82 </w:t>
            </w:r>
          </w:p>
        </w:tc>
        <w:tc>
          <w:tcPr>
            <w:tcW w:w="268" w:type="pct"/>
            <w:shd w:val="clear" w:color="auto" w:fill="auto"/>
            <w:vAlign w:val="center"/>
          </w:tcPr>
          <w:p>
            <w:pPr>
              <w:keepLines/>
              <w:jc w:val="center"/>
              <w:rPr>
                <w:color w:val="FF0000"/>
                <w:szCs w:val="21"/>
              </w:rPr>
            </w:pPr>
            <w:r>
              <w:rPr>
                <w:color w:val="FF0000"/>
                <w:szCs w:val="21"/>
              </w:rPr>
              <w:t>0.81</w:t>
            </w:r>
          </w:p>
        </w:tc>
        <w:tc>
          <w:tcPr>
            <w:tcW w:w="183" w:type="pct"/>
            <w:shd w:val="clear" w:color="auto" w:fill="auto"/>
            <w:vAlign w:val="center"/>
          </w:tcPr>
          <w:p>
            <w:pPr>
              <w:keepLines/>
              <w:jc w:val="center"/>
              <w:rPr>
                <w:color w:val="FF0000"/>
                <w:szCs w:val="21"/>
              </w:rPr>
            </w:pPr>
            <w:r>
              <w:rPr>
                <w:color w:val="FF0000"/>
                <w:szCs w:val="21"/>
              </w:rPr>
              <w:t xml:space="preserve">0.81 </w:t>
            </w:r>
          </w:p>
        </w:tc>
        <w:tc>
          <w:tcPr>
            <w:tcW w:w="183" w:type="pct"/>
            <w:shd w:val="clear" w:color="auto" w:fill="auto"/>
            <w:vAlign w:val="center"/>
          </w:tcPr>
          <w:p>
            <w:pPr>
              <w:keepLines/>
              <w:jc w:val="center"/>
              <w:rPr>
                <w:color w:val="FF0000"/>
                <w:szCs w:val="21"/>
              </w:rPr>
            </w:pPr>
            <w:r>
              <w:rPr>
                <w:color w:val="FF0000"/>
                <w:szCs w:val="21"/>
              </w:rPr>
              <w:t xml:space="preserve">0.86 </w:t>
            </w:r>
          </w:p>
        </w:tc>
        <w:tc>
          <w:tcPr>
            <w:tcW w:w="185" w:type="pct"/>
            <w:shd w:val="clear" w:color="auto" w:fill="auto"/>
            <w:vAlign w:val="center"/>
          </w:tcPr>
          <w:p>
            <w:pPr>
              <w:keepLines/>
              <w:jc w:val="center"/>
              <w:rPr>
                <w:color w:val="FF0000"/>
                <w:szCs w:val="21"/>
              </w:rPr>
            </w:pPr>
            <w:r>
              <w:rPr>
                <w:color w:val="FF0000"/>
                <w:szCs w:val="21"/>
              </w:rPr>
              <w:t>0.81</w:t>
            </w:r>
          </w:p>
        </w:tc>
        <w:tc>
          <w:tcPr>
            <w:tcW w:w="191" w:type="pct"/>
            <w:gridSpan w:val="2"/>
            <w:shd w:val="clear" w:color="auto" w:fill="auto"/>
            <w:vAlign w:val="center"/>
          </w:tcPr>
          <w:p>
            <w:pPr>
              <w:keepLines/>
              <w:jc w:val="center"/>
              <w:rPr>
                <w:color w:val="FF0000"/>
                <w:szCs w:val="21"/>
              </w:rPr>
            </w:pPr>
            <w:r>
              <w:rPr>
                <w:color w:val="FF0000"/>
                <w:szCs w:val="21"/>
              </w:rPr>
              <w:t xml:space="preserve">0.81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镉</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52" w:type="pct"/>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60" w:type="pct"/>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236" w:type="pct"/>
            <w:vAlign w:val="center"/>
          </w:tcPr>
          <w:p>
            <w:pPr>
              <w:keepLines/>
              <w:jc w:val="center"/>
              <w:rPr>
                <w:color w:val="FF0000"/>
                <w:szCs w:val="21"/>
              </w:rPr>
            </w:pPr>
            <w:r>
              <w:rPr>
                <w:color w:val="FF0000"/>
                <w:szCs w:val="21"/>
              </w:rPr>
              <w:t>0.005</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锌</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60" w:type="pct"/>
            <w:vAlign w:val="center"/>
          </w:tcPr>
          <w:p>
            <w:pPr>
              <w:keepLines/>
              <w:jc w:val="center"/>
              <w:rPr>
                <w:color w:val="FF0000"/>
                <w:szCs w:val="21"/>
              </w:rPr>
            </w:pPr>
            <w:r>
              <w:rPr>
                <w:color w:val="FF0000"/>
                <w:szCs w:val="21"/>
              </w:rPr>
              <w:t>0.05L</w:t>
            </w:r>
          </w:p>
        </w:tc>
        <w:tc>
          <w:tcPr>
            <w:tcW w:w="236" w:type="pct"/>
            <w:vAlign w:val="center"/>
          </w:tcPr>
          <w:p>
            <w:pPr>
              <w:keepLines/>
              <w:jc w:val="center"/>
              <w:rPr>
                <w:color w:val="FF0000"/>
                <w:szCs w:val="21"/>
              </w:rPr>
            </w:pPr>
            <w:r>
              <w:rPr>
                <w:color w:val="FF0000"/>
                <w:szCs w:val="21"/>
              </w:rPr>
              <w:t>1</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铁</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60" w:type="pct"/>
            <w:vAlign w:val="center"/>
          </w:tcPr>
          <w:p>
            <w:pPr>
              <w:keepLines/>
              <w:jc w:val="center"/>
              <w:rPr>
                <w:color w:val="FF0000"/>
                <w:szCs w:val="21"/>
              </w:rPr>
            </w:pPr>
            <w:r>
              <w:rPr>
                <w:color w:val="FF0000"/>
                <w:szCs w:val="21"/>
              </w:rPr>
              <w:t>0.03L</w:t>
            </w:r>
          </w:p>
        </w:tc>
        <w:tc>
          <w:tcPr>
            <w:tcW w:w="236" w:type="pct"/>
            <w:vAlign w:val="center"/>
          </w:tcPr>
          <w:p>
            <w:pPr>
              <w:keepLines/>
              <w:jc w:val="center"/>
              <w:rPr>
                <w:color w:val="FF0000"/>
                <w:szCs w:val="21"/>
              </w:rPr>
            </w:pPr>
            <w:r>
              <w:rPr>
                <w:color w:val="FF0000"/>
                <w:szCs w:val="21"/>
              </w:rPr>
              <w:t>0.3</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锰</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0.01L</w:t>
            </w:r>
          </w:p>
        </w:tc>
        <w:tc>
          <w:tcPr>
            <w:tcW w:w="352" w:type="pct"/>
            <w:vAlign w:val="center"/>
          </w:tcPr>
          <w:p>
            <w:pPr>
              <w:keepLines/>
              <w:jc w:val="center"/>
              <w:rPr>
                <w:color w:val="FF0000"/>
                <w:szCs w:val="21"/>
              </w:rPr>
            </w:pPr>
            <w:r>
              <w:rPr>
                <w:color w:val="FF0000"/>
                <w:szCs w:val="21"/>
              </w:rPr>
              <w:t>0.01L</w:t>
            </w:r>
          </w:p>
        </w:tc>
        <w:tc>
          <w:tcPr>
            <w:tcW w:w="352" w:type="pct"/>
            <w:vAlign w:val="center"/>
          </w:tcPr>
          <w:p>
            <w:pPr>
              <w:keepLines/>
              <w:jc w:val="center"/>
              <w:rPr>
                <w:color w:val="FF0000"/>
                <w:szCs w:val="21"/>
              </w:rPr>
            </w:pPr>
            <w:r>
              <w:rPr>
                <w:color w:val="FF0000"/>
                <w:szCs w:val="21"/>
              </w:rPr>
              <w:t>0.01L</w:t>
            </w:r>
          </w:p>
        </w:tc>
        <w:tc>
          <w:tcPr>
            <w:tcW w:w="352" w:type="pct"/>
            <w:vAlign w:val="center"/>
          </w:tcPr>
          <w:p>
            <w:pPr>
              <w:keepLines/>
              <w:jc w:val="center"/>
              <w:rPr>
                <w:color w:val="FF0000"/>
                <w:szCs w:val="21"/>
              </w:rPr>
            </w:pPr>
            <w:r>
              <w:rPr>
                <w:color w:val="FF0000"/>
                <w:szCs w:val="21"/>
              </w:rPr>
              <w:t>0.01L</w:t>
            </w:r>
          </w:p>
        </w:tc>
        <w:tc>
          <w:tcPr>
            <w:tcW w:w="352" w:type="pct"/>
            <w:vAlign w:val="center"/>
          </w:tcPr>
          <w:p>
            <w:pPr>
              <w:keepLines/>
              <w:jc w:val="center"/>
              <w:rPr>
                <w:color w:val="FF0000"/>
                <w:szCs w:val="21"/>
              </w:rPr>
            </w:pPr>
            <w:r>
              <w:rPr>
                <w:color w:val="FF0000"/>
                <w:szCs w:val="21"/>
              </w:rPr>
              <w:t>0.01L</w:t>
            </w:r>
          </w:p>
        </w:tc>
        <w:tc>
          <w:tcPr>
            <w:tcW w:w="352" w:type="pct"/>
            <w:vAlign w:val="center"/>
          </w:tcPr>
          <w:p>
            <w:pPr>
              <w:keepLines/>
              <w:jc w:val="center"/>
              <w:rPr>
                <w:color w:val="FF0000"/>
                <w:szCs w:val="21"/>
              </w:rPr>
            </w:pPr>
            <w:r>
              <w:rPr>
                <w:color w:val="FF0000"/>
                <w:szCs w:val="21"/>
              </w:rPr>
              <w:t>0.01L</w:t>
            </w:r>
          </w:p>
        </w:tc>
        <w:tc>
          <w:tcPr>
            <w:tcW w:w="360" w:type="pct"/>
            <w:vAlign w:val="center"/>
          </w:tcPr>
          <w:p>
            <w:pPr>
              <w:keepLines/>
              <w:jc w:val="center"/>
              <w:rPr>
                <w:color w:val="FF0000"/>
                <w:szCs w:val="21"/>
              </w:rPr>
            </w:pPr>
            <w:r>
              <w:rPr>
                <w:color w:val="FF0000"/>
                <w:szCs w:val="21"/>
              </w:rPr>
              <w:t>0.01L</w:t>
            </w:r>
          </w:p>
        </w:tc>
        <w:tc>
          <w:tcPr>
            <w:tcW w:w="236" w:type="pct"/>
            <w:vAlign w:val="center"/>
          </w:tcPr>
          <w:p>
            <w:pPr>
              <w:keepLines/>
              <w:jc w:val="center"/>
              <w:rPr>
                <w:color w:val="FF0000"/>
                <w:szCs w:val="21"/>
              </w:rPr>
            </w:pPr>
            <w:r>
              <w:rPr>
                <w:color w:val="FF0000"/>
                <w:szCs w:val="21"/>
              </w:rPr>
              <w:t>0.1</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铜</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52" w:type="pct"/>
            <w:vAlign w:val="center"/>
          </w:tcPr>
          <w:p>
            <w:pPr>
              <w:keepLines/>
              <w:jc w:val="center"/>
              <w:rPr>
                <w:color w:val="FF0000"/>
                <w:szCs w:val="21"/>
              </w:rPr>
            </w:pPr>
            <w:r>
              <w:rPr>
                <w:color w:val="FF0000"/>
                <w:szCs w:val="21"/>
              </w:rPr>
              <w:t>0.05L</w:t>
            </w:r>
          </w:p>
        </w:tc>
        <w:tc>
          <w:tcPr>
            <w:tcW w:w="360" w:type="pct"/>
            <w:vAlign w:val="center"/>
          </w:tcPr>
          <w:p>
            <w:pPr>
              <w:keepLines/>
              <w:jc w:val="center"/>
              <w:rPr>
                <w:color w:val="FF0000"/>
                <w:szCs w:val="21"/>
              </w:rPr>
            </w:pPr>
            <w:r>
              <w:rPr>
                <w:color w:val="FF0000"/>
                <w:szCs w:val="21"/>
              </w:rPr>
              <w:t>0.05L</w:t>
            </w:r>
          </w:p>
        </w:tc>
        <w:tc>
          <w:tcPr>
            <w:tcW w:w="236" w:type="pct"/>
            <w:vAlign w:val="center"/>
          </w:tcPr>
          <w:p>
            <w:pPr>
              <w:keepLines/>
              <w:jc w:val="center"/>
              <w:rPr>
                <w:color w:val="FF0000"/>
                <w:szCs w:val="21"/>
              </w:rPr>
            </w:pPr>
            <w:r>
              <w:rPr>
                <w:color w:val="FF0000"/>
                <w:szCs w:val="21"/>
              </w:rPr>
              <w:t>1.00</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溶解性总固体</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638</w:t>
            </w:r>
          </w:p>
        </w:tc>
        <w:tc>
          <w:tcPr>
            <w:tcW w:w="352" w:type="pct"/>
            <w:vAlign w:val="center"/>
          </w:tcPr>
          <w:p>
            <w:pPr>
              <w:keepLines/>
              <w:jc w:val="center"/>
              <w:rPr>
                <w:color w:val="FF0000"/>
                <w:szCs w:val="21"/>
              </w:rPr>
            </w:pPr>
            <w:r>
              <w:rPr>
                <w:color w:val="FF0000"/>
                <w:szCs w:val="21"/>
              </w:rPr>
              <w:t>750</w:t>
            </w:r>
          </w:p>
        </w:tc>
        <w:tc>
          <w:tcPr>
            <w:tcW w:w="352" w:type="pct"/>
            <w:vAlign w:val="center"/>
          </w:tcPr>
          <w:p>
            <w:pPr>
              <w:keepLines/>
              <w:jc w:val="center"/>
              <w:rPr>
                <w:color w:val="FF0000"/>
                <w:szCs w:val="21"/>
              </w:rPr>
            </w:pPr>
            <w:r>
              <w:rPr>
                <w:color w:val="FF0000"/>
                <w:szCs w:val="21"/>
              </w:rPr>
              <w:t>702</w:t>
            </w:r>
          </w:p>
        </w:tc>
        <w:tc>
          <w:tcPr>
            <w:tcW w:w="352" w:type="pct"/>
            <w:vAlign w:val="center"/>
          </w:tcPr>
          <w:p>
            <w:pPr>
              <w:keepLines/>
              <w:jc w:val="center"/>
              <w:rPr>
                <w:color w:val="FF0000"/>
                <w:szCs w:val="21"/>
              </w:rPr>
            </w:pPr>
            <w:r>
              <w:rPr>
                <w:color w:val="FF0000"/>
                <w:szCs w:val="21"/>
              </w:rPr>
              <w:t>725</w:t>
            </w:r>
          </w:p>
        </w:tc>
        <w:tc>
          <w:tcPr>
            <w:tcW w:w="352" w:type="pct"/>
            <w:vAlign w:val="center"/>
          </w:tcPr>
          <w:p>
            <w:pPr>
              <w:keepLines/>
              <w:jc w:val="center"/>
              <w:rPr>
                <w:color w:val="FF0000"/>
                <w:szCs w:val="21"/>
              </w:rPr>
            </w:pPr>
            <w:r>
              <w:rPr>
                <w:color w:val="FF0000"/>
                <w:szCs w:val="21"/>
              </w:rPr>
              <w:t>710</w:t>
            </w:r>
          </w:p>
        </w:tc>
        <w:tc>
          <w:tcPr>
            <w:tcW w:w="352" w:type="pct"/>
            <w:vAlign w:val="center"/>
          </w:tcPr>
          <w:p>
            <w:pPr>
              <w:keepLines/>
              <w:jc w:val="center"/>
              <w:rPr>
                <w:color w:val="FF0000"/>
                <w:szCs w:val="21"/>
              </w:rPr>
            </w:pPr>
            <w:r>
              <w:rPr>
                <w:color w:val="FF0000"/>
                <w:szCs w:val="21"/>
              </w:rPr>
              <w:t>1021</w:t>
            </w:r>
          </w:p>
        </w:tc>
        <w:tc>
          <w:tcPr>
            <w:tcW w:w="360" w:type="pct"/>
            <w:vAlign w:val="center"/>
          </w:tcPr>
          <w:p>
            <w:pPr>
              <w:keepLines/>
              <w:jc w:val="center"/>
              <w:rPr>
                <w:color w:val="FF0000"/>
                <w:szCs w:val="21"/>
              </w:rPr>
            </w:pPr>
            <w:r>
              <w:rPr>
                <w:color w:val="FF0000"/>
                <w:szCs w:val="21"/>
              </w:rPr>
              <w:t>726</w:t>
            </w:r>
          </w:p>
        </w:tc>
        <w:tc>
          <w:tcPr>
            <w:tcW w:w="236" w:type="pct"/>
            <w:vAlign w:val="center"/>
          </w:tcPr>
          <w:p>
            <w:pPr>
              <w:keepLines/>
              <w:jc w:val="center"/>
              <w:rPr>
                <w:color w:val="FF0000"/>
                <w:szCs w:val="21"/>
              </w:rPr>
            </w:pPr>
            <w:r>
              <w:rPr>
                <w:color w:val="FF0000"/>
                <w:szCs w:val="21"/>
              </w:rPr>
              <w:t>1000</w:t>
            </w:r>
          </w:p>
        </w:tc>
        <w:tc>
          <w:tcPr>
            <w:tcW w:w="183" w:type="pct"/>
            <w:vAlign w:val="center"/>
          </w:tcPr>
          <w:p>
            <w:pPr>
              <w:keepLines/>
              <w:jc w:val="center"/>
              <w:rPr>
                <w:color w:val="FF0000"/>
                <w:szCs w:val="21"/>
              </w:rPr>
            </w:pPr>
            <w:r>
              <w:rPr>
                <w:color w:val="FF0000"/>
                <w:szCs w:val="21"/>
              </w:rPr>
              <w:t xml:space="preserve">0.64 </w:t>
            </w:r>
          </w:p>
        </w:tc>
        <w:tc>
          <w:tcPr>
            <w:tcW w:w="250" w:type="pct"/>
            <w:vAlign w:val="center"/>
          </w:tcPr>
          <w:p>
            <w:pPr>
              <w:keepLines/>
              <w:jc w:val="center"/>
              <w:rPr>
                <w:color w:val="FF0000"/>
                <w:szCs w:val="21"/>
              </w:rPr>
            </w:pPr>
            <w:r>
              <w:rPr>
                <w:color w:val="FF0000"/>
                <w:szCs w:val="21"/>
              </w:rPr>
              <w:t xml:space="preserve">0.75 </w:t>
            </w:r>
          </w:p>
        </w:tc>
        <w:tc>
          <w:tcPr>
            <w:tcW w:w="268" w:type="pct"/>
            <w:vAlign w:val="center"/>
          </w:tcPr>
          <w:p>
            <w:pPr>
              <w:keepLines/>
              <w:jc w:val="center"/>
              <w:rPr>
                <w:color w:val="FF0000"/>
                <w:szCs w:val="21"/>
              </w:rPr>
            </w:pPr>
            <w:r>
              <w:rPr>
                <w:color w:val="FF0000"/>
                <w:szCs w:val="21"/>
              </w:rPr>
              <w:t xml:space="preserve">0.70 </w:t>
            </w:r>
          </w:p>
        </w:tc>
        <w:tc>
          <w:tcPr>
            <w:tcW w:w="183" w:type="pct"/>
            <w:vAlign w:val="center"/>
          </w:tcPr>
          <w:p>
            <w:pPr>
              <w:keepLines/>
              <w:jc w:val="center"/>
              <w:rPr>
                <w:color w:val="FF0000"/>
                <w:szCs w:val="21"/>
              </w:rPr>
            </w:pPr>
            <w:r>
              <w:rPr>
                <w:color w:val="FF0000"/>
                <w:szCs w:val="21"/>
              </w:rPr>
              <w:t xml:space="preserve">0.73 </w:t>
            </w:r>
          </w:p>
        </w:tc>
        <w:tc>
          <w:tcPr>
            <w:tcW w:w="183" w:type="pct"/>
            <w:vAlign w:val="center"/>
          </w:tcPr>
          <w:p>
            <w:pPr>
              <w:keepLines/>
              <w:jc w:val="center"/>
              <w:rPr>
                <w:color w:val="FF0000"/>
                <w:szCs w:val="21"/>
              </w:rPr>
            </w:pPr>
            <w:r>
              <w:rPr>
                <w:color w:val="FF0000"/>
                <w:szCs w:val="21"/>
              </w:rPr>
              <w:t xml:space="preserve">0.71 </w:t>
            </w:r>
          </w:p>
        </w:tc>
        <w:tc>
          <w:tcPr>
            <w:tcW w:w="185" w:type="pct"/>
            <w:vAlign w:val="center"/>
          </w:tcPr>
          <w:p>
            <w:pPr>
              <w:keepLines/>
              <w:jc w:val="center"/>
              <w:rPr>
                <w:color w:val="FF0000"/>
                <w:szCs w:val="21"/>
              </w:rPr>
            </w:pPr>
            <w:r>
              <w:rPr>
                <w:color w:val="FF0000"/>
                <w:szCs w:val="21"/>
                <w:shd w:val="clear" w:color="auto" w:fill="F7CAAC" w:themeFill="accent2" w:themeFillTint="66"/>
              </w:rPr>
              <w:t>1.02</w:t>
            </w:r>
            <w:r>
              <w:rPr>
                <w:color w:val="FF0000"/>
                <w:szCs w:val="21"/>
              </w:rPr>
              <w:t xml:space="preserve"> </w:t>
            </w:r>
          </w:p>
        </w:tc>
        <w:tc>
          <w:tcPr>
            <w:tcW w:w="191" w:type="pct"/>
            <w:gridSpan w:val="2"/>
            <w:vAlign w:val="center"/>
          </w:tcPr>
          <w:p>
            <w:pPr>
              <w:keepLines/>
              <w:jc w:val="center"/>
              <w:rPr>
                <w:color w:val="FF0000"/>
                <w:szCs w:val="21"/>
              </w:rPr>
            </w:pPr>
            <w:r>
              <w:rPr>
                <w:color w:val="FF0000"/>
                <w:szCs w:val="21"/>
              </w:rPr>
              <w:t xml:space="preserve">0.73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耗氧量</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1.66</w:t>
            </w:r>
          </w:p>
        </w:tc>
        <w:tc>
          <w:tcPr>
            <w:tcW w:w="352" w:type="pct"/>
            <w:vAlign w:val="center"/>
          </w:tcPr>
          <w:p>
            <w:pPr>
              <w:keepLines/>
              <w:jc w:val="center"/>
              <w:rPr>
                <w:color w:val="FF0000"/>
                <w:szCs w:val="21"/>
              </w:rPr>
            </w:pPr>
            <w:r>
              <w:rPr>
                <w:color w:val="FF0000"/>
                <w:szCs w:val="21"/>
              </w:rPr>
              <w:t>1.87</w:t>
            </w:r>
          </w:p>
        </w:tc>
        <w:tc>
          <w:tcPr>
            <w:tcW w:w="352" w:type="pct"/>
            <w:vAlign w:val="center"/>
          </w:tcPr>
          <w:p>
            <w:pPr>
              <w:keepLines/>
              <w:jc w:val="center"/>
              <w:rPr>
                <w:color w:val="FF0000"/>
                <w:szCs w:val="21"/>
              </w:rPr>
            </w:pPr>
            <w:r>
              <w:rPr>
                <w:color w:val="FF0000"/>
                <w:szCs w:val="21"/>
              </w:rPr>
              <w:t>1.20</w:t>
            </w:r>
          </w:p>
        </w:tc>
        <w:tc>
          <w:tcPr>
            <w:tcW w:w="352" w:type="pct"/>
            <w:vAlign w:val="center"/>
          </w:tcPr>
          <w:p>
            <w:pPr>
              <w:keepLines/>
              <w:jc w:val="center"/>
              <w:rPr>
                <w:color w:val="FF0000"/>
                <w:szCs w:val="21"/>
              </w:rPr>
            </w:pPr>
            <w:r>
              <w:rPr>
                <w:color w:val="FF0000"/>
                <w:szCs w:val="21"/>
              </w:rPr>
              <w:t>1.01</w:t>
            </w:r>
          </w:p>
        </w:tc>
        <w:tc>
          <w:tcPr>
            <w:tcW w:w="352" w:type="pct"/>
            <w:vAlign w:val="center"/>
          </w:tcPr>
          <w:p>
            <w:pPr>
              <w:keepLines/>
              <w:jc w:val="center"/>
              <w:rPr>
                <w:color w:val="FF0000"/>
                <w:szCs w:val="21"/>
              </w:rPr>
            </w:pPr>
            <w:r>
              <w:rPr>
                <w:color w:val="FF0000"/>
                <w:szCs w:val="21"/>
              </w:rPr>
              <w:t>1.30</w:t>
            </w:r>
          </w:p>
        </w:tc>
        <w:tc>
          <w:tcPr>
            <w:tcW w:w="352" w:type="pct"/>
            <w:vAlign w:val="center"/>
          </w:tcPr>
          <w:p>
            <w:pPr>
              <w:keepLines/>
              <w:jc w:val="center"/>
              <w:rPr>
                <w:color w:val="FF0000"/>
                <w:szCs w:val="21"/>
              </w:rPr>
            </w:pPr>
            <w:r>
              <w:rPr>
                <w:color w:val="FF0000"/>
                <w:szCs w:val="21"/>
              </w:rPr>
              <w:t>2.91</w:t>
            </w:r>
          </w:p>
        </w:tc>
        <w:tc>
          <w:tcPr>
            <w:tcW w:w="360" w:type="pct"/>
            <w:vAlign w:val="center"/>
          </w:tcPr>
          <w:p>
            <w:pPr>
              <w:keepLines/>
              <w:jc w:val="center"/>
              <w:rPr>
                <w:color w:val="FF0000"/>
                <w:szCs w:val="21"/>
              </w:rPr>
            </w:pPr>
            <w:r>
              <w:rPr>
                <w:color w:val="FF0000"/>
                <w:szCs w:val="21"/>
              </w:rPr>
              <w:t>2.36</w:t>
            </w:r>
          </w:p>
        </w:tc>
        <w:tc>
          <w:tcPr>
            <w:tcW w:w="236" w:type="pct"/>
            <w:vAlign w:val="center"/>
          </w:tcPr>
          <w:p>
            <w:pPr>
              <w:keepLines/>
              <w:jc w:val="center"/>
              <w:rPr>
                <w:color w:val="FF0000"/>
                <w:szCs w:val="21"/>
              </w:rPr>
            </w:pPr>
            <w:r>
              <w:rPr>
                <w:color w:val="FF0000"/>
                <w:szCs w:val="21"/>
              </w:rPr>
              <w:t>3</w:t>
            </w:r>
          </w:p>
        </w:tc>
        <w:tc>
          <w:tcPr>
            <w:tcW w:w="183" w:type="pct"/>
          </w:tcPr>
          <w:p>
            <w:pPr>
              <w:keepLines/>
              <w:jc w:val="center"/>
              <w:rPr>
                <w:color w:val="FF0000"/>
                <w:szCs w:val="21"/>
              </w:rPr>
            </w:pPr>
            <w:r>
              <w:rPr>
                <w:color w:val="FF0000"/>
              </w:rPr>
              <w:t xml:space="preserve">0.55 </w:t>
            </w:r>
          </w:p>
        </w:tc>
        <w:tc>
          <w:tcPr>
            <w:tcW w:w="250" w:type="pct"/>
          </w:tcPr>
          <w:p>
            <w:pPr>
              <w:keepLines/>
              <w:jc w:val="center"/>
              <w:rPr>
                <w:color w:val="FF0000"/>
                <w:szCs w:val="21"/>
              </w:rPr>
            </w:pPr>
            <w:r>
              <w:rPr>
                <w:color w:val="FF0000"/>
              </w:rPr>
              <w:t xml:space="preserve">0.62 </w:t>
            </w:r>
          </w:p>
        </w:tc>
        <w:tc>
          <w:tcPr>
            <w:tcW w:w="268" w:type="pct"/>
          </w:tcPr>
          <w:p>
            <w:pPr>
              <w:keepLines/>
              <w:jc w:val="center"/>
              <w:rPr>
                <w:color w:val="FF0000"/>
                <w:szCs w:val="21"/>
              </w:rPr>
            </w:pPr>
            <w:r>
              <w:rPr>
                <w:color w:val="FF0000"/>
              </w:rPr>
              <w:t xml:space="preserve">0.40 </w:t>
            </w:r>
          </w:p>
        </w:tc>
        <w:tc>
          <w:tcPr>
            <w:tcW w:w="183" w:type="pct"/>
          </w:tcPr>
          <w:p>
            <w:pPr>
              <w:keepLines/>
              <w:jc w:val="center"/>
              <w:rPr>
                <w:color w:val="FF0000"/>
                <w:szCs w:val="21"/>
              </w:rPr>
            </w:pPr>
            <w:r>
              <w:rPr>
                <w:color w:val="FF0000"/>
              </w:rPr>
              <w:t xml:space="preserve">0.34 </w:t>
            </w:r>
          </w:p>
        </w:tc>
        <w:tc>
          <w:tcPr>
            <w:tcW w:w="183" w:type="pct"/>
          </w:tcPr>
          <w:p>
            <w:pPr>
              <w:keepLines/>
              <w:jc w:val="center"/>
              <w:rPr>
                <w:color w:val="FF0000"/>
                <w:szCs w:val="21"/>
              </w:rPr>
            </w:pPr>
            <w:r>
              <w:rPr>
                <w:color w:val="FF0000"/>
              </w:rPr>
              <w:t xml:space="preserve">0.43 </w:t>
            </w:r>
          </w:p>
        </w:tc>
        <w:tc>
          <w:tcPr>
            <w:tcW w:w="185" w:type="pct"/>
          </w:tcPr>
          <w:p>
            <w:pPr>
              <w:keepLines/>
              <w:jc w:val="center"/>
              <w:rPr>
                <w:color w:val="FF0000"/>
                <w:szCs w:val="21"/>
              </w:rPr>
            </w:pPr>
            <w:r>
              <w:rPr>
                <w:color w:val="FF0000"/>
              </w:rPr>
              <w:t xml:space="preserve">0.97 </w:t>
            </w:r>
          </w:p>
        </w:tc>
        <w:tc>
          <w:tcPr>
            <w:tcW w:w="191" w:type="pct"/>
            <w:gridSpan w:val="2"/>
          </w:tcPr>
          <w:p>
            <w:pPr>
              <w:keepLines/>
              <w:jc w:val="center"/>
              <w:rPr>
                <w:color w:val="FF0000"/>
                <w:szCs w:val="21"/>
              </w:rPr>
            </w:pPr>
            <w:r>
              <w:rPr>
                <w:color w:val="FF0000"/>
              </w:rPr>
              <w:t xml:space="preserve">0.79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总大肠菌群</w:t>
            </w:r>
          </w:p>
        </w:tc>
        <w:tc>
          <w:tcPr>
            <w:tcW w:w="403" w:type="pct"/>
            <w:vAlign w:val="center"/>
          </w:tcPr>
          <w:p>
            <w:pPr>
              <w:keepLines/>
              <w:jc w:val="center"/>
              <w:rPr>
                <w:color w:val="FF0000"/>
                <w:szCs w:val="21"/>
              </w:rPr>
            </w:pPr>
            <w:r>
              <w:rPr>
                <w:color w:val="FF0000"/>
                <w:szCs w:val="21"/>
              </w:rPr>
              <w:t>MPN/mL</w:t>
            </w:r>
          </w:p>
        </w:tc>
        <w:tc>
          <w:tcPr>
            <w:tcW w:w="352" w:type="pct"/>
            <w:vAlign w:val="center"/>
          </w:tcPr>
          <w:p>
            <w:pPr>
              <w:keepLines/>
              <w:jc w:val="center"/>
              <w:rPr>
                <w:color w:val="FF0000"/>
                <w:szCs w:val="21"/>
              </w:rPr>
            </w:pPr>
            <w:r>
              <w:rPr>
                <w:rFonts w:ascii="宋体" w:hAnsi="宋体"/>
                <w:color w:val="FF0000"/>
                <w:szCs w:val="21"/>
              </w:rPr>
              <w:t>未检出</w:t>
            </w:r>
          </w:p>
        </w:tc>
        <w:tc>
          <w:tcPr>
            <w:tcW w:w="352" w:type="pct"/>
            <w:vAlign w:val="center"/>
          </w:tcPr>
          <w:p>
            <w:pPr>
              <w:keepLines/>
              <w:jc w:val="center"/>
              <w:rPr>
                <w:color w:val="FF0000"/>
                <w:szCs w:val="21"/>
              </w:rPr>
            </w:pPr>
            <w:r>
              <w:rPr>
                <w:rFonts w:ascii="宋体" w:hAnsi="宋体"/>
                <w:color w:val="FF0000"/>
                <w:szCs w:val="21"/>
              </w:rPr>
              <w:t>未检出</w:t>
            </w:r>
          </w:p>
        </w:tc>
        <w:tc>
          <w:tcPr>
            <w:tcW w:w="352" w:type="pct"/>
            <w:vAlign w:val="center"/>
          </w:tcPr>
          <w:p>
            <w:pPr>
              <w:keepLines/>
              <w:jc w:val="center"/>
              <w:rPr>
                <w:color w:val="FF0000"/>
                <w:szCs w:val="21"/>
              </w:rPr>
            </w:pPr>
            <w:r>
              <w:rPr>
                <w:rFonts w:ascii="宋体" w:hAnsi="宋体"/>
                <w:color w:val="FF0000"/>
                <w:szCs w:val="21"/>
              </w:rPr>
              <w:t>未检出</w:t>
            </w:r>
          </w:p>
        </w:tc>
        <w:tc>
          <w:tcPr>
            <w:tcW w:w="352" w:type="pct"/>
            <w:vAlign w:val="center"/>
          </w:tcPr>
          <w:p>
            <w:pPr>
              <w:keepLines/>
              <w:jc w:val="center"/>
              <w:rPr>
                <w:color w:val="FF0000"/>
                <w:szCs w:val="21"/>
              </w:rPr>
            </w:pPr>
            <w:r>
              <w:rPr>
                <w:rFonts w:ascii="宋体" w:hAnsi="宋体"/>
                <w:color w:val="FF0000"/>
                <w:szCs w:val="21"/>
              </w:rPr>
              <w:t>未检出</w:t>
            </w:r>
          </w:p>
        </w:tc>
        <w:tc>
          <w:tcPr>
            <w:tcW w:w="352" w:type="pct"/>
            <w:vAlign w:val="center"/>
          </w:tcPr>
          <w:p>
            <w:pPr>
              <w:keepLines/>
              <w:jc w:val="center"/>
              <w:rPr>
                <w:color w:val="FF0000"/>
                <w:szCs w:val="21"/>
              </w:rPr>
            </w:pPr>
            <w:r>
              <w:rPr>
                <w:rFonts w:ascii="宋体" w:hAnsi="宋体"/>
                <w:color w:val="FF0000"/>
                <w:szCs w:val="21"/>
              </w:rPr>
              <w:t>未检出</w:t>
            </w:r>
          </w:p>
        </w:tc>
        <w:tc>
          <w:tcPr>
            <w:tcW w:w="352" w:type="pct"/>
            <w:vAlign w:val="center"/>
          </w:tcPr>
          <w:p>
            <w:pPr>
              <w:keepLines/>
              <w:jc w:val="center"/>
              <w:rPr>
                <w:color w:val="FF0000"/>
                <w:szCs w:val="21"/>
              </w:rPr>
            </w:pPr>
            <w:r>
              <w:rPr>
                <w:rFonts w:ascii="宋体" w:hAnsi="宋体"/>
                <w:color w:val="FF0000"/>
                <w:szCs w:val="21"/>
              </w:rPr>
              <w:t>未检出</w:t>
            </w:r>
          </w:p>
        </w:tc>
        <w:tc>
          <w:tcPr>
            <w:tcW w:w="360" w:type="pct"/>
            <w:vAlign w:val="center"/>
          </w:tcPr>
          <w:p>
            <w:pPr>
              <w:keepLines/>
              <w:jc w:val="center"/>
              <w:rPr>
                <w:color w:val="FF0000"/>
                <w:szCs w:val="21"/>
              </w:rPr>
            </w:pPr>
            <w:r>
              <w:rPr>
                <w:rFonts w:ascii="宋体" w:hAnsi="宋体"/>
                <w:color w:val="FF0000"/>
                <w:szCs w:val="21"/>
              </w:rPr>
              <w:t>未检出</w:t>
            </w:r>
          </w:p>
        </w:tc>
        <w:tc>
          <w:tcPr>
            <w:tcW w:w="236" w:type="pct"/>
            <w:vAlign w:val="center"/>
          </w:tcPr>
          <w:p>
            <w:pPr>
              <w:keepLines/>
              <w:jc w:val="center"/>
              <w:rPr>
                <w:color w:val="FF0000"/>
                <w:szCs w:val="21"/>
              </w:rPr>
            </w:pPr>
            <w:r>
              <w:rPr>
                <w:color w:val="FF0000"/>
                <w:szCs w:val="21"/>
              </w:rPr>
              <w:t>3</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菌落总数</w:t>
            </w:r>
          </w:p>
        </w:tc>
        <w:tc>
          <w:tcPr>
            <w:tcW w:w="403" w:type="pct"/>
            <w:vAlign w:val="center"/>
          </w:tcPr>
          <w:p>
            <w:pPr>
              <w:keepLines/>
              <w:jc w:val="center"/>
              <w:rPr>
                <w:color w:val="FF0000"/>
                <w:szCs w:val="21"/>
              </w:rPr>
            </w:pPr>
            <w:r>
              <w:rPr>
                <w:rFonts w:ascii="宋体" w:hAnsi="宋体"/>
                <w:color w:val="FF0000"/>
                <w:szCs w:val="21"/>
              </w:rPr>
              <w:t>个</w:t>
            </w:r>
            <w:r>
              <w:rPr>
                <w:color w:val="FF0000"/>
                <w:szCs w:val="21"/>
              </w:rPr>
              <w:t>/L</w:t>
            </w:r>
          </w:p>
        </w:tc>
        <w:tc>
          <w:tcPr>
            <w:tcW w:w="352" w:type="pct"/>
            <w:vAlign w:val="center"/>
          </w:tcPr>
          <w:p>
            <w:pPr>
              <w:keepLines/>
              <w:jc w:val="center"/>
              <w:rPr>
                <w:color w:val="FF0000"/>
                <w:szCs w:val="21"/>
              </w:rPr>
            </w:pPr>
            <w:r>
              <w:rPr>
                <w:color w:val="FF0000"/>
                <w:szCs w:val="21"/>
              </w:rPr>
              <w:t>31</w:t>
            </w:r>
          </w:p>
        </w:tc>
        <w:tc>
          <w:tcPr>
            <w:tcW w:w="352" w:type="pct"/>
            <w:vAlign w:val="center"/>
          </w:tcPr>
          <w:p>
            <w:pPr>
              <w:keepLines/>
              <w:jc w:val="center"/>
              <w:rPr>
                <w:color w:val="FF0000"/>
                <w:szCs w:val="21"/>
              </w:rPr>
            </w:pPr>
            <w:r>
              <w:rPr>
                <w:color w:val="FF0000"/>
                <w:szCs w:val="21"/>
              </w:rPr>
              <w:t>59</w:t>
            </w:r>
          </w:p>
        </w:tc>
        <w:tc>
          <w:tcPr>
            <w:tcW w:w="352" w:type="pct"/>
            <w:vAlign w:val="center"/>
          </w:tcPr>
          <w:p>
            <w:pPr>
              <w:keepLines/>
              <w:jc w:val="center"/>
              <w:rPr>
                <w:color w:val="FF0000"/>
                <w:szCs w:val="21"/>
              </w:rPr>
            </w:pPr>
            <w:r>
              <w:rPr>
                <w:color w:val="FF0000"/>
                <w:szCs w:val="21"/>
              </w:rPr>
              <w:t>56</w:t>
            </w:r>
          </w:p>
        </w:tc>
        <w:tc>
          <w:tcPr>
            <w:tcW w:w="352" w:type="pct"/>
            <w:vAlign w:val="center"/>
          </w:tcPr>
          <w:p>
            <w:pPr>
              <w:keepLines/>
              <w:jc w:val="center"/>
              <w:rPr>
                <w:color w:val="FF0000"/>
                <w:szCs w:val="21"/>
              </w:rPr>
            </w:pPr>
            <w:r>
              <w:rPr>
                <w:color w:val="FF0000"/>
                <w:szCs w:val="21"/>
              </w:rPr>
              <w:t>43</w:t>
            </w:r>
          </w:p>
        </w:tc>
        <w:tc>
          <w:tcPr>
            <w:tcW w:w="352" w:type="pct"/>
            <w:vAlign w:val="center"/>
          </w:tcPr>
          <w:p>
            <w:pPr>
              <w:keepLines/>
              <w:jc w:val="center"/>
              <w:rPr>
                <w:color w:val="FF0000"/>
                <w:szCs w:val="21"/>
              </w:rPr>
            </w:pPr>
            <w:r>
              <w:rPr>
                <w:color w:val="FF0000"/>
                <w:szCs w:val="21"/>
              </w:rPr>
              <w:t>47</w:t>
            </w:r>
          </w:p>
        </w:tc>
        <w:tc>
          <w:tcPr>
            <w:tcW w:w="352" w:type="pct"/>
            <w:vAlign w:val="center"/>
          </w:tcPr>
          <w:p>
            <w:pPr>
              <w:keepLines/>
              <w:jc w:val="center"/>
              <w:rPr>
                <w:color w:val="FF0000"/>
                <w:szCs w:val="21"/>
              </w:rPr>
            </w:pPr>
            <w:r>
              <w:rPr>
                <w:color w:val="FF0000"/>
                <w:szCs w:val="21"/>
              </w:rPr>
              <w:t>93</w:t>
            </w:r>
          </w:p>
        </w:tc>
        <w:tc>
          <w:tcPr>
            <w:tcW w:w="360" w:type="pct"/>
            <w:vAlign w:val="center"/>
          </w:tcPr>
          <w:p>
            <w:pPr>
              <w:keepLines/>
              <w:jc w:val="center"/>
              <w:rPr>
                <w:color w:val="FF0000"/>
                <w:szCs w:val="21"/>
              </w:rPr>
            </w:pPr>
            <w:r>
              <w:rPr>
                <w:color w:val="FF0000"/>
                <w:szCs w:val="21"/>
              </w:rPr>
              <w:t>76</w:t>
            </w:r>
          </w:p>
        </w:tc>
        <w:tc>
          <w:tcPr>
            <w:tcW w:w="236" w:type="pct"/>
            <w:vAlign w:val="center"/>
          </w:tcPr>
          <w:p>
            <w:pPr>
              <w:keepLines/>
              <w:jc w:val="center"/>
              <w:rPr>
                <w:color w:val="FF0000"/>
                <w:szCs w:val="21"/>
              </w:rPr>
            </w:pPr>
            <w:r>
              <w:rPr>
                <w:color w:val="FF0000"/>
                <w:szCs w:val="21"/>
              </w:rPr>
              <w:t>100</w:t>
            </w:r>
          </w:p>
        </w:tc>
        <w:tc>
          <w:tcPr>
            <w:tcW w:w="183" w:type="pct"/>
            <w:vAlign w:val="center"/>
          </w:tcPr>
          <w:p>
            <w:pPr>
              <w:keepLines/>
              <w:jc w:val="center"/>
              <w:rPr>
                <w:color w:val="FF0000"/>
                <w:szCs w:val="21"/>
              </w:rPr>
            </w:pPr>
            <w:r>
              <w:rPr>
                <w:color w:val="FF0000"/>
                <w:szCs w:val="21"/>
              </w:rPr>
              <w:t xml:space="preserve">0.31 </w:t>
            </w:r>
          </w:p>
        </w:tc>
        <w:tc>
          <w:tcPr>
            <w:tcW w:w="250" w:type="pct"/>
            <w:vAlign w:val="center"/>
          </w:tcPr>
          <w:p>
            <w:pPr>
              <w:keepLines/>
              <w:jc w:val="center"/>
              <w:rPr>
                <w:color w:val="FF0000"/>
                <w:szCs w:val="21"/>
              </w:rPr>
            </w:pPr>
            <w:r>
              <w:rPr>
                <w:color w:val="FF0000"/>
                <w:szCs w:val="21"/>
              </w:rPr>
              <w:t>0.59</w:t>
            </w:r>
          </w:p>
        </w:tc>
        <w:tc>
          <w:tcPr>
            <w:tcW w:w="268" w:type="pct"/>
            <w:vAlign w:val="center"/>
          </w:tcPr>
          <w:p>
            <w:pPr>
              <w:keepLines/>
              <w:jc w:val="center"/>
              <w:rPr>
                <w:color w:val="FF0000"/>
                <w:szCs w:val="21"/>
              </w:rPr>
            </w:pPr>
            <w:r>
              <w:rPr>
                <w:color w:val="FF0000"/>
                <w:szCs w:val="21"/>
              </w:rPr>
              <w:t xml:space="preserve">0.56 </w:t>
            </w:r>
          </w:p>
        </w:tc>
        <w:tc>
          <w:tcPr>
            <w:tcW w:w="183" w:type="pct"/>
            <w:vAlign w:val="center"/>
          </w:tcPr>
          <w:p>
            <w:pPr>
              <w:keepLines/>
              <w:jc w:val="center"/>
              <w:rPr>
                <w:color w:val="FF0000"/>
                <w:szCs w:val="21"/>
              </w:rPr>
            </w:pPr>
            <w:r>
              <w:rPr>
                <w:color w:val="FF0000"/>
                <w:szCs w:val="21"/>
              </w:rPr>
              <w:t xml:space="preserve">0.43 </w:t>
            </w:r>
          </w:p>
        </w:tc>
        <w:tc>
          <w:tcPr>
            <w:tcW w:w="183" w:type="pct"/>
            <w:vAlign w:val="center"/>
          </w:tcPr>
          <w:p>
            <w:pPr>
              <w:keepLines/>
              <w:jc w:val="center"/>
              <w:rPr>
                <w:color w:val="FF0000"/>
                <w:szCs w:val="21"/>
              </w:rPr>
            </w:pPr>
            <w:r>
              <w:rPr>
                <w:color w:val="FF0000"/>
                <w:szCs w:val="21"/>
              </w:rPr>
              <w:t xml:space="preserve">0.47 </w:t>
            </w:r>
          </w:p>
        </w:tc>
        <w:tc>
          <w:tcPr>
            <w:tcW w:w="185" w:type="pct"/>
            <w:vAlign w:val="center"/>
          </w:tcPr>
          <w:p>
            <w:pPr>
              <w:keepLines/>
              <w:jc w:val="center"/>
              <w:rPr>
                <w:color w:val="FF0000"/>
                <w:szCs w:val="21"/>
              </w:rPr>
            </w:pPr>
            <w:r>
              <w:rPr>
                <w:color w:val="FF0000"/>
                <w:szCs w:val="21"/>
              </w:rPr>
              <w:t xml:space="preserve">0.93 </w:t>
            </w:r>
          </w:p>
        </w:tc>
        <w:tc>
          <w:tcPr>
            <w:tcW w:w="191" w:type="pct"/>
            <w:gridSpan w:val="2"/>
            <w:vAlign w:val="center"/>
          </w:tcPr>
          <w:p>
            <w:pPr>
              <w:keepLines/>
              <w:jc w:val="center"/>
              <w:rPr>
                <w:color w:val="FF0000"/>
                <w:szCs w:val="21"/>
              </w:rPr>
            </w:pPr>
            <w:r>
              <w:rPr>
                <w:color w:val="FF0000"/>
                <w:szCs w:val="21"/>
              </w:rPr>
              <w:t xml:space="preserve">0.76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446" w:type="pct"/>
            <w:vAlign w:val="center"/>
          </w:tcPr>
          <w:p>
            <w:pPr>
              <w:keepLines/>
              <w:jc w:val="center"/>
              <w:rPr>
                <w:color w:val="FF0000"/>
                <w:szCs w:val="21"/>
              </w:rPr>
            </w:pPr>
            <w:r>
              <w:rPr>
                <w:rFonts w:ascii="宋体" w:hAnsi="宋体"/>
                <w:color w:val="FF0000"/>
                <w:szCs w:val="21"/>
              </w:rPr>
              <w:t>总铬</w:t>
            </w:r>
          </w:p>
        </w:tc>
        <w:tc>
          <w:tcPr>
            <w:tcW w:w="403" w:type="pct"/>
            <w:vAlign w:val="center"/>
          </w:tcPr>
          <w:p>
            <w:pPr>
              <w:keepLines/>
              <w:jc w:val="center"/>
              <w:rPr>
                <w:color w:val="FF0000"/>
                <w:szCs w:val="21"/>
              </w:rPr>
            </w:pPr>
            <w:r>
              <w:rPr>
                <w:color w:val="FF0000"/>
                <w:szCs w:val="21"/>
              </w:rPr>
              <w:t>mg/L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52" w:type="pct"/>
            <w:vAlign w:val="center"/>
          </w:tcPr>
          <w:p>
            <w:pPr>
              <w:keepLines/>
              <w:jc w:val="center"/>
              <w:rPr>
                <w:color w:val="FF0000"/>
                <w:szCs w:val="21"/>
              </w:rPr>
            </w:pPr>
            <w:r>
              <w:rPr>
                <w:color w:val="FF0000"/>
                <w:szCs w:val="21"/>
              </w:rPr>
              <w:t>0.03L</w:t>
            </w:r>
          </w:p>
        </w:tc>
        <w:tc>
          <w:tcPr>
            <w:tcW w:w="360" w:type="pct"/>
            <w:vAlign w:val="center"/>
          </w:tcPr>
          <w:p>
            <w:pPr>
              <w:keepLines/>
              <w:jc w:val="center"/>
              <w:rPr>
                <w:color w:val="FF0000"/>
                <w:szCs w:val="21"/>
              </w:rPr>
            </w:pPr>
            <w:r>
              <w:rPr>
                <w:color w:val="FF0000"/>
                <w:szCs w:val="21"/>
              </w:rPr>
              <w:t>0.03L</w:t>
            </w:r>
          </w:p>
        </w:tc>
        <w:tc>
          <w:tcPr>
            <w:tcW w:w="236"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250" w:type="pct"/>
            <w:vAlign w:val="center"/>
          </w:tcPr>
          <w:p>
            <w:pPr>
              <w:keepLines/>
              <w:jc w:val="center"/>
              <w:rPr>
                <w:color w:val="FF0000"/>
                <w:szCs w:val="21"/>
              </w:rPr>
            </w:pPr>
            <w:r>
              <w:rPr>
                <w:color w:val="FF0000"/>
                <w:szCs w:val="21"/>
              </w:rPr>
              <w:t>--</w:t>
            </w:r>
          </w:p>
        </w:tc>
        <w:tc>
          <w:tcPr>
            <w:tcW w:w="268"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3" w:type="pct"/>
            <w:vAlign w:val="center"/>
          </w:tcPr>
          <w:p>
            <w:pPr>
              <w:keepLines/>
              <w:jc w:val="center"/>
              <w:rPr>
                <w:color w:val="FF0000"/>
                <w:szCs w:val="21"/>
              </w:rPr>
            </w:pPr>
            <w:r>
              <w:rPr>
                <w:color w:val="FF0000"/>
                <w:szCs w:val="21"/>
              </w:rPr>
              <w:t>--</w:t>
            </w:r>
          </w:p>
        </w:tc>
        <w:tc>
          <w:tcPr>
            <w:tcW w:w="185" w:type="pct"/>
            <w:vAlign w:val="center"/>
          </w:tcPr>
          <w:p>
            <w:pPr>
              <w:keepLines/>
              <w:jc w:val="center"/>
              <w:rPr>
                <w:color w:val="FF0000"/>
                <w:szCs w:val="21"/>
              </w:rPr>
            </w:pPr>
            <w:r>
              <w:rPr>
                <w:color w:val="FF0000"/>
                <w:szCs w:val="21"/>
              </w:rPr>
              <w:t>--</w:t>
            </w:r>
          </w:p>
        </w:tc>
        <w:tc>
          <w:tcPr>
            <w:tcW w:w="191" w:type="pct"/>
            <w:gridSpan w:val="2"/>
            <w:vAlign w:val="center"/>
          </w:tcPr>
          <w:p>
            <w:pPr>
              <w:keepLines/>
              <w:jc w:val="center"/>
              <w:rPr>
                <w:color w:val="FF0000"/>
                <w:szCs w:val="21"/>
              </w:rPr>
            </w:pPr>
            <w:r>
              <w:rPr>
                <w:color w:val="FF0000"/>
                <w:szCs w:val="21"/>
              </w:rPr>
              <w:t>--</w:t>
            </w:r>
          </w:p>
        </w:tc>
      </w:tr>
    </w:tbl>
    <w:p>
      <w:pPr>
        <w:widowControl/>
        <w:adjustRightInd w:val="0"/>
        <w:snapToGrid w:val="0"/>
        <w:jc w:val="center"/>
        <w:rPr>
          <w:b/>
          <w:bCs/>
          <w:kern w:val="0"/>
          <w:szCs w:val="21"/>
        </w:rPr>
      </w:pPr>
      <w:r>
        <w:rPr>
          <w:b/>
          <w:bCs/>
          <w:kern w:val="0"/>
          <w:sz w:val="24"/>
        </w:rPr>
        <w:t>表4.2-7</w:t>
      </w:r>
      <w:r>
        <w:rPr>
          <w:b/>
          <w:bCs/>
          <w:kern w:val="0"/>
          <w:szCs w:val="21"/>
        </w:rPr>
        <w:t xml:space="preserve">  </w:t>
      </w:r>
      <w:r>
        <w:rPr>
          <w:rFonts w:ascii="宋体" w:hAnsi="宋体"/>
          <w:b/>
          <w:bCs/>
          <w:kern w:val="0"/>
          <w:szCs w:val="21"/>
        </w:rPr>
        <w:t>地下水化学类型及阴阳离子平衡分析表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412"/>
        <w:gridCol w:w="787"/>
        <w:gridCol w:w="1732"/>
        <w:gridCol w:w="1733"/>
        <w:gridCol w:w="1734"/>
        <w:gridCol w:w="1733"/>
        <w:gridCol w:w="1733"/>
        <w:gridCol w:w="1891"/>
        <w:gridCol w:w="1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adjustRightInd w:val="0"/>
              <w:snapToGrid w:val="0"/>
              <w:jc w:val="center"/>
              <w:rPr>
                <w:color w:val="FF0000"/>
                <w:szCs w:val="21"/>
              </w:rPr>
            </w:pPr>
            <w:r>
              <w:rPr>
                <w:rFonts w:ascii="宋体" w:hAnsi="宋体"/>
                <w:color w:val="FF0000"/>
                <w:szCs w:val="21"/>
              </w:rPr>
              <w:t>项目</w:t>
            </w:r>
          </w:p>
        </w:tc>
        <w:tc>
          <w:tcPr>
            <w:tcW w:w="784" w:type="dxa"/>
            <w:vAlign w:val="center"/>
          </w:tcPr>
          <w:p>
            <w:pPr>
              <w:keepLines/>
              <w:adjustRightInd w:val="0"/>
              <w:snapToGrid w:val="0"/>
              <w:jc w:val="center"/>
              <w:rPr>
                <w:color w:val="FF0000"/>
                <w:szCs w:val="21"/>
              </w:rPr>
            </w:pPr>
            <w:r>
              <w:rPr>
                <w:rFonts w:ascii="宋体" w:hAnsi="宋体"/>
                <w:color w:val="FF0000"/>
                <w:szCs w:val="21"/>
              </w:rPr>
              <w:t>单位</w:t>
            </w:r>
          </w:p>
        </w:tc>
        <w:tc>
          <w:tcPr>
            <w:tcW w:w="1725" w:type="dxa"/>
            <w:vAlign w:val="center"/>
          </w:tcPr>
          <w:p>
            <w:pPr>
              <w:keepLines/>
              <w:adjustRightInd w:val="0"/>
              <w:snapToGrid w:val="0"/>
              <w:jc w:val="center"/>
              <w:rPr>
                <w:color w:val="FF0000"/>
                <w:szCs w:val="21"/>
              </w:rPr>
            </w:pPr>
            <w:r>
              <w:rPr>
                <w:color w:val="FF0000"/>
                <w:szCs w:val="21"/>
              </w:rPr>
              <w:t>D1</w:t>
            </w:r>
          </w:p>
        </w:tc>
        <w:tc>
          <w:tcPr>
            <w:tcW w:w="1726" w:type="dxa"/>
            <w:vAlign w:val="center"/>
          </w:tcPr>
          <w:p>
            <w:pPr>
              <w:keepLines/>
              <w:adjustRightInd w:val="0"/>
              <w:snapToGrid w:val="0"/>
              <w:jc w:val="center"/>
              <w:rPr>
                <w:color w:val="FF0000"/>
                <w:szCs w:val="21"/>
              </w:rPr>
            </w:pPr>
            <w:r>
              <w:rPr>
                <w:color w:val="FF0000"/>
                <w:szCs w:val="21"/>
              </w:rPr>
              <w:t>D2</w:t>
            </w:r>
          </w:p>
        </w:tc>
        <w:tc>
          <w:tcPr>
            <w:tcW w:w="1727" w:type="dxa"/>
            <w:vAlign w:val="center"/>
          </w:tcPr>
          <w:p>
            <w:pPr>
              <w:keepLines/>
              <w:adjustRightInd w:val="0"/>
              <w:snapToGrid w:val="0"/>
              <w:jc w:val="center"/>
              <w:rPr>
                <w:color w:val="FF0000"/>
                <w:szCs w:val="21"/>
              </w:rPr>
            </w:pPr>
            <w:r>
              <w:rPr>
                <w:color w:val="FF0000"/>
                <w:szCs w:val="21"/>
              </w:rPr>
              <w:t>D3</w:t>
            </w:r>
          </w:p>
        </w:tc>
        <w:tc>
          <w:tcPr>
            <w:tcW w:w="1726" w:type="dxa"/>
            <w:vAlign w:val="center"/>
          </w:tcPr>
          <w:p>
            <w:pPr>
              <w:keepLines/>
              <w:adjustRightInd w:val="0"/>
              <w:snapToGrid w:val="0"/>
              <w:jc w:val="center"/>
              <w:rPr>
                <w:color w:val="FF0000"/>
                <w:szCs w:val="21"/>
              </w:rPr>
            </w:pPr>
            <w:r>
              <w:rPr>
                <w:color w:val="FF0000"/>
                <w:szCs w:val="21"/>
              </w:rPr>
              <w:t>D4</w:t>
            </w:r>
          </w:p>
        </w:tc>
        <w:tc>
          <w:tcPr>
            <w:tcW w:w="1726" w:type="dxa"/>
            <w:vAlign w:val="center"/>
          </w:tcPr>
          <w:p>
            <w:pPr>
              <w:keepLines/>
              <w:adjustRightInd w:val="0"/>
              <w:snapToGrid w:val="0"/>
              <w:jc w:val="center"/>
              <w:rPr>
                <w:color w:val="FF0000"/>
                <w:szCs w:val="21"/>
              </w:rPr>
            </w:pPr>
            <w:r>
              <w:rPr>
                <w:color w:val="FF0000"/>
                <w:szCs w:val="21"/>
              </w:rPr>
              <w:t>D5</w:t>
            </w:r>
          </w:p>
        </w:tc>
        <w:tc>
          <w:tcPr>
            <w:tcW w:w="1883" w:type="dxa"/>
            <w:vAlign w:val="center"/>
          </w:tcPr>
          <w:p>
            <w:pPr>
              <w:keepLines/>
              <w:adjustRightInd w:val="0"/>
              <w:snapToGrid w:val="0"/>
              <w:jc w:val="center"/>
              <w:rPr>
                <w:color w:val="FF0000"/>
                <w:szCs w:val="21"/>
              </w:rPr>
            </w:pPr>
            <w:r>
              <w:rPr>
                <w:color w:val="FF0000"/>
                <w:szCs w:val="21"/>
              </w:rPr>
              <w:t>D6</w:t>
            </w:r>
          </w:p>
        </w:tc>
        <w:tc>
          <w:tcPr>
            <w:tcW w:w="1945" w:type="dxa"/>
            <w:vAlign w:val="center"/>
          </w:tcPr>
          <w:p>
            <w:pPr>
              <w:keepLines/>
              <w:adjustRightInd w:val="0"/>
              <w:snapToGrid w:val="0"/>
              <w:jc w:val="center"/>
              <w:rPr>
                <w:color w:val="FF0000"/>
                <w:szCs w:val="21"/>
              </w:rPr>
            </w:pPr>
            <w:r>
              <w:rPr>
                <w:color w:val="FF0000"/>
                <w:szCs w:val="21"/>
              </w:rPr>
              <w:t>D7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keepLines/>
              <w:jc w:val="center"/>
              <w:rPr>
                <w:color w:val="FF0000"/>
                <w:szCs w:val="21"/>
                <w:vertAlign w:val="superscript"/>
              </w:rPr>
            </w:pPr>
            <w:r>
              <w:rPr>
                <w:color w:val="FF0000"/>
                <w:szCs w:val="21"/>
              </w:rPr>
              <w:t>K</w:t>
            </w:r>
            <w:r>
              <w:rPr>
                <w:color w:val="FF0000"/>
                <w:szCs w:val="21"/>
                <w:vertAlign w:val="superscript"/>
              </w:rPr>
              <w:t>+</w:t>
            </w:r>
          </w:p>
        </w:tc>
        <w:tc>
          <w:tcPr>
            <w:tcW w:w="784" w:type="dxa"/>
            <w:vAlign w:val="center"/>
          </w:tcPr>
          <w:p>
            <w:pPr>
              <w:jc w:val="center"/>
              <w:rPr>
                <w:color w:val="FF0000"/>
                <w:szCs w:val="21"/>
              </w:rPr>
            </w:pPr>
            <w:r>
              <w:rPr>
                <w:color w:val="FF0000"/>
                <w:szCs w:val="21"/>
              </w:rPr>
              <w:t>mg/L</w:t>
            </w:r>
          </w:p>
        </w:tc>
        <w:tc>
          <w:tcPr>
            <w:tcW w:w="1725" w:type="dxa"/>
            <w:vAlign w:val="center"/>
          </w:tcPr>
          <w:p>
            <w:pPr>
              <w:keepLines/>
              <w:jc w:val="center"/>
              <w:rPr>
                <w:color w:val="FF0000"/>
                <w:szCs w:val="21"/>
              </w:rPr>
            </w:pPr>
            <w:r>
              <w:rPr>
                <w:color w:val="FF0000"/>
                <w:szCs w:val="21"/>
              </w:rPr>
              <w:t>16.3</w:t>
            </w:r>
          </w:p>
        </w:tc>
        <w:tc>
          <w:tcPr>
            <w:tcW w:w="1726" w:type="dxa"/>
            <w:vAlign w:val="center"/>
          </w:tcPr>
          <w:p>
            <w:pPr>
              <w:keepLines/>
              <w:jc w:val="center"/>
              <w:rPr>
                <w:color w:val="FF0000"/>
                <w:szCs w:val="21"/>
              </w:rPr>
            </w:pPr>
            <w:r>
              <w:rPr>
                <w:color w:val="FF0000"/>
                <w:szCs w:val="21"/>
              </w:rPr>
              <w:t>20.7</w:t>
            </w:r>
          </w:p>
        </w:tc>
        <w:tc>
          <w:tcPr>
            <w:tcW w:w="1727" w:type="dxa"/>
            <w:vAlign w:val="center"/>
          </w:tcPr>
          <w:p>
            <w:pPr>
              <w:keepLines/>
              <w:jc w:val="center"/>
              <w:rPr>
                <w:color w:val="FF0000"/>
                <w:szCs w:val="21"/>
              </w:rPr>
            </w:pPr>
            <w:r>
              <w:rPr>
                <w:color w:val="FF0000"/>
                <w:szCs w:val="21"/>
              </w:rPr>
              <w:t>19.9</w:t>
            </w:r>
          </w:p>
        </w:tc>
        <w:tc>
          <w:tcPr>
            <w:tcW w:w="1726" w:type="dxa"/>
            <w:vAlign w:val="center"/>
          </w:tcPr>
          <w:p>
            <w:pPr>
              <w:keepLines/>
              <w:jc w:val="center"/>
              <w:rPr>
                <w:color w:val="FF0000"/>
                <w:szCs w:val="21"/>
              </w:rPr>
            </w:pPr>
            <w:r>
              <w:rPr>
                <w:color w:val="FF0000"/>
                <w:szCs w:val="21"/>
              </w:rPr>
              <w:t>17.5</w:t>
            </w:r>
          </w:p>
        </w:tc>
        <w:tc>
          <w:tcPr>
            <w:tcW w:w="1726" w:type="dxa"/>
            <w:vAlign w:val="center"/>
          </w:tcPr>
          <w:p>
            <w:pPr>
              <w:keepLines/>
              <w:jc w:val="center"/>
              <w:rPr>
                <w:color w:val="FF0000"/>
                <w:szCs w:val="21"/>
              </w:rPr>
            </w:pPr>
            <w:r>
              <w:rPr>
                <w:color w:val="FF0000"/>
                <w:szCs w:val="21"/>
              </w:rPr>
              <w:t>19.5</w:t>
            </w:r>
          </w:p>
        </w:tc>
        <w:tc>
          <w:tcPr>
            <w:tcW w:w="1883" w:type="dxa"/>
            <w:vAlign w:val="center"/>
          </w:tcPr>
          <w:p>
            <w:pPr>
              <w:keepLines/>
              <w:jc w:val="center"/>
              <w:rPr>
                <w:color w:val="FF0000"/>
                <w:szCs w:val="21"/>
              </w:rPr>
            </w:pPr>
            <w:r>
              <w:rPr>
                <w:color w:val="FF0000"/>
                <w:szCs w:val="21"/>
              </w:rPr>
              <w:t>14.3</w:t>
            </w:r>
          </w:p>
        </w:tc>
        <w:tc>
          <w:tcPr>
            <w:tcW w:w="1945" w:type="dxa"/>
            <w:vAlign w:val="center"/>
          </w:tcPr>
          <w:p>
            <w:pPr>
              <w:keepLines/>
              <w:jc w:val="center"/>
              <w:rPr>
                <w:color w:val="FF0000"/>
                <w:szCs w:val="21"/>
              </w:rPr>
            </w:pPr>
            <w:r>
              <w:rPr>
                <w:color w:val="FF0000"/>
                <w:szCs w:val="21"/>
              </w:rPr>
              <w:t>20.3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keepLines/>
              <w:jc w:val="center"/>
              <w:rPr>
                <w:color w:val="FF0000"/>
                <w:szCs w:val="21"/>
                <w:vertAlign w:val="superscript"/>
              </w:rPr>
            </w:pPr>
            <w:r>
              <w:rPr>
                <w:color w:val="FF0000"/>
                <w:szCs w:val="21"/>
              </w:rPr>
              <w:t>Na</w:t>
            </w:r>
            <w:r>
              <w:rPr>
                <w:color w:val="FF0000"/>
                <w:szCs w:val="21"/>
                <w:vertAlign w:val="superscript"/>
              </w:rPr>
              <w:t>+</w:t>
            </w:r>
          </w:p>
        </w:tc>
        <w:tc>
          <w:tcPr>
            <w:tcW w:w="784" w:type="dxa"/>
            <w:vAlign w:val="center"/>
          </w:tcPr>
          <w:p>
            <w:pPr>
              <w:jc w:val="center"/>
              <w:rPr>
                <w:color w:val="FF0000"/>
                <w:szCs w:val="21"/>
              </w:rPr>
            </w:pPr>
            <w:r>
              <w:rPr>
                <w:color w:val="FF0000"/>
                <w:szCs w:val="21"/>
              </w:rPr>
              <w:t>mg/L</w:t>
            </w:r>
          </w:p>
        </w:tc>
        <w:tc>
          <w:tcPr>
            <w:tcW w:w="1725" w:type="dxa"/>
            <w:vAlign w:val="center"/>
          </w:tcPr>
          <w:p>
            <w:pPr>
              <w:keepLines/>
              <w:jc w:val="center"/>
              <w:rPr>
                <w:color w:val="FF0000"/>
                <w:szCs w:val="21"/>
              </w:rPr>
            </w:pPr>
            <w:r>
              <w:rPr>
                <w:color w:val="FF0000"/>
                <w:szCs w:val="21"/>
              </w:rPr>
              <w:t>106</w:t>
            </w:r>
          </w:p>
        </w:tc>
        <w:tc>
          <w:tcPr>
            <w:tcW w:w="1726" w:type="dxa"/>
            <w:vAlign w:val="center"/>
          </w:tcPr>
          <w:p>
            <w:pPr>
              <w:keepLines/>
              <w:jc w:val="center"/>
              <w:rPr>
                <w:color w:val="FF0000"/>
                <w:szCs w:val="21"/>
              </w:rPr>
            </w:pPr>
            <w:r>
              <w:rPr>
                <w:color w:val="FF0000"/>
                <w:szCs w:val="21"/>
              </w:rPr>
              <w:t>109</w:t>
            </w:r>
          </w:p>
        </w:tc>
        <w:tc>
          <w:tcPr>
            <w:tcW w:w="1727" w:type="dxa"/>
            <w:vAlign w:val="center"/>
          </w:tcPr>
          <w:p>
            <w:pPr>
              <w:keepLines/>
              <w:jc w:val="center"/>
              <w:rPr>
                <w:color w:val="FF0000"/>
                <w:szCs w:val="21"/>
              </w:rPr>
            </w:pPr>
            <w:r>
              <w:rPr>
                <w:color w:val="FF0000"/>
                <w:szCs w:val="21"/>
              </w:rPr>
              <w:t>96.4</w:t>
            </w:r>
          </w:p>
        </w:tc>
        <w:tc>
          <w:tcPr>
            <w:tcW w:w="1726" w:type="dxa"/>
            <w:vAlign w:val="center"/>
          </w:tcPr>
          <w:p>
            <w:pPr>
              <w:keepLines/>
              <w:jc w:val="center"/>
              <w:rPr>
                <w:color w:val="FF0000"/>
                <w:szCs w:val="21"/>
              </w:rPr>
            </w:pPr>
            <w:r>
              <w:rPr>
                <w:color w:val="FF0000"/>
                <w:szCs w:val="21"/>
              </w:rPr>
              <w:t>125</w:t>
            </w:r>
          </w:p>
        </w:tc>
        <w:tc>
          <w:tcPr>
            <w:tcW w:w="1726" w:type="dxa"/>
            <w:vAlign w:val="center"/>
          </w:tcPr>
          <w:p>
            <w:pPr>
              <w:keepLines/>
              <w:jc w:val="center"/>
              <w:rPr>
                <w:color w:val="FF0000"/>
                <w:szCs w:val="21"/>
              </w:rPr>
            </w:pPr>
            <w:r>
              <w:rPr>
                <w:color w:val="FF0000"/>
                <w:szCs w:val="21"/>
              </w:rPr>
              <w:t>84.3</w:t>
            </w:r>
          </w:p>
        </w:tc>
        <w:tc>
          <w:tcPr>
            <w:tcW w:w="1883" w:type="dxa"/>
            <w:vAlign w:val="center"/>
          </w:tcPr>
          <w:p>
            <w:pPr>
              <w:keepLines/>
              <w:jc w:val="center"/>
              <w:rPr>
                <w:color w:val="FF0000"/>
                <w:szCs w:val="21"/>
              </w:rPr>
            </w:pPr>
            <w:r>
              <w:rPr>
                <w:color w:val="FF0000"/>
                <w:szCs w:val="21"/>
              </w:rPr>
              <w:t>106</w:t>
            </w:r>
          </w:p>
        </w:tc>
        <w:tc>
          <w:tcPr>
            <w:tcW w:w="1945" w:type="dxa"/>
            <w:vAlign w:val="center"/>
          </w:tcPr>
          <w:p>
            <w:pPr>
              <w:keepLines/>
              <w:jc w:val="center"/>
              <w:rPr>
                <w:color w:val="FF0000"/>
                <w:szCs w:val="21"/>
              </w:rPr>
            </w:pPr>
            <w:r>
              <w:rPr>
                <w:color w:val="FF0000"/>
                <w:szCs w:val="21"/>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keepLines/>
              <w:jc w:val="center"/>
              <w:rPr>
                <w:color w:val="FF0000"/>
                <w:szCs w:val="21"/>
                <w:vertAlign w:val="superscript"/>
              </w:rPr>
            </w:pPr>
            <w:r>
              <w:rPr>
                <w:color w:val="FF0000"/>
                <w:szCs w:val="21"/>
              </w:rPr>
              <w:t>Ca</w:t>
            </w:r>
            <w:r>
              <w:rPr>
                <w:color w:val="FF0000"/>
                <w:szCs w:val="21"/>
                <w:vertAlign w:val="superscript"/>
              </w:rPr>
              <w:t>2+</w:t>
            </w:r>
          </w:p>
        </w:tc>
        <w:tc>
          <w:tcPr>
            <w:tcW w:w="784" w:type="dxa"/>
            <w:vAlign w:val="center"/>
          </w:tcPr>
          <w:p>
            <w:pPr>
              <w:jc w:val="center"/>
              <w:rPr>
                <w:color w:val="FF0000"/>
                <w:szCs w:val="21"/>
              </w:rPr>
            </w:pPr>
            <w:r>
              <w:rPr>
                <w:color w:val="FF0000"/>
                <w:szCs w:val="21"/>
              </w:rPr>
              <w:t>mg/L</w:t>
            </w:r>
          </w:p>
        </w:tc>
        <w:tc>
          <w:tcPr>
            <w:tcW w:w="1725" w:type="dxa"/>
            <w:vAlign w:val="center"/>
          </w:tcPr>
          <w:p>
            <w:pPr>
              <w:keepLines/>
              <w:jc w:val="center"/>
              <w:rPr>
                <w:color w:val="FF0000"/>
                <w:szCs w:val="21"/>
              </w:rPr>
            </w:pPr>
            <w:r>
              <w:rPr>
                <w:color w:val="FF0000"/>
                <w:szCs w:val="21"/>
              </w:rPr>
              <w:t>73.4</w:t>
            </w:r>
          </w:p>
        </w:tc>
        <w:tc>
          <w:tcPr>
            <w:tcW w:w="1726" w:type="dxa"/>
            <w:vAlign w:val="center"/>
          </w:tcPr>
          <w:p>
            <w:pPr>
              <w:keepLines/>
              <w:jc w:val="center"/>
              <w:rPr>
                <w:color w:val="FF0000"/>
                <w:szCs w:val="21"/>
              </w:rPr>
            </w:pPr>
            <w:r>
              <w:rPr>
                <w:color w:val="FF0000"/>
                <w:szCs w:val="21"/>
              </w:rPr>
              <w:t>99.1</w:t>
            </w:r>
          </w:p>
        </w:tc>
        <w:tc>
          <w:tcPr>
            <w:tcW w:w="1727" w:type="dxa"/>
            <w:vAlign w:val="center"/>
          </w:tcPr>
          <w:p>
            <w:pPr>
              <w:keepLines/>
              <w:jc w:val="center"/>
              <w:rPr>
                <w:color w:val="FF0000"/>
                <w:szCs w:val="21"/>
              </w:rPr>
            </w:pPr>
            <w:r>
              <w:rPr>
                <w:color w:val="FF0000"/>
                <w:szCs w:val="21"/>
              </w:rPr>
              <w:t>85.9</w:t>
            </w:r>
          </w:p>
        </w:tc>
        <w:tc>
          <w:tcPr>
            <w:tcW w:w="1726" w:type="dxa"/>
            <w:vAlign w:val="center"/>
          </w:tcPr>
          <w:p>
            <w:pPr>
              <w:keepLines/>
              <w:jc w:val="center"/>
              <w:rPr>
                <w:color w:val="FF0000"/>
                <w:szCs w:val="21"/>
              </w:rPr>
            </w:pPr>
            <w:r>
              <w:rPr>
                <w:color w:val="FF0000"/>
                <w:szCs w:val="21"/>
              </w:rPr>
              <w:t>86.9</w:t>
            </w:r>
          </w:p>
        </w:tc>
        <w:tc>
          <w:tcPr>
            <w:tcW w:w="1726" w:type="dxa"/>
            <w:vAlign w:val="center"/>
          </w:tcPr>
          <w:p>
            <w:pPr>
              <w:keepLines/>
              <w:jc w:val="center"/>
              <w:rPr>
                <w:color w:val="FF0000"/>
                <w:szCs w:val="21"/>
              </w:rPr>
            </w:pPr>
            <w:r>
              <w:rPr>
                <w:color w:val="FF0000"/>
                <w:szCs w:val="21"/>
              </w:rPr>
              <w:t>95.1</w:t>
            </w:r>
          </w:p>
        </w:tc>
        <w:tc>
          <w:tcPr>
            <w:tcW w:w="1883" w:type="dxa"/>
            <w:vAlign w:val="center"/>
          </w:tcPr>
          <w:p>
            <w:pPr>
              <w:keepLines/>
              <w:jc w:val="center"/>
              <w:rPr>
                <w:color w:val="FF0000"/>
                <w:szCs w:val="21"/>
              </w:rPr>
            </w:pPr>
            <w:r>
              <w:rPr>
                <w:color w:val="FF0000"/>
                <w:szCs w:val="21"/>
              </w:rPr>
              <w:t>153</w:t>
            </w:r>
          </w:p>
        </w:tc>
        <w:tc>
          <w:tcPr>
            <w:tcW w:w="1945" w:type="dxa"/>
            <w:vAlign w:val="center"/>
          </w:tcPr>
          <w:p>
            <w:pPr>
              <w:keepLines/>
              <w:jc w:val="center"/>
              <w:rPr>
                <w:color w:val="FF0000"/>
                <w:szCs w:val="21"/>
              </w:rPr>
            </w:pPr>
            <w:r>
              <w:rPr>
                <w:color w:val="FF0000"/>
                <w:szCs w:val="21"/>
              </w:rPr>
              <w:t>98.6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keepLines/>
              <w:jc w:val="center"/>
              <w:rPr>
                <w:color w:val="FF0000"/>
                <w:szCs w:val="21"/>
                <w:vertAlign w:val="superscript"/>
              </w:rPr>
            </w:pPr>
            <w:r>
              <w:rPr>
                <w:color w:val="FF0000"/>
                <w:szCs w:val="21"/>
              </w:rPr>
              <w:t>Mg</w:t>
            </w:r>
            <w:r>
              <w:rPr>
                <w:color w:val="FF0000"/>
                <w:szCs w:val="21"/>
                <w:vertAlign w:val="superscript"/>
              </w:rPr>
              <w:t>2+</w:t>
            </w:r>
          </w:p>
        </w:tc>
        <w:tc>
          <w:tcPr>
            <w:tcW w:w="784" w:type="dxa"/>
            <w:vAlign w:val="center"/>
          </w:tcPr>
          <w:p>
            <w:pPr>
              <w:jc w:val="center"/>
              <w:rPr>
                <w:color w:val="FF0000"/>
                <w:szCs w:val="21"/>
              </w:rPr>
            </w:pPr>
            <w:r>
              <w:rPr>
                <w:color w:val="FF0000"/>
                <w:szCs w:val="21"/>
              </w:rPr>
              <w:t>mg/L</w:t>
            </w:r>
          </w:p>
        </w:tc>
        <w:tc>
          <w:tcPr>
            <w:tcW w:w="1725" w:type="dxa"/>
            <w:vAlign w:val="center"/>
          </w:tcPr>
          <w:p>
            <w:pPr>
              <w:keepLines/>
              <w:jc w:val="center"/>
              <w:rPr>
                <w:color w:val="FF0000"/>
                <w:szCs w:val="21"/>
              </w:rPr>
            </w:pPr>
            <w:r>
              <w:rPr>
                <w:color w:val="FF0000"/>
                <w:szCs w:val="21"/>
              </w:rPr>
              <w:t>19.9</w:t>
            </w:r>
          </w:p>
        </w:tc>
        <w:tc>
          <w:tcPr>
            <w:tcW w:w="1726" w:type="dxa"/>
            <w:vAlign w:val="center"/>
          </w:tcPr>
          <w:p>
            <w:pPr>
              <w:keepLines/>
              <w:jc w:val="center"/>
              <w:rPr>
                <w:color w:val="FF0000"/>
                <w:szCs w:val="21"/>
              </w:rPr>
            </w:pPr>
            <w:r>
              <w:rPr>
                <w:color w:val="FF0000"/>
                <w:szCs w:val="21"/>
              </w:rPr>
              <w:t>52</w:t>
            </w:r>
          </w:p>
        </w:tc>
        <w:tc>
          <w:tcPr>
            <w:tcW w:w="1727" w:type="dxa"/>
            <w:vAlign w:val="center"/>
          </w:tcPr>
          <w:p>
            <w:pPr>
              <w:keepLines/>
              <w:jc w:val="center"/>
              <w:rPr>
                <w:color w:val="FF0000"/>
                <w:szCs w:val="21"/>
              </w:rPr>
            </w:pPr>
            <w:r>
              <w:rPr>
                <w:color w:val="FF0000"/>
                <w:szCs w:val="21"/>
              </w:rPr>
              <w:t>41.5</w:t>
            </w:r>
          </w:p>
        </w:tc>
        <w:tc>
          <w:tcPr>
            <w:tcW w:w="1726" w:type="dxa"/>
            <w:vAlign w:val="center"/>
          </w:tcPr>
          <w:p>
            <w:pPr>
              <w:keepLines/>
              <w:jc w:val="center"/>
              <w:rPr>
                <w:color w:val="FF0000"/>
                <w:szCs w:val="21"/>
              </w:rPr>
            </w:pPr>
            <w:r>
              <w:rPr>
                <w:color w:val="FF0000"/>
                <w:szCs w:val="21"/>
              </w:rPr>
              <w:t>38.6</w:t>
            </w:r>
          </w:p>
        </w:tc>
        <w:tc>
          <w:tcPr>
            <w:tcW w:w="1726" w:type="dxa"/>
            <w:vAlign w:val="center"/>
          </w:tcPr>
          <w:p>
            <w:pPr>
              <w:keepLines/>
              <w:jc w:val="center"/>
              <w:rPr>
                <w:color w:val="FF0000"/>
                <w:szCs w:val="21"/>
              </w:rPr>
            </w:pPr>
            <w:r>
              <w:rPr>
                <w:color w:val="FF0000"/>
                <w:szCs w:val="21"/>
              </w:rPr>
              <w:t>38.0</w:t>
            </w:r>
          </w:p>
        </w:tc>
        <w:tc>
          <w:tcPr>
            <w:tcW w:w="1883" w:type="dxa"/>
            <w:vAlign w:val="center"/>
          </w:tcPr>
          <w:p>
            <w:pPr>
              <w:keepLines/>
              <w:jc w:val="center"/>
              <w:rPr>
                <w:color w:val="FF0000"/>
                <w:szCs w:val="21"/>
              </w:rPr>
            </w:pPr>
            <w:r>
              <w:rPr>
                <w:color w:val="FF0000"/>
                <w:szCs w:val="21"/>
              </w:rPr>
              <w:t>38.4</w:t>
            </w:r>
          </w:p>
        </w:tc>
        <w:tc>
          <w:tcPr>
            <w:tcW w:w="1945" w:type="dxa"/>
            <w:vAlign w:val="center"/>
          </w:tcPr>
          <w:p>
            <w:pPr>
              <w:keepLines/>
              <w:jc w:val="center"/>
              <w:rPr>
                <w:color w:val="FF0000"/>
                <w:szCs w:val="21"/>
              </w:rPr>
            </w:pPr>
            <w:r>
              <w:rPr>
                <w:color w:val="FF0000"/>
                <w:szCs w:val="21"/>
              </w:rP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keepLines/>
              <w:jc w:val="center"/>
              <w:rPr>
                <w:color w:val="FF0000"/>
                <w:szCs w:val="21"/>
              </w:rPr>
            </w:pPr>
            <w:r>
              <w:rPr>
                <w:color w:val="FF0000"/>
                <w:szCs w:val="21"/>
              </w:rPr>
              <w:t>CO</w:t>
            </w:r>
            <w:r>
              <w:rPr>
                <w:color w:val="FF0000"/>
                <w:szCs w:val="21"/>
                <w:vertAlign w:val="subscript"/>
              </w:rPr>
              <w:t>3</w:t>
            </w:r>
            <w:r>
              <w:rPr>
                <w:color w:val="FF0000"/>
                <w:szCs w:val="21"/>
                <w:vertAlign w:val="superscript"/>
              </w:rPr>
              <w:t>2-</w:t>
            </w:r>
          </w:p>
        </w:tc>
        <w:tc>
          <w:tcPr>
            <w:tcW w:w="784" w:type="dxa"/>
            <w:vAlign w:val="center"/>
          </w:tcPr>
          <w:p>
            <w:pPr>
              <w:jc w:val="center"/>
              <w:rPr>
                <w:color w:val="FF0000"/>
                <w:szCs w:val="21"/>
              </w:rPr>
            </w:pPr>
            <w:r>
              <w:rPr>
                <w:color w:val="FF0000"/>
                <w:szCs w:val="21"/>
              </w:rPr>
              <w:t>mg/L</w:t>
            </w:r>
          </w:p>
        </w:tc>
        <w:tc>
          <w:tcPr>
            <w:tcW w:w="1725" w:type="dxa"/>
            <w:vAlign w:val="center"/>
          </w:tcPr>
          <w:p>
            <w:pPr>
              <w:keepLines/>
              <w:jc w:val="center"/>
              <w:rPr>
                <w:color w:val="FF0000"/>
                <w:szCs w:val="21"/>
              </w:rPr>
            </w:pPr>
            <w:r>
              <w:rPr>
                <w:color w:val="FF0000"/>
                <w:szCs w:val="21"/>
              </w:rPr>
              <w:t>0</w:t>
            </w:r>
          </w:p>
        </w:tc>
        <w:tc>
          <w:tcPr>
            <w:tcW w:w="1726" w:type="dxa"/>
            <w:vAlign w:val="center"/>
          </w:tcPr>
          <w:p>
            <w:pPr>
              <w:keepLines/>
              <w:jc w:val="center"/>
              <w:rPr>
                <w:color w:val="FF0000"/>
                <w:szCs w:val="21"/>
              </w:rPr>
            </w:pPr>
            <w:r>
              <w:rPr>
                <w:color w:val="FF0000"/>
                <w:szCs w:val="21"/>
              </w:rPr>
              <w:t>0</w:t>
            </w:r>
          </w:p>
        </w:tc>
        <w:tc>
          <w:tcPr>
            <w:tcW w:w="1727" w:type="dxa"/>
            <w:vAlign w:val="center"/>
          </w:tcPr>
          <w:p>
            <w:pPr>
              <w:keepLines/>
              <w:jc w:val="center"/>
              <w:rPr>
                <w:color w:val="FF0000"/>
                <w:szCs w:val="21"/>
              </w:rPr>
            </w:pPr>
            <w:r>
              <w:rPr>
                <w:color w:val="FF0000"/>
                <w:szCs w:val="21"/>
              </w:rPr>
              <w:t>0</w:t>
            </w:r>
          </w:p>
        </w:tc>
        <w:tc>
          <w:tcPr>
            <w:tcW w:w="1726" w:type="dxa"/>
            <w:vAlign w:val="center"/>
          </w:tcPr>
          <w:p>
            <w:pPr>
              <w:keepLines/>
              <w:jc w:val="center"/>
              <w:rPr>
                <w:color w:val="FF0000"/>
                <w:szCs w:val="21"/>
              </w:rPr>
            </w:pPr>
            <w:r>
              <w:rPr>
                <w:color w:val="FF0000"/>
                <w:szCs w:val="21"/>
              </w:rPr>
              <w:t>0</w:t>
            </w:r>
          </w:p>
        </w:tc>
        <w:tc>
          <w:tcPr>
            <w:tcW w:w="1726" w:type="dxa"/>
            <w:vAlign w:val="center"/>
          </w:tcPr>
          <w:p>
            <w:pPr>
              <w:keepLines/>
              <w:jc w:val="center"/>
              <w:rPr>
                <w:color w:val="FF0000"/>
                <w:szCs w:val="21"/>
              </w:rPr>
            </w:pPr>
            <w:r>
              <w:rPr>
                <w:color w:val="FF0000"/>
                <w:szCs w:val="21"/>
              </w:rPr>
              <w:t>0</w:t>
            </w:r>
          </w:p>
        </w:tc>
        <w:tc>
          <w:tcPr>
            <w:tcW w:w="1883" w:type="dxa"/>
            <w:vAlign w:val="center"/>
          </w:tcPr>
          <w:p>
            <w:pPr>
              <w:keepLines/>
              <w:jc w:val="center"/>
              <w:rPr>
                <w:color w:val="FF0000"/>
                <w:szCs w:val="21"/>
              </w:rPr>
            </w:pPr>
            <w:r>
              <w:rPr>
                <w:color w:val="FF0000"/>
                <w:szCs w:val="21"/>
              </w:rPr>
              <w:t>0</w:t>
            </w:r>
          </w:p>
        </w:tc>
        <w:tc>
          <w:tcPr>
            <w:tcW w:w="1945" w:type="dxa"/>
            <w:vAlign w:val="center"/>
          </w:tcPr>
          <w:p>
            <w:pPr>
              <w:keepLines/>
              <w:jc w:val="center"/>
              <w:rPr>
                <w:color w:val="FF0000"/>
                <w:szCs w:val="21"/>
              </w:rPr>
            </w:pPr>
            <w:r>
              <w:rPr>
                <w:color w:val="FF0000"/>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keepLines/>
              <w:jc w:val="center"/>
              <w:rPr>
                <w:color w:val="FF0000"/>
                <w:szCs w:val="21"/>
              </w:rPr>
            </w:pPr>
            <w:r>
              <w:rPr>
                <w:color w:val="FF0000"/>
                <w:szCs w:val="21"/>
              </w:rPr>
              <w:t>HCO</w:t>
            </w:r>
            <w:r>
              <w:rPr>
                <w:color w:val="FF0000"/>
                <w:szCs w:val="21"/>
                <w:vertAlign w:val="subscript"/>
              </w:rPr>
              <w:t>3</w:t>
            </w:r>
            <w:r>
              <w:rPr>
                <w:color w:val="FF0000"/>
                <w:szCs w:val="21"/>
                <w:vertAlign w:val="superscript"/>
              </w:rPr>
              <w:t>-</w:t>
            </w:r>
          </w:p>
        </w:tc>
        <w:tc>
          <w:tcPr>
            <w:tcW w:w="784" w:type="dxa"/>
            <w:vAlign w:val="center"/>
          </w:tcPr>
          <w:p>
            <w:pPr>
              <w:jc w:val="center"/>
              <w:rPr>
                <w:color w:val="FF0000"/>
                <w:szCs w:val="21"/>
              </w:rPr>
            </w:pPr>
            <w:r>
              <w:rPr>
                <w:color w:val="FF0000"/>
                <w:szCs w:val="21"/>
              </w:rPr>
              <w:t>mg/L</w:t>
            </w:r>
          </w:p>
        </w:tc>
        <w:tc>
          <w:tcPr>
            <w:tcW w:w="1725" w:type="dxa"/>
            <w:vAlign w:val="center"/>
          </w:tcPr>
          <w:p>
            <w:pPr>
              <w:keepLines/>
              <w:jc w:val="center"/>
              <w:rPr>
                <w:color w:val="FF0000"/>
                <w:szCs w:val="21"/>
              </w:rPr>
            </w:pPr>
            <w:r>
              <w:rPr>
                <w:color w:val="FF0000"/>
                <w:szCs w:val="21"/>
              </w:rPr>
              <w:t>490</w:t>
            </w:r>
          </w:p>
        </w:tc>
        <w:tc>
          <w:tcPr>
            <w:tcW w:w="1726" w:type="dxa"/>
            <w:vAlign w:val="center"/>
          </w:tcPr>
          <w:p>
            <w:pPr>
              <w:keepLines/>
              <w:jc w:val="center"/>
              <w:rPr>
                <w:color w:val="FF0000"/>
                <w:szCs w:val="21"/>
              </w:rPr>
            </w:pPr>
            <w:r>
              <w:rPr>
                <w:color w:val="FF0000"/>
                <w:szCs w:val="21"/>
              </w:rPr>
              <w:t>639</w:t>
            </w:r>
          </w:p>
        </w:tc>
        <w:tc>
          <w:tcPr>
            <w:tcW w:w="1727" w:type="dxa"/>
            <w:vAlign w:val="center"/>
          </w:tcPr>
          <w:p>
            <w:pPr>
              <w:keepLines/>
              <w:jc w:val="center"/>
              <w:rPr>
                <w:color w:val="FF0000"/>
                <w:szCs w:val="21"/>
              </w:rPr>
            </w:pPr>
            <w:r>
              <w:rPr>
                <w:color w:val="FF0000"/>
                <w:szCs w:val="21"/>
              </w:rPr>
              <w:t>519</w:t>
            </w:r>
          </w:p>
        </w:tc>
        <w:tc>
          <w:tcPr>
            <w:tcW w:w="1726" w:type="dxa"/>
            <w:vAlign w:val="center"/>
          </w:tcPr>
          <w:p>
            <w:pPr>
              <w:keepLines/>
              <w:jc w:val="center"/>
              <w:rPr>
                <w:color w:val="FF0000"/>
                <w:szCs w:val="21"/>
              </w:rPr>
            </w:pPr>
            <w:r>
              <w:rPr>
                <w:color w:val="FF0000"/>
                <w:szCs w:val="21"/>
              </w:rPr>
              <w:t>590</w:t>
            </w:r>
          </w:p>
        </w:tc>
        <w:tc>
          <w:tcPr>
            <w:tcW w:w="1726" w:type="dxa"/>
            <w:vAlign w:val="center"/>
          </w:tcPr>
          <w:p>
            <w:pPr>
              <w:keepLines/>
              <w:jc w:val="center"/>
              <w:rPr>
                <w:color w:val="FF0000"/>
                <w:szCs w:val="21"/>
              </w:rPr>
            </w:pPr>
            <w:r>
              <w:rPr>
                <w:color w:val="FF0000"/>
                <w:szCs w:val="21"/>
              </w:rPr>
              <w:t>608</w:t>
            </w:r>
          </w:p>
        </w:tc>
        <w:tc>
          <w:tcPr>
            <w:tcW w:w="1883" w:type="dxa"/>
            <w:vAlign w:val="center"/>
          </w:tcPr>
          <w:p>
            <w:pPr>
              <w:keepLines/>
              <w:jc w:val="center"/>
              <w:rPr>
                <w:color w:val="FF0000"/>
                <w:szCs w:val="21"/>
              </w:rPr>
            </w:pPr>
            <w:r>
              <w:rPr>
                <w:color w:val="FF0000"/>
                <w:szCs w:val="21"/>
              </w:rPr>
              <w:t>324</w:t>
            </w:r>
          </w:p>
        </w:tc>
        <w:tc>
          <w:tcPr>
            <w:tcW w:w="1945" w:type="dxa"/>
            <w:vAlign w:val="center"/>
          </w:tcPr>
          <w:p>
            <w:pPr>
              <w:keepLines/>
              <w:jc w:val="center"/>
              <w:rPr>
                <w:color w:val="FF0000"/>
                <w:szCs w:val="21"/>
              </w:rPr>
            </w:pPr>
            <w:r>
              <w:rPr>
                <w:color w:val="FF0000"/>
                <w:szCs w:val="21"/>
              </w:rPr>
              <w:t>654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adjustRightInd w:val="0"/>
              <w:snapToGrid w:val="0"/>
              <w:jc w:val="center"/>
              <w:rPr>
                <w:color w:val="FF0000"/>
                <w:szCs w:val="21"/>
              </w:rPr>
            </w:pPr>
            <w:r>
              <w:rPr>
                <w:color w:val="FF0000"/>
                <w:szCs w:val="21"/>
              </w:rPr>
              <w:t>Cl</w:t>
            </w:r>
            <w:r>
              <w:rPr>
                <w:color w:val="FF0000"/>
                <w:szCs w:val="21"/>
                <w:vertAlign w:val="superscript"/>
              </w:rPr>
              <w:t>-</w:t>
            </w:r>
          </w:p>
        </w:tc>
        <w:tc>
          <w:tcPr>
            <w:tcW w:w="784" w:type="dxa"/>
            <w:vAlign w:val="center"/>
          </w:tcPr>
          <w:p>
            <w:pPr>
              <w:jc w:val="center"/>
              <w:rPr>
                <w:color w:val="FF0000"/>
                <w:szCs w:val="21"/>
              </w:rPr>
            </w:pPr>
            <w:r>
              <w:rPr>
                <w:color w:val="FF0000"/>
                <w:szCs w:val="21"/>
              </w:rPr>
              <w:t>mg/L</w:t>
            </w:r>
          </w:p>
        </w:tc>
        <w:tc>
          <w:tcPr>
            <w:tcW w:w="1725" w:type="dxa"/>
            <w:vAlign w:val="center"/>
          </w:tcPr>
          <w:p>
            <w:pPr>
              <w:keepLines/>
              <w:jc w:val="center"/>
              <w:rPr>
                <w:color w:val="FF0000"/>
                <w:szCs w:val="21"/>
              </w:rPr>
            </w:pPr>
            <w:r>
              <w:rPr>
                <w:color w:val="FF0000"/>
                <w:szCs w:val="21"/>
              </w:rPr>
              <w:t>66</w:t>
            </w:r>
          </w:p>
        </w:tc>
        <w:tc>
          <w:tcPr>
            <w:tcW w:w="1726" w:type="dxa"/>
            <w:vAlign w:val="center"/>
          </w:tcPr>
          <w:p>
            <w:pPr>
              <w:keepLines/>
              <w:jc w:val="center"/>
              <w:rPr>
                <w:color w:val="FF0000"/>
                <w:szCs w:val="21"/>
              </w:rPr>
            </w:pPr>
            <w:r>
              <w:rPr>
                <w:color w:val="FF0000"/>
                <w:szCs w:val="21"/>
              </w:rPr>
              <w:t>94.8</w:t>
            </w:r>
          </w:p>
        </w:tc>
        <w:tc>
          <w:tcPr>
            <w:tcW w:w="1727" w:type="dxa"/>
            <w:vAlign w:val="center"/>
          </w:tcPr>
          <w:p>
            <w:pPr>
              <w:keepLines/>
              <w:jc w:val="center"/>
              <w:rPr>
                <w:color w:val="FF0000"/>
                <w:szCs w:val="21"/>
              </w:rPr>
            </w:pPr>
            <w:r>
              <w:rPr>
                <w:color w:val="FF0000"/>
                <w:szCs w:val="21"/>
              </w:rPr>
              <w:t>85.8</w:t>
            </w:r>
          </w:p>
        </w:tc>
        <w:tc>
          <w:tcPr>
            <w:tcW w:w="1726" w:type="dxa"/>
            <w:vAlign w:val="center"/>
          </w:tcPr>
          <w:p>
            <w:pPr>
              <w:keepLines/>
              <w:jc w:val="center"/>
              <w:rPr>
                <w:color w:val="FF0000"/>
                <w:szCs w:val="21"/>
              </w:rPr>
            </w:pPr>
            <w:r>
              <w:rPr>
                <w:color w:val="FF0000"/>
                <w:szCs w:val="21"/>
              </w:rPr>
              <w:t>55.2</w:t>
            </w:r>
          </w:p>
        </w:tc>
        <w:tc>
          <w:tcPr>
            <w:tcW w:w="1726" w:type="dxa"/>
            <w:vAlign w:val="center"/>
          </w:tcPr>
          <w:p>
            <w:pPr>
              <w:keepLines/>
              <w:jc w:val="center"/>
              <w:rPr>
                <w:color w:val="FF0000"/>
                <w:szCs w:val="21"/>
              </w:rPr>
            </w:pPr>
            <w:r>
              <w:rPr>
                <w:color w:val="FF0000"/>
                <w:szCs w:val="21"/>
              </w:rPr>
              <w:t>42.6</w:t>
            </w:r>
          </w:p>
        </w:tc>
        <w:tc>
          <w:tcPr>
            <w:tcW w:w="1883" w:type="dxa"/>
            <w:vAlign w:val="center"/>
          </w:tcPr>
          <w:p>
            <w:pPr>
              <w:keepLines/>
              <w:jc w:val="center"/>
              <w:rPr>
                <w:color w:val="FF0000"/>
                <w:szCs w:val="21"/>
              </w:rPr>
            </w:pPr>
            <w:r>
              <w:rPr>
                <w:color w:val="FF0000"/>
                <w:szCs w:val="21"/>
              </w:rPr>
              <w:t>96.1</w:t>
            </w:r>
          </w:p>
        </w:tc>
        <w:tc>
          <w:tcPr>
            <w:tcW w:w="1945" w:type="dxa"/>
            <w:vAlign w:val="center"/>
          </w:tcPr>
          <w:p>
            <w:pPr>
              <w:keepLines/>
              <w:jc w:val="center"/>
              <w:rPr>
                <w:color w:val="FF0000"/>
                <w:szCs w:val="21"/>
              </w:rPr>
            </w:pPr>
            <w:r>
              <w:rPr>
                <w:color w:val="FF0000"/>
                <w:szCs w:val="21"/>
              </w:rPr>
              <w:t>59.5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adjustRightInd w:val="0"/>
              <w:snapToGrid w:val="0"/>
              <w:jc w:val="center"/>
              <w:rPr>
                <w:color w:val="FF0000"/>
                <w:szCs w:val="21"/>
              </w:rPr>
            </w:pPr>
            <w:r>
              <w:rPr>
                <w:color w:val="FF0000"/>
                <w:szCs w:val="21"/>
              </w:rPr>
              <w:t>SO</w:t>
            </w:r>
            <w:r>
              <w:rPr>
                <w:color w:val="FF0000"/>
                <w:szCs w:val="21"/>
                <w:vertAlign w:val="subscript"/>
              </w:rPr>
              <w:t>4</w:t>
            </w:r>
            <w:r>
              <w:rPr>
                <w:color w:val="FF0000"/>
                <w:szCs w:val="21"/>
                <w:vertAlign w:val="superscript"/>
              </w:rPr>
              <w:t>2-</w:t>
            </w:r>
          </w:p>
        </w:tc>
        <w:tc>
          <w:tcPr>
            <w:tcW w:w="784" w:type="dxa"/>
            <w:vAlign w:val="center"/>
          </w:tcPr>
          <w:p>
            <w:pPr>
              <w:jc w:val="center"/>
              <w:rPr>
                <w:color w:val="FF0000"/>
                <w:szCs w:val="21"/>
              </w:rPr>
            </w:pPr>
            <w:r>
              <w:rPr>
                <w:color w:val="FF0000"/>
                <w:szCs w:val="21"/>
              </w:rPr>
              <w:t>mg/L</w:t>
            </w:r>
          </w:p>
        </w:tc>
        <w:tc>
          <w:tcPr>
            <w:tcW w:w="1725" w:type="dxa"/>
            <w:vAlign w:val="center"/>
          </w:tcPr>
          <w:p>
            <w:pPr>
              <w:keepLines/>
              <w:jc w:val="center"/>
              <w:rPr>
                <w:color w:val="FF0000"/>
                <w:szCs w:val="21"/>
              </w:rPr>
            </w:pPr>
            <w:r>
              <w:rPr>
                <w:color w:val="FF0000"/>
                <w:szCs w:val="21"/>
              </w:rPr>
              <w:t>77.5</w:t>
            </w:r>
          </w:p>
        </w:tc>
        <w:tc>
          <w:tcPr>
            <w:tcW w:w="1726" w:type="dxa"/>
            <w:vAlign w:val="center"/>
          </w:tcPr>
          <w:p>
            <w:pPr>
              <w:keepLines/>
              <w:jc w:val="center"/>
              <w:rPr>
                <w:color w:val="FF0000"/>
                <w:szCs w:val="21"/>
              </w:rPr>
            </w:pPr>
            <w:r>
              <w:rPr>
                <w:color w:val="FF0000"/>
                <w:szCs w:val="21"/>
              </w:rPr>
              <w:t>82.9</w:t>
            </w:r>
          </w:p>
        </w:tc>
        <w:tc>
          <w:tcPr>
            <w:tcW w:w="1727" w:type="dxa"/>
            <w:vAlign w:val="center"/>
          </w:tcPr>
          <w:p>
            <w:pPr>
              <w:keepLines/>
              <w:jc w:val="center"/>
              <w:rPr>
                <w:color w:val="FF0000"/>
                <w:szCs w:val="21"/>
              </w:rPr>
            </w:pPr>
            <w:r>
              <w:rPr>
                <w:color w:val="FF0000"/>
                <w:szCs w:val="21"/>
              </w:rPr>
              <w:t>63</w:t>
            </w:r>
          </w:p>
        </w:tc>
        <w:tc>
          <w:tcPr>
            <w:tcW w:w="1726" w:type="dxa"/>
            <w:vAlign w:val="center"/>
          </w:tcPr>
          <w:p>
            <w:pPr>
              <w:keepLines/>
              <w:jc w:val="center"/>
              <w:rPr>
                <w:color w:val="FF0000"/>
                <w:szCs w:val="21"/>
              </w:rPr>
            </w:pPr>
            <w:r>
              <w:rPr>
                <w:color w:val="FF0000"/>
                <w:szCs w:val="21"/>
              </w:rPr>
              <w:t>73.8</w:t>
            </w:r>
          </w:p>
        </w:tc>
        <w:tc>
          <w:tcPr>
            <w:tcW w:w="1726" w:type="dxa"/>
            <w:vAlign w:val="center"/>
          </w:tcPr>
          <w:p>
            <w:pPr>
              <w:keepLines/>
              <w:jc w:val="center"/>
              <w:rPr>
                <w:color w:val="FF0000"/>
                <w:szCs w:val="21"/>
              </w:rPr>
            </w:pPr>
            <w:r>
              <w:rPr>
                <w:color w:val="FF0000"/>
                <w:szCs w:val="21"/>
              </w:rPr>
              <w:t>66.2</w:t>
            </w:r>
          </w:p>
        </w:tc>
        <w:tc>
          <w:tcPr>
            <w:tcW w:w="1883" w:type="dxa"/>
            <w:vAlign w:val="center"/>
          </w:tcPr>
          <w:p>
            <w:pPr>
              <w:keepLines/>
              <w:jc w:val="center"/>
              <w:rPr>
                <w:color w:val="FF0000"/>
                <w:szCs w:val="21"/>
              </w:rPr>
            </w:pPr>
            <w:r>
              <w:rPr>
                <w:color w:val="FF0000"/>
                <w:szCs w:val="21"/>
              </w:rPr>
              <w:t>137</w:t>
            </w:r>
          </w:p>
        </w:tc>
        <w:tc>
          <w:tcPr>
            <w:tcW w:w="1945" w:type="dxa"/>
            <w:vAlign w:val="center"/>
          </w:tcPr>
          <w:p>
            <w:pPr>
              <w:keepLines/>
              <w:jc w:val="center"/>
              <w:rPr>
                <w:color w:val="FF0000"/>
                <w:szCs w:val="21"/>
              </w:rPr>
            </w:pPr>
            <w:r>
              <w:rPr>
                <w:color w:val="FF0000"/>
                <w:szCs w:val="21"/>
              </w:rPr>
              <w:t>81.1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adjustRightInd w:val="0"/>
              <w:snapToGrid w:val="0"/>
              <w:jc w:val="center"/>
              <w:rPr>
                <w:color w:val="FF0000"/>
                <w:szCs w:val="21"/>
              </w:rPr>
            </w:pPr>
            <w:r>
              <w:rPr>
                <w:rFonts w:ascii="宋体" w:hAnsi="宋体"/>
                <w:color w:val="FF0000"/>
                <w:szCs w:val="21"/>
              </w:rPr>
              <w:t>离子平衡，</w:t>
            </w:r>
            <w:r>
              <w:rPr>
                <w:color w:val="FF0000"/>
                <w:szCs w:val="21"/>
              </w:rPr>
              <w:t>%</w:t>
            </w:r>
          </w:p>
        </w:tc>
        <w:tc>
          <w:tcPr>
            <w:tcW w:w="784" w:type="dxa"/>
            <w:vAlign w:val="center"/>
          </w:tcPr>
          <w:p>
            <w:pPr>
              <w:adjustRightInd w:val="0"/>
              <w:snapToGrid w:val="0"/>
              <w:jc w:val="center"/>
              <w:rPr>
                <w:color w:val="FF0000"/>
                <w:szCs w:val="21"/>
              </w:rPr>
            </w:pPr>
            <w:r>
              <w:rPr>
                <w:color w:val="FF0000"/>
                <w:szCs w:val="21"/>
              </w:rPr>
              <w:t>--</w:t>
            </w:r>
          </w:p>
        </w:tc>
        <w:tc>
          <w:tcPr>
            <w:tcW w:w="1725" w:type="dxa"/>
          </w:tcPr>
          <w:p>
            <w:pPr>
              <w:keepLines/>
              <w:jc w:val="center"/>
              <w:rPr>
                <w:color w:val="FF0000"/>
                <w:szCs w:val="21"/>
              </w:rPr>
            </w:pPr>
            <w:r>
              <w:rPr>
                <w:color w:val="FF0000"/>
              </w:rPr>
              <w:t>5.27%</w:t>
            </w:r>
          </w:p>
        </w:tc>
        <w:tc>
          <w:tcPr>
            <w:tcW w:w="1726" w:type="dxa"/>
          </w:tcPr>
          <w:p>
            <w:pPr>
              <w:keepLines/>
              <w:jc w:val="center"/>
              <w:rPr>
                <w:color w:val="FF0000"/>
                <w:szCs w:val="21"/>
              </w:rPr>
            </w:pPr>
            <w:r>
              <w:rPr>
                <w:color w:val="FF0000"/>
              </w:rPr>
              <w:t xml:space="preserve">1.07% </w:t>
            </w:r>
          </w:p>
        </w:tc>
        <w:tc>
          <w:tcPr>
            <w:tcW w:w="1727" w:type="dxa"/>
          </w:tcPr>
          <w:p>
            <w:pPr>
              <w:keepLines/>
              <w:jc w:val="center"/>
              <w:rPr>
                <w:color w:val="FF0000"/>
                <w:szCs w:val="21"/>
              </w:rPr>
            </w:pPr>
            <w:r>
              <w:rPr>
                <w:color w:val="FF0000"/>
              </w:rPr>
              <w:t>-0.88%</w:t>
            </w:r>
          </w:p>
        </w:tc>
        <w:tc>
          <w:tcPr>
            <w:tcW w:w="1726" w:type="dxa"/>
          </w:tcPr>
          <w:p>
            <w:pPr>
              <w:keepLines/>
              <w:jc w:val="center"/>
              <w:rPr>
                <w:color w:val="FF0000"/>
                <w:szCs w:val="21"/>
              </w:rPr>
            </w:pPr>
            <w:r>
              <w:rPr>
                <w:color w:val="FF0000"/>
              </w:rPr>
              <w:t xml:space="preserve">-2.60% </w:t>
            </w:r>
          </w:p>
        </w:tc>
        <w:tc>
          <w:tcPr>
            <w:tcW w:w="1726" w:type="dxa"/>
          </w:tcPr>
          <w:p>
            <w:pPr>
              <w:keepLines/>
              <w:jc w:val="center"/>
              <w:rPr>
                <w:color w:val="FF0000"/>
                <w:szCs w:val="21"/>
              </w:rPr>
            </w:pPr>
            <w:r>
              <w:rPr>
                <w:color w:val="FF0000"/>
              </w:rPr>
              <w:t xml:space="preserve">1.87% </w:t>
            </w:r>
          </w:p>
        </w:tc>
        <w:tc>
          <w:tcPr>
            <w:tcW w:w="1883" w:type="dxa"/>
          </w:tcPr>
          <w:p>
            <w:pPr>
              <w:keepLines/>
              <w:jc w:val="center"/>
              <w:rPr>
                <w:color w:val="FF0000"/>
                <w:szCs w:val="21"/>
              </w:rPr>
            </w:pPr>
            <w:r>
              <w:rPr>
                <w:color w:val="FF0000"/>
              </w:rPr>
              <w:t>-18.55%</w:t>
            </w:r>
          </w:p>
        </w:tc>
        <w:tc>
          <w:tcPr>
            <w:tcW w:w="1945" w:type="dxa"/>
          </w:tcPr>
          <w:p>
            <w:pPr>
              <w:keepLines/>
              <w:jc w:val="center"/>
              <w:rPr>
                <w:color w:val="FF0000"/>
                <w:szCs w:val="21"/>
              </w:rPr>
            </w:pPr>
            <w:r>
              <w:rPr>
                <w:color w:val="FF0000"/>
              </w:rPr>
              <w:t xml:space="preserve">4.73%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406" w:type="dxa"/>
            <w:vAlign w:val="center"/>
          </w:tcPr>
          <w:p>
            <w:pPr>
              <w:adjustRightInd w:val="0"/>
              <w:snapToGrid w:val="0"/>
              <w:jc w:val="center"/>
              <w:rPr>
                <w:color w:val="FF0000"/>
                <w:szCs w:val="21"/>
              </w:rPr>
            </w:pPr>
            <w:r>
              <w:rPr>
                <w:rFonts w:ascii="宋体" w:hAnsi="宋体"/>
                <w:color w:val="FF0000"/>
                <w:szCs w:val="21"/>
              </w:rPr>
              <w:t>水化学类型</w:t>
            </w:r>
          </w:p>
        </w:tc>
        <w:tc>
          <w:tcPr>
            <w:tcW w:w="784" w:type="dxa"/>
            <w:vAlign w:val="center"/>
          </w:tcPr>
          <w:p>
            <w:pPr>
              <w:adjustRightInd w:val="0"/>
              <w:snapToGrid w:val="0"/>
              <w:jc w:val="center"/>
              <w:rPr>
                <w:color w:val="FF0000"/>
                <w:szCs w:val="21"/>
              </w:rPr>
            </w:pPr>
            <w:r>
              <w:rPr>
                <w:color w:val="FF0000"/>
                <w:szCs w:val="21"/>
              </w:rPr>
              <w:t>--</w:t>
            </w:r>
          </w:p>
        </w:tc>
        <w:tc>
          <w:tcPr>
            <w:tcW w:w="1725" w:type="dxa"/>
            <w:vAlign w:val="center"/>
          </w:tcPr>
          <w:p>
            <w:pPr>
              <w:keepLines/>
              <w:jc w:val="center"/>
              <w:rPr>
                <w:color w:val="FF0000"/>
                <w:szCs w:val="21"/>
              </w:rPr>
            </w:pPr>
            <w:r>
              <w:rPr>
                <w:color w:val="FF0000"/>
                <w:szCs w:val="21"/>
              </w:rPr>
              <w:t>HCO</w:t>
            </w:r>
            <w:r>
              <w:rPr>
                <w:color w:val="FF0000"/>
                <w:szCs w:val="21"/>
                <w:vertAlign w:val="subscript"/>
              </w:rPr>
              <w:t>3</w:t>
            </w:r>
            <w:r>
              <w:rPr>
                <w:color w:val="FF0000"/>
                <w:szCs w:val="21"/>
              </w:rPr>
              <w:t>-Na·Ca</w:t>
            </w:r>
          </w:p>
        </w:tc>
        <w:tc>
          <w:tcPr>
            <w:tcW w:w="1726" w:type="dxa"/>
            <w:vAlign w:val="center"/>
          </w:tcPr>
          <w:p>
            <w:pPr>
              <w:keepLines/>
              <w:jc w:val="center"/>
              <w:rPr>
                <w:color w:val="FF0000"/>
                <w:szCs w:val="21"/>
              </w:rPr>
            </w:pPr>
            <w:r>
              <w:rPr>
                <w:color w:val="FF0000"/>
                <w:szCs w:val="21"/>
              </w:rPr>
              <w:t>HCO</w:t>
            </w:r>
            <w:r>
              <w:rPr>
                <w:color w:val="FF0000"/>
                <w:szCs w:val="21"/>
                <w:vertAlign w:val="subscript"/>
              </w:rPr>
              <w:t>3</w:t>
            </w:r>
            <w:r>
              <w:rPr>
                <w:color w:val="FF0000"/>
                <w:szCs w:val="21"/>
              </w:rPr>
              <w:t>-Na·Ca·Mg</w:t>
            </w:r>
          </w:p>
        </w:tc>
        <w:tc>
          <w:tcPr>
            <w:tcW w:w="1727" w:type="dxa"/>
            <w:vAlign w:val="center"/>
          </w:tcPr>
          <w:p>
            <w:pPr>
              <w:keepLines/>
              <w:jc w:val="center"/>
              <w:rPr>
                <w:color w:val="FF0000"/>
                <w:szCs w:val="21"/>
              </w:rPr>
            </w:pPr>
            <w:r>
              <w:rPr>
                <w:color w:val="FF0000"/>
                <w:szCs w:val="21"/>
              </w:rPr>
              <w:t>HCO</w:t>
            </w:r>
            <w:r>
              <w:rPr>
                <w:color w:val="FF0000"/>
                <w:szCs w:val="21"/>
                <w:vertAlign w:val="subscript"/>
              </w:rPr>
              <w:t>3</w:t>
            </w:r>
            <w:r>
              <w:rPr>
                <w:color w:val="FF0000"/>
                <w:szCs w:val="21"/>
              </w:rPr>
              <w:t>·Cl-Ca·Mg</w:t>
            </w:r>
          </w:p>
        </w:tc>
        <w:tc>
          <w:tcPr>
            <w:tcW w:w="1726" w:type="dxa"/>
            <w:vAlign w:val="center"/>
          </w:tcPr>
          <w:p>
            <w:pPr>
              <w:keepLines/>
              <w:jc w:val="center"/>
              <w:rPr>
                <w:color w:val="FF0000"/>
                <w:szCs w:val="21"/>
              </w:rPr>
            </w:pPr>
            <w:r>
              <w:rPr>
                <w:color w:val="FF0000"/>
                <w:szCs w:val="21"/>
              </w:rPr>
              <w:t>HCO</w:t>
            </w:r>
            <w:r>
              <w:rPr>
                <w:color w:val="FF0000"/>
                <w:szCs w:val="21"/>
                <w:vertAlign w:val="subscript"/>
              </w:rPr>
              <w:t>3</w:t>
            </w:r>
            <w:r>
              <w:rPr>
                <w:color w:val="FF0000"/>
                <w:szCs w:val="21"/>
              </w:rPr>
              <w:t>-Na·Ca</w:t>
            </w:r>
          </w:p>
        </w:tc>
        <w:tc>
          <w:tcPr>
            <w:tcW w:w="1726" w:type="dxa"/>
            <w:vAlign w:val="center"/>
          </w:tcPr>
          <w:p>
            <w:pPr>
              <w:keepLines/>
              <w:jc w:val="center"/>
              <w:rPr>
                <w:color w:val="FF0000"/>
                <w:szCs w:val="21"/>
              </w:rPr>
            </w:pPr>
            <w:r>
              <w:rPr>
                <w:color w:val="FF0000"/>
                <w:szCs w:val="21"/>
              </w:rPr>
              <w:t>HCO</w:t>
            </w:r>
            <w:r>
              <w:rPr>
                <w:color w:val="FF0000"/>
                <w:szCs w:val="21"/>
                <w:vertAlign w:val="subscript"/>
              </w:rPr>
              <w:t>3</w:t>
            </w:r>
            <w:r>
              <w:rPr>
                <w:color w:val="FF0000"/>
                <w:szCs w:val="21"/>
              </w:rPr>
              <w:t>-Na·Ca·Mg</w:t>
            </w:r>
          </w:p>
        </w:tc>
        <w:tc>
          <w:tcPr>
            <w:tcW w:w="1883" w:type="dxa"/>
            <w:vAlign w:val="center"/>
          </w:tcPr>
          <w:p>
            <w:pPr>
              <w:keepLines/>
              <w:jc w:val="center"/>
              <w:rPr>
                <w:color w:val="FF0000"/>
                <w:szCs w:val="21"/>
              </w:rPr>
            </w:pPr>
            <w:r>
              <w:rPr>
                <w:color w:val="FF0000"/>
                <w:szCs w:val="21"/>
              </w:rPr>
              <w:t>HCO</w:t>
            </w:r>
            <w:r>
              <w:rPr>
                <w:color w:val="FF0000"/>
                <w:szCs w:val="21"/>
                <w:vertAlign w:val="subscript"/>
              </w:rPr>
              <w:t>3</w:t>
            </w:r>
            <w:r>
              <w:rPr>
                <w:color w:val="FF0000"/>
                <w:szCs w:val="21"/>
              </w:rPr>
              <w:t>·SO</w:t>
            </w:r>
            <w:r>
              <w:rPr>
                <w:color w:val="FF0000"/>
                <w:szCs w:val="21"/>
                <w:vertAlign w:val="subscript"/>
              </w:rPr>
              <w:t>4</w:t>
            </w:r>
            <w:r>
              <w:rPr>
                <w:color w:val="FF0000"/>
                <w:szCs w:val="21"/>
              </w:rPr>
              <w:t>-Na·Ca</w:t>
            </w:r>
          </w:p>
        </w:tc>
        <w:tc>
          <w:tcPr>
            <w:tcW w:w="1945" w:type="dxa"/>
            <w:vAlign w:val="center"/>
          </w:tcPr>
          <w:p>
            <w:pPr>
              <w:keepLines/>
              <w:jc w:val="center"/>
              <w:rPr>
                <w:color w:val="FF0000"/>
                <w:szCs w:val="21"/>
              </w:rPr>
            </w:pPr>
            <w:r>
              <w:rPr>
                <w:color w:val="FF0000"/>
                <w:szCs w:val="21"/>
              </w:rPr>
              <w:t>HCO</w:t>
            </w:r>
            <w:r>
              <w:rPr>
                <w:color w:val="FF0000"/>
                <w:szCs w:val="21"/>
                <w:vertAlign w:val="subscript"/>
              </w:rPr>
              <w:t>3</w:t>
            </w:r>
            <w:r>
              <w:rPr>
                <w:color w:val="FF0000"/>
                <w:szCs w:val="21"/>
              </w:rPr>
              <w:t>-Na·Ca</w:t>
            </w:r>
          </w:p>
        </w:tc>
      </w:tr>
    </w:tbl>
    <w:p>
      <w:pPr>
        <w:widowControl/>
        <w:jc w:val="left"/>
        <w:rPr>
          <w:kern w:val="0"/>
          <w:sz w:val="24"/>
        </w:rPr>
      </w:pPr>
      <w:r>
        <w:rPr>
          <w:kern w:val="0"/>
          <w:sz w:val="24"/>
        </w:rPr>
        <w:t xml:space="preserve"> </w:t>
      </w:r>
    </w:p>
    <w:p>
      <w:pPr>
        <w:spacing w:line="360" w:lineRule="auto"/>
        <w:ind w:firstLine="420" w:firstLineChars="200"/>
        <w:rPr>
          <w:szCs w:val="21"/>
        </w:rPr>
        <w:sectPr>
          <w:pgSz w:w="16838" w:h="11906" w:orient="landscape"/>
          <w:pgMar w:top="1440" w:right="1080" w:bottom="1440" w:left="1080" w:header="851" w:footer="992" w:gutter="0"/>
          <w:cols w:space="720" w:num="1"/>
          <w:docGrid w:type="lines" w:linePitch="312" w:charSpace="0"/>
        </w:sectPr>
      </w:pPr>
    </w:p>
    <w:p>
      <w:pPr>
        <w:spacing w:line="360" w:lineRule="auto"/>
        <w:outlineLvl w:val="3"/>
        <w:rPr>
          <w:b/>
          <w:bCs/>
          <w:color w:val="FF0000"/>
          <w:sz w:val="28"/>
          <w:szCs w:val="32"/>
        </w:rPr>
      </w:pPr>
      <w:bookmarkStart w:id="338" w:name="_Toc489433063"/>
      <w:r>
        <w:rPr>
          <w:rFonts w:hint="eastAsia"/>
          <w:b/>
          <w:bCs/>
          <w:color w:val="FF0000"/>
          <w:sz w:val="28"/>
          <w:szCs w:val="32"/>
        </w:rPr>
        <w:t>4.2.2.</w:t>
      </w:r>
      <w:r>
        <w:rPr>
          <w:b/>
          <w:bCs/>
          <w:color w:val="FF0000"/>
          <w:sz w:val="28"/>
          <w:szCs w:val="32"/>
        </w:rPr>
        <w:t>2</w:t>
      </w:r>
      <w:r>
        <w:rPr>
          <w:rFonts w:hint="eastAsia"/>
          <w:b/>
          <w:bCs/>
          <w:color w:val="FF0000"/>
          <w:sz w:val="28"/>
          <w:szCs w:val="32"/>
        </w:rPr>
        <w:t>包气带环境质量现状监测</w:t>
      </w:r>
    </w:p>
    <w:p>
      <w:pPr>
        <w:pStyle w:val="2235"/>
        <w:ind w:firstLine="480"/>
        <w:rPr>
          <w:rFonts w:ascii="Times New Roman" w:hAnsi="Times New Roman"/>
          <w:color w:val="FF0000"/>
          <w:kern w:val="2"/>
          <w:szCs w:val="24"/>
        </w:rPr>
      </w:pPr>
      <w:r>
        <w:rPr>
          <w:rFonts w:hint="eastAsia" w:ascii="Times New Roman" w:hAnsi="Times New Roman"/>
          <w:color w:val="FF0000"/>
          <w:kern w:val="2"/>
          <w:szCs w:val="24"/>
        </w:rPr>
        <w:t>由于本项目已投入运行，本次评价委托内蒙古航峰检测技术有限公司于2023年</w:t>
      </w:r>
      <w:r>
        <w:rPr>
          <w:rFonts w:ascii="Times New Roman" w:hAnsi="Times New Roman"/>
          <w:color w:val="FF0000"/>
          <w:kern w:val="2"/>
          <w:szCs w:val="24"/>
        </w:rPr>
        <w:t>8</w:t>
      </w:r>
      <w:r>
        <w:rPr>
          <w:rFonts w:hint="eastAsia" w:ascii="Times New Roman" w:hAnsi="Times New Roman"/>
          <w:color w:val="FF0000"/>
          <w:kern w:val="2"/>
          <w:szCs w:val="24"/>
        </w:rPr>
        <w:t>月</w:t>
      </w:r>
      <w:r>
        <w:rPr>
          <w:rFonts w:ascii="Times New Roman" w:hAnsi="Times New Roman"/>
          <w:color w:val="FF0000"/>
          <w:kern w:val="2"/>
          <w:szCs w:val="24"/>
        </w:rPr>
        <w:t>11</w:t>
      </w:r>
      <w:r>
        <w:rPr>
          <w:rFonts w:hint="eastAsia" w:ascii="Times New Roman" w:hAnsi="Times New Roman"/>
          <w:color w:val="FF0000"/>
          <w:kern w:val="2"/>
          <w:szCs w:val="24"/>
        </w:rPr>
        <w:t>日</w:t>
      </w:r>
      <w:r>
        <w:rPr>
          <w:rFonts w:ascii="Times New Roman" w:hAnsi="Times New Roman"/>
          <w:color w:val="FF0000"/>
          <w:kern w:val="2"/>
          <w:szCs w:val="24"/>
        </w:rPr>
        <w:t>开展</w:t>
      </w:r>
      <w:r>
        <w:rPr>
          <w:rFonts w:hint="eastAsia" w:ascii="Times New Roman" w:hAnsi="Times New Roman"/>
          <w:color w:val="FF0000"/>
          <w:kern w:val="2"/>
          <w:szCs w:val="24"/>
        </w:rPr>
        <w:t>了填埋区</w:t>
      </w:r>
      <w:r>
        <w:rPr>
          <w:rFonts w:ascii="Times New Roman" w:hAnsi="Times New Roman"/>
          <w:color w:val="FF0000"/>
          <w:kern w:val="2"/>
          <w:szCs w:val="24"/>
        </w:rPr>
        <w:t>的包气带污染现状调查。</w:t>
      </w:r>
    </w:p>
    <w:p>
      <w:pPr>
        <w:pStyle w:val="2235"/>
        <w:numPr>
          <w:ilvl w:val="0"/>
          <w:numId w:val="3"/>
        </w:numPr>
        <w:ind w:firstLineChars="0"/>
        <w:rPr>
          <w:rFonts w:ascii="Times New Roman" w:hAnsi="Times New Roman"/>
          <w:color w:val="FF0000"/>
          <w:kern w:val="2"/>
          <w:szCs w:val="24"/>
        </w:rPr>
      </w:pPr>
      <w:r>
        <w:rPr>
          <w:rFonts w:hint="eastAsia" w:ascii="Times New Roman" w:hAnsi="Times New Roman"/>
          <w:color w:val="FF0000"/>
          <w:kern w:val="2"/>
          <w:szCs w:val="24"/>
        </w:rPr>
        <w:t>监测布点</w:t>
      </w:r>
    </w:p>
    <w:p>
      <w:pPr>
        <w:pStyle w:val="2235"/>
        <w:ind w:firstLine="480"/>
        <w:rPr>
          <w:rFonts w:ascii="Times New Roman" w:hAnsi="Times New Roman"/>
          <w:color w:val="FF0000"/>
          <w:kern w:val="2"/>
          <w:szCs w:val="24"/>
        </w:rPr>
      </w:pPr>
      <w:r>
        <w:rPr>
          <w:rFonts w:hint="eastAsia" w:ascii="Times New Roman" w:hAnsi="Times New Roman"/>
          <w:color w:val="FF0000"/>
          <w:kern w:val="2"/>
          <w:szCs w:val="24"/>
        </w:rPr>
        <w:t>填埋区外设1个背景点1</w:t>
      </w:r>
      <w:r>
        <w:rPr>
          <w:rFonts w:ascii="Times New Roman" w:hAnsi="Times New Roman"/>
          <w:color w:val="FF0000"/>
          <w:kern w:val="2"/>
          <w:szCs w:val="24"/>
        </w:rPr>
        <w:t>#</w:t>
      </w:r>
      <w:r>
        <w:rPr>
          <w:rFonts w:hint="eastAsia" w:ascii="Times New Roman" w:hAnsi="Times New Roman"/>
          <w:color w:val="FF0000"/>
          <w:kern w:val="2"/>
          <w:szCs w:val="24"/>
        </w:rPr>
        <w:t>，填埋区北侧调节池</w:t>
      </w:r>
      <w:r>
        <w:rPr>
          <w:rFonts w:ascii="Times New Roman" w:hAnsi="Times New Roman"/>
          <w:color w:val="FF0000"/>
          <w:kern w:val="2"/>
          <w:szCs w:val="24"/>
        </w:rPr>
        <w:t>2#</w:t>
      </w:r>
      <w:r>
        <w:rPr>
          <w:rFonts w:hint="eastAsia" w:ascii="Times New Roman" w:hAnsi="Times New Roman"/>
          <w:color w:val="FF0000"/>
          <w:kern w:val="2"/>
          <w:szCs w:val="24"/>
        </w:rPr>
        <w:t>、填埋场东侧</w:t>
      </w:r>
      <w:r>
        <w:rPr>
          <w:rFonts w:ascii="Times New Roman" w:hAnsi="Times New Roman"/>
          <w:color w:val="FF0000"/>
          <w:kern w:val="2"/>
          <w:szCs w:val="24"/>
        </w:rPr>
        <w:t>3#</w:t>
      </w:r>
      <w:r>
        <w:rPr>
          <w:rFonts w:hint="eastAsia" w:ascii="Times New Roman" w:hAnsi="Times New Roman"/>
          <w:color w:val="FF0000"/>
          <w:kern w:val="2"/>
          <w:szCs w:val="24"/>
        </w:rPr>
        <w:t>各设置</w:t>
      </w:r>
      <w:r>
        <w:rPr>
          <w:rFonts w:ascii="Times New Roman" w:hAnsi="Times New Roman"/>
          <w:color w:val="FF0000"/>
          <w:kern w:val="2"/>
          <w:szCs w:val="24"/>
        </w:rPr>
        <w:t>1</w:t>
      </w:r>
      <w:r>
        <w:rPr>
          <w:rFonts w:hint="eastAsia" w:ascii="Times New Roman" w:hAnsi="Times New Roman"/>
          <w:color w:val="FF0000"/>
          <w:kern w:val="2"/>
          <w:szCs w:val="24"/>
        </w:rPr>
        <w:t>个包气带污染现状调查点。</w:t>
      </w:r>
    </w:p>
    <w:p>
      <w:pPr>
        <w:pStyle w:val="2235"/>
        <w:ind w:firstLine="480"/>
        <w:rPr>
          <w:rFonts w:ascii="Times New Roman" w:hAnsi="Times New Roman"/>
          <w:color w:val="FF0000"/>
          <w:kern w:val="2"/>
          <w:szCs w:val="24"/>
        </w:rPr>
      </w:pPr>
      <w:r>
        <w:drawing>
          <wp:anchor distT="0" distB="0" distL="114300" distR="114300" simplePos="0" relativeHeight="251710464" behindDoc="0" locked="0" layoutInCell="1" allowOverlap="1">
            <wp:simplePos x="0" y="0"/>
            <wp:positionH relativeFrom="margin">
              <wp:posOffset>4955540</wp:posOffset>
            </wp:positionH>
            <wp:positionV relativeFrom="paragraph">
              <wp:posOffset>1905</wp:posOffset>
            </wp:positionV>
            <wp:extent cx="655955" cy="676275"/>
            <wp:effectExtent l="0" t="0" r="0" b="0"/>
            <wp:wrapNone/>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5871" cy="676096"/>
                    </a:xfrm>
                    <a:prstGeom prst="rect">
                      <a:avLst/>
                    </a:prstGeom>
                  </pic:spPr>
                </pic:pic>
              </a:graphicData>
            </a:graphic>
          </wp:anchor>
        </w:drawing>
      </w:r>
      <w:r>
        <w:rPr>
          <w:rFonts w:ascii="Times New Roman" w:hAnsi="Times New Roman"/>
          <w:color w:val="FF0000"/>
          <w:kern w:val="2"/>
          <w:szCs w:val="24"/>
        </w:rPr>
        <mc:AlternateContent>
          <mc:Choice Requires="wps">
            <w:drawing>
              <wp:anchor distT="0" distB="0" distL="114300" distR="114300" simplePos="0" relativeHeight="251709440" behindDoc="0" locked="0" layoutInCell="1" allowOverlap="1">
                <wp:simplePos x="0" y="0"/>
                <wp:positionH relativeFrom="column">
                  <wp:posOffset>417830</wp:posOffset>
                </wp:positionH>
                <wp:positionV relativeFrom="paragraph">
                  <wp:posOffset>2753995</wp:posOffset>
                </wp:positionV>
                <wp:extent cx="94615" cy="60325"/>
                <wp:effectExtent l="19050" t="19050" r="38735" b="15875"/>
                <wp:wrapNone/>
                <wp:docPr id="328" name="等腰三角形 328"/>
                <wp:cNvGraphicFramePr/>
                <a:graphic xmlns:a="http://schemas.openxmlformats.org/drawingml/2006/main">
                  <a:graphicData uri="http://schemas.microsoft.com/office/word/2010/wordprocessingShape">
                    <wps:wsp>
                      <wps:cNvSpPr/>
                      <wps:spPr>
                        <a:xfrm>
                          <a:off x="0" y="0"/>
                          <a:ext cx="94891" cy="60385"/>
                        </a:xfrm>
                        <a:prstGeom prst="triangl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2.9pt;margin-top:216.85pt;height:4.75pt;width:7.45pt;z-index:251709440;v-text-anchor:middle;mso-width-relative:page;mso-height-relative:page;" fillcolor="#ED7D31 [3205]" filled="t" stroked="t" coordsize="21600,21600" o:gfxdata="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4Vmsm2QAAAAkBAAAPAAAAAAAA&#10;AAEAIAAAACIAAABkcnMvZG93bnJldi54bWxQSwECFAAUAAAACACHTuJAk1uOg4MCAAACBQAADgAA&#10;AAAAAAABACAAAAAoAQAAZHJzL2Uyb0RvYy54bWxQSwUGAAAAAAYABgBZAQAAHQYAAAAA&#10;" adj="10800">
                <v:fill on="t" focussize="0,0"/>
                <v:stroke weight="1pt" color="#ED7D31 [3205]" miterlimit="8" joinstyle="miter"/>
                <v:imagedata o:title=""/>
                <o:lock v:ext="edit" aspectratio="f"/>
              </v:shape>
            </w:pict>
          </mc:Fallback>
        </mc:AlternateContent>
      </w:r>
      <w:r>
        <w:rPr>
          <w:rFonts w:ascii="Times New Roman" w:hAnsi="Times New Roman"/>
          <w:color w:val="FF0000"/>
          <w:kern w:val="2"/>
          <w:szCs w:val="24"/>
        </w:rPr>
        <mc:AlternateContent>
          <mc:Choice Requires="wps">
            <w:drawing>
              <wp:anchor distT="0" distB="0" distL="114300" distR="114300" simplePos="0" relativeHeight="251707392" behindDoc="0" locked="0" layoutInCell="1" allowOverlap="1">
                <wp:simplePos x="0" y="0"/>
                <wp:positionH relativeFrom="column">
                  <wp:posOffset>3333750</wp:posOffset>
                </wp:positionH>
                <wp:positionV relativeFrom="paragraph">
                  <wp:posOffset>1105535</wp:posOffset>
                </wp:positionV>
                <wp:extent cx="86360" cy="60325"/>
                <wp:effectExtent l="19050" t="19050" r="47625" b="15875"/>
                <wp:wrapNone/>
                <wp:docPr id="325" name="等腰三角形 325"/>
                <wp:cNvGraphicFramePr/>
                <a:graphic xmlns:a="http://schemas.openxmlformats.org/drawingml/2006/main">
                  <a:graphicData uri="http://schemas.microsoft.com/office/word/2010/wordprocessingShape">
                    <wps:wsp>
                      <wps:cNvSpPr/>
                      <wps:spPr>
                        <a:xfrm>
                          <a:off x="0" y="0"/>
                          <a:ext cx="86264" cy="60385"/>
                        </a:xfrm>
                        <a:prstGeom prst="triangl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62.5pt;margin-top:87.05pt;height:4.75pt;width:6.8pt;z-index:251707392;v-text-anchor:middle;mso-width-relative:page;mso-height-relative:page;" fillcolor="#ED7D31 [3205]" filled="t" stroked="t" coordsize="21600,21600" o:gfxdata="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DTgIfbaAAAACwEAAA8AAAAA&#10;AAAAAQAgAAAAIgAAAGRycy9kb3ducmV2LnhtbFBLAQIUABQAAAAIAIdO4kCPQLgxhAIAAAIFAAAO&#10;AAAAAAAAAAEAIAAAACkBAABkcnMvZTJvRG9jLnhtbFBLBQYAAAAABgAGAFkBAAAfBgAAAAA=&#10;" adj="10800">
                <v:fill on="t" focussize="0,0"/>
                <v:stroke weight="1pt" color="#ED7D31 [3205]" miterlimit="8" joinstyle="miter"/>
                <v:imagedata o:title=""/>
                <o:lock v:ext="edit" aspectratio="f"/>
              </v:shape>
            </w:pict>
          </mc:Fallback>
        </mc:AlternateContent>
      </w:r>
      <w:r>
        <w:rPr>
          <w:rFonts w:ascii="Times New Roman" w:hAnsi="Times New Roman"/>
          <w:color w:val="FF0000"/>
          <w:kern w:val="2"/>
          <w:szCs w:val="24"/>
        </w:rPr>
        <mc:AlternateContent>
          <mc:Choice Requires="wps">
            <w:drawing>
              <wp:anchor distT="0" distB="0" distL="114300" distR="114300" simplePos="0" relativeHeight="251708416" behindDoc="0" locked="0" layoutInCell="1" allowOverlap="1">
                <wp:simplePos x="0" y="0"/>
                <wp:positionH relativeFrom="column">
                  <wp:posOffset>3572510</wp:posOffset>
                </wp:positionH>
                <wp:positionV relativeFrom="paragraph">
                  <wp:posOffset>1499870</wp:posOffset>
                </wp:positionV>
                <wp:extent cx="86360" cy="60325"/>
                <wp:effectExtent l="19050" t="19050" r="47625" b="15875"/>
                <wp:wrapNone/>
                <wp:docPr id="326" name="等腰三角形 326"/>
                <wp:cNvGraphicFramePr/>
                <a:graphic xmlns:a="http://schemas.openxmlformats.org/drawingml/2006/main">
                  <a:graphicData uri="http://schemas.microsoft.com/office/word/2010/wordprocessingShape">
                    <wps:wsp>
                      <wps:cNvSpPr/>
                      <wps:spPr>
                        <a:xfrm>
                          <a:off x="0" y="0"/>
                          <a:ext cx="86264" cy="60385"/>
                        </a:xfrm>
                        <a:prstGeom prst="triangl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81.3pt;margin-top:118.1pt;height:4.75pt;width:6.8pt;z-index:251708416;v-text-anchor:middle;mso-width-relative:page;mso-height-relative:page;" fillcolor="#ED7D31 [3205]" filled="t" stroked="t" coordsize="21600,21600" o:gfxdata="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ysI/a2QAAAAsBAAAPAAAAAAAA&#10;AAEAIAAAACIAAABkcnMvZG93bnJldi54bWxQSwECFAAUAAAACACHTuJAZeGL5IMCAAACBQAADgAA&#10;AAAAAAABACAAAAAoAQAAZHJzL2Uyb0RvYy54bWxQSwUGAAAAAAYABgBZAQAAHQYAAAAA&#10;" adj="10800">
                <v:fill on="t" focussize="0,0"/>
                <v:stroke weight="1pt" color="#ED7D31 [3205]" miterlimit="8" joinstyle="miter"/>
                <v:imagedata o:title=""/>
                <o:lock v:ext="edit" aspectratio="f"/>
              </v:shape>
            </w:pict>
          </mc:Fallback>
        </mc:AlternateContent>
      </w:r>
      <w:r>
        <w:rPr>
          <w:rFonts w:ascii="Times New Roman" w:hAnsi="Times New Roman"/>
          <w:color w:val="FF0000"/>
          <w:kern w:val="2"/>
          <w:szCs w:val="24"/>
        </w:rPr>
        <mc:AlternateContent>
          <mc:Choice Requires="wps">
            <w:drawing>
              <wp:anchor distT="0" distB="0" distL="114300" distR="114300" simplePos="0" relativeHeight="251706368" behindDoc="0" locked="0" layoutInCell="1" allowOverlap="1">
                <wp:simplePos x="0" y="0"/>
                <wp:positionH relativeFrom="column">
                  <wp:posOffset>3376930</wp:posOffset>
                </wp:positionH>
                <wp:positionV relativeFrom="paragraph">
                  <wp:posOffset>864870</wp:posOffset>
                </wp:positionV>
                <wp:extent cx="86360" cy="60325"/>
                <wp:effectExtent l="19050" t="19050" r="47625" b="15875"/>
                <wp:wrapNone/>
                <wp:docPr id="324" name="等腰三角形 324"/>
                <wp:cNvGraphicFramePr/>
                <a:graphic xmlns:a="http://schemas.openxmlformats.org/drawingml/2006/main">
                  <a:graphicData uri="http://schemas.microsoft.com/office/word/2010/wordprocessingShape">
                    <wps:wsp>
                      <wps:cNvSpPr/>
                      <wps:spPr>
                        <a:xfrm>
                          <a:off x="0" y="0"/>
                          <a:ext cx="86264" cy="60385"/>
                        </a:xfrm>
                        <a:prstGeom prst="triangl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65.9pt;margin-top:68.1pt;height:4.75pt;width:6.8pt;z-index:251706368;v-text-anchor:middle;mso-width-relative:page;mso-height-relative:page;" fillcolor="#ED7D31 [3205]" filled="t" stroked="t" coordsize="21600,21600" o:gfxdata="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yIMnO2QAAAAsBAAAPAAAAAAAA&#10;AAEAIAAAACIAAABkcnMvZG93bnJldi54bWxQSwECFAAUAAAACACHTuJAFiKGy4MCAAACBQAADgAA&#10;AAAAAAABACAAAAAoAQAAZHJzL2Uyb0RvYy54bWxQSwUGAAAAAAYABgBZAQAAHQYAAAAA&#10;" adj="10800">
                <v:fill on="t" focussize="0,0"/>
                <v:stroke weight="1pt" color="#ED7D31 [3205]" miterlimit="8" joinstyle="miter"/>
                <v:imagedata o:title=""/>
                <o:lock v:ext="edit" aspectratio="f"/>
              </v:shape>
            </w:pict>
          </mc:Fallback>
        </mc:AlternateContent>
      </w:r>
      <w:r>
        <w:rPr>
          <w:rFonts w:ascii="Times New Roman" w:hAnsi="Times New Roman"/>
          <w:color w:val="FF0000"/>
          <w:kern w:val="2"/>
          <w:szCs w:val="24"/>
        </w:rPr>
        <mc:AlternateContent>
          <mc:Choice Requires="wps">
            <w:drawing>
              <wp:anchor distT="0" distB="0" distL="114300" distR="114300" simplePos="0" relativeHeight="251705344" behindDoc="0" locked="0" layoutInCell="1" allowOverlap="1">
                <wp:simplePos x="0" y="0"/>
                <wp:positionH relativeFrom="column">
                  <wp:posOffset>349250</wp:posOffset>
                </wp:positionH>
                <wp:positionV relativeFrom="paragraph">
                  <wp:posOffset>2581275</wp:posOffset>
                </wp:positionV>
                <wp:extent cx="189865" cy="0"/>
                <wp:effectExtent l="0" t="0" r="20320" b="19050"/>
                <wp:wrapNone/>
                <wp:docPr id="283" name="直接连接符 283"/>
                <wp:cNvGraphicFramePr/>
                <a:graphic xmlns:a="http://schemas.openxmlformats.org/drawingml/2006/main">
                  <a:graphicData uri="http://schemas.microsoft.com/office/word/2010/wordprocessingShape">
                    <wps:wsp>
                      <wps:cNvCnPr/>
                      <wps:spPr>
                        <a:xfrm>
                          <a:off x="0" y="0"/>
                          <a:ext cx="189781" cy="0"/>
                        </a:xfrm>
                        <a:prstGeom prst="line">
                          <a:avLst/>
                        </a:prstGeom>
                        <a:ln w="19050">
                          <a:solidFill>
                            <a:srgbClr val="8A38F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5pt;margin-top:203.25pt;height:0pt;width:14.95pt;z-index:251705344;mso-width-relative:page;mso-height-relative:page;" filled="f" stroked="t" coordsize="21600,21600" o:gfxdata="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EC4f&#10;VtcAAAAJAQAADwAAAAAAAAABACAAAAAiAAAAZHJzL2Rvd25yZXYueG1sUEsBAhQAFAAAAAgAh07i&#10;QB8XR7HqAQAAtQMAAA4AAAAAAAAAAQAgAAAAJgEAAGRycy9lMm9Eb2MueG1sUEsFBgAAAAAGAAYA&#10;WQEAAIIFAAAAAA==&#10;">
                <v:fill on="f" focussize="0,0"/>
                <v:stroke weight="1.5pt" color="#8A38F8 [3204]" miterlimit="8" joinstyle="miter"/>
                <v:imagedata o:title=""/>
                <o:lock v:ext="edit" aspectratio="f"/>
              </v:line>
            </w:pict>
          </mc:Fallback>
        </mc:AlternateContent>
      </w:r>
      <w:r>
        <w:rPr>
          <w:rFonts w:ascii="Times New Roman" w:hAnsi="Times New Roman"/>
          <w:color w:val="FF0000"/>
          <w:kern w:val="2"/>
          <w:szCs w:val="24"/>
        </w:rPr>
        <mc:AlternateContent>
          <mc:Choice Requires="wps">
            <w:drawing>
              <wp:anchor distT="0" distB="0" distL="114300" distR="114300" simplePos="0" relativeHeight="251704320" behindDoc="0" locked="0" layoutInCell="1" allowOverlap="1">
                <wp:simplePos x="0" y="0"/>
                <wp:positionH relativeFrom="column">
                  <wp:posOffset>314325</wp:posOffset>
                </wp:positionH>
                <wp:positionV relativeFrom="paragraph">
                  <wp:posOffset>2227580</wp:posOffset>
                </wp:positionV>
                <wp:extent cx="905510" cy="767080"/>
                <wp:effectExtent l="0" t="0" r="27940" b="14605"/>
                <wp:wrapNone/>
                <wp:docPr id="282" name="文本框 282"/>
                <wp:cNvGraphicFramePr/>
                <a:graphic xmlns:a="http://schemas.openxmlformats.org/drawingml/2006/main">
                  <a:graphicData uri="http://schemas.microsoft.com/office/word/2010/wordprocessingShape">
                    <wps:wsp>
                      <wps:cNvSpPr txBox="1"/>
                      <wps:spPr>
                        <a:xfrm>
                          <a:off x="0" y="0"/>
                          <a:ext cx="905774" cy="766888"/>
                        </a:xfrm>
                        <a:prstGeom prst="rect">
                          <a:avLst/>
                        </a:prstGeom>
                        <a:solidFill>
                          <a:schemeClr val="lt1"/>
                        </a:solidFill>
                        <a:ln w="6350">
                          <a:solidFill>
                            <a:prstClr val="black"/>
                          </a:solidFill>
                        </a:ln>
                      </wps:spPr>
                      <wps:txbx>
                        <w:txbxContent>
                          <w:p>
                            <w:r>
                              <w:rPr>
                                <w:rFonts w:hint="eastAsia"/>
                              </w:rPr>
                              <w:t>图例</w:t>
                            </w:r>
                          </w:p>
                          <w:p>
                            <w:r>
                              <w:rPr>
                                <w:rFonts w:hint="eastAsia"/>
                              </w:rPr>
                              <w:t xml:space="preserve">  </w:t>
                            </w:r>
                            <w:r>
                              <w:t>项目区</w:t>
                            </w:r>
                          </w:p>
                          <w:p>
                            <w:pPr>
                              <w:ind w:firstLine="210" w:firstLineChars="100"/>
                            </w:pPr>
                            <w:r>
                              <w:rPr>
                                <w:rFonts w:hint="eastAsia"/>
                              </w:rPr>
                              <w:t>监测</w:t>
                            </w:r>
                            <w:r>
                              <w:t>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5pt;margin-top:175.4pt;height:60.4pt;width:71.3pt;z-index:251704320;mso-width-relative:page;mso-height-relative:page;" fillcolor="#FFFFFF [3201]" filled="t" stroked="t" coordsize="21600,21600" o:gfxdata="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Vxr3BdYA&#10;AAAKAQAADwAAAAAAAAABACAAAAAiAAAAZHJzL2Rvd25yZXYueG1sUEsBAhQAFAAAAAgAh07iQK4W&#10;em9aAgAAugQAAA4AAAAAAAAAAQAgAAAAJQEAAGRycy9lMm9Eb2MueG1sUEsFBgAAAAAGAAYAWQEA&#10;APEFAAAAAA==&#10;">
                <v:fill on="t" focussize="0,0"/>
                <v:stroke weight="0.5pt" color="#000000" joinstyle="round"/>
                <v:imagedata o:title=""/>
                <o:lock v:ext="edit" aspectratio="f"/>
                <v:textbox>
                  <w:txbxContent>
                    <w:p>
                      <w:r>
                        <w:rPr>
                          <w:rFonts w:hint="eastAsia"/>
                        </w:rPr>
                        <w:t>图例</w:t>
                      </w:r>
                    </w:p>
                    <w:p>
                      <w:r>
                        <w:rPr>
                          <w:rFonts w:hint="eastAsia"/>
                        </w:rPr>
                        <w:t xml:space="preserve">  </w:t>
                      </w:r>
                      <w:r>
                        <w:t>项目区</w:t>
                      </w:r>
                    </w:p>
                    <w:p>
                      <w:pPr>
                        <w:ind w:firstLine="210" w:firstLineChars="100"/>
                      </w:pPr>
                      <w:r>
                        <w:rPr>
                          <w:rFonts w:hint="eastAsia"/>
                        </w:rPr>
                        <w:t>监测</w:t>
                      </w:r>
                      <w:r>
                        <w:t>点位</w:t>
                      </w:r>
                    </w:p>
                  </w:txbxContent>
                </v:textbox>
              </v:shape>
            </w:pict>
          </mc:Fallback>
        </mc:AlternateContent>
      </w:r>
      <w:r>
        <w:rPr>
          <w:rFonts w:ascii="Times New Roman" w:hAnsi="Times New Roman"/>
          <w:color w:val="FF0000"/>
          <w:kern w:val="2"/>
          <w:szCs w:val="24"/>
        </w:rPr>
        <w:drawing>
          <wp:inline distT="0" distB="0" distL="0" distR="0">
            <wp:extent cx="5267960" cy="3009900"/>
            <wp:effectExtent l="0" t="0" r="889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59"/>
                    <a:stretch>
                      <a:fillRect/>
                    </a:stretch>
                  </pic:blipFill>
                  <pic:spPr>
                    <a:xfrm>
                      <a:off x="0" y="0"/>
                      <a:ext cx="5268060" cy="3010320"/>
                    </a:xfrm>
                    <a:prstGeom prst="rect">
                      <a:avLst/>
                    </a:prstGeom>
                  </pic:spPr>
                </pic:pic>
              </a:graphicData>
            </a:graphic>
          </wp:inline>
        </w:drawing>
      </w:r>
    </w:p>
    <w:p>
      <w:pPr>
        <w:pStyle w:val="2235"/>
        <w:ind w:firstLine="482"/>
        <w:jc w:val="center"/>
        <w:rPr>
          <w:rFonts w:ascii="Times New Roman" w:hAnsi="Times New Roman"/>
          <w:b/>
          <w:color w:val="FF0000"/>
          <w:kern w:val="2"/>
          <w:szCs w:val="24"/>
        </w:rPr>
      </w:pPr>
      <w:r>
        <w:rPr>
          <w:rFonts w:hint="eastAsia" w:ascii="Times New Roman" w:hAnsi="Times New Roman"/>
          <w:b/>
          <w:color w:val="FF0000"/>
          <w:kern w:val="2"/>
          <w:szCs w:val="24"/>
        </w:rPr>
        <w:t>图4</w:t>
      </w:r>
      <w:r>
        <w:rPr>
          <w:rFonts w:ascii="Times New Roman" w:hAnsi="Times New Roman"/>
          <w:b/>
          <w:color w:val="FF0000"/>
          <w:kern w:val="2"/>
          <w:szCs w:val="24"/>
        </w:rPr>
        <w:t>.2-4</w:t>
      </w:r>
      <w:r>
        <w:rPr>
          <w:rFonts w:hint="eastAsia" w:ascii="Times New Roman" w:hAnsi="Times New Roman"/>
          <w:b/>
          <w:color w:val="FF0000"/>
          <w:kern w:val="2"/>
          <w:szCs w:val="24"/>
        </w:rPr>
        <w:t xml:space="preserve"> 包气带污染现状调查布点图</w:t>
      </w:r>
    </w:p>
    <w:p>
      <w:pPr>
        <w:pStyle w:val="2235"/>
        <w:numPr>
          <w:ilvl w:val="0"/>
          <w:numId w:val="3"/>
        </w:numPr>
        <w:ind w:firstLineChars="0"/>
        <w:rPr>
          <w:rFonts w:ascii="Times New Roman" w:hAnsi="Times New Roman"/>
          <w:color w:val="FF0000"/>
          <w:kern w:val="2"/>
          <w:szCs w:val="24"/>
        </w:rPr>
      </w:pPr>
      <w:r>
        <w:rPr>
          <w:rFonts w:hint="eastAsia" w:ascii="Times New Roman" w:hAnsi="Times New Roman"/>
          <w:color w:val="FF0000"/>
          <w:kern w:val="2"/>
          <w:szCs w:val="24"/>
        </w:rPr>
        <w:t>监测项目</w:t>
      </w:r>
    </w:p>
    <w:p>
      <w:pPr>
        <w:pStyle w:val="2235"/>
        <w:ind w:firstLine="480"/>
        <w:rPr>
          <w:rFonts w:ascii="Times New Roman" w:hAnsi="Times New Roman"/>
          <w:color w:val="FF0000"/>
          <w:kern w:val="2"/>
          <w:szCs w:val="24"/>
        </w:rPr>
      </w:pPr>
      <w:r>
        <w:rPr>
          <w:rFonts w:hint="eastAsia" w:ascii="Times New Roman" w:hAnsi="Times New Roman"/>
          <w:color w:val="FF0000"/>
          <w:kern w:val="2"/>
          <w:szCs w:val="24"/>
        </w:rPr>
        <w:t>pH、总硬度、硝酸盐氮、亚硝酸盐氮、氨氮、耗氧量、氟化物、氰化物、溶解性总固体、挥发性酚类、铬（六价）、总大肠菌群、菌落总数、砷、汞、铅、铁、锰、镉、锌、铜、总铬。</w:t>
      </w:r>
    </w:p>
    <w:p>
      <w:pPr>
        <w:pStyle w:val="2235"/>
        <w:numPr>
          <w:ilvl w:val="0"/>
          <w:numId w:val="3"/>
        </w:numPr>
        <w:ind w:firstLineChars="0"/>
        <w:rPr>
          <w:rFonts w:ascii="Times New Roman" w:hAnsi="Times New Roman"/>
          <w:color w:val="FF0000"/>
          <w:kern w:val="2"/>
          <w:szCs w:val="24"/>
        </w:rPr>
      </w:pPr>
      <w:r>
        <w:rPr>
          <w:rFonts w:hint="eastAsia" w:ascii="Times New Roman" w:hAnsi="Times New Roman"/>
          <w:color w:val="FF0000"/>
          <w:kern w:val="2"/>
          <w:szCs w:val="24"/>
        </w:rPr>
        <w:t>监测结果</w:t>
      </w:r>
    </w:p>
    <w:p>
      <w:pPr>
        <w:pStyle w:val="2235"/>
        <w:spacing w:line="240" w:lineRule="auto"/>
        <w:ind w:left="840" w:firstLine="0" w:firstLineChars="0"/>
        <w:jc w:val="center"/>
        <w:rPr>
          <w:rFonts w:ascii="Times New Roman" w:hAnsi="Times New Roman"/>
          <w:b/>
          <w:color w:val="FF0000"/>
          <w:kern w:val="2"/>
          <w:szCs w:val="24"/>
        </w:rPr>
      </w:pPr>
      <w:r>
        <w:rPr>
          <w:rFonts w:hint="eastAsia" w:ascii="Times New Roman" w:hAnsi="Times New Roman"/>
          <w:b/>
          <w:color w:val="FF0000"/>
          <w:kern w:val="2"/>
          <w:szCs w:val="24"/>
        </w:rPr>
        <w:t>表4.2-</w:t>
      </w:r>
      <w:r>
        <w:rPr>
          <w:rFonts w:ascii="Times New Roman" w:hAnsi="Times New Roman"/>
          <w:b/>
          <w:color w:val="FF0000"/>
          <w:kern w:val="2"/>
          <w:szCs w:val="24"/>
        </w:rPr>
        <w:t>8</w:t>
      </w:r>
      <w:r>
        <w:rPr>
          <w:rFonts w:hint="eastAsia" w:ascii="Times New Roman" w:hAnsi="Times New Roman"/>
          <w:b/>
          <w:color w:val="FF0000"/>
          <w:kern w:val="2"/>
          <w:szCs w:val="24"/>
        </w:rPr>
        <w:t xml:space="preserve">  包气带污染监测结果</w:t>
      </w:r>
    </w:p>
    <w:tbl>
      <w:tblPr>
        <w:tblStyle w:val="224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05"/>
        <w:gridCol w:w="1605"/>
        <w:gridCol w:w="1897"/>
        <w:gridCol w:w="21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检测项目</w:t>
            </w:r>
          </w:p>
          <w:p>
            <w:pPr>
              <w:kinsoku w:val="0"/>
              <w:overflowPunct w:val="0"/>
              <w:autoSpaceDE w:val="0"/>
              <w:autoSpaceDN w:val="0"/>
              <w:adjustRightInd w:val="0"/>
              <w:snapToGrid w:val="0"/>
              <w:jc w:val="center"/>
              <w:rPr>
                <w:rFonts w:eastAsiaTheme="minorEastAsia"/>
                <w:color w:val="FF0000"/>
                <w:szCs w:val="21"/>
              </w:rPr>
            </w:pPr>
            <w:r>
              <w:rPr>
                <w:rFonts w:ascii="宋体" w:hAnsi="宋体" w:eastAsia="Times New Roman"/>
                <w:color w:val="FF0000"/>
                <w:szCs w:val="21"/>
              </w:rPr>
              <w:t>采样位置及深度</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w:t>
            </w:r>
            <w:r>
              <w:rPr>
                <w:rFonts w:hint="eastAsia" w:ascii="宋体" w:hAnsi="宋体" w:eastAsia="Times New Roman"/>
                <w:color w:val="FF0000"/>
                <w:szCs w:val="21"/>
              </w:rPr>
              <w:t>厂区外北侧</w:t>
            </w:r>
            <w:r>
              <w:rPr>
                <w:rFonts w:eastAsia="Times New Roman"/>
                <w:color w:val="FF0000"/>
                <w:szCs w:val="21"/>
              </w:rPr>
              <w:t>(0-20cm)</w:t>
            </w:r>
          </w:p>
          <w:p>
            <w:pPr>
              <w:kinsoku w:val="0"/>
              <w:overflowPunct w:val="0"/>
              <w:autoSpaceDE w:val="0"/>
              <w:autoSpaceDN w:val="0"/>
              <w:adjustRightInd w:val="0"/>
              <w:snapToGrid w:val="0"/>
              <w:jc w:val="center"/>
              <w:rPr>
                <w:rFonts w:eastAsia="Times New Roman"/>
                <w:color w:val="FF0000"/>
                <w:szCs w:val="21"/>
              </w:rPr>
            </w:pPr>
            <w:r>
              <w:rPr>
                <w:rFonts w:hint="eastAsia" w:asciiTheme="minorEastAsia" w:hAnsiTheme="minorEastAsia" w:eastAsiaTheme="minorEastAsia"/>
                <w:color w:val="FF0000"/>
                <w:szCs w:val="21"/>
              </w:rPr>
              <w:t>（背景点）</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2#</w:t>
            </w:r>
            <w:r>
              <w:rPr>
                <w:rFonts w:hint="eastAsia" w:ascii="宋体" w:hAnsi="宋体" w:eastAsia="Times New Roman"/>
                <w:color w:val="FF0000"/>
                <w:szCs w:val="21"/>
              </w:rPr>
              <w:t>厂区内北侧调节池北侧</w:t>
            </w:r>
            <w:r>
              <w:rPr>
                <w:rFonts w:eastAsia="Times New Roman"/>
                <w:color w:val="FF0000"/>
                <w:szCs w:val="21"/>
              </w:rPr>
              <w:t>(0-20cm)</w:t>
            </w:r>
          </w:p>
          <w:p>
            <w:pPr>
              <w:kinsoku w:val="0"/>
              <w:overflowPunct w:val="0"/>
              <w:autoSpaceDE w:val="0"/>
              <w:autoSpaceDN w:val="0"/>
              <w:adjustRightInd w:val="0"/>
              <w:snapToGrid w:val="0"/>
              <w:jc w:val="center"/>
              <w:rPr>
                <w:rFonts w:eastAsia="Times New Roman"/>
                <w:color w:val="FF0000"/>
                <w:szCs w:val="21"/>
              </w:rPr>
            </w:pPr>
            <w:r>
              <w:rPr>
                <w:rFonts w:hint="eastAsia" w:asciiTheme="minorEastAsia" w:hAnsiTheme="minorEastAsia" w:eastAsiaTheme="minorEastAsia"/>
                <w:color w:val="FF0000"/>
                <w:szCs w:val="21"/>
              </w:rPr>
              <w:t>（污染调查点）</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3#</w:t>
            </w:r>
            <w:r>
              <w:rPr>
                <w:rFonts w:hint="eastAsia" w:ascii="宋体" w:hAnsi="宋体" w:eastAsia="Times New Roman"/>
                <w:color w:val="FF0000"/>
                <w:szCs w:val="21"/>
              </w:rPr>
              <w:t>填埋场东侧</w:t>
            </w:r>
            <w:r>
              <w:rPr>
                <w:rFonts w:eastAsia="Times New Roman"/>
                <w:color w:val="FF0000"/>
                <w:szCs w:val="21"/>
              </w:rPr>
              <w:t>(0-20cm)</w:t>
            </w:r>
          </w:p>
          <w:p>
            <w:pPr>
              <w:kinsoku w:val="0"/>
              <w:overflowPunct w:val="0"/>
              <w:autoSpaceDE w:val="0"/>
              <w:autoSpaceDN w:val="0"/>
              <w:adjustRightInd w:val="0"/>
              <w:snapToGrid w:val="0"/>
              <w:jc w:val="center"/>
              <w:rPr>
                <w:rFonts w:eastAsia="Times New Roman"/>
                <w:color w:val="FF0000"/>
                <w:szCs w:val="21"/>
              </w:rPr>
            </w:pPr>
            <w:r>
              <w:rPr>
                <w:rFonts w:hint="eastAsia" w:asciiTheme="minorEastAsia" w:hAnsiTheme="minorEastAsia" w:eastAsiaTheme="minorEastAsia"/>
                <w:color w:val="FF0000"/>
                <w:szCs w:val="21"/>
              </w:rPr>
              <w:t>（污染调查点）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eastAsia="Times New Roman"/>
                <w:color w:val="FF0000"/>
                <w:szCs w:val="21"/>
              </w:rPr>
              <w:t>pH</w:t>
            </w:r>
            <w:r>
              <w:rPr>
                <w:rFonts w:ascii="宋体" w:hAnsi="宋体" w:eastAsia="Times New Roman"/>
                <w:color w:val="FF0000"/>
                <w:szCs w:val="21"/>
              </w:rPr>
              <w:t>值</w:t>
            </w:r>
            <w:r>
              <w:rPr>
                <w:rFonts w:eastAsia="Times New Roman"/>
                <w:color w:val="FF0000"/>
                <w:szCs w:val="21"/>
              </w:rPr>
              <w:t>(</w:t>
            </w:r>
            <w:r>
              <w:rPr>
                <w:rFonts w:ascii="宋体" w:hAnsi="宋体" w:eastAsia="Times New Roman"/>
                <w:color w:val="FF0000"/>
                <w:szCs w:val="21"/>
              </w:rPr>
              <w:t>无量纲</w:t>
            </w:r>
            <w:r>
              <w:rPr>
                <w:rFonts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7.8</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7.9</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olor w:val="FF0000"/>
                <w:szCs w:val="21"/>
              </w:rPr>
              <w:t>氨氮</w:t>
            </w:r>
            <w:r>
              <w:rPr>
                <w:rFonts w:ascii="宋体" w:hAnsi="宋体" w:eastAsia="Times New Roman"/>
                <w:color w:val="FF0000"/>
                <w:szCs w:val="21"/>
              </w:rPr>
              <w:t>（</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0.33</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0.20</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olor w:val="FF0000"/>
                <w:szCs w:val="21"/>
              </w:rPr>
              <w:t>铅</w:t>
            </w:r>
            <w:r>
              <w:rPr>
                <w:rFonts w:ascii="宋体" w:hAnsi="宋体" w:eastAsia="Times New Roman"/>
                <w:color w:val="FF0000"/>
                <w:szCs w:val="21"/>
              </w:rPr>
              <w:t>（</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-3</w:t>
            </w:r>
            <w:r>
              <w:rPr>
                <w:rFonts w:hint="eastAsia" w:eastAsia="Times New Roman"/>
                <w:color w:val="FF0000"/>
                <w:szCs w:val="21"/>
              </w:rPr>
              <w:t>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-3</w:t>
            </w:r>
            <w:r>
              <w:rPr>
                <w:rFonts w:hint="eastAsia" w:eastAsia="Times New Roman"/>
                <w:color w:val="FF0000"/>
                <w:szCs w:val="21"/>
              </w:rPr>
              <w:t>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-3</w:t>
            </w:r>
            <w:r>
              <w:rPr>
                <w:rFonts w:hint="eastAsia" w:eastAsia="Times New Roman"/>
                <w:color w:val="FF0000"/>
                <w:szCs w:val="21"/>
              </w:rPr>
              <w:t>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s="宋体"/>
                <w:color w:val="FF0000"/>
                <w:spacing w:val="-11"/>
                <w:szCs w:val="21"/>
              </w:rPr>
              <w:t>镉</w:t>
            </w:r>
            <w:r>
              <w:rPr>
                <w:rFonts w:ascii="宋体" w:hAnsi="宋体" w:eastAsia="Times New Roman"/>
                <w:color w:val="FF0000"/>
                <w:szCs w:val="21"/>
              </w:rPr>
              <w:t>（</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-4</w:t>
            </w:r>
            <w:r>
              <w:rPr>
                <w:rFonts w:hint="eastAsia" w:eastAsia="Times New Roman"/>
                <w:color w:val="FF0000"/>
                <w:szCs w:val="21"/>
              </w:rPr>
              <w:t>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-4</w:t>
            </w:r>
            <w:r>
              <w:rPr>
                <w:rFonts w:hint="eastAsia" w:eastAsia="Times New Roman"/>
                <w:color w:val="FF0000"/>
                <w:szCs w:val="21"/>
              </w:rPr>
              <w:t>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-4</w:t>
            </w:r>
            <w:r>
              <w:rPr>
                <w:rFonts w:hint="eastAsia" w:eastAsia="Times New Roman"/>
                <w:color w:val="FF0000"/>
                <w:szCs w:val="21"/>
              </w:rPr>
              <w:t>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六价铬（</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0.004L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0.004L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0.004L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砷（</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3</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-4</w:t>
            </w:r>
            <w:r>
              <w:rPr>
                <w:rFonts w:hint="eastAsia" w:eastAsia="Times New Roman"/>
                <w:color w:val="FF0000"/>
                <w:szCs w:val="21"/>
              </w:rPr>
              <w:t>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3</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-4</w:t>
            </w:r>
            <w:r>
              <w:rPr>
                <w:rFonts w:hint="eastAsia" w:eastAsia="Times New Roman"/>
                <w:color w:val="FF0000"/>
                <w:szCs w:val="21"/>
              </w:rPr>
              <w:t>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3</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-4</w:t>
            </w:r>
            <w:r>
              <w:rPr>
                <w:rFonts w:hint="eastAsia" w:eastAsia="Times New Roman"/>
                <w:color w:val="FF0000"/>
                <w:szCs w:val="21"/>
              </w:rPr>
              <w:t>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汞（</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4</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-5</w:t>
            </w:r>
            <w:r>
              <w:rPr>
                <w:rFonts w:hint="eastAsia" w:eastAsia="Times New Roman"/>
                <w:color w:val="FF0000"/>
                <w:szCs w:val="21"/>
              </w:rPr>
              <w:t>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4</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-5</w:t>
            </w:r>
            <w:r>
              <w:rPr>
                <w:rFonts w:hint="eastAsia" w:eastAsia="Times New Roman"/>
                <w:color w:val="FF0000"/>
                <w:szCs w:val="21"/>
              </w:rPr>
              <w:t>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4</w:t>
            </w:r>
            <w:r>
              <w:rPr>
                <w:rFonts w:eastAsia="Times New Roman"/>
                <w:color w:val="FF0000"/>
                <w:szCs w:val="21"/>
              </w:rPr>
              <w:t>×</w:t>
            </w:r>
            <w:r>
              <w:rPr>
                <w:rFonts w:hint="eastAsia" w:eastAsia="Times New Roman"/>
                <w:color w:val="FF0000"/>
                <w:szCs w:val="21"/>
              </w:rPr>
              <w:t>10</w:t>
            </w:r>
            <w:r>
              <w:rPr>
                <w:rFonts w:hint="eastAsia" w:eastAsia="Times New Roman"/>
                <w:color w:val="FF0000"/>
                <w:szCs w:val="21"/>
                <w:vertAlign w:val="superscript"/>
              </w:rPr>
              <w:t>-5</w:t>
            </w:r>
            <w:r>
              <w:rPr>
                <w:rFonts w:hint="eastAsia" w:eastAsia="Times New Roman"/>
                <w:color w:val="FF0000"/>
                <w:szCs w:val="21"/>
              </w:rPr>
              <w:t>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olor w:val="FF0000"/>
                <w:szCs w:val="21"/>
              </w:rPr>
              <w:t>挥发酚</w:t>
            </w:r>
            <w:r>
              <w:rPr>
                <w:rFonts w:ascii="宋体" w:hAnsi="宋体" w:eastAsia="Times New Roman"/>
                <w:color w:val="FF0000"/>
                <w:szCs w:val="21"/>
              </w:rPr>
              <w:t>（</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0.0003L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0.0003L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0.0003L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硝酸盐氮（</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2.13</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1.06</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亚硝酸盐氮（</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0.016</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0.035</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氰化物（</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0.002L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0.002L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0.002L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总硬度（</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121</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138</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氟化物（</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0.614</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0.553</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0.591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溶解性总固体（</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208</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196</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231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耗氧量（</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1.81</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2.15</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2.54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铁（</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0.03L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0.03L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0.03L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锰（</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0.01L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0.01L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0.01L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总铬（</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0.03L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0.03L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0.03L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olor w:val="FF0000"/>
                <w:szCs w:val="21"/>
              </w:rPr>
              <w:t>细菌总数</w:t>
            </w:r>
            <w:r>
              <w:rPr>
                <w:rFonts w:ascii="宋体" w:hAnsi="宋体" w:eastAsia="Times New Roman"/>
                <w:color w:val="FF0000"/>
                <w:szCs w:val="21"/>
              </w:rPr>
              <w:t>（</w:t>
            </w:r>
            <w:r>
              <w:rPr>
                <w:rFonts w:hint="eastAsia" w:eastAsia="Times New Roman"/>
                <w:color w:val="FF0000"/>
                <w:szCs w:val="21"/>
              </w:rPr>
              <w:t>CFU</w:t>
            </w:r>
            <w:r>
              <w:rPr>
                <w:rFonts w:eastAsia="Times New Roman"/>
                <w:color w:val="FF0000"/>
                <w:szCs w:val="21"/>
              </w:rPr>
              <w:t>/</w:t>
            </w:r>
            <w:r>
              <w:rPr>
                <w:rFonts w:hint="eastAsia" w:eastAsia="Times New Roman"/>
                <w:color w:val="FF0000"/>
                <w:szCs w:val="21"/>
              </w:rPr>
              <w:t>m</w:t>
            </w:r>
            <w:r>
              <w:rPr>
                <w:rFonts w:eastAsia="Times New Roman"/>
                <w:color w:val="FF0000"/>
                <w:szCs w:val="21"/>
              </w:rPr>
              <w:t>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21</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43</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总大肠菌群（</w:t>
            </w:r>
            <w:r>
              <w:rPr>
                <w:rFonts w:hint="eastAsia" w:eastAsia="Times New Roman"/>
                <w:color w:val="FF0000"/>
                <w:szCs w:val="21"/>
              </w:rPr>
              <w:t>MPN</w:t>
            </w:r>
            <w:r>
              <w:rPr>
                <w:rFonts w:eastAsia="Times New Roman"/>
                <w:color w:val="FF0000"/>
                <w:szCs w:val="21"/>
              </w:rPr>
              <w:t>/</w:t>
            </w:r>
            <w:r>
              <w:rPr>
                <w:rFonts w:hint="eastAsia" w:eastAsia="Times New Roman"/>
                <w:color w:val="FF0000"/>
                <w:szCs w:val="21"/>
              </w:rPr>
              <w:t>100m</w:t>
            </w:r>
            <w:r>
              <w:rPr>
                <w:rFonts w:eastAsia="Times New Roman"/>
                <w:color w:val="FF0000"/>
                <w:szCs w:val="21"/>
              </w:rPr>
              <w:t>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olor w:val="FF0000"/>
                <w:szCs w:val="21"/>
              </w:rPr>
              <w:t>未检出</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olor w:val="FF0000"/>
                <w:szCs w:val="21"/>
              </w:rPr>
              <w:t>未检出</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olor w:val="FF0000"/>
                <w:szCs w:val="21"/>
              </w:rPr>
              <w:t>未检出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铜（</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0.05L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0.05L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0.05L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04"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szCs w:val="21"/>
              </w:rPr>
              <w:t>锌（</w:t>
            </w:r>
            <w:r>
              <w:rPr>
                <w:rFonts w:eastAsia="Times New Roman"/>
                <w:color w:val="FF0000"/>
                <w:szCs w:val="21"/>
              </w:rPr>
              <w:t>mg/L</w:t>
            </w:r>
            <w:r>
              <w:rPr>
                <w:rFonts w:ascii="宋体" w:hAnsi="宋体" w:eastAsia="Times New Roman"/>
                <w:color w:val="FF0000"/>
                <w:szCs w:val="21"/>
              </w:rPr>
              <w:t>）</w:t>
            </w:r>
          </w:p>
        </w:tc>
        <w:tc>
          <w:tcPr>
            <w:tcW w:w="942"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0.05L</w:t>
            </w:r>
          </w:p>
        </w:tc>
        <w:tc>
          <w:tcPr>
            <w:tcW w:w="1113"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0.05L</w:t>
            </w:r>
          </w:p>
        </w:tc>
        <w:tc>
          <w:tcPr>
            <w:tcW w:w="1241" w:type="pct"/>
            <w:vAlign w:val="center"/>
          </w:tcPr>
          <w:p>
            <w:pPr>
              <w:kinsoku w:val="0"/>
              <w:overflowPunct w:val="0"/>
              <w:autoSpaceDE w:val="0"/>
              <w:autoSpaceDN w:val="0"/>
              <w:adjustRightInd w:val="0"/>
              <w:snapToGrid w:val="0"/>
              <w:jc w:val="center"/>
              <w:rPr>
                <w:rFonts w:eastAsia="Times New Roman"/>
                <w:color w:val="FF0000"/>
                <w:szCs w:val="21"/>
              </w:rPr>
            </w:pPr>
            <w:r>
              <w:rPr>
                <w:rFonts w:hint="eastAsia" w:eastAsia="Times New Roman"/>
                <w:color w:val="FF0000"/>
                <w:szCs w:val="21"/>
              </w:rPr>
              <w:t>0.05L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00" w:type="pct"/>
            <w:gridSpan w:val="4"/>
            <w:vAlign w:val="center"/>
          </w:tcPr>
          <w:p>
            <w:pPr>
              <w:kinsoku w:val="0"/>
              <w:overflowPunct w:val="0"/>
              <w:autoSpaceDE w:val="0"/>
              <w:autoSpaceDN w:val="0"/>
              <w:adjustRightInd w:val="0"/>
              <w:snapToGrid w:val="0"/>
              <w:jc w:val="center"/>
              <w:rPr>
                <w:rFonts w:eastAsia="Times New Roman"/>
                <w:color w:val="FF0000"/>
                <w:szCs w:val="21"/>
              </w:rPr>
            </w:pPr>
            <w:r>
              <w:rPr>
                <w:rFonts w:hint="eastAsia" w:ascii="宋体" w:hAnsi="宋体" w:eastAsia="Times New Roman"/>
                <w:color w:val="FF0000"/>
                <w:szCs w:val="21"/>
              </w:rPr>
              <w:t>注：加注</w:t>
            </w:r>
            <w:r>
              <w:rPr>
                <w:rFonts w:hint="eastAsia" w:eastAsia="Times New Roman"/>
                <w:color w:val="FF0000"/>
                <w:szCs w:val="21"/>
              </w:rPr>
              <w:t>L</w:t>
            </w:r>
            <w:r>
              <w:rPr>
                <w:rFonts w:hint="eastAsia" w:ascii="宋体" w:hAnsi="宋体" w:eastAsia="Times New Roman"/>
                <w:color w:val="FF0000"/>
                <w:szCs w:val="21"/>
              </w:rPr>
              <w:t>表示未检出</w:t>
            </w:r>
          </w:p>
        </w:tc>
      </w:tr>
    </w:tbl>
    <w:p>
      <w:pPr>
        <w:pStyle w:val="2235"/>
        <w:numPr>
          <w:ilvl w:val="0"/>
          <w:numId w:val="3"/>
        </w:numPr>
        <w:ind w:firstLineChars="0"/>
        <w:rPr>
          <w:rFonts w:ascii="Times New Roman" w:hAnsi="Times New Roman"/>
          <w:color w:val="FF0000"/>
          <w:kern w:val="2"/>
          <w:szCs w:val="24"/>
        </w:rPr>
      </w:pPr>
      <w:r>
        <w:rPr>
          <w:rFonts w:hint="eastAsia" w:ascii="Times New Roman" w:hAnsi="Times New Roman"/>
          <w:color w:val="FF0000"/>
          <w:kern w:val="2"/>
          <w:szCs w:val="24"/>
        </w:rPr>
        <w:t>调查评价结果</w:t>
      </w:r>
    </w:p>
    <w:p>
      <w:pPr>
        <w:pStyle w:val="2235"/>
        <w:ind w:firstLine="480"/>
        <w:rPr>
          <w:rFonts w:ascii="Times New Roman" w:hAnsi="Times New Roman"/>
          <w:color w:val="FF0000"/>
          <w:kern w:val="2"/>
          <w:szCs w:val="24"/>
        </w:rPr>
      </w:pPr>
      <w:r>
        <w:rPr>
          <w:rFonts w:hint="eastAsia" w:ascii="Times New Roman" w:hAnsi="Times New Roman"/>
          <w:color w:val="FF0000"/>
          <w:kern w:val="2"/>
          <w:szCs w:val="24"/>
        </w:rPr>
        <w:t>包气带环境由于无相关质量标准，因此本次调查结果仅对比背景点进行评价，不进行对标分析。本次监测结果可能受到污染点（调节池北侧点位、填埋场东侧点位）与背景点（厂区外）各监测因子对比无明显差异，表明包气带环境未受到污染。</w:t>
      </w:r>
    </w:p>
    <w:p>
      <w:pPr>
        <w:spacing w:line="360" w:lineRule="auto"/>
        <w:outlineLvl w:val="2"/>
        <w:rPr>
          <w:b/>
          <w:bCs/>
          <w:sz w:val="28"/>
          <w:szCs w:val="32"/>
        </w:rPr>
      </w:pPr>
      <w:bookmarkStart w:id="339" w:name="_Toc143762329"/>
      <w:r>
        <w:rPr>
          <w:b/>
          <w:bCs/>
          <w:sz w:val="28"/>
          <w:szCs w:val="32"/>
        </w:rPr>
        <w:t>4.2.3土壤环境质量现状调查及评价</w:t>
      </w:r>
      <w:bookmarkEnd w:id="338"/>
      <w:bookmarkEnd w:id="339"/>
    </w:p>
    <w:p>
      <w:pPr>
        <w:pStyle w:val="361"/>
        <w:rPr>
          <w:rFonts w:ascii="Times New Roman" w:hAnsi="Times New Roman"/>
        </w:rPr>
      </w:pPr>
      <w:bookmarkStart w:id="340" w:name="_Toc401479140"/>
      <w:bookmarkStart w:id="341" w:name="_Toc401479139"/>
      <w:r>
        <w:rPr>
          <w:rFonts w:ascii="Times New Roman" w:hAnsi="Times New Roman"/>
        </w:rPr>
        <w:t>1、土壤质量现状监测</w:t>
      </w:r>
    </w:p>
    <w:p>
      <w:pPr>
        <w:spacing w:line="360" w:lineRule="auto"/>
        <w:ind w:firstLine="480" w:firstLineChars="200"/>
        <w:rPr>
          <w:sz w:val="24"/>
        </w:rPr>
      </w:pPr>
      <w:r>
        <w:rPr>
          <w:sz w:val="24"/>
        </w:rPr>
        <w:t>本次土壤质量现状监测</w:t>
      </w:r>
      <w:r>
        <w:rPr>
          <w:rFonts w:hint="eastAsia"/>
          <w:sz w:val="24"/>
        </w:rPr>
        <w:t>委托</w:t>
      </w:r>
      <w:r>
        <w:rPr>
          <w:sz w:val="24"/>
        </w:rPr>
        <w:t>内蒙古航峰检测技术有限公司于2023年3月28日在本项目区所作的土壤质量现状监测。</w:t>
      </w:r>
    </w:p>
    <w:p>
      <w:pPr>
        <w:pStyle w:val="361"/>
        <w:rPr>
          <w:rFonts w:ascii="Times New Roman" w:hAnsi="Times New Roman"/>
        </w:rPr>
      </w:pPr>
      <w:r>
        <w:rPr>
          <w:rFonts w:ascii="Times New Roman" w:hAnsi="Times New Roman"/>
        </w:rPr>
        <w:fldChar w:fldCharType="begin"/>
      </w:r>
      <w:r>
        <w:rPr>
          <w:rFonts w:ascii="Times New Roman" w:hAnsi="Times New Roman"/>
        </w:rPr>
        <w:instrText xml:space="preserve"> = 1 \* GB2 </w:instrText>
      </w:r>
      <w:r>
        <w:rPr>
          <w:rFonts w:ascii="Times New Roman" w:hAnsi="Times New Roman"/>
        </w:rPr>
        <w:fldChar w:fldCharType="separate"/>
      </w:r>
      <w:r>
        <w:rPr>
          <w:rFonts w:hint="eastAsia" w:cs="宋体"/>
        </w:rPr>
        <w:t>⑴</w:t>
      </w:r>
      <w:r>
        <w:rPr>
          <w:rFonts w:ascii="Times New Roman" w:hAnsi="Times New Roman"/>
        </w:rPr>
        <w:fldChar w:fldCharType="end"/>
      </w:r>
      <w:r>
        <w:rPr>
          <w:rFonts w:ascii="Times New Roman" w:hAnsi="Times New Roman"/>
        </w:rPr>
        <w:t>监测布点</w:t>
      </w:r>
    </w:p>
    <w:p>
      <w:pPr>
        <w:autoSpaceDE w:val="0"/>
        <w:autoSpaceDN w:val="0"/>
        <w:adjustRightInd w:val="0"/>
        <w:snapToGrid w:val="0"/>
        <w:spacing w:line="360" w:lineRule="auto"/>
        <w:ind w:firstLine="480" w:firstLineChars="200"/>
        <w:rPr>
          <w:kern w:val="0"/>
          <w:sz w:val="24"/>
        </w:rPr>
      </w:pPr>
      <w:r>
        <w:rPr>
          <w:kern w:val="0"/>
          <w:sz w:val="24"/>
        </w:rPr>
        <w:t>本项目土壤评价等级为污染影响型二级评价，在项目占地范围内共布设3个柱状样，1个表层样，占地范围外布设2个表层样</w:t>
      </w:r>
      <w:r>
        <w:rPr>
          <w:rFonts w:hint="eastAsia"/>
          <w:kern w:val="0"/>
          <w:sz w:val="24"/>
        </w:rPr>
        <w:t>，</w:t>
      </w:r>
      <w:r>
        <w:rPr>
          <w:sz w:val="24"/>
        </w:rPr>
        <w:t>土壤监测布点见表4.2-9和图4.2-1。</w:t>
      </w:r>
    </w:p>
    <w:p>
      <w:pPr>
        <w:pStyle w:val="44"/>
        <w:ind w:firstLine="361" w:firstLineChars="150"/>
        <w:jc w:val="center"/>
        <w:rPr>
          <w:rFonts w:cs="Times New Roman"/>
          <w:b/>
          <w:szCs w:val="24"/>
        </w:rPr>
      </w:pPr>
      <w:r>
        <w:rPr>
          <w:rFonts w:cs="Times New Roman"/>
          <w:b/>
          <w:szCs w:val="24"/>
        </w:rPr>
        <w:t>表4.2-9 监测布点表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3"/>
        <w:gridCol w:w="1842"/>
        <w:gridCol w:w="2268"/>
        <w:gridCol w:w="1275"/>
        <w:gridCol w:w="1420"/>
        <w:gridCol w:w="11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13" w:type="pct"/>
            <w:vAlign w:val="center"/>
          </w:tcPr>
          <w:p>
            <w:pPr>
              <w:adjustRightInd w:val="0"/>
              <w:snapToGrid w:val="0"/>
              <w:jc w:val="center"/>
              <w:rPr>
                <w:b/>
                <w:szCs w:val="21"/>
              </w:rPr>
            </w:pPr>
            <w:r>
              <w:rPr>
                <w:rFonts w:hint="eastAsia"/>
                <w:b/>
                <w:szCs w:val="21"/>
              </w:rPr>
              <w:t>序号</w:t>
            </w:r>
          </w:p>
        </w:tc>
        <w:tc>
          <w:tcPr>
            <w:tcW w:w="1081" w:type="pct"/>
            <w:vAlign w:val="center"/>
          </w:tcPr>
          <w:p>
            <w:pPr>
              <w:adjustRightInd w:val="0"/>
              <w:snapToGrid w:val="0"/>
              <w:jc w:val="center"/>
              <w:rPr>
                <w:b/>
                <w:szCs w:val="21"/>
              </w:rPr>
            </w:pPr>
            <w:r>
              <w:rPr>
                <w:rFonts w:hint="eastAsia"/>
                <w:b/>
                <w:szCs w:val="21"/>
              </w:rPr>
              <w:t>点位</w:t>
            </w:r>
          </w:p>
        </w:tc>
        <w:tc>
          <w:tcPr>
            <w:tcW w:w="1331" w:type="pct"/>
            <w:vAlign w:val="center"/>
          </w:tcPr>
          <w:p>
            <w:pPr>
              <w:adjustRightInd w:val="0"/>
              <w:snapToGrid w:val="0"/>
              <w:jc w:val="center"/>
              <w:rPr>
                <w:b/>
                <w:szCs w:val="21"/>
              </w:rPr>
            </w:pPr>
            <w:r>
              <w:rPr>
                <w:b/>
                <w:szCs w:val="21"/>
              </w:rPr>
              <w:t>坐标</w:t>
            </w:r>
          </w:p>
        </w:tc>
        <w:tc>
          <w:tcPr>
            <w:tcW w:w="1581" w:type="pct"/>
            <w:gridSpan w:val="2"/>
            <w:vAlign w:val="center"/>
          </w:tcPr>
          <w:p>
            <w:pPr>
              <w:adjustRightInd w:val="0"/>
              <w:snapToGrid w:val="0"/>
              <w:jc w:val="center"/>
              <w:rPr>
                <w:b/>
                <w:szCs w:val="21"/>
              </w:rPr>
            </w:pPr>
            <w:r>
              <w:rPr>
                <w:b/>
                <w:szCs w:val="21"/>
              </w:rPr>
              <w:t>监测项</w:t>
            </w:r>
          </w:p>
        </w:tc>
        <w:tc>
          <w:tcPr>
            <w:tcW w:w="694" w:type="pct"/>
            <w:vAlign w:val="center"/>
          </w:tcPr>
          <w:p>
            <w:pPr>
              <w:adjustRightInd w:val="0"/>
              <w:snapToGrid w:val="0"/>
              <w:jc w:val="center"/>
              <w:rPr>
                <w:b/>
                <w:szCs w:val="21"/>
              </w:rPr>
            </w:pPr>
            <w:r>
              <w:rPr>
                <w:b/>
                <w:szCs w:val="21"/>
              </w:rPr>
              <w:t>土地性质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restart"/>
            <w:vAlign w:val="center"/>
          </w:tcPr>
          <w:p>
            <w:pPr>
              <w:adjustRightInd w:val="0"/>
              <w:snapToGrid w:val="0"/>
              <w:jc w:val="center"/>
              <w:rPr>
                <w:szCs w:val="21"/>
              </w:rPr>
            </w:pPr>
            <w:r>
              <w:rPr>
                <w:szCs w:val="21"/>
              </w:rPr>
              <w:t>3#</w:t>
            </w:r>
          </w:p>
        </w:tc>
        <w:tc>
          <w:tcPr>
            <w:tcW w:w="1081" w:type="pct"/>
            <w:vMerge w:val="restart"/>
            <w:vAlign w:val="center"/>
          </w:tcPr>
          <w:p>
            <w:pPr>
              <w:adjustRightInd w:val="0"/>
              <w:snapToGrid w:val="0"/>
              <w:jc w:val="center"/>
              <w:rPr>
                <w:szCs w:val="21"/>
              </w:rPr>
            </w:pPr>
            <w:r>
              <w:rPr>
                <w:rFonts w:hint="eastAsia"/>
                <w:szCs w:val="21"/>
              </w:rPr>
              <w:t>渗滤液调节池西侧1柱状样</w:t>
            </w:r>
          </w:p>
        </w:tc>
        <w:tc>
          <w:tcPr>
            <w:tcW w:w="1331" w:type="pct"/>
            <w:vMerge w:val="restart"/>
            <w:vAlign w:val="center"/>
          </w:tcPr>
          <w:p>
            <w:pPr>
              <w:adjustRightInd w:val="0"/>
              <w:snapToGrid w:val="0"/>
              <w:jc w:val="center"/>
              <w:rPr>
                <w:szCs w:val="21"/>
              </w:rPr>
            </w:pPr>
            <w:r>
              <w:rPr>
                <w:szCs w:val="21"/>
              </w:rPr>
              <w:t>107.917795,40.991629</w:t>
            </w:r>
          </w:p>
        </w:tc>
        <w:tc>
          <w:tcPr>
            <w:tcW w:w="748" w:type="pct"/>
            <w:vAlign w:val="center"/>
          </w:tcPr>
          <w:p>
            <w:pPr>
              <w:adjustRightInd w:val="0"/>
              <w:snapToGrid w:val="0"/>
              <w:jc w:val="center"/>
              <w:rPr>
                <w:szCs w:val="21"/>
              </w:rPr>
            </w:pPr>
            <w:r>
              <w:rPr>
                <w:kern w:val="0"/>
              </w:rPr>
              <w:t>0～0.5m</w:t>
            </w:r>
          </w:p>
        </w:tc>
        <w:tc>
          <w:tcPr>
            <w:tcW w:w="833" w:type="pct"/>
            <w:vMerge w:val="restart"/>
            <w:vAlign w:val="center"/>
          </w:tcPr>
          <w:p>
            <w:pPr>
              <w:adjustRightInd w:val="0"/>
              <w:snapToGrid w:val="0"/>
              <w:jc w:val="center"/>
              <w:rPr>
                <w:szCs w:val="21"/>
              </w:rPr>
            </w:pPr>
            <w:r>
              <w:rPr>
                <w:rFonts w:hint="eastAsia"/>
                <w:szCs w:val="21"/>
              </w:rPr>
              <w:t>4</w:t>
            </w:r>
            <w:r>
              <w:rPr>
                <w:szCs w:val="21"/>
              </w:rPr>
              <w:t>5</w:t>
            </w:r>
            <w:r>
              <w:rPr>
                <w:rFonts w:hint="eastAsia"/>
                <w:szCs w:val="21"/>
              </w:rPr>
              <w:t>项+</w:t>
            </w:r>
            <w:r>
              <w:rPr>
                <w:szCs w:val="21"/>
              </w:rPr>
              <w:t>p</w:t>
            </w:r>
            <w:r>
              <w:rPr>
                <w:rFonts w:hint="eastAsia"/>
                <w:szCs w:val="21"/>
              </w:rPr>
              <w:t>H</w:t>
            </w:r>
            <w:r>
              <w:rPr>
                <w:szCs w:val="21"/>
              </w:rPr>
              <w:t xml:space="preserve"> </w:t>
            </w:r>
          </w:p>
        </w:tc>
        <w:tc>
          <w:tcPr>
            <w:tcW w:w="694" w:type="pct"/>
            <w:vMerge w:val="restart"/>
            <w:vAlign w:val="center"/>
          </w:tcPr>
          <w:p>
            <w:pPr>
              <w:adjustRightInd w:val="0"/>
              <w:snapToGrid w:val="0"/>
              <w:jc w:val="center"/>
              <w:rPr>
                <w:szCs w:val="21"/>
              </w:rPr>
            </w:pPr>
            <w:r>
              <w:rPr>
                <w:rFonts w:hint="eastAsia"/>
                <w:szCs w:val="21"/>
              </w:rPr>
              <w:t>建设用地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continue"/>
            <w:vAlign w:val="center"/>
          </w:tcPr>
          <w:p>
            <w:pPr>
              <w:adjustRightInd w:val="0"/>
              <w:snapToGrid w:val="0"/>
              <w:jc w:val="center"/>
              <w:rPr>
                <w:szCs w:val="21"/>
              </w:rPr>
            </w:pPr>
          </w:p>
        </w:tc>
        <w:tc>
          <w:tcPr>
            <w:tcW w:w="1081" w:type="pct"/>
            <w:vMerge w:val="continue"/>
            <w:vAlign w:val="center"/>
          </w:tcPr>
          <w:p>
            <w:pPr>
              <w:adjustRightInd w:val="0"/>
              <w:snapToGrid w:val="0"/>
              <w:jc w:val="center"/>
              <w:rPr>
                <w:szCs w:val="21"/>
              </w:rPr>
            </w:pPr>
          </w:p>
        </w:tc>
        <w:tc>
          <w:tcPr>
            <w:tcW w:w="1331" w:type="pct"/>
            <w:vMerge w:val="continue"/>
            <w:vAlign w:val="center"/>
          </w:tcPr>
          <w:p>
            <w:pPr>
              <w:adjustRightInd w:val="0"/>
              <w:snapToGrid w:val="0"/>
              <w:jc w:val="center"/>
              <w:rPr>
                <w:szCs w:val="21"/>
              </w:rPr>
            </w:pPr>
          </w:p>
        </w:tc>
        <w:tc>
          <w:tcPr>
            <w:tcW w:w="748" w:type="pct"/>
            <w:vAlign w:val="center"/>
          </w:tcPr>
          <w:p>
            <w:pPr>
              <w:adjustRightInd w:val="0"/>
              <w:snapToGrid w:val="0"/>
              <w:jc w:val="center"/>
              <w:rPr>
                <w:kern w:val="0"/>
              </w:rPr>
            </w:pPr>
            <w:r>
              <w:rPr>
                <w:kern w:val="0"/>
              </w:rPr>
              <w:t>0.5～1.5m</w:t>
            </w:r>
          </w:p>
        </w:tc>
        <w:tc>
          <w:tcPr>
            <w:tcW w:w="833" w:type="pct"/>
            <w:vMerge w:val="continue"/>
            <w:vAlign w:val="center"/>
          </w:tcPr>
          <w:p>
            <w:pPr>
              <w:adjustRightInd w:val="0"/>
              <w:snapToGrid w:val="0"/>
              <w:jc w:val="center"/>
              <w:rPr>
                <w:szCs w:val="21"/>
              </w:rPr>
            </w:pPr>
          </w:p>
        </w:tc>
        <w:tc>
          <w:tcPr>
            <w:tcW w:w="6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continue"/>
            <w:vAlign w:val="center"/>
          </w:tcPr>
          <w:p>
            <w:pPr>
              <w:adjustRightInd w:val="0"/>
              <w:snapToGrid w:val="0"/>
              <w:jc w:val="center"/>
              <w:rPr>
                <w:szCs w:val="21"/>
              </w:rPr>
            </w:pPr>
          </w:p>
        </w:tc>
        <w:tc>
          <w:tcPr>
            <w:tcW w:w="1081" w:type="pct"/>
            <w:vMerge w:val="continue"/>
            <w:vAlign w:val="center"/>
          </w:tcPr>
          <w:p>
            <w:pPr>
              <w:adjustRightInd w:val="0"/>
              <w:snapToGrid w:val="0"/>
              <w:jc w:val="center"/>
              <w:rPr>
                <w:szCs w:val="21"/>
              </w:rPr>
            </w:pPr>
          </w:p>
        </w:tc>
        <w:tc>
          <w:tcPr>
            <w:tcW w:w="1331" w:type="pct"/>
            <w:vMerge w:val="continue"/>
            <w:vAlign w:val="center"/>
          </w:tcPr>
          <w:p>
            <w:pPr>
              <w:adjustRightInd w:val="0"/>
              <w:snapToGrid w:val="0"/>
              <w:jc w:val="center"/>
              <w:rPr>
                <w:szCs w:val="21"/>
              </w:rPr>
            </w:pPr>
          </w:p>
        </w:tc>
        <w:tc>
          <w:tcPr>
            <w:tcW w:w="748" w:type="pct"/>
            <w:vAlign w:val="center"/>
          </w:tcPr>
          <w:p>
            <w:pPr>
              <w:adjustRightInd w:val="0"/>
              <w:snapToGrid w:val="0"/>
              <w:jc w:val="center"/>
              <w:rPr>
                <w:szCs w:val="21"/>
              </w:rPr>
            </w:pPr>
            <w:r>
              <w:rPr>
                <w:kern w:val="0"/>
              </w:rPr>
              <w:t>1.5～3.0m</w:t>
            </w:r>
          </w:p>
        </w:tc>
        <w:tc>
          <w:tcPr>
            <w:tcW w:w="833" w:type="pct"/>
            <w:vMerge w:val="continue"/>
            <w:vAlign w:val="center"/>
          </w:tcPr>
          <w:p>
            <w:pPr>
              <w:adjustRightInd w:val="0"/>
              <w:snapToGrid w:val="0"/>
              <w:jc w:val="center"/>
              <w:rPr>
                <w:szCs w:val="21"/>
              </w:rPr>
            </w:pPr>
          </w:p>
        </w:tc>
        <w:tc>
          <w:tcPr>
            <w:tcW w:w="6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restart"/>
            <w:vAlign w:val="center"/>
          </w:tcPr>
          <w:p>
            <w:pPr>
              <w:adjustRightInd w:val="0"/>
              <w:snapToGrid w:val="0"/>
              <w:rPr>
                <w:szCs w:val="21"/>
              </w:rPr>
            </w:pPr>
            <w:r>
              <w:rPr>
                <w:rFonts w:hint="eastAsia"/>
              </w:rPr>
              <w:t>4</w:t>
            </w:r>
            <w:r>
              <w:t>#</w:t>
            </w:r>
          </w:p>
        </w:tc>
        <w:tc>
          <w:tcPr>
            <w:tcW w:w="1081" w:type="pct"/>
            <w:vMerge w:val="restart"/>
            <w:vAlign w:val="center"/>
          </w:tcPr>
          <w:p>
            <w:pPr>
              <w:adjustRightInd w:val="0"/>
              <w:snapToGrid w:val="0"/>
              <w:jc w:val="center"/>
              <w:rPr>
                <w:szCs w:val="21"/>
              </w:rPr>
            </w:pPr>
            <w:r>
              <w:rPr>
                <w:rFonts w:hint="eastAsia"/>
                <w:szCs w:val="21"/>
              </w:rPr>
              <w:t>渗滤液调节池</w:t>
            </w:r>
            <w:r>
              <w:rPr>
                <w:szCs w:val="21"/>
              </w:rPr>
              <w:t>2</w:t>
            </w:r>
            <w:r>
              <w:rPr>
                <w:rFonts w:hint="eastAsia"/>
                <w:szCs w:val="21"/>
              </w:rPr>
              <w:t>西侧柱状样</w:t>
            </w:r>
          </w:p>
        </w:tc>
        <w:tc>
          <w:tcPr>
            <w:tcW w:w="1331" w:type="pct"/>
            <w:vMerge w:val="restart"/>
            <w:vAlign w:val="center"/>
          </w:tcPr>
          <w:p>
            <w:pPr>
              <w:adjustRightInd w:val="0"/>
              <w:snapToGrid w:val="0"/>
              <w:jc w:val="center"/>
              <w:rPr>
                <w:szCs w:val="21"/>
              </w:rPr>
            </w:pPr>
            <w:r>
              <w:rPr>
                <w:szCs w:val="21"/>
              </w:rPr>
              <w:t>107.917495,40.994698</w:t>
            </w:r>
          </w:p>
        </w:tc>
        <w:tc>
          <w:tcPr>
            <w:tcW w:w="748" w:type="pct"/>
            <w:vAlign w:val="center"/>
          </w:tcPr>
          <w:p>
            <w:pPr>
              <w:adjustRightInd w:val="0"/>
              <w:snapToGrid w:val="0"/>
              <w:jc w:val="center"/>
              <w:rPr>
                <w:szCs w:val="21"/>
              </w:rPr>
            </w:pPr>
            <w:r>
              <w:rPr>
                <w:kern w:val="0"/>
              </w:rPr>
              <w:t>0～0.5m</w:t>
            </w:r>
          </w:p>
        </w:tc>
        <w:tc>
          <w:tcPr>
            <w:tcW w:w="833" w:type="pct"/>
            <w:vMerge w:val="restart"/>
            <w:vAlign w:val="center"/>
          </w:tcPr>
          <w:p>
            <w:pPr>
              <w:adjustRightInd w:val="0"/>
              <w:snapToGrid w:val="0"/>
              <w:jc w:val="center"/>
              <w:rPr>
                <w:szCs w:val="21"/>
              </w:rPr>
            </w:pPr>
            <w:r>
              <w:rPr>
                <w:rFonts w:hint="eastAsia"/>
                <w:szCs w:val="21"/>
              </w:rPr>
              <w:t>4</w:t>
            </w:r>
            <w:r>
              <w:rPr>
                <w:szCs w:val="21"/>
              </w:rPr>
              <w:t>5</w:t>
            </w:r>
            <w:r>
              <w:rPr>
                <w:rFonts w:hint="eastAsia"/>
                <w:szCs w:val="21"/>
              </w:rPr>
              <w:t>项+</w:t>
            </w:r>
            <w:r>
              <w:rPr>
                <w:szCs w:val="21"/>
              </w:rPr>
              <w:t>p</w:t>
            </w:r>
            <w:r>
              <w:rPr>
                <w:rFonts w:hint="eastAsia"/>
                <w:szCs w:val="21"/>
              </w:rPr>
              <w:t>H</w:t>
            </w:r>
          </w:p>
        </w:tc>
        <w:tc>
          <w:tcPr>
            <w:tcW w:w="694" w:type="pct"/>
            <w:vMerge w:val="restart"/>
            <w:vAlign w:val="center"/>
          </w:tcPr>
          <w:p>
            <w:pPr>
              <w:adjustRightInd w:val="0"/>
              <w:snapToGrid w:val="0"/>
              <w:jc w:val="center"/>
              <w:rPr>
                <w:szCs w:val="21"/>
              </w:rPr>
            </w:pPr>
            <w:r>
              <w:rPr>
                <w:rFonts w:hint="eastAsia"/>
                <w:szCs w:val="21"/>
              </w:rPr>
              <w:t>建设用地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continue"/>
            <w:vAlign w:val="center"/>
          </w:tcPr>
          <w:p>
            <w:pPr>
              <w:adjustRightInd w:val="0"/>
              <w:snapToGrid w:val="0"/>
              <w:jc w:val="center"/>
              <w:rPr>
                <w:szCs w:val="21"/>
              </w:rPr>
            </w:pPr>
          </w:p>
        </w:tc>
        <w:tc>
          <w:tcPr>
            <w:tcW w:w="1081" w:type="pct"/>
            <w:vMerge w:val="continue"/>
            <w:vAlign w:val="center"/>
          </w:tcPr>
          <w:p>
            <w:pPr>
              <w:adjustRightInd w:val="0"/>
              <w:snapToGrid w:val="0"/>
              <w:jc w:val="center"/>
              <w:rPr>
                <w:szCs w:val="21"/>
              </w:rPr>
            </w:pPr>
          </w:p>
        </w:tc>
        <w:tc>
          <w:tcPr>
            <w:tcW w:w="1331" w:type="pct"/>
            <w:vMerge w:val="continue"/>
            <w:vAlign w:val="center"/>
          </w:tcPr>
          <w:p>
            <w:pPr>
              <w:adjustRightInd w:val="0"/>
              <w:snapToGrid w:val="0"/>
              <w:jc w:val="center"/>
              <w:rPr>
                <w:szCs w:val="21"/>
              </w:rPr>
            </w:pPr>
          </w:p>
        </w:tc>
        <w:tc>
          <w:tcPr>
            <w:tcW w:w="748" w:type="pct"/>
            <w:vAlign w:val="center"/>
          </w:tcPr>
          <w:p>
            <w:pPr>
              <w:adjustRightInd w:val="0"/>
              <w:snapToGrid w:val="0"/>
              <w:jc w:val="center"/>
              <w:rPr>
                <w:kern w:val="0"/>
              </w:rPr>
            </w:pPr>
            <w:r>
              <w:rPr>
                <w:kern w:val="0"/>
              </w:rPr>
              <w:t>0.5～1.5m</w:t>
            </w:r>
          </w:p>
        </w:tc>
        <w:tc>
          <w:tcPr>
            <w:tcW w:w="833" w:type="pct"/>
            <w:vMerge w:val="continue"/>
            <w:vAlign w:val="center"/>
          </w:tcPr>
          <w:p>
            <w:pPr>
              <w:adjustRightInd w:val="0"/>
              <w:snapToGrid w:val="0"/>
              <w:jc w:val="center"/>
              <w:rPr>
                <w:szCs w:val="21"/>
              </w:rPr>
            </w:pPr>
          </w:p>
        </w:tc>
        <w:tc>
          <w:tcPr>
            <w:tcW w:w="6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continue"/>
            <w:vAlign w:val="center"/>
          </w:tcPr>
          <w:p>
            <w:pPr>
              <w:adjustRightInd w:val="0"/>
              <w:snapToGrid w:val="0"/>
              <w:jc w:val="center"/>
              <w:rPr>
                <w:szCs w:val="21"/>
              </w:rPr>
            </w:pPr>
          </w:p>
        </w:tc>
        <w:tc>
          <w:tcPr>
            <w:tcW w:w="1081" w:type="pct"/>
            <w:vMerge w:val="continue"/>
            <w:vAlign w:val="center"/>
          </w:tcPr>
          <w:p>
            <w:pPr>
              <w:adjustRightInd w:val="0"/>
              <w:snapToGrid w:val="0"/>
              <w:jc w:val="center"/>
              <w:rPr>
                <w:szCs w:val="21"/>
              </w:rPr>
            </w:pPr>
          </w:p>
        </w:tc>
        <w:tc>
          <w:tcPr>
            <w:tcW w:w="1331" w:type="pct"/>
            <w:vMerge w:val="continue"/>
            <w:vAlign w:val="center"/>
          </w:tcPr>
          <w:p>
            <w:pPr>
              <w:adjustRightInd w:val="0"/>
              <w:snapToGrid w:val="0"/>
              <w:jc w:val="center"/>
              <w:rPr>
                <w:szCs w:val="21"/>
              </w:rPr>
            </w:pPr>
          </w:p>
        </w:tc>
        <w:tc>
          <w:tcPr>
            <w:tcW w:w="748" w:type="pct"/>
            <w:vAlign w:val="center"/>
          </w:tcPr>
          <w:p>
            <w:pPr>
              <w:adjustRightInd w:val="0"/>
              <w:snapToGrid w:val="0"/>
              <w:jc w:val="center"/>
              <w:rPr>
                <w:kern w:val="0"/>
              </w:rPr>
            </w:pPr>
            <w:r>
              <w:rPr>
                <w:kern w:val="0"/>
              </w:rPr>
              <w:t>1.5～3.0m</w:t>
            </w:r>
          </w:p>
        </w:tc>
        <w:tc>
          <w:tcPr>
            <w:tcW w:w="833" w:type="pct"/>
            <w:vMerge w:val="continue"/>
            <w:vAlign w:val="center"/>
          </w:tcPr>
          <w:p>
            <w:pPr>
              <w:adjustRightInd w:val="0"/>
              <w:snapToGrid w:val="0"/>
              <w:jc w:val="center"/>
              <w:rPr>
                <w:szCs w:val="21"/>
              </w:rPr>
            </w:pPr>
          </w:p>
        </w:tc>
        <w:tc>
          <w:tcPr>
            <w:tcW w:w="6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restart"/>
            <w:vAlign w:val="center"/>
          </w:tcPr>
          <w:p>
            <w:pPr>
              <w:adjustRightInd w:val="0"/>
              <w:snapToGrid w:val="0"/>
              <w:rPr>
                <w:szCs w:val="21"/>
              </w:rPr>
            </w:pPr>
            <w:r>
              <w:t>5</w:t>
            </w:r>
            <w:r>
              <w:rPr>
                <w:rFonts w:hint="eastAsia"/>
              </w:rPr>
              <w:t>#</w:t>
            </w:r>
          </w:p>
        </w:tc>
        <w:tc>
          <w:tcPr>
            <w:tcW w:w="1081" w:type="pct"/>
            <w:vMerge w:val="restart"/>
            <w:vAlign w:val="center"/>
          </w:tcPr>
          <w:p>
            <w:pPr>
              <w:adjustRightInd w:val="0"/>
              <w:snapToGrid w:val="0"/>
              <w:jc w:val="center"/>
              <w:rPr>
                <w:szCs w:val="21"/>
              </w:rPr>
            </w:pPr>
            <w:r>
              <w:rPr>
                <w:rFonts w:hint="eastAsia"/>
                <w:szCs w:val="21"/>
              </w:rPr>
              <w:t>生活办公区东柱状样</w:t>
            </w:r>
          </w:p>
        </w:tc>
        <w:tc>
          <w:tcPr>
            <w:tcW w:w="1331" w:type="pct"/>
            <w:vMerge w:val="restart"/>
            <w:vAlign w:val="center"/>
          </w:tcPr>
          <w:p>
            <w:pPr>
              <w:adjustRightInd w:val="0"/>
              <w:snapToGrid w:val="0"/>
              <w:jc w:val="center"/>
              <w:rPr>
                <w:szCs w:val="21"/>
              </w:rPr>
            </w:pPr>
            <w:r>
              <w:rPr>
                <w:szCs w:val="21"/>
              </w:rPr>
              <w:t>107.917264,40.991240</w:t>
            </w:r>
          </w:p>
        </w:tc>
        <w:tc>
          <w:tcPr>
            <w:tcW w:w="748" w:type="pct"/>
            <w:vAlign w:val="center"/>
          </w:tcPr>
          <w:p>
            <w:pPr>
              <w:adjustRightInd w:val="0"/>
              <w:snapToGrid w:val="0"/>
              <w:jc w:val="center"/>
              <w:rPr>
                <w:szCs w:val="21"/>
              </w:rPr>
            </w:pPr>
            <w:r>
              <w:rPr>
                <w:kern w:val="0"/>
              </w:rPr>
              <w:t>0～0.5m</w:t>
            </w:r>
          </w:p>
        </w:tc>
        <w:tc>
          <w:tcPr>
            <w:tcW w:w="833" w:type="pct"/>
            <w:vMerge w:val="restart"/>
            <w:vAlign w:val="center"/>
          </w:tcPr>
          <w:p>
            <w:pPr>
              <w:adjustRightInd w:val="0"/>
              <w:snapToGrid w:val="0"/>
              <w:jc w:val="center"/>
              <w:rPr>
                <w:szCs w:val="21"/>
              </w:rPr>
            </w:pPr>
            <w:r>
              <w:rPr>
                <w:rFonts w:hint="eastAsia"/>
                <w:szCs w:val="21"/>
              </w:rPr>
              <w:t>铜、镍、砷、汞、镉、铅、六价铬、</w:t>
            </w:r>
            <w:r>
              <w:rPr>
                <w:szCs w:val="21"/>
              </w:rPr>
              <w:t>p</w:t>
            </w:r>
            <w:r>
              <w:rPr>
                <w:rFonts w:hint="eastAsia"/>
                <w:szCs w:val="21"/>
              </w:rPr>
              <w:t>H</w:t>
            </w:r>
          </w:p>
        </w:tc>
        <w:tc>
          <w:tcPr>
            <w:tcW w:w="694" w:type="pct"/>
            <w:vMerge w:val="restart"/>
            <w:vAlign w:val="center"/>
          </w:tcPr>
          <w:p>
            <w:pPr>
              <w:adjustRightInd w:val="0"/>
              <w:snapToGrid w:val="0"/>
              <w:jc w:val="center"/>
              <w:rPr>
                <w:szCs w:val="21"/>
              </w:rPr>
            </w:pPr>
            <w:r>
              <w:rPr>
                <w:rFonts w:hint="eastAsia"/>
                <w:szCs w:val="21"/>
              </w:rPr>
              <w:t>建设用地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continue"/>
            <w:vAlign w:val="center"/>
          </w:tcPr>
          <w:p>
            <w:pPr>
              <w:adjustRightInd w:val="0"/>
              <w:snapToGrid w:val="0"/>
              <w:jc w:val="center"/>
              <w:rPr>
                <w:szCs w:val="21"/>
              </w:rPr>
            </w:pPr>
          </w:p>
        </w:tc>
        <w:tc>
          <w:tcPr>
            <w:tcW w:w="1081" w:type="pct"/>
            <w:vMerge w:val="continue"/>
            <w:vAlign w:val="center"/>
          </w:tcPr>
          <w:p>
            <w:pPr>
              <w:adjustRightInd w:val="0"/>
              <w:snapToGrid w:val="0"/>
              <w:jc w:val="center"/>
              <w:rPr>
                <w:szCs w:val="21"/>
              </w:rPr>
            </w:pPr>
          </w:p>
        </w:tc>
        <w:tc>
          <w:tcPr>
            <w:tcW w:w="1331" w:type="pct"/>
            <w:vMerge w:val="continue"/>
            <w:vAlign w:val="center"/>
          </w:tcPr>
          <w:p>
            <w:pPr>
              <w:adjustRightInd w:val="0"/>
              <w:snapToGrid w:val="0"/>
              <w:jc w:val="center"/>
              <w:rPr>
                <w:szCs w:val="21"/>
              </w:rPr>
            </w:pPr>
          </w:p>
        </w:tc>
        <w:tc>
          <w:tcPr>
            <w:tcW w:w="748" w:type="pct"/>
            <w:vAlign w:val="center"/>
          </w:tcPr>
          <w:p>
            <w:pPr>
              <w:adjustRightInd w:val="0"/>
              <w:snapToGrid w:val="0"/>
              <w:jc w:val="center"/>
              <w:rPr>
                <w:kern w:val="0"/>
              </w:rPr>
            </w:pPr>
            <w:r>
              <w:rPr>
                <w:kern w:val="0"/>
              </w:rPr>
              <w:t>0.5～1.5m</w:t>
            </w:r>
          </w:p>
        </w:tc>
        <w:tc>
          <w:tcPr>
            <w:tcW w:w="833" w:type="pct"/>
            <w:vMerge w:val="continue"/>
            <w:vAlign w:val="center"/>
          </w:tcPr>
          <w:p>
            <w:pPr>
              <w:adjustRightInd w:val="0"/>
              <w:snapToGrid w:val="0"/>
              <w:jc w:val="center"/>
              <w:rPr>
                <w:szCs w:val="21"/>
              </w:rPr>
            </w:pPr>
          </w:p>
        </w:tc>
        <w:tc>
          <w:tcPr>
            <w:tcW w:w="6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Merge w:val="continue"/>
            <w:vAlign w:val="center"/>
          </w:tcPr>
          <w:p>
            <w:pPr>
              <w:adjustRightInd w:val="0"/>
              <w:snapToGrid w:val="0"/>
              <w:jc w:val="center"/>
              <w:rPr>
                <w:szCs w:val="21"/>
              </w:rPr>
            </w:pPr>
          </w:p>
        </w:tc>
        <w:tc>
          <w:tcPr>
            <w:tcW w:w="1081" w:type="pct"/>
            <w:vMerge w:val="continue"/>
            <w:vAlign w:val="center"/>
          </w:tcPr>
          <w:p>
            <w:pPr>
              <w:adjustRightInd w:val="0"/>
              <w:snapToGrid w:val="0"/>
              <w:jc w:val="center"/>
              <w:rPr>
                <w:szCs w:val="21"/>
              </w:rPr>
            </w:pPr>
          </w:p>
        </w:tc>
        <w:tc>
          <w:tcPr>
            <w:tcW w:w="1331" w:type="pct"/>
            <w:vMerge w:val="continue"/>
            <w:vAlign w:val="center"/>
          </w:tcPr>
          <w:p>
            <w:pPr>
              <w:adjustRightInd w:val="0"/>
              <w:snapToGrid w:val="0"/>
              <w:jc w:val="center"/>
              <w:rPr>
                <w:szCs w:val="21"/>
              </w:rPr>
            </w:pPr>
          </w:p>
        </w:tc>
        <w:tc>
          <w:tcPr>
            <w:tcW w:w="748" w:type="pct"/>
            <w:vAlign w:val="center"/>
          </w:tcPr>
          <w:p>
            <w:pPr>
              <w:adjustRightInd w:val="0"/>
              <w:snapToGrid w:val="0"/>
              <w:jc w:val="center"/>
              <w:rPr>
                <w:szCs w:val="21"/>
              </w:rPr>
            </w:pPr>
            <w:r>
              <w:rPr>
                <w:kern w:val="0"/>
              </w:rPr>
              <w:t>1.5～3.0m</w:t>
            </w:r>
          </w:p>
        </w:tc>
        <w:tc>
          <w:tcPr>
            <w:tcW w:w="833" w:type="pct"/>
            <w:vMerge w:val="continue"/>
            <w:vAlign w:val="center"/>
          </w:tcPr>
          <w:p>
            <w:pPr>
              <w:adjustRightInd w:val="0"/>
              <w:snapToGrid w:val="0"/>
              <w:jc w:val="center"/>
              <w:rPr>
                <w:szCs w:val="21"/>
              </w:rPr>
            </w:pPr>
          </w:p>
        </w:tc>
        <w:tc>
          <w:tcPr>
            <w:tcW w:w="694"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313" w:type="pct"/>
            <w:vAlign w:val="center"/>
          </w:tcPr>
          <w:p>
            <w:pPr>
              <w:adjustRightInd w:val="0"/>
              <w:snapToGrid w:val="0"/>
              <w:rPr>
                <w:szCs w:val="21"/>
              </w:rPr>
            </w:pPr>
            <w:r>
              <w:rPr>
                <w:rFonts w:hint="eastAsia"/>
              </w:rPr>
              <w:t>6#</w:t>
            </w:r>
          </w:p>
        </w:tc>
        <w:tc>
          <w:tcPr>
            <w:tcW w:w="1081" w:type="pct"/>
            <w:vAlign w:val="center"/>
          </w:tcPr>
          <w:p>
            <w:pPr>
              <w:adjustRightInd w:val="0"/>
              <w:snapToGrid w:val="0"/>
              <w:jc w:val="center"/>
              <w:rPr>
                <w:szCs w:val="21"/>
              </w:rPr>
            </w:pPr>
            <w:r>
              <w:rPr>
                <w:rFonts w:hint="eastAsia"/>
                <w:szCs w:val="21"/>
              </w:rPr>
              <w:t>场区内西侧表层样</w:t>
            </w:r>
          </w:p>
        </w:tc>
        <w:tc>
          <w:tcPr>
            <w:tcW w:w="1331" w:type="pct"/>
            <w:vAlign w:val="center"/>
          </w:tcPr>
          <w:p>
            <w:pPr>
              <w:adjustRightInd w:val="0"/>
              <w:snapToGrid w:val="0"/>
              <w:jc w:val="center"/>
              <w:rPr>
                <w:szCs w:val="21"/>
              </w:rPr>
            </w:pPr>
            <w:r>
              <w:rPr>
                <w:szCs w:val="21"/>
              </w:rPr>
              <w:t>107.916646,40.993139</w:t>
            </w:r>
          </w:p>
        </w:tc>
        <w:tc>
          <w:tcPr>
            <w:tcW w:w="1581" w:type="pct"/>
            <w:gridSpan w:val="2"/>
            <w:vAlign w:val="center"/>
          </w:tcPr>
          <w:p>
            <w:pPr>
              <w:adjustRightInd w:val="0"/>
              <w:snapToGrid w:val="0"/>
              <w:jc w:val="center"/>
              <w:rPr>
                <w:szCs w:val="21"/>
              </w:rPr>
            </w:pPr>
            <w:r>
              <w:rPr>
                <w:rFonts w:hint="eastAsia"/>
                <w:szCs w:val="21"/>
              </w:rPr>
              <w:t>45项+pH</w:t>
            </w:r>
          </w:p>
        </w:tc>
        <w:tc>
          <w:tcPr>
            <w:tcW w:w="694" w:type="pct"/>
            <w:vAlign w:val="center"/>
          </w:tcPr>
          <w:p>
            <w:pPr>
              <w:adjustRightInd w:val="0"/>
              <w:snapToGrid w:val="0"/>
              <w:jc w:val="center"/>
              <w:rPr>
                <w:szCs w:val="21"/>
              </w:rPr>
            </w:pPr>
            <w:r>
              <w:rPr>
                <w:rFonts w:hint="eastAsia"/>
                <w:szCs w:val="21"/>
              </w:rPr>
              <w:t>建设用地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Align w:val="center"/>
          </w:tcPr>
          <w:p>
            <w:pPr>
              <w:adjustRightInd w:val="0"/>
              <w:snapToGrid w:val="0"/>
              <w:rPr>
                <w:szCs w:val="21"/>
              </w:rPr>
            </w:pPr>
            <w:r>
              <w:rPr>
                <w:rFonts w:hint="eastAsia"/>
              </w:rPr>
              <w:t>7#</w:t>
            </w:r>
          </w:p>
        </w:tc>
        <w:tc>
          <w:tcPr>
            <w:tcW w:w="1081" w:type="pct"/>
            <w:vAlign w:val="center"/>
          </w:tcPr>
          <w:p>
            <w:pPr>
              <w:adjustRightInd w:val="0"/>
              <w:snapToGrid w:val="0"/>
              <w:jc w:val="center"/>
              <w:rPr>
                <w:szCs w:val="21"/>
              </w:rPr>
            </w:pPr>
            <w:r>
              <w:rPr>
                <w:rFonts w:hint="eastAsia"/>
                <w:szCs w:val="21"/>
              </w:rPr>
              <w:t>场区外东北侧表层样</w:t>
            </w:r>
          </w:p>
        </w:tc>
        <w:tc>
          <w:tcPr>
            <w:tcW w:w="1331" w:type="pct"/>
            <w:vAlign w:val="center"/>
          </w:tcPr>
          <w:p>
            <w:pPr>
              <w:adjustRightInd w:val="0"/>
              <w:snapToGrid w:val="0"/>
              <w:jc w:val="center"/>
              <w:rPr>
                <w:szCs w:val="21"/>
              </w:rPr>
            </w:pPr>
            <w:r>
              <w:rPr>
                <w:szCs w:val="21"/>
              </w:rPr>
              <w:t>107.918348,40.994983</w:t>
            </w:r>
          </w:p>
        </w:tc>
        <w:tc>
          <w:tcPr>
            <w:tcW w:w="1581" w:type="pct"/>
            <w:gridSpan w:val="2"/>
            <w:vAlign w:val="center"/>
          </w:tcPr>
          <w:p>
            <w:pPr>
              <w:adjustRightInd w:val="0"/>
              <w:snapToGrid w:val="0"/>
              <w:jc w:val="center"/>
              <w:rPr>
                <w:szCs w:val="21"/>
              </w:rPr>
            </w:pPr>
            <w:r>
              <w:rPr>
                <w:szCs w:val="21"/>
              </w:rPr>
              <w:t>p</w:t>
            </w:r>
            <w:r>
              <w:rPr>
                <w:rFonts w:hint="eastAsia"/>
                <w:szCs w:val="21"/>
              </w:rPr>
              <w:t>H、</w:t>
            </w:r>
            <w:r>
              <w:rPr>
                <w:szCs w:val="21"/>
              </w:rPr>
              <w:t>镉、汞、砷、铅、铬、铜、镍、锌</w:t>
            </w:r>
          </w:p>
        </w:tc>
        <w:tc>
          <w:tcPr>
            <w:tcW w:w="694" w:type="pct"/>
            <w:vAlign w:val="center"/>
          </w:tcPr>
          <w:p>
            <w:pPr>
              <w:adjustRightInd w:val="0"/>
              <w:snapToGrid w:val="0"/>
              <w:jc w:val="center"/>
              <w:rPr>
                <w:szCs w:val="21"/>
              </w:rPr>
            </w:pPr>
            <w:r>
              <w:rPr>
                <w:rFonts w:hint="eastAsia"/>
                <w:szCs w:val="21"/>
              </w:rPr>
              <w:t>农用地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3" w:type="pct"/>
            <w:vAlign w:val="center"/>
          </w:tcPr>
          <w:p>
            <w:pPr>
              <w:adjustRightInd w:val="0"/>
              <w:snapToGrid w:val="0"/>
              <w:rPr>
                <w:szCs w:val="21"/>
              </w:rPr>
            </w:pPr>
            <w:r>
              <w:rPr>
                <w:rFonts w:hint="eastAsia"/>
              </w:rPr>
              <w:t>8#</w:t>
            </w:r>
          </w:p>
        </w:tc>
        <w:tc>
          <w:tcPr>
            <w:tcW w:w="1081" w:type="pct"/>
            <w:vAlign w:val="center"/>
          </w:tcPr>
          <w:p>
            <w:pPr>
              <w:adjustRightInd w:val="0"/>
              <w:snapToGrid w:val="0"/>
              <w:jc w:val="center"/>
              <w:rPr>
                <w:szCs w:val="21"/>
              </w:rPr>
            </w:pPr>
            <w:r>
              <w:rPr>
                <w:rFonts w:hint="eastAsia"/>
                <w:szCs w:val="21"/>
              </w:rPr>
              <w:t>场区外南</w:t>
            </w:r>
            <w:r>
              <w:rPr>
                <w:szCs w:val="21"/>
              </w:rPr>
              <w:t>侧</w:t>
            </w:r>
            <w:r>
              <w:rPr>
                <w:rFonts w:hint="eastAsia"/>
                <w:szCs w:val="21"/>
              </w:rPr>
              <w:t>表层样</w:t>
            </w:r>
          </w:p>
        </w:tc>
        <w:tc>
          <w:tcPr>
            <w:tcW w:w="1331" w:type="pct"/>
            <w:vAlign w:val="center"/>
          </w:tcPr>
          <w:p>
            <w:pPr>
              <w:adjustRightInd w:val="0"/>
              <w:snapToGrid w:val="0"/>
              <w:jc w:val="center"/>
              <w:rPr>
                <w:szCs w:val="21"/>
              </w:rPr>
            </w:pPr>
            <w:r>
              <w:rPr>
                <w:szCs w:val="21"/>
              </w:rPr>
              <w:t>107.916803,40.990606</w:t>
            </w:r>
          </w:p>
        </w:tc>
        <w:tc>
          <w:tcPr>
            <w:tcW w:w="1581" w:type="pct"/>
            <w:gridSpan w:val="2"/>
            <w:vAlign w:val="center"/>
          </w:tcPr>
          <w:p>
            <w:pPr>
              <w:adjustRightInd w:val="0"/>
              <w:snapToGrid w:val="0"/>
              <w:jc w:val="center"/>
              <w:rPr>
                <w:szCs w:val="21"/>
              </w:rPr>
            </w:pPr>
            <w:r>
              <w:rPr>
                <w:szCs w:val="21"/>
              </w:rPr>
              <w:t>p</w:t>
            </w:r>
            <w:r>
              <w:rPr>
                <w:rFonts w:hint="eastAsia"/>
                <w:szCs w:val="21"/>
              </w:rPr>
              <w:t>H、</w:t>
            </w:r>
            <w:r>
              <w:rPr>
                <w:szCs w:val="21"/>
              </w:rPr>
              <w:t>镉、汞、砷、铅、铬、铜、镍、锌</w:t>
            </w:r>
          </w:p>
        </w:tc>
        <w:tc>
          <w:tcPr>
            <w:tcW w:w="694" w:type="pct"/>
            <w:vAlign w:val="center"/>
          </w:tcPr>
          <w:p>
            <w:pPr>
              <w:adjustRightInd w:val="0"/>
              <w:snapToGrid w:val="0"/>
              <w:jc w:val="center"/>
              <w:rPr>
                <w:szCs w:val="21"/>
              </w:rPr>
            </w:pPr>
            <w:r>
              <w:rPr>
                <w:rFonts w:hint="eastAsia"/>
                <w:szCs w:val="21"/>
              </w:rPr>
              <w:t>农用地</w:t>
            </w:r>
          </w:p>
        </w:tc>
      </w:tr>
    </w:tbl>
    <w:p>
      <w:pPr>
        <w:pStyle w:val="361"/>
        <w:adjustRightInd w:val="0"/>
        <w:snapToGrid w:val="0"/>
        <w:rPr>
          <w:rFonts w:ascii="Times New Roman" w:hAnsi="Times New Roman"/>
        </w:rPr>
      </w:pPr>
      <w:r>
        <w:rPr>
          <w:rFonts w:ascii="Times New Roman" w:hAnsi="Times New Roman"/>
        </w:rPr>
        <w:fldChar w:fldCharType="begin"/>
      </w:r>
      <w:r>
        <w:rPr>
          <w:rFonts w:ascii="Times New Roman" w:hAnsi="Times New Roman"/>
        </w:rPr>
        <w:instrText xml:space="preserve"> = 2 \* GB2 </w:instrText>
      </w:r>
      <w:r>
        <w:rPr>
          <w:rFonts w:ascii="Times New Roman" w:hAnsi="Times New Roman"/>
        </w:rPr>
        <w:fldChar w:fldCharType="separate"/>
      </w:r>
      <w:r>
        <w:rPr>
          <w:rFonts w:hint="eastAsia" w:cs="宋体"/>
        </w:rPr>
        <w:t>⑵</w:t>
      </w:r>
      <w:r>
        <w:rPr>
          <w:rFonts w:ascii="Times New Roman" w:hAnsi="Times New Roman"/>
        </w:rPr>
        <w:fldChar w:fldCharType="end"/>
      </w:r>
      <w:r>
        <w:rPr>
          <w:rFonts w:ascii="Times New Roman" w:hAnsi="Times New Roman"/>
        </w:rPr>
        <w:t>监测项目</w:t>
      </w:r>
    </w:p>
    <w:p>
      <w:pPr>
        <w:pStyle w:val="361"/>
        <w:adjustRightInd w:val="0"/>
        <w:snapToGrid w:val="0"/>
        <w:rPr>
          <w:rFonts w:ascii="Times New Roman" w:hAnsi="Times New Roman"/>
        </w:rPr>
      </w:pPr>
      <w:r>
        <w:rPr>
          <w:rFonts w:hint="eastAsia" w:ascii="Times New Roman" w:hAnsi="Times New Roman"/>
        </w:rPr>
        <w:t>建设用地：土壤45项：铜、镍、砷、汞、镉、铅、六价铬、四氯化碳、氯仿、氯甲烷、1，1-二氯乙烷、1，2-二氯乙烷、1，1-二氯乙烯、顺式-1，2-二氯乙烯、反式-1，2-二氯乙烯、二氯甲烷、1，2-二氯丙烷、1，1，1，2-四氯乙烷、1，1，2，2-四氯乙烷、四氯乙烯、1，1，1-三氯乙烷、1，1，2-三氯乙烷、三氯乙烯、1，2，3-三氯丙烷、氯乙烯、苯、氯苯、1，2-二氯苯、1，4-二氯苯、乙苯、苯乙烯、甲苯、间，对-二甲苯、邻二甲苯、苯胺类、硝基苯、2-氯酚、苯并[a]蒽、苯并[a]芘、苯并[b]荧蒽、苯并</w:t>
      </w:r>
      <w:r>
        <w:rPr>
          <w:rFonts w:ascii="Times New Roman" w:hAnsi="Times New Roman"/>
        </w:rPr>
        <w:t>[k]</w:t>
      </w:r>
      <w:r>
        <w:rPr>
          <w:rFonts w:hint="eastAsia" w:ascii="Times New Roman" w:hAnsi="Times New Roman"/>
        </w:rPr>
        <w:t>荧蒽、䓛、二苯并</w:t>
      </w:r>
      <w:r>
        <w:rPr>
          <w:rFonts w:ascii="Times New Roman" w:hAnsi="Times New Roman"/>
        </w:rPr>
        <w:t>[a</w:t>
      </w:r>
      <w:r>
        <w:rPr>
          <w:rFonts w:hint="eastAsia" w:ascii="Times New Roman" w:hAnsi="Times New Roman"/>
        </w:rPr>
        <w:t>、</w:t>
      </w:r>
      <w:r>
        <w:rPr>
          <w:rFonts w:ascii="Times New Roman" w:hAnsi="Times New Roman"/>
        </w:rPr>
        <w:t>h]</w:t>
      </w:r>
      <w:r>
        <w:rPr>
          <w:rFonts w:hint="eastAsia" w:ascii="Times New Roman" w:hAnsi="Times New Roman"/>
        </w:rPr>
        <w:t>蒽、茚并</w:t>
      </w:r>
      <w:r>
        <w:rPr>
          <w:rFonts w:ascii="Times New Roman" w:hAnsi="Times New Roman"/>
        </w:rPr>
        <w:t>[1</w:t>
      </w:r>
      <w:r>
        <w:rPr>
          <w:rFonts w:hint="eastAsia" w:ascii="Times New Roman" w:hAnsi="Times New Roman"/>
        </w:rPr>
        <w:t>，</w:t>
      </w:r>
      <w:r>
        <w:rPr>
          <w:rFonts w:ascii="Times New Roman" w:hAnsi="Times New Roman"/>
        </w:rPr>
        <w:t>2</w:t>
      </w:r>
      <w:r>
        <w:rPr>
          <w:rFonts w:hint="eastAsia" w:ascii="Times New Roman" w:hAnsi="Times New Roman"/>
        </w:rPr>
        <w:t>，</w:t>
      </w:r>
      <w:r>
        <w:rPr>
          <w:rFonts w:ascii="Times New Roman" w:hAnsi="Times New Roman"/>
        </w:rPr>
        <w:t>3-cd]</w:t>
      </w:r>
      <w:r>
        <w:rPr>
          <w:rFonts w:hint="eastAsia" w:ascii="Times New Roman" w:hAnsi="Times New Roman"/>
        </w:rPr>
        <w:t>芘、萘。</w:t>
      </w:r>
    </w:p>
    <w:p>
      <w:pPr>
        <w:pStyle w:val="361"/>
        <w:adjustRightInd w:val="0"/>
        <w:snapToGrid w:val="0"/>
        <w:rPr>
          <w:rFonts w:ascii="Times New Roman" w:hAnsi="Times New Roman"/>
        </w:rPr>
      </w:pPr>
      <w:r>
        <w:rPr>
          <w:rFonts w:hint="eastAsia" w:ascii="Times New Roman" w:hAnsi="Times New Roman"/>
        </w:rPr>
        <w:t>农用地：</w:t>
      </w:r>
      <w:r>
        <w:rPr>
          <w:szCs w:val="21"/>
        </w:rPr>
        <w:t>p</w:t>
      </w:r>
      <w:r>
        <w:rPr>
          <w:rFonts w:hint="eastAsia"/>
          <w:szCs w:val="21"/>
        </w:rPr>
        <w:t>H、</w:t>
      </w:r>
      <w:r>
        <w:rPr>
          <w:szCs w:val="21"/>
        </w:rPr>
        <w:t>镉、汞、砷、铅、铬、铜、镍、锌</w:t>
      </w:r>
    </w:p>
    <w:p>
      <w:pPr>
        <w:pStyle w:val="361"/>
        <w:adjustRightInd w:val="0"/>
        <w:snapToGrid w:val="0"/>
        <w:ind w:left="426" w:firstLine="0" w:firstLineChars="0"/>
        <w:rPr>
          <w:rFonts w:ascii="Times New Roman" w:hAnsi="Times New Roman"/>
        </w:rPr>
      </w:pPr>
      <w:r>
        <w:rPr>
          <w:rFonts w:hint="eastAsia" w:ascii="Times New Roman" w:hAnsi="Times New Roman"/>
        </w:rPr>
        <w:t>（3）</w:t>
      </w:r>
      <w:r>
        <w:rPr>
          <w:rFonts w:ascii="Times New Roman" w:hAnsi="Times New Roman"/>
        </w:rPr>
        <w:t>监测结果</w:t>
      </w:r>
      <w:r>
        <w:rPr>
          <w:rFonts w:hint="eastAsia" w:ascii="Times New Roman" w:hAnsi="Times New Roman"/>
        </w:rPr>
        <w:t>及评价</w:t>
      </w:r>
    </w:p>
    <w:p>
      <w:pPr>
        <w:pStyle w:val="361"/>
        <w:adjustRightInd w:val="0"/>
        <w:snapToGrid w:val="0"/>
        <w:rPr>
          <w:rFonts w:ascii="Times New Roman" w:hAnsi="Times New Roman"/>
        </w:rPr>
      </w:pPr>
      <w:r>
        <w:rPr>
          <w:rFonts w:hint="eastAsia" w:ascii="Times New Roman" w:hAnsi="Times New Roman"/>
          <w:color w:val="FF0000"/>
        </w:rPr>
        <w:t>土壤取样现场照片见图4</w:t>
      </w:r>
      <w:r>
        <w:rPr>
          <w:rFonts w:ascii="Times New Roman" w:hAnsi="Times New Roman"/>
          <w:color w:val="FF0000"/>
        </w:rPr>
        <w:t>.2-4</w:t>
      </w:r>
      <w:r>
        <w:rPr>
          <w:rFonts w:hint="eastAsia" w:ascii="Times New Roman" w:hAnsi="Times New Roman"/>
          <w:color w:val="FF0000"/>
        </w:rPr>
        <w:t>。</w:t>
      </w:r>
      <w:r>
        <w:rPr>
          <w:rFonts w:ascii="Times New Roman" w:hAnsi="Times New Roman"/>
        </w:rPr>
        <w:t>土壤环境现状监测结果见表4.2-10。</w:t>
      </w:r>
    </w:p>
    <w:p>
      <w:pPr>
        <w:pStyle w:val="361"/>
        <w:adjustRightInd w:val="0"/>
        <w:snapToGrid w:val="0"/>
        <w:ind w:firstLine="0" w:firstLineChars="0"/>
        <w:jc w:val="left"/>
        <w:rPr>
          <w:rFonts w:ascii="Times New Roman" w:hAnsi="Times New Roman"/>
        </w:rPr>
      </w:pPr>
      <w:r>
        <w:rPr>
          <w:rFonts w:hint="eastAsia"/>
          <w:szCs w:val="21"/>
        </w:rPr>
        <w:drawing>
          <wp:inline distT="0" distB="0" distL="0" distR="0">
            <wp:extent cx="2632075" cy="1971675"/>
            <wp:effectExtent l="0" t="0" r="0" b="9525"/>
            <wp:docPr id="44" name="图片 44" descr="C:\Users\众成环境\AppData\Local\Temp\ksohtml1688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众成环境\AppData\Local\Temp\ksohtml16880\wps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632075" cy="1971675"/>
                    </a:xfrm>
                    <a:prstGeom prst="rect">
                      <a:avLst/>
                    </a:prstGeom>
                    <a:noFill/>
                    <a:ln>
                      <a:noFill/>
                    </a:ln>
                  </pic:spPr>
                </pic:pic>
              </a:graphicData>
            </a:graphic>
          </wp:inline>
        </w:drawing>
      </w:r>
      <w:r>
        <w:rPr>
          <w:rFonts w:ascii="Times New Roman" w:hAnsi="Times New Roman"/>
        </w:rPr>
        <w:drawing>
          <wp:inline distT="0" distB="0" distL="0" distR="0">
            <wp:extent cx="2519680" cy="1942465"/>
            <wp:effectExtent l="0" t="0" r="0" b="635"/>
            <wp:docPr id="42" name="图片 42" descr="C:\Users\众成环境\AppData\Local\Temp\WeChat Files\39682b2208c86ef950b08309260e0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众成环境\AppData\Local\Temp\WeChat Files\39682b2208c86ef950b08309260e09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540512" cy="1958576"/>
                    </a:xfrm>
                    <a:prstGeom prst="rect">
                      <a:avLst/>
                    </a:prstGeom>
                    <a:noFill/>
                    <a:ln>
                      <a:noFill/>
                    </a:ln>
                  </pic:spPr>
                </pic:pic>
              </a:graphicData>
            </a:graphic>
          </wp:inline>
        </w:drawing>
      </w:r>
    </w:p>
    <w:p>
      <w:pPr>
        <w:pStyle w:val="361"/>
        <w:adjustRightInd w:val="0"/>
        <w:snapToGrid w:val="0"/>
        <w:ind w:firstLine="0" w:firstLineChars="0"/>
        <w:jc w:val="center"/>
        <w:rPr>
          <w:rFonts w:ascii="Times New Roman" w:hAnsi="Times New Roman"/>
          <w:color w:val="FF0000"/>
        </w:rPr>
      </w:pPr>
      <w:r>
        <w:rPr>
          <w:rFonts w:hint="eastAsia" w:ascii="Times New Roman" w:hAnsi="Times New Roman"/>
          <w:color w:val="FF0000"/>
        </w:rPr>
        <w:t xml:space="preserve">表层样 </w:t>
      </w:r>
      <w:r>
        <w:rPr>
          <w:rFonts w:ascii="Times New Roman" w:hAnsi="Times New Roman"/>
          <w:color w:val="FF0000"/>
        </w:rPr>
        <w:t xml:space="preserve">                       </w:t>
      </w:r>
      <w:r>
        <w:rPr>
          <w:rFonts w:hint="eastAsia" w:ascii="Times New Roman" w:hAnsi="Times New Roman"/>
          <w:color w:val="FF0000"/>
        </w:rPr>
        <w:t xml:space="preserve"> </w:t>
      </w:r>
      <w:r>
        <w:rPr>
          <w:rFonts w:ascii="Times New Roman" w:hAnsi="Times New Roman"/>
          <w:color w:val="FF0000"/>
        </w:rPr>
        <w:t xml:space="preserve"> </w:t>
      </w:r>
      <w:r>
        <w:rPr>
          <w:rFonts w:hint="eastAsia" w:ascii="Times New Roman" w:hAnsi="Times New Roman"/>
          <w:color w:val="FF0000"/>
        </w:rPr>
        <w:t>柱状样</w:t>
      </w:r>
    </w:p>
    <w:p>
      <w:pPr>
        <w:pStyle w:val="361"/>
        <w:adjustRightInd w:val="0"/>
        <w:snapToGrid w:val="0"/>
        <w:ind w:firstLine="0" w:firstLineChars="0"/>
        <w:jc w:val="center"/>
        <w:rPr>
          <w:rFonts w:ascii="Times New Roman" w:hAnsi="Times New Roman"/>
          <w:b/>
        </w:rPr>
        <w:sectPr>
          <w:headerReference r:id="rId13" w:type="default"/>
          <w:pgSz w:w="11906" w:h="16838"/>
          <w:pgMar w:top="1440" w:right="1800" w:bottom="1440" w:left="1800" w:header="851" w:footer="992" w:gutter="0"/>
          <w:cols w:space="720" w:num="1"/>
          <w:docGrid w:type="lines" w:linePitch="312" w:charSpace="0"/>
        </w:sectPr>
      </w:pPr>
      <w:r>
        <w:rPr>
          <w:rFonts w:hint="eastAsia" w:ascii="Times New Roman" w:hAnsi="Times New Roman"/>
          <w:b/>
          <w:color w:val="FF0000"/>
        </w:rPr>
        <w:t xml:space="preserve">图 </w:t>
      </w:r>
      <w:r>
        <w:rPr>
          <w:rFonts w:ascii="Times New Roman" w:hAnsi="Times New Roman"/>
          <w:b/>
          <w:color w:val="FF0000"/>
        </w:rPr>
        <w:t xml:space="preserve">4.2-4  </w:t>
      </w:r>
      <w:r>
        <w:rPr>
          <w:rFonts w:hint="eastAsia" w:ascii="Times New Roman" w:hAnsi="Times New Roman"/>
          <w:b/>
          <w:color w:val="FF0000"/>
        </w:rPr>
        <w:t>土壤现状取样照片</w:t>
      </w:r>
      <w:r>
        <w:rPr>
          <w:rFonts w:ascii="Times New Roman" w:hAnsi="Times New Roman"/>
          <w:b/>
          <w:color w:val="FF0000"/>
        </w:rPr>
        <w:t xml:space="preserve"> </w:t>
      </w:r>
      <w:r>
        <w:rPr>
          <w:rFonts w:ascii="Times New Roman" w:hAnsi="Times New Roman"/>
          <w:b/>
        </w:rPr>
        <w:t xml:space="preserve">     </w:t>
      </w:r>
    </w:p>
    <w:p>
      <w:pPr>
        <w:pStyle w:val="44"/>
        <w:ind w:firstLine="361" w:firstLineChars="150"/>
        <w:jc w:val="center"/>
        <w:rPr>
          <w:rFonts w:cs="Times New Roman"/>
          <w:b/>
          <w:szCs w:val="24"/>
        </w:rPr>
      </w:pPr>
      <w:r>
        <w:rPr>
          <w:rFonts w:cs="Times New Roman"/>
          <w:b/>
          <w:szCs w:val="24"/>
        </w:rPr>
        <w:t>表4.2-10土壤环境质量现状监测结果</w:t>
      </w:r>
      <w:r>
        <w:rPr>
          <w:rFonts w:hint="eastAsia" w:cs="Times New Roman"/>
          <w:b/>
          <w:szCs w:val="24"/>
        </w:rPr>
        <w:t>（1）</w:t>
      </w:r>
    </w:p>
    <w:tbl>
      <w:tblPr>
        <w:tblStyle w:val="224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50"/>
        <w:gridCol w:w="1216"/>
        <w:gridCol w:w="1213"/>
        <w:gridCol w:w="1213"/>
        <w:gridCol w:w="1213"/>
        <w:gridCol w:w="1213"/>
        <w:gridCol w:w="1216"/>
        <w:gridCol w:w="1514"/>
        <w:gridCol w:w="1514"/>
        <w:gridCol w:w="15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829" w:type="pct"/>
            <w:vMerge w:val="restart"/>
            <w:vAlign w:val="center"/>
          </w:tcPr>
          <w:p>
            <w:pPr>
              <w:kinsoku w:val="0"/>
              <w:overflowPunct w:val="0"/>
              <w:autoSpaceDE w:val="0"/>
              <w:autoSpaceDN w:val="0"/>
              <w:adjustRightInd w:val="0"/>
              <w:snapToGrid w:val="0"/>
              <w:jc w:val="center"/>
              <w:rPr>
                <w:rFonts w:eastAsiaTheme="minorEastAsia"/>
                <w:bCs/>
                <w:szCs w:val="21"/>
              </w:rPr>
            </w:pPr>
            <w:r>
              <w:rPr>
                <w:rFonts w:ascii="宋体" w:hAnsi="宋体" w:eastAsia="Times New Roman"/>
                <w:bCs/>
                <w:szCs w:val="21"/>
              </w:rPr>
              <w:t>检测项目</w:t>
            </w:r>
          </w:p>
          <w:p>
            <w:pPr>
              <w:kinsoku w:val="0"/>
              <w:overflowPunct w:val="0"/>
              <w:autoSpaceDE w:val="0"/>
              <w:autoSpaceDN w:val="0"/>
              <w:adjustRightInd w:val="0"/>
              <w:snapToGrid w:val="0"/>
              <w:jc w:val="center"/>
              <w:rPr>
                <w:rFonts w:eastAsiaTheme="minorEastAsia"/>
                <w:bCs/>
                <w:szCs w:val="21"/>
              </w:rPr>
            </w:pPr>
            <w:r>
              <w:rPr>
                <w:rFonts w:ascii="宋体" w:hAnsi="宋体" w:eastAsia="Times New Roman"/>
                <w:bCs/>
                <w:szCs w:val="21"/>
              </w:rPr>
              <w:t>采样位置及深度</w:t>
            </w:r>
          </w:p>
        </w:tc>
        <w:tc>
          <w:tcPr>
            <w:tcW w:w="1285" w:type="pct"/>
            <w:gridSpan w:val="3"/>
            <w:vAlign w:val="center"/>
          </w:tcPr>
          <w:p>
            <w:pPr>
              <w:kinsoku w:val="0"/>
              <w:overflowPunct w:val="0"/>
              <w:autoSpaceDE w:val="0"/>
              <w:autoSpaceDN w:val="0"/>
              <w:adjustRightInd w:val="0"/>
              <w:snapToGrid w:val="0"/>
              <w:jc w:val="center"/>
              <w:rPr>
                <w:rFonts w:eastAsia="Times New Roman"/>
                <w:bCs/>
                <w:szCs w:val="21"/>
              </w:rPr>
            </w:pPr>
            <w:r>
              <w:rPr>
                <w:rFonts w:ascii="宋体" w:hAnsi="宋体" w:eastAsia="Times New Roman" w:cs="宋体"/>
                <w:szCs w:val="21"/>
              </w:rPr>
              <w:t>3#</w:t>
            </w:r>
            <w:r>
              <w:rPr>
                <w:rFonts w:hint="eastAsia" w:ascii="宋体" w:hAnsi="宋体" w:eastAsia="Times New Roman" w:cs="宋体"/>
                <w:szCs w:val="21"/>
              </w:rPr>
              <w:t>渗滤液调节池（南侧）</w:t>
            </w:r>
          </w:p>
        </w:tc>
        <w:tc>
          <w:tcPr>
            <w:tcW w:w="1285" w:type="pct"/>
            <w:gridSpan w:val="3"/>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szCs w:val="21"/>
              </w:rPr>
              <w:t>4</w:t>
            </w:r>
            <w:r>
              <w:rPr>
                <w:rFonts w:eastAsia="Times New Roman"/>
                <w:szCs w:val="21"/>
              </w:rPr>
              <w:t>#</w:t>
            </w:r>
            <w:r>
              <w:rPr>
                <w:rFonts w:hint="eastAsia" w:ascii="宋体" w:hAnsi="宋体" w:eastAsia="Times New Roman" w:cs="宋体"/>
                <w:szCs w:val="21"/>
              </w:rPr>
              <w:t>渗滤液调节池（北侧）</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szCs w:val="21"/>
              </w:rPr>
              <w:t>6#</w:t>
            </w:r>
            <w:r>
              <w:rPr>
                <w:rFonts w:hint="eastAsia" w:ascii="宋体" w:hAnsi="宋体" w:eastAsia="Times New Roman"/>
                <w:szCs w:val="21"/>
              </w:rPr>
              <w:t>场区内西侧</w:t>
            </w:r>
          </w:p>
        </w:tc>
        <w:tc>
          <w:tcPr>
            <w:tcW w:w="534" w:type="pct"/>
            <w:vMerge w:val="restar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cs="宋体"/>
                <w:szCs w:val="21"/>
              </w:rPr>
              <w:t>标准筛选值</w:t>
            </w:r>
          </w:p>
        </w:tc>
        <w:tc>
          <w:tcPr>
            <w:tcW w:w="533" w:type="pct"/>
            <w:vMerge w:val="restar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cs="宋体"/>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829" w:type="pct"/>
            <w:vMerge w:val="continue"/>
            <w:vAlign w:val="center"/>
          </w:tcPr>
          <w:p>
            <w:pPr>
              <w:kinsoku w:val="0"/>
              <w:overflowPunct w:val="0"/>
              <w:autoSpaceDE w:val="0"/>
              <w:autoSpaceDN w:val="0"/>
              <w:adjustRightInd w:val="0"/>
              <w:snapToGrid w:val="0"/>
              <w:jc w:val="center"/>
              <w:rPr>
                <w:rFonts w:eastAsia="Times New Roman"/>
                <w:bCs/>
                <w:szCs w:val="21"/>
              </w:rPr>
            </w:pPr>
          </w:p>
        </w:tc>
        <w:tc>
          <w:tcPr>
            <w:tcW w:w="429" w:type="pct"/>
            <w:vAlign w:val="center"/>
          </w:tcPr>
          <w:p>
            <w:pPr>
              <w:kinsoku w:val="0"/>
              <w:overflowPunct w:val="0"/>
              <w:autoSpaceDE w:val="0"/>
              <w:autoSpaceDN w:val="0"/>
              <w:adjustRightInd w:val="0"/>
              <w:snapToGrid w:val="0"/>
              <w:spacing w:line="0" w:lineRule="atLeast"/>
              <w:jc w:val="center"/>
              <w:rPr>
                <w:rFonts w:eastAsia="Times New Roman"/>
                <w:kern w:val="0"/>
                <w:szCs w:val="21"/>
              </w:rPr>
            </w:pPr>
            <w:r>
              <w:rPr>
                <w:rFonts w:eastAsia="Times New Roman"/>
                <w:kern w:val="0"/>
                <w:szCs w:val="21"/>
              </w:rPr>
              <w:t>0-</w:t>
            </w:r>
            <w:r>
              <w:rPr>
                <w:rFonts w:hint="eastAsia" w:eastAsia="Times New Roman"/>
                <w:kern w:val="0"/>
                <w:szCs w:val="21"/>
              </w:rPr>
              <w:t>5</w:t>
            </w:r>
            <w:r>
              <w:rPr>
                <w:rFonts w:eastAsia="Times New Roman"/>
                <w:kern w:val="0"/>
                <w:szCs w:val="21"/>
              </w:rPr>
              <w:t>0cm</w:t>
            </w:r>
          </w:p>
        </w:tc>
        <w:tc>
          <w:tcPr>
            <w:tcW w:w="428" w:type="pct"/>
            <w:vAlign w:val="center"/>
          </w:tcPr>
          <w:p>
            <w:pPr>
              <w:kinsoku w:val="0"/>
              <w:overflowPunct w:val="0"/>
              <w:autoSpaceDE w:val="0"/>
              <w:autoSpaceDN w:val="0"/>
              <w:adjustRightInd w:val="0"/>
              <w:snapToGrid w:val="0"/>
              <w:spacing w:line="0" w:lineRule="atLeast"/>
              <w:jc w:val="center"/>
              <w:rPr>
                <w:rFonts w:eastAsia="Times New Roman"/>
                <w:kern w:val="0"/>
                <w:szCs w:val="21"/>
              </w:rPr>
            </w:pPr>
            <w:r>
              <w:rPr>
                <w:rFonts w:hint="eastAsia" w:eastAsia="Times New Roman"/>
                <w:kern w:val="0"/>
                <w:szCs w:val="21"/>
              </w:rPr>
              <w:t>5</w:t>
            </w:r>
            <w:r>
              <w:rPr>
                <w:rFonts w:eastAsia="Times New Roman"/>
                <w:kern w:val="0"/>
                <w:szCs w:val="21"/>
              </w:rPr>
              <w:t>0-</w:t>
            </w:r>
            <w:r>
              <w:rPr>
                <w:rFonts w:hint="eastAsia" w:eastAsia="Times New Roman"/>
                <w:kern w:val="0"/>
                <w:szCs w:val="21"/>
              </w:rPr>
              <w:t>15</w:t>
            </w:r>
            <w:r>
              <w:rPr>
                <w:rFonts w:eastAsia="Times New Roman"/>
                <w:kern w:val="0"/>
                <w:szCs w:val="21"/>
              </w:rPr>
              <w:t>0cm</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kern w:val="0"/>
                <w:szCs w:val="21"/>
              </w:rPr>
              <w:t>15</w:t>
            </w:r>
            <w:r>
              <w:rPr>
                <w:rFonts w:eastAsia="Times New Roman"/>
                <w:kern w:val="0"/>
                <w:szCs w:val="21"/>
              </w:rPr>
              <w:t>0-</w:t>
            </w:r>
            <w:r>
              <w:rPr>
                <w:rFonts w:hint="eastAsia" w:eastAsia="Times New Roman"/>
                <w:kern w:val="0"/>
                <w:szCs w:val="21"/>
              </w:rPr>
              <w:t>30</w:t>
            </w:r>
            <w:r>
              <w:rPr>
                <w:rFonts w:eastAsia="Times New Roman"/>
                <w:kern w:val="0"/>
                <w:szCs w:val="21"/>
              </w:rPr>
              <w:t>0cm</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eastAsia="Times New Roman"/>
                <w:kern w:val="0"/>
                <w:szCs w:val="21"/>
              </w:rPr>
              <w:t>0-</w:t>
            </w:r>
            <w:r>
              <w:rPr>
                <w:rFonts w:hint="eastAsia" w:eastAsia="Times New Roman"/>
                <w:kern w:val="0"/>
                <w:szCs w:val="21"/>
              </w:rPr>
              <w:t>5</w:t>
            </w:r>
            <w:r>
              <w:rPr>
                <w:rFonts w:eastAsia="Times New Roman"/>
                <w:kern w:val="0"/>
                <w:szCs w:val="21"/>
              </w:rPr>
              <w:t>0cm</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kern w:val="0"/>
                <w:szCs w:val="21"/>
              </w:rPr>
              <w:t>5</w:t>
            </w:r>
            <w:r>
              <w:rPr>
                <w:rFonts w:eastAsia="Times New Roman"/>
                <w:kern w:val="0"/>
                <w:szCs w:val="21"/>
              </w:rPr>
              <w:t>0-</w:t>
            </w:r>
            <w:r>
              <w:rPr>
                <w:rFonts w:hint="eastAsia" w:eastAsia="Times New Roman"/>
                <w:kern w:val="0"/>
                <w:szCs w:val="21"/>
              </w:rPr>
              <w:t>15</w:t>
            </w:r>
            <w:r>
              <w:rPr>
                <w:rFonts w:eastAsia="Times New Roman"/>
                <w:kern w:val="0"/>
                <w:szCs w:val="21"/>
              </w:rPr>
              <w:t>0cm</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kern w:val="0"/>
                <w:szCs w:val="21"/>
              </w:rPr>
              <w:t>15</w:t>
            </w:r>
            <w:r>
              <w:rPr>
                <w:rFonts w:eastAsia="Times New Roman"/>
                <w:kern w:val="0"/>
                <w:szCs w:val="21"/>
              </w:rPr>
              <w:t>0-</w:t>
            </w:r>
            <w:r>
              <w:rPr>
                <w:rFonts w:hint="eastAsia" w:eastAsia="Times New Roman"/>
                <w:kern w:val="0"/>
                <w:szCs w:val="21"/>
              </w:rPr>
              <w:t>30</w:t>
            </w:r>
            <w:r>
              <w:rPr>
                <w:rFonts w:eastAsia="Times New Roman"/>
                <w:kern w:val="0"/>
                <w:szCs w:val="21"/>
              </w:rPr>
              <w:t>0cm</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eastAsia="Times New Roman"/>
                <w:kern w:val="0"/>
                <w:szCs w:val="21"/>
              </w:rPr>
              <w:t>0-20cm</w:t>
            </w:r>
          </w:p>
        </w:tc>
        <w:tc>
          <w:tcPr>
            <w:tcW w:w="534" w:type="pct"/>
            <w:vMerge w:val="continue"/>
            <w:vAlign w:val="center"/>
          </w:tcPr>
          <w:p>
            <w:pPr>
              <w:kinsoku w:val="0"/>
              <w:overflowPunct w:val="0"/>
              <w:autoSpaceDE w:val="0"/>
              <w:autoSpaceDN w:val="0"/>
              <w:adjustRightInd w:val="0"/>
              <w:snapToGrid w:val="0"/>
              <w:spacing w:line="0" w:lineRule="atLeast"/>
              <w:jc w:val="center"/>
              <w:rPr>
                <w:rFonts w:eastAsia="Times New Roman"/>
                <w:kern w:val="0"/>
                <w:szCs w:val="21"/>
              </w:rPr>
            </w:pPr>
          </w:p>
        </w:tc>
        <w:tc>
          <w:tcPr>
            <w:tcW w:w="533" w:type="pct"/>
            <w:vMerge w:val="continue"/>
            <w:vAlign w:val="center"/>
          </w:tcPr>
          <w:p>
            <w:pPr>
              <w:kinsoku w:val="0"/>
              <w:overflowPunct w:val="0"/>
              <w:autoSpaceDE w:val="0"/>
              <w:autoSpaceDN w:val="0"/>
              <w:adjustRightInd w:val="0"/>
              <w:snapToGrid w:val="0"/>
              <w:spacing w:line="0" w:lineRule="atLeast"/>
              <w:jc w:val="center"/>
              <w:rPr>
                <w:rFonts w:eastAsia="Times New Roman"/>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pH</w:t>
            </w:r>
            <w:r>
              <w:rPr>
                <w:rFonts w:hint="eastAsia" w:ascii="宋体" w:hAnsi="宋体" w:eastAsia="Times New Roman"/>
                <w:bCs/>
                <w:szCs w:val="21"/>
              </w:rPr>
              <w:t>值（无量纲）</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8.02</w:t>
            </w:r>
          </w:p>
        </w:tc>
        <w:tc>
          <w:tcPr>
            <w:tcW w:w="428"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8.12</w:t>
            </w:r>
          </w:p>
        </w:tc>
        <w:tc>
          <w:tcPr>
            <w:tcW w:w="428"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8.06</w:t>
            </w:r>
          </w:p>
        </w:tc>
        <w:tc>
          <w:tcPr>
            <w:tcW w:w="428"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8.26</w:t>
            </w:r>
          </w:p>
        </w:tc>
        <w:tc>
          <w:tcPr>
            <w:tcW w:w="428"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8.23</w:t>
            </w:r>
          </w:p>
        </w:tc>
        <w:tc>
          <w:tcPr>
            <w:tcW w:w="429"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8.15</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8.03</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w:t>
            </w:r>
          </w:p>
        </w:tc>
        <w:tc>
          <w:tcPr>
            <w:tcW w:w="533" w:type="pct"/>
            <w:vAlign w:val="center"/>
          </w:tcPr>
          <w:p>
            <w:pPr>
              <w:kinsoku w:val="0"/>
              <w:overflowPunct w:val="0"/>
              <w:autoSpaceDE w:val="0"/>
              <w:autoSpaceDN w:val="0"/>
              <w:adjustRightInd w:val="0"/>
              <w:snapToGrid w:val="0"/>
              <w:jc w:val="center"/>
              <w:rPr>
                <w:rFonts w:eastAsia="Times New Roman"/>
                <w:bCs/>
                <w:szCs w:val="21"/>
              </w:rPr>
            </w:pPr>
            <w:r>
              <w:rPr>
                <w:rFonts w:hint="eastAsia" w:eastAsiaTheme="minorEastAsia"/>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bCs/>
                <w:szCs w:val="21"/>
              </w:rPr>
            </w:pPr>
            <w:r>
              <w:rPr>
                <w:rFonts w:ascii="宋体" w:hAnsi="宋体" w:eastAsia="Times New Roman"/>
                <w:bCs/>
                <w:szCs w:val="21"/>
              </w:rPr>
              <w:t>总砷</w:t>
            </w:r>
            <w:r>
              <w:rPr>
                <w:rFonts w:eastAsia="Times New Roman"/>
                <w:bCs/>
                <w:szCs w:val="21"/>
              </w:rPr>
              <w:t>(mg/kg)</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1.80</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2.04</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2.11</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11.1</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11.4</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12.0</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1.93</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eastAsiaTheme="minorEastAsia"/>
                <w:snapToGrid w:val="0"/>
                <w:kern w:val="0"/>
              </w:rPr>
              <w:t>60</w:t>
            </w:r>
          </w:p>
        </w:tc>
        <w:tc>
          <w:tcPr>
            <w:tcW w:w="533"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bCs/>
                <w:szCs w:val="21"/>
              </w:rPr>
            </w:pPr>
            <w:r>
              <w:rPr>
                <w:rFonts w:ascii="宋体" w:hAnsi="宋体" w:eastAsia="Times New Roman"/>
                <w:bCs/>
                <w:szCs w:val="21"/>
              </w:rPr>
              <w:t>镉</w:t>
            </w:r>
            <w:r>
              <w:rPr>
                <w:rFonts w:eastAsia="Times New Roman"/>
                <w:bCs/>
                <w:szCs w:val="21"/>
              </w:rPr>
              <w:t>(mg/kg)</w:t>
            </w:r>
          </w:p>
        </w:tc>
        <w:tc>
          <w:tcPr>
            <w:tcW w:w="429" w:type="pct"/>
            <w:vAlign w:val="center"/>
          </w:tcPr>
          <w:p>
            <w:pPr>
              <w:kinsoku w:val="0"/>
              <w:overflowPunct w:val="0"/>
              <w:autoSpaceDE w:val="0"/>
              <w:autoSpaceDN w:val="0"/>
              <w:adjustRightInd w:val="0"/>
              <w:snapToGrid w:val="0"/>
              <w:spacing w:line="0" w:lineRule="atLeast"/>
              <w:jc w:val="center"/>
              <w:rPr>
                <w:rFonts w:eastAsia="Times New Roman"/>
                <w:kern w:val="0"/>
                <w:szCs w:val="21"/>
              </w:rPr>
            </w:pPr>
            <w:r>
              <w:rPr>
                <w:rFonts w:hint="eastAsia" w:eastAsia="Times New Roman"/>
                <w:kern w:val="0"/>
                <w:szCs w:val="21"/>
              </w:rPr>
              <w:t>1.90</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1.13</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1.13</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1.53</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1.56</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1.54</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1.94</w:t>
            </w:r>
          </w:p>
        </w:tc>
        <w:tc>
          <w:tcPr>
            <w:tcW w:w="534" w:type="pct"/>
            <w:vAlign w:val="center"/>
          </w:tcPr>
          <w:p>
            <w:pPr>
              <w:kinsoku w:val="0"/>
              <w:overflowPunct w:val="0"/>
              <w:autoSpaceDE w:val="0"/>
              <w:autoSpaceDN w:val="0"/>
              <w:adjustRightInd w:val="0"/>
              <w:snapToGrid w:val="0"/>
              <w:spacing w:line="0" w:lineRule="atLeast"/>
              <w:jc w:val="center"/>
              <w:rPr>
                <w:rFonts w:eastAsiaTheme="minorEastAsia"/>
                <w:szCs w:val="21"/>
              </w:rPr>
            </w:pPr>
            <w:r>
              <w:rPr>
                <w:rFonts w:eastAsiaTheme="minorEastAsia"/>
                <w:szCs w:val="21"/>
              </w:rPr>
              <w:t>65</w:t>
            </w:r>
          </w:p>
        </w:tc>
        <w:tc>
          <w:tcPr>
            <w:tcW w:w="533" w:type="pct"/>
          </w:tcPr>
          <w:p>
            <w:pPr>
              <w:kinsoku w:val="0"/>
              <w:overflowPunct w:val="0"/>
              <w:autoSpaceDE w:val="0"/>
              <w:autoSpaceDN w:val="0"/>
              <w:adjustRightInd w:val="0"/>
              <w:snapToGrid w:val="0"/>
              <w:spacing w:line="0" w:lineRule="atLeast"/>
              <w:jc w:val="center"/>
              <w:rPr>
                <w:rFonts w:eastAsia="Times New Roman"/>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bCs/>
                <w:szCs w:val="21"/>
              </w:rPr>
            </w:pPr>
            <w:r>
              <w:rPr>
                <w:rFonts w:ascii="宋体" w:hAnsi="宋体" w:eastAsia="Times New Roman"/>
                <w:bCs/>
                <w:szCs w:val="21"/>
              </w:rPr>
              <w:t>铜</w:t>
            </w:r>
            <w:r>
              <w:rPr>
                <w:rFonts w:eastAsia="Times New Roman"/>
                <w:bCs/>
                <w:szCs w:val="21"/>
              </w:rPr>
              <w:t>(mg/kg)</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39</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44</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44</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44</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45</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44</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40</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eastAsia="Times New Roman"/>
                <w:szCs w:val="21"/>
              </w:rPr>
              <w:t>18000</w:t>
            </w:r>
          </w:p>
        </w:tc>
        <w:tc>
          <w:tcPr>
            <w:tcW w:w="533" w:type="pct"/>
          </w:tcPr>
          <w:p>
            <w:pPr>
              <w:kinsoku w:val="0"/>
              <w:overflowPunct w:val="0"/>
              <w:autoSpaceDE w:val="0"/>
              <w:autoSpaceDN w:val="0"/>
              <w:adjustRightInd w:val="0"/>
              <w:snapToGrid w:val="0"/>
              <w:spacing w:line="0" w:lineRule="atLeast"/>
              <w:jc w:val="center"/>
              <w:rPr>
                <w:rFonts w:eastAsia="Times New Roman"/>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bCs/>
                <w:szCs w:val="21"/>
              </w:rPr>
            </w:pPr>
            <w:r>
              <w:rPr>
                <w:rFonts w:ascii="宋体" w:hAnsi="宋体" w:eastAsia="Times New Roman"/>
                <w:bCs/>
                <w:szCs w:val="21"/>
              </w:rPr>
              <w:t>铅</w:t>
            </w:r>
            <w:r>
              <w:rPr>
                <w:rFonts w:eastAsia="Times New Roman"/>
                <w:bCs/>
                <w:szCs w:val="21"/>
              </w:rPr>
              <w:t>(mg/kg)</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ascii="宋体" w:hAnsi="宋体" w:eastAsia="Times New Roman"/>
                <w:szCs w:val="21"/>
              </w:rPr>
              <w:t>未检出</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ascii="宋体" w:hAnsi="宋体" w:eastAsia="Times New Roman"/>
                <w:szCs w:val="21"/>
              </w:rPr>
              <w:t>未检出</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ascii="宋体" w:hAnsi="宋体" w:eastAsia="Times New Roman"/>
                <w:szCs w:val="21"/>
              </w:rPr>
              <w:t>未检出</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ascii="宋体" w:hAnsi="宋体" w:eastAsia="Times New Roman"/>
                <w:szCs w:val="21"/>
              </w:rPr>
              <w:t>未检出</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ascii="宋体" w:hAnsi="宋体" w:eastAsia="Times New Roman"/>
                <w:szCs w:val="21"/>
              </w:rPr>
              <w:t>未检出</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ascii="宋体" w:hAnsi="宋体" w:eastAsia="Times New Roman"/>
                <w:szCs w:val="21"/>
              </w:rPr>
              <w:t>未检出</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ascii="宋体" w:hAnsi="宋体" w:eastAsia="Times New Roman"/>
                <w:szCs w:val="21"/>
              </w:rPr>
              <w:t>未检出</w:t>
            </w:r>
          </w:p>
        </w:tc>
        <w:tc>
          <w:tcPr>
            <w:tcW w:w="534" w:type="pct"/>
            <w:vAlign w:val="center"/>
          </w:tcPr>
          <w:p>
            <w:pPr>
              <w:kinsoku w:val="0"/>
              <w:overflowPunct w:val="0"/>
              <w:autoSpaceDE w:val="0"/>
              <w:autoSpaceDN w:val="0"/>
              <w:adjustRightInd w:val="0"/>
              <w:snapToGrid w:val="0"/>
              <w:spacing w:line="0" w:lineRule="atLeast"/>
              <w:jc w:val="center"/>
              <w:rPr>
                <w:rFonts w:eastAsiaTheme="minorEastAsia"/>
                <w:szCs w:val="21"/>
              </w:rPr>
            </w:pPr>
            <w:r>
              <w:rPr>
                <w:rFonts w:eastAsiaTheme="minorEastAsia"/>
                <w:szCs w:val="21"/>
              </w:rPr>
              <w:t>800</w:t>
            </w:r>
          </w:p>
        </w:tc>
        <w:tc>
          <w:tcPr>
            <w:tcW w:w="533" w:type="pct"/>
          </w:tcPr>
          <w:p>
            <w:pPr>
              <w:kinsoku w:val="0"/>
              <w:overflowPunct w:val="0"/>
              <w:autoSpaceDE w:val="0"/>
              <w:autoSpaceDN w:val="0"/>
              <w:adjustRightInd w:val="0"/>
              <w:snapToGrid w:val="0"/>
              <w:spacing w:line="0" w:lineRule="atLeast"/>
              <w:jc w:val="center"/>
              <w:rPr>
                <w:rFonts w:ascii="宋体" w:hAnsi="宋体" w:eastAsia="Times New Roman"/>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bCs/>
                <w:szCs w:val="21"/>
              </w:rPr>
            </w:pPr>
            <w:r>
              <w:rPr>
                <w:rFonts w:ascii="宋体" w:hAnsi="宋体" w:eastAsia="Times New Roman"/>
                <w:bCs/>
                <w:szCs w:val="21"/>
              </w:rPr>
              <w:t>总汞</w:t>
            </w:r>
            <w:r>
              <w:rPr>
                <w:rFonts w:eastAsia="Times New Roman"/>
                <w:bCs/>
                <w:szCs w:val="21"/>
              </w:rPr>
              <w:t>(mg/kg)</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0.097</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0.101</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0.102</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0.043</w:t>
            </w:r>
          </w:p>
        </w:tc>
        <w:tc>
          <w:tcPr>
            <w:tcW w:w="428"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0.039</w:t>
            </w:r>
          </w:p>
        </w:tc>
        <w:tc>
          <w:tcPr>
            <w:tcW w:w="429"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0.040</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hint="eastAsia" w:eastAsia="Times New Roman"/>
                <w:szCs w:val="21"/>
              </w:rPr>
              <w:t>0.064</w:t>
            </w:r>
          </w:p>
        </w:tc>
        <w:tc>
          <w:tcPr>
            <w:tcW w:w="534" w:type="pct"/>
            <w:vAlign w:val="center"/>
          </w:tcPr>
          <w:p>
            <w:pPr>
              <w:kinsoku w:val="0"/>
              <w:overflowPunct w:val="0"/>
              <w:autoSpaceDE w:val="0"/>
              <w:autoSpaceDN w:val="0"/>
              <w:adjustRightInd w:val="0"/>
              <w:snapToGrid w:val="0"/>
              <w:spacing w:line="0" w:lineRule="atLeast"/>
              <w:jc w:val="center"/>
              <w:rPr>
                <w:rFonts w:eastAsia="Times New Roman"/>
                <w:szCs w:val="21"/>
              </w:rPr>
            </w:pPr>
            <w:r>
              <w:rPr>
                <w:rFonts w:eastAsiaTheme="minorEastAsia"/>
                <w:kern w:val="0"/>
              </w:rPr>
              <w:t>38</w:t>
            </w:r>
          </w:p>
        </w:tc>
        <w:tc>
          <w:tcPr>
            <w:tcW w:w="533" w:type="pct"/>
          </w:tcPr>
          <w:p>
            <w:pPr>
              <w:kinsoku w:val="0"/>
              <w:overflowPunct w:val="0"/>
              <w:autoSpaceDE w:val="0"/>
              <w:autoSpaceDN w:val="0"/>
              <w:adjustRightInd w:val="0"/>
              <w:snapToGrid w:val="0"/>
              <w:spacing w:line="0" w:lineRule="atLeast"/>
              <w:jc w:val="center"/>
              <w:rPr>
                <w:rFonts w:eastAsia="Times New Roman"/>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bCs/>
                <w:szCs w:val="21"/>
              </w:rPr>
            </w:pPr>
            <w:r>
              <w:rPr>
                <w:rFonts w:ascii="宋体" w:hAnsi="宋体" w:eastAsia="Times New Roman"/>
                <w:bCs/>
                <w:szCs w:val="21"/>
              </w:rPr>
              <w:t>镍</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103</w:t>
            </w:r>
          </w:p>
        </w:tc>
        <w:tc>
          <w:tcPr>
            <w:tcW w:w="428"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113</w:t>
            </w:r>
          </w:p>
        </w:tc>
        <w:tc>
          <w:tcPr>
            <w:tcW w:w="428"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113</w:t>
            </w:r>
          </w:p>
        </w:tc>
        <w:tc>
          <w:tcPr>
            <w:tcW w:w="428"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112</w:t>
            </w:r>
          </w:p>
        </w:tc>
        <w:tc>
          <w:tcPr>
            <w:tcW w:w="428"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106</w:t>
            </w:r>
          </w:p>
        </w:tc>
        <w:tc>
          <w:tcPr>
            <w:tcW w:w="429"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105</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hint="eastAsia" w:eastAsia="Times New Roman"/>
                <w:bCs/>
                <w:szCs w:val="21"/>
              </w:rPr>
              <w:t>113</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eastAsiaTheme="minorEastAsia"/>
                <w:kern w:val="0"/>
              </w:rPr>
              <w:t>900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bCs/>
                <w:szCs w:val="21"/>
              </w:rPr>
            </w:pPr>
            <w:r>
              <w:rPr>
                <w:rFonts w:ascii="宋体" w:hAnsi="宋体" w:eastAsia="Times New Roman"/>
                <w:bCs/>
                <w:szCs w:val="21"/>
              </w:rPr>
              <w:t>六价铬</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1.19</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1.23</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1.21</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1.21</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1.23</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1.22</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1.21</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eastAsiaTheme="minorEastAsia"/>
                <w:snapToGrid w:val="0"/>
                <w:kern w:val="0"/>
              </w:rPr>
              <w:t>5.7</w:t>
            </w:r>
          </w:p>
        </w:tc>
        <w:tc>
          <w:tcPr>
            <w:tcW w:w="533" w:type="pct"/>
          </w:tcPr>
          <w:p>
            <w:pPr>
              <w:kinsoku w:val="0"/>
              <w:overflowPunct w:val="0"/>
              <w:autoSpaceDE w:val="0"/>
              <w:autoSpaceDN w:val="0"/>
              <w:adjustRightInd w:val="0"/>
              <w:snapToGrid w:val="0"/>
              <w:jc w:val="center"/>
              <w:rPr>
                <w:rFonts w:eastAsia="Times New Roman"/>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szCs w:val="21"/>
              </w:rPr>
              <w:t>苯胺</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2</w:t>
            </w:r>
            <w:r>
              <w:rPr>
                <w:rFonts w:eastAsiaTheme="minorEastAsia"/>
                <w:bCs/>
                <w:szCs w:val="21"/>
              </w:rPr>
              <w:t>60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szCs w:val="21"/>
              </w:rPr>
              <w:t>硝基苯</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7</w:t>
            </w:r>
            <w:r>
              <w:rPr>
                <w:rFonts w:eastAsiaTheme="minorEastAsia"/>
                <w:bCs/>
                <w:szCs w:val="21"/>
              </w:rPr>
              <w:t>6</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szCs w:val="21"/>
              </w:rPr>
              <w:t>2-</w:t>
            </w:r>
            <w:r>
              <w:rPr>
                <w:rFonts w:hint="eastAsia" w:ascii="宋体" w:hAnsi="宋体" w:eastAsia="Times New Roman"/>
                <w:szCs w:val="21"/>
              </w:rPr>
              <w:t>氯酚</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2</w:t>
            </w:r>
            <w:r>
              <w:rPr>
                <w:rFonts w:eastAsiaTheme="minorEastAsia"/>
                <w:bCs/>
                <w:szCs w:val="21"/>
              </w:rPr>
              <w:t>256</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szCs w:val="21"/>
              </w:rPr>
              <w:t>苯并</w:t>
            </w:r>
            <w:r>
              <w:rPr>
                <w:rFonts w:hint="eastAsia" w:eastAsia="Times New Roman"/>
                <w:szCs w:val="21"/>
              </w:rPr>
              <w:t>(a)</w:t>
            </w:r>
            <w:r>
              <w:rPr>
                <w:rFonts w:hint="eastAsia" w:ascii="宋体" w:hAnsi="宋体" w:eastAsia="Times New Roman"/>
                <w:szCs w:val="21"/>
              </w:rPr>
              <w:t>蒽</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1</w:t>
            </w:r>
            <w:r>
              <w:rPr>
                <w:rFonts w:eastAsiaTheme="minorEastAsia"/>
                <w:bCs/>
                <w:szCs w:val="21"/>
              </w:rPr>
              <w:t>5</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szCs w:val="21"/>
              </w:rPr>
              <w:t>苯并</w:t>
            </w:r>
            <w:r>
              <w:rPr>
                <w:rFonts w:hint="eastAsia" w:eastAsia="Times New Roman"/>
                <w:szCs w:val="21"/>
              </w:rPr>
              <w:t>(a)</w:t>
            </w:r>
            <w:r>
              <w:rPr>
                <w:rFonts w:hint="eastAsia" w:ascii="宋体" w:hAnsi="宋体" w:eastAsia="Times New Roman"/>
                <w:szCs w:val="21"/>
              </w:rPr>
              <w:t>芘</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1</w:t>
            </w:r>
            <w:r>
              <w:rPr>
                <w:rFonts w:eastAsiaTheme="minorEastAsia"/>
                <w:bCs/>
                <w:szCs w:val="21"/>
              </w:rPr>
              <w:t>.5</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szCs w:val="21"/>
              </w:rPr>
              <w:t>苯并</w:t>
            </w:r>
            <w:r>
              <w:rPr>
                <w:rFonts w:hint="eastAsia" w:eastAsia="Times New Roman"/>
                <w:szCs w:val="21"/>
              </w:rPr>
              <w:t>(b)</w:t>
            </w:r>
            <w:r>
              <w:rPr>
                <w:rFonts w:hint="eastAsia" w:ascii="宋体" w:hAnsi="宋体" w:eastAsia="Times New Roman"/>
                <w:szCs w:val="21"/>
              </w:rPr>
              <w:t>荧蒽</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1</w:t>
            </w:r>
            <w:r>
              <w:rPr>
                <w:rFonts w:eastAsiaTheme="minorEastAsia"/>
                <w:bCs/>
                <w:szCs w:val="21"/>
              </w:rPr>
              <w:t>5</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kern w:val="0"/>
                <w:szCs w:val="21"/>
              </w:rPr>
              <w:t>苯并</w:t>
            </w:r>
            <w:r>
              <w:rPr>
                <w:rFonts w:hint="eastAsia" w:eastAsia="Times New Roman"/>
                <w:kern w:val="0"/>
                <w:szCs w:val="21"/>
              </w:rPr>
              <w:t>(k)</w:t>
            </w:r>
            <w:r>
              <w:rPr>
                <w:rFonts w:hint="eastAsia" w:ascii="宋体" w:hAnsi="宋体" w:eastAsia="Times New Roman"/>
                <w:kern w:val="0"/>
                <w:szCs w:val="21"/>
              </w:rPr>
              <w:t>荧蒽</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1</w:t>
            </w:r>
            <w:r>
              <w:rPr>
                <w:rFonts w:eastAsiaTheme="minorEastAsia"/>
                <w:bCs/>
                <w:szCs w:val="21"/>
              </w:rPr>
              <w:t>51</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szCs w:val="21"/>
              </w:rPr>
              <w:t>䓛</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1</w:t>
            </w:r>
            <w:r>
              <w:rPr>
                <w:rFonts w:eastAsiaTheme="minorEastAsia"/>
                <w:bCs/>
                <w:szCs w:val="21"/>
              </w:rPr>
              <w:t>293</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szCs w:val="21"/>
              </w:rPr>
              <w:t>二苯并</w:t>
            </w:r>
            <w:r>
              <w:rPr>
                <w:rFonts w:hint="eastAsia" w:eastAsia="Times New Roman"/>
                <w:szCs w:val="21"/>
              </w:rPr>
              <w:t>(a,h)</w:t>
            </w:r>
            <w:r>
              <w:rPr>
                <w:rFonts w:hint="eastAsia" w:ascii="宋体" w:hAnsi="宋体" w:eastAsia="Times New Roman"/>
                <w:szCs w:val="21"/>
              </w:rPr>
              <w:t>蒽</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1</w:t>
            </w:r>
            <w:r>
              <w:rPr>
                <w:rFonts w:eastAsiaTheme="minorEastAsia"/>
                <w:bCs/>
                <w:szCs w:val="21"/>
              </w:rPr>
              <w:t>.5</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szCs w:val="21"/>
              </w:rPr>
              <w:t>茚并</w:t>
            </w:r>
            <w:r>
              <w:rPr>
                <w:rFonts w:hint="eastAsia" w:eastAsia="Times New Roman"/>
                <w:szCs w:val="21"/>
              </w:rPr>
              <w:t>(1,2,3-cd)</w:t>
            </w:r>
            <w:r>
              <w:rPr>
                <w:rFonts w:hint="eastAsia" w:ascii="宋体" w:hAnsi="宋体" w:eastAsia="Times New Roman"/>
                <w:szCs w:val="21"/>
              </w:rPr>
              <w:t>芘</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1</w:t>
            </w:r>
            <w:r>
              <w:rPr>
                <w:rFonts w:eastAsiaTheme="minorEastAsia"/>
                <w:bCs/>
                <w:szCs w:val="21"/>
              </w:rPr>
              <w:t>5</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szCs w:val="21"/>
              </w:rPr>
              <w:t>萘</w:t>
            </w:r>
            <w:r>
              <w:rPr>
                <w:rFonts w:eastAsia="Times New Roman"/>
                <w:bCs/>
                <w:szCs w:val="21"/>
              </w:rPr>
              <w:t>(mg/kg)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7</w:t>
            </w:r>
            <w:r>
              <w:rPr>
                <w:rFonts w:eastAsiaTheme="minorEastAsia"/>
                <w:bCs/>
                <w:szCs w:val="21"/>
              </w:rPr>
              <w:t>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szCs w:val="21"/>
              </w:rPr>
              <w:t>四氯化碳</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2</w:t>
            </w:r>
            <w:r>
              <w:rPr>
                <w:rFonts w:eastAsiaTheme="minorEastAsia"/>
                <w:bCs/>
                <w:szCs w:val="21"/>
              </w:rPr>
              <w:t>800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氯仿</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eastAsiaTheme="minorEastAsia"/>
                <w:bCs/>
                <w:szCs w:val="21"/>
              </w:rPr>
              <w:t>900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氯甲烷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3</w:t>
            </w:r>
            <w:r>
              <w:rPr>
                <w:rFonts w:eastAsiaTheme="minorEastAsia"/>
                <w:bCs/>
                <w:szCs w:val="21"/>
              </w:rPr>
              <w:t>7000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1,1-</w:t>
            </w:r>
            <w:r>
              <w:rPr>
                <w:rFonts w:ascii="宋体" w:hAnsi="宋体" w:eastAsia="Times New Roman"/>
                <w:kern w:val="0"/>
                <w:szCs w:val="21"/>
              </w:rPr>
              <w:t>二氯乙烷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9</w:t>
            </w:r>
            <w:r>
              <w:rPr>
                <w:rFonts w:eastAsiaTheme="minorEastAsia"/>
                <w:bCs/>
                <w:szCs w:val="21"/>
              </w:rPr>
              <w:t>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1,2-</w:t>
            </w:r>
            <w:r>
              <w:rPr>
                <w:rFonts w:ascii="宋体" w:hAnsi="宋体" w:eastAsia="Times New Roman"/>
                <w:kern w:val="0"/>
                <w:szCs w:val="21"/>
              </w:rPr>
              <w:t>二氯乙烷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5</w:t>
            </w:r>
            <w:r>
              <w:rPr>
                <w:rFonts w:eastAsiaTheme="minorEastAsia"/>
                <w:bCs/>
                <w:szCs w:val="21"/>
              </w:rPr>
              <w:t>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1,1-</w:t>
            </w:r>
            <w:r>
              <w:rPr>
                <w:rFonts w:ascii="宋体" w:hAnsi="宋体" w:eastAsia="Times New Roman"/>
                <w:kern w:val="0"/>
                <w:szCs w:val="21"/>
              </w:rPr>
              <w:t>二氯乙烯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6</w:t>
            </w:r>
            <w:r>
              <w:rPr>
                <w:rFonts w:eastAsiaTheme="minorEastAsia"/>
                <w:bCs/>
                <w:szCs w:val="21"/>
              </w:rPr>
              <w:t>6000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kern w:val="0"/>
                <w:szCs w:val="21"/>
              </w:rPr>
              <w:t>顺</w:t>
            </w:r>
            <w:r>
              <w:rPr>
                <w:rFonts w:hint="eastAsia" w:eastAsia="Times New Roman"/>
                <w:kern w:val="0"/>
                <w:szCs w:val="21"/>
              </w:rPr>
              <w:t>-1,2-</w:t>
            </w:r>
            <w:r>
              <w:rPr>
                <w:rFonts w:hint="eastAsia" w:ascii="宋体" w:hAnsi="宋体" w:eastAsia="Times New Roman"/>
                <w:kern w:val="0"/>
                <w:szCs w:val="21"/>
              </w:rPr>
              <w:t>二氯乙烯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5</w:t>
            </w:r>
            <w:r>
              <w:rPr>
                <w:rFonts w:eastAsiaTheme="minorEastAsia"/>
                <w:bCs/>
                <w:szCs w:val="21"/>
              </w:rPr>
              <w:t>96000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kern w:val="0"/>
                <w:szCs w:val="21"/>
              </w:rPr>
              <w:t>反</w:t>
            </w:r>
            <w:r>
              <w:rPr>
                <w:rFonts w:hint="eastAsia" w:eastAsia="Times New Roman"/>
                <w:kern w:val="0"/>
                <w:szCs w:val="21"/>
              </w:rPr>
              <w:t>-1,2-</w:t>
            </w:r>
            <w:r>
              <w:rPr>
                <w:rFonts w:hint="eastAsia" w:ascii="宋体" w:hAnsi="宋体" w:eastAsia="Times New Roman"/>
                <w:kern w:val="0"/>
                <w:szCs w:val="21"/>
              </w:rPr>
              <w:t>二氯乙烯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5</w:t>
            </w:r>
            <w:r>
              <w:rPr>
                <w:rFonts w:eastAsiaTheme="minorEastAsia"/>
                <w:bCs/>
                <w:szCs w:val="21"/>
              </w:rPr>
              <w:t>4000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color w:val="FF0000"/>
                <w:szCs w:val="21"/>
              </w:rPr>
            </w:pPr>
            <w:r>
              <w:rPr>
                <w:rFonts w:ascii="宋体" w:hAnsi="宋体" w:eastAsia="Times New Roman"/>
                <w:color w:val="FF0000"/>
                <w:kern w:val="0"/>
                <w:szCs w:val="21"/>
              </w:rPr>
              <w:t>二氯甲烷</w:t>
            </w:r>
            <w:r>
              <w:rPr>
                <w:rFonts w:eastAsia="Times New Roman"/>
                <w:bCs/>
                <w:color w:val="FF0000"/>
                <w:szCs w:val="21"/>
              </w:rPr>
              <w:t>(μg/kg)</w:t>
            </w:r>
          </w:p>
        </w:tc>
        <w:tc>
          <w:tcPr>
            <w:tcW w:w="429" w:type="pct"/>
            <w:vAlign w:val="center"/>
          </w:tcPr>
          <w:p>
            <w:pPr>
              <w:kinsoku w:val="0"/>
              <w:overflowPunct w:val="0"/>
              <w:autoSpaceDE w:val="0"/>
              <w:autoSpaceDN w:val="0"/>
              <w:adjustRightInd w:val="0"/>
              <w:snapToGrid w:val="0"/>
              <w:jc w:val="center"/>
              <w:rPr>
                <w:rFonts w:eastAsia="Times New Roman"/>
                <w:color w:val="FF0000"/>
                <w:szCs w:val="21"/>
              </w:rPr>
            </w:pPr>
            <w:r>
              <w:rPr>
                <w:rFonts w:eastAsia="Times New Roman"/>
                <w:color w:val="FF0000"/>
              </w:rPr>
              <w:t>75.9</w:t>
            </w:r>
          </w:p>
        </w:tc>
        <w:tc>
          <w:tcPr>
            <w:tcW w:w="428" w:type="pct"/>
            <w:vAlign w:val="center"/>
          </w:tcPr>
          <w:p>
            <w:pPr>
              <w:kinsoku w:val="0"/>
              <w:overflowPunct w:val="0"/>
              <w:autoSpaceDE w:val="0"/>
              <w:autoSpaceDN w:val="0"/>
              <w:adjustRightInd w:val="0"/>
              <w:snapToGrid w:val="0"/>
              <w:jc w:val="center"/>
              <w:rPr>
                <w:rFonts w:eastAsia="Times New Roman"/>
                <w:color w:val="FF0000"/>
                <w:szCs w:val="21"/>
              </w:rPr>
            </w:pPr>
            <w:r>
              <w:rPr>
                <w:rFonts w:eastAsia="Times New Roman"/>
                <w:color w:val="FF0000"/>
              </w:rPr>
              <w:t>74.6</w:t>
            </w:r>
          </w:p>
        </w:tc>
        <w:tc>
          <w:tcPr>
            <w:tcW w:w="428" w:type="pct"/>
            <w:vAlign w:val="center"/>
          </w:tcPr>
          <w:p>
            <w:pPr>
              <w:kinsoku w:val="0"/>
              <w:overflowPunct w:val="0"/>
              <w:autoSpaceDE w:val="0"/>
              <w:autoSpaceDN w:val="0"/>
              <w:adjustRightInd w:val="0"/>
              <w:snapToGrid w:val="0"/>
              <w:jc w:val="center"/>
              <w:rPr>
                <w:rFonts w:eastAsia="Times New Roman"/>
                <w:color w:val="FF0000"/>
                <w:szCs w:val="21"/>
              </w:rPr>
            </w:pPr>
            <w:r>
              <w:rPr>
                <w:rFonts w:eastAsia="Times New Roman"/>
                <w:color w:val="FF0000"/>
              </w:rPr>
              <w:t>69.8</w:t>
            </w:r>
          </w:p>
        </w:tc>
        <w:tc>
          <w:tcPr>
            <w:tcW w:w="428" w:type="pct"/>
            <w:vAlign w:val="center"/>
          </w:tcPr>
          <w:p>
            <w:pPr>
              <w:kinsoku w:val="0"/>
              <w:overflowPunct w:val="0"/>
              <w:autoSpaceDE w:val="0"/>
              <w:autoSpaceDN w:val="0"/>
              <w:adjustRightInd w:val="0"/>
              <w:snapToGrid w:val="0"/>
              <w:jc w:val="center"/>
              <w:rPr>
                <w:rFonts w:eastAsia="Times New Roman"/>
                <w:color w:val="FF0000"/>
                <w:szCs w:val="21"/>
              </w:rPr>
            </w:pPr>
            <w:r>
              <w:rPr>
                <w:rFonts w:eastAsia="Times New Roman"/>
                <w:color w:val="FF0000"/>
              </w:rPr>
              <w:t>57.2</w:t>
            </w:r>
          </w:p>
        </w:tc>
        <w:tc>
          <w:tcPr>
            <w:tcW w:w="428" w:type="pct"/>
            <w:vAlign w:val="center"/>
          </w:tcPr>
          <w:p>
            <w:pPr>
              <w:kinsoku w:val="0"/>
              <w:overflowPunct w:val="0"/>
              <w:autoSpaceDE w:val="0"/>
              <w:autoSpaceDN w:val="0"/>
              <w:adjustRightInd w:val="0"/>
              <w:snapToGrid w:val="0"/>
              <w:jc w:val="center"/>
              <w:rPr>
                <w:rFonts w:eastAsia="Times New Roman"/>
                <w:color w:val="FF0000"/>
                <w:szCs w:val="21"/>
              </w:rPr>
            </w:pPr>
            <w:r>
              <w:rPr>
                <w:rFonts w:eastAsia="Times New Roman"/>
                <w:color w:val="FF0000"/>
              </w:rPr>
              <w:t>77.3</w:t>
            </w:r>
          </w:p>
        </w:tc>
        <w:tc>
          <w:tcPr>
            <w:tcW w:w="429" w:type="pct"/>
            <w:vAlign w:val="center"/>
          </w:tcPr>
          <w:p>
            <w:pPr>
              <w:kinsoku w:val="0"/>
              <w:overflowPunct w:val="0"/>
              <w:autoSpaceDE w:val="0"/>
              <w:autoSpaceDN w:val="0"/>
              <w:adjustRightInd w:val="0"/>
              <w:snapToGrid w:val="0"/>
              <w:jc w:val="center"/>
              <w:rPr>
                <w:rFonts w:eastAsia="Times New Roman"/>
                <w:color w:val="FF0000"/>
                <w:szCs w:val="21"/>
              </w:rPr>
            </w:pPr>
            <w:r>
              <w:rPr>
                <w:rFonts w:eastAsia="Times New Roman"/>
                <w:color w:val="FF0000"/>
              </w:rPr>
              <w:t>78.2</w:t>
            </w:r>
          </w:p>
        </w:tc>
        <w:tc>
          <w:tcPr>
            <w:tcW w:w="534" w:type="pct"/>
            <w:vAlign w:val="center"/>
          </w:tcPr>
          <w:p>
            <w:pPr>
              <w:kinsoku w:val="0"/>
              <w:overflowPunct w:val="0"/>
              <w:autoSpaceDE w:val="0"/>
              <w:autoSpaceDN w:val="0"/>
              <w:adjustRightInd w:val="0"/>
              <w:snapToGrid w:val="0"/>
              <w:jc w:val="center"/>
              <w:rPr>
                <w:rFonts w:eastAsia="Times New Roman"/>
                <w:color w:val="FF0000"/>
                <w:szCs w:val="21"/>
              </w:rPr>
            </w:pPr>
            <w:r>
              <w:rPr>
                <w:rFonts w:eastAsia="Times New Roman"/>
                <w:color w:val="FF0000"/>
              </w:rPr>
              <w:t>80.1</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6</w:t>
            </w:r>
            <w:r>
              <w:rPr>
                <w:rFonts w:eastAsiaTheme="minorEastAsia"/>
                <w:bCs/>
                <w:szCs w:val="21"/>
              </w:rPr>
              <w:t>16000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1,2-</w:t>
            </w:r>
            <w:r>
              <w:rPr>
                <w:rFonts w:ascii="宋体" w:hAnsi="宋体" w:eastAsia="Times New Roman"/>
                <w:kern w:val="0"/>
                <w:szCs w:val="21"/>
              </w:rPr>
              <w:t>二氯丙烷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5</w:t>
            </w:r>
            <w:r>
              <w:rPr>
                <w:rFonts w:eastAsiaTheme="minorEastAsia"/>
                <w:bCs/>
                <w:szCs w:val="21"/>
              </w:rPr>
              <w:t>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1,1,1,2-</w:t>
            </w:r>
            <w:r>
              <w:rPr>
                <w:rFonts w:ascii="宋体" w:hAnsi="宋体" w:eastAsia="Times New Roman"/>
                <w:kern w:val="0"/>
                <w:szCs w:val="21"/>
              </w:rPr>
              <w:t>四氯乙烷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1</w:t>
            </w:r>
            <w:r>
              <w:rPr>
                <w:rFonts w:eastAsiaTheme="minorEastAsia"/>
                <w:bCs/>
                <w:szCs w:val="21"/>
              </w:rPr>
              <w:t>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1,1,2,2-</w:t>
            </w:r>
            <w:r>
              <w:rPr>
                <w:rFonts w:ascii="宋体" w:hAnsi="宋体" w:eastAsia="Times New Roman"/>
                <w:kern w:val="0"/>
                <w:szCs w:val="21"/>
              </w:rPr>
              <w:t>四氯乙烷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6</w:t>
            </w:r>
            <w:r>
              <w:rPr>
                <w:rFonts w:eastAsiaTheme="minorEastAsia"/>
                <w:bCs/>
                <w:szCs w:val="21"/>
              </w:rPr>
              <w:t>800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四氯乙烯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heme="minorEastAsia"/>
                <w:bCs/>
                <w:szCs w:val="21"/>
              </w:rPr>
            </w:pPr>
            <w:r>
              <w:rPr>
                <w:rFonts w:hint="eastAsia" w:eastAsiaTheme="minorEastAsia"/>
                <w:bCs/>
                <w:szCs w:val="21"/>
              </w:rPr>
              <w:t>5</w:t>
            </w:r>
            <w:r>
              <w:rPr>
                <w:rFonts w:eastAsiaTheme="minorEastAsia"/>
                <w:bCs/>
                <w:szCs w:val="21"/>
              </w:rPr>
              <w:t>3000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1,1,1-</w:t>
            </w:r>
            <w:r>
              <w:rPr>
                <w:rFonts w:ascii="宋体" w:hAnsi="宋体" w:eastAsia="Times New Roman"/>
                <w:kern w:val="0"/>
                <w:szCs w:val="21"/>
              </w:rPr>
              <w:t>三氯乙烷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tcPr>
          <w:p>
            <w:pPr>
              <w:kinsoku w:val="0"/>
              <w:overflowPunct w:val="0"/>
              <w:autoSpaceDE w:val="0"/>
              <w:autoSpaceDN w:val="0"/>
              <w:adjustRightInd w:val="0"/>
              <w:snapToGrid w:val="0"/>
              <w:jc w:val="center"/>
              <w:rPr>
                <w:rFonts w:eastAsia="Times New Roman"/>
                <w:bCs/>
                <w:szCs w:val="21"/>
              </w:rPr>
            </w:pPr>
            <w:r>
              <w:rPr>
                <w:rFonts w:eastAsia="Times New Roman"/>
              </w:rPr>
              <w:t>840000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1,1,2-</w:t>
            </w:r>
            <w:r>
              <w:rPr>
                <w:rFonts w:ascii="宋体" w:hAnsi="宋体" w:eastAsia="Times New Roman"/>
                <w:kern w:val="0"/>
                <w:szCs w:val="21"/>
              </w:rPr>
              <w:t>三氯乙烷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tcPr>
          <w:p>
            <w:pPr>
              <w:kinsoku w:val="0"/>
              <w:overflowPunct w:val="0"/>
              <w:autoSpaceDE w:val="0"/>
              <w:autoSpaceDN w:val="0"/>
              <w:adjustRightInd w:val="0"/>
              <w:snapToGrid w:val="0"/>
              <w:jc w:val="center"/>
              <w:rPr>
                <w:rFonts w:eastAsia="Times New Roman"/>
                <w:bCs/>
                <w:szCs w:val="21"/>
              </w:rPr>
            </w:pPr>
            <w:r>
              <w:rPr>
                <w:rFonts w:eastAsia="Times New Roman"/>
              </w:rPr>
              <w:t>2800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三氯乙烯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tcPr>
          <w:p>
            <w:pPr>
              <w:kinsoku w:val="0"/>
              <w:overflowPunct w:val="0"/>
              <w:autoSpaceDE w:val="0"/>
              <w:autoSpaceDN w:val="0"/>
              <w:adjustRightInd w:val="0"/>
              <w:snapToGrid w:val="0"/>
              <w:jc w:val="center"/>
              <w:rPr>
                <w:rFonts w:eastAsia="Times New Roman"/>
                <w:bCs/>
                <w:szCs w:val="21"/>
              </w:rPr>
            </w:pPr>
            <w:r>
              <w:rPr>
                <w:rFonts w:eastAsia="Times New Roman"/>
              </w:rPr>
              <w:t>2800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1,2,3-</w:t>
            </w:r>
            <w:r>
              <w:rPr>
                <w:rFonts w:ascii="宋体" w:hAnsi="宋体" w:eastAsia="Times New Roman"/>
                <w:kern w:val="0"/>
                <w:szCs w:val="21"/>
              </w:rPr>
              <w:t>三氯丙烷</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tcPr>
          <w:p>
            <w:pPr>
              <w:kinsoku w:val="0"/>
              <w:overflowPunct w:val="0"/>
              <w:autoSpaceDE w:val="0"/>
              <w:autoSpaceDN w:val="0"/>
              <w:adjustRightInd w:val="0"/>
              <w:snapToGrid w:val="0"/>
              <w:jc w:val="center"/>
              <w:rPr>
                <w:rFonts w:eastAsia="Times New Roman"/>
                <w:bCs/>
                <w:szCs w:val="21"/>
              </w:rPr>
            </w:pPr>
            <w:r>
              <w:rPr>
                <w:rFonts w:eastAsia="Times New Roman"/>
              </w:rPr>
              <w:t>500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氯乙烯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tcPr>
          <w:p>
            <w:pPr>
              <w:kinsoku w:val="0"/>
              <w:overflowPunct w:val="0"/>
              <w:autoSpaceDE w:val="0"/>
              <w:autoSpaceDN w:val="0"/>
              <w:adjustRightInd w:val="0"/>
              <w:snapToGrid w:val="0"/>
              <w:jc w:val="center"/>
              <w:rPr>
                <w:rFonts w:eastAsia="Times New Roman"/>
                <w:bCs/>
                <w:szCs w:val="21"/>
              </w:rPr>
            </w:pPr>
            <w:r>
              <w:rPr>
                <w:rFonts w:eastAsia="Times New Roman"/>
              </w:rPr>
              <w:t>430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eastAsiaTheme="minorEastAsia"/>
                <w:snapToGrid w:val="0"/>
                <w:kern w:val="0"/>
              </w:rPr>
              <w:t>4000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氯苯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eastAsiaTheme="minorEastAsia"/>
                <w:snapToGrid w:val="0"/>
                <w:kern w:val="0"/>
              </w:rPr>
              <w:t>270000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1,2-</w:t>
            </w:r>
            <w:r>
              <w:rPr>
                <w:rFonts w:ascii="宋体" w:hAnsi="宋体" w:eastAsia="Times New Roman"/>
                <w:kern w:val="0"/>
                <w:szCs w:val="21"/>
              </w:rPr>
              <w:t>二氯苯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eastAsiaTheme="minorEastAsia"/>
                <w:snapToGrid w:val="0"/>
                <w:kern w:val="0"/>
              </w:rPr>
              <w:t>560000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eastAsia="Times New Roman"/>
                <w:kern w:val="0"/>
                <w:szCs w:val="21"/>
              </w:rPr>
              <w:t>1,4-</w:t>
            </w:r>
            <w:r>
              <w:rPr>
                <w:rFonts w:ascii="宋体" w:hAnsi="宋体" w:eastAsia="Times New Roman"/>
                <w:kern w:val="0"/>
                <w:szCs w:val="21"/>
              </w:rPr>
              <w:t>二氯苯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eastAsiaTheme="minorEastAsia"/>
                <w:snapToGrid w:val="0"/>
                <w:kern w:val="0"/>
              </w:rPr>
              <w:t>20000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乙苯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eastAsiaTheme="minorEastAsia"/>
                <w:snapToGrid w:val="0"/>
                <w:kern w:val="0"/>
              </w:rPr>
              <w:t>28000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苯乙烯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eastAsiaTheme="minorEastAsia"/>
                <w:snapToGrid w:val="0"/>
                <w:kern w:val="0"/>
              </w:rPr>
              <w:t>1290000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甲苯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bCs/>
                <w:szCs w:val="21"/>
              </w:rPr>
            </w:pPr>
            <w:r>
              <w:rPr>
                <w:rFonts w:eastAsiaTheme="minorEastAsia"/>
                <w:snapToGrid w:val="0"/>
                <w:kern w:val="0"/>
              </w:rPr>
              <w:t>1200000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hint="eastAsia" w:ascii="宋体" w:hAnsi="宋体" w:eastAsia="Times New Roman"/>
                <w:kern w:val="0"/>
                <w:szCs w:val="21"/>
              </w:rPr>
              <w:t>间</w:t>
            </w:r>
            <w:r>
              <w:rPr>
                <w:rFonts w:hint="eastAsia" w:eastAsia="Times New Roman"/>
                <w:kern w:val="0"/>
                <w:szCs w:val="21"/>
              </w:rPr>
              <w:t>/</w:t>
            </w:r>
            <w:r>
              <w:rPr>
                <w:rFonts w:hint="eastAsia" w:ascii="宋体" w:hAnsi="宋体" w:eastAsia="Times New Roman"/>
                <w:kern w:val="0"/>
                <w:szCs w:val="21"/>
              </w:rPr>
              <w:t>对二甲苯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tcPr>
          <w:p>
            <w:pPr>
              <w:kinsoku w:val="0"/>
              <w:overflowPunct w:val="0"/>
              <w:autoSpaceDE w:val="0"/>
              <w:autoSpaceDN w:val="0"/>
              <w:adjustRightInd w:val="0"/>
              <w:snapToGrid w:val="0"/>
              <w:jc w:val="center"/>
              <w:rPr>
                <w:rFonts w:eastAsia="Times New Roman"/>
                <w:bCs/>
                <w:szCs w:val="21"/>
              </w:rPr>
            </w:pPr>
            <w:r>
              <w:rPr>
                <w:rFonts w:eastAsia="Times New Roman"/>
              </w:rPr>
              <w:t>570000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29" w:type="pct"/>
            <w:vAlign w:val="center"/>
          </w:tcPr>
          <w:p>
            <w:pPr>
              <w:kinsoku w:val="0"/>
              <w:overflowPunct w:val="0"/>
              <w:autoSpaceDE w:val="0"/>
              <w:autoSpaceDN w:val="0"/>
              <w:adjustRightInd w:val="0"/>
              <w:snapToGrid w:val="0"/>
              <w:jc w:val="center"/>
              <w:rPr>
                <w:rFonts w:eastAsia="Times New Roman"/>
                <w:szCs w:val="21"/>
              </w:rPr>
            </w:pPr>
            <w:r>
              <w:rPr>
                <w:rFonts w:ascii="宋体" w:hAnsi="宋体" w:eastAsia="Times New Roman"/>
                <w:kern w:val="0"/>
                <w:szCs w:val="21"/>
              </w:rPr>
              <w:t>邻二甲苯</w:t>
            </w:r>
            <w:r>
              <w:rPr>
                <w:rFonts w:eastAsia="Times New Roman"/>
                <w:bCs/>
                <w:szCs w:val="21"/>
              </w:rPr>
              <w:t>(μg/kg)</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8"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429"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vAlign w:val="center"/>
          </w:tcPr>
          <w:p>
            <w:pPr>
              <w:kinsoku w:val="0"/>
              <w:overflowPunct w:val="0"/>
              <w:autoSpaceDE w:val="0"/>
              <w:autoSpaceDN w:val="0"/>
              <w:adjustRightInd w:val="0"/>
              <w:snapToGrid w:val="0"/>
              <w:jc w:val="center"/>
              <w:rPr>
                <w:rFonts w:eastAsia="Times New Roman"/>
                <w:szCs w:val="21"/>
              </w:rPr>
            </w:pPr>
            <w:r>
              <w:rPr>
                <w:rFonts w:hint="eastAsia" w:eastAsia="Times New Roman"/>
                <w:bCs/>
                <w:szCs w:val="21"/>
              </w:rPr>
              <w:t>ND</w:t>
            </w:r>
          </w:p>
        </w:tc>
        <w:tc>
          <w:tcPr>
            <w:tcW w:w="534" w:type="pct"/>
          </w:tcPr>
          <w:p>
            <w:pPr>
              <w:kinsoku w:val="0"/>
              <w:overflowPunct w:val="0"/>
              <w:autoSpaceDE w:val="0"/>
              <w:autoSpaceDN w:val="0"/>
              <w:adjustRightInd w:val="0"/>
              <w:snapToGrid w:val="0"/>
              <w:jc w:val="center"/>
              <w:rPr>
                <w:rFonts w:eastAsia="Times New Roman"/>
                <w:bCs/>
                <w:szCs w:val="21"/>
              </w:rPr>
            </w:pPr>
            <w:r>
              <w:rPr>
                <w:rFonts w:eastAsia="Times New Roman"/>
              </w:rPr>
              <w:t>640000</w:t>
            </w:r>
          </w:p>
        </w:tc>
        <w:tc>
          <w:tcPr>
            <w:tcW w:w="533" w:type="pct"/>
          </w:tcPr>
          <w:p>
            <w:pPr>
              <w:kinsoku w:val="0"/>
              <w:overflowPunct w:val="0"/>
              <w:autoSpaceDE w:val="0"/>
              <w:autoSpaceDN w:val="0"/>
              <w:adjustRightInd w:val="0"/>
              <w:snapToGrid w:val="0"/>
              <w:jc w:val="center"/>
              <w:rPr>
                <w:rFonts w:eastAsia="Times New Roman"/>
                <w:bCs/>
                <w:szCs w:val="21"/>
              </w:rPr>
            </w:pPr>
            <w:r>
              <w:rPr>
                <w:rFonts w:hint="eastAsia" w:asciiTheme="minorEastAsia" w:hAnsiTheme="minorEastAsia" w:eastAsiaTheme="minorEastAsia"/>
                <w:szCs w:val="21"/>
              </w:rPr>
              <w:t>达标</w:t>
            </w:r>
          </w:p>
        </w:tc>
      </w:tr>
    </w:tbl>
    <w:p>
      <w:pPr>
        <w:pStyle w:val="361"/>
        <w:spacing w:before="240"/>
        <w:ind w:firstLine="477" w:firstLineChars="199"/>
        <w:rPr>
          <w:rFonts w:ascii="Times New Roman" w:hAnsi="Times New Roman"/>
        </w:rPr>
        <w:sectPr>
          <w:pgSz w:w="16838" w:h="11906" w:orient="landscape"/>
          <w:pgMar w:top="1800" w:right="1440" w:bottom="1800" w:left="1440" w:header="851" w:footer="992" w:gutter="0"/>
          <w:cols w:space="720" w:num="1"/>
          <w:docGrid w:type="lines" w:linePitch="312" w:charSpace="0"/>
        </w:sectPr>
      </w:pPr>
    </w:p>
    <w:p>
      <w:pPr>
        <w:pStyle w:val="44"/>
        <w:ind w:firstLine="361" w:firstLineChars="150"/>
        <w:jc w:val="center"/>
        <w:rPr>
          <w:rFonts w:cs="Times New Roman"/>
          <w:b/>
          <w:szCs w:val="24"/>
        </w:rPr>
      </w:pPr>
      <w:bookmarkStart w:id="342" w:name="_Toc489433064"/>
      <w:r>
        <w:rPr>
          <w:rFonts w:cs="Times New Roman"/>
          <w:b/>
          <w:szCs w:val="24"/>
        </w:rPr>
        <w:t>表4.2-10土壤环境质量现状监测结果</w:t>
      </w:r>
      <w:r>
        <w:rPr>
          <w:rFonts w:hint="eastAsia" w:cs="Times New Roman"/>
          <w:b/>
          <w:szCs w:val="24"/>
        </w:rPr>
        <w:t xml:space="preserve">（2） </w:t>
      </w:r>
      <w:r>
        <w:rPr>
          <w:rFonts w:cs="Times New Roman"/>
          <w:b/>
          <w:szCs w:val="24"/>
        </w:rPr>
        <w:t xml:space="preserve">             </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90"/>
        <w:gridCol w:w="1230"/>
        <w:gridCol w:w="1231"/>
        <w:gridCol w:w="1313"/>
        <w:gridCol w:w="1231"/>
        <w:gridCol w:w="12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rPr>
            </w:pPr>
            <w:r>
              <w:rPr>
                <w:rFonts w:ascii="宋体" w:hAnsi="宋体"/>
                <w:bCs/>
              </w:rPr>
              <w:t>检测项目</w:t>
            </w:r>
          </w:p>
          <w:p>
            <w:pPr>
              <w:jc w:val="center"/>
              <w:rPr>
                <w:bCs/>
              </w:rPr>
            </w:pPr>
            <w:r>
              <w:rPr>
                <w:rFonts w:ascii="宋体" w:hAnsi="宋体"/>
                <w:bCs/>
              </w:rPr>
              <w:t>采样位置及深度</w:t>
            </w:r>
          </w:p>
        </w:tc>
        <w:tc>
          <w:tcPr>
            <w:tcW w:w="722" w:type="pct"/>
            <w:vAlign w:val="center"/>
          </w:tcPr>
          <w:p>
            <w:pPr>
              <w:jc w:val="center"/>
              <w:rPr>
                <w:vertAlign w:val="subscript"/>
              </w:rPr>
            </w:pPr>
            <w:r>
              <w:rPr>
                <w:rFonts w:hint="eastAsia"/>
              </w:rPr>
              <w:t>5#</w:t>
            </w:r>
            <w:r>
              <w:rPr>
                <w:rFonts w:hint="eastAsia" w:ascii="宋体" w:hAnsi="宋体"/>
              </w:rPr>
              <w:t>生活办公区</w:t>
            </w:r>
          </w:p>
          <w:p>
            <w:pPr>
              <w:jc w:val="center"/>
            </w:pPr>
            <w:r>
              <w:rPr>
                <w:kern w:val="0"/>
              </w:rPr>
              <w:t>(0-</w:t>
            </w:r>
            <w:r>
              <w:rPr>
                <w:rFonts w:hint="eastAsia"/>
                <w:kern w:val="0"/>
              </w:rPr>
              <w:t>5</w:t>
            </w:r>
            <w:r>
              <w:rPr>
                <w:kern w:val="0"/>
              </w:rPr>
              <w:t>0cm)</w:t>
            </w:r>
          </w:p>
        </w:tc>
        <w:tc>
          <w:tcPr>
            <w:tcW w:w="722" w:type="pct"/>
            <w:vAlign w:val="center"/>
          </w:tcPr>
          <w:p>
            <w:pPr>
              <w:jc w:val="center"/>
              <w:rPr>
                <w:vertAlign w:val="subscript"/>
              </w:rPr>
            </w:pPr>
            <w:r>
              <w:rPr>
                <w:rFonts w:hint="eastAsia"/>
              </w:rPr>
              <w:t>5#</w:t>
            </w:r>
            <w:r>
              <w:rPr>
                <w:rFonts w:hint="eastAsia" w:ascii="宋体" w:hAnsi="宋体"/>
              </w:rPr>
              <w:t>生活办公区</w:t>
            </w:r>
          </w:p>
          <w:p>
            <w:pPr>
              <w:jc w:val="center"/>
            </w:pPr>
            <w:r>
              <w:rPr>
                <w:kern w:val="0"/>
              </w:rPr>
              <w:t>(</w:t>
            </w:r>
            <w:r>
              <w:rPr>
                <w:rFonts w:hint="eastAsia"/>
                <w:kern w:val="0"/>
              </w:rPr>
              <w:t>5</w:t>
            </w:r>
            <w:r>
              <w:rPr>
                <w:kern w:val="0"/>
              </w:rPr>
              <w:t>0-</w:t>
            </w:r>
            <w:r>
              <w:rPr>
                <w:rFonts w:hint="eastAsia"/>
                <w:kern w:val="0"/>
              </w:rPr>
              <w:t>15</w:t>
            </w:r>
            <w:r>
              <w:rPr>
                <w:kern w:val="0"/>
              </w:rPr>
              <w:t>0cm)</w:t>
            </w:r>
          </w:p>
        </w:tc>
        <w:tc>
          <w:tcPr>
            <w:tcW w:w="770" w:type="pct"/>
            <w:vAlign w:val="center"/>
          </w:tcPr>
          <w:p>
            <w:pPr>
              <w:jc w:val="center"/>
              <w:rPr>
                <w:szCs w:val="21"/>
                <w:vertAlign w:val="subscript"/>
              </w:rPr>
            </w:pPr>
            <w:r>
              <w:rPr>
                <w:rFonts w:hint="eastAsia"/>
              </w:rPr>
              <w:t>5#</w:t>
            </w:r>
            <w:r>
              <w:rPr>
                <w:rFonts w:hint="eastAsia" w:ascii="宋体" w:hAnsi="宋体"/>
              </w:rPr>
              <w:t>生活办公区</w:t>
            </w:r>
          </w:p>
          <w:p>
            <w:pPr>
              <w:jc w:val="center"/>
              <w:rPr>
                <w:bCs/>
              </w:rPr>
            </w:pPr>
            <w:r>
              <w:rPr>
                <w:kern w:val="0"/>
              </w:rPr>
              <w:t>(</w:t>
            </w:r>
            <w:r>
              <w:rPr>
                <w:rFonts w:hint="eastAsia"/>
                <w:kern w:val="0"/>
              </w:rPr>
              <w:t>15</w:t>
            </w:r>
            <w:r>
              <w:rPr>
                <w:kern w:val="0"/>
              </w:rPr>
              <w:t>0-</w:t>
            </w:r>
            <w:r>
              <w:rPr>
                <w:rFonts w:hint="eastAsia"/>
                <w:kern w:val="0"/>
              </w:rPr>
              <w:t>30</w:t>
            </w:r>
            <w:r>
              <w:rPr>
                <w:kern w:val="0"/>
              </w:rPr>
              <w:t>0cm)</w:t>
            </w:r>
          </w:p>
        </w:tc>
        <w:tc>
          <w:tcPr>
            <w:tcW w:w="722" w:type="pct"/>
            <w:vAlign w:val="center"/>
          </w:tcPr>
          <w:p>
            <w:pPr>
              <w:jc w:val="center"/>
            </w:pPr>
            <w:r>
              <w:rPr>
                <w:rFonts w:hint="eastAsia" w:ascii="宋体" w:hAnsi="宋体" w:cs="宋体"/>
                <w:szCs w:val="21"/>
              </w:rPr>
              <w:t>标准筛选值</w:t>
            </w:r>
          </w:p>
        </w:tc>
        <w:tc>
          <w:tcPr>
            <w:tcW w:w="720" w:type="pct"/>
            <w:vAlign w:val="center"/>
          </w:tcPr>
          <w:p>
            <w:pPr>
              <w:jc w:val="center"/>
            </w:pPr>
            <w:r>
              <w:rPr>
                <w:rFonts w:ascii="宋体" w:hAnsi="宋体" w:cs="宋体"/>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szCs w:val="21"/>
              </w:rPr>
            </w:pPr>
            <w:r>
              <w:rPr>
                <w:rFonts w:hint="eastAsia"/>
                <w:bCs/>
              </w:rPr>
              <w:t>pH</w:t>
            </w:r>
            <w:r>
              <w:rPr>
                <w:rFonts w:hint="eastAsia" w:ascii="宋体" w:hAnsi="宋体"/>
                <w:bCs/>
              </w:rPr>
              <w:t>值（无量纲）</w:t>
            </w:r>
          </w:p>
        </w:tc>
        <w:tc>
          <w:tcPr>
            <w:tcW w:w="722" w:type="pct"/>
            <w:vAlign w:val="center"/>
          </w:tcPr>
          <w:p>
            <w:pPr>
              <w:jc w:val="center"/>
            </w:pPr>
            <w:r>
              <w:rPr>
                <w:rFonts w:hint="eastAsia"/>
              </w:rPr>
              <w:t>7.96</w:t>
            </w:r>
          </w:p>
        </w:tc>
        <w:tc>
          <w:tcPr>
            <w:tcW w:w="722" w:type="pct"/>
            <w:vAlign w:val="center"/>
          </w:tcPr>
          <w:p>
            <w:pPr>
              <w:jc w:val="center"/>
              <w:rPr>
                <w:bCs/>
              </w:rPr>
            </w:pPr>
            <w:r>
              <w:rPr>
                <w:rFonts w:hint="eastAsia"/>
                <w:bCs/>
              </w:rPr>
              <w:t>8.05</w:t>
            </w:r>
          </w:p>
        </w:tc>
        <w:tc>
          <w:tcPr>
            <w:tcW w:w="770" w:type="pct"/>
            <w:vAlign w:val="center"/>
          </w:tcPr>
          <w:p>
            <w:pPr>
              <w:jc w:val="center"/>
              <w:rPr>
                <w:bCs/>
              </w:rPr>
            </w:pPr>
            <w:r>
              <w:rPr>
                <w:rFonts w:hint="eastAsia"/>
                <w:bCs/>
              </w:rPr>
              <w:t>7.90</w:t>
            </w:r>
          </w:p>
        </w:tc>
        <w:tc>
          <w:tcPr>
            <w:tcW w:w="722" w:type="pct"/>
          </w:tcPr>
          <w:p>
            <w:pPr>
              <w:jc w:val="center"/>
              <w:rPr>
                <w:bCs/>
              </w:rPr>
            </w:pPr>
            <w:r>
              <w:rPr>
                <w:rFonts w:hint="eastAsia"/>
                <w:bCs/>
              </w:rPr>
              <w:t>-</w:t>
            </w:r>
          </w:p>
        </w:tc>
        <w:tc>
          <w:tcPr>
            <w:tcW w:w="720" w:type="pct"/>
          </w:tcPr>
          <w:p>
            <w:pPr>
              <w:jc w:val="center"/>
              <w:rPr>
                <w:bCs/>
              </w:rPr>
            </w:pPr>
            <w:r>
              <w:rPr>
                <w:rFonts w:hint="eastAsia"/>
                <w:bC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rPr>
            </w:pPr>
            <w:r>
              <w:rPr>
                <w:rFonts w:ascii="宋体" w:hAnsi="宋体"/>
                <w:bCs/>
              </w:rPr>
              <w:t>总砷</w:t>
            </w:r>
            <w:r>
              <w:rPr>
                <w:bCs/>
              </w:rPr>
              <w:t>(mg/kg)</w:t>
            </w:r>
          </w:p>
        </w:tc>
        <w:tc>
          <w:tcPr>
            <w:tcW w:w="722" w:type="pct"/>
            <w:vAlign w:val="center"/>
          </w:tcPr>
          <w:p>
            <w:pPr>
              <w:jc w:val="center"/>
            </w:pPr>
            <w:r>
              <w:rPr>
                <w:rFonts w:hint="eastAsia"/>
              </w:rPr>
              <w:t>1.53</w:t>
            </w:r>
          </w:p>
        </w:tc>
        <w:tc>
          <w:tcPr>
            <w:tcW w:w="722" w:type="pct"/>
            <w:vAlign w:val="center"/>
          </w:tcPr>
          <w:p>
            <w:pPr>
              <w:spacing w:line="0" w:lineRule="atLeast"/>
              <w:jc w:val="center"/>
            </w:pPr>
            <w:r>
              <w:rPr>
                <w:rFonts w:hint="eastAsia"/>
              </w:rPr>
              <w:t>1.76</w:t>
            </w:r>
          </w:p>
        </w:tc>
        <w:tc>
          <w:tcPr>
            <w:tcW w:w="770" w:type="pct"/>
            <w:vAlign w:val="center"/>
          </w:tcPr>
          <w:p>
            <w:pPr>
              <w:spacing w:line="0" w:lineRule="atLeast"/>
              <w:jc w:val="center"/>
            </w:pPr>
            <w:r>
              <w:rPr>
                <w:rFonts w:hint="eastAsia"/>
              </w:rPr>
              <w:t>1.87</w:t>
            </w:r>
          </w:p>
        </w:tc>
        <w:tc>
          <w:tcPr>
            <w:tcW w:w="722" w:type="pct"/>
            <w:vAlign w:val="center"/>
          </w:tcPr>
          <w:p>
            <w:pPr>
              <w:spacing w:line="0" w:lineRule="atLeast"/>
              <w:jc w:val="center"/>
            </w:pPr>
            <w:r>
              <w:rPr>
                <w:rFonts w:eastAsiaTheme="minorEastAsia"/>
                <w:snapToGrid w:val="0"/>
                <w:kern w:val="0"/>
              </w:rPr>
              <w:t>60</w:t>
            </w:r>
          </w:p>
        </w:tc>
        <w:tc>
          <w:tcPr>
            <w:tcW w:w="720" w:type="pct"/>
          </w:tcPr>
          <w:p>
            <w:pPr>
              <w:spacing w:line="0" w:lineRule="atLeast"/>
              <w:jc w:val="cente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rPr>
            </w:pPr>
            <w:r>
              <w:rPr>
                <w:rFonts w:ascii="宋体" w:hAnsi="宋体"/>
                <w:bCs/>
              </w:rPr>
              <w:t>镉</w:t>
            </w:r>
            <w:r>
              <w:rPr>
                <w:bCs/>
              </w:rPr>
              <w:t>(mg/kg)</w:t>
            </w:r>
          </w:p>
        </w:tc>
        <w:tc>
          <w:tcPr>
            <w:tcW w:w="722" w:type="pct"/>
            <w:vAlign w:val="center"/>
          </w:tcPr>
          <w:p>
            <w:pPr>
              <w:spacing w:line="0" w:lineRule="atLeast"/>
              <w:jc w:val="center"/>
              <w:rPr>
                <w:color w:val="FF0000"/>
              </w:rPr>
            </w:pPr>
            <w:r>
              <w:rPr>
                <w:color w:val="FF0000"/>
              </w:rPr>
              <w:t>0.38</w:t>
            </w:r>
          </w:p>
        </w:tc>
        <w:tc>
          <w:tcPr>
            <w:tcW w:w="722" w:type="pct"/>
            <w:vAlign w:val="center"/>
          </w:tcPr>
          <w:p>
            <w:pPr>
              <w:spacing w:line="0" w:lineRule="atLeast"/>
              <w:jc w:val="center"/>
              <w:rPr>
                <w:color w:val="FF0000"/>
              </w:rPr>
            </w:pPr>
            <w:r>
              <w:rPr>
                <w:color w:val="FF0000"/>
              </w:rPr>
              <w:t>0.31</w:t>
            </w:r>
          </w:p>
        </w:tc>
        <w:tc>
          <w:tcPr>
            <w:tcW w:w="770" w:type="pct"/>
            <w:vAlign w:val="center"/>
          </w:tcPr>
          <w:p>
            <w:pPr>
              <w:spacing w:line="0" w:lineRule="atLeast"/>
              <w:jc w:val="center"/>
              <w:rPr>
                <w:color w:val="FF0000"/>
              </w:rPr>
            </w:pPr>
            <w:r>
              <w:rPr>
                <w:color w:val="FF0000"/>
              </w:rPr>
              <w:t>0.31</w:t>
            </w:r>
          </w:p>
        </w:tc>
        <w:tc>
          <w:tcPr>
            <w:tcW w:w="722" w:type="pct"/>
            <w:vAlign w:val="center"/>
          </w:tcPr>
          <w:p>
            <w:pPr>
              <w:spacing w:line="0" w:lineRule="atLeast"/>
              <w:jc w:val="center"/>
            </w:pPr>
            <w:r>
              <w:rPr>
                <w:rFonts w:eastAsiaTheme="minorEastAsia"/>
                <w:szCs w:val="21"/>
              </w:rPr>
              <w:t>65</w:t>
            </w:r>
          </w:p>
        </w:tc>
        <w:tc>
          <w:tcPr>
            <w:tcW w:w="720" w:type="pct"/>
          </w:tcPr>
          <w:p>
            <w:pPr>
              <w:spacing w:line="0" w:lineRule="atLeast"/>
              <w:jc w:val="cente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rPr>
            </w:pPr>
            <w:r>
              <w:rPr>
                <w:rFonts w:ascii="宋体" w:hAnsi="宋体"/>
                <w:bCs/>
              </w:rPr>
              <w:t>铜</w:t>
            </w:r>
            <w:r>
              <w:rPr>
                <w:bCs/>
              </w:rPr>
              <w:t>(mg/kg)</w:t>
            </w:r>
          </w:p>
        </w:tc>
        <w:tc>
          <w:tcPr>
            <w:tcW w:w="722" w:type="pct"/>
            <w:vAlign w:val="center"/>
          </w:tcPr>
          <w:p>
            <w:pPr>
              <w:spacing w:line="0" w:lineRule="atLeast"/>
              <w:jc w:val="center"/>
            </w:pPr>
            <w:r>
              <w:rPr>
                <w:rFonts w:hint="eastAsia"/>
              </w:rPr>
              <w:t>39</w:t>
            </w:r>
          </w:p>
        </w:tc>
        <w:tc>
          <w:tcPr>
            <w:tcW w:w="722" w:type="pct"/>
            <w:vAlign w:val="center"/>
          </w:tcPr>
          <w:p>
            <w:pPr>
              <w:spacing w:line="0" w:lineRule="atLeast"/>
              <w:jc w:val="center"/>
            </w:pPr>
            <w:r>
              <w:rPr>
                <w:rFonts w:hint="eastAsia"/>
              </w:rPr>
              <w:t>40</w:t>
            </w:r>
          </w:p>
        </w:tc>
        <w:tc>
          <w:tcPr>
            <w:tcW w:w="770" w:type="pct"/>
            <w:vAlign w:val="center"/>
          </w:tcPr>
          <w:p>
            <w:pPr>
              <w:spacing w:line="0" w:lineRule="atLeast"/>
              <w:jc w:val="center"/>
            </w:pPr>
            <w:r>
              <w:rPr>
                <w:rFonts w:hint="eastAsia"/>
              </w:rPr>
              <w:t>40</w:t>
            </w:r>
          </w:p>
        </w:tc>
        <w:tc>
          <w:tcPr>
            <w:tcW w:w="722" w:type="pct"/>
            <w:vAlign w:val="center"/>
          </w:tcPr>
          <w:p>
            <w:pPr>
              <w:spacing w:line="0" w:lineRule="atLeast"/>
              <w:jc w:val="center"/>
            </w:pPr>
            <w:r>
              <w:rPr>
                <w:szCs w:val="21"/>
              </w:rPr>
              <w:t>18000</w:t>
            </w:r>
          </w:p>
        </w:tc>
        <w:tc>
          <w:tcPr>
            <w:tcW w:w="720" w:type="pct"/>
          </w:tcPr>
          <w:p>
            <w:pPr>
              <w:spacing w:line="0" w:lineRule="atLeast"/>
              <w:jc w:val="cente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rPr>
            </w:pPr>
            <w:r>
              <w:rPr>
                <w:rFonts w:ascii="宋体" w:hAnsi="宋体"/>
                <w:bCs/>
              </w:rPr>
              <w:t>铅</w:t>
            </w:r>
            <w:r>
              <w:rPr>
                <w:bCs/>
              </w:rPr>
              <w:t>(mg/kg)</w:t>
            </w:r>
          </w:p>
        </w:tc>
        <w:tc>
          <w:tcPr>
            <w:tcW w:w="722" w:type="pct"/>
            <w:vAlign w:val="center"/>
          </w:tcPr>
          <w:p>
            <w:pPr>
              <w:spacing w:line="0" w:lineRule="atLeast"/>
              <w:jc w:val="center"/>
            </w:pPr>
            <w:r>
              <w:rPr>
                <w:rFonts w:hint="eastAsia" w:ascii="宋体" w:hAnsi="宋体"/>
              </w:rPr>
              <w:t>未检出</w:t>
            </w:r>
          </w:p>
        </w:tc>
        <w:tc>
          <w:tcPr>
            <w:tcW w:w="722" w:type="pct"/>
            <w:vAlign w:val="center"/>
          </w:tcPr>
          <w:p>
            <w:pPr>
              <w:spacing w:line="0" w:lineRule="atLeast"/>
              <w:jc w:val="center"/>
            </w:pPr>
            <w:r>
              <w:rPr>
                <w:rFonts w:hint="eastAsia" w:ascii="宋体" w:hAnsi="宋体"/>
              </w:rPr>
              <w:t>未检出</w:t>
            </w:r>
          </w:p>
        </w:tc>
        <w:tc>
          <w:tcPr>
            <w:tcW w:w="770" w:type="pct"/>
            <w:vAlign w:val="center"/>
          </w:tcPr>
          <w:p>
            <w:pPr>
              <w:spacing w:line="0" w:lineRule="atLeast"/>
              <w:jc w:val="center"/>
            </w:pPr>
            <w:r>
              <w:rPr>
                <w:rFonts w:hint="eastAsia" w:ascii="宋体" w:hAnsi="宋体"/>
              </w:rPr>
              <w:t>未检出</w:t>
            </w:r>
          </w:p>
        </w:tc>
        <w:tc>
          <w:tcPr>
            <w:tcW w:w="722" w:type="pct"/>
            <w:vAlign w:val="center"/>
          </w:tcPr>
          <w:p>
            <w:pPr>
              <w:spacing w:line="0" w:lineRule="atLeast"/>
              <w:jc w:val="center"/>
              <w:rPr>
                <w:rFonts w:ascii="宋体" w:hAnsi="宋体"/>
              </w:rPr>
            </w:pPr>
            <w:r>
              <w:rPr>
                <w:rFonts w:eastAsiaTheme="minorEastAsia"/>
                <w:szCs w:val="21"/>
              </w:rPr>
              <w:t>800</w:t>
            </w:r>
          </w:p>
        </w:tc>
        <w:tc>
          <w:tcPr>
            <w:tcW w:w="720" w:type="pct"/>
          </w:tcPr>
          <w:p>
            <w:pPr>
              <w:spacing w:line="0" w:lineRule="atLeast"/>
              <w:jc w:val="center"/>
              <w:rPr>
                <w:rFonts w:ascii="宋体" w:hAnsi="宋体"/>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rPr>
            </w:pPr>
            <w:r>
              <w:rPr>
                <w:rFonts w:ascii="宋体" w:hAnsi="宋体"/>
                <w:bCs/>
              </w:rPr>
              <w:t>总汞</w:t>
            </w:r>
            <w:r>
              <w:rPr>
                <w:bCs/>
              </w:rPr>
              <w:t>(mg/kg)</w:t>
            </w:r>
          </w:p>
        </w:tc>
        <w:tc>
          <w:tcPr>
            <w:tcW w:w="722" w:type="pct"/>
            <w:vAlign w:val="center"/>
          </w:tcPr>
          <w:p>
            <w:pPr>
              <w:spacing w:line="0" w:lineRule="atLeast"/>
              <w:jc w:val="center"/>
            </w:pPr>
            <w:r>
              <w:rPr>
                <w:rFonts w:hint="eastAsia"/>
              </w:rPr>
              <w:t>0.050</w:t>
            </w:r>
          </w:p>
        </w:tc>
        <w:tc>
          <w:tcPr>
            <w:tcW w:w="722" w:type="pct"/>
            <w:vAlign w:val="center"/>
          </w:tcPr>
          <w:p>
            <w:pPr>
              <w:spacing w:line="0" w:lineRule="atLeast"/>
              <w:jc w:val="center"/>
            </w:pPr>
            <w:r>
              <w:rPr>
                <w:rFonts w:hint="eastAsia"/>
              </w:rPr>
              <w:t>0.050</w:t>
            </w:r>
          </w:p>
        </w:tc>
        <w:tc>
          <w:tcPr>
            <w:tcW w:w="770" w:type="pct"/>
            <w:vAlign w:val="center"/>
          </w:tcPr>
          <w:p>
            <w:pPr>
              <w:spacing w:line="0" w:lineRule="atLeast"/>
              <w:jc w:val="center"/>
            </w:pPr>
            <w:r>
              <w:rPr>
                <w:rFonts w:hint="eastAsia"/>
              </w:rPr>
              <w:t>0.050</w:t>
            </w:r>
          </w:p>
        </w:tc>
        <w:tc>
          <w:tcPr>
            <w:tcW w:w="722" w:type="pct"/>
            <w:vAlign w:val="center"/>
          </w:tcPr>
          <w:p>
            <w:pPr>
              <w:spacing w:line="0" w:lineRule="atLeast"/>
              <w:jc w:val="center"/>
            </w:pPr>
            <w:r>
              <w:rPr>
                <w:rFonts w:eastAsiaTheme="minorEastAsia"/>
                <w:kern w:val="0"/>
              </w:rPr>
              <w:t>38</w:t>
            </w:r>
          </w:p>
        </w:tc>
        <w:tc>
          <w:tcPr>
            <w:tcW w:w="720" w:type="pct"/>
          </w:tcPr>
          <w:p>
            <w:pPr>
              <w:spacing w:line="0" w:lineRule="atLeast"/>
              <w:jc w:val="cente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rPr>
            </w:pPr>
            <w:r>
              <w:rPr>
                <w:rFonts w:ascii="宋体" w:hAnsi="宋体"/>
                <w:bCs/>
              </w:rPr>
              <w:t>镍</w:t>
            </w:r>
            <w:r>
              <w:rPr>
                <w:bCs/>
              </w:rPr>
              <w:t>(mg/kg)</w:t>
            </w:r>
          </w:p>
        </w:tc>
        <w:tc>
          <w:tcPr>
            <w:tcW w:w="722" w:type="pct"/>
            <w:vAlign w:val="center"/>
          </w:tcPr>
          <w:p>
            <w:pPr>
              <w:jc w:val="center"/>
            </w:pPr>
            <w:r>
              <w:rPr>
                <w:rFonts w:hint="eastAsia"/>
              </w:rPr>
              <w:t>94</w:t>
            </w:r>
          </w:p>
        </w:tc>
        <w:tc>
          <w:tcPr>
            <w:tcW w:w="722" w:type="pct"/>
            <w:vAlign w:val="center"/>
          </w:tcPr>
          <w:p>
            <w:pPr>
              <w:jc w:val="center"/>
              <w:rPr>
                <w:bCs/>
              </w:rPr>
            </w:pPr>
            <w:r>
              <w:rPr>
                <w:rFonts w:hint="eastAsia"/>
                <w:bCs/>
              </w:rPr>
              <w:t>96</w:t>
            </w:r>
          </w:p>
        </w:tc>
        <w:tc>
          <w:tcPr>
            <w:tcW w:w="770" w:type="pct"/>
            <w:vAlign w:val="center"/>
          </w:tcPr>
          <w:p>
            <w:pPr>
              <w:jc w:val="center"/>
              <w:rPr>
                <w:bCs/>
              </w:rPr>
            </w:pPr>
            <w:r>
              <w:rPr>
                <w:rFonts w:hint="eastAsia"/>
                <w:bCs/>
              </w:rPr>
              <w:t>96</w:t>
            </w:r>
          </w:p>
        </w:tc>
        <w:tc>
          <w:tcPr>
            <w:tcW w:w="722" w:type="pct"/>
            <w:vAlign w:val="center"/>
          </w:tcPr>
          <w:p>
            <w:pPr>
              <w:jc w:val="center"/>
              <w:rPr>
                <w:bCs/>
              </w:rPr>
            </w:pPr>
            <w:r>
              <w:rPr>
                <w:rFonts w:eastAsiaTheme="minorEastAsia"/>
                <w:kern w:val="0"/>
              </w:rPr>
              <w:t>900</w:t>
            </w:r>
          </w:p>
        </w:tc>
        <w:tc>
          <w:tcPr>
            <w:tcW w:w="720" w:type="pct"/>
          </w:tcPr>
          <w:p>
            <w:pPr>
              <w:jc w:val="center"/>
              <w:rPr>
                <w:bCs/>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344" w:type="pct"/>
            <w:vAlign w:val="center"/>
          </w:tcPr>
          <w:p>
            <w:pPr>
              <w:jc w:val="center"/>
              <w:rPr>
                <w:bCs/>
              </w:rPr>
            </w:pPr>
            <w:r>
              <w:rPr>
                <w:rFonts w:hint="eastAsia" w:ascii="宋体" w:hAnsi="宋体"/>
                <w:bCs/>
              </w:rPr>
              <w:t>六价</w:t>
            </w:r>
            <w:r>
              <w:rPr>
                <w:rFonts w:ascii="宋体" w:hAnsi="宋体"/>
                <w:bCs/>
              </w:rPr>
              <w:t>铬</w:t>
            </w:r>
            <w:r>
              <w:rPr>
                <w:bCs/>
              </w:rPr>
              <w:t>(mg/kg)</w:t>
            </w:r>
          </w:p>
        </w:tc>
        <w:tc>
          <w:tcPr>
            <w:tcW w:w="722" w:type="pct"/>
            <w:vAlign w:val="center"/>
          </w:tcPr>
          <w:p>
            <w:pPr>
              <w:jc w:val="center"/>
            </w:pPr>
            <w:r>
              <w:rPr>
                <w:rFonts w:hint="eastAsia"/>
              </w:rPr>
              <w:t>1.21</w:t>
            </w:r>
          </w:p>
        </w:tc>
        <w:tc>
          <w:tcPr>
            <w:tcW w:w="722" w:type="pct"/>
            <w:vAlign w:val="center"/>
          </w:tcPr>
          <w:p>
            <w:pPr>
              <w:jc w:val="center"/>
            </w:pPr>
            <w:r>
              <w:rPr>
                <w:rFonts w:hint="eastAsia"/>
              </w:rPr>
              <w:t>1.21</w:t>
            </w:r>
          </w:p>
        </w:tc>
        <w:tc>
          <w:tcPr>
            <w:tcW w:w="770" w:type="pct"/>
            <w:vAlign w:val="center"/>
          </w:tcPr>
          <w:p>
            <w:pPr>
              <w:jc w:val="center"/>
            </w:pPr>
            <w:r>
              <w:rPr>
                <w:rFonts w:hint="eastAsia"/>
              </w:rPr>
              <w:t>1.21</w:t>
            </w:r>
          </w:p>
        </w:tc>
        <w:tc>
          <w:tcPr>
            <w:tcW w:w="722" w:type="pct"/>
          </w:tcPr>
          <w:p>
            <w:pPr>
              <w:jc w:val="center"/>
            </w:pPr>
            <w:r>
              <w:rPr>
                <w:rFonts w:hint="eastAsia"/>
              </w:rPr>
              <w:t>5</w:t>
            </w:r>
            <w:r>
              <w:t>.7</w:t>
            </w:r>
          </w:p>
        </w:tc>
        <w:tc>
          <w:tcPr>
            <w:tcW w:w="720" w:type="pct"/>
          </w:tcPr>
          <w:p>
            <w:pPr>
              <w:jc w:val="center"/>
            </w:pPr>
            <w:r>
              <w:rPr>
                <w:rFonts w:hint="eastAsia" w:asciiTheme="minorEastAsia" w:hAnsiTheme="minorEastAsia" w:eastAsiaTheme="minorEastAsia"/>
                <w:szCs w:val="21"/>
              </w:rPr>
              <w:t>达标</w:t>
            </w:r>
          </w:p>
        </w:tc>
      </w:tr>
    </w:tbl>
    <w:p>
      <w:pPr>
        <w:jc w:val="center"/>
        <w:rPr>
          <w:b/>
          <w:szCs w:val="21"/>
        </w:rPr>
      </w:pPr>
      <w:r>
        <w:rPr>
          <w:rFonts w:hint="eastAsia"/>
          <w:b/>
        </w:rPr>
        <w:t xml:space="preserve"> </w:t>
      </w:r>
    </w:p>
    <w:p>
      <w:pPr>
        <w:jc w:val="center"/>
        <w:rPr>
          <w:b/>
          <w:sz w:val="24"/>
        </w:rPr>
      </w:pPr>
      <w:r>
        <w:rPr>
          <w:b/>
          <w:sz w:val="24"/>
        </w:rPr>
        <w:t>表4.2-10土壤环境质量现状监测结果</w:t>
      </w:r>
      <w:r>
        <w:rPr>
          <w:rFonts w:hint="eastAsia"/>
          <w:b/>
          <w:sz w:val="24"/>
        </w:rPr>
        <w:t xml:space="preserve"> （</w:t>
      </w:r>
      <w:r>
        <w:rPr>
          <w:b/>
          <w:sz w:val="24"/>
        </w:rPr>
        <w:t>3</w:t>
      </w:r>
      <w:r>
        <w:rPr>
          <w:rFonts w:hint="eastAsia"/>
          <w:b/>
          <w:sz w:val="24"/>
        </w:rPr>
        <w:t xml:space="preserve">） </w:t>
      </w:r>
      <w:r>
        <w:rPr>
          <w:b/>
          <w:sz w:val="24"/>
        </w:rPr>
        <w:t>(</w:t>
      </w:r>
      <w:r>
        <w:rPr>
          <w:rFonts w:hint="eastAsia"/>
          <w:b/>
          <w:sz w:val="24"/>
        </w:rPr>
        <w:t>农用地)</w:t>
      </w:r>
      <w:r>
        <w:rPr>
          <w:b/>
          <w:sz w:val="24"/>
        </w:rPr>
        <w:t xml:space="preserve"> </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28"/>
        <w:gridCol w:w="1529"/>
        <w:gridCol w:w="1655"/>
        <w:gridCol w:w="1655"/>
        <w:gridCol w:w="1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ascii="宋体" w:hAnsi="宋体"/>
                <w:bCs/>
              </w:rPr>
              <w:t>检测项目</w:t>
            </w:r>
          </w:p>
          <w:p>
            <w:pPr>
              <w:jc w:val="center"/>
              <w:rPr>
                <w:bCs/>
              </w:rPr>
            </w:pPr>
            <w:r>
              <w:rPr>
                <w:rFonts w:ascii="宋体" w:hAnsi="宋体"/>
                <w:bCs/>
              </w:rPr>
              <w:t>采样位置及深度</w:t>
            </w:r>
          </w:p>
        </w:tc>
        <w:tc>
          <w:tcPr>
            <w:tcW w:w="897" w:type="pct"/>
            <w:vAlign w:val="center"/>
          </w:tcPr>
          <w:p>
            <w:pPr>
              <w:jc w:val="center"/>
              <w:rPr>
                <w:bCs/>
              </w:rPr>
            </w:pPr>
            <w:r>
              <w:rPr>
                <w:rFonts w:hint="eastAsia"/>
              </w:rPr>
              <w:t>7#</w:t>
            </w:r>
            <w:r>
              <w:rPr>
                <w:rFonts w:hint="eastAsia" w:ascii="宋体" w:hAnsi="宋体"/>
              </w:rPr>
              <w:t>场区外东北侧</w:t>
            </w:r>
            <w:r>
              <w:t>(0-20cm)</w:t>
            </w:r>
          </w:p>
        </w:tc>
        <w:tc>
          <w:tcPr>
            <w:tcW w:w="971" w:type="pct"/>
            <w:vAlign w:val="center"/>
          </w:tcPr>
          <w:p>
            <w:pPr>
              <w:jc w:val="center"/>
              <w:rPr>
                <w:bCs/>
              </w:rPr>
            </w:pPr>
            <w:r>
              <w:rPr>
                <w:rFonts w:hint="eastAsia"/>
              </w:rPr>
              <w:t>8#</w:t>
            </w:r>
            <w:r>
              <w:rPr>
                <w:rFonts w:hint="eastAsia" w:ascii="宋体" w:hAnsi="宋体"/>
              </w:rPr>
              <w:t>场区外南侧</w:t>
            </w:r>
            <w:r>
              <w:t>(0-20cm)</w:t>
            </w:r>
          </w:p>
        </w:tc>
        <w:tc>
          <w:tcPr>
            <w:tcW w:w="971" w:type="pct"/>
            <w:vAlign w:val="center"/>
          </w:tcPr>
          <w:p>
            <w:pPr>
              <w:jc w:val="center"/>
            </w:pPr>
            <w:r>
              <w:rPr>
                <w:rFonts w:hint="eastAsia" w:ascii="宋体" w:hAnsi="宋体" w:cs="宋体"/>
                <w:szCs w:val="21"/>
              </w:rPr>
              <w:t>标准筛选值</w:t>
            </w:r>
          </w:p>
        </w:tc>
        <w:tc>
          <w:tcPr>
            <w:tcW w:w="971" w:type="pct"/>
            <w:vAlign w:val="center"/>
          </w:tcPr>
          <w:p>
            <w:pPr>
              <w:jc w:val="center"/>
            </w:pPr>
            <w:r>
              <w:rPr>
                <w:rFonts w:ascii="宋体" w:hAnsi="宋体" w:cs="宋体"/>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szCs w:val="21"/>
              </w:rPr>
            </w:pPr>
            <w:r>
              <w:rPr>
                <w:rFonts w:hint="eastAsia"/>
                <w:bCs/>
              </w:rPr>
              <w:t>pH</w:t>
            </w:r>
            <w:r>
              <w:rPr>
                <w:rFonts w:hint="eastAsia" w:ascii="宋体" w:hAnsi="宋体"/>
                <w:bCs/>
              </w:rPr>
              <w:t>值（无量纲）</w:t>
            </w:r>
          </w:p>
        </w:tc>
        <w:tc>
          <w:tcPr>
            <w:tcW w:w="897" w:type="pct"/>
            <w:vAlign w:val="center"/>
          </w:tcPr>
          <w:p>
            <w:pPr>
              <w:jc w:val="center"/>
              <w:rPr>
                <w:bCs/>
              </w:rPr>
            </w:pPr>
            <w:r>
              <w:rPr>
                <w:rFonts w:hint="eastAsia"/>
                <w:bCs/>
              </w:rPr>
              <w:t>8.19</w:t>
            </w:r>
          </w:p>
        </w:tc>
        <w:tc>
          <w:tcPr>
            <w:tcW w:w="971" w:type="pct"/>
            <w:vAlign w:val="center"/>
          </w:tcPr>
          <w:p>
            <w:pPr>
              <w:jc w:val="center"/>
              <w:rPr>
                <w:bCs/>
              </w:rPr>
            </w:pPr>
            <w:r>
              <w:rPr>
                <w:rFonts w:hint="eastAsia"/>
                <w:bCs/>
              </w:rPr>
              <w:t>7.86</w:t>
            </w:r>
          </w:p>
        </w:tc>
        <w:tc>
          <w:tcPr>
            <w:tcW w:w="971" w:type="pct"/>
            <w:vAlign w:val="center"/>
          </w:tcPr>
          <w:p>
            <w:pPr>
              <w:jc w:val="center"/>
              <w:rPr>
                <w:bCs/>
              </w:rPr>
            </w:pPr>
            <w:r>
              <w:rPr>
                <w:rFonts w:hint="eastAsia"/>
                <w:bCs/>
              </w:rPr>
              <w:t>-</w:t>
            </w:r>
          </w:p>
        </w:tc>
        <w:tc>
          <w:tcPr>
            <w:tcW w:w="971" w:type="pct"/>
          </w:tcPr>
          <w:p>
            <w:pPr>
              <w:jc w:val="center"/>
              <w:rPr>
                <w:bCs/>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ascii="宋体" w:hAnsi="宋体"/>
                <w:bCs/>
              </w:rPr>
              <w:t>总砷</w:t>
            </w:r>
            <w:r>
              <w:rPr>
                <w:bCs/>
              </w:rPr>
              <w:t>(mg/kg)</w:t>
            </w:r>
          </w:p>
        </w:tc>
        <w:tc>
          <w:tcPr>
            <w:tcW w:w="897" w:type="pct"/>
            <w:vAlign w:val="center"/>
          </w:tcPr>
          <w:p>
            <w:pPr>
              <w:spacing w:line="0" w:lineRule="atLeast"/>
              <w:jc w:val="center"/>
            </w:pPr>
            <w:r>
              <w:rPr>
                <w:rFonts w:hint="eastAsia"/>
              </w:rPr>
              <w:t>2.14</w:t>
            </w:r>
          </w:p>
        </w:tc>
        <w:tc>
          <w:tcPr>
            <w:tcW w:w="971" w:type="pct"/>
            <w:vAlign w:val="center"/>
          </w:tcPr>
          <w:p>
            <w:pPr>
              <w:spacing w:line="0" w:lineRule="atLeast"/>
              <w:jc w:val="center"/>
            </w:pPr>
            <w:r>
              <w:rPr>
                <w:rFonts w:hint="eastAsia"/>
              </w:rPr>
              <w:t>12.7</w:t>
            </w:r>
          </w:p>
        </w:tc>
        <w:tc>
          <w:tcPr>
            <w:tcW w:w="971" w:type="pct"/>
            <w:vAlign w:val="center"/>
          </w:tcPr>
          <w:p>
            <w:pPr>
              <w:spacing w:line="0" w:lineRule="atLeast"/>
              <w:jc w:val="center"/>
            </w:pPr>
            <w:r>
              <w:t>25</w:t>
            </w:r>
          </w:p>
        </w:tc>
        <w:tc>
          <w:tcPr>
            <w:tcW w:w="971" w:type="pct"/>
          </w:tcPr>
          <w:p>
            <w:pPr>
              <w:spacing w:line="0" w:lineRule="atLeast"/>
              <w:jc w:val="cente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ascii="宋体" w:hAnsi="宋体"/>
                <w:bCs/>
              </w:rPr>
              <w:t>镉</w:t>
            </w:r>
            <w:r>
              <w:rPr>
                <w:bCs/>
              </w:rPr>
              <w:t>(mg/kg)</w:t>
            </w:r>
          </w:p>
        </w:tc>
        <w:tc>
          <w:tcPr>
            <w:tcW w:w="897" w:type="pct"/>
            <w:vAlign w:val="center"/>
          </w:tcPr>
          <w:p>
            <w:pPr>
              <w:spacing w:line="0" w:lineRule="atLeast"/>
              <w:jc w:val="center"/>
            </w:pPr>
            <w:r>
              <w:t>0.31</w:t>
            </w:r>
          </w:p>
        </w:tc>
        <w:tc>
          <w:tcPr>
            <w:tcW w:w="971" w:type="pct"/>
            <w:vAlign w:val="center"/>
          </w:tcPr>
          <w:p>
            <w:pPr>
              <w:spacing w:line="0" w:lineRule="atLeast"/>
              <w:jc w:val="center"/>
            </w:pPr>
            <w:r>
              <w:t>0</w:t>
            </w:r>
            <w:r>
              <w:rPr>
                <w:rFonts w:hint="eastAsia"/>
              </w:rPr>
              <w:t>.</w:t>
            </w:r>
            <w:r>
              <w:t>46</w:t>
            </w:r>
          </w:p>
        </w:tc>
        <w:tc>
          <w:tcPr>
            <w:tcW w:w="971" w:type="pct"/>
            <w:vAlign w:val="center"/>
          </w:tcPr>
          <w:p>
            <w:pPr>
              <w:spacing w:line="0" w:lineRule="atLeast"/>
              <w:jc w:val="center"/>
            </w:pPr>
            <w:r>
              <w:t>0.6</w:t>
            </w:r>
          </w:p>
        </w:tc>
        <w:tc>
          <w:tcPr>
            <w:tcW w:w="971" w:type="pct"/>
          </w:tcPr>
          <w:p>
            <w:pPr>
              <w:spacing w:line="0" w:lineRule="atLeast"/>
              <w:jc w:val="cente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ascii="宋体" w:hAnsi="宋体"/>
                <w:bCs/>
              </w:rPr>
              <w:t>铜</w:t>
            </w:r>
            <w:r>
              <w:rPr>
                <w:bCs/>
              </w:rPr>
              <w:t>(mg/kg)</w:t>
            </w:r>
          </w:p>
        </w:tc>
        <w:tc>
          <w:tcPr>
            <w:tcW w:w="897" w:type="pct"/>
            <w:vAlign w:val="center"/>
          </w:tcPr>
          <w:p>
            <w:pPr>
              <w:spacing w:line="0" w:lineRule="atLeast"/>
              <w:jc w:val="center"/>
            </w:pPr>
            <w:r>
              <w:rPr>
                <w:rFonts w:hint="eastAsia"/>
              </w:rPr>
              <w:t>36</w:t>
            </w:r>
          </w:p>
        </w:tc>
        <w:tc>
          <w:tcPr>
            <w:tcW w:w="971" w:type="pct"/>
            <w:vAlign w:val="center"/>
          </w:tcPr>
          <w:p>
            <w:pPr>
              <w:spacing w:line="0" w:lineRule="atLeast"/>
              <w:jc w:val="center"/>
            </w:pPr>
            <w:r>
              <w:rPr>
                <w:rFonts w:hint="eastAsia"/>
              </w:rPr>
              <w:t>32</w:t>
            </w:r>
          </w:p>
        </w:tc>
        <w:tc>
          <w:tcPr>
            <w:tcW w:w="971" w:type="pct"/>
            <w:vAlign w:val="center"/>
          </w:tcPr>
          <w:p>
            <w:pPr>
              <w:spacing w:line="0" w:lineRule="atLeast"/>
              <w:jc w:val="center"/>
            </w:pPr>
            <w:r>
              <w:t>100</w:t>
            </w:r>
          </w:p>
        </w:tc>
        <w:tc>
          <w:tcPr>
            <w:tcW w:w="971" w:type="pct"/>
          </w:tcPr>
          <w:p>
            <w:pPr>
              <w:spacing w:line="0" w:lineRule="atLeast"/>
              <w:jc w:val="cente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ascii="宋体" w:hAnsi="宋体"/>
                <w:bCs/>
              </w:rPr>
              <w:t>铅</w:t>
            </w:r>
            <w:r>
              <w:rPr>
                <w:bCs/>
              </w:rPr>
              <w:t>(mg/kg)</w:t>
            </w:r>
          </w:p>
        </w:tc>
        <w:tc>
          <w:tcPr>
            <w:tcW w:w="897" w:type="pct"/>
            <w:vAlign w:val="center"/>
          </w:tcPr>
          <w:p>
            <w:pPr>
              <w:spacing w:line="0" w:lineRule="atLeast"/>
              <w:jc w:val="center"/>
            </w:pPr>
            <w:r>
              <w:rPr>
                <w:rFonts w:hint="eastAsia" w:ascii="宋体" w:hAnsi="宋体"/>
              </w:rPr>
              <w:t>未检出</w:t>
            </w:r>
          </w:p>
        </w:tc>
        <w:tc>
          <w:tcPr>
            <w:tcW w:w="971" w:type="pct"/>
            <w:vAlign w:val="center"/>
          </w:tcPr>
          <w:p>
            <w:pPr>
              <w:spacing w:line="0" w:lineRule="atLeast"/>
              <w:jc w:val="center"/>
            </w:pPr>
            <w:r>
              <w:rPr>
                <w:rFonts w:hint="eastAsia" w:ascii="宋体" w:hAnsi="宋体"/>
              </w:rPr>
              <w:t>未检出</w:t>
            </w:r>
          </w:p>
        </w:tc>
        <w:tc>
          <w:tcPr>
            <w:tcW w:w="971" w:type="pct"/>
            <w:vAlign w:val="center"/>
          </w:tcPr>
          <w:p>
            <w:pPr>
              <w:spacing w:line="0" w:lineRule="atLeast"/>
              <w:jc w:val="center"/>
              <w:rPr>
                <w:rFonts w:ascii="宋体" w:hAnsi="宋体"/>
              </w:rPr>
            </w:pPr>
            <w:r>
              <w:t>170</w:t>
            </w:r>
          </w:p>
        </w:tc>
        <w:tc>
          <w:tcPr>
            <w:tcW w:w="971" w:type="pct"/>
          </w:tcPr>
          <w:p>
            <w:pPr>
              <w:spacing w:line="0" w:lineRule="atLeast"/>
              <w:jc w:val="center"/>
              <w:rPr>
                <w:rFonts w:ascii="宋体" w:hAnsi="宋体"/>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ascii="宋体" w:hAnsi="宋体"/>
                <w:bCs/>
              </w:rPr>
              <w:t>总汞</w:t>
            </w:r>
            <w:r>
              <w:rPr>
                <w:bCs/>
              </w:rPr>
              <w:t>(mg/kg)</w:t>
            </w:r>
          </w:p>
        </w:tc>
        <w:tc>
          <w:tcPr>
            <w:tcW w:w="897" w:type="pct"/>
            <w:vAlign w:val="center"/>
          </w:tcPr>
          <w:p>
            <w:pPr>
              <w:spacing w:line="0" w:lineRule="atLeast"/>
              <w:jc w:val="center"/>
            </w:pPr>
            <w:r>
              <w:rPr>
                <w:rFonts w:hint="eastAsia"/>
              </w:rPr>
              <w:t>0.044</w:t>
            </w:r>
          </w:p>
        </w:tc>
        <w:tc>
          <w:tcPr>
            <w:tcW w:w="971" w:type="pct"/>
            <w:vAlign w:val="center"/>
          </w:tcPr>
          <w:p>
            <w:pPr>
              <w:spacing w:line="0" w:lineRule="atLeast"/>
              <w:jc w:val="center"/>
            </w:pPr>
            <w:r>
              <w:rPr>
                <w:rFonts w:hint="eastAsia"/>
              </w:rPr>
              <w:t>0.045</w:t>
            </w:r>
          </w:p>
        </w:tc>
        <w:tc>
          <w:tcPr>
            <w:tcW w:w="971" w:type="pct"/>
            <w:vAlign w:val="center"/>
          </w:tcPr>
          <w:p>
            <w:pPr>
              <w:spacing w:line="0" w:lineRule="atLeast"/>
              <w:jc w:val="center"/>
            </w:pPr>
            <w:r>
              <w:t>3.4</w:t>
            </w:r>
          </w:p>
        </w:tc>
        <w:tc>
          <w:tcPr>
            <w:tcW w:w="971" w:type="pct"/>
          </w:tcPr>
          <w:p>
            <w:pPr>
              <w:spacing w:line="0" w:lineRule="atLeast"/>
              <w:jc w:val="cente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ascii="宋体" w:hAnsi="宋体"/>
                <w:bCs/>
              </w:rPr>
              <w:t>镍</w:t>
            </w:r>
            <w:r>
              <w:rPr>
                <w:bCs/>
              </w:rPr>
              <w:t>(mg/kg)</w:t>
            </w:r>
          </w:p>
        </w:tc>
        <w:tc>
          <w:tcPr>
            <w:tcW w:w="897" w:type="pct"/>
            <w:vAlign w:val="center"/>
          </w:tcPr>
          <w:p>
            <w:pPr>
              <w:jc w:val="center"/>
              <w:rPr>
                <w:bCs/>
              </w:rPr>
            </w:pPr>
            <w:r>
              <w:rPr>
                <w:rFonts w:hint="eastAsia"/>
                <w:bCs/>
              </w:rPr>
              <w:t>113</w:t>
            </w:r>
          </w:p>
        </w:tc>
        <w:tc>
          <w:tcPr>
            <w:tcW w:w="971" w:type="pct"/>
            <w:vAlign w:val="center"/>
          </w:tcPr>
          <w:p>
            <w:pPr>
              <w:jc w:val="center"/>
              <w:rPr>
                <w:bCs/>
              </w:rPr>
            </w:pPr>
            <w:r>
              <w:rPr>
                <w:rFonts w:hint="eastAsia"/>
                <w:bCs/>
              </w:rPr>
              <w:t>104</w:t>
            </w:r>
          </w:p>
        </w:tc>
        <w:tc>
          <w:tcPr>
            <w:tcW w:w="971" w:type="pct"/>
            <w:vAlign w:val="center"/>
          </w:tcPr>
          <w:p>
            <w:pPr>
              <w:jc w:val="center"/>
              <w:rPr>
                <w:bCs/>
              </w:rPr>
            </w:pPr>
            <w:r>
              <w:t>190</w:t>
            </w:r>
          </w:p>
        </w:tc>
        <w:tc>
          <w:tcPr>
            <w:tcW w:w="971" w:type="pct"/>
          </w:tcPr>
          <w:p>
            <w:pPr>
              <w:jc w:val="center"/>
              <w:rPr>
                <w:bCs/>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ascii="宋体" w:hAnsi="宋体"/>
                <w:bCs/>
              </w:rPr>
              <w:t>铬</w:t>
            </w:r>
            <w:r>
              <w:rPr>
                <w:bCs/>
              </w:rPr>
              <w:t>(mg/kg)</w:t>
            </w:r>
          </w:p>
        </w:tc>
        <w:tc>
          <w:tcPr>
            <w:tcW w:w="897" w:type="pct"/>
            <w:vAlign w:val="center"/>
          </w:tcPr>
          <w:p>
            <w:pPr>
              <w:jc w:val="center"/>
            </w:pPr>
            <w:r>
              <w:rPr>
                <w:rFonts w:hint="eastAsia" w:ascii="宋体" w:hAnsi="宋体"/>
              </w:rPr>
              <w:t>未检出</w:t>
            </w:r>
          </w:p>
        </w:tc>
        <w:tc>
          <w:tcPr>
            <w:tcW w:w="971" w:type="pct"/>
            <w:vAlign w:val="center"/>
          </w:tcPr>
          <w:p>
            <w:pPr>
              <w:jc w:val="center"/>
            </w:pPr>
            <w:r>
              <w:rPr>
                <w:rFonts w:hint="eastAsia" w:ascii="宋体" w:hAnsi="宋体"/>
              </w:rPr>
              <w:t>未检出</w:t>
            </w:r>
          </w:p>
        </w:tc>
        <w:tc>
          <w:tcPr>
            <w:tcW w:w="971" w:type="pct"/>
            <w:vAlign w:val="center"/>
          </w:tcPr>
          <w:p>
            <w:pPr>
              <w:jc w:val="center"/>
              <w:rPr>
                <w:rFonts w:ascii="宋体" w:hAnsi="宋体"/>
              </w:rPr>
            </w:pPr>
            <w:r>
              <w:t>250</w:t>
            </w:r>
          </w:p>
        </w:tc>
        <w:tc>
          <w:tcPr>
            <w:tcW w:w="971" w:type="pct"/>
          </w:tcPr>
          <w:p>
            <w:pPr>
              <w:jc w:val="center"/>
              <w:rPr>
                <w:rFonts w:ascii="宋体" w:hAnsi="宋体"/>
              </w:rPr>
            </w:pPr>
            <w:r>
              <w:rPr>
                <w:rFonts w:hint="eastAsia" w:asciiTheme="minorEastAsia" w:hAnsiTheme="minorEastAsia" w:eastAsia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90" w:type="pct"/>
            <w:vAlign w:val="center"/>
          </w:tcPr>
          <w:p>
            <w:pPr>
              <w:jc w:val="center"/>
              <w:rPr>
                <w:bCs/>
              </w:rPr>
            </w:pPr>
            <w:r>
              <w:rPr>
                <w:rFonts w:hint="eastAsia" w:ascii="宋体" w:hAnsi="宋体"/>
                <w:bCs/>
              </w:rPr>
              <w:t>锌</w:t>
            </w:r>
            <w:r>
              <w:rPr>
                <w:bCs/>
              </w:rPr>
              <w:t>(mg/kg)</w:t>
            </w:r>
          </w:p>
        </w:tc>
        <w:tc>
          <w:tcPr>
            <w:tcW w:w="897" w:type="pct"/>
            <w:vAlign w:val="center"/>
          </w:tcPr>
          <w:p>
            <w:pPr>
              <w:jc w:val="center"/>
            </w:pPr>
            <w:r>
              <w:rPr>
                <w:rFonts w:hint="eastAsia"/>
              </w:rPr>
              <w:t>108</w:t>
            </w:r>
          </w:p>
        </w:tc>
        <w:tc>
          <w:tcPr>
            <w:tcW w:w="971" w:type="pct"/>
            <w:vAlign w:val="center"/>
          </w:tcPr>
          <w:p>
            <w:pPr>
              <w:jc w:val="center"/>
            </w:pPr>
            <w:r>
              <w:t>123</w:t>
            </w:r>
          </w:p>
        </w:tc>
        <w:tc>
          <w:tcPr>
            <w:tcW w:w="971" w:type="pct"/>
            <w:vAlign w:val="center"/>
          </w:tcPr>
          <w:p>
            <w:pPr>
              <w:jc w:val="center"/>
            </w:pPr>
            <w:r>
              <w:t>300</w:t>
            </w:r>
          </w:p>
        </w:tc>
        <w:tc>
          <w:tcPr>
            <w:tcW w:w="971" w:type="pct"/>
          </w:tcPr>
          <w:p>
            <w:pPr>
              <w:jc w:val="center"/>
            </w:pPr>
            <w:r>
              <w:rPr>
                <w:rFonts w:hint="eastAsia" w:asciiTheme="minorEastAsia" w:hAnsiTheme="minorEastAsia" w:eastAsiaTheme="minorEastAsia"/>
                <w:szCs w:val="21"/>
              </w:rPr>
              <w:t>达标</w:t>
            </w:r>
          </w:p>
        </w:tc>
      </w:tr>
    </w:tbl>
    <w:p>
      <w:pPr>
        <w:spacing w:line="360" w:lineRule="auto"/>
        <w:ind w:firstLine="422" w:firstLineChars="200"/>
        <w:rPr>
          <w:sz w:val="24"/>
        </w:rPr>
      </w:pPr>
      <w:r>
        <w:rPr>
          <w:rFonts w:hint="eastAsia"/>
          <w:b/>
        </w:rPr>
        <w:t xml:space="preserve"> </w:t>
      </w:r>
      <w:r>
        <w:rPr>
          <w:sz w:val="24"/>
        </w:rPr>
        <w:t>根据监测结果表明，</w:t>
      </w:r>
      <w:bookmarkStart w:id="343" w:name="_Hlk122691561"/>
      <w:r>
        <w:rPr>
          <w:rFonts w:hint="eastAsia"/>
          <w:sz w:val="24"/>
        </w:rPr>
        <w:t>占地范围内</w:t>
      </w:r>
      <w:r>
        <w:rPr>
          <w:sz w:val="24"/>
        </w:rPr>
        <w:t>各监测点各项指标均能达到《土壤环境质量建设用地土壤污染风险管控标准（试行）》（GB/36600-2018）》中风险筛选值标准，</w:t>
      </w:r>
      <w:r>
        <w:rPr>
          <w:rFonts w:hint="eastAsia"/>
          <w:sz w:val="24"/>
        </w:rPr>
        <w:t>占地范围外</w:t>
      </w:r>
      <w:r>
        <w:rPr>
          <w:sz w:val="24"/>
        </w:rPr>
        <w:t>各项指标均能达到《土壤环境质量 农用地土壤污染风险管控标准（试行）》（GB/15618-2018）中的风险筛选值标准</w:t>
      </w:r>
      <w:r>
        <w:rPr>
          <w:rFonts w:hint="eastAsia"/>
          <w:sz w:val="24"/>
        </w:rPr>
        <w:t>，</w:t>
      </w:r>
      <w:r>
        <w:rPr>
          <w:sz w:val="24"/>
        </w:rPr>
        <w:t>表明</w:t>
      </w:r>
      <w:r>
        <w:rPr>
          <w:rFonts w:hint="eastAsia"/>
          <w:sz w:val="24"/>
        </w:rPr>
        <w:t>调节池周边、办公区</w:t>
      </w:r>
      <w:r>
        <w:rPr>
          <w:sz w:val="24"/>
        </w:rPr>
        <w:t>等各占地范围内及评价范围内土壤环境质量良好。</w:t>
      </w:r>
    </w:p>
    <w:bookmarkEnd w:id="343"/>
    <w:p>
      <w:pPr>
        <w:pStyle w:val="361"/>
        <w:rPr>
          <w:rFonts w:ascii="Times New Roman" w:hAnsi="Times New Roman"/>
        </w:rPr>
      </w:pPr>
      <w:r>
        <w:rPr>
          <w:rFonts w:ascii="Times New Roman" w:hAnsi="Times New Roman"/>
        </w:rPr>
        <w:t>2、土壤</w:t>
      </w:r>
      <w:r>
        <w:rPr>
          <w:rFonts w:hint="eastAsia" w:ascii="Times New Roman" w:hAnsi="Times New Roman"/>
        </w:rPr>
        <w:t>理化性质调查</w:t>
      </w:r>
    </w:p>
    <w:p>
      <w:pPr>
        <w:tabs>
          <w:tab w:val="left" w:pos="3923"/>
        </w:tabs>
        <w:ind w:left="2222" w:right="1104" w:hanging="1263"/>
        <w:jc w:val="center"/>
        <w:rPr>
          <w:rFonts w:ascii="宋体" w:hAnsi="宋体" w:cs="宋体"/>
          <w:b/>
          <w:kern w:val="0"/>
          <w:sz w:val="24"/>
          <w:szCs w:val="22"/>
        </w:rPr>
        <w:sectPr>
          <w:pgSz w:w="11906" w:h="16838"/>
          <w:pgMar w:top="1440" w:right="1800" w:bottom="1440" w:left="1800" w:header="851" w:footer="992" w:gutter="0"/>
          <w:cols w:space="720" w:num="1"/>
          <w:docGrid w:type="lines" w:linePitch="312" w:charSpace="0"/>
        </w:sectPr>
      </w:pPr>
    </w:p>
    <w:p>
      <w:pPr>
        <w:tabs>
          <w:tab w:val="left" w:pos="3923"/>
        </w:tabs>
        <w:ind w:left="2222" w:right="1104" w:hanging="1263"/>
        <w:jc w:val="center"/>
        <w:rPr>
          <w:rFonts w:ascii="宋体" w:hAnsi="宋体" w:cs="宋体"/>
          <w:b/>
          <w:kern w:val="0"/>
          <w:sz w:val="24"/>
          <w:szCs w:val="22"/>
        </w:rPr>
      </w:pPr>
      <w:r>
        <w:rPr>
          <w:rFonts w:hint="eastAsia" w:ascii="宋体" w:hAnsi="宋体" w:cs="宋体"/>
          <w:b/>
          <w:kern w:val="0"/>
          <w:sz w:val="24"/>
          <w:szCs w:val="22"/>
        </w:rPr>
        <w:t>表</w:t>
      </w:r>
      <w:r>
        <w:rPr>
          <w:rFonts w:hAnsi="宋体" w:eastAsia="Times New Roman" w:cs="宋体"/>
          <w:b/>
          <w:kern w:val="0"/>
          <w:sz w:val="24"/>
          <w:szCs w:val="22"/>
        </w:rPr>
        <w:t>4.2-11</w:t>
      </w:r>
      <w:r>
        <w:rPr>
          <w:rFonts w:hAnsi="宋体" w:eastAsia="Times New Roman" w:cs="宋体"/>
          <w:b/>
          <w:kern w:val="0"/>
          <w:sz w:val="24"/>
          <w:szCs w:val="22"/>
        </w:rPr>
        <w:tab/>
      </w:r>
      <w:r>
        <w:rPr>
          <w:rFonts w:hint="eastAsia" w:ascii="宋体" w:hAnsi="宋体" w:cs="宋体"/>
          <w:b/>
          <w:kern w:val="0"/>
          <w:sz w:val="24"/>
          <w:szCs w:val="22"/>
        </w:rPr>
        <w:t>土壤理化性质调查表</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0"/>
        <w:gridCol w:w="1438"/>
        <w:gridCol w:w="851"/>
        <w:gridCol w:w="1275"/>
        <w:gridCol w:w="1276"/>
        <w:gridCol w:w="1843"/>
        <w:gridCol w:w="1701"/>
        <w:gridCol w:w="1559"/>
        <w:gridCol w:w="1540"/>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828" w:type="dxa"/>
            <w:gridSpan w:val="2"/>
            <w:vMerge w:val="restart"/>
            <w:tcBorders>
              <w:top w:val="single" w:color="auto" w:sz="12" w:space="0"/>
              <w:left w:val="single" w:color="auto" w:sz="12" w:space="0"/>
              <w:bottom w:val="single" w:color="auto" w:sz="4" w:space="0"/>
              <w:right w:val="single" w:color="auto" w:sz="4" w:space="0"/>
            </w:tcBorders>
            <w:vAlign w:val="center"/>
          </w:tcPr>
          <w:p>
            <w:pPr>
              <w:adjustRightInd w:val="0"/>
              <w:snapToGrid w:val="0"/>
              <w:jc w:val="center"/>
              <w:rPr>
                <w:bCs/>
                <w:szCs w:val="21"/>
              </w:rPr>
            </w:pPr>
            <w:r>
              <w:rPr>
                <w:rFonts w:ascii="宋体" w:hAnsi="宋体"/>
                <w:bCs/>
                <w:szCs w:val="21"/>
              </w:rPr>
              <w:t>点位坐标</w:t>
            </w:r>
          </w:p>
          <w:p>
            <w:pPr>
              <w:adjustRightInd w:val="0"/>
              <w:snapToGrid w:val="0"/>
              <w:jc w:val="center"/>
              <w:rPr>
                <w:bCs/>
                <w:szCs w:val="21"/>
              </w:rPr>
            </w:pPr>
            <w:r>
              <w:rPr>
                <w:rFonts w:ascii="宋体" w:hAnsi="宋体"/>
                <w:bCs/>
                <w:szCs w:val="21"/>
              </w:rPr>
              <w:t>采样位置</w:t>
            </w:r>
            <w:r>
              <w:rPr>
                <w:rFonts w:hint="eastAsia" w:ascii="宋体" w:hAnsi="宋体"/>
                <w:bCs/>
                <w:szCs w:val="21"/>
              </w:rPr>
              <w:t>及深度</w:t>
            </w:r>
          </w:p>
        </w:tc>
        <w:tc>
          <w:tcPr>
            <w:tcW w:w="3402" w:type="dxa"/>
            <w:gridSpan w:val="3"/>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3</w:t>
            </w:r>
            <w:r>
              <w:rPr>
                <w:szCs w:val="21"/>
              </w:rPr>
              <w:t>#</w:t>
            </w:r>
            <w:r>
              <w:rPr>
                <w:rFonts w:hint="eastAsia" w:ascii="宋体" w:hAnsi="宋体"/>
                <w:szCs w:val="21"/>
              </w:rPr>
              <w:t>渗滤液调节池</w:t>
            </w:r>
            <w:r>
              <w:rPr>
                <w:rFonts w:hint="eastAsia"/>
                <w:szCs w:val="21"/>
              </w:rPr>
              <w:t>E</w:t>
            </w:r>
            <w:r>
              <w:rPr>
                <w:szCs w:val="21"/>
              </w:rPr>
              <w:t>107.917795,</w:t>
            </w:r>
            <w:r>
              <w:rPr>
                <w:rFonts w:hint="eastAsia"/>
                <w:szCs w:val="21"/>
              </w:rPr>
              <w:t>N</w:t>
            </w:r>
            <w:r>
              <w:rPr>
                <w:szCs w:val="21"/>
              </w:rPr>
              <w:t>40.991629</w:t>
            </w:r>
          </w:p>
        </w:tc>
        <w:tc>
          <w:tcPr>
            <w:tcW w:w="1843" w:type="dxa"/>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4#渗滤液调节池2</w:t>
            </w:r>
            <w:r>
              <w:rPr>
                <w:szCs w:val="21"/>
              </w:rPr>
              <w:t>E107.917495,N40.994698</w:t>
            </w:r>
          </w:p>
        </w:tc>
        <w:tc>
          <w:tcPr>
            <w:tcW w:w="1701" w:type="dxa"/>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Cs w:val="21"/>
                <w:vertAlign w:val="subscript"/>
              </w:rPr>
            </w:pPr>
            <w:r>
              <w:rPr>
                <w:rFonts w:hint="eastAsia"/>
                <w:szCs w:val="21"/>
              </w:rPr>
              <w:t>5#生活办公区</w:t>
            </w:r>
          </w:p>
          <w:p>
            <w:pPr>
              <w:adjustRightInd w:val="0"/>
              <w:snapToGrid w:val="0"/>
              <w:jc w:val="center"/>
              <w:rPr>
                <w:szCs w:val="21"/>
              </w:rPr>
            </w:pPr>
            <w:r>
              <w:rPr>
                <w:rFonts w:hint="eastAsia"/>
                <w:szCs w:val="21"/>
              </w:rPr>
              <w:t>E</w:t>
            </w:r>
            <w:r>
              <w:rPr>
                <w:szCs w:val="21"/>
              </w:rPr>
              <w:t>107.917495,</w:t>
            </w:r>
            <w:r>
              <w:rPr>
                <w:rFonts w:hint="eastAsia"/>
                <w:szCs w:val="21"/>
              </w:rPr>
              <w:t>N</w:t>
            </w:r>
            <w:r>
              <w:rPr>
                <w:szCs w:val="21"/>
              </w:rPr>
              <w:t>40.994698</w:t>
            </w:r>
          </w:p>
        </w:tc>
        <w:tc>
          <w:tcPr>
            <w:tcW w:w="1559" w:type="dxa"/>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6#</w:t>
            </w:r>
            <w:r>
              <w:rPr>
                <w:rFonts w:hint="eastAsia" w:ascii="宋体" w:hAnsi="宋体"/>
                <w:szCs w:val="21"/>
              </w:rPr>
              <w:t>场区内西侧</w:t>
            </w:r>
          </w:p>
          <w:p>
            <w:pPr>
              <w:adjustRightInd w:val="0"/>
              <w:snapToGrid w:val="0"/>
              <w:jc w:val="center"/>
              <w:rPr>
                <w:szCs w:val="21"/>
              </w:rPr>
            </w:pPr>
            <w:r>
              <w:rPr>
                <w:rFonts w:hint="eastAsia"/>
                <w:szCs w:val="21"/>
              </w:rPr>
              <w:t>E</w:t>
            </w:r>
            <w:r>
              <w:rPr>
                <w:szCs w:val="21"/>
              </w:rPr>
              <w:t>107.916646,</w:t>
            </w:r>
            <w:r>
              <w:rPr>
                <w:rFonts w:hint="eastAsia"/>
                <w:szCs w:val="21"/>
              </w:rPr>
              <w:t>N</w:t>
            </w:r>
            <w:r>
              <w:rPr>
                <w:szCs w:val="21"/>
              </w:rPr>
              <w:t>40.993139</w:t>
            </w:r>
          </w:p>
        </w:tc>
        <w:tc>
          <w:tcPr>
            <w:tcW w:w="1540" w:type="dxa"/>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7#</w:t>
            </w:r>
            <w:r>
              <w:rPr>
                <w:rFonts w:hint="eastAsia" w:ascii="宋体" w:hAnsi="宋体"/>
                <w:szCs w:val="21"/>
              </w:rPr>
              <w:t>场区外东北</w:t>
            </w:r>
            <w:r>
              <w:rPr>
                <w:rFonts w:hint="eastAsia"/>
                <w:szCs w:val="21"/>
              </w:rPr>
              <w:t>E</w:t>
            </w:r>
            <w:r>
              <w:rPr>
                <w:szCs w:val="21"/>
              </w:rPr>
              <w:t>107.918348,</w:t>
            </w:r>
            <w:r>
              <w:rPr>
                <w:rFonts w:hint="eastAsia"/>
                <w:szCs w:val="21"/>
              </w:rPr>
              <w:t>N</w:t>
            </w:r>
            <w:r>
              <w:rPr>
                <w:szCs w:val="21"/>
              </w:rPr>
              <w:t>40.994983</w:t>
            </w:r>
          </w:p>
        </w:tc>
        <w:tc>
          <w:tcPr>
            <w:tcW w:w="2055" w:type="dxa"/>
            <w:tcBorders>
              <w:top w:val="single" w:color="auto" w:sz="12" w:space="0"/>
              <w:left w:val="single" w:color="auto" w:sz="4" w:space="0"/>
              <w:bottom w:val="single" w:color="auto" w:sz="4" w:space="0"/>
              <w:right w:val="single" w:color="auto" w:sz="12" w:space="0"/>
            </w:tcBorders>
            <w:vAlign w:val="center"/>
          </w:tcPr>
          <w:p>
            <w:pPr>
              <w:adjustRightInd w:val="0"/>
              <w:snapToGrid w:val="0"/>
              <w:jc w:val="center"/>
              <w:rPr>
                <w:szCs w:val="21"/>
              </w:rPr>
            </w:pPr>
            <w:r>
              <w:rPr>
                <w:rFonts w:hint="eastAsia"/>
                <w:szCs w:val="21"/>
              </w:rPr>
              <w:t>8#</w:t>
            </w:r>
            <w:r>
              <w:rPr>
                <w:rFonts w:hint="eastAsia" w:ascii="宋体" w:hAnsi="宋体"/>
                <w:szCs w:val="21"/>
              </w:rPr>
              <w:t>场区外南侧</w:t>
            </w:r>
            <w:r>
              <w:rPr>
                <w:rFonts w:hint="eastAsia"/>
                <w:szCs w:val="21"/>
              </w:rPr>
              <w:t>E</w:t>
            </w:r>
            <w:r>
              <w:rPr>
                <w:szCs w:val="21"/>
              </w:rPr>
              <w:t>107.916803,</w:t>
            </w:r>
            <w:r>
              <w:rPr>
                <w:rFonts w:hint="eastAsia"/>
                <w:szCs w:val="21"/>
              </w:rPr>
              <w:t>N</w:t>
            </w:r>
            <w:r>
              <w:rPr>
                <w:szCs w:val="21"/>
              </w:rPr>
              <w:t>40.990606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828" w:type="dxa"/>
            <w:gridSpan w:val="2"/>
            <w:vMerge w:val="continue"/>
            <w:tcBorders>
              <w:top w:val="single" w:color="auto" w:sz="4" w:space="0"/>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kern w:val="0"/>
                <w:szCs w:val="21"/>
              </w:rPr>
              <w:t>0-</w:t>
            </w:r>
            <w:r>
              <w:rPr>
                <w:rFonts w:hint="eastAsia"/>
                <w:kern w:val="0"/>
                <w:szCs w:val="21"/>
              </w:rPr>
              <w:t>5</w:t>
            </w:r>
            <w:r>
              <w:rPr>
                <w:kern w:val="0"/>
                <w:szCs w:val="21"/>
              </w:rPr>
              <w:t>0cm</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rFonts w:hint="eastAsia"/>
                <w:kern w:val="0"/>
                <w:szCs w:val="21"/>
              </w:rPr>
              <w:t>5</w:t>
            </w:r>
            <w:r>
              <w:rPr>
                <w:kern w:val="0"/>
                <w:szCs w:val="21"/>
              </w:rPr>
              <w:t>0-</w:t>
            </w:r>
            <w:r>
              <w:rPr>
                <w:rFonts w:hint="eastAsia"/>
                <w:kern w:val="0"/>
                <w:szCs w:val="21"/>
              </w:rPr>
              <w:t>15</w:t>
            </w:r>
            <w:r>
              <w:rPr>
                <w:kern w:val="0"/>
                <w:szCs w:val="21"/>
              </w:rPr>
              <w:t>0cm</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rFonts w:hint="eastAsia"/>
                <w:kern w:val="0"/>
                <w:szCs w:val="21"/>
              </w:rPr>
              <w:t>15</w:t>
            </w:r>
            <w:r>
              <w:rPr>
                <w:kern w:val="0"/>
                <w:szCs w:val="21"/>
              </w:rPr>
              <w:t>0-</w:t>
            </w:r>
            <w:r>
              <w:rPr>
                <w:rFonts w:hint="eastAsia"/>
                <w:kern w:val="0"/>
                <w:szCs w:val="21"/>
              </w:rPr>
              <w:t>30</w:t>
            </w:r>
            <w:r>
              <w:rPr>
                <w:kern w:val="0"/>
                <w:szCs w:val="21"/>
              </w:rPr>
              <w:t>0cm</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0-50cm</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0-50cm</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szCs w:val="21"/>
              </w:rPr>
              <w:t>0-50cm</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szCs w:val="21"/>
              </w:rPr>
              <w:t>0-50cm</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kern w:val="0"/>
                <w:szCs w:val="21"/>
              </w:rPr>
            </w:pPr>
            <w:r>
              <w:rPr>
                <w:szCs w:val="21"/>
              </w:rPr>
              <w:t>0-50cm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restart"/>
            <w:tcBorders>
              <w:top w:val="nil"/>
              <w:left w:val="single" w:color="auto" w:sz="12" w:space="0"/>
              <w:bottom w:val="single" w:color="auto" w:sz="4" w:space="0"/>
              <w:right w:val="single" w:color="auto" w:sz="4" w:space="0"/>
            </w:tcBorders>
            <w:vAlign w:val="center"/>
          </w:tcPr>
          <w:p>
            <w:pPr>
              <w:adjustRightInd w:val="0"/>
              <w:snapToGrid w:val="0"/>
              <w:jc w:val="center"/>
              <w:rPr>
                <w:bCs/>
                <w:szCs w:val="21"/>
              </w:rPr>
            </w:pPr>
            <w:r>
              <w:rPr>
                <w:rFonts w:ascii="宋体" w:hAnsi="宋体"/>
                <w:bCs/>
                <w:szCs w:val="21"/>
              </w:rPr>
              <w:t>现场记录</w:t>
            </w: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颜色</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黄棕色</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黄棕色</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黄棕色</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黄棕色</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黄棕色</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黄棕色</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黄棕色</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ascii="宋体" w:hAnsi="宋体"/>
                <w:szCs w:val="21"/>
              </w:rPr>
            </w:pPr>
            <w:r>
              <w:rPr>
                <w:rFonts w:hint="eastAsia" w:ascii="宋体" w:hAnsi="宋体"/>
                <w:szCs w:val="21"/>
              </w:rPr>
              <w:t>黄棕色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结构</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团粒</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团粒</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团粒</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团粒</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团粒</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团粒</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团粒</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ascii="宋体" w:hAnsi="宋体"/>
                <w:szCs w:val="21"/>
              </w:rPr>
            </w:pPr>
            <w:r>
              <w:rPr>
                <w:rFonts w:hint="eastAsia" w:ascii="宋体" w:hAnsi="宋体"/>
                <w:szCs w:val="21"/>
              </w:rPr>
              <w:t>团粒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质地</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轻壤土</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轻壤土</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轻壤土</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轻壤土</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轻壤土</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轻壤土</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轻壤土</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ascii="宋体" w:hAnsi="宋体"/>
                <w:szCs w:val="21"/>
              </w:rPr>
            </w:pPr>
            <w:r>
              <w:rPr>
                <w:rFonts w:hint="eastAsia" w:ascii="宋体" w:hAnsi="宋体"/>
                <w:szCs w:val="21"/>
              </w:rPr>
              <w:t>轻壤土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砂砾含量</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少量</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少量</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少量</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少量</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少量</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少量</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少量</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ascii="宋体" w:hAnsi="宋体"/>
                <w:szCs w:val="21"/>
              </w:rPr>
            </w:pPr>
            <w:r>
              <w:rPr>
                <w:rFonts w:hint="eastAsia" w:ascii="宋体" w:hAnsi="宋体"/>
                <w:szCs w:val="21"/>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其他异物</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无</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无</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ascii="宋体" w:hAnsi="宋体"/>
                <w:szCs w:val="21"/>
              </w:rPr>
              <w:t>无</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无</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szCs w:val="21"/>
              </w:rPr>
              <w:t>无</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无</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宋体" w:hAnsi="宋体"/>
                <w:szCs w:val="21"/>
              </w:rPr>
            </w:pPr>
            <w:r>
              <w:rPr>
                <w:rFonts w:hint="eastAsia" w:ascii="宋体" w:hAnsi="宋体"/>
                <w:szCs w:val="21"/>
              </w:rPr>
              <w:t>无</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ascii="宋体" w:hAnsi="宋体"/>
                <w:szCs w:val="21"/>
              </w:rPr>
            </w:pPr>
            <w:r>
              <w:rPr>
                <w:rFonts w:hint="eastAsia" w:ascii="宋体" w:hAnsi="宋体"/>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氧化还原电位（</w:t>
            </w:r>
            <w:r>
              <w:rPr>
                <w:szCs w:val="21"/>
              </w:rPr>
              <w:t>mV</w:t>
            </w:r>
            <w:r>
              <w:rPr>
                <w:rFonts w:ascii="宋体" w:hAnsi="宋体"/>
                <w:szCs w:val="21"/>
              </w:rPr>
              <w:t>）</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408</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411</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410</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411</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hint="eastAsia"/>
                <w:szCs w:val="21"/>
              </w:rPr>
              <w:t>406</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szCs w:val="21"/>
              </w:rPr>
            </w:pPr>
            <w:r>
              <w:rPr>
                <w:rFonts w:hint="eastAsia"/>
                <w:szCs w:val="21"/>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restart"/>
            <w:tcBorders>
              <w:top w:val="nil"/>
              <w:left w:val="single" w:color="auto" w:sz="12" w:space="0"/>
              <w:bottom w:val="single" w:color="auto" w:sz="4" w:space="0"/>
              <w:right w:val="single" w:color="auto" w:sz="4" w:space="0"/>
            </w:tcBorders>
            <w:vAlign w:val="center"/>
          </w:tcPr>
          <w:p>
            <w:pPr>
              <w:adjustRightInd w:val="0"/>
              <w:snapToGrid w:val="0"/>
              <w:jc w:val="center"/>
              <w:rPr>
                <w:bCs/>
                <w:szCs w:val="21"/>
              </w:rPr>
            </w:pPr>
            <w:r>
              <w:rPr>
                <w:rFonts w:ascii="宋体" w:hAnsi="宋体"/>
                <w:bCs/>
                <w:szCs w:val="21"/>
              </w:rPr>
              <w:t>实验室测定</w:t>
            </w: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szCs w:val="21"/>
              </w:rPr>
              <w:t>pH</w:t>
            </w:r>
            <w:r>
              <w:rPr>
                <w:rFonts w:ascii="宋体" w:hAnsi="宋体"/>
                <w:szCs w:val="21"/>
              </w:rPr>
              <w:t>值（无量纲）</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8.02</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8.12</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8.06</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szCs w:val="21"/>
              </w:rPr>
              <w:t>8.26</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7.96</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8.03</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8.19</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bCs/>
                <w:szCs w:val="21"/>
              </w:rPr>
            </w:pPr>
            <w:r>
              <w:rPr>
                <w:rFonts w:hint="eastAsia"/>
                <w:bCs/>
                <w:szCs w:val="21"/>
              </w:rPr>
              <w:t>7.86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阳离子交换量（</w:t>
            </w:r>
            <w:r>
              <w:rPr>
                <w:szCs w:val="21"/>
              </w:rPr>
              <w:t>cmol/kg</w:t>
            </w:r>
            <w:r>
              <w:rPr>
                <w:rFonts w:ascii="宋体" w:hAnsi="宋体"/>
                <w:szCs w:val="21"/>
              </w:rPr>
              <w:t>）</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32.3</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30.4</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32.9</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szCs w:val="21"/>
              </w:rPr>
              <w:t>36.0</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29.6</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35.6</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32.9</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bCs/>
                <w:szCs w:val="21"/>
              </w:rPr>
            </w:pPr>
            <w:r>
              <w:rPr>
                <w:rFonts w:hint="eastAsia"/>
                <w:bCs/>
                <w:szCs w:val="21"/>
              </w:rPr>
              <w:t>33.6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渗滤率（</w:t>
            </w:r>
            <w:r>
              <w:rPr>
                <w:szCs w:val="21"/>
              </w:rPr>
              <w:t>mm/min)</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0.90</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0.97</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0.95</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szCs w:val="21"/>
              </w:rPr>
              <w:t>1.14</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1.06</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1.11</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0.93</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bCs/>
                <w:szCs w:val="21"/>
              </w:rPr>
            </w:pPr>
            <w:r>
              <w:rPr>
                <w:rFonts w:hint="eastAsia"/>
                <w:bCs/>
                <w:szCs w:val="21"/>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4"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Cs w:val="21"/>
              </w:rPr>
            </w:pPr>
            <w:r>
              <w:rPr>
                <w:rFonts w:ascii="宋体" w:hAnsi="宋体"/>
                <w:szCs w:val="21"/>
              </w:rPr>
              <w:t>容重（</w:t>
            </w:r>
            <w:r>
              <w:rPr>
                <w:szCs w:val="21"/>
              </w:rPr>
              <w:t>g/cm</w:t>
            </w:r>
            <w:r>
              <w:rPr>
                <w:szCs w:val="21"/>
                <w:vertAlign w:val="superscript"/>
              </w:rPr>
              <w:t>3</w:t>
            </w:r>
            <w:r>
              <w:rPr>
                <w:szCs w:val="21"/>
              </w:rPr>
              <w:t>)</w:t>
            </w:r>
          </w:p>
        </w:tc>
        <w:tc>
          <w:tcPr>
            <w:tcW w:w="85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1.10</w:t>
            </w:r>
          </w:p>
        </w:tc>
        <w:tc>
          <w:tcPr>
            <w:tcW w:w="127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1.00</w:t>
            </w:r>
          </w:p>
        </w:tc>
        <w:tc>
          <w:tcPr>
            <w:tcW w:w="12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1.02</w:t>
            </w:r>
          </w:p>
        </w:tc>
        <w:tc>
          <w:tcPr>
            <w:tcW w:w="184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szCs w:val="21"/>
              </w:rPr>
              <w:t>1.06</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1.06</w:t>
            </w:r>
          </w:p>
        </w:tc>
        <w:tc>
          <w:tcPr>
            <w:tcW w:w="15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1.11</w:t>
            </w:r>
          </w:p>
        </w:tc>
        <w:tc>
          <w:tcPr>
            <w:tcW w:w="154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bCs/>
                <w:szCs w:val="21"/>
              </w:rPr>
            </w:pPr>
            <w:r>
              <w:rPr>
                <w:rFonts w:hint="eastAsia"/>
                <w:bCs/>
                <w:szCs w:val="21"/>
              </w:rPr>
              <w:t>1.19</w:t>
            </w:r>
          </w:p>
        </w:tc>
        <w:tc>
          <w:tcPr>
            <w:tcW w:w="2055"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bCs/>
                <w:szCs w:val="21"/>
              </w:rPr>
            </w:pPr>
            <w:r>
              <w:rPr>
                <w:rFonts w:hint="eastAsia"/>
                <w:bCs/>
                <w:szCs w:val="21"/>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90" w:type="dxa"/>
            <w:vMerge w:val="continue"/>
            <w:tcBorders>
              <w:top w:val="nil"/>
              <w:left w:val="single" w:color="auto" w:sz="12" w:space="0"/>
              <w:bottom w:val="single" w:color="auto" w:sz="12" w:space="0"/>
              <w:right w:val="single" w:color="auto" w:sz="4" w:space="0"/>
            </w:tcBorders>
            <w:vAlign w:val="center"/>
          </w:tcPr>
          <w:p>
            <w:pPr>
              <w:widowControl/>
              <w:adjustRightInd w:val="0"/>
              <w:snapToGrid w:val="0"/>
              <w:jc w:val="center"/>
              <w:rPr>
                <w:bCs/>
                <w:szCs w:val="21"/>
              </w:rPr>
            </w:pPr>
          </w:p>
        </w:tc>
        <w:tc>
          <w:tcPr>
            <w:tcW w:w="1438"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szCs w:val="21"/>
              </w:rPr>
            </w:pPr>
            <w:r>
              <w:rPr>
                <w:rFonts w:ascii="宋体" w:hAnsi="宋体"/>
                <w:szCs w:val="21"/>
              </w:rPr>
              <w:t>总孔隙度（</w:t>
            </w:r>
            <w:r>
              <w:rPr>
                <w:szCs w:val="21"/>
              </w:rPr>
              <w:t>%</w:t>
            </w:r>
            <w:r>
              <w:rPr>
                <w:rFonts w:ascii="宋体" w:hAnsi="宋体"/>
                <w:szCs w:val="21"/>
              </w:rPr>
              <w:t>）</w:t>
            </w:r>
          </w:p>
        </w:tc>
        <w:tc>
          <w:tcPr>
            <w:tcW w:w="851"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Cs w:val="21"/>
              </w:rPr>
            </w:pPr>
            <w:r>
              <w:rPr>
                <w:rFonts w:hint="eastAsia"/>
                <w:bCs/>
                <w:szCs w:val="21"/>
              </w:rPr>
              <w:t>36.4</w:t>
            </w:r>
          </w:p>
        </w:tc>
        <w:tc>
          <w:tcPr>
            <w:tcW w:w="1275"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Cs w:val="21"/>
              </w:rPr>
            </w:pPr>
            <w:r>
              <w:rPr>
                <w:rFonts w:hint="eastAsia"/>
                <w:bCs/>
                <w:szCs w:val="21"/>
              </w:rPr>
              <w:t>34.5</w:t>
            </w:r>
          </w:p>
        </w:tc>
        <w:tc>
          <w:tcPr>
            <w:tcW w:w="1276"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Cs w:val="21"/>
              </w:rPr>
            </w:pPr>
            <w:r>
              <w:rPr>
                <w:rFonts w:hint="eastAsia"/>
                <w:bCs/>
                <w:szCs w:val="21"/>
              </w:rPr>
              <w:t>36.4</w:t>
            </w:r>
          </w:p>
        </w:tc>
        <w:tc>
          <w:tcPr>
            <w:tcW w:w="1843"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Cs w:val="21"/>
              </w:rPr>
            </w:pPr>
            <w:r>
              <w:rPr>
                <w:szCs w:val="21"/>
              </w:rPr>
              <w:t>38.2</w:t>
            </w:r>
          </w:p>
        </w:tc>
        <w:tc>
          <w:tcPr>
            <w:tcW w:w="1701"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Cs w:val="21"/>
              </w:rPr>
            </w:pPr>
            <w:r>
              <w:rPr>
                <w:rFonts w:hint="eastAsia"/>
                <w:bCs/>
                <w:szCs w:val="21"/>
              </w:rPr>
              <w:t>35.3</w:t>
            </w:r>
          </w:p>
        </w:tc>
        <w:tc>
          <w:tcPr>
            <w:tcW w:w="1559"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Cs w:val="21"/>
              </w:rPr>
            </w:pPr>
            <w:r>
              <w:rPr>
                <w:rFonts w:hint="eastAsia"/>
                <w:bCs/>
                <w:szCs w:val="21"/>
              </w:rPr>
              <w:t>36.7</w:t>
            </w:r>
          </w:p>
        </w:tc>
        <w:tc>
          <w:tcPr>
            <w:tcW w:w="1540"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Cs w:val="21"/>
              </w:rPr>
            </w:pPr>
            <w:r>
              <w:rPr>
                <w:rFonts w:hint="eastAsia"/>
                <w:bCs/>
                <w:szCs w:val="21"/>
              </w:rPr>
              <w:t>33.9</w:t>
            </w:r>
          </w:p>
        </w:tc>
        <w:tc>
          <w:tcPr>
            <w:tcW w:w="2055" w:type="dxa"/>
            <w:tcBorders>
              <w:top w:val="single" w:color="auto" w:sz="4" w:space="0"/>
              <w:left w:val="single" w:color="auto" w:sz="4" w:space="0"/>
              <w:bottom w:val="single" w:color="auto" w:sz="12" w:space="0"/>
              <w:right w:val="single" w:color="auto" w:sz="12" w:space="0"/>
            </w:tcBorders>
            <w:vAlign w:val="center"/>
          </w:tcPr>
          <w:p>
            <w:pPr>
              <w:adjustRightInd w:val="0"/>
              <w:snapToGrid w:val="0"/>
              <w:jc w:val="center"/>
              <w:rPr>
                <w:bCs/>
                <w:szCs w:val="21"/>
              </w:rPr>
            </w:pPr>
            <w:r>
              <w:rPr>
                <w:rFonts w:hint="eastAsia"/>
                <w:bCs/>
                <w:szCs w:val="21"/>
              </w:rPr>
              <w:t>32.2</w:t>
            </w:r>
          </w:p>
        </w:tc>
      </w:tr>
    </w:tbl>
    <w:p>
      <w:pPr>
        <w:tabs>
          <w:tab w:val="left" w:pos="3923"/>
        </w:tabs>
        <w:ind w:left="2222" w:right="1104" w:hanging="1263"/>
        <w:jc w:val="center"/>
        <w:rPr>
          <w:rFonts w:ascii="宋体" w:hAnsi="宋体" w:cs="宋体"/>
          <w:b/>
          <w:kern w:val="0"/>
          <w:sz w:val="24"/>
          <w:szCs w:val="22"/>
        </w:rPr>
      </w:pPr>
    </w:p>
    <w:p>
      <w:pPr>
        <w:tabs>
          <w:tab w:val="left" w:pos="3923"/>
        </w:tabs>
        <w:ind w:left="2222" w:right="1104" w:hanging="1263"/>
        <w:jc w:val="center"/>
        <w:rPr>
          <w:rFonts w:ascii="宋体" w:hAnsi="宋体" w:cs="宋体"/>
          <w:b/>
          <w:kern w:val="0"/>
          <w:sz w:val="24"/>
          <w:szCs w:val="22"/>
        </w:rPr>
      </w:pPr>
    </w:p>
    <w:p>
      <w:pPr>
        <w:tabs>
          <w:tab w:val="left" w:pos="3923"/>
        </w:tabs>
        <w:ind w:left="2222" w:right="1104" w:hanging="1263"/>
        <w:jc w:val="center"/>
        <w:rPr>
          <w:rFonts w:ascii="宋体" w:hAnsi="宋体" w:cs="宋体"/>
          <w:b/>
          <w:kern w:val="0"/>
          <w:sz w:val="24"/>
          <w:szCs w:val="22"/>
        </w:rPr>
        <w:sectPr>
          <w:pgSz w:w="16838" w:h="11906" w:orient="landscape"/>
          <w:pgMar w:top="1800" w:right="1440" w:bottom="1800" w:left="1440" w:header="851" w:footer="992" w:gutter="0"/>
          <w:cols w:space="720" w:num="1"/>
          <w:docGrid w:type="lines" w:linePitch="312" w:charSpace="0"/>
        </w:sectPr>
      </w:pPr>
    </w:p>
    <w:p>
      <w:pPr>
        <w:spacing w:line="360" w:lineRule="auto"/>
        <w:outlineLvl w:val="2"/>
        <w:rPr>
          <w:b/>
          <w:bCs/>
          <w:sz w:val="28"/>
          <w:szCs w:val="32"/>
        </w:rPr>
      </w:pPr>
      <w:bookmarkStart w:id="344" w:name="_Toc143762330"/>
      <w:r>
        <w:rPr>
          <w:b/>
          <w:bCs/>
          <w:sz w:val="28"/>
          <w:szCs w:val="32"/>
        </w:rPr>
        <w:t>4.2.4声环境质量现状调查及评价</w:t>
      </w:r>
      <w:bookmarkEnd w:id="342"/>
      <w:bookmarkEnd w:id="344"/>
    </w:p>
    <w:p>
      <w:pPr>
        <w:spacing w:line="360" w:lineRule="auto"/>
        <w:ind w:firstLine="480" w:firstLineChars="200"/>
        <w:rPr>
          <w:sz w:val="24"/>
        </w:rPr>
      </w:pPr>
      <w:r>
        <w:rPr>
          <w:sz w:val="24"/>
        </w:rPr>
        <w:t>本次声环境质量现状</w:t>
      </w:r>
      <w:r>
        <w:rPr>
          <w:rFonts w:hint="eastAsia"/>
          <w:sz w:val="24"/>
        </w:rPr>
        <w:t>委托</w:t>
      </w:r>
      <w:r>
        <w:rPr>
          <w:sz w:val="24"/>
        </w:rPr>
        <w:t>内蒙古航峰检测技术有限公司于2023年3月30日和31日</w:t>
      </w:r>
      <w:r>
        <w:rPr>
          <w:rFonts w:hint="eastAsia"/>
          <w:sz w:val="24"/>
        </w:rPr>
        <w:t>对</w:t>
      </w:r>
      <w:r>
        <w:rPr>
          <w:sz w:val="24"/>
        </w:rPr>
        <w:t>本项目区</w:t>
      </w:r>
      <w:r>
        <w:rPr>
          <w:rFonts w:hint="eastAsia"/>
          <w:sz w:val="24"/>
        </w:rPr>
        <w:t>厂区外进行了监测，</w:t>
      </w:r>
      <w:r>
        <w:rPr>
          <w:rFonts w:hint="eastAsia"/>
          <w:color w:val="FF0000"/>
          <w:sz w:val="24"/>
        </w:rPr>
        <w:t>监测期间填埋场未进行填埋作业</w:t>
      </w:r>
      <w:r>
        <w:rPr>
          <w:color w:val="FF0000"/>
          <w:sz w:val="24"/>
        </w:rPr>
        <w:t>。</w:t>
      </w:r>
    </w:p>
    <w:p>
      <w:pPr>
        <w:spacing w:line="360" w:lineRule="auto"/>
        <w:ind w:firstLine="480" w:firstLineChars="200"/>
        <w:rPr>
          <w:sz w:val="24"/>
        </w:rPr>
      </w:pPr>
      <w:r>
        <w:rPr>
          <w:sz w:val="24"/>
        </w:rPr>
        <w:t>1、监测布点</w:t>
      </w:r>
    </w:p>
    <w:p>
      <w:pPr>
        <w:spacing w:line="360" w:lineRule="auto"/>
        <w:ind w:firstLine="480" w:firstLineChars="200"/>
        <w:jc w:val="left"/>
        <w:rPr>
          <w:sz w:val="24"/>
        </w:rPr>
      </w:pPr>
      <w:r>
        <w:rPr>
          <w:sz w:val="24"/>
        </w:rPr>
        <w:t>本次噪声质量现状监测共设4个监测点，分别布设于垃圾处理场四周，监测布点见表4.2-12和图4.2-1。</w:t>
      </w:r>
    </w:p>
    <w:p>
      <w:pPr>
        <w:pStyle w:val="44"/>
        <w:ind w:firstLine="361" w:firstLineChars="150"/>
        <w:jc w:val="center"/>
        <w:rPr>
          <w:rFonts w:cs="Times New Roman"/>
          <w:b/>
          <w:szCs w:val="24"/>
        </w:rPr>
      </w:pPr>
      <w:r>
        <w:rPr>
          <w:rFonts w:cs="Times New Roman"/>
          <w:b/>
          <w:szCs w:val="24"/>
        </w:rPr>
        <w:t>表4.2-12噪声监测点位</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1984"/>
        <w:gridCol w:w="4111"/>
        <w:gridCol w:w="13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6" w:type="pct"/>
            <w:vAlign w:val="center"/>
          </w:tcPr>
          <w:p>
            <w:pPr>
              <w:adjustRightInd w:val="0"/>
              <w:snapToGrid w:val="0"/>
              <w:jc w:val="center"/>
              <w:rPr>
                <w:b/>
                <w:szCs w:val="21"/>
              </w:rPr>
            </w:pPr>
            <w:r>
              <w:rPr>
                <w:rFonts w:hint="eastAsia"/>
                <w:b/>
                <w:szCs w:val="21"/>
              </w:rPr>
              <w:t>编号</w:t>
            </w:r>
          </w:p>
        </w:tc>
        <w:tc>
          <w:tcPr>
            <w:tcW w:w="1164" w:type="pct"/>
            <w:vAlign w:val="center"/>
          </w:tcPr>
          <w:p>
            <w:pPr>
              <w:adjustRightInd w:val="0"/>
              <w:snapToGrid w:val="0"/>
              <w:jc w:val="center"/>
              <w:rPr>
                <w:b/>
                <w:szCs w:val="21"/>
              </w:rPr>
            </w:pPr>
            <w:r>
              <w:rPr>
                <w:rFonts w:hint="eastAsia"/>
                <w:b/>
                <w:szCs w:val="21"/>
              </w:rPr>
              <w:t>名称</w:t>
            </w:r>
          </w:p>
        </w:tc>
        <w:tc>
          <w:tcPr>
            <w:tcW w:w="2412" w:type="pct"/>
            <w:vAlign w:val="center"/>
          </w:tcPr>
          <w:p>
            <w:pPr>
              <w:adjustRightInd w:val="0"/>
              <w:snapToGrid w:val="0"/>
              <w:jc w:val="center"/>
              <w:rPr>
                <w:b/>
                <w:szCs w:val="21"/>
              </w:rPr>
            </w:pPr>
            <w:r>
              <w:rPr>
                <w:rFonts w:hint="eastAsia"/>
                <w:b/>
                <w:szCs w:val="21"/>
              </w:rPr>
              <w:t>位置（坐标）</w:t>
            </w:r>
          </w:p>
        </w:tc>
        <w:tc>
          <w:tcPr>
            <w:tcW w:w="778" w:type="pct"/>
            <w:vAlign w:val="center"/>
          </w:tcPr>
          <w:p>
            <w:pPr>
              <w:adjustRightInd w:val="0"/>
              <w:snapToGrid w:val="0"/>
              <w:jc w:val="center"/>
              <w:rPr>
                <w:b/>
                <w:szCs w:val="21"/>
              </w:rPr>
            </w:pPr>
            <w:r>
              <w:rPr>
                <w:rFonts w:hint="eastAsia"/>
                <w:b/>
                <w:szCs w:val="21"/>
              </w:rPr>
              <w:t>监测项目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46" w:type="pct"/>
            <w:vAlign w:val="center"/>
          </w:tcPr>
          <w:p>
            <w:pPr>
              <w:adjustRightInd w:val="0"/>
              <w:snapToGrid w:val="0"/>
              <w:jc w:val="center"/>
              <w:rPr>
                <w:szCs w:val="21"/>
              </w:rPr>
            </w:pPr>
            <w:r>
              <w:rPr>
                <w:rFonts w:hint="eastAsia"/>
                <w:szCs w:val="21"/>
              </w:rPr>
              <w:t>1#</w:t>
            </w:r>
          </w:p>
        </w:tc>
        <w:tc>
          <w:tcPr>
            <w:tcW w:w="1164" w:type="pct"/>
            <w:vAlign w:val="center"/>
          </w:tcPr>
          <w:p>
            <w:pPr>
              <w:adjustRightInd w:val="0"/>
              <w:snapToGrid w:val="0"/>
              <w:jc w:val="center"/>
              <w:rPr>
                <w:szCs w:val="21"/>
              </w:rPr>
            </w:pPr>
            <w:r>
              <w:rPr>
                <w:rFonts w:hint="eastAsia"/>
                <w:szCs w:val="21"/>
              </w:rPr>
              <w:t>场区</w:t>
            </w:r>
            <w:r>
              <w:rPr>
                <w:szCs w:val="21"/>
              </w:rPr>
              <w:t>东侧</w:t>
            </w:r>
          </w:p>
        </w:tc>
        <w:tc>
          <w:tcPr>
            <w:tcW w:w="2412" w:type="pct"/>
            <w:vAlign w:val="center"/>
          </w:tcPr>
          <w:p>
            <w:pPr>
              <w:jc w:val="center"/>
              <w:rPr>
                <w:szCs w:val="21"/>
              </w:rPr>
            </w:pPr>
            <w:r>
              <w:rPr>
                <w:rFonts w:hint="eastAsia"/>
                <w:szCs w:val="21"/>
              </w:rPr>
              <w:t xml:space="preserve">N </w:t>
            </w:r>
            <w:r>
              <w:rPr>
                <w:szCs w:val="21"/>
              </w:rPr>
              <w:t>40°59'34.47"</w:t>
            </w:r>
            <w:r>
              <w:rPr>
                <w:rFonts w:hint="eastAsia"/>
                <w:szCs w:val="21"/>
              </w:rPr>
              <w:t>，E</w:t>
            </w:r>
            <w:r>
              <w:rPr>
                <w:szCs w:val="21"/>
              </w:rPr>
              <w:t>107°55'6.40"</w:t>
            </w:r>
          </w:p>
        </w:tc>
        <w:tc>
          <w:tcPr>
            <w:tcW w:w="778" w:type="pct"/>
            <w:vMerge w:val="restart"/>
            <w:vAlign w:val="center"/>
          </w:tcPr>
          <w:p>
            <w:pPr>
              <w:adjustRightInd w:val="0"/>
              <w:snapToGrid w:val="0"/>
              <w:jc w:val="center"/>
              <w:rPr>
                <w:szCs w:val="21"/>
              </w:rPr>
            </w:pPr>
            <w:r>
              <w:rPr>
                <w:rFonts w:hint="eastAsia"/>
                <w:szCs w:val="21"/>
              </w:rPr>
              <w:t>Leq（A）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46" w:type="pct"/>
            <w:vAlign w:val="center"/>
          </w:tcPr>
          <w:p>
            <w:pPr>
              <w:adjustRightInd w:val="0"/>
              <w:snapToGrid w:val="0"/>
              <w:jc w:val="center"/>
              <w:rPr>
                <w:szCs w:val="21"/>
              </w:rPr>
            </w:pPr>
            <w:r>
              <w:rPr>
                <w:rFonts w:hint="eastAsia"/>
                <w:szCs w:val="21"/>
              </w:rPr>
              <w:t>2#</w:t>
            </w:r>
          </w:p>
        </w:tc>
        <w:tc>
          <w:tcPr>
            <w:tcW w:w="1164" w:type="pct"/>
            <w:vAlign w:val="center"/>
          </w:tcPr>
          <w:p>
            <w:pPr>
              <w:adjustRightInd w:val="0"/>
              <w:snapToGrid w:val="0"/>
              <w:jc w:val="center"/>
              <w:rPr>
                <w:szCs w:val="21"/>
              </w:rPr>
            </w:pPr>
            <w:r>
              <w:rPr>
                <w:rFonts w:hint="eastAsia"/>
                <w:szCs w:val="21"/>
              </w:rPr>
              <w:t>场区</w:t>
            </w:r>
            <w:r>
              <w:rPr>
                <w:szCs w:val="21"/>
              </w:rPr>
              <w:t>南侧</w:t>
            </w:r>
          </w:p>
        </w:tc>
        <w:tc>
          <w:tcPr>
            <w:tcW w:w="2412" w:type="pct"/>
            <w:vAlign w:val="center"/>
          </w:tcPr>
          <w:p>
            <w:pPr>
              <w:jc w:val="center"/>
              <w:rPr>
                <w:szCs w:val="21"/>
              </w:rPr>
            </w:pPr>
            <w:r>
              <w:rPr>
                <w:rFonts w:hint="eastAsia"/>
                <w:szCs w:val="21"/>
              </w:rPr>
              <w:t xml:space="preserve">N </w:t>
            </w:r>
            <w:r>
              <w:rPr>
                <w:szCs w:val="21"/>
              </w:rPr>
              <w:t>40°59'29.06"</w:t>
            </w:r>
            <w:r>
              <w:rPr>
                <w:rFonts w:hint="eastAsia"/>
                <w:szCs w:val="21"/>
              </w:rPr>
              <w:t>，E</w:t>
            </w:r>
            <w:r>
              <w:rPr>
                <w:szCs w:val="21"/>
              </w:rPr>
              <w:t>107°54'49.65"</w:t>
            </w:r>
          </w:p>
        </w:tc>
        <w:tc>
          <w:tcPr>
            <w:tcW w:w="778"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46" w:type="pct"/>
            <w:vAlign w:val="center"/>
          </w:tcPr>
          <w:p>
            <w:pPr>
              <w:adjustRightInd w:val="0"/>
              <w:snapToGrid w:val="0"/>
              <w:jc w:val="center"/>
              <w:rPr>
                <w:szCs w:val="21"/>
              </w:rPr>
            </w:pPr>
            <w:r>
              <w:rPr>
                <w:rFonts w:hint="eastAsia"/>
                <w:szCs w:val="21"/>
              </w:rPr>
              <w:t>3#</w:t>
            </w:r>
          </w:p>
        </w:tc>
        <w:tc>
          <w:tcPr>
            <w:tcW w:w="1164" w:type="pct"/>
            <w:vAlign w:val="center"/>
          </w:tcPr>
          <w:p>
            <w:pPr>
              <w:adjustRightInd w:val="0"/>
              <w:snapToGrid w:val="0"/>
              <w:jc w:val="center"/>
              <w:rPr>
                <w:szCs w:val="21"/>
              </w:rPr>
            </w:pPr>
            <w:r>
              <w:rPr>
                <w:rFonts w:hint="eastAsia"/>
                <w:szCs w:val="21"/>
              </w:rPr>
              <w:t>场区西侧</w:t>
            </w:r>
          </w:p>
        </w:tc>
        <w:tc>
          <w:tcPr>
            <w:tcW w:w="2412" w:type="pct"/>
            <w:vAlign w:val="center"/>
          </w:tcPr>
          <w:p>
            <w:pPr>
              <w:jc w:val="center"/>
              <w:rPr>
                <w:szCs w:val="21"/>
              </w:rPr>
            </w:pPr>
            <w:r>
              <w:rPr>
                <w:rFonts w:hint="eastAsia"/>
                <w:szCs w:val="21"/>
              </w:rPr>
              <w:t xml:space="preserve">N </w:t>
            </w:r>
            <w:r>
              <w:rPr>
                <w:szCs w:val="21"/>
              </w:rPr>
              <w:t>40°59'35.19"</w:t>
            </w:r>
            <w:r>
              <w:rPr>
                <w:rFonts w:hint="eastAsia"/>
                <w:szCs w:val="21"/>
              </w:rPr>
              <w:t>，E</w:t>
            </w:r>
            <w:r>
              <w:rPr>
                <w:szCs w:val="21"/>
              </w:rPr>
              <w:t>107°54'35.70"</w:t>
            </w:r>
          </w:p>
        </w:tc>
        <w:tc>
          <w:tcPr>
            <w:tcW w:w="778" w:type="pct"/>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46" w:type="pct"/>
            <w:vAlign w:val="center"/>
          </w:tcPr>
          <w:p>
            <w:pPr>
              <w:adjustRightInd w:val="0"/>
              <w:snapToGrid w:val="0"/>
              <w:jc w:val="center"/>
              <w:rPr>
                <w:szCs w:val="21"/>
              </w:rPr>
            </w:pPr>
            <w:r>
              <w:rPr>
                <w:rFonts w:hint="eastAsia"/>
                <w:szCs w:val="21"/>
              </w:rPr>
              <w:t>4#</w:t>
            </w:r>
          </w:p>
        </w:tc>
        <w:tc>
          <w:tcPr>
            <w:tcW w:w="1164" w:type="pct"/>
            <w:vAlign w:val="center"/>
          </w:tcPr>
          <w:p>
            <w:pPr>
              <w:adjustRightInd w:val="0"/>
              <w:snapToGrid w:val="0"/>
              <w:jc w:val="center"/>
              <w:rPr>
                <w:szCs w:val="21"/>
              </w:rPr>
            </w:pPr>
            <w:r>
              <w:rPr>
                <w:rFonts w:hint="eastAsia"/>
                <w:szCs w:val="21"/>
              </w:rPr>
              <w:t>场区</w:t>
            </w:r>
            <w:r>
              <w:rPr>
                <w:szCs w:val="21"/>
              </w:rPr>
              <w:t>北侧</w:t>
            </w:r>
          </w:p>
        </w:tc>
        <w:tc>
          <w:tcPr>
            <w:tcW w:w="2412" w:type="pct"/>
            <w:vAlign w:val="center"/>
          </w:tcPr>
          <w:p>
            <w:pPr>
              <w:jc w:val="center"/>
              <w:rPr>
                <w:szCs w:val="21"/>
              </w:rPr>
            </w:pPr>
            <w:r>
              <w:rPr>
                <w:rFonts w:hint="eastAsia"/>
                <w:szCs w:val="21"/>
              </w:rPr>
              <w:t xml:space="preserve">N </w:t>
            </w:r>
            <w:r>
              <w:rPr>
                <w:szCs w:val="21"/>
              </w:rPr>
              <w:t>40°59'40.51"</w:t>
            </w:r>
            <w:r>
              <w:rPr>
                <w:rFonts w:hint="eastAsia"/>
                <w:szCs w:val="21"/>
              </w:rPr>
              <w:t>，E</w:t>
            </w:r>
            <w:r>
              <w:rPr>
                <w:szCs w:val="21"/>
              </w:rPr>
              <w:t>107°54'49.26"</w:t>
            </w:r>
          </w:p>
        </w:tc>
        <w:tc>
          <w:tcPr>
            <w:tcW w:w="778" w:type="pct"/>
            <w:vMerge w:val="continue"/>
            <w:vAlign w:val="center"/>
          </w:tcPr>
          <w:p>
            <w:pPr>
              <w:adjustRightInd w:val="0"/>
              <w:snapToGrid w:val="0"/>
              <w:jc w:val="center"/>
              <w:rPr>
                <w:szCs w:val="21"/>
              </w:rPr>
            </w:pPr>
          </w:p>
        </w:tc>
      </w:tr>
    </w:tbl>
    <w:p>
      <w:pPr>
        <w:spacing w:line="440" w:lineRule="exact"/>
        <w:ind w:firstLine="480" w:firstLineChars="200"/>
        <w:rPr>
          <w:bCs/>
          <w:sz w:val="24"/>
        </w:rPr>
      </w:pPr>
      <w:r>
        <w:rPr>
          <w:sz w:val="24"/>
        </w:rPr>
        <w:t>2、监测时间及频率</w:t>
      </w:r>
    </w:p>
    <w:p>
      <w:pPr>
        <w:spacing w:line="440" w:lineRule="exact"/>
        <w:ind w:firstLine="480" w:firstLineChars="200"/>
        <w:rPr>
          <w:sz w:val="24"/>
        </w:rPr>
      </w:pPr>
      <w:r>
        <w:rPr>
          <w:sz w:val="24"/>
        </w:rPr>
        <w:t>监测时间选择昼间（6：00—22：00）和夜间（22：00—6：00）两个时段分别测2天，每次测量20分钟的连续等效A声级</w:t>
      </w:r>
      <w:r>
        <w:rPr>
          <w:bCs/>
          <w:sz w:val="24"/>
        </w:rPr>
        <w:t>。</w:t>
      </w:r>
    </w:p>
    <w:p>
      <w:pPr>
        <w:spacing w:line="440" w:lineRule="exact"/>
        <w:ind w:firstLine="480" w:firstLineChars="200"/>
        <w:rPr>
          <w:sz w:val="24"/>
        </w:rPr>
      </w:pPr>
      <w:r>
        <w:rPr>
          <w:sz w:val="24"/>
        </w:rPr>
        <w:t>3、监测结果及评价</w:t>
      </w:r>
    </w:p>
    <w:p>
      <w:pPr>
        <w:tabs>
          <w:tab w:val="right" w:pos="8306"/>
        </w:tabs>
        <w:spacing w:line="440" w:lineRule="exact"/>
        <w:ind w:firstLine="480" w:firstLineChars="200"/>
        <w:rPr>
          <w:sz w:val="24"/>
        </w:rPr>
      </w:pPr>
      <w:r>
        <w:rPr>
          <w:sz w:val="24"/>
        </w:rPr>
        <w:t>监测结果见表4.2-13。</w:t>
      </w:r>
    </w:p>
    <w:p>
      <w:pPr>
        <w:pStyle w:val="44"/>
        <w:ind w:firstLine="361" w:firstLineChars="150"/>
        <w:jc w:val="center"/>
        <w:rPr>
          <w:rFonts w:cs="Times New Roman"/>
          <w:b/>
          <w:szCs w:val="24"/>
        </w:rPr>
      </w:pPr>
      <w:r>
        <w:rPr>
          <w:rFonts w:cs="Times New Roman"/>
          <w:b/>
          <w:szCs w:val="24"/>
        </w:rPr>
        <w:t>表4.2-13噪声监测结果统计表</w:t>
      </w:r>
    </w:p>
    <w:tbl>
      <w:tblPr>
        <w:tblStyle w:val="8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3"/>
        <w:gridCol w:w="3082"/>
        <w:gridCol w:w="1215"/>
        <w:gridCol w:w="1214"/>
        <w:gridCol w:w="1217"/>
        <w:gridCol w:w="12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33" w:type="dxa"/>
            <w:vMerge w:val="restart"/>
            <w:vAlign w:val="center"/>
          </w:tcPr>
          <w:p>
            <w:pPr>
              <w:jc w:val="center"/>
              <w:rPr>
                <w:szCs w:val="21"/>
              </w:rPr>
            </w:pPr>
            <w:r>
              <w:rPr>
                <w:szCs w:val="21"/>
              </w:rPr>
              <w:t>编号</w:t>
            </w:r>
          </w:p>
        </w:tc>
        <w:tc>
          <w:tcPr>
            <w:tcW w:w="3082" w:type="dxa"/>
            <w:vMerge w:val="restart"/>
            <w:vAlign w:val="center"/>
          </w:tcPr>
          <w:p>
            <w:pPr>
              <w:jc w:val="center"/>
              <w:rPr>
                <w:szCs w:val="21"/>
              </w:rPr>
            </w:pPr>
            <w:r>
              <w:rPr>
                <w:szCs w:val="21"/>
              </w:rPr>
              <w:t>监测点位</w:t>
            </w:r>
          </w:p>
        </w:tc>
        <w:tc>
          <w:tcPr>
            <w:tcW w:w="4907" w:type="dxa"/>
            <w:gridSpan w:val="4"/>
            <w:vAlign w:val="center"/>
          </w:tcPr>
          <w:p>
            <w:pPr>
              <w:ind w:right="876" w:rightChars="417"/>
              <w:jc w:val="center"/>
              <w:rPr>
                <w:szCs w:val="21"/>
              </w:rPr>
            </w:pPr>
            <w:r>
              <w:rPr>
                <w:szCs w:val="21"/>
              </w:rPr>
              <w:t>监测结果[Leq 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33" w:type="dxa"/>
            <w:vMerge w:val="continue"/>
            <w:vAlign w:val="center"/>
          </w:tcPr>
          <w:p>
            <w:pPr>
              <w:ind w:firstLine="105" w:firstLineChars="50"/>
              <w:jc w:val="center"/>
              <w:rPr>
                <w:szCs w:val="21"/>
              </w:rPr>
            </w:pPr>
          </w:p>
        </w:tc>
        <w:tc>
          <w:tcPr>
            <w:tcW w:w="3082" w:type="dxa"/>
            <w:vMerge w:val="continue"/>
            <w:vAlign w:val="center"/>
          </w:tcPr>
          <w:p>
            <w:pPr>
              <w:ind w:firstLine="105" w:firstLineChars="50"/>
              <w:jc w:val="center"/>
              <w:rPr>
                <w:szCs w:val="21"/>
              </w:rPr>
            </w:pPr>
          </w:p>
        </w:tc>
        <w:tc>
          <w:tcPr>
            <w:tcW w:w="1215" w:type="dxa"/>
            <w:vAlign w:val="center"/>
          </w:tcPr>
          <w:p>
            <w:pPr>
              <w:jc w:val="center"/>
              <w:rPr>
                <w:szCs w:val="21"/>
              </w:rPr>
            </w:pPr>
            <w:r>
              <w:rPr>
                <w:szCs w:val="21"/>
              </w:rPr>
              <w:t>3.30昼间</w:t>
            </w:r>
          </w:p>
        </w:tc>
        <w:tc>
          <w:tcPr>
            <w:tcW w:w="1214" w:type="dxa"/>
            <w:vAlign w:val="center"/>
          </w:tcPr>
          <w:p>
            <w:pPr>
              <w:jc w:val="center"/>
              <w:rPr>
                <w:szCs w:val="21"/>
              </w:rPr>
            </w:pPr>
            <w:r>
              <w:rPr>
                <w:szCs w:val="21"/>
              </w:rPr>
              <w:t>3.30夜间</w:t>
            </w:r>
          </w:p>
        </w:tc>
        <w:tc>
          <w:tcPr>
            <w:tcW w:w="1217" w:type="dxa"/>
            <w:vAlign w:val="center"/>
          </w:tcPr>
          <w:p>
            <w:pPr>
              <w:jc w:val="center"/>
              <w:rPr>
                <w:szCs w:val="21"/>
              </w:rPr>
            </w:pPr>
            <w:r>
              <w:rPr>
                <w:szCs w:val="21"/>
              </w:rPr>
              <w:t>3.31昼间</w:t>
            </w:r>
          </w:p>
        </w:tc>
        <w:tc>
          <w:tcPr>
            <w:tcW w:w="1261" w:type="dxa"/>
            <w:vAlign w:val="center"/>
          </w:tcPr>
          <w:p>
            <w:pPr>
              <w:jc w:val="center"/>
              <w:rPr>
                <w:szCs w:val="21"/>
              </w:rPr>
            </w:pPr>
            <w:r>
              <w:rPr>
                <w:szCs w:val="21"/>
              </w:rPr>
              <w:t>3.31夜间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33" w:type="dxa"/>
            <w:vAlign w:val="center"/>
          </w:tcPr>
          <w:p>
            <w:pPr>
              <w:widowControl/>
              <w:jc w:val="center"/>
              <w:rPr>
                <w:kern w:val="0"/>
                <w:szCs w:val="21"/>
              </w:rPr>
            </w:pPr>
            <w:r>
              <w:rPr>
                <w:kern w:val="0"/>
                <w:szCs w:val="21"/>
              </w:rPr>
              <w:t>9#</w:t>
            </w:r>
          </w:p>
        </w:tc>
        <w:tc>
          <w:tcPr>
            <w:tcW w:w="3082" w:type="dxa"/>
            <w:vAlign w:val="center"/>
          </w:tcPr>
          <w:p>
            <w:pPr>
              <w:widowControl/>
              <w:jc w:val="center"/>
              <w:rPr>
                <w:kern w:val="0"/>
                <w:szCs w:val="21"/>
              </w:rPr>
            </w:pPr>
            <w:r>
              <w:rPr>
                <w:kern w:val="0"/>
                <w:szCs w:val="21"/>
              </w:rPr>
              <w:t>垃圾处理场东</w:t>
            </w:r>
          </w:p>
        </w:tc>
        <w:tc>
          <w:tcPr>
            <w:tcW w:w="1215" w:type="dxa"/>
            <w:vAlign w:val="center"/>
          </w:tcPr>
          <w:p>
            <w:pPr>
              <w:jc w:val="center"/>
              <w:rPr>
                <w:szCs w:val="21"/>
              </w:rPr>
            </w:pPr>
            <w:r>
              <w:rPr>
                <w:rFonts w:hint="eastAsia"/>
              </w:rPr>
              <w:t>54</w:t>
            </w:r>
          </w:p>
        </w:tc>
        <w:tc>
          <w:tcPr>
            <w:tcW w:w="1214" w:type="dxa"/>
            <w:vAlign w:val="center"/>
          </w:tcPr>
          <w:p>
            <w:pPr>
              <w:widowControl/>
              <w:jc w:val="center"/>
              <w:rPr>
                <w:kern w:val="0"/>
                <w:szCs w:val="21"/>
              </w:rPr>
            </w:pPr>
            <w:r>
              <w:rPr>
                <w:rFonts w:hint="eastAsia"/>
              </w:rPr>
              <w:t>44</w:t>
            </w:r>
          </w:p>
        </w:tc>
        <w:tc>
          <w:tcPr>
            <w:tcW w:w="1217" w:type="dxa"/>
            <w:vAlign w:val="center"/>
          </w:tcPr>
          <w:p>
            <w:pPr>
              <w:widowControl/>
              <w:jc w:val="center"/>
              <w:rPr>
                <w:kern w:val="0"/>
                <w:szCs w:val="21"/>
              </w:rPr>
            </w:pPr>
            <w:r>
              <w:rPr>
                <w:rFonts w:hint="eastAsia"/>
              </w:rPr>
              <w:t>53</w:t>
            </w:r>
          </w:p>
        </w:tc>
        <w:tc>
          <w:tcPr>
            <w:tcW w:w="1261" w:type="dxa"/>
            <w:vAlign w:val="center"/>
          </w:tcPr>
          <w:p>
            <w:pPr>
              <w:widowControl/>
              <w:jc w:val="center"/>
              <w:rPr>
                <w:kern w:val="0"/>
                <w:szCs w:val="21"/>
              </w:rPr>
            </w:pPr>
            <w:r>
              <w:rPr>
                <w:rFonts w:hint="eastAsia"/>
              </w:rPr>
              <w:t>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33" w:type="dxa"/>
            <w:vAlign w:val="center"/>
          </w:tcPr>
          <w:p>
            <w:pPr>
              <w:widowControl/>
              <w:jc w:val="center"/>
              <w:rPr>
                <w:kern w:val="0"/>
                <w:szCs w:val="21"/>
              </w:rPr>
            </w:pPr>
            <w:r>
              <w:rPr>
                <w:kern w:val="0"/>
                <w:szCs w:val="21"/>
              </w:rPr>
              <w:t>10#</w:t>
            </w:r>
          </w:p>
        </w:tc>
        <w:tc>
          <w:tcPr>
            <w:tcW w:w="3082" w:type="dxa"/>
            <w:vAlign w:val="center"/>
          </w:tcPr>
          <w:p>
            <w:pPr>
              <w:jc w:val="center"/>
            </w:pPr>
            <w:r>
              <w:rPr>
                <w:kern w:val="0"/>
                <w:szCs w:val="21"/>
              </w:rPr>
              <w:t>垃圾处理场</w:t>
            </w:r>
            <w:r>
              <w:rPr>
                <w:rFonts w:hint="eastAsia"/>
                <w:kern w:val="0"/>
                <w:szCs w:val="21"/>
              </w:rPr>
              <w:t>南</w:t>
            </w:r>
          </w:p>
        </w:tc>
        <w:tc>
          <w:tcPr>
            <w:tcW w:w="1215" w:type="dxa"/>
            <w:vAlign w:val="center"/>
          </w:tcPr>
          <w:p>
            <w:pPr>
              <w:widowControl/>
              <w:jc w:val="center"/>
              <w:rPr>
                <w:kern w:val="0"/>
                <w:szCs w:val="21"/>
              </w:rPr>
            </w:pPr>
            <w:r>
              <w:rPr>
                <w:rFonts w:hint="eastAsia"/>
              </w:rPr>
              <w:t>53</w:t>
            </w:r>
          </w:p>
        </w:tc>
        <w:tc>
          <w:tcPr>
            <w:tcW w:w="1214" w:type="dxa"/>
            <w:vAlign w:val="center"/>
          </w:tcPr>
          <w:p>
            <w:pPr>
              <w:widowControl/>
              <w:jc w:val="center"/>
              <w:rPr>
                <w:kern w:val="0"/>
                <w:szCs w:val="21"/>
              </w:rPr>
            </w:pPr>
            <w:r>
              <w:rPr>
                <w:rFonts w:hint="eastAsia"/>
              </w:rPr>
              <w:t>42</w:t>
            </w:r>
          </w:p>
        </w:tc>
        <w:tc>
          <w:tcPr>
            <w:tcW w:w="1217" w:type="dxa"/>
            <w:vAlign w:val="center"/>
          </w:tcPr>
          <w:p>
            <w:pPr>
              <w:widowControl/>
              <w:jc w:val="center"/>
              <w:rPr>
                <w:kern w:val="0"/>
                <w:szCs w:val="21"/>
              </w:rPr>
            </w:pPr>
            <w:r>
              <w:rPr>
                <w:rFonts w:hint="eastAsia"/>
              </w:rPr>
              <w:t>53</w:t>
            </w:r>
          </w:p>
        </w:tc>
        <w:tc>
          <w:tcPr>
            <w:tcW w:w="1261" w:type="dxa"/>
            <w:vAlign w:val="center"/>
          </w:tcPr>
          <w:p>
            <w:pPr>
              <w:widowControl/>
              <w:jc w:val="center"/>
              <w:rPr>
                <w:kern w:val="0"/>
                <w:szCs w:val="21"/>
              </w:rPr>
            </w:pPr>
            <w:r>
              <w:rPr>
                <w:rFonts w:hint="eastAsia"/>
              </w:rPr>
              <w:t>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33" w:type="dxa"/>
            <w:vAlign w:val="center"/>
          </w:tcPr>
          <w:p>
            <w:pPr>
              <w:widowControl/>
              <w:jc w:val="center"/>
              <w:rPr>
                <w:kern w:val="0"/>
                <w:szCs w:val="21"/>
              </w:rPr>
            </w:pPr>
            <w:r>
              <w:rPr>
                <w:kern w:val="0"/>
                <w:szCs w:val="21"/>
              </w:rPr>
              <w:t>11#</w:t>
            </w:r>
          </w:p>
        </w:tc>
        <w:tc>
          <w:tcPr>
            <w:tcW w:w="3082" w:type="dxa"/>
            <w:vAlign w:val="center"/>
          </w:tcPr>
          <w:p>
            <w:pPr>
              <w:jc w:val="center"/>
            </w:pPr>
            <w:r>
              <w:rPr>
                <w:kern w:val="0"/>
                <w:szCs w:val="21"/>
              </w:rPr>
              <w:t>垃圾处理场</w:t>
            </w:r>
            <w:r>
              <w:rPr>
                <w:rFonts w:hint="eastAsia"/>
                <w:kern w:val="0"/>
                <w:szCs w:val="21"/>
              </w:rPr>
              <w:t>西</w:t>
            </w:r>
          </w:p>
        </w:tc>
        <w:tc>
          <w:tcPr>
            <w:tcW w:w="1215" w:type="dxa"/>
            <w:vAlign w:val="center"/>
          </w:tcPr>
          <w:p>
            <w:pPr>
              <w:widowControl/>
              <w:jc w:val="center"/>
              <w:rPr>
                <w:kern w:val="0"/>
                <w:szCs w:val="21"/>
              </w:rPr>
            </w:pPr>
            <w:r>
              <w:rPr>
                <w:rFonts w:hint="eastAsia"/>
              </w:rPr>
              <w:t>52</w:t>
            </w:r>
          </w:p>
        </w:tc>
        <w:tc>
          <w:tcPr>
            <w:tcW w:w="1214" w:type="dxa"/>
            <w:vAlign w:val="center"/>
          </w:tcPr>
          <w:p>
            <w:pPr>
              <w:widowControl/>
              <w:jc w:val="center"/>
              <w:rPr>
                <w:kern w:val="0"/>
                <w:szCs w:val="21"/>
              </w:rPr>
            </w:pPr>
            <w:r>
              <w:rPr>
                <w:rFonts w:hint="eastAsia"/>
              </w:rPr>
              <w:t>43</w:t>
            </w:r>
          </w:p>
        </w:tc>
        <w:tc>
          <w:tcPr>
            <w:tcW w:w="1217" w:type="dxa"/>
            <w:vAlign w:val="center"/>
          </w:tcPr>
          <w:p>
            <w:pPr>
              <w:widowControl/>
              <w:jc w:val="center"/>
              <w:rPr>
                <w:kern w:val="0"/>
                <w:szCs w:val="21"/>
              </w:rPr>
            </w:pPr>
            <w:r>
              <w:rPr>
                <w:rFonts w:hint="eastAsia"/>
              </w:rPr>
              <w:t>52</w:t>
            </w:r>
          </w:p>
        </w:tc>
        <w:tc>
          <w:tcPr>
            <w:tcW w:w="1261" w:type="dxa"/>
            <w:vAlign w:val="center"/>
          </w:tcPr>
          <w:p>
            <w:pPr>
              <w:widowControl/>
              <w:jc w:val="center"/>
              <w:rPr>
                <w:kern w:val="0"/>
                <w:szCs w:val="21"/>
              </w:rPr>
            </w:pPr>
            <w:r>
              <w:rPr>
                <w:rFonts w:hint="eastAsia"/>
              </w:rPr>
              <w:t>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33" w:type="dxa"/>
            <w:vAlign w:val="center"/>
          </w:tcPr>
          <w:p>
            <w:pPr>
              <w:widowControl/>
              <w:jc w:val="center"/>
              <w:rPr>
                <w:kern w:val="0"/>
                <w:szCs w:val="21"/>
              </w:rPr>
            </w:pPr>
            <w:r>
              <w:rPr>
                <w:kern w:val="0"/>
                <w:szCs w:val="21"/>
              </w:rPr>
              <w:t>12#</w:t>
            </w:r>
          </w:p>
        </w:tc>
        <w:tc>
          <w:tcPr>
            <w:tcW w:w="3082" w:type="dxa"/>
            <w:vAlign w:val="center"/>
          </w:tcPr>
          <w:p>
            <w:pPr>
              <w:jc w:val="center"/>
            </w:pPr>
            <w:r>
              <w:rPr>
                <w:kern w:val="0"/>
                <w:szCs w:val="21"/>
              </w:rPr>
              <w:t>垃圾处理场北</w:t>
            </w:r>
          </w:p>
        </w:tc>
        <w:tc>
          <w:tcPr>
            <w:tcW w:w="1215" w:type="dxa"/>
            <w:vAlign w:val="center"/>
          </w:tcPr>
          <w:p>
            <w:pPr>
              <w:widowControl/>
              <w:jc w:val="center"/>
              <w:rPr>
                <w:kern w:val="0"/>
                <w:szCs w:val="21"/>
              </w:rPr>
            </w:pPr>
            <w:r>
              <w:rPr>
                <w:rFonts w:hint="eastAsia"/>
              </w:rPr>
              <w:t>52</w:t>
            </w:r>
          </w:p>
        </w:tc>
        <w:tc>
          <w:tcPr>
            <w:tcW w:w="1214" w:type="dxa"/>
            <w:vAlign w:val="center"/>
          </w:tcPr>
          <w:p>
            <w:pPr>
              <w:widowControl/>
              <w:jc w:val="center"/>
              <w:rPr>
                <w:kern w:val="0"/>
                <w:szCs w:val="21"/>
              </w:rPr>
            </w:pPr>
            <w:r>
              <w:rPr>
                <w:rFonts w:hint="eastAsia"/>
              </w:rPr>
              <w:t>42</w:t>
            </w:r>
          </w:p>
        </w:tc>
        <w:tc>
          <w:tcPr>
            <w:tcW w:w="1217" w:type="dxa"/>
            <w:vAlign w:val="center"/>
          </w:tcPr>
          <w:p>
            <w:pPr>
              <w:widowControl/>
              <w:jc w:val="center"/>
              <w:rPr>
                <w:kern w:val="0"/>
                <w:szCs w:val="21"/>
              </w:rPr>
            </w:pPr>
            <w:r>
              <w:rPr>
                <w:rFonts w:hint="eastAsia"/>
              </w:rPr>
              <w:t>52</w:t>
            </w:r>
          </w:p>
        </w:tc>
        <w:tc>
          <w:tcPr>
            <w:tcW w:w="1261" w:type="dxa"/>
            <w:vAlign w:val="center"/>
          </w:tcPr>
          <w:p>
            <w:pPr>
              <w:widowControl/>
              <w:jc w:val="center"/>
              <w:rPr>
                <w:kern w:val="0"/>
                <w:szCs w:val="21"/>
              </w:rPr>
            </w:pPr>
            <w:r>
              <w:rPr>
                <w:rFonts w:hint="eastAsia"/>
              </w:rPr>
              <w:t>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33" w:type="dxa"/>
            <w:vAlign w:val="center"/>
          </w:tcPr>
          <w:p>
            <w:pPr>
              <w:widowControl/>
              <w:jc w:val="center"/>
              <w:rPr>
                <w:kern w:val="0"/>
                <w:szCs w:val="21"/>
              </w:rPr>
            </w:pPr>
          </w:p>
        </w:tc>
        <w:tc>
          <w:tcPr>
            <w:tcW w:w="3082" w:type="dxa"/>
            <w:vAlign w:val="center"/>
          </w:tcPr>
          <w:p>
            <w:pPr>
              <w:jc w:val="center"/>
              <w:rPr>
                <w:color w:val="FF0000"/>
                <w:kern w:val="0"/>
                <w:szCs w:val="21"/>
              </w:rPr>
            </w:pPr>
            <w:r>
              <w:rPr>
                <w:rFonts w:hint="eastAsia"/>
                <w:color w:val="FF0000"/>
                <w:kern w:val="0"/>
                <w:szCs w:val="21"/>
              </w:rPr>
              <w:t>标准值</w:t>
            </w:r>
          </w:p>
        </w:tc>
        <w:tc>
          <w:tcPr>
            <w:tcW w:w="1215" w:type="dxa"/>
            <w:vAlign w:val="center"/>
          </w:tcPr>
          <w:p>
            <w:pPr>
              <w:widowControl/>
              <w:jc w:val="center"/>
              <w:rPr>
                <w:color w:val="FF0000"/>
              </w:rPr>
            </w:pPr>
            <w:r>
              <w:rPr>
                <w:color w:val="FF0000"/>
              </w:rPr>
              <w:t>60</w:t>
            </w:r>
          </w:p>
        </w:tc>
        <w:tc>
          <w:tcPr>
            <w:tcW w:w="1214" w:type="dxa"/>
            <w:vAlign w:val="center"/>
          </w:tcPr>
          <w:p>
            <w:pPr>
              <w:widowControl/>
              <w:jc w:val="center"/>
              <w:rPr>
                <w:color w:val="FF0000"/>
              </w:rPr>
            </w:pPr>
            <w:r>
              <w:rPr>
                <w:color w:val="FF0000"/>
              </w:rPr>
              <w:t>50</w:t>
            </w:r>
          </w:p>
        </w:tc>
        <w:tc>
          <w:tcPr>
            <w:tcW w:w="1217" w:type="dxa"/>
            <w:vAlign w:val="center"/>
          </w:tcPr>
          <w:p>
            <w:pPr>
              <w:widowControl/>
              <w:jc w:val="center"/>
              <w:rPr>
                <w:color w:val="FF0000"/>
              </w:rPr>
            </w:pPr>
            <w:r>
              <w:rPr>
                <w:color w:val="FF0000"/>
              </w:rPr>
              <w:t>60</w:t>
            </w:r>
          </w:p>
        </w:tc>
        <w:tc>
          <w:tcPr>
            <w:tcW w:w="1261" w:type="dxa"/>
            <w:vAlign w:val="center"/>
          </w:tcPr>
          <w:p>
            <w:pPr>
              <w:widowControl/>
              <w:jc w:val="center"/>
              <w:rPr>
                <w:color w:val="FF0000"/>
              </w:rPr>
            </w:pPr>
            <w:r>
              <w:rPr>
                <w:color w:val="FF0000"/>
              </w:rPr>
              <w:t>50</w:t>
            </w:r>
          </w:p>
        </w:tc>
      </w:tr>
    </w:tbl>
    <w:p>
      <w:pPr>
        <w:rPr>
          <w:b/>
          <w:sz w:val="24"/>
        </w:rPr>
      </w:pPr>
    </w:p>
    <w:p>
      <w:pPr>
        <w:spacing w:line="360" w:lineRule="auto"/>
        <w:ind w:firstLine="480" w:firstLineChars="200"/>
        <w:rPr>
          <w:sz w:val="24"/>
        </w:rPr>
        <w:sectPr>
          <w:pgSz w:w="11906" w:h="16838"/>
          <w:pgMar w:top="1440" w:right="1800" w:bottom="1440" w:left="1800" w:header="851" w:footer="992" w:gutter="0"/>
          <w:cols w:space="720" w:num="1"/>
          <w:docGrid w:type="lines" w:linePitch="312" w:charSpace="0"/>
        </w:sectPr>
      </w:pPr>
      <w:r>
        <w:rPr>
          <w:sz w:val="24"/>
        </w:rPr>
        <w:t>由环境噪声监测结果可知：垃圾处理场的噪声现状监测值昼间在52～54dB（A）之间、夜间在42～44dB（A）之间；监测点均未超过《声环境质量标准》（GB3096-2008）</w:t>
      </w:r>
      <w:r>
        <w:rPr>
          <w:color w:val="FF0000"/>
          <w:sz w:val="24"/>
        </w:rPr>
        <w:t>2类标</w:t>
      </w:r>
      <w:r>
        <w:rPr>
          <w:sz w:val="24"/>
        </w:rPr>
        <w:t>准限值，说明本项目所处地区声环境质量良好。</w:t>
      </w:r>
    </w:p>
    <w:p>
      <w:pPr>
        <w:spacing w:line="360" w:lineRule="auto"/>
        <w:outlineLvl w:val="2"/>
        <w:rPr>
          <w:b/>
          <w:bCs/>
          <w:sz w:val="28"/>
          <w:szCs w:val="32"/>
        </w:rPr>
      </w:pPr>
      <w:bookmarkStart w:id="345" w:name="_Toc143762331"/>
      <w:bookmarkStart w:id="346" w:name="_Toc489433065"/>
      <w:r>
        <w:rPr>
          <w:b/>
          <w:bCs/>
          <w:sz w:val="28"/>
          <w:szCs w:val="32"/>
        </w:rPr>
        <w:t>4.2.5生态环境质量现状调查及评价</w:t>
      </w:r>
      <w:bookmarkEnd w:id="345"/>
      <w:bookmarkEnd w:id="346"/>
    </w:p>
    <w:p>
      <w:pPr>
        <w:pStyle w:val="939"/>
        <w:ind w:firstLine="480"/>
        <w:rPr>
          <w:b/>
          <w:bCs/>
          <w:sz w:val="28"/>
          <w:szCs w:val="32"/>
        </w:rPr>
      </w:pPr>
      <w:r>
        <w:rPr>
          <w:rFonts w:hint="eastAsia"/>
        </w:rPr>
        <w:t>本项目不涉及国家公园、自然保护区、世界自然遗产、重要生境、自然公园、生态红线、法定生态保护区域、地下水或土壤影响范围内没有分布天然林、公益林、湿地等生态保护目标，项目占地0.068km</w:t>
      </w:r>
      <w:r>
        <w:rPr>
          <w:rFonts w:hint="eastAsia"/>
          <w:vertAlign w:val="superscript"/>
        </w:rPr>
        <w:t>2</w:t>
      </w:r>
      <w:r>
        <w:t>＜20 km</w:t>
      </w:r>
      <w:r>
        <w:rPr>
          <w:vertAlign w:val="superscript"/>
        </w:rPr>
        <w:t>2</w:t>
      </w:r>
      <w:r>
        <w:t>，根据《环境影响评价技术导则 生态影响》（HJ19-2022）中的6.1.2的规定评价等级为三级。三级评价现状调查以收集有效资料为主，可开展必要的遥感调查或现场校核。</w:t>
      </w:r>
      <w:r>
        <w:rPr>
          <w:rFonts w:hint="eastAsia"/>
        </w:rPr>
        <w:t>本项目采用遥感调查及收集资料为主。</w:t>
      </w:r>
    </w:p>
    <w:p>
      <w:pPr>
        <w:spacing w:line="360" w:lineRule="auto"/>
        <w:outlineLvl w:val="3"/>
        <w:rPr>
          <w:b/>
          <w:sz w:val="24"/>
        </w:rPr>
      </w:pPr>
      <w:bookmarkStart w:id="347" w:name="_Toc69881051"/>
      <w:bookmarkStart w:id="348" w:name="_Toc144027354"/>
      <w:bookmarkStart w:id="349" w:name="_Toc69827879"/>
      <w:bookmarkStart w:id="350" w:name="_Toc84951668"/>
      <w:bookmarkStart w:id="351" w:name="_Toc69639695"/>
      <w:bookmarkStart w:id="352" w:name="_Toc90036353"/>
      <w:bookmarkStart w:id="353" w:name="_Toc401479142"/>
      <w:bookmarkStart w:id="354" w:name="_Toc69880610"/>
      <w:bookmarkStart w:id="355" w:name="_Toc128061087"/>
      <w:bookmarkStart w:id="356" w:name="_Toc84847166"/>
      <w:bookmarkStart w:id="357" w:name="_Toc69615171"/>
      <w:bookmarkStart w:id="358" w:name="_Toc69896819"/>
      <w:bookmarkStart w:id="359" w:name="_Toc69880763"/>
      <w:bookmarkStart w:id="360" w:name="_Toc196468591"/>
      <w:r>
        <w:rPr>
          <w:b/>
          <w:sz w:val="24"/>
        </w:rPr>
        <w:t>4.2.5.1基础信息获取过程</w:t>
      </w:r>
    </w:p>
    <w:p>
      <w:pPr>
        <w:spacing w:line="360" w:lineRule="auto"/>
        <w:ind w:firstLine="480" w:firstLineChars="200"/>
        <w:rPr>
          <w:sz w:val="24"/>
        </w:rPr>
      </w:pPr>
      <w:r>
        <w:rPr>
          <w:sz w:val="24"/>
        </w:rPr>
        <w:t>1、遥感数据源的选择与解译</w:t>
      </w:r>
    </w:p>
    <w:p>
      <w:pPr>
        <w:spacing w:line="360" w:lineRule="auto"/>
        <w:ind w:firstLine="480" w:firstLineChars="200"/>
        <w:rPr>
          <w:sz w:val="24"/>
        </w:rPr>
      </w:pPr>
      <w:r>
        <w:rPr>
          <w:rFonts w:hint="eastAsia"/>
          <w:sz w:val="24"/>
        </w:rPr>
        <w:t>项目区生态评价解译使用的遥感数据采用Landsat 8 卫星影像，获取时间为202</w:t>
      </w:r>
      <w:r>
        <w:rPr>
          <w:sz w:val="24"/>
        </w:rPr>
        <w:t>2</w:t>
      </w:r>
      <w:r>
        <w:rPr>
          <w:rFonts w:hint="eastAsia"/>
          <w:sz w:val="24"/>
        </w:rPr>
        <w:t>年</w:t>
      </w:r>
      <w:r>
        <w:rPr>
          <w:sz w:val="24"/>
        </w:rPr>
        <w:t>7</w:t>
      </w:r>
      <w:r>
        <w:rPr>
          <w:rFonts w:hint="eastAsia"/>
          <w:sz w:val="24"/>
        </w:rPr>
        <w:t>月，空间分辨率为15m，经过融合处理后的图像地表信息丰富，有利于生态环境因子遥感解译标志的建立，保证了各生态环境要素解译成果的准确性。遥感影像图见图4.2-</w:t>
      </w:r>
      <w:r>
        <w:rPr>
          <w:sz w:val="24"/>
        </w:rPr>
        <w:t>5</w:t>
      </w:r>
      <w:r>
        <w:rPr>
          <w:rFonts w:hint="eastAsia"/>
          <w:sz w:val="24"/>
        </w:rPr>
        <w:t>。</w:t>
      </w:r>
    </w:p>
    <w:p>
      <w:pPr>
        <w:adjustRightInd w:val="0"/>
        <w:snapToGrid w:val="0"/>
        <w:spacing w:line="360" w:lineRule="auto"/>
        <w:rPr>
          <w:sz w:val="24"/>
        </w:rPr>
      </w:pPr>
      <w:r>
        <w:drawing>
          <wp:inline distT="0" distB="0" distL="0" distR="0">
            <wp:extent cx="5274310" cy="7459345"/>
            <wp:effectExtent l="0" t="0" r="0" b="0"/>
            <wp:docPr id="19" name="图片 19" descr="C:\Users\众成环境\AppData\Local\Microsoft\Windows\INetCache\Content.Word\遥感影像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众成环境\AppData\Local\Microsoft\Windows\INetCache\Content.Word\遥感影像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4310" cy="7459761"/>
                    </a:xfrm>
                    <a:prstGeom prst="rect">
                      <a:avLst/>
                    </a:prstGeom>
                    <a:noFill/>
                    <a:ln>
                      <a:noFill/>
                    </a:ln>
                  </pic:spPr>
                </pic:pic>
              </a:graphicData>
            </a:graphic>
          </wp:inline>
        </w:drawing>
      </w:r>
    </w:p>
    <w:p>
      <w:pPr>
        <w:spacing w:line="360" w:lineRule="auto"/>
        <w:ind w:firstLine="482"/>
        <w:jc w:val="center"/>
        <w:rPr>
          <w:b/>
          <w:bCs/>
          <w:sz w:val="22"/>
          <w:szCs w:val="22"/>
        </w:rPr>
      </w:pPr>
      <w:r>
        <w:rPr>
          <w:rFonts w:hint="eastAsia"/>
          <w:b/>
          <w:sz w:val="24"/>
        </w:rPr>
        <w:t>图4.2-</w:t>
      </w:r>
      <w:r>
        <w:rPr>
          <w:b/>
          <w:sz w:val="24"/>
        </w:rPr>
        <w:t xml:space="preserve">5   </w:t>
      </w:r>
      <w:r>
        <w:rPr>
          <w:b/>
          <w:bCs/>
          <w:sz w:val="22"/>
          <w:szCs w:val="22"/>
        </w:rPr>
        <w:t>遥感影像图</w:t>
      </w:r>
    </w:p>
    <w:p>
      <w:pPr>
        <w:adjustRightInd w:val="0"/>
        <w:snapToGrid w:val="0"/>
        <w:spacing w:line="360" w:lineRule="auto"/>
        <w:rPr>
          <w:sz w:val="24"/>
        </w:rPr>
        <w:sectPr>
          <w:pgSz w:w="11906" w:h="16838"/>
          <w:pgMar w:top="1440" w:right="1800" w:bottom="1440" w:left="1800" w:header="851" w:footer="992" w:gutter="0"/>
          <w:cols w:space="720" w:num="1"/>
          <w:docGrid w:type="lines" w:linePitch="312" w:charSpace="0"/>
        </w:sectPr>
      </w:pPr>
      <w:r>
        <w:rPr>
          <w:sz w:val="24"/>
        </w:rPr>
        <w:t xml:space="preserve">        </w:t>
      </w:r>
    </w:p>
    <w:p>
      <w:pPr>
        <w:adjustRightInd w:val="0"/>
        <w:snapToGrid w:val="0"/>
        <w:spacing w:line="360" w:lineRule="auto"/>
        <w:outlineLvl w:val="3"/>
        <w:rPr>
          <w:b/>
          <w:sz w:val="24"/>
        </w:rPr>
      </w:pPr>
      <w:bookmarkStart w:id="361" w:name="_Toc208827987"/>
      <w:bookmarkStart w:id="362" w:name="_Toc226348334"/>
      <w:bookmarkStart w:id="363" w:name="_Toc153387882"/>
      <w:bookmarkStart w:id="364" w:name="_Toc226349817"/>
      <w:bookmarkStart w:id="365" w:name="_Toc208823867"/>
      <w:bookmarkStart w:id="366" w:name="_Toc208827713"/>
      <w:bookmarkStart w:id="367" w:name="_Toc203877913"/>
      <w:bookmarkStart w:id="368" w:name="_Toc208825742"/>
      <w:bookmarkStart w:id="369" w:name="_Toc208829543"/>
      <w:bookmarkStart w:id="370" w:name="_Toc208826699"/>
      <w:bookmarkStart w:id="371" w:name="_Toc209538639"/>
      <w:bookmarkStart w:id="372" w:name="_Toc206995604"/>
      <w:bookmarkStart w:id="373" w:name="_Toc208829813"/>
      <w:bookmarkStart w:id="374" w:name="_Toc208830083"/>
      <w:bookmarkStart w:id="375" w:name="_Toc208826334"/>
      <w:bookmarkStart w:id="376" w:name="_Toc208825290"/>
      <w:bookmarkStart w:id="377" w:name="_Toc396048791"/>
      <w:bookmarkStart w:id="378" w:name="_Toc317605584"/>
      <w:r>
        <w:rPr>
          <w:b/>
          <w:sz w:val="24"/>
        </w:rPr>
        <w:t>4.2.5.2</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r>
        <w:rPr>
          <w:b/>
          <w:sz w:val="24"/>
        </w:rPr>
        <w:t>植被现状</w:t>
      </w:r>
      <w:bookmarkEnd w:id="377"/>
      <w:bookmarkEnd w:id="378"/>
    </w:p>
    <w:p>
      <w:pPr>
        <w:adjustRightInd w:val="0"/>
        <w:snapToGrid w:val="0"/>
        <w:spacing w:line="360" w:lineRule="auto"/>
        <w:ind w:firstLine="480" w:firstLineChars="200"/>
        <w:rPr>
          <w:b/>
          <w:sz w:val="24"/>
        </w:rPr>
      </w:pPr>
      <w:r>
        <w:rPr>
          <w:sz w:val="24"/>
        </w:rPr>
        <w:t>本项目项目区属于</w:t>
      </w:r>
      <w:r>
        <w:rPr>
          <w:rFonts w:hint="eastAsia"/>
          <w:sz w:val="24"/>
        </w:rPr>
        <w:t>河套平原灌溉生态功能区，以农业生产为主</w:t>
      </w:r>
      <w:r>
        <w:rPr>
          <w:sz w:val="24"/>
        </w:rPr>
        <w:t>。</w:t>
      </w:r>
      <w:r>
        <w:rPr>
          <w:rFonts w:hint="eastAsia"/>
          <w:sz w:val="24"/>
        </w:rPr>
        <w:t>农作物</w:t>
      </w:r>
      <w:r>
        <w:rPr>
          <w:sz w:val="24"/>
        </w:rPr>
        <w:t>主要</w:t>
      </w:r>
      <w:r>
        <w:rPr>
          <w:rFonts w:hint="eastAsia"/>
          <w:sz w:val="24"/>
        </w:rPr>
        <w:t>为葵花</w:t>
      </w:r>
      <w:r>
        <w:rPr>
          <w:sz w:val="24"/>
        </w:rPr>
        <w:t>。</w:t>
      </w:r>
    </w:p>
    <w:p>
      <w:pPr>
        <w:adjustRightInd w:val="0"/>
        <w:snapToGrid w:val="0"/>
        <w:spacing w:line="360" w:lineRule="auto"/>
        <w:ind w:firstLine="480" w:firstLineChars="200"/>
        <w:rPr>
          <w:sz w:val="24"/>
        </w:rPr>
      </w:pPr>
      <w:r>
        <w:rPr>
          <w:sz w:val="24"/>
        </w:rPr>
        <w:t>项目区域植物名录见表4.2-14。</w:t>
      </w:r>
    </w:p>
    <w:p>
      <w:pPr>
        <w:pStyle w:val="44"/>
        <w:ind w:firstLine="361" w:firstLineChars="150"/>
        <w:jc w:val="center"/>
        <w:rPr>
          <w:rFonts w:cs="Times New Roman"/>
          <w:b/>
          <w:szCs w:val="24"/>
        </w:rPr>
      </w:pPr>
      <w:r>
        <w:rPr>
          <w:rFonts w:cs="Times New Roman"/>
          <w:b/>
          <w:szCs w:val="24"/>
        </w:rPr>
        <w:t>表4.2-14 项目区域植物名录</w:t>
      </w:r>
    </w:p>
    <w:tbl>
      <w:tblPr>
        <w:tblStyle w:val="8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35"/>
        <w:gridCol w:w="3543"/>
        <w:gridCol w:w="25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35" w:type="dxa"/>
            <w:vAlign w:val="center"/>
          </w:tcPr>
          <w:p>
            <w:pPr>
              <w:spacing w:line="360" w:lineRule="auto"/>
              <w:jc w:val="center"/>
              <w:rPr>
                <w:szCs w:val="21"/>
              </w:rPr>
            </w:pPr>
            <w:r>
              <w:rPr>
                <w:szCs w:val="21"/>
              </w:rPr>
              <w:t>中文名</w:t>
            </w:r>
          </w:p>
        </w:tc>
        <w:tc>
          <w:tcPr>
            <w:tcW w:w="3543" w:type="dxa"/>
            <w:vAlign w:val="center"/>
          </w:tcPr>
          <w:p>
            <w:pPr>
              <w:spacing w:line="360" w:lineRule="auto"/>
              <w:jc w:val="center"/>
              <w:rPr>
                <w:szCs w:val="21"/>
              </w:rPr>
            </w:pPr>
            <w:r>
              <w:rPr>
                <w:szCs w:val="21"/>
              </w:rPr>
              <w:t>学名</w:t>
            </w:r>
          </w:p>
        </w:tc>
        <w:tc>
          <w:tcPr>
            <w:tcW w:w="2552" w:type="dxa"/>
            <w:vAlign w:val="center"/>
          </w:tcPr>
          <w:p>
            <w:pPr>
              <w:spacing w:line="360" w:lineRule="auto"/>
              <w:jc w:val="center"/>
              <w:rPr>
                <w:szCs w:val="21"/>
              </w:rPr>
            </w:pPr>
            <w:r>
              <w:rPr>
                <w:szCs w:val="21"/>
              </w:rPr>
              <w:t>生活型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35" w:type="dxa"/>
            <w:vAlign w:val="center"/>
          </w:tcPr>
          <w:p>
            <w:pPr>
              <w:spacing w:line="360" w:lineRule="auto"/>
              <w:jc w:val="center"/>
              <w:rPr>
                <w:szCs w:val="21"/>
              </w:rPr>
            </w:pPr>
            <w:r>
              <w:rPr>
                <w:rFonts w:hint="eastAsia"/>
                <w:szCs w:val="21"/>
              </w:rPr>
              <w:t>沙蒿</w:t>
            </w:r>
          </w:p>
        </w:tc>
        <w:tc>
          <w:tcPr>
            <w:tcW w:w="3543" w:type="dxa"/>
            <w:vAlign w:val="center"/>
          </w:tcPr>
          <w:p>
            <w:pPr>
              <w:spacing w:line="360" w:lineRule="auto"/>
              <w:jc w:val="center"/>
              <w:rPr>
                <w:i/>
                <w:szCs w:val="21"/>
              </w:rPr>
            </w:pPr>
            <w:r>
              <w:rPr>
                <w:i/>
                <w:szCs w:val="21"/>
                <w:shd w:val="clear" w:color="auto" w:fill="FFFFFF"/>
              </w:rPr>
              <w:t>Artemisia desertorum</w:t>
            </w:r>
          </w:p>
        </w:tc>
        <w:tc>
          <w:tcPr>
            <w:tcW w:w="2552" w:type="dxa"/>
            <w:vAlign w:val="center"/>
          </w:tcPr>
          <w:p>
            <w:pPr>
              <w:spacing w:line="360" w:lineRule="auto"/>
              <w:jc w:val="center"/>
              <w:rPr>
                <w:szCs w:val="21"/>
              </w:rPr>
            </w:pPr>
            <w:r>
              <w:rPr>
                <w:rFonts w:ascii="Arial" w:hAnsi="Arial" w:cs="Arial"/>
                <w:szCs w:val="21"/>
                <w:shd w:val="clear" w:color="auto" w:fill="FFFFFF"/>
              </w:rPr>
              <w:t>一年或二年生草本植物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35" w:type="dxa"/>
            <w:vAlign w:val="center"/>
          </w:tcPr>
          <w:p>
            <w:pPr>
              <w:spacing w:line="360" w:lineRule="auto"/>
              <w:jc w:val="center"/>
              <w:rPr>
                <w:szCs w:val="21"/>
              </w:rPr>
            </w:pPr>
            <w:r>
              <w:rPr>
                <w:szCs w:val="21"/>
              </w:rPr>
              <w:t>羊草</w:t>
            </w:r>
          </w:p>
        </w:tc>
        <w:tc>
          <w:tcPr>
            <w:tcW w:w="3543" w:type="dxa"/>
            <w:vAlign w:val="center"/>
          </w:tcPr>
          <w:p>
            <w:pPr>
              <w:spacing w:line="360" w:lineRule="auto"/>
              <w:jc w:val="center"/>
              <w:rPr>
                <w:i/>
                <w:szCs w:val="21"/>
              </w:rPr>
            </w:pPr>
            <w:r>
              <w:rPr>
                <w:i/>
                <w:szCs w:val="21"/>
                <w:shd w:val="clear" w:color="auto" w:fill="FFFFFF"/>
              </w:rPr>
              <w:t>Leymus chinensis(Trin.) Tzvel.</w:t>
            </w:r>
          </w:p>
        </w:tc>
        <w:tc>
          <w:tcPr>
            <w:tcW w:w="2552" w:type="dxa"/>
            <w:vAlign w:val="center"/>
          </w:tcPr>
          <w:p>
            <w:pPr>
              <w:spacing w:line="360" w:lineRule="auto"/>
              <w:jc w:val="center"/>
              <w:rPr>
                <w:szCs w:val="21"/>
              </w:rPr>
            </w:pPr>
            <w:r>
              <w:rPr>
                <w:szCs w:val="21"/>
              </w:rPr>
              <w:t>多年生草本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35" w:type="dxa"/>
            <w:vAlign w:val="center"/>
          </w:tcPr>
          <w:p>
            <w:pPr>
              <w:kinsoku w:val="0"/>
              <w:overflowPunct w:val="0"/>
              <w:autoSpaceDE w:val="0"/>
              <w:autoSpaceDN w:val="0"/>
              <w:adjustRightInd w:val="0"/>
              <w:snapToGrid w:val="0"/>
              <w:jc w:val="center"/>
              <w:textAlignment w:val="center"/>
              <w:rPr>
                <w:kern w:val="0"/>
                <w:szCs w:val="21"/>
              </w:rPr>
            </w:pPr>
            <w:r>
              <w:rPr>
                <w:kern w:val="0"/>
                <w:szCs w:val="21"/>
              </w:rPr>
              <w:t>狗尾草</w:t>
            </w:r>
          </w:p>
        </w:tc>
        <w:tc>
          <w:tcPr>
            <w:tcW w:w="3543" w:type="dxa"/>
            <w:vAlign w:val="center"/>
          </w:tcPr>
          <w:p>
            <w:pPr>
              <w:kinsoku w:val="0"/>
              <w:overflowPunct w:val="0"/>
              <w:autoSpaceDE w:val="0"/>
              <w:autoSpaceDN w:val="0"/>
              <w:adjustRightInd w:val="0"/>
              <w:snapToGrid w:val="0"/>
              <w:jc w:val="center"/>
              <w:textAlignment w:val="center"/>
              <w:rPr>
                <w:i/>
                <w:kern w:val="0"/>
                <w:szCs w:val="21"/>
              </w:rPr>
            </w:pPr>
            <w:r>
              <w:rPr>
                <w:i/>
                <w:szCs w:val="21"/>
                <w:shd w:val="clear" w:color="auto" w:fill="FFFFFF"/>
              </w:rPr>
              <w:t>Setairaviridis(L.)Beauv</w:t>
            </w:r>
          </w:p>
        </w:tc>
        <w:tc>
          <w:tcPr>
            <w:tcW w:w="2552" w:type="dxa"/>
            <w:vAlign w:val="center"/>
          </w:tcPr>
          <w:p>
            <w:pPr>
              <w:spacing w:line="360" w:lineRule="auto"/>
              <w:jc w:val="center"/>
              <w:rPr>
                <w:szCs w:val="21"/>
              </w:rPr>
            </w:pPr>
            <w:r>
              <w:rPr>
                <w:rFonts w:ascii="Arial" w:hAnsi="Arial" w:cs="Arial"/>
                <w:szCs w:val="21"/>
                <w:shd w:val="clear" w:color="auto" w:fill="FFFFFF"/>
              </w:rPr>
              <w:t>一年生草本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35" w:type="dxa"/>
            <w:vAlign w:val="center"/>
          </w:tcPr>
          <w:p>
            <w:pPr>
              <w:kinsoku w:val="0"/>
              <w:overflowPunct w:val="0"/>
              <w:autoSpaceDE w:val="0"/>
              <w:autoSpaceDN w:val="0"/>
              <w:adjustRightInd w:val="0"/>
              <w:snapToGrid w:val="0"/>
              <w:jc w:val="center"/>
              <w:textAlignment w:val="center"/>
              <w:rPr>
                <w:kern w:val="0"/>
                <w:szCs w:val="21"/>
              </w:rPr>
            </w:pPr>
            <w:r>
              <w:rPr>
                <w:rFonts w:hint="eastAsia"/>
                <w:kern w:val="0"/>
                <w:szCs w:val="21"/>
              </w:rPr>
              <w:t>碱蒿</w:t>
            </w:r>
          </w:p>
        </w:tc>
        <w:tc>
          <w:tcPr>
            <w:tcW w:w="3543" w:type="dxa"/>
            <w:vAlign w:val="center"/>
          </w:tcPr>
          <w:p>
            <w:pPr>
              <w:kinsoku w:val="0"/>
              <w:overflowPunct w:val="0"/>
              <w:autoSpaceDE w:val="0"/>
              <w:autoSpaceDN w:val="0"/>
              <w:adjustRightInd w:val="0"/>
              <w:snapToGrid w:val="0"/>
              <w:jc w:val="center"/>
              <w:textAlignment w:val="center"/>
              <w:rPr>
                <w:i/>
                <w:kern w:val="0"/>
                <w:szCs w:val="21"/>
              </w:rPr>
            </w:pPr>
            <w:r>
              <w:rPr>
                <w:i/>
                <w:szCs w:val="21"/>
                <w:shd w:val="clear" w:color="auto" w:fill="FFFFFF"/>
              </w:rPr>
              <w:t>ArtemisiaanethifoliaWeber</w:t>
            </w:r>
          </w:p>
        </w:tc>
        <w:tc>
          <w:tcPr>
            <w:tcW w:w="2552" w:type="dxa"/>
            <w:vAlign w:val="center"/>
          </w:tcPr>
          <w:p>
            <w:pPr>
              <w:spacing w:line="360" w:lineRule="auto"/>
              <w:jc w:val="center"/>
              <w:rPr>
                <w:szCs w:val="21"/>
              </w:rPr>
            </w:pPr>
            <w:r>
              <w:rPr>
                <w:rFonts w:ascii="Arial" w:hAnsi="Arial" w:cs="Arial"/>
                <w:szCs w:val="21"/>
                <w:shd w:val="clear" w:color="auto" w:fill="FFFFFF"/>
              </w:rPr>
              <w:t>一年或二年生草本植物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35" w:type="dxa"/>
            <w:vAlign w:val="center"/>
          </w:tcPr>
          <w:p>
            <w:pPr>
              <w:kinsoku w:val="0"/>
              <w:overflowPunct w:val="0"/>
              <w:autoSpaceDE w:val="0"/>
              <w:autoSpaceDN w:val="0"/>
              <w:adjustRightInd w:val="0"/>
              <w:snapToGrid w:val="0"/>
              <w:jc w:val="center"/>
              <w:textAlignment w:val="center"/>
              <w:rPr>
                <w:kern w:val="0"/>
                <w:szCs w:val="21"/>
              </w:rPr>
            </w:pPr>
            <w:r>
              <w:rPr>
                <w:rFonts w:hint="eastAsia"/>
                <w:kern w:val="0"/>
                <w:szCs w:val="21"/>
              </w:rPr>
              <w:t>蒲公英</w:t>
            </w:r>
          </w:p>
        </w:tc>
        <w:tc>
          <w:tcPr>
            <w:tcW w:w="3543" w:type="dxa"/>
            <w:vAlign w:val="center"/>
          </w:tcPr>
          <w:p>
            <w:pPr>
              <w:kinsoku w:val="0"/>
              <w:overflowPunct w:val="0"/>
              <w:autoSpaceDE w:val="0"/>
              <w:autoSpaceDN w:val="0"/>
              <w:adjustRightInd w:val="0"/>
              <w:snapToGrid w:val="0"/>
              <w:jc w:val="center"/>
              <w:textAlignment w:val="center"/>
              <w:rPr>
                <w:i/>
                <w:szCs w:val="21"/>
                <w:shd w:val="clear" w:color="auto" w:fill="FFFFFF"/>
              </w:rPr>
            </w:pPr>
            <w:r>
              <w:rPr>
                <w:i/>
                <w:szCs w:val="21"/>
                <w:shd w:val="clear" w:color="auto" w:fill="FFFFFF"/>
              </w:rPr>
              <w:t>Taraxacum mongolicum</w:t>
            </w:r>
          </w:p>
        </w:tc>
        <w:tc>
          <w:tcPr>
            <w:tcW w:w="2552" w:type="dxa"/>
            <w:vAlign w:val="center"/>
          </w:tcPr>
          <w:p>
            <w:pPr>
              <w:spacing w:line="360" w:lineRule="auto"/>
              <w:jc w:val="center"/>
              <w:rPr>
                <w:rFonts w:ascii="Arial" w:hAnsi="Arial" w:cs="Arial"/>
                <w:szCs w:val="21"/>
                <w:shd w:val="clear" w:color="auto" w:fill="FFFFFF"/>
              </w:rPr>
            </w:pPr>
            <w:r>
              <w:rPr>
                <w:rFonts w:ascii="Arial" w:hAnsi="Arial" w:cs="Arial"/>
                <w:szCs w:val="21"/>
                <w:shd w:val="clear" w:color="auto" w:fill="FFFFFF"/>
              </w:rPr>
              <w:t>多年生</w:t>
            </w:r>
            <w:r>
              <w:fldChar w:fldCharType="begin"/>
            </w:r>
            <w:r>
              <w:instrText xml:space="preserve"> HYPERLINK "http://baike.so.com/doc/5899437.html" \t "_blank" </w:instrText>
            </w:r>
            <w:r>
              <w:fldChar w:fldCharType="separate"/>
            </w:r>
            <w:r>
              <w:rPr>
                <w:rStyle w:val="142"/>
                <w:rFonts w:ascii="Arial" w:hAnsi="Arial" w:cs="Arial"/>
                <w:color w:val="auto"/>
                <w:szCs w:val="21"/>
                <w:u w:val="none"/>
                <w:shd w:val="clear" w:color="auto" w:fill="FFFFFF"/>
              </w:rPr>
              <w:t>草本</w:t>
            </w:r>
            <w:r>
              <w:rPr>
                <w:rStyle w:val="142"/>
                <w:rFonts w:ascii="Arial" w:hAnsi="Arial" w:cs="Arial"/>
                <w:color w:val="auto"/>
                <w:szCs w:val="21"/>
                <w:u w:val="none"/>
                <w:shd w:val="clear" w:color="auto" w:fill="FFFFFF"/>
              </w:rPr>
              <w:fldChar w:fldCharType="end"/>
            </w:r>
            <w:r>
              <w:rPr>
                <w:rFonts w:ascii="Arial" w:hAnsi="Arial" w:cs="Arial"/>
                <w:szCs w:val="21"/>
                <w:shd w:val="clear" w:color="auto" w:fill="FFFFFF"/>
              </w:rPr>
              <w:t>植物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35" w:type="dxa"/>
            <w:vAlign w:val="center"/>
          </w:tcPr>
          <w:p>
            <w:pPr>
              <w:kinsoku w:val="0"/>
              <w:overflowPunct w:val="0"/>
              <w:autoSpaceDE w:val="0"/>
              <w:autoSpaceDN w:val="0"/>
              <w:adjustRightInd w:val="0"/>
              <w:snapToGrid w:val="0"/>
              <w:jc w:val="center"/>
              <w:textAlignment w:val="center"/>
              <w:rPr>
                <w:kern w:val="0"/>
                <w:szCs w:val="21"/>
              </w:rPr>
            </w:pPr>
            <w:r>
              <w:rPr>
                <w:rFonts w:hint="eastAsia"/>
                <w:kern w:val="0"/>
                <w:szCs w:val="21"/>
              </w:rPr>
              <w:t>葵花</w:t>
            </w:r>
          </w:p>
        </w:tc>
        <w:tc>
          <w:tcPr>
            <w:tcW w:w="3543" w:type="dxa"/>
            <w:vAlign w:val="center"/>
          </w:tcPr>
          <w:p>
            <w:pPr>
              <w:kinsoku w:val="0"/>
              <w:overflowPunct w:val="0"/>
              <w:autoSpaceDE w:val="0"/>
              <w:autoSpaceDN w:val="0"/>
              <w:adjustRightInd w:val="0"/>
              <w:snapToGrid w:val="0"/>
              <w:jc w:val="center"/>
              <w:textAlignment w:val="center"/>
              <w:rPr>
                <w:i/>
                <w:kern w:val="0"/>
                <w:szCs w:val="21"/>
              </w:rPr>
            </w:pPr>
          </w:p>
        </w:tc>
        <w:tc>
          <w:tcPr>
            <w:tcW w:w="2552" w:type="dxa"/>
            <w:vAlign w:val="center"/>
          </w:tcPr>
          <w:p>
            <w:pPr>
              <w:spacing w:line="360" w:lineRule="auto"/>
              <w:jc w:val="center"/>
              <w:rPr>
                <w:szCs w:val="21"/>
              </w:rPr>
            </w:pPr>
            <w:r>
              <w:rPr>
                <w:rFonts w:hint="eastAsia"/>
                <w:szCs w:val="21"/>
              </w:rPr>
              <w:t>农作物</w:t>
            </w:r>
          </w:p>
        </w:tc>
      </w:tr>
    </w:tbl>
    <w:p>
      <w:pPr>
        <w:autoSpaceDE w:val="0"/>
        <w:autoSpaceDN w:val="0"/>
        <w:adjustRightInd w:val="0"/>
        <w:spacing w:line="360" w:lineRule="auto"/>
        <w:ind w:firstLine="480" w:firstLineChars="200"/>
        <w:jc w:val="left"/>
        <w:rPr>
          <w:sz w:val="24"/>
        </w:rPr>
      </w:pPr>
    </w:p>
    <w:p>
      <w:pPr>
        <w:autoSpaceDE w:val="0"/>
        <w:autoSpaceDN w:val="0"/>
        <w:adjustRightInd w:val="0"/>
        <w:spacing w:line="360" w:lineRule="auto"/>
        <w:ind w:firstLine="480" w:firstLineChars="200"/>
        <w:jc w:val="left"/>
        <w:rPr>
          <w:sz w:val="24"/>
        </w:rPr>
      </w:pPr>
      <w:r>
        <w:rPr>
          <w:sz w:val="24"/>
        </w:rPr>
        <w:t>利用卫星遥感及地理信息系统技术并结合地面实际调查，对</w:t>
      </w:r>
      <w:r>
        <w:rPr>
          <w:rFonts w:hint="eastAsia"/>
          <w:sz w:val="24"/>
        </w:rPr>
        <w:t>项目评价范围内</w:t>
      </w:r>
      <w:r>
        <w:rPr>
          <w:sz w:val="24"/>
        </w:rPr>
        <w:t>的植被分布现状进行调查。评价区植被现状调查结果见表4.2-15、4.2-16，评价区内现状植被类型图4.2-4。</w:t>
      </w:r>
    </w:p>
    <w:p>
      <w:pPr>
        <w:widowControl/>
        <w:spacing w:before="156" w:beforeLines="50"/>
        <w:ind w:firstLine="482" w:firstLineChars="200"/>
        <w:jc w:val="center"/>
        <w:rPr>
          <w:b/>
          <w:kern w:val="0"/>
          <w:sz w:val="24"/>
        </w:rPr>
      </w:pPr>
      <w:r>
        <w:rPr>
          <w:b/>
          <w:kern w:val="0"/>
          <w:sz w:val="24"/>
        </w:rPr>
        <w:t>表4.2-15    项目区植被类型统计结果表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469"/>
        <w:gridCol w:w="1467"/>
        <w:gridCol w:w="1467"/>
        <w:gridCol w:w="2059"/>
        <w:gridCol w:w="2060"/>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862" w:type="pct"/>
            <w:shd w:val="clear" w:color="auto" w:fill="auto"/>
            <w:noWrap/>
            <w:vAlign w:val="center"/>
          </w:tcPr>
          <w:p>
            <w:pPr>
              <w:widowControl/>
              <w:jc w:val="center"/>
              <w:rPr>
                <w:kern w:val="0"/>
                <w:szCs w:val="21"/>
              </w:rPr>
            </w:pPr>
            <w:r>
              <w:rPr>
                <w:kern w:val="0"/>
                <w:szCs w:val="21"/>
              </w:rPr>
              <w:t>植被类型</w:t>
            </w:r>
          </w:p>
        </w:tc>
        <w:tc>
          <w:tcPr>
            <w:tcW w:w="861" w:type="pct"/>
            <w:shd w:val="clear" w:color="auto" w:fill="auto"/>
            <w:noWrap/>
            <w:vAlign w:val="center"/>
          </w:tcPr>
          <w:p>
            <w:pPr>
              <w:widowControl/>
              <w:jc w:val="center"/>
              <w:rPr>
                <w:kern w:val="0"/>
                <w:szCs w:val="21"/>
              </w:rPr>
            </w:pPr>
            <w:r>
              <w:rPr>
                <w:kern w:val="0"/>
                <w:szCs w:val="21"/>
              </w:rPr>
              <w:t>群落类型</w:t>
            </w:r>
          </w:p>
        </w:tc>
        <w:tc>
          <w:tcPr>
            <w:tcW w:w="861" w:type="pct"/>
            <w:shd w:val="clear" w:color="auto" w:fill="auto"/>
            <w:noWrap/>
            <w:vAlign w:val="center"/>
          </w:tcPr>
          <w:p>
            <w:pPr>
              <w:widowControl/>
              <w:jc w:val="center"/>
              <w:rPr>
                <w:kern w:val="0"/>
                <w:szCs w:val="21"/>
              </w:rPr>
            </w:pPr>
            <w:r>
              <w:rPr>
                <w:kern w:val="0"/>
                <w:szCs w:val="21"/>
              </w:rPr>
              <w:t>斑块数</w:t>
            </w:r>
          </w:p>
        </w:tc>
        <w:tc>
          <w:tcPr>
            <w:tcW w:w="1208" w:type="pct"/>
            <w:shd w:val="clear" w:color="auto" w:fill="auto"/>
            <w:noWrap/>
            <w:vAlign w:val="center"/>
          </w:tcPr>
          <w:p>
            <w:pPr>
              <w:widowControl/>
              <w:jc w:val="center"/>
              <w:rPr>
                <w:kern w:val="0"/>
                <w:szCs w:val="21"/>
              </w:rPr>
            </w:pPr>
            <w:r>
              <w:rPr>
                <w:kern w:val="0"/>
                <w:szCs w:val="21"/>
              </w:rPr>
              <w:t>面积（公顷）</w:t>
            </w:r>
          </w:p>
        </w:tc>
        <w:tc>
          <w:tcPr>
            <w:tcW w:w="1208" w:type="pct"/>
          </w:tcPr>
          <w:p>
            <w:pPr>
              <w:widowControl/>
              <w:jc w:val="center"/>
              <w:rPr>
                <w:kern w:val="0"/>
                <w:szCs w:val="21"/>
              </w:rPr>
            </w:pPr>
            <w:r>
              <w:rPr>
                <w:rFonts w:hint="eastAsia"/>
                <w:kern w:val="0"/>
                <w:szCs w:val="21"/>
              </w:rPr>
              <w:t>所占比例（%）</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862" w:type="pct"/>
            <w:shd w:val="clear" w:color="auto" w:fill="auto"/>
            <w:noWrap/>
            <w:vAlign w:val="center"/>
          </w:tcPr>
          <w:p>
            <w:pPr>
              <w:widowControl/>
              <w:jc w:val="center"/>
              <w:rPr>
                <w:kern w:val="0"/>
                <w:szCs w:val="21"/>
              </w:rPr>
            </w:pPr>
            <w:r>
              <w:rPr>
                <w:kern w:val="0"/>
                <w:szCs w:val="21"/>
              </w:rPr>
              <w:t>其他</w:t>
            </w:r>
          </w:p>
        </w:tc>
        <w:tc>
          <w:tcPr>
            <w:tcW w:w="861" w:type="pct"/>
            <w:shd w:val="clear" w:color="auto" w:fill="auto"/>
            <w:noWrap/>
            <w:vAlign w:val="center"/>
          </w:tcPr>
          <w:p>
            <w:pPr>
              <w:widowControl/>
              <w:jc w:val="center"/>
              <w:rPr>
                <w:kern w:val="0"/>
                <w:szCs w:val="21"/>
              </w:rPr>
            </w:pPr>
            <w:r>
              <w:rPr>
                <w:kern w:val="0"/>
                <w:szCs w:val="21"/>
              </w:rPr>
              <w:t>无植被</w:t>
            </w:r>
          </w:p>
        </w:tc>
        <w:tc>
          <w:tcPr>
            <w:tcW w:w="861" w:type="pct"/>
            <w:shd w:val="clear" w:color="auto" w:fill="auto"/>
            <w:noWrap/>
            <w:vAlign w:val="center"/>
          </w:tcPr>
          <w:p>
            <w:pPr>
              <w:widowControl/>
              <w:jc w:val="center"/>
              <w:rPr>
                <w:kern w:val="0"/>
                <w:szCs w:val="21"/>
              </w:rPr>
            </w:pPr>
            <w:r>
              <w:rPr>
                <w:kern w:val="0"/>
                <w:szCs w:val="21"/>
              </w:rPr>
              <w:t>1</w:t>
            </w:r>
          </w:p>
        </w:tc>
        <w:tc>
          <w:tcPr>
            <w:tcW w:w="1208" w:type="pct"/>
            <w:shd w:val="clear" w:color="auto" w:fill="auto"/>
            <w:noWrap/>
            <w:vAlign w:val="center"/>
          </w:tcPr>
          <w:p>
            <w:pPr>
              <w:widowControl/>
              <w:jc w:val="center"/>
              <w:rPr>
                <w:kern w:val="0"/>
                <w:szCs w:val="21"/>
              </w:rPr>
            </w:pPr>
            <w:r>
              <w:rPr>
                <w:kern w:val="0"/>
                <w:szCs w:val="21"/>
              </w:rPr>
              <w:t>6.50</w:t>
            </w:r>
          </w:p>
        </w:tc>
        <w:tc>
          <w:tcPr>
            <w:tcW w:w="1208" w:type="pct"/>
          </w:tcPr>
          <w:p>
            <w:pPr>
              <w:widowControl/>
              <w:jc w:val="center"/>
              <w:rPr>
                <w:kern w:val="0"/>
                <w:szCs w:val="21"/>
              </w:rPr>
            </w:pPr>
            <w:r>
              <w:rPr>
                <w:rFonts w:hint="eastAsia"/>
                <w:kern w:val="0"/>
                <w:szCs w:val="21"/>
              </w:rPr>
              <w:t>1</w:t>
            </w:r>
            <w:r>
              <w:rPr>
                <w:kern w:val="0"/>
                <w:szCs w:val="21"/>
              </w:rPr>
              <w:t>00</w:t>
            </w:r>
          </w:p>
        </w:tc>
      </w:tr>
    </w:tbl>
    <w:p>
      <w:pPr>
        <w:widowControl/>
        <w:spacing w:before="156" w:beforeLines="50"/>
        <w:ind w:firstLine="482" w:firstLineChars="200"/>
        <w:jc w:val="center"/>
        <w:rPr>
          <w:b/>
          <w:kern w:val="0"/>
          <w:sz w:val="24"/>
        </w:rPr>
      </w:pPr>
      <w:r>
        <w:rPr>
          <w:b/>
          <w:kern w:val="0"/>
          <w:sz w:val="24"/>
        </w:rPr>
        <w:t>表4.2-16   评价区植被类型统计结果表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33"/>
        <w:gridCol w:w="1433"/>
        <w:gridCol w:w="1433"/>
        <w:gridCol w:w="2011"/>
        <w:gridCol w:w="20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958"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植被类型</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群落类型</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斑块数</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面积（公顷）</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rFonts w:hint="eastAsia"/>
                <w:kern w:val="0"/>
                <w:szCs w:val="21"/>
              </w:rPr>
              <w:t>所占比例（%）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958"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人工植被</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农田植被</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17</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376.58</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86.04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958"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落叶阔叶林</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杨树群落</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4</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8.02</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1.83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958"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其他</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无植被</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17</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53.08</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12.13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958" w:type="pct"/>
            <w:shd w:val="clear" w:color="auto" w:fill="auto"/>
            <w:noWrap/>
            <w:vAlign w:val="center"/>
          </w:tcPr>
          <w:p>
            <w:pPr>
              <w:kinsoku w:val="0"/>
              <w:overflowPunct w:val="0"/>
              <w:autoSpaceDE w:val="0"/>
              <w:autoSpaceDN w:val="0"/>
              <w:adjustRightInd w:val="0"/>
              <w:snapToGrid w:val="0"/>
              <w:jc w:val="center"/>
              <w:rPr>
                <w:kern w:val="0"/>
                <w:szCs w:val="21"/>
              </w:rPr>
            </w:pP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合计</w:t>
            </w:r>
          </w:p>
        </w:tc>
        <w:tc>
          <w:tcPr>
            <w:tcW w:w="841"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38</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437.68</w:t>
            </w:r>
          </w:p>
        </w:tc>
        <w:tc>
          <w:tcPr>
            <w:tcW w:w="1180" w:type="pct"/>
            <w:shd w:val="clear" w:color="auto" w:fill="auto"/>
            <w:noWrap/>
            <w:vAlign w:val="center"/>
          </w:tcPr>
          <w:p>
            <w:pPr>
              <w:kinsoku w:val="0"/>
              <w:overflowPunct w:val="0"/>
              <w:autoSpaceDE w:val="0"/>
              <w:autoSpaceDN w:val="0"/>
              <w:adjustRightInd w:val="0"/>
              <w:snapToGrid w:val="0"/>
              <w:jc w:val="center"/>
              <w:rPr>
                <w:kern w:val="0"/>
                <w:szCs w:val="21"/>
              </w:rPr>
            </w:pPr>
            <w:r>
              <w:rPr>
                <w:kern w:val="0"/>
                <w:szCs w:val="21"/>
              </w:rPr>
              <w:t>100.00</w:t>
            </w:r>
          </w:p>
        </w:tc>
      </w:tr>
    </w:tbl>
    <w:p>
      <w:pPr>
        <w:widowControl/>
        <w:spacing w:line="360" w:lineRule="auto"/>
        <w:ind w:firstLine="480" w:firstLineChars="200"/>
        <w:rPr>
          <w:sz w:val="24"/>
          <w:szCs w:val="22"/>
        </w:rPr>
      </w:pPr>
      <w:r>
        <w:rPr>
          <w:rFonts w:hint="eastAsia"/>
          <w:sz w:val="24"/>
          <w:szCs w:val="22"/>
        </w:rPr>
        <w:t>由于项目的建设，占地范围内的建筑替代原有植被，占地范围内主要表现为无植被；</w:t>
      </w:r>
      <w:r>
        <w:rPr>
          <w:sz w:val="24"/>
          <w:szCs w:val="22"/>
        </w:rPr>
        <w:t>项目</w:t>
      </w:r>
      <w:r>
        <w:rPr>
          <w:rFonts w:hint="eastAsia"/>
          <w:sz w:val="24"/>
          <w:szCs w:val="22"/>
        </w:rPr>
        <w:t>占地范围外扩1</w:t>
      </w:r>
      <w:r>
        <w:rPr>
          <w:sz w:val="24"/>
          <w:szCs w:val="22"/>
        </w:rPr>
        <w:t>km</w:t>
      </w:r>
      <w:r>
        <w:rPr>
          <w:rFonts w:hint="eastAsia"/>
          <w:sz w:val="24"/>
          <w:szCs w:val="22"/>
        </w:rPr>
        <w:t>评价范围内植被以人工植被</w:t>
      </w:r>
      <w:r>
        <w:rPr>
          <w:sz w:val="24"/>
          <w:szCs w:val="22"/>
        </w:rPr>
        <w:t>为主，面积376.58hm</w:t>
      </w:r>
      <w:r>
        <w:rPr>
          <w:sz w:val="24"/>
          <w:szCs w:val="22"/>
          <w:vertAlign w:val="superscript"/>
        </w:rPr>
        <w:t>2</w:t>
      </w:r>
      <w:r>
        <w:rPr>
          <w:sz w:val="24"/>
          <w:szCs w:val="22"/>
        </w:rPr>
        <w:t>，占</w:t>
      </w:r>
      <w:r>
        <w:rPr>
          <w:rFonts w:hint="eastAsia"/>
          <w:sz w:val="24"/>
          <w:szCs w:val="22"/>
        </w:rPr>
        <w:t>评价区</w:t>
      </w:r>
      <w:r>
        <w:rPr>
          <w:sz w:val="24"/>
          <w:szCs w:val="22"/>
        </w:rPr>
        <w:t>面积的86.04%</w:t>
      </w:r>
      <w:r>
        <w:rPr>
          <w:rFonts w:hint="eastAsia"/>
          <w:sz w:val="24"/>
          <w:szCs w:val="22"/>
        </w:rPr>
        <w:t>，主要为农田植被</w:t>
      </w:r>
      <w:r>
        <w:rPr>
          <w:sz w:val="24"/>
          <w:szCs w:val="22"/>
        </w:rPr>
        <w:t>；</w:t>
      </w:r>
      <w:r>
        <w:rPr>
          <w:rFonts w:hint="eastAsia"/>
          <w:sz w:val="24"/>
          <w:szCs w:val="22"/>
        </w:rPr>
        <w:t>其</w:t>
      </w:r>
      <w:r>
        <w:rPr>
          <w:sz w:val="24"/>
          <w:szCs w:val="22"/>
        </w:rPr>
        <w:t>次为</w:t>
      </w:r>
      <w:r>
        <w:rPr>
          <w:rFonts w:hint="eastAsia"/>
          <w:sz w:val="24"/>
          <w:szCs w:val="22"/>
        </w:rPr>
        <w:t>杨树群落，</w:t>
      </w:r>
      <w:r>
        <w:rPr>
          <w:sz w:val="24"/>
          <w:szCs w:val="22"/>
        </w:rPr>
        <w:t>占</w:t>
      </w:r>
      <w:r>
        <w:rPr>
          <w:rFonts w:hint="eastAsia"/>
          <w:sz w:val="24"/>
          <w:szCs w:val="22"/>
        </w:rPr>
        <w:t>评价区</w:t>
      </w:r>
      <w:r>
        <w:rPr>
          <w:sz w:val="24"/>
          <w:szCs w:val="22"/>
        </w:rPr>
        <w:t>总面积的1.83%。</w:t>
      </w:r>
    </w:p>
    <w:p>
      <w:pPr>
        <w:autoSpaceDE w:val="0"/>
        <w:autoSpaceDN w:val="0"/>
        <w:adjustRightInd w:val="0"/>
        <w:spacing w:line="360" w:lineRule="auto"/>
        <w:jc w:val="left"/>
        <w:rPr>
          <w:sz w:val="24"/>
        </w:rPr>
      </w:pPr>
      <w:r>
        <w:rPr>
          <w:sz w:val="24"/>
        </w:rPr>
        <w:drawing>
          <wp:inline distT="0" distB="0" distL="0" distR="0">
            <wp:extent cx="5274310" cy="7459345"/>
            <wp:effectExtent l="0" t="0" r="0" b="0"/>
            <wp:docPr id="22" name="图片 22" descr="D:\项目\五原生活垃圾填埋场\环评\五原垃圾场遥感结果\五原垃圾场遥感结果\d963dcd303381b06f0d7aec1e625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项目\五原生活垃圾填埋场\环评\五原垃圾场遥感结果\五原垃圾场遥感结果\d963dcd303381b06f0d7aec1e625b0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74310" cy="7459761"/>
                    </a:xfrm>
                    <a:prstGeom prst="rect">
                      <a:avLst/>
                    </a:prstGeom>
                    <a:noFill/>
                    <a:ln>
                      <a:noFill/>
                    </a:ln>
                  </pic:spPr>
                </pic:pic>
              </a:graphicData>
            </a:graphic>
          </wp:inline>
        </w:drawing>
      </w:r>
    </w:p>
    <w:p>
      <w:pPr>
        <w:spacing w:line="360" w:lineRule="auto"/>
        <w:ind w:firstLine="482"/>
        <w:jc w:val="center"/>
        <w:rPr>
          <w:b/>
          <w:bCs/>
          <w:sz w:val="22"/>
          <w:szCs w:val="22"/>
        </w:rPr>
      </w:pPr>
      <w:r>
        <w:rPr>
          <w:rFonts w:hint="eastAsia"/>
          <w:b/>
          <w:sz w:val="24"/>
        </w:rPr>
        <w:t>图4.2-</w:t>
      </w:r>
      <w:r>
        <w:rPr>
          <w:b/>
          <w:sz w:val="24"/>
        </w:rPr>
        <w:t xml:space="preserve">6   </w:t>
      </w:r>
      <w:r>
        <w:rPr>
          <w:rFonts w:hint="eastAsia"/>
          <w:b/>
          <w:sz w:val="24"/>
        </w:rPr>
        <w:t>植被类型</w:t>
      </w:r>
      <w:r>
        <w:rPr>
          <w:b/>
          <w:bCs/>
          <w:sz w:val="22"/>
          <w:szCs w:val="22"/>
        </w:rPr>
        <w:t>图</w:t>
      </w:r>
    </w:p>
    <w:p>
      <w:pPr>
        <w:adjustRightInd w:val="0"/>
        <w:snapToGrid w:val="0"/>
        <w:spacing w:line="360" w:lineRule="auto"/>
        <w:outlineLvl w:val="3"/>
        <w:rPr>
          <w:b/>
          <w:sz w:val="24"/>
        </w:rPr>
      </w:pPr>
      <w:bookmarkStart w:id="379" w:name="_Toc424484443"/>
      <w:bookmarkStart w:id="380" w:name="_Toc423602182"/>
      <w:r>
        <w:rPr>
          <w:b/>
          <w:sz w:val="24"/>
        </w:rPr>
        <w:t>4.2.5.3土地利用现状</w:t>
      </w:r>
      <w:bookmarkEnd w:id="379"/>
      <w:bookmarkEnd w:id="380"/>
    </w:p>
    <w:p>
      <w:pPr>
        <w:adjustRightInd w:val="0"/>
        <w:snapToGrid w:val="0"/>
        <w:spacing w:line="360" w:lineRule="auto"/>
        <w:ind w:firstLine="482"/>
        <w:rPr>
          <w:kern w:val="0"/>
          <w:sz w:val="24"/>
        </w:rPr>
      </w:pPr>
      <w:r>
        <w:rPr>
          <w:sz w:val="24"/>
        </w:rPr>
        <w:t>本</w:t>
      </w:r>
      <w:r>
        <w:rPr>
          <w:kern w:val="0"/>
          <w:sz w:val="24"/>
          <w:szCs w:val="22"/>
        </w:rPr>
        <w:t>项目利用卫星遥感及地理信息系统技术，对</w:t>
      </w:r>
      <w:r>
        <w:rPr>
          <w:kern w:val="0"/>
          <w:sz w:val="24"/>
        </w:rPr>
        <w:t>项目</w:t>
      </w:r>
      <w:r>
        <w:rPr>
          <w:kern w:val="0"/>
          <w:sz w:val="24"/>
          <w:szCs w:val="22"/>
        </w:rPr>
        <w:t>土地利用现状进行调查，调查结果见表4.2-17</w:t>
      </w:r>
      <w:r>
        <w:rPr>
          <w:rFonts w:hint="eastAsia"/>
          <w:kern w:val="0"/>
          <w:sz w:val="24"/>
          <w:szCs w:val="22"/>
        </w:rPr>
        <w:t>、</w:t>
      </w:r>
      <w:r>
        <w:rPr>
          <w:kern w:val="0"/>
          <w:sz w:val="24"/>
          <w:szCs w:val="22"/>
        </w:rPr>
        <w:t>4.2-18，土地利用现状图见4.2-5。</w:t>
      </w:r>
    </w:p>
    <w:p>
      <w:pPr>
        <w:widowControl/>
        <w:jc w:val="center"/>
        <w:rPr>
          <w:b/>
          <w:bCs/>
          <w:kern w:val="0"/>
          <w:sz w:val="24"/>
        </w:rPr>
      </w:pPr>
      <w:r>
        <w:rPr>
          <w:b/>
          <w:bCs/>
          <w:kern w:val="0"/>
          <w:sz w:val="24"/>
        </w:rPr>
        <w:t>表4.2-17    项目区土地利用类型统计结果</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26"/>
        <w:gridCol w:w="1608"/>
        <w:gridCol w:w="1092"/>
        <w:gridCol w:w="1648"/>
        <w:gridCol w:w="1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09" w:type="pct"/>
            <w:shd w:val="clear" w:color="auto" w:fill="auto"/>
            <w:noWrap/>
            <w:vAlign w:val="center"/>
          </w:tcPr>
          <w:p>
            <w:pPr>
              <w:widowControl/>
              <w:jc w:val="center"/>
              <w:rPr>
                <w:kern w:val="0"/>
                <w:szCs w:val="21"/>
              </w:rPr>
            </w:pPr>
            <w:r>
              <w:rPr>
                <w:kern w:val="0"/>
                <w:szCs w:val="21"/>
              </w:rPr>
              <w:t>一级类</w:t>
            </w:r>
          </w:p>
        </w:tc>
        <w:tc>
          <w:tcPr>
            <w:tcW w:w="1112" w:type="pct"/>
            <w:shd w:val="clear" w:color="auto" w:fill="auto"/>
            <w:noWrap/>
            <w:vAlign w:val="center"/>
          </w:tcPr>
          <w:p>
            <w:pPr>
              <w:widowControl/>
              <w:jc w:val="center"/>
              <w:rPr>
                <w:kern w:val="0"/>
                <w:szCs w:val="21"/>
              </w:rPr>
            </w:pPr>
            <w:r>
              <w:rPr>
                <w:kern w:val="0"/>
                <w:szCs w:val="21"/>
              </w:rPr>
              <w:t>二级类</w:t>
            </w:r>
          </w:p>
        </w:tc>
        <w:tc>
          <w:tcPr>
            <w:tcW w:w="809" w:type="pct"/>
            <w:shd w:val="clear" w:color="auto" w:fill="auto"/>
            <w:noWrap/>
            <w:vAlign w:val="center"/>
          </w:tcPr>
          <w:p>
            <w:pPr>
              <w:widowControl/>
              <w:jc w:val="center"/>
              <w:rPr>
                <w:kern w:val="0"/>
                <w:szCs w:val="21"/>
              </w:rPr>
            </w:pPr>
            <w:r>
              <w:rPr>
                <w:kern w:val="0"/>
                <w:szCs w:val="21"/>
              </w:rPr>
              <w:t>斑块数</w:t>
            </w:r>
          </w:p>
        </w:tc>
        <w:tc>
          <w:tcPr>
            <w:tcW w:w="1135" w:type="pct"/>
            <w:shd w:val="clear" w:color="auto" w:fill="auto"/>
            <w:noWrap/>
            <w:vAlign w:val="center"/>
          </w:tcPr>
          <w:p>
            <w:pPr>
              <w:widowControl/>
              <w:jc w:val="center"/>
              <w:rPr>
                <w:kern w:val="0"/>
                <w:szCs w:val="21"/>
              </w:rPr>
            </w:pPr>
            <w:r>
              <w:rPr>
                <w:kern w:val="0"/>
                <w:szCs w:val="21"/>
              </w:rPr>
              <w:t>面积（公顷）</w:t>
            </w:r>
          </w:p>
        </w:tc>
        <w:tc>
          <w:tcPr>
            <w:tcW w:w="1135" w:type="pct"/>
            <w:vAlign w:val="center"/>
          </w:tcPr>
          <w:p>
            <w:pPr>
              <w:widowControl/>
              <w:jc w:val="center"/>
              <w:rPr>
                <w:kern w:val="0"/>
                <w:szCs w:val="21"/>
              </w:rPr>
            </w:pPr>
            <w:r>
              <w:rPr>
                <w:kern w:val="0"/>
                <w:szCs w:val="21"/>
              </w:rPr>
              <w:t>所占比例（%）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09" w:type="pct"/>
            <w:shd w:val="clear" w:color="auto" w:fill="auto"/>
            <w:noWrap/>
            <w:vAlign w:val="center"/>
          </w:tcPr>
          <w:p>
            <w:pPr>
              <w:widowControl/>
              <w:jc w:val="center"/>
              <w:rPr>
                <w:kern w:val="0"/>
                <w:szCs w:val="21"/>
              </w:rPr>
            </w:pPr>
            <w:r>
              <w:rPr>
                <w:rFonts w:hint="eastAsia"/>
                <w:kern w:val="0"/>
                <w:szCs w:val="21"/>
              </w:rPr>
              <w:t>公共管理与公共服务用地</w:t>
            </w:r>
          </w:p>
        </w:tc>
        <w:tc>
          <w:tcPr>
            <w:tcW w:w="1112" w:type="pct"/>
            <w:shd w:val="clear" w:color="auto" w:fill="auto"/>
            <w:noWrap/>
            <w:vAlign w:val="center"/>
          </w:tcPr>
          <w:p>
            <w:pPr>
              <w:widowControl/>
              <w:jc w:val="center"/>
              <w:rPr>
                <w:kern w:val="0"/>
                <w:szCs w:val="21"/>
              </w:rPr>
            </w:pPr>
            <w:r>
              <w:rPr>
                <w:rFonts w:hint="eastAsia"/>
                <w:kern w:val="0"/>
                <w:szCs w:val="21"/>
              </w:rPr>
              <w:t>公用设施用地</w:t>
            </w:r>
          </w:p>
        </w:tc>
        <w:tc>
          <w:tcPr>
            <w:tcW w:w="809" w:type="pct"/>
            <w:shd w:val="clear" w:color="auto" w:fill="auto"/>
            <w:noWrap/>
            <w:vAlign w:val="center"/>
          </w:tcPr>
          <w:p>
            <w:pPr>
              <w:widowControl/>
              <w:jc w:val="center"/>
              <w:rPr>
                <w:kern w:val="0"/>
                <w:szCs w:val="21"/>
              </w:rPr>
            </w:pPr>
            <w:r>
              <w:rPr>
                <w:kern w:val="0"/>
                <w:szCs w:val="21"/>
              </w:rPr>
              <w:t>1</w:t>
            </w:r>
          </w:p>
        </w:tc>
        <w:tc>
          <w:tcPr>
            <w:tcW w:w="1135" w:type="pct"/>
            <w:shd w:val="clear" w:color="auto" w:fill="auto"/>
            <w:noWrap/>
            <w:vAlign w:val="center"/>
          </w:tcPr>
          <w:p>
            <w:pPr>
              <w:widowControl/>
              <w:jc w:val="center"/>
              <w:rPr>
                <w:kern w:val="0"/>
                <w:szCs w:val="21"/>
              </w:rPr>
            </w:pPr>
            <w:r>
              <w:rPr>
                <w:kern w:val="0"/>
                <w:szCs w:val="21"/>
              </w:rPr>
              <w:t>6.50</w:t>
            </w:r>
          </w:p>
        </w:tc>
        <w:tc>
          <w:tcPr>
            <w:tcW w:w="1135" w:type="pct"/>
            <w:vAlign w:val="center"/>
          </w:tcPr>
          <w:p>
            <w:pPr>
              <w:widowControl/>
              <w:jc w:val="center"/>
              <w:rPr>
                <w:kern w:val="0"/>
                <w:szCs w:val="21"/>
              </w:rPr>
            </w:pPr>
            <w:r>
              <w:rPr>
                <w:rFonts w:hint="eastAsia"/>
                <w:kern w:val="0"/>
                <w:szCs w:val="21"/>
              </w:rPr>
              <w:t>1</w:t>
            </w:r>
            <w:r>
              <w:rPr>
                <w:kern w:val="0"/>
                <w:szCs w:val="21"/>
              </w:rPr>
              <w:t>00</w:t>
            </w:r>
          </w:p>
        </w:tc>
      </w:tr>
    </w:tbl>
    <w:p>
      <w:pPr>
        <w:widowControl/>
        <w:jc w:val="center"/>
        <w:rPr>
          <w:b/>
          <w:bCs/>
          <w:kern w:val="0"/>
          <w:sz w:val="24"/>
        </w:rPr>
      </w:pPr>
    </w:p>
    <w:p>
      <w:pPr>
        <w:widowControl/>
        <w:jc w:val="center"/>
        <w:rPr>
          <w:b/>
          <w:bCs/>
          <w:kern w:val="0"/>
          <w:sz w:val="24"/>
        </w:rPr>
      </w:pPr>
      <w:r>
        <w:rPr>
          <w:b/>
          <w:bCs/>
          <w:kern w:val="0"/>
          <w:sz w:val="24"/>
        </w:rPr>
        <w:t>表4.2-18</w:t>
      </w:r>
      <w:r>
        <w:rPr>
          <w:bCs/>
          <w:kern w:val="0"/>
          <w:sz w:val="24"/>
        </w:rPr>
        <w:t xml:space="preserve">    </w:t>
      </w:r>
      <w:r>
        <w:rPr>
          <w:b/>
          <w:bCs/>
          <w:kern w:val="0"/>
          <w:sz w:val="24"/>
        </w:rPr>
        <w:t>评价区土地利用类型统计结果</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26"/>
        <w:gridCol w:w="1607"/>
        <w:gridCol w:w="1091"/>
        <w:gridCol w:w="1647"/>
        <w:gridCol w:w="16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shd w:val="clear" w:color="auto" w:fill="auto"/>
            <w:noWrap/>
            <w:vAlign w:val="center"/>
          </w:tcPr>
          <w:p>
            <w:pPr>
              <w:widowControl/>
              <w:jc w:val="center"/>
              <w:rPr>
                <w:kern w:val="0"/>
                <w:szCs w:val="21"/>
              </w:rPr>
            </w:pPr>
            <w:r>
              <w:rPr>
                <w:kern w:val="0"/>
                <w:szCs w:val="21"/>
              </w:rPr>
              <w:t>一级类</w:t>
            </w:r>
          </w:p>
        </w:tc>
        <w:tc>
          <w:tcPr>
            <w:tcW w:w="996" w:type="pct"/>
            <w:shd w:val="clear" w:color="auto" w:fill="auto"/>
            <w:noWrap/>
            <w:vAlign w:val="center"/>
          </w:tcPr>
          <w:p>
            <w:pPr>
              <w:widowControl/>
              <w:jc w:val="center"/>
              <w:rPr>
                <w:kern w:val="0"/>
                <w:szCs w:val="21"/>
              </w:rPr>
            </w:pPr>
            <w:r>
              <w:rPr>
                <w:kern w:val="0"/>
                <w:szCs w:val="21"/>
              </w:rPr>
              <w:t>二级类</w:t>
            </w:r>
          </w:p>
        </w:tc>
        <w:tc>
          <w:tcPr>
            <w:tcW w:w="693" w:type="pct"/>
            <w:shd w:val="clear" w:color="auto" w:fill="auto"/>
            <w:noWrap/>
            <w:vAlign w:val="center"/>
          </w:tcPr>
          <w:p>
            <w:pPr>
              <w:widowControl/>
              <w:jc w:val="center"/>
              <w:rPr>
                <w:kern w:val="0"/>
                <w:szCs w:val="21"/>
              </w:rPr>
            </w:pPr>
            <w:r>
              <w:rPr>
                <w:kern w:val="0"/>
                <w:szCs w:val="21"/>
              </w:rPr>
              <w:t>斑块数</w:t>
            </w:r>
          </w:p>
        </w:tc>
        <w:tc>
          <w:tcPr>
            <w:tcW w:w="1019" w:type="pct"/>
            <w:shd w:val="clear" w:color="auto" w:fill="auto"/>
            <w:noWrap/>
            <w:vAlign w:val="center"/>
          </w:tcPr>
          <w:p>
            <w:pPr>
              <w:widowControl/>
              <w:jc w:val="center"/>
              <w:rPr>
                <w:kern w:val="0"/>
                <w:szCs w:val="21"/>
              </w:rPr>
            </w:pPr>
            <w:r>
              <w:rPr>
                <w:kern w:val="0"/>
                <w:szCs w:val="21"/>
              </w:rPr>
              <w:t>面积（公顷）</w:t>
            </w:r>
          </w:p>
        </w:tc>
        <w:tc>
          <w:tcPr>
            <w:tcW w:w="1019" w:type="pct"/>
            <w:shd w:val="clear" w:color="auto" w:fill="auto"/>
            <w:noWrap/>
            <w:vAlign w:val="center"/>
          </w:tcPr>
          <w:p>
            <w:pPr>
              <w:widowControl/>
              <w:jc w:val="center"/>
              <w:rPr>
                <w:kern w:val="0"/>
                <w:szCs w:val="21"/>
              </w:rPr>
            </w:pPr>
            <w:r>
              <w:rPr>
                <w:rFonts w:hint="eastAsia"/>
                <w:kern w:val="0"/>
                <w:szCs w:val="21"/>
              </w:rPr>
              <w:t>所占比例（%）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shd w:val="clear" w:color="auto" w:fill="auto"/>
            <w:noWrap/>
            <w:vAlign w:val="center"/>
          </w:tcPr>
          <w:p>
            <w:pPr>
              <w:widowControl/>
              <w:jc w:val="center"/>
              <w:rPr>
                <w:kern w:val="0"/>
                <w:szCs w:val="21"/>
              </w:rPr>
            </w:pPr>
            <w:r>
              <w:rPr>
                <w:rFonts w:hint="eastAsia"/>
                <w:kern w:val="0"/>
                <w:szCs w:val="21"/>
              </w:rPr>
              <w:t>公共管理与公共服务用地</w:t>
            </w:r>
          </w:p>
        </w:tc>
        <w:tc>
          <w:tcPr>
            <w:tcW w:w="996" w:type="pct"/>
            <w:shd w:val="clear" w:color="auto" w:fill="auto"/>
            <w:noWrap/>
            <w:vAlign w:val="center"/>
          </w:tcPr>
          <w:p>
            <w:pPr>
              <w:widowControl/>
              <w:jc w:val="center"/>
              <w:rPr>
                <w:kern w:val="0"/>
                <w:szCs w:val="21"/>
              </w:rPr>
            </w:pPr>
            <w:r>
              <w:rPr>
                <w:rFonts w:hint="eastAsia"/>
                <w:kern w:val="0"/>
                <w:szCs w:val="21"/>
              </w:rPr>
              <w:t>公用设施用地</w:t>
            </w:r>
          </w:p>
        </w:tc>
        <w:tc>
          <w:tcPr>
            <w:tcW w:w="693" w:type="pct"/>
            <w:shd w:val="clear" w:color="auto" w:fill="auto"/>
            <w:noWrap/>
            <w:vAlign w:val="center"/>
          </w:tcPr>
          <w:p>
            <w:pPr>
              <w:widowControl/>
              <w:jc w:val="center"/>
              <w:rPr>
                <w:kern w:val="0"/>
                <w:szCs w:val="21"/>
              </w:rPr>
            </w:pPr>
            <w:r>
              <w:rPr>
                <w:kern w:val="0"/>
                <w:szCs w:val="21"/>
              </w:rPr>
              <w:t>1</w:t>
            </w:r>
          </w:p>
        </w:tc>
        <w:tc>
          <w:tcPr>
            <w:tcW w:w="1019" w:type="pct"/>
            <w:shd w:val="clear" w:color="auto" w:fill="auto"/>
            <w:noWrap/>
            <w:vAlign w:val="center"/>
          </w:tcPr>
          <w:p>
            <w:pPr>
              <w:widowControl/>
              <w:jc w:val="center"/>
              <w:rPr>
                <w:kern w:val="0"/>
                <w:szCs w:val="21"/>
              </w:rPr>
            </w:pPr>
            <w:r>
              <w:rPr>
                <w:kern w:val="0"/>
                <w:szCs w:val="21"/>
              </w:rPr>
              <w:t>6.80</w:t>
            </w:r>
          </w:p>
        </w:tc>
        <w:tc>
          <w:tcPr>
            <w:tcW w:w="1019" w:type="pct"/>
            <w:shd w:val="clear" w:color="auto" w:fill="auto"/>
            <w:noWrap/>
            <w:vAlign w:val="center"/>
          </w:tcPr>
          <w:p>
            <w:pPr>
              <w:widowControl/>
              <w:jc w:val="center"/>
              <w:rPr>
                <w:kern w:val="0"/>
                <w:szCs w:val="21"/>
              </w:rPr>
            </w:pPr>
            <w:r>
              <w:rPr>
                <w:kern w:val="0"/>
                <w:szCs w:val="21"/>
              </w:rPr>
              <w:t>1.55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vMerge w:val="restart"/>
            <w:shd w:val="clear" w:color="auto" w:fill="auto"/>
            <w:noWrap/>
            <w:vAlign w:val="center"/>
          </w:tcPr>
          <w:p>
            <w:pPr>
              <w:widowControl/>
              <w:jc w:val="center"/>
              <w:rPr>
                <w:kern w:val="0"/>
                <w:szCs w:val="21"/>
              </w:rPr>
            </w:pPr>
            <w:r>
              <w:rPr>
                <w:kern w:val="0"/>
                <w:szCs w:val="21"/>
              </w:rPr>
              <w:t>交通运输用地</w:t>
            </w:r>
          </w:p>
        </w:tc>
        <w:tc>
          <w:tcPr>
            <w:tcW w:w="996" w:type="pct"/>
            <w:shd w:val="clear" w:color="auto" w:fill="auto"/>
            <w:noWrap/>
            <w:vAlign w:val="center"/>
          </w:tcPr>
          <w:p>
            <w:pPr>
              <w:widowControl/>
              <w:jc w:val="center"/>
              <w:rPr>
                <w:kern w:val="0"/>
                <w:szCs w:val="21"/>
              </w:rPr>
            </w:pPr>
            <w:r>
              <w:rPr>
                <w:kern w:val="0"/>
                <w:szCs w:val="21"/>
              </w:rPr>
              <w:t>公路用地</w:t>
            </w:r>
          </w:p>
        </w:tc>
        <w:tc>
          <w:tcPr>
            <w:tcW w:w="693" w:type="pct"/>
            <w:shd w:val="clear" w:color="auto" w:fill="auto"/>
            <w:noWrap/>
            <w:vAlign w:val="center"/>
          </w:tcPr>
          <w:p>
            <w:pPr>
              <w:widowControl/>
              <w:jc w:val="center"/>
              <w:rPr>
                <w:kern w:val="0"/>
                <w:szCs w:val="21"/>
              </w:rPr>
            </w:pPr>
            <w:r>
              <w:rPr>
                <w:kern w:val="0"/>
                <w:szCs w:val="21"/>
              </w:rPr>
              <w:t>1</w:t>
            </w:r>
          </w:p>
        </w:tc>
        <w:tc>
          <w:tcPr>
            <w:tcW w:w="1019" w:type="pct"/>
            <w:shd w:val="clear" w:color="auto" w:fill="auto"/>
            <w:noWrap/>
            <w:vAlign w:val="center"/>
          </w:tcPr>
          <w:p>
            <w:pPr>
              <w:widowControl/>
              <w:jc w:val="center"/>
              <w:rPr>
                <w:kern w:val="0"/>
                <w:szCs w:val="21"/>
              </w:rPr>
            </w:pPr>
            <w:r>
              <w:rPr>
                <w:kern w:val="0"/>
                <w:szCs w:val="21"/>
              </w:rPr>
              <w:t>2.13</w:t>
            </w:r>
          </w:p>
        </w:tc>
        <w:tc>
          <w:tcPr>
            <w:tcW w:w="1019" w:type="pct"/>
            <w:shd w:val="clear" w:color="auto" w:fill="auto"/>
            <w:noWrap/>
            <w:vAlign w:val="center"/>
          </w:tcPr>
          <w:p>
            <w:pPr>
              <w:widowControl/>
              <w:jc w:val="center"/>
              <w:rPr>
                <w:kern w:val="0"/>
                <w:szCs w:val="21"/>
              </w:rPr>
            </w:pPr>
            <w:r>
              <w:rPr>
                <w:kern w:val="0"/>
                <w:szCs w:val="21"/>
              </w:rPr>
              <w:t>0.49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vMerge w:val="continue"/>
            <w:vAlign w:val="center"/>
          </w:tcPr>
          <w:p>
            <w:pPr>
              <w:widowControl/>
              <w:jc w:val="center"/>
              <w:rPr>
                <w:kern w:val="0"/>
                <w:szCs w:val="21"/>
              </w:rPr>
            </w:pPr>
          </w:p>
        </w:tc>
        <w:tc>
          <w:tcPr>
            <w:tcW w:w="996" w:type="pct"/>
            <w:shd w:val="clear" w:color="auto" w:fill="auto"/>
            <w:noWrap/>
            <w:vAlign w:val="center"/>
          </w:tcPr>
          <w:p>
            <w:pPr>
              <w:widowControl/>
              <w:jc w:val="center"/>
              <w:rPr>
                <w:kern w:val="0"/>
                <w:szCs w:val="21"/>
              </w:rPr>
            </w:pPr>
            <w:r>
              <w:rPr>
                <w:kern w:val="0"/>
                <w:szCs w:val="21"/>
              </w:rPr>
              <w:t>农村道路</w:t>
            </w:r>
          </w:p>
        </w:tc>
        <w:tc>
          <w:tcPr>
            <w:tcW w:w="693" w:type="pct"/>
            <w:shd w:val="clear" w:color="auto" w:fill="auto"/>
            <w:noWrap/>
            <w:vAlign w:val="center"/>
          </w:tcPr>
          <w:p>
            <w:pPr>
              <w:widowControl/>
              <w:jc w:val="center"/>
              <w:rPr>
                <w:kern w:val="0"/>
                <w:szCs w:val="21"/>
              </w:rPr>
            </w:pPr>
            <w:r>
              <w:rPr>
                <w:kern w:val="0"/>
                <w:szCs w:val="21"/>
              </w:rPr>
              <w:t>4</w:t>
            </w:r>
          </w:p>
        </w:tc>
        <w:tc>
          <w:tcPr>
            <w:tcW w:w="1019" w:type="pct"/>
            <w:shd w:val="clear" w:color="auto" w:fill="auto"/>
            <w:noWrap/>
            <w:vAlign w:val="center"/>
          </w:tcPr>
          <w:p>
            <w:pPr>
              <w:widowControl/>
              <w:jc w:val="center"/>
              <w:rPr>
                <w:kern w:val="0"/>
                <w:szCs w:val="21"/>
              </w:rPr>
            </w:pPr>
            <w:r>
              <w:rPr>
                <w:kern w:val="0"/>
                <w:szCs w:val="21"/>
              </w:rPr>
              <w:t>3.41</w:t>
            </w:r>
          </w:p>
        </w:tc>
        <w:tc>
          <w:tcPr>
            <w:tcW w:w="1019" w:type="pct"/>
            <w:shd w:val="clear" w:color="auto" w:fill="auto"/>
            <w:noWrap/>
            <w:vAlign w:val="center"/>
          </w:tcPr>
          <w:p>
            <w:pPr>
              <w:widowControl/>
              <w:jc w:val="center"/>
              <w:rPr>
                <w:kern w:val="0"/>
                <w:szCs w:val="21"/>
              </w:rPr>
            </w:pPr>
            <w:r>
              <w:rPr>
                <w:kern w:val="0"/>
                <w:szCs w:val="21"/>
              </w:rPr>
              <w:t>0.78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shd w:val="clear" w:color="auto" w:fill="auto"/>
            <w:noWrap/>
            <w:vAlign w:val="center"/>
          </w:tcPr>
          <w:p>
            <w:pPr>
              <w:widowControl/>
              <w:jc w:val="center"/>
              <w:rPr>
                <w:kern w:val="0"/>
                <w:szCs w:val="21"/>
              </w:rPr>
            </w:pPr>
            <w:r>
              <w:rPr>
                <w:kern w:val="0"/>
                <w:szCs w:val="21"/>
              </w:rPr>
              <w:t>住宅用地</w:t>
            </w:r>
          </w:p>
        </w:tc>
        <w:tc>
          <w:tcPr>
            <w:tcW w:w="996" w:type="pct"/>
            <w:shd w:val="clear" w:color="auto" w:fill="auto"/>
            <w:noWrap/>
            <w:vAlign w:val="center"/>
          </w:tcPr>
          <w:p>
            <w:pPr>
              <w:widowControl/>
              <w:jc w:val="center"/>
              <w:rPr>
                <w:kern w:val="0"/>
                <w:szCs w:val="21"/>
              </w:rPr>
            </w:pPr>
            <w:r>
              <w:rPr>
                <w:kern w:val="0"/>
                <w:szCs w:val="21"/>
              </w:rPr>
              <w:t>农村宅基地</w:t>
            </w:r>
          </w:p>
        </w:tc>
        <w:tc>
          <w:tcPr>
            <w:tcW w:w="693" w:type="pct"/>
            <w:shd w:val="clear" w:color="auto" w:fill="auto"/>
            <w:noWrap/>
            <w:vAlign w:val="center"/>
          </w:tcPr>
          <w:p>
            <w:pPr>
              <w:widowControl/>
              <w:jc w:val="center"/>
              <w:rPr>
                <w:kern w:val="0"/>
                <w:szCs w:val="21"/>
              </w:rPr>
            </w:pPr>
            <w:r>
              <w:rPr>
                <w:kern w:val="0"/>
                <w:szCs w:val="21"/>
              </w:rPr>
              <w:t>2</w:t>
            </w:r>
          </w:p>
        </w:tc>
        <w:tc>
          <w:tcPr>
            <w:tcW w:w="1019" w:type="pct"/>
            <w:shd w:val="clear" w:color="auto" w:fill="auto"/>
            <w:noWrap/>
            <w:vAlign w:val="center"/>
          </w:tcPr>
          <w:p>
            <w:pPr>
              <w:widowControl/>
              <w:jc w:val="center"/>
              <w:rPr>
                <w:kern w:val="0"/>
                <w:szCs w:val="21"/>
              </w:rPr>
            </w:pPr>
            <w:r>
              <w:rPr>
                <w:kern w:val="0"/>
                <w:szCs w:val="21"/>
              </w:rPr>
              <w:t>2.18</w:t>
            </w:r>
          </w:p>
        </w:tc>
        <w:tc>
          <w:tcPr>
            <w:tcW w:w="1019" w:type="pct"/>
            <w:shd w:val="clear" w:color="auto" w:fill="auto"/>
            <w:noWrap/>
            <w:vAlign w:val="center"/>
          </w:tcPr>
          <w:p>
            <w:pPr>
              <w:widowControl/>
              <w:jc w:val="center"/>
              <w:rPr>
                <w:kern w:val="0"/>
                <w:szCs w:val="21"/>
              </w:rPr>
            </w:pPr>
            <w:r>
              <w:rPr>
                <w:kern w:val="0"/>
                <w:szCs w:val="21"/>
              </w:rPr>
              <w:t>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shd w:val="clear" w:color="auto" w:fill="auto"/>
            <w:noWrap/>
            <w:vAlign w:val="center"/>
          </w:tcPr>
          <w:p>
            <w:pPr>
              <w:widowControl/>
              <w:jc w:val="center"/>
              <w:rPr>
                <w:kern w:val="0"/>
                <w:szCs w:val="21"/>
              </w:rPr>
            </w:pPr>
            <w:r>
              <w:rPr>
                <w:kern w:val="0"/>
                <w:szCs w:val="21"/>
              </w:rPr>
              <w:t>林地</w:t>
            </w:r>
          </w:p>
        </w:tc>
        <w:tc>
          <w:tcPr>
            <w:tcW w:w="996" w:type="pct"/>
            <w:shd w:val="clear" w:color="auto" w:fill="auto"/>
            <w:noWrap/>
            <w:vAlign w:val="center"/>
          </w:tcPr>
          <w:p>
            <w:pPr>
              <w:widowControl/>
              <w:jc w:val="center"/>
              <w:rPr>
                <w:kern w:val="0"/>
                <w:szCs w:val="21"/>
              </w:rPr>
            </w:pPr>
            <w:r>
              <w:rPr>
                <w:kern w:val="0"/>
                <w:szCs w:val="21"/>
              </w:rPr>
              <w:t>乔木林地</w:t>
            </w:r>
          </w:p>
        </w:tc>
        <w:tc>
          <w:tcPr>
            <w:tcW w:w="693" w:type="pct"/>
            <w:shd w:val="clear" w:color="auto" w:fill="auto"/>
            <w:noWrap/>
            <w:vAlign w:val="center"/>
          </w:tcPr>
          <w:p>
            <w:pPr>
              <w:widowControl/>
              <w:jc w:val="center"/>
              <w:rPr>
                <w:kern w:val="0"/>
                <w:szCs w:val="21"/>
              </w:rPr>
            </w:pPr>
            <w:r>
              <w:rPr>
                <w:kern w:val="0"/>
                <w:szCs w:val="21"/>
              </w:rPr>
              <w:t>4</w:t>
            </w:r>
          </w:p>
        </w:tc>
        <w:tc>
          <w:tcPr>
            <w:tcW w:w="1019" w:type="pct"/>
            <w:shd w:val="clear" w:color="auto" w:fill="auto"/>
            <w:noWrap/>
            <w:vAlign w:val="center"/>
          </w:tcPr>
          <w:p>
            <w:pPr>
              <w:widowControl/>
              <w:jc w:val="center"/>
              <w:rPr>
                <w:kern w:val="0"/>
                <w:szCs w:val="21"/>
              </w:rPr>
            </w:pPr>
            <w:r>
              <w:rPr>
                <w:kern w:val="0"/>
                <w:szCs w:val="21"/>
              </w:rPr>
              <w:t>8.02</w:t>
            </w:r>
          </w:p>
        </w:tc>
        <w:tc>
          <w:tcPr>
            <w:tcW w:w="1019" w:type="pct"/>
            <w:shd w:val="clear" w:color="auto" w:fill="auto"/>
            <w:noWrap/>
            <w:vAlign w:val="center"/>
          </w:tcPr>
          <w:p>
            <w:pPr>
              <w:widowControl/>
              <w:jc w:val="center"/>
              <w:rPr>
                <w:kern w:val="0"/>
                <w:szCs w:val="21"/>
              </w:rPr>
            </w:pPr>
            <w:r>
              <w:rPr>
                <w:kern w:val="0"/>
                <w:szCs w:val="21"/>
              </w:rPr>
              <w:t>1.83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shd w:val="clear" w:color="auto" w:fill="auto"/>
            <w:noWrap/>
            <w:vAlign w:val="center"/>
          </w:tcPr>
          <w:p>
            <w:pPr>
              <w:widowControl/>
              <w:jc w:val="center"/>
              <w:rPr>
                <w:kern w:val="0"/>
                <w:szCs w:val="21"/>
              </w:rPr>
            </w:pPr>
            <w:r>
              <w:rPr>
                <w:kern w:val="0"/>
                <w:szCs w:val="21"/>
              </w:rPr>
              <w:t>耕地</w:t>
            </w:r>
          </w:p>
        </w:tc>
        <w:tc>
          <w:tcPr>
            <w:tcW w:w="996" w:type="pct"/>
            <w:shd w:val="clear" w:color="auto" w:fill="auto"/>
            <w:noWrap/>
            <w:vAlign w:val="center"/>
          </w:tcPr>
          <w:p>
            <w:pPr>
              <w:widowControl/>
              <w:jc w:val="center"/>
              <w:rPr>
                <w:kern w:val="0"/>
                <w:szCs w:val="21"/>
              </w:rPr>
            </w:pPr>
            <w:r>
              <w:rPr>
                <w:kern w:val="0"/>
                <w:szCs w:val="21"/>
              </w:rPr>
              <w:t>水浇地</w:t>
            </w:r>
          </w:p>
        </w:tc>
        <w:tc>
          <w:tcPr>
            <w:tcW w:w="693" w:type="pct"/>
            <w:shd w:val="clear" w:color="auto" w:fill="auto"/>
            <w:noWrap/>
            <w:vAlign w:val="center"/>
          </w:tcPr>
          <w:p>
            <w:pPr>
              <w:widowControl/>
              <w:jc w:val="center"/>
              <w:rPr>
                <w:kern w:val="0"/>
                <w:szCs w:val="21"/>
              </w:rPr>
            </w:pPr>
            <w:r>
              <w:rPr>
                <w:kern w:val="0"/>
                <w:szCs w:val="21"/>
              </w:rPr>
              <w:t>17</w:t>
            </w:r>
          </w:p>
        </w:tc>
        <w:tc>
          <w:tcPr>
            <w:tcW w:w="1019" w:type="pct"/>
            <w:shd w:val="clear" w:color="auto" w:fill="auto"/>
            <w:noWrap/>
            <w:vAlign w:val="center"/>
          </w:tcPr>
          <w:p>
            <w:pPr>
              <w:widowControl/>
              <w:jc w:val="center"/>
              <w:rPr>
                <w:kern w:val="0"/>
                <w:szCs w:val="21"/>
              </w:rPr>
            </w:pPr>
            <w:r>
              <w:rPr>
                <w:kern w:val="0"/>
                <w:szCs w:val="21"/>
              </w:rPr>
              <w:t>376.58</w:t>
            </w:r>
          </w:p>
        </w:tc>
        <w:tc>
          <w:tcPr>
            <w:tcW w:w="1019" w:type="pct"/>
            <w:shd w:val="clear" w:color="auto" w:fill="auto"/>
            <w:noWrap/>
            <w:vAlign w:val="center"/>
          </w:tcPr>
          <w:p>
            <w:pPr>
              <w:widowControl/>
              <w:jc w:val="center"/>
              <w:rPr>
                <w:kern w:val="0"/>
                <w:szCs w:val="21"/>
              </w:rPr>
            </w:pPr>
            <w:r>
              <w:rPr>
                <w:kern w:val="0"/>
                <w:szCs w:val="21"/>
              </w:rPr>
              <w:t>86.04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shd w:val="clear" w:color="auto" w:fill="auto"/>
            <w:noWrap/>
            <w:vAlign w:val="center"/>
          </w:tcPr>
          <w:p>
            <w:pPr>
              <w:widowControl/>
              <w:jc w:val="center"/>
              <w:rPr>
                <w:kern w:val="0"/>
                <w:szCs w:val="21"/>
              </w:rPr>
            </w:pPr>
            <w:r>
              <w:rPr>
                <w:kern w:val="0"/>
                <w:szCs w:val="21"/>
              </w:rPr>
              <w:t>水域及水利设施用地</w:t>
            </w:r>
          </w:p>
        </w:tc>
        <w:tc>
          <w:tcPr>
            <w:tcW w:w="996" w:type="pct"/>
            <w:shd w:val="clear" w:color="auto" w:fill="auto"/>
            <w:noWrap/>
            <w:vAlign w:val="center"/>
          </w:tcPr>
          <w:p>
            <w:pPr>
              <w:widowControl/>
              <w:jc w:val="center"/>
              <w:rPr>
                <w:kern w:val="0"/>
                <w:szCs w:val="21"/>
              </w:rPr>
            </w:pPr>
            <w:r>
              <w:rPr>
                <w:kern w:val="0"/>
                <w:szCs w:val="21"/>
              </w:rPr>
              <w:t>沟渠</w:t>
            </w:r>
          </w:p>
        </w:tc>
        <w:tc>
          <w:tcPr>
            <w:tcW w:w="693" w:type="pct"/>
            <w:shd w:val="clear" w:color="auto" w:fill="auto"/>
            <w:noWrap/>
            <w:vAlign w:val="center"/>
          </w:tcPr>
          <w:p>
            <w:pPr>
              <w:widowControl/>
              <w:jc w:val="center"/>
              <w:rPr>
                <w:kern w:val="0"/>
                <w:szCs w:val="21"/>
              </w:rPr>
            </w:pPr>
            <w:r>
              <w:rPr>
                <w:kern w:val="0"/>
                <w:szCs w:val="21"/>
              </w:rPr>
              <w:t>5</w:t>
            </w:r>
          </w:p>
        </w:tc>
        <w:tc>
          <w:tcPr>
            <w:tcW w:w="1019" w:type="pct"/>
            <w:shd w:val="clear" w:color="auto" w:fill="auto"/>
            <w:noWrap/>
            <w:vAlign w:val="center"/>
          </w:tcPr>
          <w:p>
            <w:pPr>
              <w:widowControl/>
              <w:jc w:val="center"/>
              <w:rPr>
                <w:kern w:val="0"/>
                <w:szCs w:val="21"/>
              </w:rPr>
            </w:pPr>
            <w:r>
              <w:rPr>
                <w:kern w:val="0"/>
                <w:szCs w:val="21"/>
              </w:rPr>
              <w:t>12.22</w:t>
            </w:r>
          </w:p>
        </w:tc>
        <w:tc>
          <w:tcPr>
            <w:tcW w:w="1019" w:type="pct"/>
            <w:shd w:val="clear" w:color="auto" w:fill="auto"/>
            <w:noWrap/>
            <w:vAlign w:val="center"/>
          </w:tcPr>
          <w:p>
            <w:pPr>
              <w:widowControl/>
              <w:jc w:val="center"/>
              <w:rPr>
                <w:kern w:val="0"/>
                <w:szCs w:val="21"/>
              </w:rPr>
            </w:pPr>
            <w:r>
              <w:rPr>
                <w:kern w:val="0"/>
                <w:szCs w:val="21"/>
              </w:rPr>
              <w:t>2.79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vMerge w:val="restart"/>
            <w:shd w:val="clear" w:color="auto" w:fill="auto"/>
            <w:noWrap/>
            <w:vAlign w:val="center"/>
          </w:tcPr>
          <w:p>
            <w:pPr>
              <w:widowControl/>
              <w:jc w:val="center"/>
              <w:rPr>
                <w:kern w:val="0"/>
                <w:szCs w:val="21"/>
              </w:rPr>
            </w:pPr>
            <w:r>
              <w:rPr>
                <w:kern w:val="0"/>
                <w:szCs w:val="21"/>
              </w:rPr>
              <w:t>其他土地</w:t>
            </w:r>
          </w:p>
        </w:tc>
        <w:tc>
          <w:tcPr>
            <w:tcW w:w="996" w:type="pct"/>
            <w:shd w:val="clear" w:color="auto" w:fill="auto"/>
            <w:noWrap/>
            <w:vAlign w:val="center"/>
          </w:tcPr>
          <w:p>
            <w:pPr>
              <w:widowControl/>
              <w:jc w:val="center"/>
              <w:rPr>
                <w:kern w:val="0"/>
                <w:szCs w:val="21"/>
              </w:rPr>
            </w:pPr>
            <w:r>
              <w:rPr>
                <w:kern w:val="0"/>
                <w:szCs w:val="21"/>
              </w:rPr>
              <w:t>设施农用地</w:t>
            </w:r>
          </w:p>
        </w:tc>
        <w:tc>
          <w:tcPr>
            <w:tcW w:w="693" w:type="pct"/>
            <w:shd w:val="clear" w:color="auto" w:fill="auto"/>
            <w:noWrap/>
            <w:vAlign w:val="center"/>
          </w:tcPr>
          <w:p>
            <w:pPr>
              <w:widowControl/>
              <w:jc w:val="center"/>
              <w:rPr>
                <w:kern w:val="0"/>
                <w:szCs w:val="21"/>
              </w:rPr>
            </w:pPr>
            <w:r>
              <w:rPr>
                <w:kern w:val="0"/>
                <w:szCs w:val="21"/>
              </w:rPr>
              <w:t>1</w:t>
            </w:r>
          </w:p>
        </w:tc>
        <w:tc>
          <w:tcPr>
            <w:tcW w:w="1019" w:type="pct"/>
            <w:shd w:val="clear" w:color="auto" w:fill="auto"/>
            <w:noWrap/>
            <w:vAlign w:val="center"/>
          </w:tcPr>
          <w:p>
            <w:pPr>
              <w:widowControl/>
              <w:jc w:val="center"/>
              <w:rPr>
                <w:kern w:val="0"/>
                <w:szCs w:val="21"/>
              </w:rPr>
            </w:pPr>
            <w:r>
              <w:rPr>
                <w:kern w:val="0"/>
                <w:szCs w:val="21"/>
              </w:rPr>
              <w:t>19.66</w:t>
            </w:r>
          </w:p>
        </w:tc>
        <w:tc>
          <w:tcPr>
            <w:tcW w:w="1019" w:type="pct"/>
            <w:shd w:val="clear" w:color="auto" w:fill="auto"/>
            <w:noWrap/>
            <w:vAlign w:val="center"/>
          </w:tcPr>
          <w:p>
            <w:pPr>
              <w:widowControl/>
              <w:jc w:val="center"/>
              <w:rPr>
                <w:kern w:val="0"/>
                <w:szCs w:val="21"/>
              </w:rPr>
            </w:pPr>
            <w:r>
              <w:rPr>
                <w:kern w:val="0"/>
                <w:szCs w:val="21"/>
              </w:rPr>
              <w:t>4.49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vMerge w:val="continue"/>
            <w:vAlign w:val="center"/>
          </w:tcPr>
          <w:p>
            <w:pPr>
              <w:widowControl/>
              <w:jc w:val="center"/>
              <w:rPr>
                <w:kern w:val="0"/>
                <w:szCs w:val="21"/>
              </w:rPr>
            </w:pPr>
          </w:p>
        </w:tc>
        <w:tc>
          <w:tcPr>
            <w:tcW w:w="996" w:type="pct"/>
            <w:shd w:val="clear" w:color="auto" w:fill="auto"/>
            <w:noWrap/>
            <w:vAlign w:val="center"/>
          </w:tcPr>
          <w:p>
            <w:pPr>
              <w:widowControl/>
              <w:jc w:val="center"/>
              <w:rPr>
                <w:kern w:val="0"/>
                <w:szCs w:val="21"/>
              </w:rPr>
            </w:pPr>
            <w:r>
              <w:rPr>
                <w:kern w:val="0"/>
                <w:szCs w:val="21"/>
              </w:rPr>
              <w:t>裸地</w:t>
            </w:r>
          </w:p>
        </w:tc>
        <w:tc>
          <w:tcPr>
            <w:tcW w:w="693" w:type="pct"/>
            <w:shd w:val="clear" w:color="auto" w:fill="auto"/>
            <w:noWrap/>
            <w:vAlign w:val="center"/>
          </w:tcPr>
          <w:p>
            <w:pPr>
              <w:widowControl/>
              <w:jc w:val="center"/>
              <w:rPr>
                <w:kern w:val="0"/>
                <w:szCs w:val="21"/>
              </w:rPr>
            </w:pPr>
            <w:r>
              <w:rPr>
                <w:kern w:val="0"/>
                <w:szCs w:val="21"/>
              </w:rPr>
              <w:t>3</w:t>
            </w:r>
          </w:p>
        </w:tc>
        <w:tc>
          <w:tcPr>
            <w:tcW w:w="1019" w:type="pct"/>
            <w:shd w:val="clear" w:color="auto" w:fill="auto"/>
            <w:noWrap/>
            <w:vAlign w:val="center"/>
          </w:tcPr>
          <w:p>
            <w:pPr>
              <w:widowControl/>
              <w:jc w:val="center"/>
              <w:rPr>
                <w:kern w:val="0"/>
                <w:szCs w:val="21"/>
              </w:rPr>
            </w:pPr>
            <w:r>
              <w:rPr>
                <w:kern w:val="0"/>
                <w:szCs w:val="21"/>
              </w:rPr>
              <w:t>6.69</w:t>
            </w:r>
          </w:p>
        </w:tc>
        <w:tc>
          <w:tcPr>
            <w:tcW w:w="1019" w:type="pct"/>
            <w:shd w:val="clear" w:color="auto" w:fill="auto"/>
            <w:noWrap/>
            <w:vAlign w:val="center"/>
          </w:tcPr>
          <w:p>
            <w:pPr>
              <w:widowControl/>
              <w:jc w:val="center"/>
              <w:rPr>
                <w:kern w:val="0"/>
                <w:szCs w:val="21"/>
              </w:rPr>
            </w:pPr>
            <w:r>
              <w:rPr>
                <w:kern w:val="0"/>
                <w:szCs w:val="21"/>
              </w:rPr>
              <w:t>1.53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72" w:type="pct"/>
            <w:shd w:val="clear" w:color="auto" w:fill="auto"/>
            <w:noWrap/>
            <w:vAlign w:val="center"/>
          </w:tcPr>
          <w:p>
            <w:pPr>
              <w:widowControl/>
              <w:jc w:val="center"/>
              <w:rPr>
                <w:kern w:val="0"/>
                <w:szCs w:val="21"/>
              </w:rPr>
            </w:pPr>
          </w:p>
        </w:tc>
        <w:tc>
          <w:tcPr>
            <w:tcW w:w="996" w:type="pct"/>
            <w:shd w:val="clear" w:color="auto" w:fill="auto"/>
            <w:noWrap/>
            <w:vAlign w:val="center"/>
          </w:tcPr>
          <w:p>
            <w:pPr>
              <w:widowControl/>
              <w:jc w:val="center"/>
              <w:rPr>
                <w:kern w:val="0"/>
                <w:szCs w:val="21"/>
              </w:rPr>
            </w:pPr>
            <w:r>
              <w:rPr>
                <w:kern w:val="0"/>
                <w:szCs w:val="21"/>
              </w:rPr>
              <w:t>合计</w:t>
            </w:r>
          </w:p>
        </w:tc>
        <w:tc>
          <w:tcPr>
            <w:tcW w:w="693" w:type="pct"/>
            <w:shd w:val="clear" w:color="auto" w:fill="auto"/>
            <w:noWrap/>
            <w:vAlign w:val="center"/>
          </w:tcPr>
          <w:p>
            <w:pPr>
              <w:widowControl/>
              <w:jc w:val="center"/>
              <w:rPr>
                <w:kern w:val="0"/>
                <w:szCs w:val="21"/>
              </w:rPr>
            </w:pPr>
            <w:r>
              <w:rPr>
                <w:kern w:val="0"/>
                <w:szCs w:val="21"/>
              </w:rPr>
              <w:t>38</w:t>
            </w:r>
          </w:p>
        </w:tc>
        <w:tc>
          <w:tcPr>
            <w:tcW w:w="1019" w:type="pct"/>
            <w:shd w:val="clear" w:color="auto" w:fill="auto"/>
            <w:noWrap/>
            <w:vAlign w:val="center"/>
          </w:tcPr>
          <w:p>
            <w:pPr>
              <w:widowControl/>
              <w:jc w:val="center"/>
              <w:rPr>
                <w:kern w:val="0"/>
                <w:szCs w:val="21"/>
              </w:rPr>
            </w:pPr>
            <w:r>
              <w:rPr>
                <w:kern w:val="0"/>
                <w:szCs w:val="21"/>
              </w:rPr>
              <w:t>437.68</w:t>
            </w:r>
          </w:p>
        </w:tc>
        <w:tc>
          <w:tcPr>
            <w:tcW w:w="1019" w:type="pct"/>
            <w:shd w:val="clear" w:color="auto" w:fill="auto"/>
            <w:noWrap/>
            <w:vAlign w:val="center"/>
          </w:tcPr>
          <w:p>
            <w:pPr>
              <w:widowControl/>
              <w:jc w:val="center"/>
              <w:rPr>
                <w:kern w:val="0"/>
                <w:szCs w:val="21"/>
              </w:rPr>
            </w:pPr>
            <w:r>
              <w:rPr>
                <w:kern w:val="0"/>
                <w:szCs w:val="21"/>
              </w:rPr>
              <w:t>100.00</w:t>
            </w:r>
          </w:p>
        </w:tc>
      </w:tr>
    </w:tbl>
    <w:p>
      <w:pPr>
        <w:widowControl/>
        <w:jc w:val="center"/>
        <w:rPr>
          <w:bCs/>
          <w:kern w:val="0"/>
          <w:sz w:val="24"/>
        </w:rPr>
      </w:pPr>
    </w:p>
    <w:p>
      <w:pPr>
        <w:widowControl/>
        <w:spacing w:line="360" w:lineRule="auto"/>
        <w:ind w:firstLine="480" w:firstLineChars="200"/>
        <w:rPr>
          <w:kern w:val="0"/>
          <w:sz w:val="24"/>
          <w:szCs w:val="22"/>
        </w:rPr>
      </w:pPr>
      <w:r>
        <w:rPr>
          <w:rFonts w:hint="eastAsia"/>
          <w:kern w:val="0"/>
          <w:sz w:val="24"/>
          <w:szCs w:val="22"/>
        </w:rPr>
        <w:t>项目的建设使占地范围内均成为公用设施用地；项目占地范围外扩1km评价范围内</w:t>
      </w:r>
      <w:r>
        <w:rPr>
          <w:kern w:val="0"/>
          <w:sz w:val="24"/>
          <w:szCs w:val="22"/>
        </w:rPr>
        <w:t>土地利用现状主要以</w:t>
      </w:r>
      <w:r>
        <w:rPr>
          <w:rFonts w:hint="eastAsia"/>
          <w:kern w:val="0"/>
          <w:sz w:val="24"/>
          <w:szCs w:val="22"/>
        </w:rPr>
        <w:t>耕地</w:t>
      </w:r>
      <w:r>
        <w:rPr>
          <w:kern w:val="0"/>
          <w:sz w:val="24"/>
          <w:szCs w:val="22"/>
        </w:rPr>
        <w:t>为主，面积为376.58hm</w:t>
      </w:r>
      <w:r>
        <w:rPr>
          <w:kern w:val="0"/>
          <w:sz w:val="24"/>
          <w:szCs w:val="22"/>
          <w:vertAlign w:val="superscript"/>
        </w:rPr>
        <w:t>2</w:t>
      </w:r>
      <w:r>
        <w:rPr>
          <w:kern w:val="0"/>
          <w:sz w:val="24"/>
          <w:szCs w:val="22"/>
        </w:rPr>
        <w:t>，占</w:t>
      </w:r>
      <w:r>
        <w:rPr>
          <w:rFonts w:hint="eastAsia"/>
          <w:kern w:val="0"/>
          <w:sz w:val="24"/>
          <w:szCs w:val="22"/>
        </w:rPr>
        <w:t>评价区</w:t>
      </w:r>
      <w:r>
        <w:rPr>
          <w:kern w:val="0"/>
          <w:sz w:val="24"/>
          <w:szCs w:val="22"/>
        </w:rPr>
        <w:t>比例为86.04%</w:t>
      </w:r>
      <w:r>
        <w:rPr>
          <w:rFonts w:hint="eastAsia"/>
          <w:kern w:val="0"/>
          <w:sz w:val="24"/>
          <w:szCs w:val="22"/>
        </w:rPr>
        <w:t>，</w:t>
      </w:r>
      <w:r>
        <w:rPr>
          <w:kern w:val="0"/>
          <w:sz w:val="24"/>
          <w:szCs w:val="22"/>
        </w:rPr>
        <w:t>其次为</w:t>
      </w:r>
      <w:r>
        <w:rPr>
          <w:rFonts w:hint="eastAsia"/>
          <w:kern w:val="0"/>
          <w:sz w:val="24"/>
          <w:szCs w:val="22"/>
        </w:rPr>
        <w:t>其他土地（设施农用地、裸地）</w:t>
      </w:r>
      <w:r>
        <w:rPr>
          <w:kern w:val="0"/>
          <w:sz w:val="24"/>
          <w:szCs w:val="22"/>
        </w:rPr>
        <w:t>、</w:t>
      </w:r>
      <w:r>
        <w:rPr>
          <w:rFonts w:hint="eastAsia"/>
          <w:kern w:val="0"/>
          <w:sz w:val="24"/>
          <w:szCs w:val="22"/>
        </w:rPr>
        <w:t>水域及水利设施用地</w:t>
      </w:r>
      <w:r>
        <w:rPr>
          <w:kern w:val="0"/>
          <w:sz w:val="24"/>
          <w:szCs w:val="22"/>
        </w:rPr>
        <w:t>、</w:t>
      </w:r>
      <w:r>
        <w:rPr>
          <w:rFonts w:hint="eastAsia"/>
          <w:kern w:val="0"/>
          <w:sz w:val="24"/>
          <w:szCs w:val="22"/>
        </w:rPr>
        <w:t>林地、工矿仓储用地和住宅用地</w:t>
      </w:r>
      <w:r>
        <w:rPr>
          <w:kern w:val="0"/>
          <w:sz w:val="24"/>
          <w:szCs w:val="22"/>
        </w:rPr>
        <w:t>。</w:t>
      </w:r>
    </w:p>
    <w:p>
      <w:pPr>
        <w:widowControl/>
        <w:spacing w:line="360" w:lineRule="auto"/>
        <w:ind w:firstLine="480" w:firstLineChars="200"/>
        <w:rPr>
          <w:kern w:val="0"/>
          <w:sz w:val="24"/>
          <w:szCs w:val="22"/>
        </w:rPr>
      </w:pPr>
      <w:r>
        <w:rPr>
          <w:kern w:val="0"/>
          <w:sz w:val="24"/>
          <w:szCs w:val="22"/>
        </w:rPr>
        <w:t>33.69hm</w:t>
      </w:r>
      <w:r>
        <w:rPr>
          <w:kern w:val="0"/>
          <w:sz w:val="24"/>
          <w:szCs w:val="22"/>
          <w:vertAlign w:val="superscript"/>
        </w:rPr>
        <w:t>2</w:t>
      </w:r>
      <w:r>
        <w:rPr>
          <w:kern w:val="0"/>
          <w:sz w:val="24"/>
          <w:szCs w:val="22"/>
        </w:rPr>
        <w:t>，占</w:t>
      </w:r>
      <w:r>
        <w:rPr>
          <w:rFonts w:hint="eastAsia"/>
          <w:kern w:val="0"/>
          <w:sz w:val="24"/>
          <w:szCs w:val="22"/>
        </w:rPr>
        <w:t>评价区</w:t>
      </w:r>
      <w:r>
        <w:rPr>
          <w:kern w:val="0"/>
          <w:sz w:val="24"/>
          <w:szCs w:val="22"/>
        </w:rPr>
        <w:t>比例分别为0.79%、0.74%、0.23%、0.16%、0.05%。</w:t>
      </w:r>
      <w:r>
        <w:rPr>
          <w:kern w:val="0"/>
          <w:sz w:val="24"/>
          <w:szCs w:val="22"/>
        </w:rPr>
        <w:drawing>
          <wp:inline distT="0" distB="0" distL="0" distR="0">
            <wp:extent cx="5274310" cy="7459345"/>
            <wp:effectExtent l="0" t="0" r="0" b="0"/>
            <wp:docPr id="26" name="图片 26" descr="C:\Users\众成环境\AppData\Local\Temp\Temp1_2022.zip\2022\土地利用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众成环境\AppData\Local\Temp\Temp1_2022.zip\2022\土地利用202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74310" cy="7459761"/>
                    </a:xfrm>
                    <a:prstGeom prst="rect">
                      <a:avLst/>
                    </a:prstGeom>
                    <a:noFill/>
                    <a:ln>
                      <a:noFill/>
                    </a:ln>
                  </pic:spPr>
                </pic:pic>
              </a:graphicData>
            </a:graphic>
          </wp:inline>
        </w:drawing>
      </w:r>
    </w:p>
    <w:p>
      <w:pPr>
        <w:widowControl/>
        <w:spacing w:line="360" w:lineRule="auto"/>
        <w:ind w:firstLine="482" w:firstLineChars="200"/>
        <w:jc w:val="center"/>
        <w:rPr>
          <w:b/>
          <w:kern w:val="0"/>
          <w:sz w:val="24"/>
          <w:szCs w:val="22"/>
        </w:rPr>
      </w:pPr>
      <w:r>
        <w:rPr>
          <w:rFonts w:hint="eastAsia"/>
          <w:b/>
          <w:kern w:val="0"/>
          <w:sz w:val="24"/>
          <w:szCs w:val="22"/>
        </w:rPr>
        <w:t>图4.2-</w:t>
      </w:r>
      <w:r>
        <w:rPr>
          <w:b/>
          <w:kern w:val="0"/>
          <w:sz w:val="24"/>
          <w:szCs w:val="22"/>
        </w:rPr>
        <w:t>5</w:t>
      </w:r>
      <w:r>
        <w:rPr>
          <w:rFonts w:hint="eastAsia"/>
          <w:b/>
          <w:kern w:val="0"/>
          <w:sz w:val="24"/>
          <w:szCs w:val="22"/>
        </w:rPr>
        <w:t xml:space="preserve">   土地利用类型图</w:t>
      </w:r>
    </w:p>
    <w:p>
      <w:pPr>
        <w:spacing w:line="360" w:lineRule="auto"/>
        <w:rPr>
          <w:b/>
          <w:sz w:val="24"/>
        </w:rPr>
      </w:pPr>
      <w:bookmarkStart w:id="381" w:name="_Toc290570672"/>
      <w:bookmarkStart w:id="382" w:name="_Toc401479141"/>
      <w:r>
        <w:rPr>
          <w:b/>
          <w:sz w:val="24"/>
        </w:rPr>
        <w:t>4.4.5.5野生动物现状评价</w:t>
      </w:r>
      <w:bookmarkEnd w:id="381"/>
      <w:bookmarkEnd w:id="382"/>
    </w:p>
    <w:p>
      <w:pPr>
        <w:pStyle w:val="939"/>
        <w:ind w:firstLine="480"/>
      </w:pPr>
      <w:bookmarkStart w:id="383" w:name="_Toc403316607"/>
      <w:r>
        <w:t>由于项目区处于</w:t>
      </w:r>
      <w:r>
        <w:rPr>
          <w:rFonts w:hint="eastAsia"/>
        </w:rPr>
        <w:t>河套平原灌溉生态功能区，以农业生产为主</w:t>
      </w:r>
      <w:r>
        <w:t>，四周分散有村落，人为干扰相对较严重，野生动物中主要为啮齿类，包括仓鼠、</w:t>
      </w:r>
      <w:r>
        <w:rPr>
          <w:bCs/>
          <w:lang w:bidi="en-US"/>
        </w:rPr>
        <w:t>褐家鼠、小家鼠、</w:t>
      </w:r>
      <w:r>
        <w:t>田鼠等；鸟类有乌鸦、麻雀等。评价区内无珍稀濒危动物。</w:t>
      </w:r>
      <w:bookmarkEnd w:id="383"/>
    </w:p>
    <w:bookmarkEnd w:id="340"/>
    <w:bookmarkEnd w:id="341"/>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Pr>
        <w:pStyle w:val="823"/>
        <w:adjustRightInd/>
        <w:spacing w:before="156" w:beforeLines="50" w:after="156" w:afterLines="50" w:line="360" w:lineRule="auto"/>
        <w:rPr>
          <w:rFonts w:cs="Times New Roman"/>
        </w:rPr>
      </w:pPr>
      <w:bookmarkStart w:id="384" w:name="_Toc489433071"/>
      <w:bookmarkStart w:id="385" w:name="_Toc143762332"/>
      <w:r>
        <w:rPr>
          <w:rFonts w:cs="Times New Roman"/>
        </w:rPr>
        <w:t>5施工期环境影响</w:t>
      </w:r>
      <w:r>
        <w:rPr>
          <w:rFonts w:hint="eastAsia" w:cs="Times New Roman"/>
        </w:rPr>
        <w:t>回顾性</w:t>
      </w:r>
      <w:r>
        <w:rPr>
          <w:rFonts w:cs="Times New Roman"/>
        </w:rPr>
        <w:t>分析</w:t>
      </w:r>
      <w:bookmarkEnd w:id="2"/>
      <w:bookmarkEnd w:id="3"/>
      <w:bookmarkEnd w:id="4"/>
      <w:bookmarkEnd w:id="5"/>
      <w:bookmarkEnd w:id="6"/>
      <w:bookmarkEnd w:id="7"/>
      <w:bookmarkEnd w:id="384"/>
      <w:bookmarkEnd w:id="385"/>
    </w:p>
    <w:p>
      <w:pPr>
        <w:spacing w:line="360" w:lineRule="auto"/>
        <w:ind w:firstLine="480" w:firstLineChars="200"/>
        <w:rPr>
          <w:sz w:val="24"/>
        </w:rPr>
      </w:pPr>
      <w:r>
        <w:rPr>
          <w:sz w:val="24"/>
        </w:rPr>
        <w:t>五原县复兴镇生活垃圾无害化处理项目于2018年开始建设，2019年建成投入运行。施工期间工程建设的主要内容有：场地平整、地基处理、</w:t>
      </w:r>
      <w:r>
        <w:rPr>
          <w:rFonts w:hint="eastAsia"/>
          <w:sz w:val="24"/>
        </w:rPr>
        <w:t>防渗排水施工、</w:t>
      </w:r>
      <w:r>
        <w:rPr>
          <w:sz w:val="24"/>
        </w:rPr>
        <w:t>厂房建设等。</w:t>
      </w:r>
      <w:r>
        <w:rPr>
          <w:rFonts w:hint="eastAsia"/>
          <w:sz w:val="24"/>
        </w:rPr>
        <w:t>施工</w:t>
      </w:r>
      <w:r>
        <w:rPr>
          <w:sz w:val="24"/>
        </w:rPr>
        <w:t>期对环境的影响，主要表现在下列几个方面：</w:t>
      </w:r>
    </w:p>
    <w:p>
      <w:pPr>
        <w:spacing w:line="360" w:lineRule="auto"/>
        <w:ind w:firstLine="480" w:firstLineChars="200"/>
        <w:rPr>
          <w:sz w:val="24"/>
        </w:rPr>
      </w:pPr>
      <w:r>
        <w:rPr>
          <w:rFonts w:hint="eastAsia"/>
          <w:sz w:val="24"/>
        </w:rPr>
        <w:t>1、施工</w:t>
      </w:r>
      <w:r>
        <w:rPr>
          <w:sz w:val="24"/>
        </w:rPr>
        <w:t>机械</w:t>
      </w:r>
      <w:r>
        <w:rPr>
          <w:rFonts w:hint="eastAsia"/>
          <w:sz w:val="24"/>
        </w:rPr>
        <w:t>、交通运输</w:t>
      </w:r>
      <w:r>
        <w:rPr>
          <w:sz w:val="24"/>
        </w:rPr>
        <w:t>噪声的影响</w:t>
      </w:r>
      <w:r>
        <w:rPr>
          <w:rFonts w:hint="eastAsia"/>
          <w:sz w:val="24"/>
        </w:rPr>
        <w:t>。</w:t>
      </w:r>
    </w:p>
    <w:p>
      <w:pPr>
        <w:spacing w:line="360" w:lineRule="auto"/>
        <w:ind w:firstLine="480" w:firstLineChars="200"/>
        <w:rPr>
          <w:sz w:val="24"/>
        </w:rPr>
      </w:pPr>
      <w:r>
        <w:rPr>
          <w:rFonts w:hint="eastAsia"/>
          <w:sz w:val="24"/>
        </w:rPr>
        <w:t>2、建筑材料、砂石等堆放及地基开挖产生</w:t>
      </w:r>
      <w:r>
        <w:rPr>
          <w:sz w:val="24"/>
        </w:rPr>
        <w:t>扬尘，对周围</w:t>
      </w:r>
      <w:r>
        <w:rPr>
          <w:rFonts w:hint="eastAsia"/>
          <w:sz w:val="24"/>
        </w:rPr>
        <w:t>大气环境</w:t>
      </w:r>
      <w:r>
        <w:rPr>
          <w:sz w:val="24"/>
        </w:rPr>
        <w:t>造成的影响</w:t>
      </w:r>
      <w:r>
        <w:rPr>
          <w:rFonts w:hint="eastAsia"/>
          <w:sz w:val="24"/>
        </w:rPr>
        <w:t>。</w:t>
      </w:r>
    </w:p>
    <w:p>
      <w:pPr>
        <w:spacing w:line="360" w:lineRule="auto"/>
        <w:ind w:firstLine="480" w:firstLineChars="200"/>
        <w:rPr>
          <w:sz w:val="24"/>
        </w:rPr>
      </w:pPr>
      <w:r>
        <w:rPr>
          <w:rFonts w:hint="eastAsia"/>
          <w:sz w:val="24"/>
        </w:rPr>
        <w:t>3、地基开挖、</w:t>
      </w:r>
      <w:r>
        <w:rPr>
          <w:sz w:val="24"/>
        </w:rPr>
        <w:t>建筑垃圾</w:t>
      </w:r>
      <w:r>
        <w:rPr>
          <w:rFonts w:hint="eastAsia"/>
          <w:sz w:val="24"/>
        </w:rPr>
        <w:t>堆放对生态环境的影响。</w:t>
      </w:r>
    </w:p>
    <w:p>
      <w:pPr>
        <w:spacing w:line="360" w:lineRule="auto"/>
        <w:ind w:firstLine="480" w:firstLineChars="200"/>
        <w:rPr>
          <w:sz w:val="24"/>
        </w:rPr>
      </w:pPr>
      <w:r>
        <w:rPr>
          <w:rFonts w:hint="eastAsia"/>
          <w:sz w:val="24"/>
        </w:rPr>
        <w:t>4、施工营地产生</w:t>
      </w:r>
      <w:r>
        <w:rPr>
          <w:sz w:val="24"/>
        </w:rPr>
        <w:t>的生活污水</w:t>
      </w:r>
      <w:r>
        <w:rPr>
          <w:rFonts w:hint="eastAsia"/>
          <w:sz w:val="24"/>
        </w:rPr>
        <w:t>和生活垃圾对环境的影响</w:t>
      </w:r>
      <w:r>
        <w:rPr>
          <w:sz w:val="24"/>
        </w:rPr>
        <w:t>。</w:t>
      </w:r>
    </w:p>
    <w:p>
      <w:pPr>
        <w:spacing w:line="360" w:lineRule="auto"/>
        <w:ind w:firstLine="482"/>
        <w:rPr>
          <w:sz w:val="24"/>
        </w:rPr>
      </w:pPr>
      <w:r>
        <w:rPr>
          <w:rFonts w:hint="eastAsia"/>
          <w:bCs/>
          <w:color w:val="FF0000"/>
          <w:sz w:val="24"/>
        </w:rPr>
        <w:t>根据施工期资料及现场调查走访，</w:t>
      </w:r>
      <w:r>
        <w:rPr>
          <w:rFonts w:hint="eastAsia"/>
          <w:bCs/>
          <w:sz w:val="24"/>
        </w:rPr>
        <w:t>本项目施工期间未造成周边的环境空气恶化，施工噪声排放少，周边居民未受到项目建设的影响，未收到扰民及环保投诉，周边土地在工程占地之外未发现破坏迹象，项目建设前为废弃养殖场厂房，原生植被已遭到破坏，目前建设单位在场区进行了一定的植树绿化，场区生态良好。因此项目施工期未对环境造成明显不利影响。</w:t>
      </w:r>
    </w:p>
    <w:p>
      <w:pPr>
        <w:sectPr>
          <w:pgSz w:w="11906" w:h="16838"/>
          <w:pgMar w:top="1440" w:right="1800" w:bottom="1440" w:left="1800" w:header="851" w:footer="992" w:gutter="0"/>
          <w:cols w:space="720" w:num="1"/>
          <w:docGrid w:type="lines" w:linePitch="312" w:charSpace="0"/>
        </w:sectPr>
      </w:pPr>
    </w:p>
    <w:p>
      <w:pPr>
        <w:pStyle w:val="823"/>
        <w:keepNext w:val="0"/>
        <w:pageBreakBefore w:val="0"/>
        <w:adjustRightInd/>
        <w:spacing w:before="156" w:beforeLines="50" w:after="156" w:afterLines="50" w:line="360" w:lineRule="auto"/>
        <w:rPr>
          <w:rFonts w:cs="Times New Roman"/>
        </w:rPr>
      </w:pPr>
      <w:bookmarkStart w:id="386" w:name="_Toc143762333"/>
      <w:bookmarkStart w:id="387" w:name="_Toc489433089"/>
      <w:r>
        <w:rPr>
          <w:rFonts w:cs="Times New Roman"/>
        </w:rPr>
        <w:t>6运营期环境影响预测与分析</w:t>
      </w:r>
      <w:bookmarkEnd w:id="386"/>
      <w:bookmarkEnd w:id="387"/>
    </w:p>
    <w:p>
      <w:pPr>
        <w:pStyle w:val="347"/>
        <w:keepNext w:val="0"/>
        <w:topLinePunct w:val="0"/>
        <w:spacing w:before="156" w:beforeLines="50" w:after="156" w:afterLines="50" w:line="360" w:lineRule="auto"/>
        <w:rPr>
          <w:rFonts w:cs="Times New Roman"/>
        </w:rPr>
      </w:pPr>
      <w:bookmarkStart w:id="388" w:name="_Toc489433090"/>
      <w:bookmarkStart w:id="389" w:name="_Toc143762334"/>
      <w:r>
        <w:rPr>
          <w:rFonts w:cs="Times New Roman"/>
        </w:rPr>
        <w:t>6.1运营期环境空气影响预测与评价</w:t>
      </w:r>
      <w:bookmarkEnd w:id="388"/>
      <w:bookmarkEnd w:id="389"/>
    </w:p>
    <w:p>
      <w:pPr>
        <w:pStyle w:val="831"/>
        <w:spacing w:before="156" w:beforeLines="50" w:after="156" w:afterLines="50" w:line="360" w:lineRule="auto"/>
        <w:rPr>
          <w:rFonts w:cs="Times New Roman"/>
        </w:rPr>
      </w:pPr>
      <w:bookmarkStart w:id="390" w:name="_Toc424484542"/>
      <w:bookmarkStart w:id="391" w:name="_Toc423602253"/>
      <w:bookmarkStart w:id="392" w:name="_Toc143762335"/>
      <w:bookmarkStart w:id="393" w:name="_Toc489433092"/>
      <w:r>
        <w:rPr>
          <w:rFonts w:cs="Times New Roman"/>
        </w:rPr>
        <w:t>6.1.</w:t>
      </w:r>
      <w:bookmarkEnd w:id="390"/>
      <w:bookmarkEnd w:id="391"/>
      <w:r>
        <w:rPr>
          <w:rFonts w:cs="Times New Roman"/>
        </w:rPr>
        <w:t>1大气环境影响</w:t>
      </w:r>
      <w:r>
        <w:rPr>
          <w:rFonts w:hint="eastAsia" w:cs="Times New Roman"/>
        </w:rPr>
        <w:t>回顾性</w:t>
      </w:r>
      <w:r>
        <w:rPr>
          <w:rFonts w:cs="Times New Roman"/>
        </w:rPr>
        <w:t>分析</w:t>
      </w:r>
      <w:bookmarkEnd w:id="392"/>
      <w:bookmarkEnd w:id="393"/>
    </w:p>
    <w:p>
      <w:pPr>
        <w:autoSpaceDE w:val="0"/>
        <w:autoSpaceDN w:val="0"/>
        <w:adjustRightInd w:val="0"/>
        <w:snapToGrid w:val="0"/>
        <w:spacing w:before="156" w:beforeLines="50" w:line="360" w:lineRule="auto"/>
        <w:ind w:firstLine="480" w:firstLineChars="200"/>
        <w:rPr>
          <w:kern w:val="0"/>
          <w:sz w:val="24"/>
          <w:lang w:val="de-DE"/>
        </w:rPr>
      </w:pPr>
      <w:r>
        <w:rPr>
          <w:rFonts w:hint="eastAsia"/>
          <w:kern w:val="0"/>
          <w:sz w:val="24"/>
          <w:lang w:val="de-DE"/>
        </w:rPr>
        <w:t>项目2</w:t>
      </w:r>
      <w:r>
        <w:rPr>
          <w:kern w:val="0"/>
          <w:sz w:val="24"/>
          <w:lang w:val="de-DE"/>
        </w:rPr>
        <w:t>019</w:t>
      </w:r>
      <w:r>
        <w:rPr>
          <w:rFonts w:hint="eastAsia"/>
          <w:kern w:val="0"/>
          <w:sz w:val="24"/>
          <w:lang w:val="de-DE"/>
        </w:rPr>
        <w:t>年投入运行，根据</w:t>
      </w:r>
      <w:r>
        <w:rPr>
          <w:kern w:val="0"/>
          <w:sz w:val="24"/>
          <w:lang w:val="de-DE"/>
        </w:rPr>
        <w:t>2021年10月</w:t>
      </w:r>
      <w:r>
        <w:rPr>
          <w:rFonts w:hint="eastAsia"/>
          <w:kern w:val="0"/>
          <w:sz w:val="24"/>
          <w:lang w:val="de-DE"/>
        </w:rPr>
        <w:t>、2</w:t>
      </w:r>
      <w:r>
        <w:rPr>
          <w:kern w:val="0"/>
          <w:sz w:val="24"/>
          <w:lang w:val="de-DE"/>
        </w:rPr>
        <w:t>022</w:t>
      </w:r>
      <w:r>
        <w:rPr>
          <w:rFonts w:hint="eastAsia"/>
          <w:kern w:val="0"/>
          <w:sz w:val="24"/>
          <w:lang w:val="de-DE"/>
        </w:rPr>
        <w:t>年4月巴彦淖尔市洁华环境检测有限公司</w:t>
      </w:r>
      <w:r>
        <w:rPr>
          <w:kern w:val="0"/>
          <w:sz w:val="24"/>
        </w:rPr>
        <w:t>对填埋库区导气</w:t>
      </w:r>
      <w:r>
        <w:rPr>
          <w:rFonts w:hint="eastAsia"/>
          <w:kern w:val="0"/>
          <w:sz w:val="24"/>
        </w:rPr>
        <w:t>管排口及厂界</w:t>
      </w:r>
      <w:r>
        <w:rPr>
          <w:kern w:val="0"/>
          <w:sz w:val="24"/>
        </w:rPr>
        <w:t>大气污染物</w:t>
      </w:r>
      <w:r>
        <w:rPr>
          <w:rFonts w:hint="eastAsia"/>
          <w:kern w:val="0"/>
          <w:sz w:val="24"/>
        </w:rPr>
        <w:t>例行监测数据：</w:t>
      </w:r>
    </w:p>
    <w:p>
      <w:pPr>
        <w:autoSpaceDE w:val="0"/>
        <w:autoSpaceDN w:val="0"/>
        <w:adjustRightInd w:val="0"/>
        <w:spacing w:line="360" w:lineRule="auto"/>
        <w:jc w:val="center"/>
        <w:rPr>
          <w:sz w:val="24"/>
          <w:lang w:val="de-DE"/>
        </w:rPr>
      </w:pPr>
      <w:r>
        <w:rPr>
          <w:b/>
          <w:sz w:val="24"/>
          <w:lang w:val="de-DE"/>
        </w:rPr>
        <w:t>表6.1-1  导气石笼区大气污染物监测结果</w:t>
      </w:r>
      <w:r>
        <w:rPr>
          <w:b/>
          <w:kern w:val="0"/>
          <w:szCs w:val="21"/>
        </w:rPr>
        <w:t>(%)</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3"/>
        <w:gridCol w:w="650"/>
        <w:gridCol w:w="794"/>
        <w:gridCol w:w="810"/>
        <w:gridCol w:w="827"/>
        <w:gridCol w:w="1040"/>
        <w:gridCol w:w="980"/>
        <w:gridCol w:w="1422"/>
        <w:gridCol w:w="13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776" w:type="pct"/>
            <w:gridSpan w:val="2"/>
            <w:vMerge w:val="restart"/>
            <w:tcBorders>
              <w:tl2br w:val="single" w:color="auto" w:sz="8" w:space="0"/>
            </w:tcBorders>
            <w:shd w:val="clear" w:color="auto" w:fill="auto"/>
            <w:vAlign w:val="center"/>
          </w:tcPr>
          <w:p>
            <w:pPr>
              <w:widowControl/>
              <w:adjustRightInd w:val="0"/>
              <w:snapToGrid w:val="0"/>
              <w:jc w:val="center"/>
              <w:rPr>
                <w:kern w:val="0"/>
                <w:szCs w:val="21"/>
              </w:rPr>
            </w:pPr>
            <w:r>
              <w:rPr>
                <w:kern w:val="0"/>
                <w:szCs w:val="21"/>
              </w:rPr>
              <w:t>监测日期</w:t>
            </w:r>
          </w:p>
          <w:p>
            <w:pPr>
              <w:adjustRightInd w:val="0"/>
              <w:snapToGrid w:val="0"/>
              <w:rPr>
                <w:kern w:val="0"/>
                <w:szCs w:val="21"/>
              </w:rPr>
            </w:pPr>
            <w:r>
              <w:rPr>
                <w:kern w:val="0"/>
                <w:szCs w:val="21"/>
              </w:rPr>
              <w:t>监测项目</w:t>
            </w:r>
          </w:p>
        </w:tc>
        <w:tc>
          <w:tcPr>
            <w:tcW w:w="1426" w:type="pct"/>
            <w:gridSpan w:val="3"/>
            <w:shd w:val="clear" w:color="auto" w:fill="auto"/>
            <w:vAlign w:val="center"/>
          </w:tcPr>
          <w:p>
            <w:pPr>
              <w:widowControl/>
              <w:adjustRightInd w:val="0"/>
              <w:snapToGrid w:val="0"/>
              <w:jc w:val="center"/>
              <w:rPr>
                <w:kern w:val="0"/>
                <w:szCs w:val="21"/>
              </w:rPr>
            </w:pPr>
            <w:r>
              <w:rPr>
                <w:rFonts w:hint="eastAsia"/>
                <w:kern w:val="0"/>
                <w:szCs w:val="21"/>
              </w:rPr>
              <w:t>2</w:t>
            </w:r>
            <w:r>
              <w:rPr>
                <w:kern w:val="0"/>
                <w:szCs w:val="21"/>
              </w:rPr>
              <w:t>021</w:t>
            </w:r>
            <w:r>
              <w:rPr>
                <w:rFonts w:hint="eastAsia"/>
                <w:kern w:val="0"/>
                <w:szCs w:val="21"/>
              </w:rPr>
              <w:t>年</w:t>
            </w:r>
            <w:r>
              <w:rPr>
                <w:kern w:val="0"/>
                <w:szCs w:val="21"/>
              </w:rPr>
              <w:t>10</w:t>
            </w:r>
            <w:r>
              <w:rPr>
                <w:rFonts w:hint="eastAsia"/>
                <w:kern w:val="0"/>
                <w:szCs w:val="21"/>
              </w:rPr>
              <w:t>月</w:t>
            </w:r>
            <w:r>
              <w:rPr>
                <w:kern w:val="0"/>
                <w:szCs w:val="21"/>
              </w:rPr>
              <w:t>14</w:t>
            </w:r>
            <w:r>
              <w:rPr>
                <w:rFonts w:hint="eastAsia"/>
                <w:kern w:val="0"/>
                <w:szCs w:val="21"/>
              </w:rPr>
              <w:t>日</w:t>
            </w:r>
          </w:p>
        </w:tc>
        <w:tc>
          <w:tcPr>
            <w:tcW w:w="2019" w:type="pct"/>
            <w:gridSpan w:val="3"/>
            <w:shd w:val="clear" w:color="auto" w:fill="auto"/>
            <w:vAlign w:val="center"/>
          </w:tcPr>
          <w:p>
            <w:pPr>
              <w:widowControl/>
              <w:adjustRightInd w:val="0"/>
              <w:snapToGrid w:val="0"/>
              <w:jc w:val="center"/>
              <w:rPr>
                <w:kern w:val="0"/>
                <w:szCs w:val="21"/>
              </w:rPr>
            </w:pPr>
            <w:r>
              <w:rPr>
                <w:rFonts w:hint="eastAsia"/>
                <w:kern w:val="0"/>
                <w:szCs w:val="21"/>
              </w:rPr>
              <w:t>2</w:t>
            </w:r>
            <w:r>
              <w:rPr>
                <w:kern w:val="0"/>
                <w:szCs w:val="21"/>
              </w:rPr>
              <w:t>022</w:t>
            </w:r>
            <w:r>
              <w:rPr>
                <w:rFonts w:hint="eastAsia"/>
                <w:kern w:val="0"/>
                <w:szCs w:val="21"/>
              </w:rPr>
              <w:t>年4月2</w:t>
            </w:r>
            <w:r>
              <w:rPr>
                <w:kern w:val="0"/>
                <w:szCs w:val="21"/>
              </w:rPr>
              <w:t>6</w:t>
            </w:r>
            <w:r>
              <w:rPr>
                <w:rFonts w:hint="eastAsia"/>
                <w:kern w:val="0"/>
                <w:szCs w:val="21"/>
              </w:rPr>
              <w:t>日</w:t>
            </w:r>
          </w:p>
        </w:tc>
        <w:tc>
          <w:tcPr>
            <w:tcW w:w="778" w:type="pct"/>
            <w:vMerge w:val="restart"/>
            <w:shd w:val="clear" w:color="auto" w:fill="auto"/>
            <w:noWrap/>
            <w:vAlign w:val="center"/>
          </w:tcPr>
          <w:p>
            <w:pPr>
              <w:widowControl/>
              <w:adjustRightInd w:val="0"/>
              <w:snapToGrid w:val="0"/>
              <w:ind w:left="-105" w:leftChars="-50" w:right="-105" w:rightChars="-50"/>
              <w:jc w:val="center"/>
              <w:rPr>
                <w:kern w:val="0"/>
                <w:szCs w:val="21"/>
              </w:rPr>
            </w:pPr>
            <w:r>
              <w:rPr>
                <w:kern w:val="0"/>
                <w:szCs w:val="21"/>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776" w:type="pct"/>
            <w:gridSpan w:val="2"/>
            <w:vMerge w:val="continue"/>
            <w:tcBorders>
              <w:tl2br w:val="single" w:color="auto" w:sz="8" w:space="0"/>
            </w:tcBorders>
            <w:shd w:val="clear" w:color="auto" w:fill="auto"/>
            <w:vAlign w:val="center"/>
          </w:tcPr>
          <w:p>
            <w:pPr>
              <w:widowControl/>
              <w:adjustRightInd w:val="0"/>
              <w:snapToGrid w:val="0"/>
              <w:jc w:val="center"/>
              <w:rPr>
                <w:kern w:val="0"/>
                <w:szCs w:val="21"/>
              </w:rPr>
            </w:pPr>
          </w:p>
        </w:tc>
        <w:tc>
          <w:tcPr>
            <w:tcW w:w="466" w:type="pct"/>
            <w:shd w:val="clear" w:color="auto" w:fill="auto"/>
          </w:tcPr>
          <w:p>
            <w:pPr>
              <w:widowControl/>
              <w:adjustRightInd w:val="0"/>
              <w:snapToGrid w:val="0"/>
              <w:jc w:val="center"/>
              <w:rPr>
                <w:kern w:val="0"/>
                <w:szCs w:val="21"/>
              </w:rPr>
            </w:pPr>
            <w:r>
              <w:rPr>
                <w:rFonts w:hint="eastAsia"/>
                <w:kern w:val="0"/>
                <w:szCs w:val="21"/>
              </w:rPr>
              <w:t>第</w:t>
            </w:r>
            <w:r>
              <w:rPr>
                <w:kern w:val="0"/>
                <w:szCs w:val="21"/>
              </w:rPr>
              <w:t>1</w:t>
            </w:r>
            <w:r>
              <w:rPr>
                <w:rFonts w:hint="eastAsia"/>
                <w:kern w:val="0"/>
                <w:szCs w:val="21"/>
              </w:rPr>
              <w:t>次</w:t>
            </w:r>
          </w:p>
        </w:tc>
        <w:tc>
          <w:tcPr>
            <w:tcW w:w="475" w:type="pct"/>
            <w:shd w:val="clear" w:color="auto" w:fill="auto"/>
          </w:tcPr>
          <w:p>
            <w:pPr>
              <w:widowControl/>
              <w:adjustRightInd w:val="0"/>
              <w:snapToGrid w:val="0"/>
              <w:jc w:val="center"/>
              <w:rPr>
                <w:kern w:val="0"/>
                <w:szCs w:val="21"/>
              </w:rPr>
            </w:pPr>
            <w:r>
              <w:rPr>
                <w:rFonts w:hint="eastAsia"/>
                <w:kern w:val="0"/>
                <w:szCs w:val="21"/>
              </w:rPr>
              <w:t>第</w:t>
            </w:r>
            <w:r>
              <w:rPr>
                <w:kern w:val="0"/>
                <w:szCs w:val="21"/>
              </w:rPr>
              <w:t>2</w:t>
            </w:r>
            <w:r>
              <w:rPr>
                <w:rFonts w:hint="eastAsia"/>
                <w:kern w:val="0"/>
                <w:szCs w:val="21"/>
              </w:rPr>
              <w:t>次</w:t>
            </w:r>
          </w:p>
        </w:tc>
        <w:tc>
          <w:tcPr>
            <w:tcW w:w="485" w:type="pct"/>
            <w:shd w:val="clear" w:color="auto" w:fill="auto"/>
          </w:tcPr>
          <w:p>
            <w:pPr>
              <w:widowControl/>
              <w:adjustRightInd w:val="0"/>
              <w:snapToGrid w:val="0"/>
              <w:jc w:val="center"/>
              <w:rPr>
                <w:kern w:val="0"/>
                <w:szCs w:val="21"/>
              </w:rPr>
            </w:pPr>
            <w:r>
              <w:rPr>
                <w:rFonts w:hint="eastAsia"/>
                <w:kern w:val="0"/>
                <w:szCs w:val="21"/>
              </w:rPr>
              <w:t>第3次</w:t>
            </w:r>
          </w:p>
        </w:tc>
        <w:tc>
          <w:tcPr>
            <w:tcW w:w="610" w:type="pct"/>
            <w:shd w:val="clear" w:color="auto" w:fill="auto"/>
          </w:tcPr>
          <w:p>
            <w:pPr>
              <w:widowControl/>
              <w:adjustRightInd w:val="0"/>
              <w:snapToGrid w:val="0"/>
              <w:jc w:val="center"/>
              <w:rPr>
                <w:kern w:val="0"/>
                <w:szCs w:val="21"/>
              </w:rPr>
            </w:pPr>
            <w:r>
              <w:rPr>
                <w:rFonts w:hint="eastAsia"/>
                <w:kern w:val="0"/>
                <w:szCs w:val="21"/>
              </w:rPr>
              <w:t>第</w:t>
            </w:r>
            <w:r>
              <w:rPr>
                <w:kern w:val="0"/>
                <w:szCs w:val="21"/>
              </w:rPr>
              <w:t>1</w:t>
            </w:r>
            <w:r>
              <w:rPr>
                <w:rFonts w:hint="eastAsia"/>
                <w:kern w:val="0"/>
                <w:szCs w:val="21"/>
              </w:rPr>
              <w:t>次</w:t>
            </w:r>
          </w:p>
        </w:tc>
        <w:tc>
          <w:tcPr>
            <w:tcW w:w="575" w:type="pct"/>
            <w:shd w:val="clear" w:color="auto" w:fill="auto"/>
          </w:tcPr>
          <w:p>
            <w:pPr>
              <w:widowControl/>
              <w:adjustRightInd w:val="0"/>
              <w:snapToGrid w:val="0"/>
              <w:jc w:val="center"/>
              <w:rPr>
                <w:kern w:val="0"/>
                <w:szCs w:val="21"/>
              </w:rPr>
            </w:pPr>
            <w:r>
              <w:rPr>
                <w:rFonts w:hint="eastAsia"/>
                <w:kern w:val="0"/>
                <w:szCs w:val="21"/>
              </w:rPr>
              <w:t>第</w:t>
            </w:r>
            <w:r>
              <w:rPr>
                <w:kern w:val="0"/>
                <w:szCs w:val="21"/>
              </w:rPr>
              <w:t>2</w:t>
            </w:r>
            <w:r>
              <w:rPr>
                <w:rFonts w:hint="eastAsia"/>
                <w:kern w:val="0"/>
                <w:szCs w:val="21"/>
              </w:rPr>
              <w:t>次</w:t>
            </w:r>
          </w:p>
        </w:tc>
        <w:tc>
          <w:tcPr>
            <w:tcW w:w="834" w:type="pct"/>
            <w:shd w:val="clear" w:color="auto" w:fill="auto"/>
          </w:tcPr>
          <w:p>
            <w:pPr>
              <w:widowControl/>
              <w:adjustRightInd w:val="0"/>
              <w:snapToGrid w:val="0"/>
              <w:jc w:val="center"/>
              <w:rPr>
                <w:kern w:val="0"/>
                <w:szCs w:val="21"/>
              </w:rPr>
            </w:pPr>
            <w:r>
              <w:rPr>
                <w:rFonts w:hint="eastAsia"/>
                <w:kern w:val="0"/>
                <w:szCs w:val="21"/>
              </w:rPr>
              <w:t>第3次</w:t>
            </w:r>
          </w:p>
        </w:tc>
        <w:tc>
          <w:tcPr>
            <w:tcW w:w="778" w:type="pct"/>
            <w:vMerge w:val="continue"/>
            <w:shd w:val="clear" w:color="auto" w:fill="auto"/>
            <w:noWrap/>
            <w:vAlign w:val="center"/>
          </w:tcPr>
          <w:p>
            <w:pPr>
              <w:widowControl/>
              <w:adjustRightInd w:val="0"/>
              <w:snapToGrid w:val="0"/>
              <w:ind w:left="-105" w:leftChars="-50" w:right="-105" w:rightChars="-5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395" w:type="pct"/>
            <w:vMerge w:val="restart"/>
            <w:shd w:val="clear" w:color="auto" w:fill="auto"/>
            <w:vAlign w:val="center"/>
          </w:tcPr>
          <w:p>
            <w:pPr>
              <w:widowControl/>
              <w:adjustRightInd w:val="0"/>
              <w:snapToGrid w:val="0"/>
              <w:jc w:val="center"/>
              <w:rPr>
                <w:kern w:val="0"/>
                <w:szCs w:val="21"/>
              </w:rPr>
            </w:pPr>
            <w:r>
              <w:rPr>
                <w:kern w:val="0"/>
                <w:szCs w:val="21"/>
              </w:rPr>
              <w:t>甲烷</w:t>
            </w:r>
          </w:p>
        </w:tc>
        <w:tc>
          <w:tcPr>
            <w:tcW w:w="381" w:type="pct"/>
            <w:shd w:val="clear" w:color="auto" w:fill="auto"/>
            <w:vAlign w:val="center"/>
          </w:tcPr>
          <w:p>
            <w:pPr>
              <w:widowControl/>
              <w:adjustRightInd w:val="0"/>
              <w:snapToGrid w:val="0"/>
              <w:jc w:val="center"/>
              <w:rPr>
                <w:kern w:val="0"/>
                <w:szCs w:val="21"/>
              </w:rPr>
            </w:pPr>
            <w:r>
              <w:rPr>
                <w:kern w:val="0"/>
                <w:szCs w:val="21"/>
              </w:rPr>
              <w:t>1#</w:t>
            </w:r>
          </w:p>
        </w:tc>
        <w:tc>
          <w:tcPr>
            <w:tcW w:w="466" w:type="pct"/>
            <w:shd w:val="clear" w:color="auto" w:fill="auto"/>
            <w:vAlign w:val="center"/>
          </w:tcPr>
          <w:p>
            <w:pPr>
              <w:widowControl/>
              <w:adjustRightInd w:val="0"/>
              <w:snapToGrid w:val="0"/>
              <w:jc w:val="center"/>
              <w:rPr>
                <w:kern w:val="0"/>
                <w:szCs w:val="21"/>
              </w:rPr>
            </w:pPr>
            <w:r>
              <w:rPr>
                <w:kern w:val="0"/>
                <w:szCs w:val="21"/>
              </w:rPr>
              <w:t>0.0003</w:t>
            </w:r>
          </w:p>
        </w:tc>
        <w:tc>
          <w:tcPr>
            <w:tcW w:w="475" w:type="pct"/>
            <w:shd w:val="clear" w:color="auto" w:fill="auto"/>
            <w:vAlign w:val="center"/>
          </w:tcPr>
          <w:p>
            <w:pPr>
              <w:widowControl/>
              <w:adjustRightInd w:val="0"/>
              <w:snapToGrid w:val="0"/>
              <w:jc w:val="center"/>
              <w:rPr>
                <w:kern w:val="0"/>
                <w:szCs w:val="21"/>
              </w:rPr>
            </w:pPr>
            <w:r>
              <w:rPr>
                <w:kern w:val="0"/>
                <w:szCs w:val="21"/>
              </w:rPr>
              <w:t>1.35</w:t>
            </w:r>
          </w:p>
        </w:tc>
        <w:tc>
          <w:tcPr>
            <w:tcW w:w="485" w:type="pct"/>
            <w:shd w:val="clear" w:color="auto" w:fill="auto"/>
            <w:vAlign w:val="center"/>
          </w:tcPr>
          <w:p>
            <w:pPr>
              <w:widowControl/>
              <w:adjustRightInd w:val="0"/>
              <w:snapToGrid w:val="0"/>
              <w:jc w:val="center"/>
              <w:rPr>
                <w:kern w:val="0"/>
                <w:szCs w:val="21"/>
              </w:rPr>
            </w:pPr>
            <w:r>
              <w:rPr>
                <w:kern w:val="0"/>
                <w:szCs w:val="21"/>
              </w:rPr>
              <w:t>1.03</w:t>
            </w:r>
          </w:p>
        </w:tc>
        <w:tc>
          <w:tcPr>
            <w:tcW w:w="610" w:type="pct"/>
            <w:shd w:val="clear" w:color="auto" w:fill="auto"/>
            <w:vAlign w:val="center"/>
          </w:tcPr>
          <w:p>
            <w:pPr>
              <w:widowControl/>
              <w:adjustRightInd w:val="0"/>
              <w:snapToGrid w:val="0"/>
              <w:jc w:val="center"/>
              <w:rPr>
                <w:kern w:val="0"/>
                <w:szCs w:val="21"/>
              </w:rPr>
            </w:pPr>
            <w:r>
              <w:rPr>
                <w:kern w:val="0"/>
                <w:szCs w:val="21"/>
              </w:rPr>
              <w:t>0.0009</w:t>
            </w:r>
          </w:p>
        </w:tc>
        <w:tc>
          <w:tcPr>
            <w:tcW w:w="575" w:type="pct"/>
            <w:shd w:val="clear" w:color="auto" w:fill="auto"/>
          </w:tcPr>
          <w:p>
            <w:pPr>
              <w:widowControl/>
              <w:adjustRightInd w:val="0"/>
              <w:snapToGrid w:val="0"/>
              <w:jc w:val="center"/>
              <w:rPr>
                <w:kern w:val="0"/>
                <w:szCs w:val="21"/>
              </w:rPr>
            </w:pPr>
            <w:r>
              <w:rPr>
                <w:kern w:val="0"/>
                <w:szCs w:val="21"/>
              </w:rPr>
              <w:t>0.0009</w:t>
            </w:r>
          </w:p>
        </w:tc>
        <w:tc>
          <w:tcPr>
            <w:tcW w:w="834" w:type="pct"/>
            <w:shd w:val="clear" w:color="auto" w:fill="auto"/>
          </w:tcPr>
          <w:p>
            <w:pPr>
              <w:widowControl/>
              <w:adjustRightInd w:val="0"/>
              <w:snapToGrid w:val="0"/>
              <w:jc w:val="center"/>
              <w:rPr>
                <w:kern w:val="0"/>
                <w:szCs w:val="21"/>
              </w:rPr>
            </w:pPr>
            <w:r>
              <w:rPr>
                <w:kern w:val="0"/>
                <w:szCs w:val="21"/>
              </w:rPr>
              <w:t>0.0007</w:t>
            </w:r>
          </w:p>
        </w:tc>
        <w:tc>
          <w:tcPr>
            <w:tcW w:w="778" w:type="pct"/>
            <w:vMerge w:val="restart"/>
            <w:shd w:val="clear" w:color="auto" w:fill="auto"/>
            <w:noWrap/>
            <w:vAlign w:val="center"/>
          </w:tcPr>
          <w:p>
            <w:pPr>
              <w:widowControl/>
              <w:adjustRightInd w:val="0"/>
              <w:snapToGrid w:val="0"/>
              <w:jc w:val="center"/>
              <w:rPr>
                <w:kern w:val="0"/>
                <w:szCs w:val="21"/>
              </w:rPr>
            </w:pPr>
            <w:r>
              <w:rPr>
                <w:kern w:val="0"/>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395" w:type="pct"/>
            <w:vMerge w:val="continue"/>
            <w:shd w:val="clear" w:color="auto" w:fill="auto"/>
            <w:vAlign w:val="center"/>
          </w:tcPr>
          <w:p>
            <w:pPr>
              <w:adjustRightInd w:val="0"/>
              <w:snapToGrid w:val="0"/>
              <w:jc w:val="left"/>
              <w:rPr>
                <w:kern w:val="0"/>
                <w:szCs w:val="21"/>
              </w:rPr>
            </w:pPr>
          </w:p>
        </w:tc>
        <w:tc>
          <w:tcPr>
            <w:tcW w:w="381" w:type="pct"/>
            <w:shd w:val="clear" w:color="auto" w:fill="auto"/>
            <w:vAlign w:val="center"/>
          </w:tcPr>
          <w:p>
            <w:pPr>
              <w:widowControl/>
              <w:adjustRightInd w:val="0"/>
              <w:snapToGrid w:val="0"/>
              <w:jc w:val="center"/>
              <w:rPr>
                <w:kern w:val="0"/>
                <w:szCs w:val="21"/>
              </w:rPr>
            </w:pPr>
            <w:r>
              <w:rPr>
                <w:kern w:val="0"/>
                <w:szCs w:val="21"/>
              </w:rPr>
              <w:t>2#</w:t>
            </w:r>
          </w:p>
        </w:tc>
        <w:tc>
          <w:tcPr>
            <w:tcW w:w="466" w:type="pct"/>
            <w:shd w:val="clear" w:color="auto" w:fill="auto"/>
            <w:vAlign w:val="center"/>
          </w:tcPr>
          <w:p>
            <w:pPr>
              <w:widowControl/>
              <w:adjustRightInd w:val="0"/>
              <w:snapToGrid w:val="0"/>
              <w:jc w:val="center"/>
              <w:rPr>
                <w:kern w:val="0"/>
                <w:szCs w:val="21"/>
              </w:rPr>
            </w:pPr>
            <w:r>
              <w:rPr>
                <w:kern w:val="0"/>
                <w:szCs w:val="21"/>
              </w:rPr>
              <w:t>1.35</w:t>
            </w:r>
          </w:p>
        </w:tc>
        <w:tc>
          <w:tcPr>
            <w:tcW w:w="475" w:type="pct"/>
            <w:shd w:val="clear" w:color="auto" w:fill="auto"/>
            <w:vAlign w:val="center"/>
          </w:tcPr>
          <w:p>
            <w:pPr>
              <w:widowControl/>
              <w:adjustRightInd w:val="0"/>
              <w:snapToGrid w:val="0"/>
              <w:jc w:val="center"/>
              <w:rPr>
                <w:kern w:val="0"/>
                <w:szCs w:val="21"/>
              </w:rPr>
            </w:pPr>
            <w:r>
              <w:rPr>
                <w:kern w:val="0"/>
                <w:szCs w:val="21"/>
              </w:rPr>
              <w:t>1.63</w:t>
            </w:r>
          </w:p>
        </w:tc>
        <w:tc>
          <w:tcPr>
            <w:tcW w:w="485" w:type="pct"/>
            <w:shd w:val="clear" w:color="auto" w:fill="auto"/>
            <w:vAlign w:val="center"/>
          </w:tcPr>
          <w:p>
            <w:pPr>
              <w:widowControl/>
              <w:adjustRightInd w:val="0"/>
              <w:snapToGrid w:val="0"/>
              <w:jc w:val="center"/>
              <w:rPr>
                <w:kern w:val="0"/>
                <w:szCs w:val="21"/>
              </w:rPr>
            </w:pPr>
            <w:r>
              <w:rPr>
                <w:kern w:val="0"/>
                <w:szCs w:val="21"/>
              </w:rPr>
              <w:t>1.12</w:t>
            </w:r>
          </w:p>
        </w:tc>
        <w:tc>
          <w:tcPr>
            <w:tcW w:w="610" w:type="pct"/>
            <w:shd w:val="clear" w:color="auto" w:fill="auto"/>
            <w:vAlign w:val="center"/>
          </w:tcPr>
          <w:p>
            <w:pPr>
              <w:widowControl/>
              <w:adjustRightInd w:val="0"/>
              <w:snapToGrid w:val="0"/>
              <w:jc w:val="center"/>
              <w:rPr>
                <w:kern w:val="0"/>
                <w:szCs w:val="21"/>
              </w:rPr>
            </w:pPr>
            <w:r>
              <w:rPr>
                <w:kern w:val="0"/>
                <w:szCs w:val="21"/>
              </w:rPr>
              <w:t>0.0003</w:t>
            </w:r>
          </w:p>
        </w:tc>
        <w:tc>
          <w:tcPr>
            <w:tcW w:w="575" w:type="pct"/>
            <w:shd w:val="clear" w:color="auto" w:fill="auto"/>
          </w:tcPr>
          <w:p>
            <w:pPr>
              <w:widowControl/>
              <w:adjustRightInd w:val="0"/>
              <w:snapToGrid w:val="0"/>
              <w:jc w:val="center"/>
              <w:rPr>
                <w:kern w:val="0"/>
                <w:szCs w:val="21"/>
              </w:rPr>
            </w:pPr>
            <w:r>
              <w:rPr>
                <w:kern w:val="0"/>
                <w:szCs w:val="21"/>
              </w:rPr>
              <w:t>0.0003</w:t>
            </w:r>
          </w:p>
        </w:tc>
        <w:tc>
          <w:tcPr>
            <w:tcW w:w="834" w:type="pct"/>
            <w:shd w:val="clear" w:color="auto" w:fill="auto"/>
          </w:tcPr>
          <w:p>
            <w:pPr>
              <w:widowControl/>
              <w:adjustRightInd w:val="0"/>
              <w:snapToGrid w:val="0"/>
              <w:jc w:val="center"/>
              <w:rPr>
                <w:kern w:val="0"/>
                <w:szCs w:val="21"/>
              </w:rPr>
            </w:pPr>
            <w:r>
              <w:rPr>
                <w:kern w:val="0"/>
                <w:szCs w:val="21"/>
              </w:rPr>
              <w:t>0.0003</w:t>
            </w:r>
          </w:p>
        </w:tc>
        <w:tc>
          <w:tcPr>
            <w:tcW w:w="778" w:type="pct"/>
            <w:vMerge w:val="continue"/>
            <w:shd w:val="clear" w:color="auto" w:fill="auto"/>
            <w:noWrap/>
            <w:vAlign w:val="center"/>
          </w:tcPr>
          <w:p>
            <w:pPr>
              <w:widowControl/>
              <w:adjustRightInd w:val="0"/>
              <w:snapToGrid w:val="0"/>
              <w:jc w:val="left"/>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395" w:type="pct"/>
            <w:vMerge w:val="continue"/>
            <w:shd w:val="clear" w:color="auto" w:fill="auto"/>
            <w:vAlign w:val="center"/>
          </w:tcPr>
          <w:p>
            <w:pPr>
              <w:adjustRightInd w:val="0"/>
              <w:snapToGrid w:val="0"/>
              <w:jc w:val="left"/>
              <w:rPr>
                <w:kern w:val="0"/>
                <w:szCs w:val="21"/>
              </w:rPr>
            </w:pPr>
          </w:p>
        </w:tc>
        <w:tc>
          <w:tcPr>
            <w:tcW w:w="381" w:type="pct"/>
            <w:shd w:val="clear" w:color="auto" w:fill="auto"/>
            <w:vAlign w:val="center"/>
          </w:tcPr>
          <w:p>
            <w:pPr>
              <w:widowControl/>
              <w:adjustRightInd w:val="0"/>
              <w:snapToGrid w:val="0"/>
              <w:jc w:val="center"/>
              <w:rPr>
                <w:kern w:val="0"/>
                <w:szCs w:val="21"/>
              </w:rPr>
            </w:pPr>
            <w:r>
              <w:rPr>
                <w:kern w:val="0"/>
                <w:szCs w:val="21"/>
              </w:rPr>
              <w:t>3#</w:t>
            </w:r>
          </w:p>
        </w:tc>
        <w:tc>
          <w:tcPr>
            <w:tcW w:w="466" w:type="pct"/>
            <w:shd w:val="clear" w:color="auto" w:fill="auto"/>
            <w:vAlign w:val="center"/>
          </w:tcPr>
          <w:p>
            <w:pPr>
              <w:widowControl/>
              <w:adjustRightInd w:val="0"/>
              <w:snapToGrid w:val="0"/>
              <w:jc w:val="center"/>
              <w:rPr>
                <w:kern w:val="0"/>
                <w:szCs w:val="21"/>
              </w:rPr>
            </w:pPr>
            <w:r>
              <w:rPr>
                <w:kern w:val="0"/>
                <w:szCs w:val="21"/>
              </w:rPr>
              <w:t>1.44</w:t>
            </w:r>
          </w:p>
        </w:tc>
        <w:tc>
          <w:tcPr>
            <w:tcW w:w="475" w:type="pct"/>
            <w:shd w:val="clear" w:color="auto" w:fill="auto"/>
            <w:vAlign w:val="center"/>
          </w:tcPr>
          <w:p>
            <w:pPr>
              <w:widowControl/>
              <w:adjustRightInd w:val="0"/>
              <w:snapToGrid w:val="0"/>
              <w:jc w:val="center"/>
              <w:rPr>
                <w:kern w:val="0"/>
                <w:szCs w:val="21"/>
              </w:rPr>
            </w:pPr>
            <w:r>
              <w:rPr>
                <w:kern w:val="0"/>
                <w:szCs w:val="21"/>
              </w:rPr>
              <w:t>1.65</w:t>
            </w:r>
          </w:p>
        </w:tc>
        <w:tc>
          <w:tcPr>
            <w:tcW w:w="485" w:type="pct"/>
            <w:shd w:val="clear" w:color="auto" w:fill="auto"/>
            <w:vAlign w:val="center"/>
          </w:tcPr>
          <w:p>
            <w:pPr>
              <w:widowControl/>
              <w:adjustRightInd w:val="0"/>
              <w:snapToGrid w:val="0"/>
              <w:jc w:val="center"/>
              <w:rPr>
                <w:kern w:val="0"/>
                <w:szCs w:val="21"/>
              </w:rPr>
            </w:pPr>
            <w:r>
              <w:rPr>
                <w:kern w:val="0"/>
                <w:szCs w:val="21"/>
              </w:rPr>
              <w:t>1.21</w:t>
            </w:r>
          </w:p>
        </w:tc>
        <w:tc>
          <w:tcPr>
            <w:tcW w:w="610" w:type="pct"/>
            <w:shd w:val="clear" w:color="auto" w:fill="auto"/>
            <w:vAlign w:val="center"/>
          </w:tcPr>
          <w:p>
            <w:pPr>
              <w:widowControl/>
              <w:adjustRightInd w:val="0"/>
              <w:snapToGrid w:val="0"/>
              <w:jc w:val="center"/>
              <w:rPr>
                <w:kern w:val="0"/>
                <w:szCs w:val="21"/>
              </w:rPr>
            </w:pPr>
            <w:r>
              <w:rPr>
                <w:kern w:val="0"/>
                <w:szCs w:val="21"/>
              </w:rPr>
              <w:t>0.0004</w:t>
            </w:r>
          </w:p>
        </w:tc>
        <w:tc>
          <w:tcPr>
            <w:tcW w:w="575" w:type="pct"/>
            <w:shd w:val="clear" w:color="auto" w:fill="auto"/>
          </w:tcPr>
          <w:p>
            <w:pPr>
              <w:widowControl/>
              <w:adjustRightInd w:val="0"/>
              <w:snapToGrid w:val="0"/>
              <w:jc w:val="center"/>
              <w:rPr>
                <w:kern w:val="0"/>
                <w:szCs w:val="21"/>
              </w:rPr>
            </w:pPr>
            <w:r>
              <w:rPr>
                <w:kern w:val="0"/>
                <w:szCs w:val="21"/>
              </w:rPr>
              <w:t>0.0004</w:t>
            </w:r>
          </w:p>
        </w:tc>
        <w:tc>
          <w:tcPr>
            <w:tcW w:w="834" w:type="pct"/>
            <w:shd w:val="clear" w:color="auto" w:fill="auto"/>
          </w:tcPr>
          <w:p>
            <w:pPr>
              <w:widowControl/>
              <w:adjustRightInd w:val="0"/>
              <w:snapToGrid w:val="0"/>
              <w:jc w:val="center"/>
              <w:rPr>
                <w:kern w:val="0"/>
                <w:szCs w:val="21"/>
              </w:rPr>
            </w:pPr>
            <w:r>
              <w:rPr>
                <w:kern w:val="0"/>
                <w:szCs w:val="21"/>
              </w:rPr>
              <w:t>0.0004</w:t>
            </w:r>
          </w:p>
        </w:tc>
        <w:tc>
          <w:tcPr>
            <w:tcW w:w="778" w:type="pct"/>
            <w:vMerge w:val="continue"/>
            <w:shd w:val="clear" w:color="auto" w:fill="auto"/>
            <w:noWrap/>
            <w:vAlign w:val="center"/>
          </w:tcPr>
          <w:p>
            <w:pPr>
              <w:widowControl/>
              <w:adjustRightInd w:val="0"/>
              <w:snapToGrid w:val="0"/>
              <w:jc w:val="left"/>
              <w:rPr>
                <w:kern w:val="0"/>
                <w:szCs w:val="21"/>
              </w:rPr>
            </w:pPr>
          </w:p>
        </w:tc>
      </w:tr>
    </w:tbl>
    <w:p>
      <w:pPr>
        <w:autoSpaceDE w:val="0"/>
        <w:autoSpaceDN w:val="0"/>
        <w:adjustRightInd w:val="0"/>
        <w:spacing w:line="360" w:lineRule="auto"/>
        <w:jc w:val="center"/>
        <w:rPr>
          <w:sz w:val="24"/>
          <w:lang w:val="de-DE"/>
        </w:rPr>
      </w:pPr>
      <w:r>
        <w:rPr>
          <w:b/>
          <w:sz w:val="24"/>
          <w:lang w:val="de-DE"/>
        </w:rPr>
        <w:t xml:space="preserve">表6.1-2  </w:t>
      </w:r>
      <w:r>
        <w:rPr>
          <w:rFonts w:hint="eastAsia"/>
          <w:b/>
          <w:sz w:val="24"/>
          <w:lang w:val="de-DE"/>
        </w:rPr>
        <w:t>厂界</w:t>
      </w:r>
      <w:r>
        <w:rPr>
          <w:b/>
          <w:sz w:val="24"/>
          <w:lang w:val="de-DE"/>
        </w:rPr>
        <w:t>大气污染物监测结果</w:t>
      </w:r>
      <w:r>
        <w:rPr>
          <w:b/>
          <w:kern w:val="0"/>
          <w:szCs w:val="21"/>
        </w:rPr>
        <w:t>(mg/m</w:t>
      </w:r>
      <w:r>
        <w:rPr>
          <w:b/>
          <w:kern w:val="0"/>
          <w:szCs w:val="21"/>
          <w:vertAlign w:val="superscript"/>
        </w:rPr>
        <w:t>3</w:t>
      </w:r>
      <w:r>
        <w:rPr>
          <w:b/>
          <w:kern w:val="0"/>
          <w:szCs w:val="21"/>
        </w:rPr>
        <w:t>)</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3"/>
        <w:gridCol w:w="1171"/>
        <w:gridCol w:w="690"/>
        <w:gridCol w:w="820"/>
        <w:gridCol w:w="852"/>
        <w:gridCol w:w="989"/>
        <w:gridCol w:w="850"/>
        <w:gridCol w:w="1133"/>
        <w:gridCol w:w="10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5" w:hRule="atLeast"/>
        </w:trPr>
        <w:tc>
          <w:tcPr>
            <w:tcW w:w="1258" w:type="pct"/>
            <w:gridSpan w:val="2"/>
            <w:vMerge w:val="restart"/>
            <w:tcBorders>
              <w:tl2br w:val="single" w:color="auto" w:sz="8" w:space="0"/>
            </w:tcBorders>
            <w:shd w:val="clear" w:color="auto" w:fill="auto"/>
            <w:vAlign w:val="center"/>
          </w:tcPr>
          <w:p>
            <w:pPr>
              <w:widowControl/>
              <w:jc w:val="center"/>
              <w:rPr>
                <w:kern w:val="0"/>
                <w:szCs w:val="21"/>
              </w:rPr>
            </w:pPr>
            <w:r>
              <w:rPr>
                <w:rFonts w:hint="eastAsia"/>
                <w:kern w:val="0"/>
                <w:szCs w:val="21"/>
              </w:rPr>
              <w:t xml:space="preserve"> </w:t>
            </w:r>
            <w:r>
              <w:rPr>
                <w:kern w:val="0"/>
                <w:szCs w:val="21"/>
              </w:rPr>
              <w:t xml:space="preserve">      监测日期</w:t>
            </w:r>
          </w:p>
          <w:p>
            <w:pPr>
              <w:rPr>
                <w:kern w:val="0"/>
                <w:szCs w:val="21"/>
              </w:rPr>
            </w:pPr>
            <w:r>
              <w:rPr>
                <w:kern w:val="0"/>
                <w:szCs w:val="21"/>
              </w:rPr>
              <w:t>监测项目</w:t>
            </w:r>
          </w:p>
        </w:tc>
        <w:tc>
          <w:tcPr>
            <w:tcW w:w="1386" w:type="pct"/>
            <w:gridSpan w:val="3"/>
            <w:shd w:val="clear" w:color="auto" w:fill="auto"/>
            <w:vAlign w:val="center"/>
          </w:tcPr>
          <w:p>
            <w:pPr>
              <w:widowControl/>
              <w:jc w:val="center"/>
              <w:rPr>
                <w:kern w:val="0"/>
                <w:szCs w:val="21"/>
              </w:rPr>
            </w:pPr>
            <w:r>
              <w:rPr>
                <w:rFonts w:hint="eastAsia"/>
                <w:kern w:val="0"/>
                <w:szCs w:val="21"/>
              </w:rPr>
              <w:t>2</w:t>
            </w:r>
            <w:r>
              <w:rPr>
                <w:kern w:val="0"/>
                <w:szCs w:val="21"/>
              </w:rPr>
              <w:t>021</w:t>
            </w:r>
            <w:r>
              <w:rPr>
                <w:rFonts w:hint="eastAsia"/>
                <w:kern w:val="0"/>
                <w:szCs w:val="21"/>
              </w:rPr>
              <w:t>年</w:t>
            </w:r>
            <w:r>
              <w:rPr>
                <w:kern w:val="0"/>
                <w:szCs w:val="21"/>
              </w:rPr>
              <w:t>10</w:t>
            </w:r>
            <w:r>
              <w:rPr>
                <w:rFonts w:hint="eastAsia"/>
                <w:kern w:val="0"/>
                <w:szCs w:val="21"/>
              </w:rPr>
              <w:t>月</w:t>
            </w:r>
            <w:r>
              <w:rPr>
                <w:kern w:val="0"/>
                <w:szCs w:val="21"/>
              </w:rPr>
              <w:t>14</w:t>
            </w:r>
            <w:r>
              <w:rPr>
                <w:rFonts w:hint="eastAsia"/>
                <w:kern w:val="0"/>
                <w:szCs w:val="21"/>
              </w:rPr>
              <w:t>日</w:t>
            </w:r>
          </w:p>
        </w:tc>
        <w:tc>
          <w:tcPr>
            <w:tcW w:w="1744" w:type="pct"/>
            <w:gridSpan w:val="3"/>
            <w:shd w:val="clear" w:color="auto" w:fill="auto"/>
            <w:vAlign w:val="center"/>
          </w:tcPr>
          <w:p>
            <w:pPr>
              <w:widowControl/>
              <w:jc w:val="center"/>
              <w:rPr>
                <w:kern w:val="0"/>
                <w:szCs w:val="21"/>
              </w:rPr>
            </w:pPr>
            <w:r>
              <w:rPr>
                <w:rFonts w:hint="eastAsia"/>
                <w:kern w:val="0"/>
                <w:szCs w:val="21"/>
              </w:rPr>
              <w:t>2</w:t>
            </w:r>
            <w:r>
              <w:rPr>
                <w:kern w:val="0"/>
                <w:szCs w:val="21"/>
              </w:rPr>
              <w:t>022</w:t>
            </w:r>
            <w:r>
              <w:rPr>
                <w:rFonts w:hint="eastAsia"/>
                <w:kern w:val="0"/>
                <w:szCs w:val="21"/>
              </w:rPr>
              <w:t>年4月2</w:t>
            </w:r>
            <w:r>
              <w:rPr>
                <w:kern w:val="0"/>
                <w:szCs w:val="21"/>
              </w:rPr>
              <w:t>6</w:t>
            </w:r>
            <w:r>
              <w:rPr>
                <w:rFonts w:hint="eastAsia"/>
                <w:kern w:val="0"/>
                <w:szCs w:val="21"/>
              </w:rPr>
              <w:t>日</w:t>
            </w:r>
          </w:p>
        </w:tc>
        <w:tc>
          <w:tcPr>
            <w:tcW w:w="612" w:type="pct"/>
            <w:vMerge w:val="restart"/>
            <w:shd w:val="clear" w:color="auto" w:fill="auto"/>
            <w:noWrap/>
            <w:vAlign w:val="center"/>
          </w:tcPr>
          <w:p>
            <w:pPr>
              <w:widowControl/>
              <w:ind w:left="-105" w:leftChars="-50" w:right="-105" w:rightChars="-50"/>
              <w:jc w:val="center"/>
              <w:rPr>
                <w:kern w:val="0"/>
                <w:szCs w:val="21"/>
              </w:rPr>
            </w:pPr>
            <w:r>
              <w:rPr>
                <w:kern w:val="0"/>
                <w:szCs w:val="21"/>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5" w:hRule="atLeast"/>
        </w:trPr>
        <w:tc>
          <w:tcPr>
            <w:tcW w:w="1258" w:type="pct"/>
            <w:gridSpan w:val="2"/>
            <w:vMerge w:val="continue"/>
            <w:tcBorders>
              <w:tl2br w:val="single" w:color="auto" w:sz="8" w:space="0"/>
            </w:tcBorders>
            <w:shd w:val="clear" w:color="auto" w:fill="auto"/>
            <w:vAlign w:val="center"/>
          </w:tcPr>
          <w:p>
            <w:pPr>
              <w:widowControl/>
              <w:jc w:val="center"/>
              <w:rPr>
                <w:kern w:val="0"/>
                <w:szCs w:val="21"/>
              </w:rPr>
            </w:pPr>
          </w:p>
        </w:tc>
        <w:tc>
          <w:tcPr>
            <w:tcW w:w="405" w:type="pct"/>
            <w:shd w:val="clear" w:color="auto" w:fill="auto"/>
            <w:vAlign w:val="center"/>
          </w:tcPr>
          <w:p>
            <w:pPr>
              <w:widowControl/>
              <w:jc w:val="center"/>
              <w:rPr>
                <w:kern w:val="0"/>
                <w:szCs w:val="21"/>
              </w:rPr>
            </w:pPr>
            <w:r>
              <w:rPr>
                <w:kern w:val="0"/>
                <w:szCs w:val="21"/>
              </w:rPr>
              <w:t>9:00</w:t>
            </w:r>
          </w:p>
        </w:tc>
        <w:tc>
          <w:tcPr>
            <w:tcW w:w="481" w:type="pct"/>
            <w:shd w:val="clear" w:color="auto" w:fill="auto"/>
            <w:vAlign w:val="center"/>
          </w:tcPr>
          <w:p>
            <w:pPr>
              <w:widowControl/>
              <w:jc w:val="center"/>
              <w:rPr>
                <w:kern w:val="0"/>
                <w:szCs w:val="21"/>
              </w:rPr>
            </w:pPr>
            <w:r>
              <w:rPr>
                <w:kern w:val="0"/>
                <w:szCs w:val="21"/>
              </w:rPr>
              <w:t>11:00</w:t>
            </w:r>
          </w:p>
        </w:tc>
        <w:tc>
          <w:tcPr>
            <w:tcW w:w="500" w:type="pct"/>
            <w:shd w:val="clear" w:color="auto" w:fill="auto"/>
            <w:vAlign w:val="center"/>
          </w:tcPr>
          <w:p>
            <w:pPr>
              <w:widowControl/>
              <w:jc w:val="center"/>
              <w:rPr>
                <w:kern w:val="0"/>
                <w:szCs w:val="21"/>
              </w:rPr>
            </w:pPr>
            <w:r>
              <w:rPr>
                <w:kern w:val="0"/>
                <w:szCs w:val="21"/>
              </w:rPr>
              <w:t>14:00</w:t>
            </w:r>
          </w:p>
        </w:tc>
        <w:tc>
          <w:tcPr>
            <w:tcW w:w="580" w:type="pct"/>
            <w:shd w:val="clear" w:color="auto" w:fill="auto"/>
            <w:vAlign w:val="center"/>
          </w:tcPr>
          <w:p>
            <w:pPr>
              <w:widowControl/>
              <w:jc w:val="center"/>
              <w:rPr>
                <w:kern w:val="0"/>
                <w:szCs w:val="21"/>
              </w:rPr>
            </w:pPr>
            <w:r>
              <w:rPr>
                <w:kern w:val="0"/>
                <w:szCs w:val="21"/>
              </w:rPr>
              <w:t>10:00</w:t>
            </w:r>
          </w:p>
        </w:tc>
        <w:tc>
          <w:tcPr>
            <w:tcW w:w="499" w:type="pct"/>
            <w:shd w:val="clear" w:color="auto" w:fill="auto"/>
            <w:vAlign w:val="center"/>
          </w:tcPr>
          <w:p>
            <w:pPr>
              <w:widowControl/>
              <w:jc w:val="center"/>
              <w:rPr>
                <w:kern w:val="0"/>
                <w:szCs w:val="21"/>
              </w:rPr>
            </w:pPr>
            <w:r>
              <w:rPr>
                <w:kern w:val="0"/>
                <w:szCs w:val="21"/>
              </w:rPr>
              <w:t>12:00</w:t>
            </w:r>
          </w:p>
        </w:tc>
        <w:tc>
          <w:tcPr>
            <w:tcW w:w="665" w:type="pct"/>
            <w:shd w:val="clear" w:color="auto" w:fill="auto"/>
            <w:vAlign w:val="center"/>
          </w:tcPr>
          <w:p>
            <w:pPr>
              <w:widowControl/>
              <w:jc w:val="center"/>
              <w:rPr>
                <w:kern w:val="0"/>
                <w:szCs w:val="21"/>
              </w:rPr>
            </w:pPr>
            <w:r>
              <w:rPr>
                <w:kern w:val="0"/>
                <w:szCs w:val="21"/>
              </w:rPr>
              <w:t>14:00</w:t>
            </w:r>
          </w:p>
        </w:tc>
        <w:tc>
          <w:tcPr>
            <w:tcW w:w="612" w:type="pct"/>
            <w:vMerge w:val="continue"/>
            <w:shd w:val="clear" w:color="auto" w:fill="auto"/>
            <w:noWrap/>
            <w:vAlign w:val="center"/>
          </w:tcPr>
          <w:p>
            <w:pPr>
              <w:widowControl/>
              <w:ind w:left="-105" w:leftChars="-50" w:right="-105" w:rightChars="-50"/>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restart"/>
            <w:shd w:val="clear" w:color="auto" w:fill="auto"/>
            <w:vAlign w:val="center"/>
          </w:tcPr>
          <w:p>
            <w:pPr>
              <w:widowControl/>
              <w:jc w:val="center"/>
              <w:rPr>
                <w:kern w:val="0"/>
                <w:szCs w:val="21"/>
              </w:rPr>
            </w:pPr>
            <w:r>
              <w:rPr>
                <w:rFonts w:hint="eastAsia"/>
                <w:kern w:val="0"/>
                <w:szCs w:val="21"/>
              </w:rPr>
              <w:t>厂区上风向</w:t>
            </w:r>
          </w:p>
        </w:tc>
        <w:tc>
          <w:tcPr>
            <w:tcW w:w="686" w:type="pct"/>
            <w:shd w:val="clear" w:color="auto" w:fill="auto"/>
            <w:vAlign w:val="center"/>
          </w:tcPr>
          <w:p>
            <w:pPr>
              <w:widowControl/>
              <w:jc w:val="center"/>
              <w:rPr>
                <w:kern w:val="0"/>
                <w:szCs w:val="21"/>
                <w:vertAlign w:val="subscript"/>
              </w:rPr>
            </w:pPr>
            <w:r>
              <w:rPr>
                <w:kern w:val="0"/>
                <w:szCs w:val="21"/>
              </w:rPr>
              <w:t>NH</w:t>
            </w:r>
            <w:r>
              <w:rPr>
                <w:kern w:val="0"/>
                <w:szCs w:val="21"/>
                <w:vertAlign w:val="subscript"/>
              </w:rPr>
              <w:t>3</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.08</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.09</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.10</w:t>
            </w:r>
          </w:p>
        </w:tc>
        <w:tc>
          <w:tcPr>
            <w:tcW w:w="580" w:type="pct"/>
            <w:shd w:val="clear" w:color="auto" w:fill="auto"/>
            <w:vAlign w:val="center"/>
          </w:tcPr>
          <w:p>
            <w:pPr>
              <w:widowControl/>
              <w:jc w:val="center"/>
              <w:rPr>
                <w:kern w:val="0"/>
                <w:szCs w:val="21"/>
              </w:rPr>
            </w:pPr>
            <w:r>
              <w:rPr>
                <w:kern w:val="0"/>
                <w:szCs w:val="21"/>
              </w:rPr>
              <w:t>0.05</w:t>
            </w:r>
          </w:p>
        </w:tc>
        <w:tc>
          <w:tcPr>
            <w:tcW w:w="499" w:type="pct"/>
            <w:shd w:val="clear" w:color="auto" w:fill="auto"/>
            <w:vAlign w:val="center"/>
          </w:tcPr>
          <w:p>
            <w:pPr>
              <w:widowControl/>
              <w:jc w:val="center"/>
              <w:rPr>
                <w:kern w:val="0"/>
                <w:szCs w:val="21"/>
              </w:rPr>
            </w:pPr>
            <w:r>
              <w:rPr>
                <w:kern w:val="0"/>
                <w:szCs w:val="21"/>
              </w:rPr>
              <w:t>0.05</w:t>
            </w:r>
          </w:p>
        </w:tc>
        <w:tc>
          <w:tcPr>
            <w:tcW w:w="665" w:type="pct"/>
            <w:shd w:val="clear" w:color="auto" w:fill="auto"/>
            <w:vAlign w:val="center"/>
          </w:tcPr>
          <w:p>
            <w:pPr>
              <w:widowControl/>
              <w:jc w:val="center"/>
              <w:rPr>
                <w:kern w:val="0"/>
                <w:szCs w:val="21"/>
              </w:rPr>
            </w:pPr>
            <w:r>
              <w:rPr>
                <w:kern w:val="0"/>
                <w:szCs w:val="21"/>
              </w:rPr>
              <w:t>0.05</w:t>
            </w:r>
          </w:p>
        </w:tc>
        <w:tc>
          <w:tcPr>
            <w:tcW w:w="612" w:type="pct"/>
            <w:shd w:val="clear" w:color="auto" w:fill="auto"/>
            <w:vAlign w:val="center"/>
          </w:tcPr>
          <w:p>
            <w:pPr>
              <w:widowControl/>
              <w:jc w:val="center"/>
              <w:rPr>
                <w:kern w:val="0"/>
                <w:szCs w:val="21"/>
              </w:rPr>
            </w:pPr>
            <w:r>
              <w:rPr>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kern w:val="0"/>
                <w:szCs w:val="21"/>
              </w:rPr>
              <w:t>H</w:t>
            </w:r>
            <w:r>
              <w:rPr>
                <w:kern w:val="0"/>
                <w:szCs w:val="21"/>
                <w:vertAlign w:val="subscript"/>
              </w:rPr>
              <w:t>2</w:t>
            </w:r>
            <w:r>
              <w:rPr>
                <w:kern w:val="0"/>
                <w:szCs w:val="21"/>
              </w:rPr>
              <w:t>S</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.003</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.003</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.003</w:t>
            </w:r>
          </w:p>
        </w:tc>
        <w:tc>
          <w:tcPr>
            <w:tcW w:w="580" w:type="pct"/>
            <w:shd w:val="clear" w:color="auto" w:fill="auto"/>
            <w:vAlign w:val="center"/>
          </w:tcPr>
          <w:p>
            <w:pPr>
              <w:widowControl/>
              <w:jc w:val="center"/>
              <w:rPr>
                <w:kern w:val="0"/>
                <w:szCs w:val="21"/>
              </w:rPr>
            </w:pPr>
            <w:r>
              <w:rPr>
                <w:kern w:val="0"/>
                <w:szCs w:val="21"/>
              </w:rPr>
              <w:t>0.006</w:t>
            </w:r>
          </w:p>
        </w:tc>
        <w:tc>
          <w:tcPr>
            <w:tcW w:w="499" w:type="pct"/>
            <w:shd w:val="clear" w:color="auto" w:fill="auto"/>
            <w:vAlign w:val="center"/>
          </w:tcPr>
          <w:p>
            <w:pPr>
              <w:widowControl/>
              <w:jc w:val="center"/>
              <w:rPr>
                <w:kern w:val="0"/>
                <w:szCs w:val="21"/>
              </w:rPr>
            </w:pPr>
            <w:r>
              <w:rPr>
                <w:kern w:val="0"/>
                <w:szCs w:val="21"/>
              </w:rPr>
              <w:t>0.005</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.006</w:t>
            </w:r>
          </w:p>
        </w:tc>
        <w:tc>
          <w:tcPr>
            <w:tcW w:w="612" w:type="pct"/>
            <w:shd w:val="clear" w:color="auto" w:fill="auto"/>
            <w:vAlign w:val="center"/>
          </w:tcPr>
          <w:p>
            <w:pPr>
              <w:widowControl/>
              <w:jc w:val="center"/>
              <w:rPr>
                <w:kern w:val="0"/>
                <w:szCs w:val="21"/>
              </w:rPr>
            </w:pPr>
            <w:r>
              <w:rPr>
                <w:kern w:val="0"/>
                <w:szCs w:val="21"/>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rFonts w:hint="eastAsia"/>
                <w:kern w:val="0"/>
                <w:szCs w:val="21"/>
              </w:rPr>
              <w:t>颗粒物</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.101</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.128</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.104</w:t>
            </w:r>
          </w:p>
        </w:tc>
        <w:tc>
          <w:tcPr>
            <w:tcW w:w="580" w:type="pct"/>
            <w:shd w:val="clear" w:color="auto" w:fill="auto"/>
            <w:vAlign w:val="center"/>
          </w:tcPr>
          <w:p>
            <w:pPr>
              <w:widowControl/>
              <w:jc w:val="center"/>
              <w:rPr>
                <w:kern w:val="0"/>
                <w:szCs w:val="21"/>
              </w:rPr>
            </w:pPr>
            <w:r>
              <w:rPr>
                <w:kern w:val="0"/>
                <w:szCs w:val="21"/>
              </w:rPr>
              <w:t>0.190</w:t>
            </w:r>
          </w:p>
        </w:tc>
        <w:tc>
          <w:tcPr>
            <w:tcW w:w="499" w:type="pct"/>
            <w:shd w:val="clear" w:color="auto" w:fill="auto"/>
            <w:vAlign w:val="center"/>
          </w:tcPr>
          <w:p>
            <w:pPr>
              <w:widowControl/>
              <w:jc w:val="center"/>
              <w:rPr>
                <w:kern w:val="0"/>
                <w:szCs w:val="21"/>
              </w:rPr>
            </w:pPr>
            <w:r>
              <w:rPr>
                <w:kern w:val="0"/>
                <w:szCs w:val="21"/>
              </w:rPr>
              <w:t>0.173</w:t>
            </w:r>
          </w:p>
        </w:tc>
        <w:tc>
          <w:tcPr>
            <w:tcW w:w="665" w:type="pct"/>
            <w:shd w:val="clear" w:color="auto" w:fill="auto"/>
            <w:vAlign w:val="center"/>
          </w:tcPr>
          <w:p>
            <w:pPr>
              <w:widowControl/>
              <w:jc w:val="center"/>
              <w:rPr>
                <w:kern w:val="0"/>
                <w:szCs w:val="21"/>
              </w:rPr>
            </w:pPr>
            <w:r>
              <w:rPr>
                <w:kern w:val="0"/>
                <w:szCs w:val="21"/>
              </w:rPr>
              <w:t>0.194</w:t>
            </w:r>
          </w:p>
        </w:tc>
        <w:tc>
          <w:tcPr>
            <w:tcW w:w="612" w:type="pct"/>
            <w:shd w:val="clear" w:color="auto" w:fill="auto"/>
            <w:noWrap/>
            <w:vAlign w:val="center"/>
          </w:tcPr>
          <w:p>
            <w:pPr>
              <w:widowControl/>
              <w:jc w:val="center"/>
              <w:rPr>
                <w:kern w:val="0"/>
                <w:szCs w:val="21"/>
              </w:rPr>
            </w:pPr>
            <w:r>
              <w:rPr>
                <w:rFonts w:hint="eastAsia"/>
                <w:kern w:val="0"/>
                <w:szCs w:val="21"/>
              </w:rPr>
              <w:t>1</w:t>
            </w:r>
            <w:r>
              <w:rPr>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kern w:val="0"/>
                <w:szCs w:val="21"/>
              </w:rPr>
              <w:t>臭气浓度</w:t>
            </w:r>
          </w:p>
          <w:p>
            <w:pPr>
              <w:widowControl/>
              <w:jc w:val="center"/>
              <w:rPr>
                <w:kern w:val="0"/>
                <w:szCs w:val="21"/>
              </w:rPr>
            </w:pPr>
            <w:r>
              <w:rPr>
                <w:kern w:val="0"/>
                <w:szCs w:val="21"/>
              </w:rPr>
              <w:t>(无量纲)</w:t>
            </w:r>
          </w:p>
        </w:tc>
        <w:tc>
          <w:tcPr>
            <w:tcW w:w="405" w:type="pct"/>
            <w:shd w:val="clear" w:color="auto" w:fill="auto"/>
            <w:vAlign w:val="center"/>
          </w:tcPr>
          <w:p>
            <w:pPr>
              <w:widowControl/>
              <w:jc w:val="center"/>
              <w:rPr>
                <w:kern w:val="0"/>
                <w:szCs w:val="21"/>
              </w:rPr>
            </w:pPr>
            <w:r>
              <w:rPr>
                <w:rFonts w:hint="eastAsia"/>
                <w:kern w:val="0"/>
                <w:szCs w:val="21"/>
              </w:rPr>
              <w:t>1</w:t>
            </w:r>
            <w:r>
              <w:rPr>
                <w:kern w:val="0"/>
                <w:szCs w:val="21"/>
              </w:rPr>
              <w:t>5.3</w:t>
            </w:r>
          </w:p>
        </w:tc>
        <w:tc>
          <w:tcPr>
            <w:tcW w:w="481" w:type="pct"/>
            <w:shd w:val="clear" w:color="auto" w:fill="auto"/>
            <w:vAlign w:val="center"/>
          </w:tcPr>
          <w:p>
            <w:pPr>
              <w:widowControl/>
              <w:jc w:val="center"/>
              <w:rPr>
                <w:kern w:val="0"/>
                <w:szCs w:val="21"/>
              </w:rPr>
            </w:pPr>
            <w:r>
              <w:rPr>
                <w:rFonts w:hint="eastAsia"/>
                <w:kern w:val="0"/>
                <w:szCs w:val="21"/>
              </w:rPr>
              <w:t>1</w:t>
            </w:r>
            <w:r>
              <w:rPr>
                <w:kern w:val="0"/>
                <w:szCs w:val="21"/>
              </w:rPr>
              <w:t>5.4</w:t>
            </w:r>
          </w:p>
        </w:tc>
        <w:tc>
          <w:tcPr>
            <w:tcW w:w="500" w:type="pct"/>
            <w:shd w:val="clear" w:color="auto" w:fill="auto"/>
            <w:vAlign w:val="center"/>
          </w:tcPr>
          <w:p>
            <w:pPr>
              <w:widowControl/>
              <w:jc w:val="center"/>
              <w:rPr>
                <w:kern w:val="0"/>
                <w:szCs w:val="21"/>
              </w:rPr>
            </w:pPr>
            <w:r>
              <w:rPr>
                <w:rFonts w:hint="eastAsia"/>
                <w:kern w:val="0"/>
                <w:szCs w:val="21"/>
              </w:rPr>
              <w:t>1</w:t>
            </w:r>
            <w:r>
              <w:rPr>
                <w:kern w:val="0"/>
                <w:szCs w:val="21"/>
              </w:rPr>
              <w:t>5.5</w:t>
            </w:r>
          </w:p>
        </w:tc>
        <w:tc>
          <w:tcPr>
            <w:tcW w:w="580" w:type="pct"/>
            <w:shd w:val="clear" w:color="auto" w:fill="auto"/>
            <w:vAlign w:val="center"/>
          </w:tcPr>
          <w:p>
            <w:pPr>
              <w:widowControl/>
              <w:jc w:val="center"/>
              <w:rPr>
                <w:kern w:val="0"/>
                <w:szCs w:val="21"/>
              </w:rPr>
            </w:pPr>
            <w:r>
              <w:rPr>
                <w:rFonts w:hint="eastAsia"/>
                <w:kern w:val="0"/>
                <w:szCs w:val="21"/>
              </w:rPr>
              <w:t>1</w:t>
            </w:r>
            <w:r>
              <w:rPr>
                <w:kern w:val="0"/>
                <w:szCs w:val="21"/>
              </w:rPr>
              <w:t>1.7</w:t>
            </w:r>
          </w:p>
        </w:tc>
        <w:tc>
          <w:tcPr>
            <w:tcW w:w="499" w:type="pct"/>
            <w:shd w:val="clear" w:color="auto" w:fill="auto"/>
            <w:vAlign w:val="center"/>
          </w:tcPr>
          <w:p>
            <w:pPr>
              <w:widowControl/>
              <w:jc w:val="center"/>
              <w:rPr>
                <w:kern w:val="0"/>
                <w:szCs w:val="21"/>
              </w:rPr>
            </w:pPr>
            <w:r>
              <w:rPr>
                <w:rFonts w:hint="eastAsia"/>
                <w:kern w:val="0"/>
                <w:szCs w:val="21"/>
              </w:rPr>
              <w:t>1</w:t>
            </w:r>
            <w:r>
              <w:rPr>
                <w:kern w:val="0"/>
                <w:szCs w:val="21"/>
              </w:rPr>
              <w:t>2.6</w:t>
            </w:r>
          </w:p>
        </w:tc>
        <w:tc>
          <w:tcPr>
            <w:tcW w:w="665" w:type="pct"/>
            <w:shd w:val="clear" w:color="auto" w:fill="auto"/>
            <w:vAlign w:val="center"/>
          </w:tcPr>
          <w:p>
            <w:pPr>
              <w:widowControl/>
              <w:jc w:val="center"/>
              <w:rPr>
                <w:kern w:val="0"/>
                <w:szCs w:val="21"/>
              </w:rPr>
            </w:pPr>
            <w:r>
              <w:rPr>
                <w:rFonts w:hint="eastAsia"/>
                <w:kern w:val="0"/>
                <w:szCs w:val="21"/>
              </w:rPr>
              <w:t>1</w:t>
            </w:r>
            <w:r>
              <w:rPr>
                <w:kern w:val="0"/>
                <w:szCs w:val="21"/>
              </w:rPr>
              <w:t>1.9</w:t>
            </w:r>
          </w:p>
        </w:tc>
        <w:tc>
          <w:tcPr>
            <w:tcW w:w="612" w:type="pct"/>
            <w:shd w:val="clear" w:color="auto" w:fill="auto"/>
            <w:noWrap/>
            <w:vAlign w:val="center"/>
          </w:tcPr>
          <w:p>
            <w:pPr>
              <w:widowControl/>
              <w:jc w:val="center"/>
              <w:rPr>
                <w:kern w:val="0"/>
                <w:szCs w:val="21"/>
              </w:rPr>
            </w:pPr>
            <w:r>
              <w:rPr>
                <w:kern w:val="0"/>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restart"/>
            <w:shd w:val="clear" w:color="auto" w:fill="auto"/>
            <w:vAlign w:val="center"/>
          </w:tcPr>
          <w:p>
            <w:pPr>
              <w:widowControl/>
              <w:jc w:val="center"/>
              <w:rPr>
                <w:kern w:val="0"/>
                <w:szCs w:val="21"/>
              </w:rPr>
            </w:pPr>
            <w:r>
              <w:rPr>
                <w:rFonts w:hint="eastAsia"/>
                <w:kern w:val="0"/>
                <w:szCs w:val="21"/>
              </w:rPr>
              <w:t>厂区下风向1</w:t>
            </w:r>
          </w:p>
        </w:tc>
        <w:tc>
          <w:tcPr>
            <w:tcW w:w="686" w:type="pct"/>
            <w:shd w:val="clear" w:color="auto" w:fill="auto"/>
            <w:vAlign w:val="center"/>
          </w:tcPr>
          <w:p>
            <w:pPr>
              <w:widowControl/>
              <w:jc w:val="center"/>
              <w:rPr>
                <w:kern w:val="0"/>
                <w:szCs w:val="21"/>
                <w:vertAlign w:val="subscript"/>
              </w:rPr>
            </w:pPr>
            <w:r>
              <w:rPr>
                <w:kern w:val="0"/>
                <w:szCs w:val="21"/>
              </w:rPr>
              <w:t>NH</w:t>
            </w:r>
            <w:r>
              <w:rPr>
                <w:kern w:val="0"/>
                <w:szCs w:val="21"/>
                <w:vertAlign w:val="subscript"/>
              </w:rPr>
              <w:t>3</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.10</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.11</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.13</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.24</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.24</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.24</w:t>
            </w:r>
          </w:p>
        </w:tc>
        <w:tc>
          <w:tcPr>
            <w:tcW w:w="612" w:type="pct"/>
            <w:shd w:val="clear" w:color="auto" w:fill="auto"/>
            <w:noWrap/>
            <w:vAlign w:val="center"/>
          </w:tcPr>
          <w:p>
            <w:pPr>
              <w:widowControl/>
              <w:jc w:val="center"/>
              <w:rPr>
                <w:kern w:val="0"/>
                <w:szCs w:val="21"/>
              </w:rPr>
            </w:pPr>
            <w:r>
              <w:rPr>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kern w:val="0"/>
                <w:szCs w:val="21"/>
              </w:rPr>
              <w:t>H</w:t>
            </w:r>
            <w:r>
              <w:rPr>
                <w:kern w:val="0"/>
                <w:szCs w:val="21"/>
                <w:vertAlign w:val="subscript"/>
              </w:rPr>
              <w:t>2</w:t>
            </w:r>
            <w:r>
              <w:rPr>
                <w:kern w:val="0"/>
                <w:szCs w:val="21"/>
              </w:rPr>
              <w:t>S</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.005</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.006</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.007</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.011</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.010</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.010</w:t>
            </w:r>
          </w:p>
        </w:tc>
        <w:tc>
          <w:tcPr>
            <w:tcW w:w="612" w:type="pct"/>
            <w:shd w:val="clear" w:color="auto" w:fill="auto"/>
            <w:noWrap/>
            <w:vAlign w:val="center"/>
          </w:tcPr>
          <w:p>
            <w:pPr>
              <w:widowControl/>
              <w:jc w:val="center"/>
              <w:rPr>
                <w:kern w:val="0"/>
                <w:szCs w:val="21"/>
              </w:rPr>
            </w:pPr>
            <w:r>
              <w:rPr>
                <w:kern w:val="0"/>
                <w:szCs w:val="21"/>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rFonts w:hint="eastAsia"/>
                <w:kern w:val="0"/>
                <w:szCs w:val="21"/>
              </w:rPr>
              <w:t>颗粒物</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.228</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.256</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.286</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.286</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.308</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.271</w:t>
            </w:r>
          </w:p>
        </w:tc>
        <w:tc>
          <w:tcPr>
            <w:tcW w:w="612" w:type="pct"/>
            <w:shd w:val="clear" w:color="auto" w:fill="auto"/>
            <w:noWrap/>
            <w:vAlign w:val="center"/>
          </w:tcPr>
          <w:p>
            <w:pPr>
              <w:widowControl/>
              <w:jc w:val="center"/>
              <w:rPr>
                <w:kern w:val="0"/>
                <w:szCs w:val="21"/>
              </w:rPr>
            </w:pPr>
            <w:r>
              <w:rPr>
                <w:rFonts w:hint="eastAsia"/>
                <w:kern w:val="0"/>
                <w:szCs w:val="21"/>
              </w:rPr>
              <w:t>1</w:t>
            </w:r>
            <w:r>
              <w:rPr>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kern w:val="0"/>
                <w:szCs w:val="21"/>
              </w:rPr>
              <w:t>臭气浓度</w:t>
            </w:r>
          </w:p>
          <w:p>
            <w:pPr>
              <w:widowControl/>
              <w:jc w:val="center"/>
              <w:rPr>
                <w:kern w:val="0"/>
                <w:szCs w:val="21"/>
              </w:rPr>
            </w:pPr>
            <w:r>
              <w:rPr>
                <w:kern w:val="0"/>
                <w:szCs w:val="21"/>
              </w:rPr>
              <w:t>(无量纲)</w:t>
            </w:r>
          </w:p>
        </w:tc>
        <w:tc>
          <w:tcPr>
            <w:tcW w:w="405" w:type="pct"/>
            <w:shd w:val="clear" w:color="auto" w:fill="auto"/>
            <w:vAlign w:val="center"/>
          </w:tcPr>
          <w:p>
            <w:pPr>
              <w:widowControl/>
              <w:jc w:val="center"/>
              <w:rPr>
                <w:kern w:val="0"/>
                <w:szCs w:val="21"/>
              </w:rPr>
            </w:pPr>
            <w:r>
              <w:rPr>
                <w:rFonts w:hint="eastAsia"/>
                <w:kern w:val="0"/>
                <w:szCs w:val="21"/>
              </w:rPr>
              <w:t>1</w:t>
            </w:r>
            <w:r>
              <w:rPr>
                <w:kern w:val="0"/>
                <w:szCs w:val="21"/>
              </w:rPr>
              <w:t>6.8</w:t>
            </w:r>
          </w:p>
        </w:tc>
        <w:tc>
          <w:tcPr>
            <w:tcW w:w="481" w:type="pct"/>
            <w:shd w:val="clear" w:color="auto" w:fill="auto"/>
            <w:vAlign w:val="center"/>
          </w:tcPr>
          <w:p>
            <w:pPr>
              <w:widowControl/>
              <w:jc w:val="center"/>
              <w:rPr>
                <w:kern w:val="0"/>
                <w:szCs w:val="21"/>
              </w:rPr>
            </w:pPr>
            <w:r>
              <w:rPr>
                <w:rFonts w:hint="eastAsia"/>
                <w:kern w:val="0"/>
                <w:szCs w:val="21"/>
              </w:rPr>
              <w:t>1</w:t>
            </w:r>
            <w:r>
              <w:rPr>
                <w:kern w:val="0"/>
                <w:szCs w:val="21"/>
              </w:rPr>
              <w:t>6.9</w:t>
            </w:r>
          </w:p>
        </w:tc>
        <w:tc>
          <w:tcPr>
            <w:tcW w:w="500" w:type="pct"/>
            <w:shd w:val="clear" w:color="auto" w:fill="auto"/>
            <w:vAlign w:val="center"/>
          </w:tcPr>
          <w:p>
            <w:pPr>
              <w:widowControl/>
              <w:jc w:val="center"/>
              <w:rPr>
                <w:kern w:val="0"/>
                <w:szCs w:val="21"/>
              </w:rPr>
            </w:pPr>
            <w:r>
              <w:rPr>
                <w:rFonts w:hint="eastAsia"/>
                <w:kern w:val="0"/>
                <w:szCs w:val="21"/>
              </w:rPr>
              <w:t>1</w:t>
            </w:r>
            <w:r>
              <w:rPr>
                <w:kern w:val="0"/>
                <w:szCs w:val="21"/>
              </w:rPr>
              <w:t>7.0</w:t>
            </w:r>
          </w:p>
        </w:tc>
        <w:tc>
          <w:tcPr>
            <w:tcW w:w="580" w:type="pct"/>
            <w:shd w:val="clear" w:color="auto" w:fill="auto"/>
            <w:vAlign w:val="center"/>
          </w:tcPr>
          <w:p>
            <w:pPr>
              <w:widowControl/>
              <w:jc w:val="center"/>
              <w:rPr>
                <w:kern w:val="0"/>
                <w:szCs w:val="21"/>
              </w:rPr>
            </w:pPr>
            <w:r>
              <w:rPr>
                <w:rFonts w:hint="eastAsia"/>
                <w:kern w:val="0"/>
                <w:szCs w:val="21"/>
              </w:rPr>
              <w:t>1</w:t>
            </w:r>
            <w:r>
              <w:rPr>
                <w:kern w:val="0"/>
                <w:szCs w:val="21"/>
              </w:rPr>
              <w:t>3.5</w:t>
            </w:r>
          </w:p>
        </w:tc>
        <w:tc>
          <w:tcPr>
            <w:tcW w:w="499" w:type="pct"/>
            <w:shd w:val="clear" w:color="auto" w:fill="auto"/>
            <w:vAlign w:val="center"/>
          </w:tcPr>
          <w:p>
            <w:pPr>
              <w:widowControl/>
              <w:jc w:val="center"/>
              <w:rPr>
                <w:kern w:val="0"/>
                <w:szCs w:val="21"/>
              </w:rPr>
            </w:pPr>
            <w:r>
              <w:rPr>
                <w:rFonts w:hint="eastAsia"/>
                <w:kern w:val="0"/>
                <w:szCs w:val="21"/>
              </w:rPr>
              <w:t>1</w:t>
            </w:r>
            <w:r>
              <w:rPr>
                <w:kern w:val="0"/>
                <w:szCs w:val="21"/>
              </w:rPr>
              <w:t>3.0</w:t>
            </w:r>
          </w:p>
        </w:tc>
        <w:tc>
          <w:tcPr>
            <w:tcW w:w="665" w:type="pct"/>
            <w:shd w:val="clear" w:color="auto" w:fill="auto"/>
            <w:vAlign w:val="center"/>
          </w:tcPr>
          <w:p>
            <w:pPr>
              <w:widowControl/>
              <w:jc w:val="center"/>
              <w:rPr>
                <w:kern w:val="0"/>
                <w:szCs w:val="21"/>
              </w:rPr>
            </w:pPr>
            <w:r>
              <w:rPr>
                <w:rFonts w:hint="eastAsia"/>
                <w:kern w:val="0"/>
                <w:szCs w:val="21"/>
              </w:rPr>
              <w:t>1</w:t>
            </w:r>
            <w:r>
              <w:rPr>
                <w:kern w:val="0"/>
                <w:szCs w:val="21"/>
              </w:rPr>
              <w:t>4.2</w:t>
            </w:r>
          </w:p>
        </w:tc>
        <w:tc>
          <w:tcPr>
            <w:tcW w:w="612" w:type="pct"/>
            <w:shd w:val="clear" w:color="auto" w:fill="auto"/>
            <w:noWrap/>
            <w:vAlign w:val="center"/>
          </w:tcPr>
          <w:p>
            <w:pPr>
              <w:widowControl/>
              <w:jc w:val="center"/>
              <w:rPr>
                <w:kern w:val="0"/>
                <w:szCs w:val="21"/>
              </w:rPr>
            </w:pPr>
            <w:r>
              <w:rPr>
                <w:kern w:val="0"/>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restart"/>
            <w:shd w:val="clear" w:color="auto" w:fill="auto"/>
            <w:vAlign w:val="center"/>
          </w:tcPr>
          <w:p>
            <w:pPr>
              <w:widowControl/>
              <w:jc w:val="center"/>
              <w:rPr>
                <w:kern w:val="0"/>
                <w:szCs w:val="21"/>
              </w:rPr>
            </w:pPr>
            <w:r>
              <w:rPr>
                <w:rFonts w:hint="eastAsia"/>
                <w:kern w:val="0"/>
                <w:szCs w:val="21"/>
              </w:rPr>
              <w:t>厂区下风向</w:t>
            </w:r>
            <w:r>
              <w:rPr>
                <w:kern w:val="0"/>
                <w:szCs w:val="21"/>
              </w:rPr>
              <w:t>2</w:t>
            </w:r>
          </w:p>
        </w:tc>
        <w:tc>
          <w:tcPr>
            <w:tcW w:w="686" w:type="pct"/>
            <w:shd w:val="clear" w:color="auto" w:fill="auto"/>
            <w:vAlign w:val="center"/>
          </w:tcPr>
          <w:p>
            <w:pPr>
              <w:widowControl/>
              <w:jc w:val="center"/>
              <w:rPr>
                <w:kern w:val="0"/>
                <w:szCs w:val="21"/>
              </w:rPr>
            </w:pPr>
            <w:r>
              <w:rPr>
                <w:kern w:val="0"/>
                <w:szCs w:val="21"/>
              </w:rPr>
              <w:t>NH</w:t>
            </w:r>
            <w:r>
              <w:rPr>
                <w:kern w:val="0"/>
                <w:szCs w:val="21"/>
                <w:vertAlign w:val="subscript"/>
              </w:rPr>
              <w:t>3</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.13</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.12</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.10</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.09</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.10</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.10</w:t>
            </w:r>
          </w:p>
        </w:tc>
        <w:tc>
          <w:tcPr>
            <w:tcW w:w="612" w:type="pct"/>
            <w:shd w:val="clear" w:color="auto" w:fill="auto"/>
            <w:noWrap/>
            <w:vAlign w:val="center"/>
          </w:tcPr>
          <w:p>
            <w:pPr>
              <w:widowControl/>
              <w:jc w:val="center"/>
              <w:rPr>
                <w:kern w:val="0"/>
                <w:szCs w:val="21"/>
              </w:rPr>
            </w:pPr>
            <w:r>
              <w:rPr>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jc w:val="center"/>
              <w:rPr>
                <w:kern w:val="0"/>
                <w:szCs w:val="21"/>
              </w:rPr>
            </w:pPr>
          </w:p>
        </w:tc>
        <w:tc>
          <w:tcPr>
            <w:tcW w:w="686" w:type="pct"/>
            <w:shd w:val="clear" w:color="auto" w:fill="auto"/>
            <w:vAlign w:val="center"/>
          </w:tcPr>
          <w:p>
            <w:pPr>
              <w:widowControl/>
              <w:jc w:val="center"/>
              <w:rPr>
                <w:kern w:val="0"/>
                <w:szCs w:val="21"/>
              </w:rPr>
            </w:pPr>
            <w:r>
              <w:rPr>
                <w:kern w:val="0"/>
                <w:szCs w:val="21"/>
              </w:rPr>
              <w:t>H</w:t>
            </w:r>
            <w:r>
              <w:rPr>
                <w:kern w:val="0"/>
                <w:szCs w:val="21"/>
                <w:vertAlign w:val="subscript"/>
              </w:rPr>
              <w:t>2</w:t>
            </w:r>
            <w:r>
              <w:rPr>
                <w:kern w:val="0"/>
                <w:szCs w:val="21"/>
              </w:rPr>
              <w:t>S</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.006</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.008</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.006</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.010</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.009</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.009</w:t>
            </w:r>
          </w:p>
        </w:tc>
        <w:tc>
          <w:tcPr>
            <w:tcW w:w="612" w:type="pct"/>
            <w:shd w:val="clear" w:color="auto" w:fill="auto"/>
            <w:noWrap/>
            <w:vAlign w:val="center"/>
          </w:tcPr>
          <w:p>
            <w:pPr>
              <w:widowControl/>
              <w:jc w:val="center"/>
              <w:rPr>
                <w:kern w:val="0"/>
                <w:szCs w:val="21"/>
              </w:rPr>
            </w:pPr>
            <w:r>
              <w:rPr>
                <w:kern w:val="0"/>
                <w:szCs w:val="21"/>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jc w:val="center"/>
              <w:rPr>
                <w:kern w:val="0"/>
                <w:szCs w:val="21"/>
              </w:rPr>
            </w:pPr>
          </w:p>
        </w:tc>
        <w:tc>
          <w:tcPr>
            <w:tcW w:w="686" w:type="pct"/>
            <w:shd w:val="clear" w:color="auto" w:fill="auto"/>
            <w:vAlign w:val="center"/>
          </w:tcPr>
          <w:p>
            <w:pPr>
              <w:widowControl/>
              <w:jc w:val="center"/>
              <w:rPr>
                <w:kern w:val="0"/>
                <w:szCs w:val="21"/>
              </w:rPr>
            </w:pPr>
            <w:r>
              <w:rPr>
                <w:rFonts w:hint="eastAsia"/>
                <w:kern w:val="0"/>
                <w:szCs w:val="21"/>
              </w:rPr>
              <w:t>颗粒物</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.177</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.205</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.234</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.305</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.328</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.349</w:t>
            </w:r>
          </w:p>
        </w:tc>
        <w:tc>
          <w:tcPr>
            <w:tcW w:w="612" w:type="pct"/>
            <w:shd w:val="clear" w:color="auto" w:fill="auto"/>
            <w:noWrap/>
            <w:vAlign w:val="center"/>
          </w:tcPr>
          <w:p>
            <w:pPr>
              <w:widowControl/>
              <w:jc w:val="center"/>
              <w:rPr>
                <w:kern w:val="0"/>
                <w:szCs w:val="21"/>
              </w:rPr>
            </w:pPr>
            <w:r>
              <w:rPr>
                <w:rFonts w:hint="eastAsia"/>
                <w:kern w:val="0"/>
                <w:szCs w:val="21"/>
              </w:rPr>
              <w:t>1</w:t>
            </w:r>
            <w:r>
              <w:rPr>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kern w:val="0"/>
                <w:szCs w:val="21"/>
              </w:rPr>
              <w:t>臭气浓度</w:t>
            </w:r>
          </w:p>
          <w:p>
            <w:pPr>
              <w:widowControl/>
              <w:jc w:val="center"/>
              <w:rPr>
                <w:kern w:val="0"/>
                <w:szCs w:val="21"/>
              </w:rPr>
            </w:pPr>
            <w:r>
              <w:rPr>
                <w:kern w:val="0"/>
                <w:szCs w:val="21"/>
              </w:rPr>
              <w:t>(无量纲)</w:t>
            </w:r>
          </w:p>
        </w:tc>
        <w:tc>
          <w:tcPr>
            <w:tcW w:w="405" w:type="pct"/>
            <w:shd w:val="clear" w:color="auto" w:fill="auto"/>
            <w:vAlign w:val="center"/>
          </w:tcPr>
          <w:p>
            <w:pPr>
              <w:widowControl/>
              <w:jc w:val="center"/>
              <w:rPr>
                <w:kern w:val="0"/>
                <w:szCs w:val="21"/>
              </w:rPr>
            </w:pPr>
            <w:r>
              <w:rPr>
                <w:rFonts w:hint="eastAsia"/>
                <w:kern w:val="0"/>
                <w:szCs w:val="21"/>
              </w:rPr>
              <w:t>1</w:t>
            </w:r>
            <w:r>
              <w:rPr>
                <w:kern w:val="0"/>
                <w:szCs w:val="21"/>
              </w:rPr>
              <w:t>5.9</w:t>
            </w:r>
          </w:p>
        </w:tc>
        <w:tc>
          <w:tcPr>
            <w:tcW w:w="481" w:type="pct"/>
            <w:shd w:val="clear" w:color="auto" w:fill="auto"/>
            <w:vAlign w:val="center"/>
          </w:tcPr>
          <w:p>
            <w:pPr>
              <w:widowControl/>
              <w:jc w:val="center"/>
              <w:rPr>
                <w:kern w:val="0"/>
                <w:szCs w:val="21"/>
              </w:rPr>
            </w:pPr>
            <w:r>
              <w:rPr>
                <w:rFonts w:hint="eastAsia"/>
                <w:kern w:val="0"/>
                <w:szCs w:val="21"/>
              </w:rPr>
              <w:t>1</w:t>
            </w:r>
            <w:r>
              <w:rPr>
                <w:kern w:val="0"/>
                <w:szCs w:val="21"/>
              </w:rPr>
              <w:t>6.3</w:t>
            </w:r>
          </w:p>
        </w:tc>
        <w:tc>
          <w:tcPr>
            <w:tcW w:w="500" w:type="pct"/>
            <w:shd w:val="clear" w:color="auto" w:fill="auto"/>
            <w:vAlign w:val="center"/>
          </w:tcPr>
          <w:p>
            <w:pPr>
              <w:widowControl/>
              <w:jc w:val="center"/>
              <w:rPr>
                <w:kern w:val="0"/>
                <w:szCs w:val="21"/>
              </w:rPr>
            </w:pPr>
            <w:r>
              <w:rPr>
                <w:rFonts w:hint="eastAsia"/>
                <w:kern w:val="0"/>
                <w:szCs w:val="21"/>
              </w:rPr>
              <w:t>1</w:t>
            </w:r>
            <w:r>
              <w:rPr>
                <w:kern w:val="0"/>
                <w:szCs w:val="21"/>
              </w:rPr>
              <w:t>6.2</w:t>
            </w:r>
          </w:p>
        </w:tc>
        <w:tc>
          <w:tcPr>
            <w:tcW w:w="580" w:type="pct"/>
            <w:shd w:val="clear" w:color="auto" w:fill="auto"/>
            <w:vAlign w:val="center"/>
          </w:tcPr>
          <w:p>
            <w:pPr>
              <w:widowControl/>
              <w:jc w:val="center"/>
              <w:rPr>
                <w:kern w:val="0"/>
                <w:szCs w:val="21"/>
              </w:rPr>
            </w:pPr>
            <w:r>
              <w:rPr>
                <w:rFonts w:hint="eastAsia"/>
                <w:kern w:val="0"/>
                <w:szCs w:val="21"/>
              </w:rPr>
              <w:t>1</w:t>
            </w:r>
            <w:r>
              <w:rPr>
                <w:kern w:val="0"/>
                <w:szCs w:val="21"/>
              </w:rPr>
              <w:t>6.6</w:t>
            </w:r>
          </w:p>
        </w:tc>
        <w:tc>
          <w:tcPr>
            <w:tcW w:w="499" w:type="pct"/>
            <w:shd w:val="clear" w:color="auto" w:fill="auto"/>
            <w:vAlign w:val="center"/>
          </w:tcPr>
          <w:p>
            <w:pPr>
              <w:widowControl/>
              <w:jc w:val="center"/>
              <w:rPr>
                <w:kern w:val="0"/>
                <w:szCs w:val="21"/>
              </w:rPr>
            </w:pPr>
            <w:r>
              <w:rPr>
                <w:rFonts w:hint="eastAsia"/>
                <w:kern w:val="0"/>
                <w:szCs w:val="21"/>
              </w:rPr>
              <w:t>1</w:t>
            </w:r>
            <w:r>
              <w:rPr>
                <w:kern w:val="0"/>
                <w:szCs w:val="21"/>
              </w:rPr>
              <w:t>5.9</w:t>
            </w:r>
          </w:p>
        </w:tc>
        <w:tc>
          <w:tcPr>
            <w:tcW w:w="665" w:type="pct"/>
            <w:shd w:val="clear" w:color="auto" w:fill="auto"/>
            <w:vAlign w:val="center"/>
          </w:tcPr>
          <w:p>
            <w:pPr>
              <w:widowControl/>
              <w:jc w:val="center"/>
              <w:rPr>
                <w:kern w:val="0"/>
                <w:szCs w:val="21"/>
              </w:rPr>
            </w:pPr>
            <w:r>
              <w:rPr>
                <w:rFonts w:hint="eastAsia"/>
                <w:kern w:val="0"/>
                <w:szCs w:val="21"/>
              </w:rPr>
              <w:t>1</w:t>
            </w:r>
            <w:r>
              <w:rPr>
                <w:kern w:val="0"/>
                <w:szCs w:val="21"/>
              </w:rPr>
              <w:t>6.1</w:t>
            </w:r>
          </w:p>
        </w:tc>
        <w:tc>
          <w:tcPr>
            <w:tcW w:w="612" w:type="pct"/>
            <w:shd w:val="clear" w:color="auto" w:fill="auto"/>
            <w:noWrap/>
            <w:vAlign w:val="center"/>
          </w:tcPr>
          <w:p>
            <w:pPr>
              <w:widowControl/>
              <w:jc w:val="center"/>
              <w:rPr>
                <w:kern w:val="0"/>
                <w:szCs w:val="21"/>
              </w:rPr>
            </w:pPr>
            <w:r>
              <w:rPr>
                <w:rFonts w:hint="eastAsia"/>
                <w:kern w:val="0"/>
                <w:szCs w:val="21"/>
              </w:rPr>
              <w:t>2</w:t>
            </w:r>
            <w:r>
              <w:rPr>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restart"/>
            <w:shd w:val="clear" w:color="auto" w:fill="auto"/>
            <w:vAlign w:val="center"/>
          </w:tcPr>
          <w:p>
            <w:pPr>
              <w:widowControl/>
              <w:jc w:val="center"/>
              <w:rPr>
                <w:kern w:val="0"/>
                <w:szCs w:val="21"/>
              </w:rPr>
            </w:pPr>
            <w:r>
              <w:rPr>
                <w:rFonts w:hint="eastAsia"/>
                <w:kern w:val="0"/>
                <w:szCs w:val="21"/>
              </w:rPr>
              <w:t>厂区下风向</w:t>
            </w:r>
            <w:r>
              <w:rPr>
                <w:kern w:val="0"/>
                <w:szCs w:val="21"/>
              </w:rPr>
              <w:t>3</w:t>
            </w:r>
          </w:p>
        </w:tc>
        <w:tc>
          <w:tcPr>
            <w:tcW w:w="686" w:type="pct"/>
            <w:shd w:val="clear" w:color="auto" w:fill="auto"/>
            <w:vAlign w:val="center"/>
          </w:tcPr>
          <w:p>
            <w:pPr>
              <w:widowControl/>
              <w:jc w:val="center"/>
              <w:rPr>
                <w:kern w:val="0"/>
                <w:szCs w:val="21"/>
              </w:rPr>
            </w:pPr>
            <w:r>
              <w:rPr>
                <w:kern w:val="0"/>
                <w:szCs w:val="21"/>
              </w:rPr>
              <w:t>NH</w:t>
            </w:r>
            <w:r>
              <w:rPr>
                <w:kern w:val="0"/>
                <w:szCs w:val="21"/>
                <w:vertAlign w:val="subscript"/>
              </w:rPr>
              <w:t>3</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.13</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.14</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.17</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.08</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.07</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.07</w:t>
            </w:r>
          </w:p>
        </w:tc>
        <w:tc>
          <w:tcPr>
            <w:tcW w:w="612" w:type="pct"/>
            <w:shd w:val="clear" w:color="auto" w:fill="auto"/>
            <w:noWrap/>
            <w:vAlign w:val="center"/>
          </w:tcPr>
          <w:p>
            <w:pPr>
              <w:widowControl/>
              <w:jc w:val="center"/>
              <w:rPr>
                <w:kern w:val="0"/>
                <w:szCs w:val="21"/>
              </w:rPr>
            </w:pPr>
            <w:r>
              <w:rPr>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kern w:val="0"/>
                <w:szCs w:val="21"/>
              </w:rPr>
              <w:t>H</w:t>
            </w:r>
            <w:r>
              <w:rPr>
                <w:kern w:val="0"/>
                <w:szCs w:val="21"/>
                <w:vertAlign w:val="subscript"/>
              </w:rPr>
              <w:t>2</w:t>
            </w:r>
            <w:r>
              <w:rPr>
                <w:kern w:val="0"/>
                <w:szCs w:val="21"/>
              </w:rPr>
              <w:t>S</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.008</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.007</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.006</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.008</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.008</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.07</w:t>
            </w:r>
          </w:p>
        </w:tc>
        <w:tc>
          <w:tcPr>
            <w:tcW w:w="612" w:type="pct"/>
            <w:shd w:val="clear" w:color="auto" w:fill="auto"/>
            <w:noWrap/>
            <w:vAlign w:val="center"/>
          </w:tcPr>
          <w:p>
            <w:pPr>
              <w:widowControl/>
              <w:jc w:val="center"/>
              <w:rPr>
                <w:kern w:val="0"/>
                <w:szCs w:val="21"/>
              </w:rPr>
            </w:pPr>
            <w:r>
              <w:rPr>
                <w:kern w:val="0"/>
                <w:szCs w:val="21"/>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rFonts w:hint="eastAsia"/>
                <w:kern w:val="0"/>
                <w:szCs w:val="21"/>
              </w:rPr>
              <w:t>颗粒物</w:t>
            </w:r>
          </w:p>
        </w:tc>
        <w:tc>
          <w:tcPr>
            <w:tcW w:w="405" w:type="pct"/>
            <w:shd w:val="clear" w:color="auto" w:fill="auto"/>
            <w:vAlign w:val="center"/>
          </w:tcPr>
          <w:p>
            <w:pPr>
              <w:widowControl/>
              <w:jc w:val="center"/>
              <w:rPr>
                <w:kern w:val="0"/>
                <w:szCs w:val="21"/>
              </w:rPr>
            </w:pPr>
            <w:r>
              <w:rPr>
                <w:rFonts w:hint="eastAsia"/>
                <w:kern w:val="0"/>
                <w:szCs w:val="21"/>
              </w:rPr>
              <w:t>0</w:t>
            </w:r>
            <w:r>
              <w:rPr>
                <w:kern w:val="0"/>
                <w:szCs w:val="21"/>
              </w:rPr>
              <w:t>.230</w:t>
            </w:r>
          </w:p>
        </w:tc>
        <w:tc>
          <w:tcPr>
            <w:tcW w:w="481" w:type="pct"/>
            <w:shd w:val="clear" w:color="auto" w:fill="auto"/>
            <w:vAlign w:val="center"/>
          </w:tcPr>
          <w:p>
            <w:pPr>
              <w:widowControl/>
              <w:jc w:val="center"/>
              <w:rPr>
                <w:kern w:val="0"/>
                <w:szCs w:val="21"/>
              </w:rPr>
            </w:pPr>
            <w:r>
              <w:rPr>
                <w:rFonts w:hint="eastAsia"/>
                <w:kern w:val="0"/>
                <w:szCs w:val="21"/>
              </w:rPr>
              <w:t>0</w:t>
            </w:r>
            <w:r>
              <w:rPr>
                <w:kern w:val="0"/>
                <w:szCs w:val="21"/>
              </w:rPr>
              <w:t>.260</w:t>
            </w:r>
          </w:p>
        </w:tc>
        <w:tc>
          <w:tcPr>
            <w:tcW w:w="500" w:type="pct"/>
            <w:shd w:val="clear" w:color="auto" w:fill="auto"/>
            <w:vAlign w:val="center"/>
          </w:tcPr>
          <w:p>
            <w:pPr>
              <w:widowControl/>
              <w:jc w:val="center"/>
              <w:rPr>
                <w:kern w:val="0"/>
                <w:szCs w:val="21"/>
              </w:rPr>
            </w:pPr>
            <w:r>
              <w:rPr>
                <w:rFonts w:hint="eastAsia"/>
                <w:kern w:val="0"/>
                <w:szCs w:val="21"/>
              </w:rPr>
              <w:t>0</w:t>
            </w:r>
            <w:r>
              <w:rPr>
                <w:kern w:val="0"/>
                <w:szCs w:val="21"/>
              </w:rPr>
              <w:t>.286</w:t>
            </w:r>
          </w:p>
        </w:tc>
        <w:tc>
          <w:tcPr>
            <w:tcW w:w="580" w:type="pct"/>
            <w:shd w:val="clear" w:color="auto" w:fill="auto"/>
            <w:vAlign w:val="center"/>
          </w:tcPr>
          <w:p>
            <w:pPr>
              <w:widowControl/>
              <w:jc w:val="center"/>
              <w:rPr>
                <w:kern w:val="0"/>
                <w:szCs w:val="21"/>
              </w:rPr>
            </w:pPr>
            <w:r>
              <w:rPr>
                <w:rFonts w:hint="eastAsia"/>
                <w:kern w:val="0"/>
                <w:szCs w:val="21"/>
              </w:rPr>
              <w:t>0</w:t>
            </w:r>
            <w:r>
              <w:rPr>
                <w:kern w:val="0"/>
                <w:szCs w:val="21"/>
              </w:rPr>
              <w:t>.267</w:t>
            </w:r>
          </w:p>
        </w:tc>
        <w:tc>
          <w:tcPr>
            <w:tcW w:w="499" w:type="pct"/>
            <w:shd w:val="clear" w:color="auto" w:fill="auto"/>
            <w:vAlign w:val="center"/>
          </w:tcPr>
          <w:p>
            <w:pPr>
              <w:widowControl/>
              <w:jc w:val="center"/>
              <w:rPr>
                <w:kern w:val="0"/>
                <w:szCs w:val="21"/>
              </w:rPr>
            </w:pPr>
            <w:r>
              <w:rPr>
                <w:rFonts w:hint="eastAsia"/>
                <w:kern w:val="0"/>
                <w:szCs w:val="21"/>
              </w:rPr>
              <w:t>0</w:t>
            </w:r>
            <w:r>
              <w:rPr>
                <w:kern w:val="0"/>
                <w:szCs w:val="21"/>
              </w:rPr>
              <w:t>.289.</w:t>
            </w:r>
          </w:p>
        </w:tc>
        <w:tc>
          <w:tcPr>
            <w:tcW w:w="665" w:type="pct"/>
            <w:shd w:val="clear" w:color="auto" w:fill="auto"/>
            <w:vAlign w:val="center"/>
          </w:tcPr>
          <w:p>
            <w:pPr>
              <w:widowControl/>
              <w:jc w:val="center"/>
              <w:rPr>
                <w:kern w:val="0"/>
                <w:szCs w:val="21"/>
              </w:rPr>
            </w:pPr>
            <w:r>
              <w:rPr>
                <w:rFonts w:hint="eastAsia"/>
                <w:kern w:val="0"/>
                <w:szCs w:val="21"/>
              </w:rPr>
              <w:t>0</w:t>
            </w:r>
            <w:r>
              <w:rPr>
                <w:kern w:val="0"/>
                <w:szCs w:val="21"/>
              </w:rPr>
              <w:t>.271</w:t>
            </w:r>
          </w:p>
        </w:tc>
        <w:tc>
          <w:tcPr>
            <w:tcW w:w="612" w:type="pct"/>
            <w:shd w:val="clear" w:color="auto" w:fill="auto"/>
            <w:noWrap/>
            <w:vAlign w:val="center"/>
          </w:tcPr>
          <w:p>
            <w:pPr>
              <w:widowControl/>
              <w:jc w:val="center"/>
              <w:rPr>
                <w:kern w:val="0"/>
                <w:szCs w:val="21"/>
              </w:rPr>
            </w:pPr>
            <w:r>
              <w:rPr>
                <w:rFonts w:hint="eastAsia"/>
                <w:kern w:val="0"/>
                <w:szCs w:val="21"/>
              </w:rPr>
              <w:t>1</w:t>
            </w:r>
            <w:r>
              <w:rPr>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71" w:type="pct"/>
            <w:vMerge w:val="continue"/>
            <w:shd w:val="clear" w:color="auto" w:fill="auto"/>
            <w:vAlign w:val="center"/>
          </w:tcPr>
          <w:p>
            <w:pPr>
              <w:widowControl/>
              <w:jc w:val="center"/>
              <w:rPr>
                <w:kern w:val="0"/>
                <w:szCs w:val="21"/>
              </w:rPr>
            </w:pPr>
          </w:p>
        </w:tc>
        <w:tc>
          <w:tcPr>
            <w:tcW w:w="686" w:type="pct"/>
            <w:shd w:val="clear" w:color="auto" w:fill="auto"/>
            <w:vAlign w:val="center"/>
          </w:tcPr>
          <w:p>
            <w:pPr>
              <w:widowControl/>
              <w:jc w:val="center"/>
              <w:rPr>
                <w:kern w:val="0"/>
                <w:szCs w:val="21"/>
              </w:rPr>
            </w:pPr>
            <w:r>
              <w:rPr>
                <w:kern w:val="0"/>
                <w:szCs w:val="21"/>
              </w:rPr>
              <w:t>臭气浓度</w:t>
            </w:r>
          </w:p>
          <w:p>
            <w:pPr>
              <w:widowControl/>
              <w:jc w:val="center"/>
              <w:rPr>
                <w:kern w:val="0"/>
                <w:szCs w:val="21"/>
              </w:rPr>
            </w:pPr>
            <w:r>
              <w:rPr>
                <w:kern w:val="0"/>
                <w:szCs w:val="21"/>
              </w:rPr>
              <w:t>(无量纲)</w:t>
            </w:r>
          </w:p>
        </w:tc>
        <w:tc>
          <w:tcPr>
            <w:tcW w:w="405" w:type="pct"/>
            <w:shd w:val="clear" w:color="auto" w:fill="auto"/>
            <w:vAlign w:val="center"/>
          </w:tcPr>
          <w:p>
            <w:pPr>
              <w:widowControl/>
              <w:jc w:val="center"/>
              <w:rPr>
                <w:kern w:val="0"/>
                <w:szCs w:val="21"/>
              </w:rPr>
            </w:pPr>
            <w:r>
              <w:rPr>
                <w:rFonts w:hint="eastAsia"/>
                <w:kern w:val="0"/>
                <w:szCs w:val="21"/>
              </w:rPr>
              <w:t>1</w:t>
            </w:r>
            <w:r>
              <w:rPr>
                <w:kern w:val="0"/>
                <w:szCs w:val="21"/>
              </w:rPr>
              <w:t>6.8</w:t>
            </w:r>
          </w:p>
        </w:tc>
        <w:tc>
          <w:tcPr>
            <w:tcW w:w="481" w:type="pct"/>
            <w:shd w:val="clear" w:color="auto" w:fill="auto"/>
            <w:vAlign w:val="center"/>
          </w:tcPr>
          <w:p>
            <w:pPr>
              <w:widowControl/>
              <w:jc w:val="center"/>
              <w:rPr>
                <w:kern w:val="0"/>
                <w:szCs w:val="21"/>
              </w:rPr>
            </w:pPr>
            <w:r>
              <w:rPr>
                <w:rFonts w:hint="eastAsia"/>
                <w:kern w:val="0"/>
                <w:szCs w:val="21"/>
              </w:rPr>
              <w:t>1</w:t>
            </w:r>
            <w:r>
              <w:rPr>
                <w:kern w:val="0"/>
                <w:szCs w:val="21"/>
              </w:rPr>
              <w:t>6.6</w:t>
            </w:r>
          </w:p>
        </w:tc>
        <w:tc>
          <w:tcPr>
            <w:tcW w:w="500" w:type="pct"/>
            <w:shd w:val="clear" w:color="auto" w:fill="auto"/>
            <w:vAlign w:val="center"/>
          </w:tcPr>
          <w:p>
            <w:pPr>
              <w:widowControl/>
              <w:jc w:val="center"/>
              <w:rPr>
                <w:kern w:val="0"/>
                <w:szCs w:val="21"/>
              </w:rPr>
            </w:pPr>
            <w:r>
              <w:rPr>
                <w:rFonts w:hint="eastAsia"/>
                <w:kern w:val="0"/>
                <w:szCs w:val="21"/>
              </w:rPr>
              <w:t>1</w:t>
            </w:r>
            <w:r>
              <w:rPr>
                <w:kern w:val="0"/>
                <w:szCs w:val="21"/>
              </w:rPr>
              <w:t>7.0</w:t>
            </w:r>
          </w:p>
        </w:tc>
        <w:tc>
          <w:tcPr>
            <w:tcW w:w="580" w:type="pct"/>
            <w:shd w:val="clear" w:color="auto" w:fill="auto"/>
            <w:vAlign w:val="center"/>
          </w:tcPr>
          <w:p>
            <w:pPr>
              <w:widowControl/>
              <w:jc w:val="center"/>
              <w:rPr>
                <w:kern w:val="0"/>
                <w:szCs w:val="21"/>
              </w:rPr>
            </w:pPr>
            <w:r>
              <w:rPr>
                <w:rFonts w:hint="eastAsia"/>
                <w:kern w:val="0"/>
                <w:szCs w:val="21"/>
              </w:rPr>
              <w:t>1</w:t>
            </w:r>
            <w:r>
              <w:rPr>
                <w:kern w:val="0"/>
                <w:szCs w:val="21"/>
              </w:rPr>
              <w:t>3.3</w:t>
            </w:r>
          </w:p>
        </w:tc>
        <w:tc>
          <w:tcPr>
            <w:tcW w:w="499" w:type="pct"/>
            <w:shd w:val="clear" w:color="auto" w:fill="auto"/>
            <w:vAlign w:val="center"/>
          </w:tcPr>
          <w:p>
            <w:pPr>
              <w:widowControl/>
              <w:jc w:val="center"/>
              <w:rPr>
                <w:kern w:val="0"/>
                <w:szCs w:val="21"/>
              </w:rPr>
            </w:pPr>
            <w:r>
              <w:rPr>
                <w:rFonts w:hint="eastAsia"/>
                <w:kern w:val="0"/>
                <w:szCs w:val="21"/>
              </w:rPr>
              <w:t>1</w:t>
            </w:r>
            <w:r>
              <w:rPr>
                <w:kern w:val="0"/>
                <w:szCs w:val="21"/>
              </w:rPr>
              <w:t>4.1</w:t>
            </w:r>
          </w:p>
        </w:tc>
        <w:tc>
          <w:tcPr>
            <w:tcW w:w="665" w:type="pct"/>
            <w:shd w:val="clear" w:color="auto" w:fill="auto"/>
            <w:vAlign w:val="center"/>
          </w:tcPr>
          <w:p>
            <w:pPr>
              <w:widowControl/>
              <w:jc w:val="center"/>
              <w:rPr>
                <w:kern w:val="0"/>
                <w:szCs w:val="21"/>
              </w:rPr>
            </w:pPr>
            <w:r>
              <w:rPr>
                <w:rFonts w:hint="eastAsia"/>
                <w:kern w:val="0"/>
                <w:szCs w:val="21"/>
              </w:rPr>
              <w:t>1</w:t>
            </w:r>
            <w:r>
              <w:rPr>
                <w:kern w:val="0"/>
                <w:szCs w:val="21"/>
              </w:rPr>
              <w:t>6.6</w:t>
            </w:r>
          </w:p>
        </w:tc>
        <w:tc>
          <w:tcPr>
            <w:tcW w:w="612" w:type="pct"/>
            <w:shd w:val="clear" w:color="auto" w:fill="auto"/>
            <w:noWrap/>
            <w:vAlign w:val="center"/>
          </w:tcPr>
          <w:p>
            <w:pPr>
              <w:widowControl/>
              <w:jc w:val="center"/>
              <w:rPr>
                <w:kern w:val="0"/>
                <w:szCs w:val="21"/>
              </w:rPr>
            </w:pPr>
            <w:r>
              <w:rPr>
                <w:rFonts w:hint="eastAsia"/>
                <w:kern w:val="0"/>
                <w:szCs w:val="21"/>
              </w:rPr>
              <w:t>2</w:t>
            </w:r>
            <w:r>
              <w:rPr>
                <w:kern w:val="0"/>
                <w:szCs w:val="21"/>
              </w:rPr>
              <w:t>0</w:t>
            </w:r>
          </w:p>
        </w:tc>
      </w:tr>
    </w:tbl>
    <w:p>
      <w:pPr>
        <w:autoSpaceDE w:val="0"/>
        <w:autoSpaceDN w:val="0"/>
        <w:adjustRightInd w:val="0"/>
        <w:snapToGrid w:val="0"/>
        <w:spacing w:before="156" w:beforeLines="50" w:line="360" w:lineRule="auto"/>
        <w:ind w:firstLine="480" w:firstLineChars="200"/>
        <w:rPr>
          <w:kern w:val="0"/>
          <w:sz w:val="24"/>
          <w:lang w:val="de-DE"/>
        </w:rPr>
      </w:pPr>
      <w:r>
        <w:rPr>
          <w:kern w:val="0"/>
          <w:sz w:val="24"/>
          <w:lang w:val="de-DE"/>
        </w:rPr>
        <w:t>监测结果表明，填埋场</w:t>
      </w:r>
      <w:r>
        <w:rPr>
          <w:kern w:val="0"/>
          <w:sz w:val="24"/>
        </w:rPr>
        <w:t>导气</w:t>
      </w:r>
      <w:r>
        <w:rPr>
          <w:rFonts w:hint="eastAsia"/>
          <w:kern w:val="0"/>
          <w:sz w:val="24"/>
        </w:rPr>
        <w:t>管排口</w:t>
      </w:r>
      <w:r>
        <w:rPr>
          <w:sz w:val="24"/>
        </w:rPr>
        <w:t>主要污染物</w:t>
      </w:r>
      <w:r>
        <w:rPr>
          <w:kern w:val="0"/>
          <w:sz w:val="24"/>
          <w:lang w:val="de-DE"/>
        </w:rPr>
        <w:t>满足</w:t>
      </w:r>
      <w:r>
        <w:rPr>
          <w:rFonts w:hint="eastAsia"/>
          <w:kern w:val="0"/>
          <w:sz w:val="24"/>
          <w:lang w:val="de-DE"/>
        </w:rPr>
        <w:t>《生活垃圾填埋场污染控制标准》（GB16889-2008）“当通过导气管道直接排放填埋气体时，导气管排放口的甲烷体积分数不大于5</w:t>
      </w:r>
      <w:r>
        <w:rPr>
          <w:kern w:val="0"/>
          <w:sz w:val="24"/>
          <w:lang w:val="de-DE"/>
        </w:rPr>
        <w:t>%</w:t>
      </w:r>
      <w:r>
        <w:rPr>
          <w:rFonts w:hint="eastAsia"/>
          <w:kern w:val="0"/>
          <w:sz w:val="24"/>
          <w:lang w:val="de-DE"/>
        </w:rPr>
        <w:t>”的排放控制要求；厂界</w:t>
      </w:r>
      <w:r>
        <w:rPr>
          <w:sz w:val="24"/>
        </w:rPr>
        <w:t>H</w:t>
      </w:r>
      <w:r>
        <w:rPr>
          <w:sz w:val="24"/>
          <w:vertAlign w:val="subscript"/>
        </w:rPr>
        <w:t>2</w:t>
      </w:r>
      <w:r>
        <w:rPr>
          <w:sz w:val="24"/>
        </w:rPr>
        <w:t>S、NH</w:t>
      </w:r>
      <w:r>
        <w:rPr>
          <w:sz w:val="24"/>
          <w:vertAlign w:val="subscript"/>
        </w:rPr>
        <w:t>3</w:t>
      </w:r>
      <w:r>
        <w:rPr>
          <w:sz w:val="24"/>
        </w:rPr>
        <w:t>、臭气浓度均</w:t>
      </w:r>
      <w:r>
        <w:rPr>
          <w:kern w:val="0"/>
          <w:sz w:val="24"/>
          <w:lang w:val="de-DE"/>
        </w:rPr>
        <w:t>满足《恶臭污染物排放标准》（GB14554-93）中表1中二级标准要求</w:t>
      </w:r>
      <w:r>
        <w:rPr>
          <w:rFonts w:hint="eastAsia"/>
          <w:kern w:val="0"/>
          <w:sz w:val="24"/>
          <w:lang w:val="de-DE"/>
        </w:rPr>
        <w:t>，颗粒物满足《大气污染物综合排放标准》（GB16297-1996）中颗粒物无组织排放监控浓度限值标准，对环境影响小</w:t>
      </w:r>
      <w:r>
        <w:rPr>
          <w:kern w:val="0"/>
          <w:sz w:val="24"/>
          <w:lang w:val="de-DE"/>
        </w:rPr>
        <w:t>。</w:t>
      </w:r>
    </w:p>
    <w:p>
      <w:pPr>
        <w:pStyle w:val="831"/>
        <w:spacing w:before="156" w:beforeLines="50" w:after="156" w:afterLines="50" w:line="360" w:lineRule="auto"/>
        <w:rPr>
          <w:rFonts w:cs="Times New Roman"/>
        </w:rPr>
      </w:pPr>
      <w:bookmarkStart w:id="394" w:name="_Toc143762336"/>
      <w:r>
        <w:rPr>
          <w:rFonts w:cs="Times New Roman"/>
        </w:rPr>
        <w:t>6.1.2大气环境影响预测与分析</w:t>
      </w:r>
      <w:bookmarkEnd w:id="394"/>
    </w:p>
    <w:p>
      <w:pPr>
        <w:pStyle w:val="831"/>
        <w:spacing w:before="156" w:beforeLines="50" w:after="156" w:afterLines="50" w:line="360" w:lineRule="auto"/>
        <w:outlineLvl w:val="3"/>
        <w:rPr>
          <w:rFonts w:cs="Times New Roman"/>
        </w:rPr>
      </w:pPr>
      <w:bookmarkStart w:id="395" w:name="_Toc143762337"/>
      <w:bookmarkStart w:id="396" w:name="_Toc489433091"/>
      <w:r>
        <w:rPr>
          <w:rFonts w:cs="Times New Roman"/>
        </w:rPr>
        <w:t>6.1.2.1常规气象资料</w:t>
      </w:r>
      <w:bookmarkEnd w:id="395"/>
      <w:bookmarkEnd w:id="396"/>
    </w:p>
    <w:p>
      <w:pPr>
        <w:spacing w:line="360" w:lineRule="auto"/>
        <w:ind w:firstLine="480" w:firstLineChars="200"/>
        <w:rPr>
          <w:sz w:val="24"/>
          <w:szCs w:val="22"/>
        </w:rPr>
      </w:pPr>
      <w:r>
        <w:rPr>
          <w:sz w:val="24"/>
          <w:szCs w:val="22"/>
        </w:rPr>
        <w:t>本次评</w:t>
      </w:r>
      <w:r>
        <w:rPr>
          <w:rFonts w:hint="eastAsia"/>
          <w:sz w:val="24"/>
          <w:szCs w:val="22"/>
        </w:rPr>
        <w:t>估</w:t>
      </w:r>
      <w:r>
        <w:rPr>
          <w:sz w:val="24"/>
          <w:szCs w:val="22"/>
        </w:rPr>
        <w:t>采用的是五原气象站</w:t>
      </w:r>
      <w:r>
        <w:rPr>
          <w:rFonts w:hint="eastAsia"/>
          <w:sz w:val="24"/>
          <w:szCs w:val="22"/>
        </w:rPr>
        <w:t>（区站号</w:t>
      </w:r>
      <w:r>
        <w:rPr>
          <w:sz w:val="24"/>
          <w:szCs w:val="22"/>
        </w:rPr>
        <w:t>53337</w:t>
      </w:r>
      <w:r>
        <w:rPr>
          <w:rFonts w:hint="eastAsia"/>
          <w:sz w:val="24"/>
          <w:szCs w:val="22"/>
        </w:rPr>
        <w:t>）</w:t>
      </w:r>
      <w:r>
        <w:rPr>
          <w:sz w:val="24"/>
          <w:szCs w:val="22"/>
        </w:rPr>
        <w:t>资料，五原气象站始建于1956年1月1日</w:t>
      </w:r>
      <w:r>
        <w:rPr>
          <w:rFonts w:hint="eastAsia"/>
          <w:sz w:val="24"/>
          <w:szCs w:val="22"/>
        </w:rPr>
        <w:t>，</w:t>
      </w:r>
      <w:r>
        <w:rPr>
          <w:sz w:val="24"/>
          <w:szCs w:val="22"/>
        </w:rPr>
        <w:t>1956</w:t>
      </w:r>
      <w:r>
        <w:rPr>
          <w:rFonts w:hint="eastAsia"/>
          <w:sz w:val="24"/>
          <w:szCs w:val="22"/>
        </w:rPr>
        <w:t>年</w:t>
      </w:r>
      <w:r>
        <w:rPr>
          <w:sz w:val="24"/>
          <w:szCs w:val="22"/>
        </w:rPr>
        <w:t>01</w:t>
      </w:r>
      <w:r>
        <w:rPr>
          <w:rFonts w:hint="eastAsia"/>
          <w:sz w:val="24"/>
          <w:szCs w:val="22"/>
        </w:rPr>
        <w:t>月～</w:t>
      </w:r>
      <w:r>
        <w:rPr>
          <w:sz w:val="24"/>
          <w:szCs w:val="22"/>
        </w:rPr>
        <w:t>2014</w:t>
      </w:r>
      <w:r>
        <w:rPr>
          <w:rFonts w:hint="eastAsia"/>
          <w:sz w:val="24"/>
          <w:szCs w:val="22"/>
        </w:rPr>
        <w:t>年</w:t>
      </w:r>
      <w:r>
        <w:rPr>
          <w:sz w:val="24"/>
          <w:szCs w:val="22"/>
        </w:rPr>
        <w:t>12</w:t>
      </w:r>
      <w:r>
        <w:rPr>
          <w:rFonts w:hint="eastAsia"/>
          <w:sz w:val="24"/>
          <w:szCs w:val="22"/>
        </w:rPr>
        <w:t>月</w:t>
      </w:r>
      <w:r>
        <w:rPr>
          <w:sz w:val="24"/>
          <w:szCs w:val="22"/>
        </w:rPr>
        <w:t>五原气象站</w:t>
      </w:r>
      <w:r>
        <w:rPr>
          <w:rFonts w:hint="eastAsia"/>
          <w:sz w:val="24"/>
          <w:szCs w:val="22"/>
        </w:rPr>
        <w:t>位于五原县东北郊外（</w:t>
      </w:r>
      <w:r>
        <w:rPr>
          <w:sz w:val="24"/>
          <w:szCs w:val="22"/>
        </w:rPr>
        <w:t>东经108°</w:t>
      </w:r>
      <w:r>
        <w:rPr>
          <w:rFonts w:hint="eastAsia"/>
          <w:sz w:val="24"/>
          <w:szCs w:val="22"/>
        </w:rPr>
        <w:t>15</w:t>
      </w:r>
      <w:r>
        <w:rPr>
          <w:sz w:val="24"/>
          <w:szCs w:val="22"/>
        </w:rPr>
        <w:t>′，北纬41°0</w:t>
      </w:r>
      <w:r>
        <w:rPr>
          <w:rFonts w:hint="eastAsia"/>
          <w:sz w:val="24"/>
          <w:szCs w:val="22"/>
        </w:rPr>
        <w:t>8</w:t>
      </w:r>
      <w:r>
        <w:rPr>
          <w:sz w:val="24"/>
          <w:szCs w:val="22"/>
        </w:rPr>
        <w:t>′，观测场海拔高度1023.</w:t>
      </w:r>
      <w:r>
        <w:rPr>
          <w:rFonts w:hint="eastAsia"/>
          <w:sz w:val="24"/>
          <w:szCs w:val="22"/>
        </w:rPr>
        <w:t>7</w:t>
      </w:r>
      <w:r>
        <w:rPr>
          <w:sz w:val="24"/>
          <w:szCs w:val="22"/>
        </w:rPr>
        <w:t>m</w:t>
      </w:r>
      <w:r>
        <w:rPr>
          <w:rFonts w:hint="eastAsia"/>
          <w:sz w:val="24"/>
          <w:szCs w:val="22"/>
        </w:rPr>
        <w:t>），</w:t>
      </w:r>
      <w:r>
        <w:rPr>
          <w:sz w:val="24"/>
          <w:szCs w:val="22"/>
        </w:rPr>
        <w:t>2015年1月1日迁站至五原县隆兴昌镇工业园区</w:t>
      </w:r>
      <w:r>
        <w:rPr>
          <w:rFonts w:hint="eastAsia"/>
          <w:sz w:val="24"/>
          <w:szCs w:val="22"/>
        </w:rPr>
        <w:t>（</w:t>
      </w:r>
      <w:r>
        <w:rPr>
          <w:sz w:val="24"/>
          <w:szCs w:val="22"/>
        </w:rPr>
        <w:t>东经108°28′，北纬41°05′，属于平原地形，观测场海拔高度1023.3m</w:t>
      </w:r>
      <w:r>
        <w:rPr>
          <w:rFonts w:hint="eastAsia"/>
          <w:sz w:val="24"/>
          <w:szCs w:val="22"/>
        </w:rPr>
        <w:t>）</w:t>
      </w:r>
      <w:r>
        <w:rPr>
          <w:sz w:val="24"/>
          <w:szCs w:val="22"/>
        </w:rPr>
        <w:t>。</w:t>
      </w:r>
    </w:p>
    <w:p>
      <w:pPr>
        <w:spacing w:line="360" w:lineRule="auto"/>
        <w:ind w:firstLine="480" w:firstLineChars="200"/>
        <w:rPr>
          <w:sz w:val="24"/>
          <w:szCs w:val="22"/>
        </w:rPr>
      </w:pPr>
      <w:r>
        <w:rPr>
          <w:sz w:val="24"/>
          <w:szCs w:val="22"/>
        </w:rPr>
        <w:t>五原气象站自有气象记录以来，年极端最高气压为927.7hPa（1981年12月1日），年极端最低气压为878.2hPa（2002年4月13日、2012年4月22日）；极端最高气温为39.1℃，出现在1997年7月22日；极端最低气温为-36.7℃，出现在1967年12月27日；年最大风速21.7m/s，出现在1974年5月27日。</w:t>
      </w:r>
    </w:p>
    <w:p>
      <w:pPr>
        <w:ind w:left="210"/>
        <w:jc w:val="center"/>
        <w:rPr>
          <w:b/>
          <w:bCs/>
          <w:sz w:val="24"/>
        </w:rPr>
      </w:pPr>
      <w:bookmarkStart w:id="397" w:name="_Ref476828495"/>
      <w:bookmarkEnd w:id="397"/>
      <w:r>
        <w:rPr>
          <w:b/>
          <w:bCs/>
          <w:sz w:val="24"/>
        </w:rPr>
        <w:t>表6.1-3         五原县气象站气候统计资料</w:t>
      </w:r>
    </w:p>
    <w:tbl>
      <w:tblPr>
        <w:tblStyle w:val="87"/>
        <w:tblW w:w="4994"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478"/>
        <w:gridCol w:w="2736"/>
        <w:gridCol w:w="1430"/>
        <w:gridCol w:w="1277"/>
        <w:gridCol w:w="2591"/>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888" w:type="pct"/>
            <w:gridSpan w:val="2"/>
            <w:vAlign w:val="center"/>
          </w:tcPr>
          <w:p>
            <w:pPr>
              <w:widowControl/>
              <w:jc w:val="center"/>
              <w:textAlignment w:val="center"/>
              <w:rPr>
                <w:b/>
                <w:bCs/>
                <w:szCs w:val="21"/>
              </w:rPr>
            </w:pPr>
            <w:r>
              <w:rPr>
                <w:b/>
                <w:bCs/>
                <w:kern w:val="0"/>
                <w:szCs w:val="21"/>
                <w:lang w:bidi="ar"/>
              </w:rPr>
              <w:t>气候要素</w:t>
            </w:r>
          </w:p>
        </w:tc>
        <w:tc>
          <w:tcPr>
            <w:tcW w:w="840" w:type="pct"/>
            <w:vAlign w:val="center"/>
          </w:tcPr>
          <w:p>
            <w:pPr>
              <w:widowControl/>
              <w:jc w:val="center"/>
              <w:textAlignment w:val="center"/>
              <w:rPr>
                <w:b/>
                <w:bCs/>
                <w:szCs w:val="21"/>
              </w:rPr>
            </w:pPr>
            <w:r>
              <w:rPr>
                <w:b/>
                <w:bCs/>
                <w:kern w:val="0"/>
                <w:szCs w:val="21"/>
                <w:lang w:bidi="ar"/>
              </w:rPr>
              <w:t>数值</w:t>
            </w:r>
          </w:p>
        </w:tc>
        <w:tc>
          <w:tcPr>
            <w:tcW w:w="750" w:type="pct"/>
            <w:vAlign w:val="center"/>
          </w:tcPr>
          <w:p>
            <w:pPr>
              <w:widowControl/>
              <w:jc w:val="center"/>
              <w:textAlignment w:val="center"/>
              <w:rPr>
                <w:b/>
                <w:bCs/>
                <w:szCs w:val="21"/>
              </w:rPr>
            </w:pPr>
            <w:r>
              <w:rPr>
                <w:b/>
                <w:bCs/>
                <w:kern w:val="0"/>
                <w:szCs w:val="21"/>
                <w:lang w:bidi="ar"/>
              </w:rPr>
              <w:t>单位</w:t>
            </w:r>
          </w:p>
        </w:tc>
        <w:tc>
          <w:tcPr>
            <w:tcW w:w="1523" w:type="pct"/>
            <w:vAlign w:val="center"/>
          </w:tcPr>
          <w:p>
            <w:pPr>
              <w:widowControl/>
              <w:jc w:val="center"/>
              <w:textAlignment w:val="center"/>
              <w:rPr>
                <w:b/>
                <w:bCs/>
                <w:szCs w:val="21"/>
              </w:rPr>
            </w:pPr>
            <w:r>
              <w:rPr>
                <w:b/>
                <w:bCs/>
                <w:kern w:val="0"/>
                <w:szCs w:val="21"/>
                <w:lang w:bidi="ar"/>
              </w:rPr>
              <w:t>出现时间</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restart"/>
            <w:vAlign w:val="center"/>
          </w:tcPr>
          <w:p>
            <w:pPr>
              <w:widowControl/>
              <w:jc w:val="center"/>
              <w:textAlignment w:val="center"/>
              <w:rPr>
                <w:szCs w:val="21"/>
              </w:rPr>
            </w:pPr>
            <w:r>
              <w:rPr>
                <w:kern w:val="0"/>
                <w:szCs w:val="21"/>
                <w:lang w:bidi="ar"/>
              </w:rPr>
              <w:t>气压</w:t>
            </w:r>
          </w:p>
        </w:tc>
        <w:tc>
          <w:tcPr>
            <w:tcW w:w="1607" w:type="pct"/>
            <w:vAlign w:val="center"/>
          </w:tcPr>
          <w:p>
            <w:pPr>
              <w:widowControl/>
              <w:jc w:val="center"/>
              <w:textAlignment w:val="center"/>
              <w:rPr>
                <w:szCs w:val="21"/>
              </w:rPr>
            </w:pPr>
            <w:r>
              <w:rPr>
                <w:kern w:val="0"/>
                <w:szCs w:val="21"/>
                <w:lang w:bidi="ar"/>
              </w:rPr>
              <w:t>年平均气压</w:t>
            </w:r>
          </w:p>
        </w:tc>
        <w:tc>
          <w:tcPr>
            <w:tcW w:w="840" w:type="pct"/>
            <w:vAlign w:val="center"/>
          </w:tcPr>
          <w:p>
            <w:pPr>
              <w:widowControl/>
              <w:jc w:val="center"/>
              <w:textAlignment w:val="center"/>
              <w:rPr>
                <w:szCs w:val="21"/>
              </w:rPr>
            </w:pPr>
            <w:r>
              <w:rPr>
                <w:kern w:val="0"/>
                <w:szCs w:val="21"/>
                <w:lang w:bidi="ar"/>
              </w:rPr>
              <w:t>900</w:t>
            </w:r>
          </w:p>
        </w:tc>
        <w:tc>
          <w:tcPr>
            <w:tcW w:w="750" w:type="pct"/>
            <w:vAlign w:val="center"/>
          </w:tcPr>
          <w:p>
            <w:pPr>
              <w:widowControl/>
              <w:jc w:val="center"/>
              <w:textAlignment w:val="center"/>
              <w:rPr>
                <w:szCs w:val="21"/>
              </w:rPr>
            </w:pPr>
            <w:r>
              <w:rPr>
                <w:kern w:val="0"/>
                <w:szCs w:val="21"/>
                <w:lang w:bidi="ar"/>
              </w:rPr>
              <w:t>hPa</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年平均最高气压</w:t>
            </w:r>
          </w:p>
        </w:tc>
        <w:tc>
          <w:tcPr>
            <w:tcW w:w="840" w:type="pct"/>
            <w:vAlign w:val="center"/>
          </w:tcPr>
          <w:p>
            <w:pPr>
              <w:widowControl/>
              <w:jc w:val="center"/>
              <w:textAlignment w:val="center"/>
              <w:rPr>
                <w:szCs w:val="21"/>
              </w:rPr>
            </w:pPr>
            <w:r>
              <w:rPr>
                <w:kern w:val="0"/>
                <w:szCs w:val="21"/>
                <w:lang w:bidi="ar"/>
              </w:rPr>
              <w:t>902.4</w:t>
            </w:r>
          </w:p>
        </w:tc>
        <w:tc>
          <w:tcPr>
            <w:tcW w:w="750" w:type="pct"/>
            <w:vAlign w:val="center"/>
          </w:tcPr>
          <w:p>
            <w:pPr>
              <w:widowControl/>
              <w:jc w:val="center"/>
              <w:textAlignment w:val="center"/>
              <w:rPr>
                <w:szCs w:val="21"/>
              </w:rPr>
            </w:pPr>
            <w:r>
              <w:rPr>
                <w:kern w:val="0"/>
                <w:szCs w:val="21"/>
                <w:lang w:bidi="ar"/>
              </w:rPr>
              <w:t>hPa</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年平均最低气压</w:t>
            </w:r>
          </w:p>
        </w:tc>
        <w:tc>
          <w:tcPr>
            <w:tcW w:w="840" w:type="pct"/>
            <w:vAlign w:val="center"/>
          </w:tcPr>
          <w:p>
            <w:pPr>
              <w:widowControl/>
              <w:jc w:val="center"/>
              <w:textAlignment w:val="center"/>
              <w:rPr>
                <w:szCs w:val="21"/>
              </w:rPr>
            </w:pPr>
            <w:r>
              <w:rPr>
                <w:kern w:val="0"/>
                <w:szCs w:val="21"/>
                <w:lang w:bidi="ar"/>
              </w:rPr>
              <w:t>897.2</w:t>
            </w:r>
          </w:p>
        </w:tc>
        <w:tc>
          <w:tcPr>
            <w:tcW w:w="750" w:type="pct"/>
            <w:vAlign w:val="center"/>
          </w:tcPr>
          <w:p>
            <w:pPr>
              <w:widowControl/>
              <w:jc w:val="center"/>
              <w:textAlignment w:val="center"/>
              <w:rPr>
                <w:szCs w:val="21"/>
              </w:rPr>
            </w:pPr>
            <w:r>
              <w:rPr>
                <w:kern w:val="0"/>
                <w:szCs w:val="21"/>
                <w:lang w:bidi="ar"/>
              </w:rPr>
              <w:t>hPa</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极端最高气压</w:t>
            </w:r>
          </w:p>
        </w:tc>
        <w:tc>
          <w:tcPr>
            <w:tcW w:w="840" w:type="pct"/>
            <w:vAlign w:val="center"/>
          </w:tcPr>
          <w:p>
            <w:pPr>
              <w:widowControl/>
              <w:jc w:val="center"/>
              <w:textAlignment w:val="center"/>
              <w:rPr>
                <w:szCs w:val="21"/>
              </w:rPr>
            </w:pPr>
            <w:r>
              <w:rPr>
                <w:kern w:val="0"/>
                <w:szCs w:val="21"/>
                <w:lang w:bidi="ar"/>
              </w:rPr>
              <w:t>927.7</w:t>
            </w:r>
          </w:p>
        </w:tc>
        <w:tc>
          <w:tcPr>
            <w:tcW w:w="750" w:type="pct"/>
            <w:vAlign w:val="center"/>
          </w:tcPr>
          <w:p>
            <w:pPr>
              <w:widowControl/>
              <w:jc w:val="center"/>
              <w:textAlignment w:val="center"/>
              <w:rPr>
                <w:szCs w:val="21"/>
              </w:rPr>
            </w:pPr>
            <w:r>
              <w:rPr>
                <w:kern w:val="0"/>
                <w:szCs w:val="21"/>
                <w:lang w:bidi="ar"/>
              </w:rPr>
              <w:t>hPa</w:t>
            </w:r>
          </w:p>
        </w:tc>
        <w:tc>
          <w:tcPr>
            <w:tcW w:w="1523" w:type="pct"/>
            <w:vAlign w:val="center"/>
          </w:tcPr>
          <w:p>
            <w:pPr>
              <w:widowControl/>
              <w:jc w:val="center"/>
              <w:textAlignment w:val="center"/>
              <w:rPr>
                <w:szCs w:val="21"/>
              </w:rPr>
            </w:pPr>
            <w:r>
              <w:rPr>
                <w:kern w:val="0"/>
                <w:szCs w:val="21"/>
                <w:lang w:bidi="ar"/>
              </w:rPr>
              <w:t>1981年12月1日</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极端最低气压</w:t>
            </w:r>
          </w:p>
        </w:tc>
        <w:tc>
          <w:tcPr>
            <w:tcW w:w="840" w:type="pct"/>
            <w:vAlign w:val="center"/>
          </w:tcPr>
          <w:p>
            <w:pPr>
              <w:widowControl/>
              <w:jc w:val="center"/>
              <w:textAlignment w:val="center"/>
              <w:rPr>
                <w:szCs w:val="21"/>
              </w:rPr>
            </w:pPr>
            <w:r>
              <w:rPr>
                <w:kern w:val="0"/>
                <w:szCs w:val="21"/>
                <w:lang w:bidi="ar"/>
              </w:rPr>
              <w:t>878.2</w:t>
            </w:r>
          </w:p>
        </w:tc>
        <w:tc>
          <w:tcPr>
            <w:tcW w:w="750" w:type="pct"/>
            <w:vAlign w:val="center"/>
          </w:tcPr>
          <w:p>
            <w:pPr>
              <w:widowControl/>
              <w:jc w:val="center"/>
              <w:textAlignment w:val="center"/>
              <w:rPr>
                <w:szCs w:val="21"/>
              </w:rPr>
            </w:pPr>
            <w:r>
              <w:rPr>
                <w:kern w:val="0"/>
                <w:szCs w:val="21"/>
                <w:lang w:bidi="ar"/>
              </w:rPr>
              <w:t>hPa</w:t>
            </w:r>
          </w:p>
        </w:tc>
        <w:tc>
          <w:tcPr>
            <w:tcW w:w="1523" w:type="pct"/>
            <w:vAlign w:val="center"/>
          </w:tcPr>
          <w:p>
            <w:pPr>
              <w:widowControl/>
              <w:jc w:val="center"/>
              <w:textAlignment w:val="center"/>
              <w:rPr>
                <w:kern w:val="0"/>
                <w:szCs w:val="21"/>
                <w:lang w:bidi="ar"/>
              </w:rPr>
            </w:pPr>
            <w:r>
              <w:rPr>
                <w:kern w:val="0"/>
                <w:szCs w:val="21"/>
                <w:lang w:bidi="ar"/>
              </w:rPr>
              <w:t>2002年4月13日</w:t>
            </w:r>
          </w:p>
          <w:p>
            <w:pPr>
              <w:widowControl/>
              <w:jc w:val="center"/>
              <w:textAlignment w:val="center"/>
              <w:rPr>
                <w:szCs w:val="21"/>
              </w:rPr>
            </w:pPr>
            <w:r>
              <w:rPr>
                <w:kern w:val="0"/>
                <w:szCs w:val="21"/>
                <w:lang w:bidi="ar"/>
              </w:rPr>
              <w:t>2012年4月22日</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restart"/>
            <w:vAlign w:val="center"/>
          </w:tcPr>
          <w:p>
            <w:pPr>
              <w:widowControl/>
              <w:jc w:val="center"/>
              <w:textAlignment w:val="center"/>
              <w:rPr>
                <w:szCs w:val="21"/>
              </w:rPr>
            </w:pPr>
            <w:r>
              <w:rPr>
                <w:kern w:val="0"/>
                <w:szCs w:val="21"/>
                <w:lang w:bidi="ar"/>
              </w:rPr>
              <w:t>气温</w:t>
            </w:r>
          </w:p>
        </w:tc>
        <w:tc>
          <w:tcPr>
            <w:tcW w:w="1607" w:type="pct"/>
            <w:vAlign w:val="center"/>
          </w:tcPr>
          <w:p>
            <w:pPr>
              <w:widowControl/>
              <w:jc w:val="center"/>
              <w:textAlignment w:val="center"/>
              <w:rPr>
                <w:szCs w:val="21"/>
              </w:rPr>
            </w:pPr>
            <w:r>
              <w:rPr>
                <w:kern w:val="0"/>
                <w:szCs w:val="21"/>
                <w:lang w:bidi="ar"/>
              </w:rPr>
              <w:t>年平均气温</w:t>
            </w:r>
          </w:p>
        </w:tc>
        <w:tc>
          <w:tcPr>
            <w:tcW w:w="840" w:type="pct"/>
            <w:vAlign w:val="center"/>
          </w:tcPr>
          <w:p>
            <w:pPr>
              <w:widowControl/>
              <w:jc w:val="center"/>
              <w:textAlignment w:val="center"/>
              <w:rPr>
                <w:szCs w:val="21"/>
              </w:rPr>
            </w:pPr>
            <w:r>
              <w:rPr>
                <w:kern w:val="0"/>
                <w:szCs w:val="21"/>
                <w:lang w:bidi="ar"/>
              </w:rPr>
              <w:t>8</w:t>
            </w:r>
          </w:p>
        </w:tc>
        <w:tc>
          <w:tcPr>
            <w:tcW w:w="750" w:type="pct"/>
            <w:vAlign w:val="center"/>
          </w:tcPr>
          <w:p>
            <w:pPr>
              <w:widowControl/>
              <w:jc w:val="center"/>
              <w:textAlignment w:val="center"/>
              <w:rPr>
                <w:szCs w:val="21"/>
              </w:rPr>
            </w:pPr>
            <w:r>
              <w:rPr>
                <w:kern w:val="0"/>
                <w:szCs w:val="21"/>
                <w:lang w:bidi="ar"/>
              </w:rPr>
              <w:t>℃</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年平均最高气温</w:t>
            </w:r>
          </w:p>
        </w:tc>
        <w:tc>
          <w:tcPr>
            <w:tcW w:w="840" w:type="pct"/>
            <w:vAlign w:val="center"/>
          </w:tcPr>
          <w:p>
            <w:pPr>
              <w:widowControl/>
              <w:jc w:val="center"/>
              <w:textAlignment w:val="center"/>
              <w:rPr>
                <w:szCs w:val="21"/>
              </w:rPr>
            </w:pPr>
            <w:r>
              <w:rPr>
                <w:kern w:val="0"/>
                <w:szCs w:val="21"/>
                <w:lang w:bidi="ar"/>
              </w:rPr>
              <w:t>14.9</w:t>
            </w:r>
          </w:p>
        </w:tc>
        <w:tc>
          <w:tcPr>
            <w:tcW w:w="750" w:type="pct"/>
            <w:vAlign w:val="center"/>
          </w:tcPr>
          <w:p>
            <w:pPr>
              <w:widowControl/>
              <w:jc w:val="center"/>
              <w:textAlignment w:val="center"/>
              <w:rPr>
                <w:szCs w:val="21"/>
              </w:rPr>
            </w:pPr>
            <w:r>
              <w:rPr>
                <w:kern w:val="0"/>
                <w:szCs w:val="21"/>
                <w:lang w:bidi="ar"/>
              </w:rPr>
              <w:t>℃</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19"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年平均最低气温</w:t>
            </w:r>
          </w:p>
        </w:tc>
        <w:tc>
          <w:tcPr>
            <w:tcW w:w="840" w:type="pct"/>
            <w:vAlign w:val="center"/>
          </w:tcPr>
          <w:p>
            <w:pPr>
              <w:widowControl/>
              <w:jc w:val="center"/>
              <w:textAlignment w:val="center"/>
              <w:rPr>
                <w:szCs w:val="21"/>
              </w:rPr>
            </w:pPr>
            <w:r>
              <w:rPr>
                <w:kern w:val="0"/>
                <w:szCs w:val="21"/>
                <w:lang w:bidi="ar"/>
              </w:rPr>
              <w:t>2</w:t>
            </w:r>
          </w:p>
        </w:tc>
        <w:tc>
          <w:tcPr>
            <w:tcW w:w="750" w:type="pct"/>
            <w:vAlign w:val="center"/>
          </w:tcPr>
          <w:p>
            <w:pPr>
              <w:widowControl/>
              <w:jc w:val="center"/>
              <w:textAlignment w:val="center"/>
              <w:rPr>
                <w:szCs w:val="21"/>
              </w:rPr>
            </w:pPr>
            <w:r>
              <w:rPr>
                <w:kern w:val="0"/>
                <w:szCs w:val="21"/>
                <w:lang w:bidi="ar"/>
              </w:rPr>
              <w:t>℃</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极端最高气温</w:t>
            </w:r>
          </w:p>
        </w:tc>
        <w:tc>
          <w:tcPr>
            <w:tcW w:w="840" w:type="pct"/>
            <w:vAlign w:val="center"/>
          </w:tcPr>
          <w:p>
            <w:pPr>
              <w:widowControl/>
              <w:jc w:val="center"/>
              <w:textAlignment w:val="center"/>
              <w:rPr>
                <w:szCs w:val="21"/>
              </w:rPr>
            </w:pPr>
            <w:r>
              <w:rPr>
                <w:kern w:val="0"/>
                <w:szCs w:val="21"/>
                <w:lang w:bidi="ar"/>
              </w:rPr>
              <w:t>39.1</w:t>
            </w:r>
          </w:p>
        </w:tc>
        <w:tc>
          <w:tcPr>
            <w:tcW w:w="750" w:type="pct"/>
            <w:vAlign w:val="center"/>
          </w:tcPr>
          <w:p>
            <w:pPr>
              <w:widowControl/>
              <w:jc w:val="center"/>
              <w:textAlignment w:val="center"/>
              <w:rPr>
                <w:szCs w:val="21"/>
              </w:rPr>
            </w:pPr>
            <w:r>
              <w:rPr>
                <w:kern w:val="0"/>
                <w:szCs w:val="21"/>
                <w:lang w:bidi="ar"/>
              </w:rPr>
              <w:t>℃</w:t>
            </w:r>
          </w:p>
        </w:tc>
        <w:tc>
          <w:tcPr>
            <w:tcW w:w="1523" w:type="pct"/>
            <w:vAlign w:val="center"/>
          </w:tcPr>
          <w:p>
            <w:pPr>
              <w:widowControl/>
              <w:jc w:val="center"/>
              <w:textAlignment w:val="center"/>
              <w:rPr>
                <w:szCs w:val="21"/>
              </w:rPr>
            </w:pPr>
            <w:r>
              <w:rPr>
                <w:kern w:val="0"/>
                <w:szCs w:val="21"/>
                <w:lang w:bidi="ar"/>
              </w:rPr>
              <w:t>1997年7月22日</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极端最低气温</w:t>
            </w:r>
          </w:p>
        </w:tc>
        <w:tc>
          <w:tcPr>
            <w:tcW w:w="840" w:type="pct"/>
            <w:vAlign w:val="center"/>
          </w:tcPr>
          <w:p>
            <w:pPr>
              <w:widowControl/>
              <w:jc w:val="center"/>
              <w:textAlignment w:val="center"/>
              <w:rPr>
                <w:szCs w:val="21"/>
              </w:rPr>
            </w:pPr>
            <w:r>
              <w:rPr>
                <w:kern w:val="0"/>
                <w:szCs w:val="21"/>
                <w:lang w:bidi="ar"/>
              </w:rPr>
              <w:t>-36.7</w:t>
            </w:r>
          </w:p>
        </w:tc>
        <w:tc>
          <w:tcPr>
            <w:tcW w:w="750" w:type="pct"/>
            <w:vAlign w:val="center"/>
          </w:tcPr>
          <w:p>
            <w:pPr>
              <w:widowControl/>
              <w:jc w:val="center"/>
              <w:textAlignment w:val="center"/>
              <w:rPr>
                <w:szCs w:val="21"/>
              </w:rPr>
            </w:pPr>
            <w:r>
              <w:rPr>
                <w:kern w:val="0"/>
                <w:szCs w:val="21"/>
                <w:lang w:bidi="ar"/>
              </w:rPr>
              <w:t>℃</w:t>
            </w:r>
          </w:p>
        </w:tc>
        <w:tc>
          <w:tcPr>
            <w:tcW w:w="1523" w:type="pct"/>
            <w:vAlign w:val="center"/>
          </w:tcPr>
          <w:p>
            <w:pPr>
              <w:widowControl/>
              <w:jc w:val="center"/>
              <w:textAlignment w:val="center"/>
              <w:rPr>
                <w:szCs w:val="21"/>
              </w:rPr>
            </w:pPr>
            <w:r>
              <w:rPr>
                <w:kern w:val="0"/>
                <w:szCs w:val="21"/>
                <w:lang w:bidi="ar"/>
              </w:rPr>
              <w:t>1967年12月27日</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restart"/>
            <w:vAlign w:val="center"/>
          </w:tcPr>
          <w:p>
            <w:pPr>
              <w:widowControl/>
              <w:jc w:val="center"/>
              <w:textAlignment w:val="center"/>
              <w:rPr>
                <w:szCs w:val="21"/>
              </w:rPr>
            </w:pPr>
            <w:r>
              <w:rPr>
                <w:kern w:val="0"/>
                <w:szCs w:val="21"/>
                <w:lang w:bidi="ar"/>
              </w:rPr>
              <w:t>风</w:t>
            </w:r>
          </w:p>
        </w:tc>
        <w:tc>
          <w:tcPr>
            <w:tcW w:w="1607" w:type="pct"/>
            <w:vAlign w:val="center"/>
          </w:tcPr>
          <w:p>
            <w:pPr>
              <w:widowControl/>
              <w:jc w:val="center"/>
              <w:textAlignment w:val="center"/>
              <w:rPr>
                <w:szCs w:val="21"/>
              </w:rPr>
            </w:pPr>
            <w:r>
              <w:rPr>
                <w:kern w:val="0"/>
                <w:szCs w:val="21"/>
                <w:lang w:bidi="ar"/>
              </w:rPr>
              <w:t>年平均风速</w:t>
            </w:r>
          </w:p>
        </w:tc>
        <w:tc>
          <w:tcPr>
            <w:tcW w:w="840" w:type="pct"/>
            <w:vAlign w:val="center"/>
          </w:tcPr>
          <w:p>
            <w:pPr>
              <w:widowControl/>
              <w:jc w:val="center"/>
              <w:textAlignment w:val="center"/>
              <w:rPr>
                <w:szCs w:val="21"/>
              </w:rPr>
            </w:pPr>
            <w:r>
              <w:rPr>
                <w:kern w:val="0"/>
                <w:szCs w:val="21"/>
                <w:lang w:bidi="ar"/>
              </w:rPr>
              <w:t>2.2</w:t>
            </w:r>
          </w:p>
        </w:tc>
        <w:tc>
          <w:tcPr>
            <w:tcW w:w="750" w:type="pct"/>
            <w:vAlign w:val="center"/>
          </w:tcPr>
          <w:p>
            <w:pPr>
              <w:widowControl/>
              <w:jc w:val="center"/>
              <w:textAlignment w:val="center"/>
              <w:rPr>
                <w:szCs w:val="21"/>
              </w:rPr>
            </w:pPr>
            <w:r>
              <w:rPr>
                <w:kern w:val="0"/>
                <w:szCs w:val="21"/>
                <w:lang w:bidi="ar"/>
              </w:rPr>
              <w:t>m/s</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最多风向及频率</w:t>
            </w:r>
          </w:p>
        </w:tc>
        <w:tc>
          <w:tcPr>
            <w:tcW w:w="840" w:type="pct"/>
            <w:vAlign w:val="center"/>
          </w:tcPr>
          <w:p>
            <w:pPr>
              <w:widowControl/>
              <w:jc w:val="center"/>
              <w:textAlignment w:val="center"/>
              <w:rPr>
                <w:szCs w:val="21"/>
              </w:rPr>
            </w:pPr>
            <w:r>
              <w:rPr>
                <w:kern w:val="0"/>
                <w:szCs w:val="21"/>
                <w:lang w:bidi="ar"/>
              </w:rPr>
              <w:t>8.9/ENE</w:t>
            </w:r>
          </w:p>
        </w:tc>
        <w:tc>
          <w:tcPr>
            <w:tcW w:w="750" w:type="pct"/>
            <w:vAlign w:val="center"/>
          </w:tcPr>
          <w:p>
            <w:pPr>
              <w:widowControl/>
              <w:jc w:val="center"/>
              <w:textAlignment w:val="center"/>
              <w:rPr>
                <w:szCs w:val="21"/>
              </w:rPr>
            </w:pPr>
            <w:r>
              <w:rPr>
                <w:kern w:val="0"/>
                <w:szCs w:val="21"/>
                <w:lang w:bidi="ar"/>
              </w:rPr>
              <w:t>/%</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年最大风速</w:t>
            </w:r>
          </w:p>
        </w:tc>
        <w:tc>
          <w:tcPr>
            <w:tcW w:w="840" w:type="pct"/>
            <w:vAlign w:val="center"/>
          </w:tcPr>
          <w:p>
            <w:pPr>
              <w:widowControl/>
              <w:jc w:val="center"/>
              <w:textAlignment w:val="center"/>
              <w:rPr>
                <w:szCs w:val="21"/>
              </w:rPr>
            </w:pPr>
            <w:r>
              <w:rPr>
                <w:kern w:val="0"/>
                <w:szCs w:val="21"/>
                <w:lang w:bidi="ar"/>
              </w:rPr>
              <w:t>21.7</w:t>
            </w:r>
          </w:p>
        </w:tc>
        <w:tc>
          <w:tcPr>
            <w:tcW w:w="750" w:type="pct"/>
            <w:vAlign w:val="center"/>
          </w:tcPr>
          <w:p>
            <w:pPr>
              <w:widowControl/>
              <w:jc w:val="center"/>
              <w:textAlignment w:val="center"/>
              <w:rPr>
                <w:szCs w:val="21"/>
              </w:rPr>
            </w:pPr>
            <w:r>
              <w:rPr>
                <w:kern w:val="0"/>
                <w:szCs w:val="21"/>
                <w:lang w:bidi="ar"/>
              </w:rPr>
              <w:t>m/s</w:t>
            </w:r>
          </w:p>
        </w:tc>
        <w:tc>
          <w:tcPr>
            <w:tcW w:w="1523" w:type="pct"/>
            <w:vAlign w:val="center"/>
          </w:tcPr>
          <w:p>
            <w:pPr>
              <w:widowControl/>
              <w:jc w:val="center"/>
              <w:textAlignment w:val="center"/>
              <w:rPr>
                <w:szCs w:val="21"/>
              </w:rPr>
            </w:pPr>
            <w:r>
              <w:rPr>
                <w:kern w:val="0"/>
                <w:szCs w:val="21"/>
                <w:lang w:bidi="ar"/>
              </w:rPr>
              <w:t>1974年5月27日</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年最大风速对应的风向</w:t>
            </w:r>
          </w:p>
        </w:tc>
        <w:tc>
          <w:tcPr>
            <w:tcW w:w="840" w:type="pct"/>
            <w:vAlign w:val="center"/>
          </w:tcPr>
          <w:p>
            <w:pPr>
              <w:widowControl/>
              <w:jc w:val="center"/>
              <w:textAlignment w:val="center"/>
              <w:rPr>
                <w:szCs w:val="21"/>
              </w:rPr>
            </w:pPr>
            <w:r>
              <w:rPr>
                <w:kern w:val="0"/>
                <w:szCs w:val="21"/>
                <w:lang w:bidi="ar"/>
              </w:rPr>
              <w:t>NNE</w:t>
            </w:r>
          </w:p>
        </w:tc>
        <w:tc>
          <w:tcPr>
            <w:tcW w:w="750" w:type="pct"/>
            <w:vAlign w:val="center"/>
          </w:tcPr>
          <w:p>
            <w:pPr>
              <w:widowControl/>
              <w:jc w:val="center"/>
              <w:textAlignment w:val="center"/>
              <w:rPr>
                <w:szCs w:val="21"/>
              </w:rPr>
            </w:pPr>
            <w:r>
              <w:rPr>
                <w:kern w:val="0"/>
                <w:szCs w:val="21"/>
                <w:lang w:bidi="ar"/>
              </w:rPr>
              <w:t>/</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年次大风速</w:t>
            </w:r>
          </w:p>
        </w:tc>
        <w:tc>
          <w:tcPr>
            <w:tcW w:w="840" w:type="pct"/>
            <w:vAlign w:val="center"/>
          </w:tcPr>
          <w:p>
            <w:pPr>
              <w:widowControl/>
              <w:jc w:val="center"/>
              <w:textAlignment w:val="center"/>
              <w:rPr>
                <w:szCs w:val="21"/>
              </w:rPr>
            </w:pPr>
            <w:r>
              <w:rPr>
                <w:kern w:val="0"/>
                <w:szCs w:val="21"/>
                <w:lang w:bidi="ar"/>
              </w:rPr>
              <w:t>20</w:t>
            </w:r>
          </w:p>
        </w:tc>
        <w:tc>
          <w:tcPr>
            <w:tcW w:w="750" w:type="pct"/>
            <w:vAlign w:val="center"/>
          </w:tcPr>
          <w:p>
            <w:pPr>
              <w:widowControl/>
              <w:jc w:val="center"/>
              <w:textAlignment w:val="center"/>
              <w:rPr>
                <w:szCs w:val="21"/>
              </w:rPr>
            </w:pPr>
            <w:r>
              <w:rPr>
                <w:kern w:val="0"/>
                <w:szCs w:val="21"/>
                <w:lang w:bidi="ar"/>
              </w:rPr>
              <w:t>m/s</w:t>
            </w:r>
          </w:p>
        </w:tc>
        <w:tc>
          <w:tcPr>
            <w:tcW w:w="1523" w:type="pct"/>
            <w:vAlign w:val="center"/>
          </w:tcPr>
          <w:p>
            <w:pPr>
              <w:widowControl/>
              <w:jc w:val="center"/>
              <w:textAlignment w:val="center"/>
              <w:rPr>
                <w:szCs w:val="21"/>
              </w:rPr>
            </w:pPr>
            <w:r>
              <w:rPr>
                <w:kern w:val="0"/>
                <w:szCs w:val="21"/>
                <w:lang w:bidi="ar"/>
              </w:rPr>
              <w:t>1975年04月09日</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年次大风速对应的风向</w:t>
            </w:r>
          </w:p>
        </w:tc>
        <w:tc>
          <w:tcPr>
            <w:tcW w:w="840" w:type="pct"/>
            <w:vAlign w:val="center"/>
          </w:tcPr>
          <w:p>
            <w:pPr>
              <w:widowControl/>
              <w:jc w:val="center"/>
              <w:textAlignment w:val="center"/>
              <w:rPr>
                <w:szCs w:val="21"/>
              </w:rPr>
            </w:pPr>
            <w:r>
              <w:rPr>
                <w:kern w:val="0"/>
                <w:szCs w:val="21"/>
                <w:lang w:bidi="ar"/>
              </w:rPr>
              <w:t>WNW/WNW</w:t>
            </w:r>
          </w:p>
        </w:tc>
        <w:tc>
          <w:tcPr>
            <w:tcW w:w="750" w:type="pct"/>
            <w:vAlign w:val="center"/>
          </w:tcPr>
          <w:p>
            <w:pPr>
              <w:widowControl/>
              <w:jc w:val="center"/>
              <w:textAlignment w:val="center"/>
              <w:rPr>
                <w:szCs w:val="21"/>
              </w:rPr>
            </w:pPr>
            <w:r>
              <w:rPr>
                <w:kern w:val="0"/>
                <w:szCs w:val="21"/>
                <w:lang w:bidi="ar"/>
              </w:rPr>
              <w:t>/</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281" w:type="pct"/>
            <w:vMerge w:val="restart"/>
            <w:vAlign w:val="center"/>
          </w:tcPr>
          <w:p>
            <w:pPr>
              <w:widowControl/>
              <w:jc w:val="center"/>
              <w:textAlignment w:val="center"/>
              <w:rPr>
                <w:szCs w:val="21"/>
              </w:rPr>
            </w:pPr>
            <w:r>
              <w:rPr>
                <w:kern w:val="0"/>
                <w:szCs w:val="21"/>
                <w:lang w:bidi="ar"/>
              </w:rPr>
              <w:t>相对湿度</w:t>
            </w:r>
          </w:p>
        </w:tc>
        <w:tc>
          <w:tcPr>
            <w:tcW w:w="1607" w:type="pct"/>
            <w:vMerge w:val="restart"/>
            <w:vAlign w:val="center"/>
          </w:tcPr>
          <w:p>
            <w:pPr>
              <w:widowControl/>
              <w:jc w:val="center"/>
              <w:textAlignment w:val="center"/>
              <w:rPr>
                <w:szCs w:val="21"/>
              </w:rPr>
            </w:pPr>
            <w:r>
              <w:rPr>
                <w:kern w:val="0"/>
                <w:szCs w:val="21"/>
                <w:lang w:bidi="ar"/>
              </w:rPr>
              <w:t>年平均相对湿度</w:t>
            </w:r>
          </w:p>
        </w:tc>
        <w:tc>
          <w:tcPr>
            <w:tcW w:w="840" w:type="pct"/>
            <w:vMerge w:val="restart"/>
            <w:vAlign w:val="center"/>
          </w:tcPr>
          <w:p>
            <w:pPr>
              <w:widowControl/>
              <w:jc w:val="center"/>
              <w:textAlignment w:val="center"/>
              <w:rPr>
                <w:szCs w:val="21"/>
              </w:rPr>
            </w:pPr>
            <w:r>
              <w:rPr>
                <w:kern w:val="0"/>
                <w:szCs w:val="21"/>
                <w:lang w:bidi="ar"/>
              </w:rPr>
              <w:t>51</w:t>
            </w:r>
          </w:p>
        </w:tc>
        <w:tc>
          <w:tcPr>
            <w:tcW w:w="750" w:type="pct"/>
            <w:vMerge w:val="restart"/>
            <w:vAlign w:val="center"/>
          </w:tcPr>
          <w:p>
            <w:pPr>
              <w:widowControl/>
              <w:jc w:val="center"/>
              <w:textAlignment w:val="center"/>
              <w:rPr>
                <w:szCs w:val="21"/>
              </w:rPr>
            </w:pPr>
            <w:r>
              <w:rPr>
                <w:kern w:val="0"/>
                <w:szCs w:val="21"/>
                <w:lang w:bidi="ar"/>
              </w:rPr>
              <w:t>%</w:t>
            </w:r>
          </w:p>
        </w:tc>
        <w:tc>
          <w:tcPr>
            <w:tcW w:w="1523" w:type="pct"/>
            <w:vMerge w:val="restar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281" w:type="pct"/>
            <w:vMerge w:val="continue"/>
            <w:vAlign w:val="center"/>
          </w:tcPr>
          <w:p>
            <w:pPr>
              <w:jc w:val="center"/>
              <w:rPr>
                <w:szCs w:val="21"/>
              </w:rPr>
            </w:pPr>
          </w:p>
        </w:tc>
        <w:tc>
          <w:tcPr>
            <w:tcW w:w="1607" w:type="pct"/>
            <w:vMerge w:val="continue"/>
            <w:vAlign w:val="center"/>
          </w:tcPr>
          <w:p>
            <w:pPr>
              <w:jc w:val="center"/>
              <w:rPr>
                <w:szCs w:val="21"/>
              </w:rPr>
            </w:pPr>
          </w:p>
        </w:tc>
        <w:tc>
          <w:tcPr>
            <w:tcW w:w="840" w:type="pct"/>
            <w:vMerge w:val="continue"/>
            <w:vAlign w:val="center"/>
          </w:tcPr>
          <w:p>
            <w:pPr>
              <w:jc w:val="center"/>
              <w:rPr>
                <w:szCs w:val="21"/>
              </w:rPr>
            </w:pPr>
          </w:p>
        </w:tc>
        <w:tc>
          <w:tcPr>
            <w:tcW w:w="750" w:type="pct"/>
            <w:vMerge w:val="continue"/>
            <w:vAlign w:val="center"/>
          </w:tcPr>
          <w:p>
            <w:pPr>
              <w:jc w:val="center"/>
              <w:rPr>
                <w:szCs w:val="21"/>
              </w:rPr>
            </w:pPr>
          </w:p>
        </w:tc>
        <w:tc>
          <w:tcPr>
            <w:tcW w:w="1523" w:type="pct"/>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年最小相对湿度</w:t>
            </w:r>
          </w:p>
        </w:tc>
        <w:tc>
          <w:tcPr>
            <w:tcW w:w="840" w:type="pct"/>
            <w:vAlign w:val="center"/>
          </w:tcPr>
          <w:p>
            <w:pPr>
              <w:widowControl/>
              <w:jc w:val="center"/>
              <w:textAlignment w:val="center"/>
              <w:rPr>
                <w:kern w:val="0"/>
                <w:szCs w:val="21"/>
                <w:lang w:bidi="ar"/>
              </w:rPr>
            </w:pPr>
            <w:r>
              <w:rPr>
                <w:kern w:val="0"/>
                <w:szCs w:val="21"/>
                <w:lang w:bidi="ar"/>
              </w:rPr>
              <w:t>0</w:t>
            </w:r>
          </w:p>
        </w:tc>
        <w:tc>
          <w:tcPr>
            <w:tcW w:w="750" w:type="pct"/>
            <w:vAlign w:val="center"/>
          </w:tcPr>
          <w:p>
            <w:pPr>
              <w:widowControl/>
              <w:jc w:val="center"/>
              <w:textAlignment w:val="center"/>
              <w:rPr>
                <w:kern w:val="0"/>
                <w:szCs w:val="21"/>
                <w:lang w:bidi="ar"/>
              </w:rPr>
            </w:pPr>
            <w:r>
              <w:rPr>
                <w:kern w:val="0"/>
                <w:szCs w:val="21"/>
                <w:lang w:bidi="ar"/>
              </w:rPr>
              <w:t>%</w:t>
            </w:r>
          </w:p>
        </w:tc>
        <w:tc>
          <w:tcPr>
            <w:tcW w:w="1523" w:type="pct"/>
            <w:vAlign w:val="center"/>
          </w:tcPr>
          <w:p>
            <w:pPr>
              <w:widowControl/>
              <w:jc w:val="center"/>
              <w:textAlignment w:val="center"/>
              <w:rPr>
                <w:kern w:val="0"/>
                <w:szCs w:val="21"/>
                <w:lang w:bidi="ar"/>
              </w:rPr>
            </w:pPr>
            <w:r>
              <w:rPr>
                <w:kern w:val="0"/>
                <w:szCs w:val="21"/>
                <w:lang w:bidi="ar"/>
              </w:rPr>
              <w:t>1980年4月17日</w:t>
            </w:r>
          </w:p>
          <w:p>
            <w:pPr>
              <w:widowControl/>
              <w:jc w:val="center"/>
              <w:textAlignment w:val="center"/>
              <w:rPr>
                <w:kern w:val="0"/>
                <w:szCs w:val="21"/>
                <w:lang w:bidi="ar"/>
              </w:rPr>
            </w:pPr>
            <w:r>
              <w:rPr>
                <w:kern w:val="0"/>
                <w:szCs w:val="21"/>
                <w:lang w:bidi="ar"/>
              </w:rPr>
              <w:t>1981年3月3日</w:t>
            </w:r>
          </w:p>
          <w:p>
            <w:pPr>
              <w:widowControl/>
              <w:jc w:val="center"/>
              <w:textAlignment w:val="center"/>
              <w:rPr>
                <w:kern w:val="0"/>
                <w:szCs w:val="21"/>
                <w:lang w:bidi="ar"/>
              </w:rPr>
            </w:pPr>
            <w:r>
              <w:rPr>
                <w:kern w:val="0"/>
                <w:szCs w:val="21"/>
                <w:lang w:bidi="ar"/>
              </w:rPr>
              <w:t>1981年3月6日</w:t>
            </w:r>
          </w:p>
          <w:p>
            <w:pPr>
              <w:widowControl/>
              <w:jc w:val="center"/>
              <w:textAlignment w:val="center"/>
              <w:rPr>
                <w:kern w:val="0"/>
                <w:szCs w:val="21"/>
                <w:lang w:bidi="ar"/>
              </w:rPr>
            </w:pPr>
            <w:r>
              <w:rPr>
                <w:kern w:val="0"/>
                <w:szCs w:val="21"/>
                <w:lang w:bidi="ar"/>
              </w:rPr>
              <w:t>2017年5月9日</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restart"/>
            <w:vAlign w:val="center"/>
          </w:tcPr>
          <w:p>
            <w:pPr>
              <w:widowControl/>
              <w:jc w:val="center"/>
              <w:textAlignment w:val="center"/>
              <w:rPr>
                <w:szCs w:val="21"/>
              </w:rPr>
            </w:pPr>
            <w:r>
              <w:rPr>
                <w:kern w:val="0"/>
                <w:szCs w:val="21"/>
                <w:lang w:bidi="ar"/>
              </w:rPr>
              <w:t>日照</w:t>
            </w:r>
          </w:p>
        </w:tc>
        <w:tc>
          <w:tcPr>
            <w:tcW w:w="1607" w:type="pct"/>
            <w:vAlign w:val="center"/>
          </w:tcPr>
          <w:p>
            <w:pPr>
              <w:widowControl/>
              <w:jc w:val="center"/>
              <w:textAlignment w:val="center"/>
              <w:rPr>
                <w:szCs w:val="21"/>
              </w:rPr>
            </w:pPr>
            <w:r>
              <w:rPr>
                <w:kern w:val="0"/>
                <w:szCs w:val="21"/>
                <w:lang w:bidi="ar"/>
              </w:rPr>
              <w:t>年日照时数</w:t>
            </w:r>
          </w:p>
        </w:tc>
        <w:tc>
          <w:tcPr>
            <w:tcW w:w="840" w:type="pct"/>
            <w:vAlign w:val="center"/>
          </w:tcPr>
          <w:p>
            <w:pPr>
              <w:widowControl/>
              <w:jc w:val="center"/>
              <w:textAlignment w:val="center"/>
              <w:rPr>
                <w:szCs w:val="21"/>
              </w:rPr>
            </w:pPr>
            <w:r>
              <w:rPr>
                <w:kern w:val="0"/>
                <w:szCs w:val="21"/>
                <w:lang w:bidi="ar"/>
              </w:rPr>
              <w:t>3147.7</w:t>
            </w:r>
          </w:p>
        </w:tc>
        <w:tc>
          <w:tcPr>
            <w:tcW w:w="750" w:type="pct"/>
            <w:vAlign w:val="center"/>
          </w:tcPr>
          <w:p>
            <w:pPr>
              <w:widowControl/>
              <w:jc w:val="center"/>
              <w:textAlignment w:val="center"/>
              <w:rPr>
                <w:szCs w:val="21"/>
              </w:rPr>
            </w:pPr>
            <w:r>
              <w:rPr>
                <w:kern w:val="0"/>
                <w:szCs w:val="21"/>
                <w:lang w:bidi="ar"/>
              </w:rPr>
              <w:t>小时</w:t>
            </w:r>
          </w:p>
        </w:tc>
        <w:tc>
          <w:tcPr>
            <w:tcW w:w="1523" w:type="pct"/>
            <w:vAlign w:val="center"/>
          </w:tcPr>
          <w:p>
            <w:pPr>
              <w:widowControl/>
              <w:jc w:val="center"/>
              <w:textAlignment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年最多日照时数</w:t>
            </w:r>
          </w:p>
        </w:tc>
        <w:tc>
          <w:tcPr>
            <w:tcW w:w="840" w:type="pct"/>
            <w:vAlign w:val="center"/>
          </w:tcPr>
          <w:p>
            <w:pPr>
              <w:widowControl/>
              <w:jc w:val="center"/>
              <w:textAlignment w:val="center"/>
              <w:rPr>
                <w:szCs w:val="21"/>
              </w:rPr>
            </w:pPr>
            <w:r>
              <w:rPr>
                <w:kern w:val="0"/>
                <w:szCs w:val="21"/>
                <w:lang w:bidi="ar"/>
              </w:rPr>
              <w:t>3393.6</w:t>
            </w:r>
          </w:p>
        </w:tc>
        <w:tc>
          <w:tcPr>
            <w:tcW w:w="750" w:type="pct"/>
            <w:vAlign w:val="center"/>
          </w:tcPr>
          <w:p>
            <w:pPr>
              <w:widowControl/>
              <w:jc w:val="center"/>
              <w:textAlignment w:val="center"/>
              <w:rPr>
                <w:szCs w:val="21"/>
              </w:rPr>
            </w:pPr>
            <w:r>
              <w:rPr>
                <w:kern w:val="0"/>
                <w:szCs w:val="21"/>
                <w:lang w:bidi="ar"/>
              </w:rPr>
              <w:t>小时</w:t>
            </w:r>
          </w:p>
        </w:tc>
        <w:tc>
          <w:tcPr>
            <w:tcW w:w="1523" w:type="pct"/>
            <w:vAlign w:val="center"/>
          </w:tcPr>
          <w:p>
            <w:pPr>
              <w:widowControl/>
              <w:jc w:val="center"/>
              <w:textAlignment w:val="center"/>
              <w:rPr>
                <w:szCs w:val="21"/>
              </w:rPr>
            </w:pPr>
            <w:r>
              <w:rPr>
                <w:kern w:val="0"/>
                <w:szCs w:val="21"/>
                <w:lang w:bidi="ar"/>
              </w:rPr>
              <w:t>2000年</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81" w:type="pct"/>
            <w:vMerge w:val="continue"/>
            <w:vAlign w:val="center"/>
          </w:tcPr>
          <w:p>
            <w:pPr>
              <w:jc w:val="center"/>
              <w:rPr>
                <w:szCs w:val="21"/>
              </w:rPr>
            </w:pPr>
          </w:p>
        </w:tc>
        <w:tc>
          <w:tcPr>
            <w:tcW w:w="1607" w:type="pct"/>
            <w:vAlign w:val="center"/>
          </w:tcPr>
          <w:p>
            <w:pPr>
              <w:widowControl/>
              <w:jc w:val="center"/>
              <w:textAlignment w:val="center"/>
              <w:rPr>
                <w:szCs w:val="21"/>
              </w:rPr>
            </w:pPr>
            <w:r>
              <w:rPr>
                <w:kern w:val="0"/>
                <w:szCs w:val="21"/>
                <w:lang w:bidi="ar"/>
              </w:rPr>
              <w:t>年最少日照时数</w:t>
            </w:r>
          </w:p>
        </w:tc>
        <w:tc>
          <w:tcPr>
            <w:tcW w:w="840" w:type="pct"/>
            <w:vAlign w:val="center"/>
          </w:tcPr>
          <w:p>
            <w:pPr>
              <w:widowControl/>
              <w:jc w:val="center"/>
              <w:textAlignment w:val="center"/>
              <w:rPr>
                <w:szCs w:val="21"/>
              </w:rPr>
            </w:pPr>
            <w:r>
              <w:rPr>
                <w:kern w:val="0"/>
                <w:szCs w:val="21"/>
                <w:lang w:bidi="ar"/>
              </w:rPr>
              <w:t>2810.2</w:t>
            </w:r>
          </w:p>
        </w:tc>
        <w:tc>
          <w:tcPr>
            <w:tcW w:w="750" w:type="pct"/>
            <w:vAlign w:val="center"/>
          </w:tcPr>
          <w:p>
            <w:pPr>
              <w:widowControl/>
              <w:jc w:val="center"/>
              <w:textAlignment w:val="center"/>
              <w:rPr>
                <w:szCs w:val="21"/>
              </w:rPr>
            </w:pPr>
            <w:r>
              <w:rPr>
                <w:kern w:val="0"/>
                <w:szCs w:val="21"/>
                <w:lang w:bidi="ar"/>
              </w:rPr>
              <w:t>小时</w:t>
            </w:r>
          </w:p>
        </w:tc>
        <w:tc>
          <w:tcPr>
            <w:tcW w:w="1523" w:type="pct"/>
            <w:vAlign w:val="center"/>
          </w:tcPr>
          <w:p>
            <w:pPr>
              <w:widowControl/>
              <w:jc w:val="center"/>
              <w:textAlignment w:val="center"/>
              <w:rPr>
                <w:szCs w:val="21"/>
              </w:rPr>
            </w:pPr>
            <w:r>
              <w:rPr>
                <w:kern w:val="0"/>
                <w:szCs w:val="21"/>
                <w:lang w:bidi="ar"/>
              </w:rPr>
              <w:t>1992年</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000" w:type="pct"/>
            <w:gridSpan w:val="5"/>
            <w:vAlign w:val="center"/>
          </w:tcPr>
          <w:p>
            <w:pPr>
              <w:widowControl/>
              <w:jc w:val="left"/>
              <w:rPr>
                <w:kern w:val="0"/>
                <w:szCs w:val="21"/>
                <w:lang w:bidi="ar"/>
              </w:rPr>
            </w:pPr>
            <w:r>
              <w:rPr>
                <w:kern w:val="0"/>
                <w:szCs w:val="21"/>
                <w:lang w:bidi="ar"/>
              </w:rPr>
              <w:t>注：其中年平均风速是采用 1991~2020 年均一化数据得出</w:t>
            </w:r>
          </w:p>
        </w:tc>
      </w:tr>
    </w:tbl>
    <w:p>
      <w:pPr>
        <w:widowControl/>
        <w:spacing w:line="360" w:lineRule="auto"/>
        <w:jc w:val="center"/>
        <w:rPr>
          <w:sz w:val="24"/>
          <w:szCs w:val="22"/>
        </w:rPr>
      </w:pPr>
    </w:p>
    <w:p>
      <w:pPr>
        <w:spacing w:line="360" w:lineRule="auto"/>
        <w:ind w:firstLine="480" w:firstLineChars="200"/>
        <w:rPr>
          <w:sz w:val="24"/>
        </w:rPr>
        <w:sectPr>
          <w:headerReference r:id="rId14" w:type="default"/>
          <w:pgSz w:w="11906" w:h="16838"/>
          <w:pgMar w:top="1440" w:right="1800" w:bottom="1440" w:left="1800" w:header="851" w:footer="992" w:gutter="0"/>
          <w:cols w:space="720" w:num="1"/>
          <w:docGrid w:type="lines" w:linePitch="312" w:charSpace="0"/>
        </w:sectPr>
      </w:pPr>
    </w:p>
    <w:p>
      <w:pPr>
        <w:pStyle w:val="831"/>
        <w:spacing w:before="156" w:beforeLines="50" w:after="156" w:afterLines="50" w:line="360" w:lineRule="auto"/>
        <w:outlineLvl w:val="3"/>
        <w:rPr>
          <w:rFonts w:cs="Times New Roman"/>
        </w:rPr>
      </w:pPr>
      <w:bookmarkStart w:id="398" w:name="_Toc143762338"/>
      <w:r>
        <w:rPr>
          <w:rFonts w:cs="Times New Roman"/>
        </w:rPr>
        <w:t>6.1.2.2</w:t>
      </w:r>
      <w:r>
        <w:rPr>
          <w:rFonts w:hint="eastAsia" w:cs="Times New Roman"/>
        </w:rPr>
        <w:t>大气环境</w:t>
      </w:r>
      <w:r>
        <w:rPr>
          <w:rFonts w:cs="Times New Roman"/>
        </w:rPr>
        <w:t>影响预测与分析</w:t>
      </w:r>
      <w:bookmarkEnd w:id="398"/>
    </w:p>
    <w:p>
      <w:pPr>
        <w:spacing w:line="360" w:lineRule="auto"/>
        <w:ind w:firstLine="480" w:firstLineChars="200"/>
        <w:rPr>
          <w:sz w:val="24"/>
        </w:rPr>
      </w:pPr>
      <w:bookmarkStart w:id="399" w:name="_Toc11305"/>
      <w:bookmarkStart w:id="400" w:name="_Toc8107"/>
      <w:bookmarkStart w:id="401" w:name="_Toc8154"/>
      <w:bookmarkStart w:id="402" w:name="_Toc20142"/>
      <w:r>
        <w:rPr>
          <w:sz w:val="24"/>
        </w:rPr>
        <w:t>1、预测模式</w:t>
      </w:r>
    </w:p>
    <w:p>
      <w:pPr>
        <w:spacing w:line="360" w:lineRule="auto"/>
        <w:ind w:firstLine="480" w:firstLineChars="200"/>
        <w:rPr>
          <w:sz w:val="24"/>
        </w:rPr>
      </w:pPr>
      <w:r>
        <w:rPr>
          <w:sz w:val="24"/>
          <w:szCs w:val="22"/>
        </w:rPr>
        <w:t>本次大气环境影响评价采用《环境影响评价技术导则——大气环境》(HJ2.2—2018)中的推荐的估算模式</w:t>
      </w:r>
      <w:r>
        <w:rPr>
          <w:kern w:val="0"/>
          <w:sz w:val="24"/>
          <w:lang w:bidi="ar"/>
        </w:rPr>
        <w:t>AERSCREEN</w:t>
      </w:r>
      <w:r>
        <w:rPr>
          <w:sz w:val="24"/>
          <w:szCs w:val="22"/>
        </w:rPr>
        <w:t>。</w:t>
      </w:r>
      <w:bookmarkEnd w:id="399"/>
      <w:bookmarkEnd w:id="400"/>
      <w:bookmarkEnd w:id="401"/>
      <w:bookmarkEnd w:id="402"/>
    </w:p>
    <w:p>
      <w:pPr>
        <w:spacing w:line="360" w:lineRule="auto"/>
        <w:ind w:firstLine="480" w:firstLineChars="200"/>
        <w:rPr>
          <w:sz w:val="24"/>
        </w:rPr>
      </w:pPr>
      <w:bookmarkStart w:id="403" w:name="_Toc5259"/>
      <w:bookmarkStart w:id="404" w:name="_Toc1038"/>
      <w:bookmarkStart w:id="405" w:name="_Toc8820"/>
      <w:bookmarkStart w:id="406" w:name="_Toc10804"/>
      <w:r>
        <w:rPr>
          <w:sz w:val="24"/>
        </w:rPr>
        <w:t>2、</w:t>
      </w:r>
      <w:bookmarkEnd w:id="403"/>
      <w:bookmarkEnd w:id="404"/>
      <w:bookmarkEnd w:id="405"/>
      <w:bookmarkEnd w:id="406"/>
      <w:r>
        <w:rPr>
          <w:rFonts w:hint="eastAsia"/>
          <w:sz w:val="24"/>
        </w:rPr>
        <w:t>估算模型参数及</w:t>
      </w:r>
      <w:r>
        <w:rPr>
          <w:sz w:val="24"/>
        </w:rPr>
        <w:t>预测源强</w:t>
      </w:r>
    </w:p>
    <w:p>
      <w:pPr>
        <w:spacing w:line="360" w:lineRule="auto"/>
        <w:ind w:firstLine="480" w:firstLineChars="200"/>
        <w:rPr>
          <w:sz w:val="24"/>
          <w:szCs w:val="22"/>
        </w:rPr>
      </w:pPr>
      <w:r>
        <w:rPr>
          <w:sz w:val="24"/>
          <w:szCs w:val="22"/>
        </w:rPr>
        <w:t>按照《环境影响评价技术导则大气环境》(HJ2.2-2018)附录 C</w:t>
      </w:r>
      <w:r>
        <w:rPr>
          <w:rFonts w:hint="eastAsia"/>
          <w:sz w:val="24"/>
          <w:szCs w:val="22"/>
        </w:rPr>
        <w:t>，估算模型参数见</w:t>
      </w:r>
      <w:r>
        <w:rPr>
          <w:sz w:val="24"/>
          <w:szCs w:val="22"/>
        </w:rPr>
        <w:t>表6.1-6，污染源参数见表6.1-7。</w:t>
      </w:r>
    </w:p>
    <w:p>
      <w:pPr>
        <w:widowControl/>
        <w:jc w:val="center"/>
      </w:pPr>
      <w:r>
        <w:rPr>
          <w:b/>
          <w:bCs/>
          <w:kern w:val="0"/>
          <w:sz w:val="24"/>
          <w:lang w:bidi="ar"/>
        </w:rPr>
        <w:t>表 6.1-6        估算模型参数表</w:t>
      </w:r>
    </w:p>
    <w:tbl>
      <w:tblPr>
        <w:tblStyle w:val="8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51"/>
        <w:gridCol w:w="3333"/>
        <w:gridCol w:w="28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4" w:type="pct"/>
            <w:gridSpan w:val="2"/>
            <w:vAlign w:val="center"/>
          </w:tcPr>
          <w:p>
            <w:pPr>
              <w:autoSpaceDE w:val="0"/>
              <w:autoSpaceDN w:val="0"/>
              <w:spacing w:line="260" w:lineRule="exact"/>
              <w:jc w:val="center"/>
              <w:rPr>
                <w:b/>
                <w:bCs/>
                <w:szCs w:val="21"/>
              </w:rPr>
            </w:pPr>
            <w:r>
              <w:rPr>
                <w:b/>
                <w:bCs/>
                <w:szCs w:val="21"/>
              </w:rPr>
              <w:t>参数</w:t>
            </w:r>
          </w:p>
        </w:tc>
        <w:tc>
          <w:tcPr>
            <w:tcW w:w="1666" w:type="pct"/>
            <w:vAlign w:val="center"/>
          </w:tcPr>
          <w:p>
            <w:pPr>
              <w:autoSpaceDE w:val="0"/>
              <w:autoSpaceDN w:val="0"/>
              <w:spacing w:line="260" w:lineRule="exact"/>
              <w:jc w:val="center"/>
              <w:rPr>
                <w:b/>
                <w:bCs/>
                <w:szCs w:val="21"/>
              </w:rPr>
            </w:pPr>
            <w:r>
              <w:rPr>
                <w:b/>
                <w:bCs/>
                <w:szCs w:val="21"/>
              </w:rPr>
              <w:t>取值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79" w:type="pct"/>
            <w:vMerge w:val="restart"/>
            <w:vAlign w:val="center"/>
          </w:tcPr>
          <w:p>
            <w:pPr>
              <w:autoSpaceDE w:val="0"/>
              <w:autoSpaceDN w:val="0"/>
              <w:spacing w:line="260" w:lineRule="exact"/>
              <w:jc w:val="center"/>
              <w:rPr>
                <w:szCs w:val="21"/>
              </w:rPr>
            </w:pPr>
            <w:r>
              <w:rPr>
                <w:szCs w:val="21"/>
              </w:rPr>
              <w:t>农村/城市选项</w:t>
            </w:r>
          </w:p>
        </w:tc>
        <w:tc>
          <w:tcPr>
            <w:tcW w:w="1954" w:type="pct"/>
            <w:vAlign w:val="center"/>
          </w:tcPr>
          <w:p>
            <w:pPr>
              <w:autoSpaceDE w:val="0"/>
              <w:autoSpaceDN w:val="0"/>
              <w:spacing w:line="260" w:lineRule="exact"/>
              <w:jc w:val="center"/>
              <w:rPr>
                <w:szCs w:val="21"/>
              </w:rPr>
            </w:pPr>
            <w:r>
              <w:rPr>
                <w:szCs w:val="21"/>
              </w:rPr>
              <w:t>城市/农村</w:t>
            </w:r>
          </w:p>
        </w:tc>
        <w:tc>
          <w:tcPr>
            <w:tcW w:w="1666" w:type="pct"/>
            <w:vAlign w:val="center"/>
          </w:tcPr>
          <w:p>
            <w:pPr>
              <w:autoSpaceDE w:val="0"/>
              <w:autoSpaceDN w:val="0"/>
              <w:spacing w:line="260" w:lineRule="exact"/>
              <w:jc w:val="center"/>
              <w:rPr>
                <w:szCs w:val="21"/>
              </w:rPr>
            </w:pPr>
            <w:r>
              <w:rPr>
                <w:szCs w:val="21"/>
              </w:rPr>
              <w:t>农村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79" w:type="pct"/>
            <w:vMerge w:val="continue"/>
            <w:vAlign w:val="center"/>
          </w:tcPr>
          <w:p>
            <w:pPr>
              <w:widowControl/>
              <w:spacing w:line="260" w:lineRule="exact"/>
              <w:jc w:val="left"/>
              <w:rPr>
                <w:szCs w:val="21"/>
              </w:rPr>
            </w:pPr>
          </w:p>
        </w:tc>
        <w:tc>
          <w:tcPr>
            <w:tcW w:w="1954" w:type="pct"/>
            <w:vAlign w:val="center"/>
          </w:tcPr>
          <w:p>
            <w:pPr>
              <w:autoSpaceDE w:val="0"/>
              <w:autoSpaceDN w:val="0"/>
              <w:spacing w:line="260" w:lineRule="exact"/>
              <w:jc w:val="center"/>
              <w:rPr>
                <w:szCs w:val="21"/>
              </w:rPr>
            </w:pPr>
            <w:r>
              <w:rPr>
                <w:szCs w:val="21"/>
              </w:rPr>
              <w:t>人口数（城市选项时）</w:t>
            </w:r>
          </w:p>
        </w:tc>
        <w:tc>
          <w:tcPr>
            <w:tcW w:w="1666" w:type="pct"/>
            <w:vAlign w:val="center"/>
          </w:tcPr>
          <w:p>
            <w:pPr>
              <w:autoSpaceDE w:val="0"/>
              <w:autoSpaceDN w:val="0"/>
              <w:spacing w:line="2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4" w:type="pct"/>
            <w:gridSpan w:val="2"/>
            <w:vAlign w:val="center"/>
          </w:tcPr>
          <w:p>
            <w:pPr>
              <w:autoSpaceDE w:val="0"/>
              <w:autoSpaceDN w:val="0"/>
              <w:spacing w:line="260" w:lineRule="exact"/>
              <w:jc w:val="center"/>
              <w:rPr>
                <w:szCs w:val="21"/>
              </w:rPr>
            </w:pPr>
            <w:r>
              <w:rPr>
                <w:szCs w:val="21"/>
              </w:rPr>
              <w:t>最高环境温度（℃）</w:t>
            </w:r>
          </w:p>
        </w:tc>
        <w:tc>
          <w:tcPr>
            <w:tcW w:w="1666" w:type="pct"/>
            <w:vAlign w:val="center"/>
          </w:tcPr>
          <w:p>
            <w:pPr>
              <w:widowControl/>
              <w:jc w:val="center"/>
              <w:textAlignment w:val="center"/>
              <w:rPr>
                <w:sz w:val="22"/>
                <w:szCs w:val="22"/>
              </w:rPr>
            </w:pPr>
            <w:r>
              <w:rPr>
                <w:kern w:val="0"/>
                <w:sz w:val="22"/>
                <w:szCs w:val="22"/>
                <w:lang w:bidi="ar"/>
              </w:rPr>
              <w:t>39.1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4" w:type="pct"/>
            <w:gridSpan w:val="2"/>
            <w:vAlign w:val="center"/>
          </w:tcPr>
          <w:p>
            <w:pPr>
              <w:autoSpaceDE w:val="0"/>
              <w:autoSpaceDN w:val="0"/>
              <w:spacing w:line="260" w:lineRule="exact"/>
              <w:jc w:val="center"/>
              <w:rPr>
                <w:szCs w:val="21"/>
              </w:rPr>
            </w:pPr>
            <w:r>
              <w:rPr>
                <w:szCs w:val="21"/>
              </w:rPr>
              <w:t>最低环境温度（℃）</w:t>
            </w:r>
          </w:p>
        </w:tc>
        <w:tc>
          <w:tcPr>
            <w:tcW w:w="1666" w:type="pct"/>
            <w:vAlign w:val="center"/>
          </w:tcPr>
          <w:p>
            <w:pPr>
              <w:widowControl/>
              <w:jc w:val="center"/>
              <w:textAlignment w:val="center"/>
              <w:rPr>
                <w:sz w:val="22"/>
                <w:szCs w:val="22"/>
              </w:rPr>
            </w:pPr>
            <w:r>
              <w:rPr>
                <w:kern w:val="0"/>
                <w:sz w:val="22"/>
                <w:szCs w:val="22"/>
                <w:lang w:bidi="ar"/>
              </w:rPr>
              <w:t>-36.7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4" w:type="pct"/>
            <w:gridSpan w:val="2"/>
            <w:vAlign w:val="center"/>
          </w:tcPr>
          <w:p>
            <w:pPr>
              <w:autoSpaceDE w:val="0"/>
              <w:autoSpaceDN w:val="0"/>
              <w:spacing w:line="260" w:lineRule="exact"/>
              <w:jc w:val="center"/>
              <w:rPr>
                <w:szCs w:val="21"/>
              </w:rPr>
            </w:pPr>
            <w:r>
              <w:rPr>
                <w:rFonts w:hint="eastAsia"/>
                <w:szCs w:val="21"/>
              </w:rPr>
              <w:t>土地利用类型</w:t>
            </w:r>
          </w:p>
        </w:tc>
        <w:tc>
          <w:tcPr>
            <w:tcW w:w="1666" w:type="pct"/>
            <w:vAlign w:val="center"/>
          </w:tcPr>
          <w:p>
            <w:pPr>
              <w:autoSpaceDE w:val="0"/>
              <w:autoSpaceDN w:val="0"/>
              <w:spacing w:line="2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4" w:type="pct"/>
            <w:gridSpan w:val="2"/>
            <w:vAlign w:val="center"/>
          </w:tcPr>
          <w:p>
            <w:pPr>
              <w:autoSpaceDE w:val="0"/>
              <w:autoSpaceDN w:val="0"/>
              <w:spacing w:line="260" w:lineRule="exact"/>
              <w:jc w:val="center"/>
              <w:rPr>
                <w:szCs w:val="21"/>
              </w:rPr>
            </w:pPr>
            <w:r>
              <w:rPr>
                <w:szCs w:val="21"/>
              </w:rPr>
              <w:t>区域湿地条件</w:t>
            </w:r>
          </w:p>
        </w:tc>
        <w:tc>
          <w:tcPr>
            <w:tcW w:w="1666" w:type="pct"/>
            <w:vAlign w:val="center"/>
          </w:tcPr>
          <w:p>
            <w:pPr>
              <w:autoSpaceDE w:val="0"/>
              <w:autoSpaceDN w:val="0"/>
              <w:spacing w:line="260" w:lineRule="exact"/>
              <w:jc w:val="center"/>
              <w:rPr>
                <w:szCs w:val="21"/>
              </w:rPr>
            </w:pPr>
            <w:r>
              <w:rPr>
                <w:szCs w:val="21"/>
              </w:rPr>
              <w:t>干燥气候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79" w:type="pct"/>
            <w:vMerge w:val="restart"/>
            <w:vAlign w:val="center"/>
          </w:tcPr>
          <w:p>
            <w:pPr>
              <w:autoSpaceDE w:val="0"/>
              <w:autoSpaceDN w:val="0"/>
              <w:spacing w:line="260" w:lineRule="exact"/>
              <w:jc w:val="center"/>
              <w:rPr>
                <w:szCs w:val="21"/>
              </w:rPr>
            </w:pPr>
            <w:r>
              <w:rPr>
                <w:szCs w:val="21"/>
              </w:rPr>
              <w:t>是否考虑地形</w:t>
            </w:r>
          </w:p>
        </w:tc>
        <w:tc>
          <w:tcPr>
            <w:tcW w:w="1954" w:type="pct"/>
            <w:vAlign w:val="center"/>
          </w:tcPr>
          <w:p>
            <w:pPr>
              <w:autoSpaceDE w:val="0"/>
              <w:autoSpaceDN w:val="0"/>
              <w:spacing w:line="260" w:lineRule="exact"/>
              <w:jc w:val="center"/>
              <w:rPr>
                <w:szCs w:val="21"/>
              </w:rPr>
            </w:pPr>
            <w:r>
              <w:rPr>
                <w:szCs w:val="21"/>
              </w:rPr>
              <w:t>考虑地形</w:t>
            </w:r>
          </w:p>
        </w:tc>
        <w:tc>
          <w:tcPr>
            <w:tcW w:w="1666" w:type="pct"/>
            <w:vAlign w:val="center"/>
          </w:tcPr>
          <w:p>
            <w:pPr>
              <w:autoSpaceDE w:val="0"/>
              <w:autoSpaceDN w:val="0"/>
              <w:spacing w:line="260" w:lineRule="exact"/>
              <w:jc w:val="center"/>
              <w:rPr>
                <w:szCs w:val="21"/>
              </w:rPr>
            </w:pPr>
            <w:r>
              <w:rPr>
                <w:rFonts w:hint="eastAsia"/>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79" w:type="pct"/>
            <w:vMerge w:val="continue"/>
            <w:vAlign w:val="center"/>
          </w:tcPr>
          <w:p>
            <w:pPr>
              <w:widowControl/>
              <w:spacing w:line="260" w:lineRule="exact"/>
              <w:jc w:val="left"/>
              <w:rPr>
                <w:szCs w:val="21"/>
              </w:rPr>
            </w:pPr>
          </w:p>
        </w:tc>
        <w:tc>
          <w:tcPr>
            <w:tcW w:w="1954" w:type="pct"/>
            <w:vAlign w:val="center"/>
          </w:tcPr>
          <w:p>
            <w:pPr>
              <w:autoSpaceDE w:val="0"/>
              <w:autoSpaceDN w:val="0"/>
              <w:spacing w:line="260" w:lineRule="exact"/>
              <w:jc w:val="center"/>
              <w:rPr>
                <w:szCs w:val="21"/>
              </w:rPr>
            </w:pPr>
            <w:r>
              <w:rPr>
                <w:szCs w:val="21"/>
              </w:rPr>
              <w:t>地形数据分辨率</w:t>
            </w:r>
          </w:p>
        </w:tc>
        <w:tc>
          <w:tcPr>
            <w:tcW w:w="1666" w:type="pct"/>
            <w:vAlign w:val="center"/>
          </w:tcPr>
          <w:p>
            <w:pPr>
              <w:autoSpaceDE w:val="0"/>
              <w:autoSpaceDN w:val="0"/>
              <w:spacing w:line="260" w:lineRule="exact"/>
              <w:jc w:val="center"/>
              <w:rPr>
                <w:szCs w:val="21"/>
              </w:rPr>
            </w:pPr>
            <w:r>
              <w:rPr>
                <w:szCs w:val="21"/>
              </w:rPr>
              <w:t>90m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79" w:type="pct"/>
            <w:vMerge w:val="restart"/>
            <w:vAlign w:val="center"/>
          </w:tcPr>
          <w:p>
            <w:pPr>
              <w:autoSpaceDE w:val="0"/>
              <w:autoSpaceDN w:val="0"/>
              <w:spacing w:line="260" w:lineRule="exact"/>
              <w:jc w:val="center"/>
              <w:rPr>
                <w:szCs w:val="21"/>
              </w:rPr>
            </w:pPr>
            <w:r>
              <w:rPr>
                <w:szCs w:val="21"/>
              </w:rPr>
              <w:t>是否考虑岸线熏烟</w:t>
            </w:r>
          </w:p>
        </w:tc>
        <w:tc>
          <w:tcPr>
            <w:tcW w:w="1954" w:type="pct"/>
            <w:vAlign w:val="center"/>
          </w:tcPr>
          <w:p>
            <w:pPr>
              <w:autoSpaceDE w:val="0"/>
              <w:autoSpaceDN w:val="0"/>
              <w:spacing w:line="260" w:lineRule="exact"/>
              <w:jc w:val="center"/>
              <w:rPr>
                <w:szCs w:val="21"/>
              </w:rPr>
            </w:pPr>
            <w:r>
              <w:rPr>
                <w:szCs w:val="21"/>
              </w:rPr>
              <w:t>考虑岸线熏烟</w:t>
            </w:r>
          </w:p>
        </w:tc>
        <w:tc>
          <w:tcPr>
            <w:tcW w:w="1666" w:type="pct"/>
            <w:vAlign w:val="center"/>
          </w:tcPr>
          <w:p>
            <w:pPr>
              <w:autoSpaceDE w:val="0"/>
              <w:autoSpaceDN w:val="0"/>
              <w:spacing w:line="260" w:lineRule="exact"/>
              <w:jc w:val="center"/>
              <w:rPr>
                <w:szCs w:val="21"/>
              </w:rPr>
            </w:pPr>
            <w:r>
              <w:rPr>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79" w:type="pct"/>
            <w:vMerge w:val="continue"/>
            <w:vAlign w:val="center"/>
          </w:tcPr>
          <w:p>
            <w:pPr>
              <w:widowControl/>
              <w:spacing w:line="260" w:lineRule="exact"/>
              <w:jc w:val="left"/>
              <w:rPr>
                <w:szCs w:val="21"/>
              </w:rPr>
            </w:pPr>
          </w:p>
        </w:tc>
        <w:tc>
          <w:tcPr>
            <w:tcW w:w="1954" w:type="pct"/>
            <w:vAlign w:val="center"/>
          </w:tcPr>
          <w:p>
            <w:pPr>
              <w:autoSpaceDE w:val="0"/>
              <w:autoSpaceDN w:val="0"/>
              <w:spacing w:line="260" w:lineRule="exact"/>
              <w:jc w:val="center"/>
              <w:rPr>
                <w:szCs w:val="21"/>
              </w:rPr>
            </w:pPr>
            <w:r>
              <w:rPr>
                <w:szCs w:val="21"/>
              </w:rPr>
              <w:t>岸线距离/km</w:t>
            </w:r>
          </w:p>
        </w:tc>
        <w:tc>
          <w:tcPr>
            <w:tcW w:w="1666" w:type="pct"/>
            <w:vAlign w:val="center"/>
          </w:tcPr>
          <w:p>
            <w:pPr>
              <w:autoSpaceDE w:val="0"/>
              <w:autoSpaceDN w:val="0"/>
              <w:spacing w:line="2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79" w:type="pct"/>
            <w:vMerge w:val="continue"/>
          </w:tcPr>
          <w:p>
            <w:pPr>
              <w:widowControl/>
              <w:spacing w:line="260" w:lineRule="exact"/>
              <w:jc w:val="left"/>
              <w:rPr>
                <w:szCs w:val="21"/>
              </w:rPr>
            </w:pPr>
          </w:p>
        </w:tc>
        <w:tc>
          <w:tcPr>
            <w:tcW w:w="1954" w:type="pct"/>
            <w:vAlign w:val="center"/>
          </w:tcPr>
          <w:p>
            <w:pPr>
              <w:autoSpaceDE w:val="0"/>
              <w:autoSpaceDN w:val="0"/>
              <w:spacing w:line="260" w:lineRule="exact"/>
              <w:jc w:val="center"/>
              <w:rPr>
                <w:szCs w:val="21"/>
              </w:rPr>
            </w:pPr>
            <w:r>
              <w:rPr>
                <w:szCs w:val="21"/>
              </w:rPr>
              <w:t>岸线方向/°</w:t>
            </w:r>
          </w:p>
        </w:tc>
        <w:tc>
          <w:tcPr>
            <w:tcW w:w="1666" w:type="pct"/>
            <w:vAlign w:val="center"/>
          </w:tcPr>
          <w:p>
            <w:pPr>
              <w:autoSpaceDE w:val="0"/>
              <w:autoSpaceDN w:val="0"/>
              <w:spacing w:line="260" w:lineRule="exact"/>
              <w:jc w:val="center"/>
              <w:rPr>
                <w:szCs w:val="21"/>
              </w:rPr>
            </w:pPr>
            <w:r>
              <w:rPr>
                <w:szCs w:val="21"/>
              </w:rPr>
              <w:t>-</w:t>
            </w:r>
          </w:p>
        </w:tc>
      </w:tr>
    </w:tbl>
    <w:p>
      <w:pPr>
        <w:pStyle w:val="69"/>
        <w:adjustRightInd w:val="0"/>
        <w:snapToGrid w:val="0"/>
        <w:spacing w:before="156" w:beforeLines="50" w:after="0" w:line="360" w:lineRule="auto"/>
        <w:ind w:left="0" w:leftChars="0" w:firstLine="480" w:firstLineChars="200"/>
        <w:jc w:val="both"/>
        <w:rPr>
          <w:sz w:val="24"/>
          <w:szCs w:val="24"/>
        </w:rPr>
      </w:pPr>
      <w:r>
        <w:rPr>
          <w:rFonts w:hint="eastAsia"/>
          <w:sz w:val="24"/>
          <w:szCs w:val="24"/>
        </w:rPr>
        <w:t>根据工程分析，填埋场的废气排放量随着填埋场营运年限的增加而增加，在营运年数第</w:t>
      </w:r>
      <w:r>
        <w:rPr>
          <w:sz w:val="24"/>
          <w:szCs w:val="24"/>
        </w:rPr>
        <w:t>15</w:t>
      </w:r>
      <w:r>
        <w:rPr>
          <w:rFonts w:hint="eastAsia"/>
          <w:sz w:val="24"/>
          <w:szCs w:val="24"/>
        </w:rPr>
        <w:t>年（2</w:t>
      </w:r>
      <w:r>
        <w:rPr>
          <w:sz w:val="24"/>
          <w:szCs w:val="24"/>
        </w:rPr>
        <w:t>033</w:t>
      </w:r>
      <w:r>
        <w:rPr>
          <w:rFonts w:hint="eastAsia"/>
          <w:sz w:val="24"/>
          <w:szCs w:val="24"/>
        </w:rPr>
        <w:t>年），垃圾产生废气量达到最高峰，本次填埋场采用最大源强进行预测。</w:t>
      </w:r>
    </w:p>
    <w:p>
      <w:pPr>
        <w:autoSpaceDE w:val="0"/>
        <w:autoSpaceDN w:val="0"/>
        <w:adjustRightInd w:val="0"/>
        <w:spacing w:line="360" w:lineRule="auto"/>
        <w:jc w:val="center"/>
        <w:rPr>
          <w:b/>
          <w:kern w:val="0"/>
          <w:sz w:val="24"/>
        </w:rPr>
      </w:pPr>
      <w:r>
        <w:rPr>
          <w:b/>
          <w:kern w:val="0"/>
          <w:sz w:val="24"/>
        </w:rPr>
        <w:t>表6.1-7  污染源与污染物参数</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652"/>
        <w:gridCol w:w="967"/>
        <w:gridCol w:w="853"/>
        <w:gridCol w:w="853"/>
        <w:gridCol w:w="855"/>
        <w:gridCol w:w="670"/>
        <w:gridCol w:w="701"/>
        <w:gridCol w:w="1119"/>
        <w:gridCol w:w="13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10"/>
            <w:shd w:val="clear" w:color="auto" w:fill="auto"/>
            <w:vAlign w:val="center"/>
          </w:tcPr>
          <w:p>
            <w:pPr>
              <w:autoSpaceDE w:val="0"/>
              <w:autoSpaceDN w:val="0"/>
              <w:adjustRightInd w:val="0"/>
              <w:snapToGrid w:val="0"/>
              <w:jc w:val="center"/>
              <w:rPr>
                <w:kern w:val="0"/>
                <w:szCs w:val="21"/>
              </w:rPr>
            </w:pPr>
            <w:r>
              <w:rPr>
                <w:rFonts w:hint="eastAsia"/>
                <w:kern w:val="0"/>
                <w:szCs w:val="21"/>
              </w:rPr>
              <w:t>填埋场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5" w:type="pct"/>
            <w:gridSpan w:val="2"/>
            <w:shd w:val="clear" w:color="auto" w:fill="auto"/>
            <w:vAlign w:val="center"/>
          </w:tcPr>
          <w:p>
            <w:pPr>
              <w:autoSpaceDE w:val="0"/>
              <w:autoSpaceDN w:val="0"/>
              <w:adjustRightInd w:val="0"/>
              <w:snapToGrid w:val="0"/>
              <w:jc w:val="center"/>
              <w:rPr>
                <w:kern w:val="0"/>
                <w:szCs w:val="21"/>
              </w:rPr>
            </w:pPr>
            <w:r>
              <w:rPr>
                <w:kern w:val="0"/>
                <w:szCs w:val="21"/>
              </w:rPr>
              <w:t>面源</w:t>
            </w:r>
            <w:r>
              <w:rPr>
                <w:rFonts w:hint="eastAsia"/>
                <w:kern w:val="0"/>
                <w:szCs w:val="21"/>
              </w:rPr>
              <w:t>起点坐标</w:t>
            </w:r>
          </w:p>
        </w:tc>
        <w:tc>
          <w:tcPr>
            <w:tcW w:w="577" w:type="pct"/>
            <w:vMerge w:val="restart"/>
            <w:vAlign w:val="center"/>
          </w:tcPr>
          <w:p>
            <w:pPr>
              <w:autoSpaceDE w:val="0"/>
              <w:autoSpaceDN w:val="0"/>
              <w:adjustRightInd w:val="0"/>
              <w:snapToGrid w:val="0"/>
              <w:jc w:val="center"/>
              <w:rPr>
                <w:kern w:val="0"/>
                <w:szCs w:val="21"/>
              </w:rPr>
            </w:pPr>
            <w:r>
              <w:rPr>
                <w:rFonts w:hint="eastAsia"/>
                <w:kern w:val="0"/>
                <w:szCs w:val="21"/>
              </w:rPr>
              <w:t>面源海拔高（m）</w:t>
            </w:r>
          </w:p>
        </w:tc>
        <w:tc>
          <w:tcPr>
            <w:tcW w:w="510" w:type="pct"/>
            <w:vMerge w:val="restart"/>
            <w:shd w:val="clear" w:color="auto" w:fill="auto"/>
            <w:vAlign w:val="center"/>
          </w:tcPr>
          <w:p>
            <w:pPr>
              <w:autoSpaceDE w:val="0"/>
              <w:autoSpaceDN w:val="0"/>
              <w:adjustRightInd w:val="0"/>
              <w:snapToGrid w:val="0"/>
              <w:jc w:val="center"/>
              <w:rPr>
                <w:kern w:val="0"/>
                <w:szCs w:val="21"/>
              </w:rPr>
            </w:pPr>
            <w:r>
              <w:rPr>
                <w:rFonts w:hint="eastAsia"/>
                <w:kern w:val="0"/>
                <w:szCs w:val="21"/>
              </w:rPr>
              <w:t>面源</w:t>
            </w:r>
            <w:r>
              <w:rPr>
                <w:kern w:val="0"/>
                <w:szCs w:val="21"/>
              </w:rPr>
              <w:t>宽度（m）</w:t>
            </w:r>
          </w:p>
        </w:tc>
        <w:tc>
          <w:tcPr>
            <w:tcW w:w="510" w:type="pct"/>
            <w:vMerge w:val="restart"/>
            <w:shd w:val="clear" w:color="auto" w:fill="auto"/>
            <w:vAlign w:val="center"/>
          </w:tcPr>
          <w:p>
            <w:pPr>
              <w:autoSpaceDE w:val="0"/>
              <w:autoSpaceDN w:val="0"/>
              <w:adjustRightInd w:val="0"/>
              <w:snapToGrid w:val="0"/>
              <w:jc w:val="center"/>
              <w:rPr>
                <w:kern w:val="0"/>
                <w:szCs w:val="21"/>
              </w:rPr>
            </w:pPr>
            <w:r>
              <w:rPr>
                <w:rFonts w:hint="eastAsia"/>
                <w:kern w:val="0"/>
                <w:szCs w:val="21"/>
              </w:rPr>
              <w:t>面源</w:t>
            </w:r>
            <w:r>
              <w:rPr>
                <w:kern w:val="0"/>
                <w:szCs w:val="21"/>
              </w:rPr>
              <w:t>长度（m）</w:t>
            </w:r>
          </w:p>
        </w:tc>
        <w:tc>
          <w:tcPr>
            <w:tcW w:w="511" w:type="pct"/>
            <w:vMerge w:val="restart"/>
            <w:shd w:val="clear" w:color="auto" w:fill="auto"/>
            <w:vAlign w:val="center"/>
          </w:tcPr>
          <w:p>
            <w:pPr>
              <w:autoSpaceDE w:val="0"/>
              <w:autoSpaceDN w:val="0"/>
              <w:adjustRightInd w:val="0"/>
              <w:snapToGrid w:val="0"/>
              <w:jc w:val="center"/>
              <w:rPr>
                <w:kern w:val="0"/>
                <w:szCs w:val="21"/>
              </w:rPr>
            </w:pPr>
            <w:r>
              <w:rPr>
                <w:kern w:val="0"/>
                <w:szCs w:val="21"/>
              </w:rPr>
              <w:t>面源</w:t>
            </w:r>
            <w:r>
              <w:rPr>
                <w:rFonts w:hint="eastAsia"/>
                <w:kern w:val="0"/>
                <w:szCs w:val="21"/>
              </w:rPr>
              <w:t>有效排放</w:t>
            </w:r>
            <w:r>
              <w:rPr>
                <w:kern w:val="0"/>
                <w:szCs w:val="21"/>
              </w:rPr>
              <w:t>高度（m）</w:t>
            </w:r>
          </w:p>
        </w:tc>
        <w:tc>
          <w:tcPr>
            <w:tcW w:w="403" w:type="pct"/>
            <w:vMerge w:val="restart"/>
            <w:vAlign w:val="center"/>
          </w:tcPr>
          <w:p>
            <w:pPr>
              <w:autoSpaceDE w:val="0"/>
              <w:autoSpaceDN w:val="0"/>
              <w:adjustRightInd w:val="0"/>
              <w:snapToGrid w:val="0"/>
              <w:jc w:val="center"/>
              <w:rPr>
                <w:kern w:val="0"/>
                <w:szCs w:val="21"/>
              </w:rPr>
            </w:pPr>
            <w:r>
              <w:rPr>
                <w:rFonts w:hint="eastAsia"/>
                <w:kern w:val="0"/>
                <w:szCs w:val="21"/>
              </w:rPr>
              <w:t>年排放小时数</w:t>
            </w:r>
          </w:p>
        </w:tc>
        <w:tc>
          <w:tcPr>
            <w:tcW w:w="421" w:type="pct"/>
            <w:vMerge w:val="restart"/>
            <w:vAlign w:val="center"/>
          </w:tcPr>
          <w:p>
            <w:pPr>
              <w:autoSpaceDE w:val="0"/>
              <w:autoSpaceDN w:val="0"/>
              <w:adjustRightInd w:val="0"/>
              <w:snapToGrid w:val="0"/>
              <w:jc w:val="center"/>
              <w:rPr>
                <w:kern w:val="0"/>
                <w:szCs w:val="21"/>
              </w:rPr>
            </w:pPr>
            <w:r>
              <w:rPr>
                <w:rFonts w:hint="eastAsia"/>
                <w:kern w:val="0"/>
                <w:szCs w:val="21"/>
              </w:rPr>
              <w:t>排放工况</w:t>
            </w:r>
          </w:p>
        </w:tc>
        <w:tc>
          <w:tcPr>
            <w:tcW w:w="1343" w:type="pct"/>
            <w:gridSpan w:val="2"/>
            <w:shd w:val="clear" w:color="auto" w:fill="auto"/>
            <w:vAlign w:val="center"/>
          </w:tcPr>
          <w:p>
            <w:pPr>
              <w:autoSpaceDE w:val="0"/>
              <w:autoSpaceDN w:val="0"/>
              <w:adjustRightInd w:val="0"/>
              <w:snapToGrid w:val="0"/>
              <w:jc w:val="center"/>
              <w:rPr>
                <w:kern w:val="0"/>
                <w:szCs w:val="21"/>
              </w:rPr>
            </w:pPr>
            <w:r>
              <w:rPr>
                <w:kern w:val="0"/>
                <w:szCs w:val="21"/>
              </w:rPr>
              <w:t>评价因子源强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kern w:val="0"/>
                <w:szCs w:val="21"/>
              </w:rPr>
            </w:pPr>
            <w:r>
              <w:rPr>
                <w:rFonts w:hint="eastAsia"/>
                <w:kern w:val="0"/>
                <w:szCs w:val="21"/>
              </w:rPr>
              <w:t>x</w:t>
            </w:r>
          </w:p>
        </w:tc>
        <w:tc>
          <w:tcPr>
            <w:tcW w:w="392" w:type="pct"/>
            <w:shd w:val="clear" w:color="auto" w:fill="auto"/>
            <w:vAlign w:val="center"/>
          </w:tcPr>
          <w:p>
            <w:pPr>
              <w:autoSpaceDE w:val="0"/>
              <w:autoSpaceDN w:val="0"/>
              <w:adjustRightInd w:val="0"/>
              <w:snapToGrid w:val="0"/>
              <w:jc w:val="center"/>
              <w:rPr>
                <w:kern w:val="0"/>
                <w:szCs w:val="21"/>
              </w:rPr>
            </w:pPr>
            <w:r>
              <w:rPr>
                <w:rFonts w:hint="eastAsia"/>
                <w:kern w:val="0"/>
                <w:szCs w:val="21"/>
              </w:rPr>
              <w:t>y</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autoSpaceDE w:val="0"/>
              <w:autoSpaceDN w:val="0"/>
              <w:adjustRightInd w:val="0"/>
              <w:snapToGrid w:val="0"/>
              <w:jc w:val="center"/>
              <w:rPr>
                <w:kern w:val="0"/>
                <w:szCs w:val="21"/>
              </w:rPr>
            </w:pPr>
          </w:p>
        </w:tc>
        <w:tc>
          <w:tcPr>
            <w:tcW w:w="421" w:type="pct"/>
            <w:vMerge w:val="continue"/>
            <w:vAlign w:val="center"/>
          </w:tcPr>
          <w:p>
            <w:pPr>
              <w:autoSpaceDE w:val="0"/>
              <w:autoSpaceDN w:val="0"/>
              <w:adjustRightInd w:val="0"/>
              <w:snapToGrid w:val="0"/>
              <w:jc w:val="center"/>
              <w:rPr>
                <w:kern w:val="0"/>
                <w:szCs w:val="21"/>
              </w:rPr>
            </w:pPr>
          </w:p>
        </w:tc>
        <w:tc>
          <w:tcPr>
            <w:tcW w:w="666" w:type="pct"/>
            <w:shd w:val="clear" w:color="auto" w:fill="auto"/>
            <w:vAlign w:val="center"/>
          </w:tcPr>
          <w:p>
            <w:pPr>
              <w:autoSpaceDE w:val="0"/>
              <w:autoSpaceDN w:val="0"/>
              <w:adjustRightInd w:val="0"/>
              <w:snapToGrid w:val="0"/>
              <w:jc w:val="center"/>
              <w:rPr>
                <w:kern w:val="0"/>
                <w:szCs w:val="21"/>
              </w:rPr>
            </w:pPr>
            <w:r>
              <w:rPr>
                <w:kern w:val="0"/>
                <w:szCs w:val="21"/>
              </w:rPr>
              <w:t>NH</w:t>
            </w:r>
            <w:r>
              <w:rPr>
                <w:kern w:val="0"/>
                <w:szCs w:val="21"/>
                <w:vertAlign w:val="subscript"/>
              </w:rPr>
              <w:t>3</w:t>
            </w:r>
            <w:r>
              <w:rPr>
                <w:kern w:val="0"/>
                <w:szCs w:val="21"/>
              </w:rPr>
              <w:t>(kg/h)</w:t>
            </w:r>
          </w:p>
        </w:tc>
        <w:tc>
          <w:tcPr>
            <w:tcW w:w="677" w:type="pct"/>
            <w:shd w:val="clear" w:color="auto" w:fill="auto"/>
            <w:vAlign w:val="center"/>
          </w:tcPr>
          <w:p>
            <w:pPr>
              <w:autoSpaceDE w:val="0"/>
              <w:autoSpaceDN w:val="0"/>
              <w:adjustRightInd w:val="0"/>
              <w:snapToGrid w:val="0"/>
              <w:jc w:val="center"/>
              <w:rPr>
                <w:kern w:val="0"/>
                <w:szCs w:val="21"/>
              </w:rPr>
            </w:pPr>
            <w:r>
              <w:rPr>
                <w:kern w:val="0"/>
                <w:szCs w:val="21"/>
              </w:rPr>
              <w:t>H</w:t>
            </w:r>
            <w:r>
              <w:rPr>
                <w:kern w:val="0"/>
                <w:szCs w:val="21"/>
                <w:vertAlign w:val="subscript"/>
              </w:rPr>
              <w:t>2</w:t>
            </w:r>
            <w:r>
              <w:rPr>
                <w:kern w:val="0"/>
                <w:szCs w:val="21"/>
              </w:rPr>
              <w:t>S( 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kern w:val="0"/>
                <w:szCs w:val="21"/>
              </w:rPr>
            </w:pPr>
            <w:r>
              <w:rPr>
                <w:rFonts w:hint="eastAsia"/>
                <w:kern w:val="0"/>
                <w:szCs w:val="21"/>
              </w:rPr>
              <w:t>-</w:t>
            </w:r>
            <w:r>
              <w:rPr>
                <w:kern w:val="0"/>
                <w:szCs w:val="21"/>
              </w:rPr>
              <w:t>76</w:t>
            </w:r>
          </w:p>
        </w:tc>
        <w:tc>
          <w:tcPr>
            <w:tcW w:w="392" w:type="pct"/>
            <w:vAlign w:val="center"/>
          </w:tcPr>
          <w:p>
            <w:pPr>
              <w:autoSpaceDE w:val="0"/>
              <w:autoSpaceDN w:val="0"/>
              <w:adjustRightInd w:val="0"/>
              <w:snapToGrid w:val="0"/>
              <w:jc w:val="center"/>
              <w:rPr>
                <w:kern w:val="0"/>
                <w:szCs w:val="21"/>
              </w:rPr>
            </w:pPr>
            <w:r>
              <w:rPr>
                <w:rFonts w:hint="eastAsia"/>
                <w:kern w:val="0"/>
                <w:szCs w:val="21"/>
              </w:rPr>
              <w:t>1</w:t>
            </w:r>
            <w:r>
              <w:rPr>
                <w:kern w:val="0"/>
                <w:szCs w:val="21"/>
              </w:rPr>
              <w:t>96</w:t>
            </w:r>
          </w:p>
        </w:tc>
        <w:tc>
          <w:tcPr>
            <w:tcW w:w="577" w:type="pct"/>
            <w:vMerge w:val="restart"/>
            <w:vAlign w:val="center"/>
          </w:tcPr>
          <w:p>
            <w:pPr>
              <w:autoSpaceDE w:val="0"/>
              <w:autoSpaceDN w:val="0"/>
              <w:adjustRightInd w:val="0"/>
              <w:snapToGrid w:val="0"/>
              <w:jc w:val="center"/>
              <w:rPr>
                <w:kern w:val="0"/>
                <w:szCs w:val="21"/>
              </w:rPr>
            </w:pPr>
            <w:r>
              <w:rPr>
                <w:rFonts w:hint="eastAsia"/>
                <w:kern w:val="0"/>
                <w:szCs w:val="21"/>
              </w:rPr>
              <w:t>1</w:t>
            </w:r>
            <w:r>
              <w:rPr>
                <w:kern w:val="0"/>
                <w:szCs w:val="21"/>
              </w:rPr>
              <w:t>029.35</w:t>
            </w:r>
          </w:p>
        </w:tc>
        <w:tc>
          <w:tcPr>
            <w:tcW w:w="510" w:type="pct"/>
            <w:vMerge w:val="restart"/>
            <w:shd w:val="clear" w:color="auto" w:fill="auto"/>
            <w:vAlign w:val="center"/>
          </w:tcPr>
          <w:p>
            <w:pPr>
              <w:autoSpaceDE w:val="0"/>
              <w:autoSpaceDN w:val="0"/>
              <w:adjustRightInd w:val="0"/>
              <w:snapToGrid w:val="0"/>
              <w:jc w:val="center"/>
              <w:rPr>
                <w:kern w:val="0"/>
                <w:szCs w:val="21"/>
              </w:rPr>
            </w:pPr>
            <w:r>
              <w:rPr>
                <w:kern w:val="0"/>
                <w:szCs w:val="21"/>
              </w:rPr>
              <w:t>133.87</w:t>
            </w:r>
          </w:p>
        </w:tc>
        <w:tc>
          <w:tcPr>
            <w:tcW w:w="510" w:type="pct"/>
            <w:vMerge w:val="restart"/>
            <w:shd w:val="clear" w:color="auto" w:fill="auto"/>
            <w:vAlign w:val="center"/>
          </w:tcPr>
          <w:p>
            <w:pPr>
              <w:autoSpaceDE w:val="0"/>
              <w:autoSpaceDN w:val="0"/>
              <w:adjustRightInd w:val="0"/>
              <w:snapToGrid w:val="0"/>
              <w:jc w:val="center"/>
              <w:rPr>
                <w:kern w:val="0"/>
                <w:szCs w:val="21"/>
              </w:rPr>
            </w:pPr>
            <w:r>
              <w:rPr>
                <w:kern w:val="0"/>
                <w:szCs w:val="21"/>
              </w:rPr>
              <w:t>277.89</w:t>
            </w:r>
          </w:p>
        </w:tc>
        <w:tc>
          <w:tcPr>
            <w:tcW w:w="511" w:type="pct"/>
            <w:vMerge w:val="restart"/>
            <w:shd w:val="clear" w:color="auto" w:fill="auto"/>
            <w:vAlign w:val="center"/>
          </w:tcPr>
          <w:p>
            <w:pPr>
              <w:autoSpaceDE w:val="0"/>
              <w:autoSpaceDN w:val="0"/>
              <w:adjustRightInd w:val="0"/>
              <w:snapToGrid w:val="0"/>
              <w:jc w:val="center"/>
              <w:rPr>
                <w:kern w:val="0"/>
                <w:szCs w:val="21"/>
              </w:rPr>
            </w:pPr>
            <w:r>
              <w:rPr>
                <w:kern w:val="0"/>
                <w:szCs w:val="21"/>
              </w:rPr>
              <w:t>6</w:t>
            </w:r>
          </w:p>
        </w:tc>
        <w:tc>
          <w:tcPr>
            <w:tcW w:w="403" w:type="pct"/>
            <w:vMerge w:val="restart"/>
            <w:vAlign w:val="center"/>
          </w:tcPr>
          <w:p>
            <w:pPr>
              <w:widowControl/>
              <w:adjustRightInd w:val="0"/>
              <w:snapToGrid w:val="0"/>
              <w:jc w:val="center"/>
              <w:rPr>
                <w:szCs w:val="21"/>
              </w:rPr>
            </w:pPr>
            <w:r>
              <w:rPr>
                <w:rFonts w:hint="eastAsia"/>
                <w:szCs w:val="21"/>
              </w:rPr>
              <w:t>8</w:t>
            </w:r>
            <w:r>
              <w:rPr>
                <w:szCs w:val="21"/>
              </w:rPr>
              <w:t>760</w:t>
            </w:r>
          </w:p>
        </w:tc>
        <w:tc>
          <w:tcPr>
            <w:tcW w:w="421" w:type="pct"/>
            <w:vMerge w:val="restart"/>
            <w:vAlign w:val="center"/>
          </w:tcPr>
          <w:p>
            <w:pPr>
              <w:widowControl/>
              <w:adjustRightInd w:val="0"/>
              <w:snapToGrid w:val="0"/>
              <w:jc w:val="center"/>
              <w:rPr>
                <w:szCs w:val="21"/>
              </w:rPr>
            </w:pPr>
            <w:r>
              <w:rPr>
                <w:rFonts w:hint="eastAsia"/>
                <w:szCs w:val="21"/>
              </w:rPr>
              <w:t>正常</w:t>
            </w:r>
          </w:p>
        </w:tc>
        <w:tc>
          <w:tcPr>
            <w:tcW w:w="666" w:type="pct"/>
            <w:vMerge w:val="restart"/>
            <w:shd w:val="clear" w:color="auto" w:fill="auto"/>
            <w:vAlign w:val="center"/>
          </w:tcPr>
          <w:p>
            <w:pPr>
              <w:widowControl/>
              <w:adjustRightInd w:val="0"/>
              <w:snapToGrid w:val="0"/>
              <w:jc w:val="center"/>
              <w:rPr>
                <w:kern w:val="0"/>
                <w:szCs w:val="21"/>
              </w:rPr>
            </w:pPr>
            <w:r>
              <w:rPr>
                <w:rFonts w:hint="eastAsia"/>
                <w:szCs w:val="21"/>
              </w:rPr>
              <w:t>0.</w:t>
            </w:r>
            <w:r>
              <w:rPr>
                <w:szCs w:val="21"/>
              </w:rPr>
              <w:t>1333</w:t>
            </w:r>
          </w:p>
        </w:tc>
        <w:tc>
          <w:tcPr>
            <w:tcW w:w="677" w:type="pct"/>
            <w:vMerge w:val="restart"/>
            <w:shd w:val="clear" w:color="auto" w:fill="auto"/>
            <w:vAlign w:val="center"/>
          </w:tcPr>
          <w:p>
            <w:pPr>
              <w:widowControl/>
              <w:adjustRightInd w:val="0"/>
              <w:snapToGrid w:val="0"/>
              <w:jc w:val="center"/>
              <w:rPr>
                <w:kern w:val="0"/>
                <w:szCs w:val="21"/>
              </w:rPr>
            </w:pPr>
            <w:r>
              <w:rPr>
                <w:rFonts w:hint="eastAsia"/>
                <w:szCs w:val="21"/>
              </w:rPr>
              <w:t>0.0</w:t>
            </w:r>
            <w:r>
              <w:rPr>
                <w:szCs w:val="21"/>
              </w:rPr>
              <w:t>094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kern w:val="0"/>
                <w:szCs w:val="21"/>
              </w:rPr>
            </w:pPr>
            <w:r>
              <w:rPr>
                <w:szCs w:val="21"/>
              </w:rPr>
              <w:t>64</w:t>
            </w:r>
          </w:p>
        </w:tc>
        <w:tc>
          <w:tcPr>
            <w:tcW w:w="392" w:type="pct"/>
            <w:vAlign w:val="center"/>
          </w:tcPr>
          <w:p>
            <w:pPr>
              <w:autoSpaceDE w:val="0"/>
              <w:autoSpaceDN w:val="0"/>
              <w:adjustRightInd w:val="0"/>
              <w:snapToGrid w:val="0"/>
              <w:jc w:val="center"/>
              <w:rPr>
                <w:kern w:val="0"/>
                <w:szCs w:val="21"/>
              </w:rPr>
            </w:pPr>
            <w:r>
              <w:rPr>
                <w:szCs w:val="21"/>
              </w:rPr>
              <w:t>144</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szCs w:val="21"/>
              </w:rPr>
            </w:pPr>
            <w:r>
              <w:rPr>
                <w:szCs w:val="21"/>
              </w:rPr>
              <w:t>98</w:t>
            </w:r>
          </w:p>
        </w:tc>
        <w:tc>
          <w:tcPr>
            <w:tcW w:w="392" w:type="pct"/>
            <w:vAlign w:val="center"/>
          </w:tcPr>
          <w:p>
            <w:pPr>
              <w:autoSpaceDE w:val="0"/>
              <w:autoSpaceDN w:val="0"/>
              <w:adjustRightInd w:val="0"/>
              <w:snapToGrid w:val="0"/>
              <w:jc w:val="center"/>
              <w:rPr>
                <w:szCs w:val="21"/>
              </w:rPr>
            </w:pPr>
            <w:r>
              <w:rPr>
                <w:szCs w:val="21"/>
              </w:rPr>
              <w:t>-79</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szCs w:val="21"/>
              </w:rPr>
            </w:pPr>
            <w:r>
              <w:rPr>
                <w:szCs w:val="21"/>
              </w:rPr>
              <w:t>-91</w:t>
            </w:r>
          </w:p>
        </w:tc>
        <w:tc>
          <w:tcPr>
            <w:tcW w:w="392" w:type="pct"/>
            <w:vAlign w:val="center"/>
          </w:tcPr>
          <w:p>
            <w:pPr>
              <w:autoSpaceDE w:val="0"/>
              <w:autoSpaceDN w:val="0"/>
              <w:adjustRightInd w:val="0"/>
              <w:snapToGrid w:val="0"/>
              <w:jc w:val="center"/>
              <w:rPr>
                <w:szCs w:val="21"/>
              </w:rPr>
            </w:pPr>
            <w:r>
              <w:rPr>
                <w:szCs w:val="21"/>
              </w:rPr>
              <w:t>-72</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10"/>
            <w:shd w:val="clear" w:color="auto" w:fill="auto"/>
          </w:tcPr>
          <w:p>
            <w:pPr>
              <w:widowControl/>
              <w:adjustRightInd w:val="0"/>
              <w:snapToGrid w:val="0"/>
              <w:jc w:val="center"/>
              <w:rPr>
                <w:szCs w:val="21"/>
              </w:rPr>
            </w:pPr>
            <w:r>
              <w:rPr>
                <w:rFonts w:hint="eastAsia"/>
                <w:szCs w:val="21"/>
              </w:rPr>
              <w:t>作业区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725" w:type="pct"/>
            <w:gridSpan w:val="2"/>
            <w:shd w:val="clear" w:color="auto" w:fill="auto"/>
            <w:vAlign w:val="center"/>
          </w:tcPr>
          <w:p>
            <w:pPr>
              <w:autoSpaceDE w:val="0"/>
              <w:autoSpaceDN w:val="0"/>
              <w:adjustRightInd w:val="0"/>
              <w:snapToGrid w:val="0"/>
              <w:jc w:val="center"/>
              <w:rPr>
                <w:color w:val="FF0000"/>
                <w:szCs w:val="21"/>
              </w:rPr>
            </w:pPr>
            <w:r>
              <w:rPr>
                <w:rFonts w:hint="eastAsia"/>
                <w:color w:val="FF0000"/>
              </w:rPr>
              <w:t>面源起点坐标</w:t>
            </w:r>
          </w:p>
        </w:tc>
        <w:tc>
          <w:tcPr>
            <w:tcW w:w="577"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面源海拔高</w:t>
            </w:r>
            <w:r>
              <w:rPr>
                <w:color w:val="FF0000"/>
                <w:kern w:val="0"/>
                <w:szCs w:val="21"/>
              </w:rPr>
              <w:t>（m）</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rPr>
              <w:t>面源宽度（m）</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rPr>
              <w:t>面源长度（m）</w:t>
            </w:r>
          </w:p>
        </w:tc>
        <w:tc>
          <w:tcPr>
            <w:tcW w:w="511"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rPr>
              <w:t>面源有效排放高度（m）</w:t>
            </w:r>
          </w:p>
        </w:tc>
        <w:tc>
          <w:tcPr>
            <w:tcW w:w="403" w:type="pct"/>
            <w:vMerge w:val="restart"/>
            <w:vAlign w:val="center"/>
          </w:tcPr>
          <w:p>
            <w:pPr>
              <w:widowControl/>
              <w:adjustRightInd w:val="0"/>
              <w:snapToGrid w:val="0"/>
              <w:jc w:val="center"/>
              <w:rPr>
                <w:color w:val="FF0000"/>
                <w:szCs w:val="21"/>
              </w:rPr>
            </w:pPr>
            <w:r>
              <w:rPr>
                <w:rFonts w:hint="eastAsia"/>
                <w:color w:val="FF0000"/>
              </w:rPr>
              <w:t>年排放小时数</w:t>
            </w:r>
          </w:p>
        </w:tc>
        <w:tc>
          <w:tcPr>
            <w:tcW w:w="421" w:type="pct"/>
            <w:vMerge w:val="restart"/>
            <w:vAlign w:val="center"/>
          </w:tcPr>
          <w:p>
            <w:pPr>
              <w:widowControl/>
              <w:adjustRightInd w:val="0"/>
              <w:snapToGrid w:val="0"/>
              <w:jc w:val="center"/>
              <w:rPr>
                <w:color w:val="FF0000"/>
                <w:szCs w:val="21"/>
              </w:rPr>
            </w:pPr>
            <w:r>
              <w:rPr>
                <w:rFonts w:hint="eastAsia"/>
                <w:color w:val="FF0000"/>
              </w:rPr>
              <w:t>排放工况</w:t>
            </w:r>
          </w:p>
        </w:tc>
        <w:tc>
          <w:tcPr>
            <w:tcW w:w="1343" w:type="pct"/>
            <w:gridSpan w:val="2"/>
            <w:shd w:val="clear" w:color="auto" w:fill="auto"/>
            <w:vAlign w:val="center"/>
          </w:tcPr>
          <w:p>
            <w:pPr>
              <w:widowControl/>
              <w:adjustRightInd w:val="0"/>
              <w:snapToGrid w:val="0"/>
              <w:jc w:val="center"/>
              <w:rPr>
                <w:color w:val="FF0000"/>
                <w:szCs w:val="21"/>
              </w:rPr>
            </w:pPr>
            <w:r>
              <w:rPr>
                <w:rFonts w:hint="eastAsia"/>
                <w:color w:val="FF0000"/>
              </w:rPr>
              <w:t>评价因子源强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333" w:type="pct"/>
            <w:shd w:val="clear" w:color="auto" w:fill="auto"/>
            <w:vAlign w:val="center"/>
          </w:tcPr>
          <w:p>
            <w:pPr>
              <w:autoSpaceDE w:val="0"/>
              <w:autoSpaceDN w:val="0"/>
              <w:adjustRightInd w:val="0"/>
              <w:snapToGrid w:val="0"/>
              <w:jc w:val="center"/>
              <w:rPr>
                <w:color w:val="FF0000"/>
              </w:rPr>
            </w:pPr>
            <w:r>
              <w:rPr>
                <w:rFonts w:hint="eastAsia"/>
                <w:color w:val="FF0000"/>
                <w:kern w:val="0"/>
                <w:szCs w:val="21"/>
              </w:rPr>
              <w:t>x</w:t>
            </w:r>
          </w:p>
        </w:tc>
        <w:tc>
          <w:tcPr>
            <w:tcW w:w="392" w:type="pct"/>
            <w:shd w:val="clear" w:color="auto" w:fill="auto"/>
            <w:vAlign w:val="center"/>
          </w:tcPr>
          <w:p>
            <w:pPr>
              <w:autoSpaceDE w:val="0"/>
              <w:autoSpaceDN w:val="0"/>
              <w:adjustRightInd w:val="0"/>
              <w:snapToGrid w:val="0"/>
              <w:jc w:val="center"/>
              <w:rPr>
                <w:color w:val="FF0000"/>
              </w:rPr>
            </w:pPr>
            <w:r>
              <w:rPr>
                <w:rFonts w:hint="eastAsia"/>
                <w:color w:val="FF0000"/>
                <w:kern w:val="0"/>
                <w:szCs w:val="21"/>
              </w:rPr>
              <w:t>y</w:t>
            </w:r>
          </w:p>
        </w:tc>
        <w:tc>
          <w:tcPr>
            <w:tcW w:w="577" w:type="pct"/>
            <w:vMerge w:val="continue"/>
            <w:vAlign w:val="center"/>
          </w:tcPr>
          <w:p>
            <w:pPr>
              <w:autoSpaceDE w:val="0"/>
              <w:autoSpaceDN w:val="0"/>
              <w:adjustRightInd w:val="0"/>
              <w:snapToGrid w:val="0"/>
              <w:jc w:val="center"/>
              <w:rPr>
                <w:color w:val="FF0000"/>
                <w:kern w:val="0"/>
                <w:szCs w:val="21"/>
              </w:rPr>
            </w:pPr>
          </w:p>
        </w:tc>
        <w:tc>
          <w:tcPr>
            <w:tcW w:w="510" w:type="pct"/>
            <w:vMerge w:val="continue"/>
            <w:shd w:val="clear" w:color="auto" w:fill="auto"/>
            <w:vAlign w:val="center"/>
          </w:tcPr>
          <w:p>
            <w:pPr>
              <w:autoSpaceDE w:val="0"/>
              <w:autoSpaceDN w:val="0"/>
              <w:adjustRightInd w:val="0"/>
              <w:snapToGrid w:val="0"/>
              <w:jc w:val="center"/>
              <w:rPr>
                <w:color w:val="FF0000"/>
              </w:rPr>
            </w:pPr>
          </w:p>
        </w:tc>
        <w:tc>
          <w:tcPr>
            <w:tcW w:w="510" w:type="pct"/>
            <w:vMerge w:val="continue"/>
            <w:shd w:val="clear" w:color="auto" w:fill="auto"/>
            <w:vAlign w:val="center"/>
          </w:tcPr>
          <w:p>
            <w:pPr>
              <w:autoSpaceDE w:val="0"/>
              <w:autoSpaceDN w:val="0"/>
              <w:adjustRightInd w:val="0"/>
              <w:snapToGrid w:val="0"/>
              <w:jc w:val="center"/>
              <w:rPr>
                <w:color w:val="FF0000"/>
              </w:rPr>
            </w:pPr>
          </w:p>
        </w:tc>
        <w:tc>
          <w:tcPr>
            <w:tcW w:w="511" w:type="pct"/>
            <w:vMerge w:val="continue"/>
            <w:shd w:val="clear" w:color="auto" w:fill="auto"/>
            <w:vAlign w:val="center"/>
          </w:tcPr>
          <w:p>
            <w:pPr>
              <w:autoSpaceDE w:val="0"/>
              <w:autoSpaceDN w:val="0"/>
              <w:adjustRightInd w:val="0"/>
              <w:snapToGrid w:val="0"/>
              <w:jc w:val="center"/>
              <w:rPr>
                <w:color w:val="FF0000"/>
              </w:rPr>
            </w:pPr>
          </w:p>
        </w:tc>
        <w:tc>
          <w:tcPr>
            <w:tcW w:w="403" w:type="pct"/>
            <w:vMerge w:val="continue"/>
            <w:vAlign w:val="center"/>
          </w:tcPr>
          <w:p>
            <w:pPr>
              <w:widowControl/>
              <w:adjustRightInd w:val="0"/>
              <w:snapToGrid w:val="0"/>
              <w:jc w:val="center"/>
              <w:rPr>
                <w:color w:val="FF0000"/>
              </w:rPr>
            </w:pPr>
          </w:p>
        </w:tc>
        <w:tc>
          <w:tcPr>
            <w:tcW w:w="421" w:type="pct"/>
            <w:vMerge w:val="continue"/>
            <w:vAlign w:val="center"/>
          </w:tcPr>
          <w:p>
            <w:pPr>
              <w:widowControl/>
              <w:adjustRightInd w:val="0"/>
              <w:snapToGrid w:val="0"/>
              <w:jc w:val="center"/>
              <w:rPr>
                <w:color w:val="FF0000"/>
              </w:rPr>
            </w:pPr>
          </w:p>
        </w:tc>
        <w:tc>
          <w:tcPr>
            <w:tcW w:w="1343" w:type="pct"/>
            <w:gridSpan w:val="2"/>
            <w:shd w:val="clear" w:color="auto" w:fill="auto"/>
            <w:vAlign w:val="center"/>
          </w:tcPr>
          <w:p>
            <w:pPr>
              <w:widowControl/>
              <w:adjustRightInd w:val="0"/>
              <w:snapToGrid w:val="0"/>
              <w:jc w:val="center"/>
              <w:rPr>
                <w:color w:val="FF0000"/>
              </w:rPr>
            </w:pPr>
            <w:r>
              <w:rPr>
                <w:rFonts w:hint="eastAsia"/>
                <w:color w:val="FF0000"/>
              </w:rPr>
              <w:t>T</w:t>
            </w:r>
            <w:r>
              <w:rPr>
                <w:color w:val="FF0000"/>
              </w:rPr>
              <w:t>SP</w:t>
            </w:r>
            <w:r>
              <w:rPr>
                <w:color w:val="FF0000"/>
                <w:kern w:val="0"/>
                <w:szCs w:val="21"/>
              </w:rPr>
              <w:t>( 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333" w:type="pct"/>
            <w:shd w:val="clear" w:color="auto" w:fill="auto"/>
            <w:vAlign w:val="center"/>
          </w:tcPr>
          <w:p>
            <w:pPr>
              <w:autoSpaceDE w:val="0"/>
              <w:autoSpaceDN w:val="0"/>
              <w:adjustRightInd w:val="0"/>
              <w:snapToGrid w:val="0"/>
              <w:jc w:val="center"/>
              <w:rPr>
                <w:color w:val="FF0000"/>
              </w:rPr>
            </w:pPr>
            <w:r>
              <w:rPr>
                <w:rFonts w:hint="eastAsia"/>
                <w:color w:val="FF0000"/>
              </w:rPr>
              <w:t>0</w:t>
            </w:r>
          </w:p>
        </w:tc>
        <w:tc>
          <w:tcPr>
            <w:tcW w:w="392" w:type="pct"/>
            <w:shd w:val="clear" w:color="auto" w:fill="auto"/>
            <w:vAlign w:val="center"/>
          </w:tcPr>
          <w:p>
            <w:pPr>
              <w:autoSpaceDE w:val="0"/>
              <w:autoSpaceDN w:val="0"/>
              <w:adjustRightInd w:val="0"/>
              <w:snapToGrid w:val="0"/>
              <w:jc w:val="center"/>
              <w:rPr>
                <w:color w:val="FF0000"/>
              </w:rPr>
            </w:pPr>
            <w:r>
              <w:rPr>
                <w:rFonts w:hint="eastAsia"/>
                <w:color w:val="FF0000"/>
              </w:rPr>
              <w:t>0</w:t>
            </w:r>
          </w:p>
        </w:tc>
        <w:tc>
          <w:tcPr>
            <w:tcW w:w="577" w:type="pct"/>
            <w:vMerge w:val="restart"/>
            <w:vAlign w:val="center"/>
          </w:tcPr>
          <w:p>
            <w:pPr>
              <w:autoSpaceDE w:val="0"/>
              <w:autoSpaceDN w:val="0"/>
              <w:adjustRightInd w:val="0"/>
              <w:snapToGrid w:val="0"/>
              <w:jc w:val="center"/>
              <w:rPr>
                <w:color w:val="FF0000"/>
              </w:rPr>
            </w:pPr>
            <w:r>
              <w:rPr>
                <w:color w:val="FF0000"/>
              </w:rPr>
              <w:t>1029.35</w:t>
            </w:r>
          </w:p>
        </w:tc>
        <w:tc>
          <w:tcPr>
            <w:tcW w:w="510" w:type="pct"/>
            <w:vMerge w:val="restart"/>
            <w:shd w:val="clear" w:color="auto" w:fill="auto"/>
            <w:vAlign w:val="center"/>
          </w:tcPr>
          <w:p>
            <w:pPr>
              <w:autoSpaceDE w:val="0"/>
              <w:autoSpaceDN w:val="0"/>
              <w:adjustRightInd w:val="0"/>
              <w:snapToGrid w:val="0"/>
              <w:jc w:val="center"/>
              <w:rPr>
                <w:color w:val="FF0000"/>
              </w:rPr>
            </w:pPr>
            <w:r>
              <w:rPr>
                <w:color w:val="FF0000"/>
              </w:rPr>
              <w:t>10</w:t>
            </w:r>
          </w:p>
        </w:tc>
        <w:tc>
          <w:tcPr>
            <w:tcW w:w="510" w:type="pct"/>
            <w:vMerge w:val="restart"/>
            <w:shd w:val="clear" w:color="auto" w:fill="auto"/>
            <w:vAlign w:val="center"/>
          </w:tcPr>
          <w:p>
            <w:pPr>
              <w:autoSpaceDE w:val="0"/>
              <w:autoSpaceDN w:val="0"/>
              <w:adjustRightInd w:val="0"/>
              <w:snapToGrid w:val="0"/>
              <w:jc w:val="center"/>
              <w:rPr>
                <w:color w:val="FF0000"/>
              </w:rPr>
            </w:pPr>
            <w:r>
              <w:rPr>
                <w:color w:val="FF0000"/>
              </w:rPr>
              <w:t>10</w:t>
            </w:r>
          </w:p>
        </w:tc>
        <w:tc>
          <w:tcPr>
            <w:tcW w:w="511" w:type="pct"/>
            <w:vMerge w:val="restart"/>
            <w:shd w:val="clear" w:color="auto" w:fill="auto"/>
            <w:vAlign w:val="center"/>
          </w:tcPr>
          <w:p>
            <w:pPr>
              <w:autoSpaceDE w:val="0"/>
              <w:autoSpaceDN w:val="0"/>
              <w:adjustRightInd w:val="0"/>
              <w:snapToGrid w:val="0"/>
              <w:jc w:val="center"/>
              <w:rPr>
                <w:color w:val="FF0000"/>
              </w:rPr>
            </w:pPr>
            <w:r>
              <w:rPr>
                <w:rFonts w:hint="eastAsia"/>
                <w:color w:val="FF0000"/>
              </w:rPr>
              <w:t>6</w:t>
            </w:r>
          </w:p>
        </w:tc>
        <w:tc>
          <w:tcPr>
            <w:tcW w:w="403" w:type="pct"/>
            <w:vMerge w:val="restart"/>
            <w:vAlign w:val="center"/>
          </w:tcPr>
          <w:p>
            <w:pPr>
              <w:widowControl/>
              <w:adjustRightInd w:val="0"/>
              <w:snapToGrid w:val="0"/>
              <w:jc w:val="center"/>
              <w:rPr>
                <w:color w:val="FF0000"/>
                <w:szCs w:val="21"/>
              </w:rPr>
            </w:pPr>
            <w:r>
              <w:rPr>
                <w:rFonts w:hint="eastAsia"/>
                <w:color w:val="FF0000"/>
                <w:szCs w:val="21"/>
              </w:rPr>
              <w:t>1</w:t>
            </w:r>
            <w:r>
              <w:rPr>
                <w:color w:val="FF0000"/>
                <w:szCs w:val="21"/>
              </w:rPr>
              <w:t>460</w:t>
            </w:r>
          </w:p>
        </w:tc>
        <w:tc>
          <w:tcPr>
            <w:tcW w:w="421" w:type="pct"/>
            <w:vMerge w:val="restart"/>
            <w:vAlign w:val="center"/>
          </w:tcPr>
          <w:p>
            <w:pPr>
              <w:widowControl/>
              <w:adjustRightInd w:val="0"/>
              <w:snapToGrid w:val="0"/>
              <w:jc w:val="center"/>
              <w:rPr>
                <w:color w:val="FF0000"/>
              </w:rPr>
            </w:pPr>
            <w:r>
              <w:rPr>
                <w:rFonts w:hint="eastAsia"/>
                <w:color w:val="FF0000"/>
                <w:szCs w:val="21"/>
              </w:rPr>
              <w:t>正常</w:t>
            </w:r>
          </w:p>
        </w:tc>
        <w:tc>
          <w:tcPr>
            <w:tcW w:w="1343" w:type="pct"/>
            <w:gridSpan w:val="2"/>
            <w:vMerge w:val="restart"/>
            <w:shd w:val="clear" w:color="auto" w:fill="auto"/>
            <w:vAlign w:val="center"/>
          </w:tcPr>
          <w:p>
            <w:pPr>
              <w:widowControl/>
              <w:adjustRightInd w:val="0"/>
              <w:snapToGrid w:val="0"/>
              <w:jc w:val="center"/>
              <w:rPr>
                <w:color w:val="FF0000"/>
              </w:rPr>
            </w:pPr>
            <w:r>
              <w:rPr>
                <w:rFonts w:hint="eastAsia"/>
                <w:color w:val="FF0000"/>
              </w:rPr>
              <w:t>0</w:t>
            </w:r>
            <w:r>
              <w:rPr>
                <w:color w:val="FF0000"/>
              </w:rPr>
              <w:t>.055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333" w:type="pct"/>
            <w:shd w:val="clear" w:color="auto" w:fill="auto"/>
            <w:vAlign w:val="center"/>
          </w:tcPr>
          <w:p>
            <w:pPr>
              <w:autoSpaceDE w:val="0"/>
              <w:autoSpaceDN w:val="0"/>
              <w:adjustRightInd w:val="0"/>
              <w:snapToGrid w:val="0"/>
              <w:jc w:val="center"/>
              <w:rPr>
                <w:color w:val="FF0000"/>
              </w:rPr>
            </w:pPr>
            <w:r>
              <w:rPr>
                <w:rFonts w:hint="eastAsia"/>
                <w:color w:val="FF0000"/>
              </w:rPr>
              <w:t>1</w:t>
            </w:r>
            <w:r>
              <w:rPr>
                <w:color w:val="FF0000"/>
              </w:rPr>
              <w:t>0</w:t>
            </w:r>
          </w:p>
        </w:tc>
        <w:tc>
          <w:tcPr>
            <w:tcW w:w="392" w:type="pct"/>
            <w:shd w:val="clear" w:color="auto" w:fill="auto"/>
            <w:vAlign w:val="center"/>
          </w:tcPr>
          <w:p>
            <w:pPr>
              <w:autoSpaceDE w:val="0"/>
              <w:autoSpaceDN w:val="0"/>
              <w:adjustRightInd w:val="0"/>
              <w:snapToGrid w:val="0"/>
              <w:jc w:val="center"/>
              <w:rPr>
                <w:color w:val="FF0000"/>
              </w:rPr>
            </w:pPr>
            <w:r>
              <w:rPr>
                <w:rFonts w:hint="eastAsia"/>
                <w:color w:val="FF0000"/>
              </w:rPr>
              <w:t>0</w:t>
            </w:r>
          </w:p>
        </w:tc>
        <w:tc>
          <w:tcPr>
            <w:tcW w:w="577" w:type="pct"/>
            <w:vMerge w:val="continue"/>
            <w:vAlign w:val="center"/>
          </w:tcPr>
          <w:p>
            <w:pPr>
              <w:autoSpaceDE w:val="0"/>
              <w:autoSpaceDN w:val="0"/>
              <w:adjustRightInd w:val="0"/>
              <w:snapToGrid w:val="0"/>
              <w:jc w:val="center"/>
            </w:pPr>
          </w:p>
        </w:tc>
        <w:tc>
          <w:tcPr>
            <w:tcW w:w="510" w:type="pct"/>
            <w:vMerge w:val="continue"/>
            <w:shd w:val="clear" w:color="auto" w:fill="auto"/>
            <w:vAlign w:val="center"/>
          </w:tcPr>
          <w:p>
            <w:pPr>
              <w:autoSpaceDE w:val="0"/>
              <w:autoSpaceDN w:val="0"/>
              <w:adjustRightInd w:val="0"/>
              <w:snapToGrid w:val="0"/>
              <w:jc w:val="center"/>
              <w:rPr>
                <w:color w:val="FF0000"/>
              </w:rPr>
            </w:pPr>
          </w:p>
        </w:tc>
        <w:tc>
          <w:tcPr>
            <w:tcW w:w="510" w:type="pct"/>
            <w:vMerge w:val="continue"/>
            <w:shd w:val="clear" w:color="auto" w:fill="auto"/>
            <w:vAlign w:val="center"/>
          </w:tcPr>
          <w:p>
            <w:pPr>
              <w:autoSpaceDE w:val="0"/>
              <w:autoSpaceDN w:val="0"/>
              <w:adjustRightInd w:val="0"/>
              <w:snapToGrid w:val="0"/>
              <w:jc w:val="center"/>
              <w:rPr>
                <w:color w:val="FF0000"/>
              </w:rPr>
            </w:pPr>
          </w:p>
        </w:tc>
        <w:tc>
          <w:tcPr>
            <w:tcW w:w="511" w:type="pct"/>
            <w:vMerge w:val="continue"/>
            <w:shd w:val="clear" w:color="auto" w:fill="auto"/>
            <w:vAlign w:val="center"/>
          </w:tcPr>
          <w:p>
            <w:pPr>
              <w:autoSpaceDE w:val="0"/>
              <w:autoSpaceDN w:val="0"/>
              <w:adjustRightInd w:val="0"/>
              <w:snapToGrid w:val="0"/>
              <w:jc w:val="center"/>
              <w:rPr>
                <w:color w:val="FF0000"/>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color w:val="FF0000"/>
                <w:szCs w:val="21"/>
              </w:rPr>
            </w:pPr>
          </w:p>
        </w:tc>
        <w:tc>
          <w:tcPr>
            <w:tcW w:w="1343" w:type="pct"/>
            <w:gridSpan w:val="2"/>
            <w:vMerge w:val="continue"/>
            <w:shd w:val="clear" w:color="auto" w:fill="auto"/>
            <w:vAlign w:val="center"/>
          </w:tcPr>
          <w:p>
            <w:pPr>
              <w:widowControl/>
              <w:adjustRightInd w:val="0"/>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333" w:type="pct"/>
            <w:shd w:val="clear" w:color="auto" w:fill="auto"/>
            <w:vAlign w:val="center"/>
          </w:tcPr>
          <w:p>
            <w:pPr>
              <w:autoSpaceDE w:val="0"/>
              <w:autoSpaceDN w:val="0"/>
              <w:adjustRightInd w:val="0"/>
              <w:snapToGrid w:val="0"/>
              <w:jc w:val="center"/>
              <w:rPr>
                <w:color w:val="FF0000"/>
              </w:rPr>
            </w:pPr>
            <w:r>
              <w:rPr>
                <w:rFonts w:hint="eastAsia"/>
                <w:color w:val="FF0000"/>
              </w:rPr>
              <w:t>1</w:t>
            </w:r>
            <w:r>
              <w:rPr>
                <w:color w:val="FF0000"/>
              </w:rPr>
              <w:t>0</w:t>
            </w:r>
          </w:p>
        </w:tc>
        <w:tc>
          <w:tcPr>
            <w:tcW w:w="392" w:type="pct"/>
            <w:shd w:val="clear" w:color="auto" w:fill="auto"/>
            <w:vAlign w:val="center"/>
          </w:tcPr>
          <w:p>
            <w:pPr>
              <w:autoSpaceDE w:val="0"/>
              <w:autoSpaceDN w:val="0"/>
              <w:adjustRightInd w:val="0"/>
              <w:snapToGrid w:val="0"/>
              <w:jc w:val="center"/>
              <w:rPr>
                <w:color w:val="FF0000"/>
              </w:rPr>
            </w:pPr>
            <w:r>
              <w:rPr>
                <w:rFonts w:hint="eastAsia"/>
                <w:color w:val="FF0000"/>
              </w:rPr>
              <w:t>8</w:t>
            </w:r>
          </w:p>
        </w:tc>
        <w:tc>
          <w:tcPr>
            <w:tcW w:w="577" w:type="pct"/>
            <w:vMerge w:val="continue"/>
            <w:vAlign w:val="center"/>
          </w:tcPr>
          <w:p>
            <w:pPr>
              <w:autoSpaceDE w:val="0"/>
              <w:autoSpaceDN w:val="0"/>
              <w:adjustRightInd w:val="0"/>
              <w:snapToGrid w:val="0"/>
              <w:jc w:val="center"/>
            </w:pPr>
          </w:p>
        </w:tc>
        <w:tc>
          <w:tcPr>
            <w:tcW w:w="510" w:type="pct"/>
            <w:vMerge w:val="continue"/>
            <w:shd w:val="clear" w:color="auto" w:fill="auto"/>
            <w:vAlign w:val="center"/>
          </w:tcPr>
          <w:p>
            <w:pPr>
              <w:autoSpaceDE w:val="0"/>
              <w:autoSpaceDN w:val="0"/>
              <w:adjustRightInd w:val="0"/>
              <w:snapToGrid w:val="0"/>
              <w:jc w:val="center"/>
              <w:rPr>
                <w:color w:val="FF0000"/>
              </w:rPr>
            </w:pPr>
          </w:p>
        </w:tc>
        <w:tc>
          <w:tcPr>
            <w:tcW w:w="510" w:type="pct"/>
            <w:vMerge w:val="continue"/>
            <w:shd w:val="clear" w:color="auto" w:fill="auto"/>
            <w:vAlign w:val="center"/>
          </w:tcPr>
          <w:p>
            <w:pPr>
              <w:autoSpaceDE w:val="0"/>
              <w:autoSpaceDN w:val="0"/>
              <w:adjustRightInd w:val="0"/>
              <w:snapToGrid w:val="0"/>
              <w:jc w:val="center"/>
              <w:rPr>
                <w:color w:val="FF0000"/>
              </w:rPr>
            </w:pPr>
          </w:p>
        </w:tc>
        <w:tc>
          <w:tcPr>
            <w:tcW w:w="511" w:type="pct"/>
            <w:vMerge w:val="continue"/>
            <w:shd w:val="clear" w:color="auto" w:fill="auto"/>
            <w:vAlign w:val="center"/>
          </w:tcPr>
          <w:p>
            <w:pPr>
              <w:autoSpaceDE w:val="0"/>
              <w:autoSpaceDN w:val="0"/>
              <w:adjustRightInd w:val="0"/>
              <w:snapToGrid w:val="0"/>
              <w:jc w:val="center"/>
              <w:rPr>
                <w:color w:val="FF0000"/>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color w:val="FF0000"/>
                <w:szCs w:val="21"/>
              </w:rPr>
            </w:pPr>
          </w:p>
        </w:tc>
        <w:tc>
          <w:tcPr>
            <w:tcW w:w="1343" w:type="pct"/>
            <w:gridSpan w:val="2"/>
            <w:vMerge w:val="continue"/>
            <w:shd w:val="clear" w:color="auto" w:fill="auto"/>
            <w:vAlign w:val="center"/>
          </w:tcPr>
          <w:p>
            <w:pPr>
              <w:widowControl/>
              <w:adjustRightInd w:val="0"/>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333" w:type="pct"/>
            <w:shd w:val="clear" w:color="auto" w:fill="auto"/>
            <w:vAlign w:val="center"/>
          </w:tcPr>
          <w:p>
            <w:pPr>
              <w:autoSpaceDE w:val="0"/>
              <w:autoSpaceDN w:val="0"/>
              <w:adjustRightInd w:val="0"/>
              <w:snapToGrid w:val="0"/>
              <w:jc w:val="center"/>
              <w:rPr>
                <w:color w:val="FF0000"/>
              </w:rPr>
            </w:pPr>
            <w:r>
              <w:rPr>
                <w:rFonts w:hint="eastAsia"/>
                <w:color w:val="FF0000"/>
              </w:rPr>
              <w:t>0</w:t>
            </w:r>
          </w:p>
        </w:tc>
        <w:tc>
          <w:tcPr>
            <w:tcW w:w="392" w:type="pct"/>
            <w:shd w:val="clear" w:color="auto" w:fill="auto"/>
            <w:vAlign w:val="center"/>
          </w:tcPr>
          <w:p>
            <w:pPr>
              <w:autoSpaceDE w:val="0"/>
              <w:autoSpaceDN w:val="0"/>
              <w:adjustRightInd w:val="0"/>
              <w:snapToGrid w:val="0"/>
              <w:jc w:val="center"/>
              <w:rPr>
                <w:color w:val="FF0000"/>
              </w:rPr>
            </w:pPr>
            <w:r>
              <w:rPr>
                <w:rFonts w:hint="eastAsia"/>
                <w:color w:val="FF0000"/>
              </w:rPr>
              <w:t>8</w:t>
            </w:r>
          </w:p>
        </w:tc>
        <w:tc>
          <w:tcPr>
            <w:tcW w:w="577" w:type="pct"/>
            <w:vMerge w:val="continue"/>
            <w:vAlign w:val="center"/>
          </w:tcPr>
          <w:p>
            <w:pPr>
              <w:autoSpaceDE w:val="0"/>
              <w:autoSpaceDN w:val="0"/>
              <w:adjustRightInd w:val="0"/>
              <w:snapToGrid w:val="0"/>
              <w:jc w:val="center"/>
              <w:rPr>
                <w:color w:val="FF0000"/>
              </w:rPr>
            </w:pPr>
          </w:p>
        </w:tc>
        <w:tc>
          <w:tcPr>
            <w:tcW w:w="510" w:type="pct"/>
            <w:vMerge w:val="continue"/>
            <w:shd w:val="clear" w:color="auto" w:fill="auto"/>
            <w:vAlign w:val="center"/>
          </w:tcPr>
          <w:p>
            <w:pPr>
              <w:autoSpaceDE w:val="0"/>
              <w:autoSpaceDN w:val="0"/>
              <w:adjustRightInd w:val="0"/>
              <w:snapToGrid w:val="0"/>
              <w:jc w:val="center"/>
              <w:rPr>
                <w:color w:val="FF0000"/>
              </w:rPr>
            </w:pPr>
          </w:p>
        </w:tc>
        <w:tc>
          <w:tcPr>
            <w:tcW w:w="510" w:type="pct"/>
            <w:vMerge w:val="continue"/>
            <w:shd w:val="clear" w:color="auto" w:fill="auto"/>
            <w:vAlign w:val="center"/>
          </w:tcPr>
          <w:p>
            <w:pPr>
              <w:autoSpaceDE w:val="0"/>
              <w:autoSpaceDN w:val="0"/>
              <w:adjustRightInd w:val="0"/>
              <w:snapToGrid w:val="0"/>
              <w:jc w:val="center"/>
              <w:rPr>
                <w:color w:val="FF0000"/>
              </w:rPr>
            </w:pPr>
          </w:p>
        </w:tc>
        <w:tc>
          <w:tcPr>
            <w:tcW w:w="511" w:type="pct"/>
            <w:vMerge w:val="continue"/>
            <w:shd w:val="clear" w:color="auto" w:fill="auto"/>
            <w:vAlign w:val="center"/>
          </w:tcPr>
          <w:p>
            <w:pPr>
              <w:autoSpaceDE w:val="0"/>
              <w:autoSpaceDN w:val="0"/>
              <w:adjustRightInd w:val="0"/>
              <w:snapToGrid w:val="0"/>
              <w:jc w:val="center"/>
              <w:rPr>
                <w:color w:val="FF0000"/>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color w:val="FF0000"/>
                <w:szCs w:val="21"/>
              </w:rPr>
            </w:pPr>
          </w:p>
        </w:tc>
        <w:tc>
          <w:tcPr>
            <w:tcW w:w="1343" w:type="pct"/>
            <w:gridSpan w:val="2"/>
            <w:vMerge w:val="continue"/>
            <w:shd w:val="clear" w:color="auto" w:fill="auto"/>
            <w:vAlign w:val="center"/>
          </w:tcPr>
          <w:p>
            <w:pPr>
              <w:widowControl/>
              <w:adjustRightInd w:val="0"/>
              <w:snapToGrid w:val="0"/>
              <w:jc w:val="center"/>
              <w:rPr>
                <w:color w:val="FF000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5000" w:type="pct"/>
            <w:gridSpan w:val="10"/>
            <w:shd w:val="clear" w:color="auto" w:fill="auto"/>
            <w:vAlign w:val="center"/>
          </w:tcPr>
          <w:p>
            <w:pPr>
              <w:widowControl/>
              <w:adjustRightInd w:val="0"/>
              <w:snapToGrid w:val="0"/>
              <w:jc w:val="center"/>
              <w:rPr>
                <w:color w:val="FF0000"/>
              </w:rPr>
            </w:pPr>
            <w:r>
              <w:rPr>
                <w:rFonts w:hint="eastAsia"/>
                <w:color w:val="FF0000"/>
              </w:rPr>
              <w:t>渗漏液处理站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5" w:type="pct"/>
            <w:gridSpan w:val="2"/>
            <w:shd w:val="clear" w:color="auto" w:fill="auto"/>
            <w:vAlign w:val="center"/>
          </w:tcPr>
          <w:p>
            <w:pPr>
              <w:autoSpaceDE w:val="0"/>
              <w:autoSpaceDN w:val="0"/>
              <w:adjustRightInd w:val="0"/>
              <w:snapToGrid w:val="0"/>
              <w:jc w:val="center"/>
              <w:rPr>
                <w:color w:val="FF0000"/>
                <w:kern w:val="0"/>
                <w:szCs w:val="21"/>
              </w:rPr>
            </w:pPr>
            <w:r>
              <w:rPr>
                <w:color w:val="FF0000"/>
                <w:kern w:val="0"/>
                <w:szCs w:val="21"/>
              </w:rPr>
              <w:t>面源</w:t>
            </w:r>
            <w:r>
              <w:rPr>
                <w:rFonts w:hint="eastAsia"/>
                <w:color w:val="FF0000"/>
                <w:kern w:val="0"/>
                <w:szCs w:val="21"/>
              </w:rPr>
              <w:t>起点坐标</w:t>
            </w:r>
          </w:p>
        </w:tc>
        <w:tc>
          <w:tcPr>
            <w:tcW w:w="577"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面源海拔高（m）</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面源</w:t>
            </w:r>
            <w:r>
              <w:rPr>
                <w:color w:val="FF0000"/>
                <w:kern w:val="0"/>
                <w:szCs w:val="21"/>
              </w:rPr>
              <w:t>宽度（m）</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面源</w:t>
            </w:r>
            <w:r>
              <w:rPr>
                <w:color w:val="FF0000"/>
                <w:kern w:val="0"/>
                <w:szCs w:val="21"/>
              </w:rPr>
              <w:t>长度（m）</w:t>
            </w:r>
          </w:p>
        </w:tc>
        <w:tc>
          <w:tcPr>
            <w:tcW w:w="511" w:type="pct"/>
            <w:vMerge w:val="restar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面源</w:t>
            </w:r>
            <w:r>
              <w:rPr>
                <w:rFonts w:hint="eastAsia"/>
                <w:color w:val="FF0000"/>
                <w:kern w:val="0"/>
                <w:szCs w:val="21"/>
              </w:rPr>
              <w:t>有效排放</w:t>
            </w:r>
            <w:r>
              <w:rPr>
                <w:color w:val="FF0000"/>
                <w:kern w:val="0"/>
                <w:szCs w:val="21"/>
              </w:rPr>
              <w:t>高度（m）</w:t>
            </w:r>
          </w:p>
        </w:tc>
        <w:tc>
          <w:tcPr>
            <w:tcW w:w="403"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年排放小时数</w:t>
            </w:r>
          </w:p>
        </w:tc>
        <w:tc>
          <w:tcPr>
            <w:tcW w:w="421"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排放工况</w:t>
            </w:r>
          </w:p>
        </w:tc>
        <w:tc>
          <w:tcPr>
            <w:tcW w:w="1343" w:type="pct"/>
            <w:gridSpan w:val="2"/>
            <w:shd w:val="clear" w:color="auto" w:fill="auto"/>
            <w:vAlign w:val="center"/>
          </w:tcPr>
          <w:p>
            <w:pPr>
              <w:autoSpaceDE w:val="0"/>
              <w:autoSpaceDN w:val="0"/>
              <w:adjustRightInd w:val="0"/>
              <w:snapToGrid w:val="0"/>
              <w:jc w:val="center"/>
              <w:rPr>
                <w:color w:val="FF0000"/>
                <w:kern w:val="0"/>
                <w:szCs w:val="21"/>
              </w:rPr>
            </w:pPr>
            <w:r>
              <w:rPr>
                <w:color w:val="FF0000"/>
                <w:kern w:val="0"/>
                <w:szCs w:val="21"/>
              </w:rPr>
              <w:t>评价因子源强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x</w:t>
            </w:r>
          </w:p>
        </w:tc>
        <w:tc>
          <w:tcPr>
            <w:tcW w:w="392"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y</w:t>
            </w:r>
          </w:p>
        </w:tc>
        <w:tc>
          <w:tcPr>
            <w:tcW w:w="577" w:type="pct"/>
            <w:vMerge w:val="continue"/>
            <w:vAlign w:val="center"/>
          </w:tcPr>
          <w:p>
            <w:pPr>
              <w:autoSpaceDE w:val="0"/>
              <w:autoSpaceDN w:val="0"/>
              <w:adjustRightInd w:val="0"/>
              <w:snapToGrid w:val="0"/>
              <w:jc w:val="center"/>
              <w:rPr>
                <w:color w:val="FF0000"/>
                <w:kern w:val="0"/>
                <w:szCs w:val="21"/>
              </w:rPr>
            </w:pPr>
          </w:p>
        </w:tc>
        <w:tc>
          <w:tcPr>
            <w:tcW w:w="510" w:type="pct"/>
            <w:vMerge w:val="continue"/>
            <w:shd w:val="clear" w:color="auto" w:fill="auto"/>
            <w:vAlign w:val="center"/>
          </w:tcPr>
          <w:p>
            <w:pPr>
              <w:autoSpaceDE w:val="0"/>
              <w:autoSpaceDN w:val="0"/>
              <w:adjustRightInd w:val="0"/>
              <w:snapToGrid w:val="0"/>
              <w:jc w:val="center"/>
              <w:rPr>
                <w:color w:val="FF0000"/>
                <w:kern w:val="0"/>
                <w:szCs w:val="21"/>
              </w:rPr>
            </w:pPr>
          </w:p>
        </w:tc>
        <w:tc>
          <w:tcPr>
            <w:tcW w:w="510" w:type="pct"/>
            <w:vMerge w:val="continue"/>
            <w:shd w:val="clear" w:color="auto" w:fill="auto"/>
            <w:vAlign w:val="center"/>
          </w:tcPr>
          <w:p>
            <w:pPr>
              <w:autoSpaceDE w:val="0"/>
              <w:autoSpaceDN w:val="0"/>
              <w:adjustRightInd w:val="0"/>
              <w:snapToGrid w:val="0"/>
              <w:jc w:val="center"/>
              <w:rPr>
                <w:color w:val="FF0000"/>
                <w:kern w:val="0"/>
                <w:szCs w:val="21"/>
              </w:rPr>
            </w:pPr>
          </w:p>
        </w:tc>
        <w:tc>
          <w:tcPr>
            <w:tcW w:w="511" w:type="pct"/>
            <w:vMerge w:val="continue"/>
            <w:shd w:val="clear" w:color="auto" w:fill="auto"/>
            <w:vAlign w:val="center"/>
          </w:tcPr>
          <w:p>
            <w:pPr>
              <w:autoSpaceDE w:val="0"/>
              <w:autoSpaceDN w:val="0"/>
              <w:adjustRightInd w:val="0"/>
              <w:snapToGrid w:val="0"/>
              <w:jc w:val="center"/>
              <w:rPr>
                <w:color w:val="FF0000"/>
                <w:kern w:val="0"/>
                <w:szCs w:val="21"/>
              </w:rPr>
            </w:pPr>
          </w:p>
        </w:tc>
        <w:tc>
          <w:tcPr>
            <w:tcW w:w="403" w:type="pct"/>
            <w:vMerge w:val="continue"/>
            <w:vAlign w:val="center"/>
          </w:tcPr>
          <w:p>
            <w:pPr>
              <w:autoSpaceDE w:val="0"/>
              <w:autoSpaceDN w:val="0"/>
              <w:adjustRightInd w:val="0"/>
              <w:snapToGrid w:val="0"/>
              <w:jc w:val="center"/>
              <w:rPr>
                <w:color w:val="FF0000"/>
                <w:kern w:val="0"/>
                <w:szCs w:val="21"/>
              </w:rPr>
            </w:pPr>
          </w:p>
        </w:tc>
        <w:tc>
          <w:tcPr>
            <w:tcW w:w="421" w:type="pct"/>
            <w:vMerge w:val="continue"/>
            <w:vAlign w:val="center"/>
          </w:tcPr>
          <w:p>
            <w:pPr>
              <w:autoSpaceDE w:val="0"/>
              <w:autoSpaceDN w:val="0"/>
              <w:adjustRightInd w:val="0"/>
              <w:snapToGrid w:val="0"/>
              <w:jc w:val="center"/>
              <w:rPr>
                <w:color w:val="FF0000"/>
                <w:kern w:val="0"/>
                <w:szCs w:val="21"/>
              </w:rPr>
            </w:pPr>
          </w:p>
        </w:tc>
        <w:tc>
          <w:tcPr>
            <w:tcW w:w="666"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NH</w:t>
            </w:r>
            <w:r>
              <w:rPr>
                <w:color w:val="FF0000"/>
                <w:kern w:val="0"/>
                <w:szCs w:val="21"/>
                <w:vertAlign w:val="subscript"/>
              </w:rPr>
              <w:t>3</w:t>
            </w:r>
            <w:r>
              <w:rPr>
                <w:color w:val="FF0000"/>
                <w:kern w:val="0"/>
                <w:szCs w:val="21"/>
              </w:rPr>
              <w:t>(kg/h)</w:t>
            </w:r>
          </w:p>
        </w:tc>
        <w:tc>
          <w:tcPr>
            <w:tcW w:w="677"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H</w:t>
            </w:r>
            <w:r>
              <w:rPr>
                <w:color w:val="FF0000"/>
                <w:kern w:val="0"/>
                <w:szCs w:val="21"/>
                <w:vertAlign w:val="subscript"/>
              </w:rPr>
              <w:t>2</w:t>
            </w:r>
            <w:r>
              <w:rPr>
                <w:color w:val="FF0000"/>
                <w:kern w:val="0"/>
                <w:szCs w:val="21"/>
              </w:rPr>
              <w:t>S( 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w:t>
            </w:r>
            <w:r>
              <w:rPr>
                <w:color w:val="FF0000"/>
                <w:kern w:val="0"/>
                <w:szCs w:val="21"/>
              </w:rPr>
              <w:t>56</w:t>
            </w:r>
          </w:p>
        </w:tc>
        <w:tc>
          <w:tcPr>
            <w:tcW w:w="392"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-110</w:t>
            </w:r>
          </w:p>
        </w:tc>
        <w:tc>
          <w:tcPr>
            <w:tcW w:w="577" w:type="pct"/>
            <w:vMerge w:val="restart"/>
            <w:vAlign w:val="center"/>
          </w:tcPr>
          <w:p>
            <w:pPr>
              <w:autoSpaceDE w:val="0"/>
              <w:autoSpaceDN w:val="0"/>
              <w:adjustRightInd w:val="0"/>
              <w:snapToGrid w:val="0"/>
              <w:jc w:val="center"/>
              <w:rPr>
                <w:color w:val="FF0000"/>
                <w:kern w:val="0"/>
                <w:szCs w:val="21"/>
              </w:rPr>
            </w:pPr>
            <w:r>
              <w:rPr>
                <w:rFonts w:hint="eastAsia"/>
                <w:color w:val="FF0000"/>
                <w:kern w:val="0"/>
                <w:szCs w:val="21"/>
              </w:rPr>
              <w:t>1</w:t>
            </w:r>
            <w:r>
              <w:rPr>
                <w:color w:val="FF0000"/>
                <w:kern w:val="0"/>
                <w:szCs w:val="21"/>
              </w:rPr>
              <w:t>029.35</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5</w:t>
            </w:r>
          </w:p>
        </w:tc>
        <w:tc>
          <w:tcPr>
            <w:tcW w:w="510" w:type="pct"/>
            <w:vMerge w:val="restar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10</w:t>
            </w:r>
          </w:p>
        </w:tc>
        <w:tc>
          <w:tcPr>
            <w:tcW w:w="511" w:type="pct"/>
            <w:vMerge w:val="restar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3</w:t>
            </w:r>
          </w:p>
        </w:tc>
        <w:tc>
          <w:tcPr>
            <w:tcW w:w="403" w:type="pct"/>
            <w:vMerge w:val="restart"/>
            <w:vAlign w:val="center"/>
          </w:tcPr>
          <w:p>
            <w:pPr>
              <w:widowControl/>
              <w:adjustRightInd w:val="0"/>
              <w:snapToGrid w:val="0"/>
              <w:jc w:val="center"/>
              <w:rPr>
                <w:color w:val="FF0000"/>
                <w:szCs w:val="21"/>
              </w:rPr>
            </w:pPr>
            <w:r>
              <w:rPr>
                <w:color w:val="FF0000"/>
                <w:szCs w:val="21"/>
              </w:rPr>
              <w:t>4205</w:t>
            </w:r>
          </w:p>
        </w:tc>
        <w:tc>
          <w:tcPr>
            <w:tcW w:w="421" w:type="pct"/>
            <w:vMerge w:val="restart"/>
            <w:vAlign w:val="center"/>
          </w:tcPr>
          <w:p>
            <w:pPr>
              <w:widowControl/>
              <w:adjustRightInd w:val="0"/>
              <w:snapToGrid w:val="0"/>
              <w:jc w:val="center"/>
              <w:rPr>
                <w:color w:val="FF0000"/>
                <w:szCs w:val="21"/>
              </w:rPr>
            </w:pPr>
            <w:r>
              <w:rPr>
                <w:rFonts w:hint="eastAsia"/>
                <w:color w:val="FF0000"/>
                <w:szCs w:val="21"/>
              </w:rPr>
              <w:t>正常</w:t>
            </w:r>
          </w:p>
        </w:tc>
        <w:tc>
          <w:tcPr>
            <w:tcW w:w="666" w:type="pct"/>
            <w:vMerge w:val="restart"/>
            <w:shd w:val="clear" w:color="auto" w:fill="auto"/>
            <w:vAlign w:val="center"/>
          </w:tcPr>
          <w:p>
            <w:pPr>
              <w:widowControl/>
              <w:adjustRightInd w:val="0"/>
              <w:snapToGrid w:val="0"/>
              <w:jc w:val="center"/>
              <w:rPr>
                <w:color w:val="FF0000"/>
                <w:kern w:val="0"/>
                <w:szCs w:val="21"/>
              </w:rPr>
            </w:pPr>
            <w:r>
              <w:rPr>
                <w:rFonts w:hint="eastAsia"/>
                <w:color w:val="FF0000"/>
                <w:szCs w:val="21"/>
              </w:rPr>
              <w:t>0.</w:t>
            </w:r>
            <w:r>
              <w:rPr>
                <w:color w:val="FF0000"/>
                <w:szCs w:val="21"/>
              </w:rPr>
              <w:t>0002</w:t>
            </w:r>
          </w:p>
        </w:tc>
        <w:tc>
          <w:tcPr>
            <w:tcW w:w="677" w:type="pct"/>
            <w:vMerge w:val="restart"/>
            <w:shd w:val="clear" w:color="auto" w:fill="auto"/>
            <w:vAlign w:val="center"/>
          </w:tcPr>
          <w:p>
            <w:pPr>
              <w:widowControl/>
              <w:adjustRightInd w:val="0"/>
              <w:snapToGrid w:val="0"/>
              <w:jc w:val="center"/>
              <w:rPr>
                <w:color w:val="FF0000"/>
                <w:kern w:val="0"/>
                <w:szCs w:val="21"/>
              </w:rPr>
            </w:pPr>
            <w:r>
              <w:rPr>
                <w:color w:val="FF0000"/>
                <w:szCs w:val="21"/>
              </w:rPr>
              <w:t>2.43282E-08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w:t>
            </w:r>
            <w:r>
              <w:rPr>
                <w:color w:val="FF0000"/>
                <w:kern w:val="0"/>
                <w:szCs w:val="21"/>
              </w:rPr>
              <w:t>51</w:t>
            </w:r>
          </w:p>
        </w:tc>
        <w:tc>
          <w:tcPr>
            <w:tcW w:w="392"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-110</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w:t>
            </w:r>
            <w:r>
              <w:rPr>
                <w:color w:val="FF0000"/>
                <w:kern w:val="0"/>
                <w:szCs w:val="21"/>
              </w:rPr>
              <w:t>51</w:t>
            </w:r>
          </w:p>
        </w:tc>
        <w:tc>
          <w:tcPr>
            <w:tcW w:w="392"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-100</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333" w:type="pct"/>
            <w:shd w:val="clear" w:color="auto" w:fill="auto"/>
            <w:vAlign w:val="center"/>
          </w:tcPr>
          <w:p>
            <w:pPr>
              <w:autoSpaceDE w:val="0"/>
              <w:autoSpaceDN w:val="0"/>
              <w:adjustRightInd w:val="0"/>
              <w:snapToGrid w:val="0"/>
              <w:jc w:val="center"/>
              <w:rPr>
                <w:color w:val="FF0000"/>
                <w:kern w:val="0"/>
                <w:szCs w:val="21"/>
              </w:rPr>
            </w:pPr>
            <w:r>
              <w:rPr>
                <w:rFonts w:hint="eastAsia"/>
                <w:color w:val="FF0000"/>
                <w:kern w:val="0"/>
                <w:szCs w:val="21"/>
              </w:rPr>
              <w:t>-</w:t>
            </w:r>
            <w:r>
              <w:rPr>
                <w:color w:val="FF0000"/>
                <w:kern w:val="0"/>
                <w:szCs w:val="21"/>
              </w:rPr>
              <w:t>56</w:t>
            </w:r>
          </w:p>
        </w:tc>
        <w:tc>
          <w:tcPr>
            <w:tcW w:w="392" w:type="pct"/>
            <w:shd w:val="clear" w:color="auto" w:fill="auto"/>
            <w:vAlign w:val="center"/>
          </w:tcPr>
          <w:p>
            <w:pPr>
              <w:autoSpaceDE w:val="0"/>
              <w:autoSpaceDN w:val="0"/>
              <w:adjustRightInd w:val="0"/>
              <w:snapToGrid w:val="0"/>
              <w:jc w:val="center"/>
              <w:rPr>
                <w:color w:val="FF0000"/>
                <w:kern w:val="0"/>
                <w:szCs w:val="21"/>
              </w:rPr>
            </w:pPr>
            <w:r>
              <w:rPr>
                <w:color w:val="FF0000"/>
                <w:kern w:val="0"/>
                <w:szCs w:val="21"/>
              </w:rPr>
              <w:t>-100</w:t>
            </w:r>
          </w:p>
        </w:tc>
        <w:tc>
          <w:tcPr>
            <w:tcW w:w="577" w:type="pct"/>
            <w:vMerge w:val="continue"/>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0" w:type="pct"/>
            <w:vMerge w:val="continue"/>
            <w:shd w:val="clear" w:color="auto" w:fill="auto"/>
            <w:vAlign w:val="center"/>
          </w:tcPr>
          <w:p>
            <w:pPr>
              <w:autoSpaceDE w:val="0"/>
              <w:autoSpaceDN w:val="0"/>
              <w:adjustRightInd w:val="0"/>
              <w:snapToGrid w:val="0"/>
              <w:jc w:val="center"/>
              <w:rPr>
                <w:kern w:val="0"/>
                <w:szCs w:val="21"/>
              </w:rPr>
            </w:pPr>
          </w:p>
        </w:tc>
        <w:tc>
          <w:tcPr>
            <w:tcW w:w="511" w:type="pct"/>
            <w:vMerge w:val="continue"/>
            <w:shd w:val="clear" w:color="auto" w:fill="auto"/>
            <w:vAlign w:val="center"/>
          </w:tcPr>
          <w:p>
            <w:pPr>
              <w:autoSpaceDE w:val="0"/>
              <w:autoSpaceDN w:val="0"/>
              <w:adjustRightInd w:val="0"/>
              <w:snapToGrid w:val="0"/>
              <w:jc w:val="center"/>
              <w:rPr>
                <w:kern w:val="0"/>
                <w:szCs w:val="21"/>
              </w:rPr>
            </w:pPr>
          </w:p>
        </w:tc>
        <w:tc>
          <w:tcPr>
            <w:tcW w:w="403" w:type="pct"/>
            <w:vMerge w:val="continue"/>
            <w:vAlign w:val="center"/>
          </w:tcPr>
          <w:p>
            <w:pPr>
              <w:widowControl/>
              <w:adjustRightInd w:val="0"/>
              <w:snapToGrid w:val="0"/>
              <w:jc w:val="center"/>
              <w:rPr>
                <w:color w:val="FF0000"/>
                <w:szCs w:val="21"/>
              </w:rPr>
            </w:pPr>
          </w:p>
        </w:tc>
        <w:tc>
          <w:tcPr>
            <w:tcW w:w="421" w:type="pct"/>
            <w:vMerge w:val="continue"/>
            <w:vAlign w:val="center"/>
          </w:tcPr>
          <w:p>
            <w:pPr>
              <w:widowControl/>
              <w:adjustRightInd w:val="0"/>
              <w:snapToGrid w:val="0"/>
              <w:jc w:val="center"/>
              <w:rPr>
                <w:szCs w:val="21"/>
              </w:rPr>
            </w:pPr>
          </w:p>
        </w:tc>
        <w:tc>
          <w:tcPr>
            <w:tcW w:w="666" w:type="pct"/>
            <w:vMerge w:val="continue"/>
            <w:shd w:val="clear" w:color="auto" w:fill="auto"/>
            <w:vAlign w:val="center"/>
          </w:tcPr>
          <w:p>
            <w:pPr>
              <w:widowControl/>
              <w:adjustRightInd w:val="0"/>
              <w:snapToGrid w:val="0"/>
              <w:jc w:val="center"/>
              <w:rPr>
                <w:szCs w:val="21"/>
              </w:rPr>
            </w:pPr>
          </w:p>
        </w:tc>
        <w:tc>
          <w:tcPr>
            <w:tcW w:w="677" w:type="pct"/>
            <w:vMerge w:val="continue"/>
            <w:shd w:val="clear" w:color="auto" w:fill="auto"/>
            <w:vAlign w:val="center"/>
          </w:tcPr>
          <w:p>
            <w:pPr>
              <w:widowControl/>
              <w:adjustRightInd w:val="0"/>
              <w:snapToGrid w:val="0"/>
              <w:jc w:val="center"/>
              <w:rPr>
                <w:szCs w:val="21"/>
              </w:rPr>
            </w:pPr>
          </w:p>
        </w:tc>
      </w:tr>
    </w:tbl>
    <w:p>
      <w:pPr>
        <w:adjustRightInd w:val="0"/>
        <w:snapToGrid w:val="0"/>
        <w:spacing w:line="360" w:lineRule="auto"/>
        <w:ind w:firstLine="480" w:firstLineChars="200"/>
        <w:rPr>
          <w:sz w:val="24"/>
        </w:rPr>
      </w:pPr>
      <w:r>
        <w:rPr>
          <w:sz w:val="24"/>
        </w:rPr>
        <w:t>3、预测结果</w:t>
      </w:r>
    </w:p>
    <w:p>
      <w:pPr>
        <w:autoSpaceDE w:val="0"/>
        <w:autoSpaceDN w:val="0"/>
        <w:adjustRightInd w:val="0"/>
        <w:spacing w:line="360" w:lineRule="auto"/>
        <w:jc w:val="center"/>
        <w:rPr>
          <w:b/>
          <w:kern w:val="0"/>
          <w:sz w:val="24"/>
        </w:rPr>
      </w:pPr>
      <w:r>
        <w:rPr>
          <w:b/>
          <w:kern w:val="0"/>
          <w:sz w:val="24"/>
        </w:rPr>
        <w:t>表6.1-8  估算模式污染物浓度扩散结果</w:t>
      </w:r>
    </w:p>
    <w:tbl>
      <w:tblPr>
        <w:tblStyle w:val="8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95"/>
        <w:gridCol w:w="1134"/>
        <w:gridCol w:w="1701"/>
        <w:gridCol w:w="142"/>
        <w:gridCol w:w="1559"/>
        <w:gridCol w:w="13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restart"/>
            <w:tcBorders>
              <w:top w:val="single" w:color="auto" w:sz="4" w:space="0"/>
              <w:left w:val="single" w:color="auto" w:sz="12" w:space="0"/>
              <w:right w:val="single" w:color="auto" w:sz="4" w:space="0"/>
            </w:tcBorders>
            <w:shd w:val="clear" w:color="auto" w:fill="auto"/>
            <w:noWrap/>
            <w:vAlign w:val="center"/>
          </w:tcPr>
          <w:p>
            <w:pPr>
              <w:adjustRightInd w:val="0"/>
              <w:snapToGrid w:val="0"/>
              <w:jc w:val="center"/>
              <w:rPr>
                <w:kern w:val="0"/>
                <w:szCs w:val="21"/>
              </w:rPr>
            </w:pPr>
            <w:r>
              <w:rPr>
                <w:kern w:val="0"/>
                <w:szCs w:val="21"/>
              </w:rPr>
              <w:t>离源距离(m)</w:t>
            </w:r>
          </w:p>
        </w:tc>
        <w:tc>
          <w:tcPr>
            <w:tcW w:w="5887" w:type="dxa"/>
            <w:gridSpan w:val="5"/>
            <w:tcBorders>
              <w:top w:val="single" w:color="auto" w:sz="4" w:space="0"/>
              <w:left w:val="single" w:color="auto" w:sz="4" w:space="0"/>
              <w:bottom w:val="single" w:color="auto" w:sz="4" w:space="0"/>
              <w:right w:val="single" w:color="auto" w:sz="12" w:space="0"/>
            </w:tcBorders>
            <w:shd w:val="clear" w:color="auto" w:fill="auto"/>
            <w:noWrap/>
            <w:vAlign w:val="center"/>
          </w:tcPr>
          <w:p>
            <w:pPr>
              <w:widowControl/>
              <w:adjustRightInd w:val="0"/>
              <w:snapToGrid w:val="0"/>
              <w:jc w:val="center"/>
              <w:rPr>
                <w:kern w:val="0"/>
                <w:szCs w:val="21"/>
              </w:rPr>
            </w:pPr>
            <w:r>
              <w:rPr>
                <w:kern w:val="0"/>
                <w:szCs w:val="21"/>
              </w:rPr>
              <w:t>填埋场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continue"/>
            <w:tcBorders>
              <w:left w:val="single" w:color="auto" w:sz="12" w:space="0"/>
              <w:right w:val="single" w:color="auto" w:sz="4" w:space="0"/>
            </w:tcBorders>
            <w:shd w:val="clear" w:color="auto" w:fill="auto"/>
            <w:noWrap/>
            <w:vAlign w:val="center"/>
          </w:tcPr>
          <w:p>
            <w:pPr>
              <w:adjustRightInd w:val="0"/>
              <w:snapToGrid w:val="0"/>
              <w:jc w:val="center"/>
              <w:rPr>
                <w:kern w:val="0"/>
                <w:szCs w:val="21"/>
              </w:rPr>
            </w:pPr>
          </w:p>
        </w:tc>
        <w:tc>
          <w:tcPr>
            <w:tcW w:w="2835" w:type="dxa"/>
            <w:gridSpan w:val="2"/>
            <w:tcBorders>
              <w:left w:val="single" w:color="auto" w:sz="4" w:space="0"/>
            </w:tcBorders>
            <w:shd w:val="clear" w:color="auto" w:fill="auto"/>
            <w:noWrap/>
            <w:vAlign w:val="center"/>
          </w:tcPr>
          <w:p>
            <w:pPr>
              <w:widowControl/>
              <w:adjustRightInd w:val="0"/>
              <w:snapToGrid w:val="0"/>
              <w:jc w:val="center"/>
              <w:rPr>
                <w:kern w:val="0"/>
                <w:szCs w:val="21"/>
              </w:rPr>
            </w:pPr>
            <w:r>
              <w:rPr>
                <w:kern w:val="0"/>
                <w:szCs w:val="21"/>
              </w:rPr>
              <w:t>NH</w:t>
            </w:r>
            <w:r>
              <w:rPr>
                <w:kern w:val="0"/>
                <w:szCs w:val="21"/>
                <w:vertAlign w:val="subscript"/>
              </w:rPr>
              <w:t>3</w:t>
            </w:r>
          </w:p>
        </w:tc>
        <w:tc>
          <w:tcPr>
            <w:tcW w:w="3052" w:type="dxa"/>
            <w:gridSpan w:val="3"/>
            <w:shd w:val="clear" w:color="auto" w:fill="auto"/>
            <w:vAlign w:val="center"/>
          </w:tcPr>
          <w:p>
            <w:pPr>
              <w:widowControl/>
              <w:adjustRightInd w:val="0"/>
              <w:snapToGrid w:val="0"/>
              <w:jc w:val="center"/>
              <w:rPr>
                <w:kern w:val="0"/>
                <w:szCs w:val="21"/>
              </w:rPr>
            </w:pPr>
            <w:r>
              <w:rPr>
                <w:kern w:val="0"/>
                <w:szCs w:val="21"/>
              </w:rPr>
              <w:t>H</w:t>
            </w:r>
            <w:r>
              <w:rPr>
                <w:kern w:val="0"/>
                <w:szCs w:val="21"/>
                <w:vertAlign w:val="subscript"/>
              </w:rPr>
              <w:t>2</w:t>
            </w:r>
            <w:r>
              <w:rPr>
                <w:kern w:val="0"/>
                <w:szCs w:val="21"/>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continue"/>
            <w:tcBorders>
              <w:left w:val="single" w:color="auto" w:sz="12" w:space="0"/>
              <w:right w:val="single" w:color="auto" w:sz="4" w:space="0"/>
            </w:tcBorders>
            <w:shd w:val="clear" w:color="auto" w:fill="auto"/>
            <w:noWrap/>
            <w:vAlign w:val="center"/>
          </w:tcPr>
          <w:p>
            <w:pPr>
              <w:adjustRightInd w:val="0"/>
              <w:snapToGrid w:val="0"/>
              <w:jc w:val="center"/>
              <w:rPr>
                <w:kern w:val="0"/>
                <w:szCs w:val="21"/>
              </w:rPr>
            </w:pPr>
          </w:p>
        </w:tc>
        <w:tc>
          <w:tcPr>
            <w:tcW w:w="1134" w:type="dxa"/>
            <w:tcBorders>
              <w:left w:val="single" w:color="auto" w:sz="4" w:space="0"/>
            </w:tcBorders>
            <w:shd w:val="clear" w:color="auto" w:fill="auto"/>
            <w:noWrap/>
            <w:vAlign w:val="center"/>
          </w:tcPr>
          <w:p>
            <w:pPr>
              <w:widowControl/>
              <w:adjustRightInd w:val="0"/>
              <w:snapToGrid w:val="0"/>
              <w:jc w:val="center"/>
              <w:rPr>
                <w:kern w:val="0"/>
                <w:szCs w:val="21"/>
              </w:rPr>
            </w:pPr>
            <w:r>
              <w:rPr>
                <w:kern w:val="0"/>
                <w:szCs w:val="21"/>
              </w:rPr>
              <w:t>小时浓度ug/m</w:t>
            </w:r>
            <w:r>
              <w:rPr>
                <w:kern w:val="0"/>
                <w:szCs w:val="21"/>
                <w:vertAlign w:val="superscript"/>
              </w:rPr>
              <w:t>3</w:t>
            </w:r>
          </w:p>
        </w:tc>
        <w:tc>
          <w:tcPr>
            <w:tcW w:w="1701" w:type="dxa"/>
            <w:shd w:val="clear" w:color="auto" w:fill="auto"/>
            <w:vAlign w:val="center"/>
          </w:tcPr>
          <w:p>
            <w:pPr>
              <w:widowControl/>
              <w:adjustRightInd w:val="0"/>
              <w:snapToGrid w:val="0"/>
              <w:jc w:val="center"/>
              <w:rPr>
                <w:kern w:val="0"/>
                <w:szCs w:val="21"/>
              </w:rPr>
            </w:pPr>
            <w:r>
              <w:rPr>
                <w:kern w:val="0"/>
                <w:szCs w:val="21"/>
              </w:rPr>
              <w:t>占标率%</w:t>
            </w:r>
          </w:p>
        </w:tc>
        <w:tc>
          <w:tcPr>
            <w:tcW w:w="1701" w:type="dxa"/>
            <w:gridSpan w:val="2"/>
            <w:shd w:val="clear" w:color="auto" w:fill="auto"/>
            <w:vAlign w:val="center"/>
          </w:tcPr>
          <w:p>
            <w:pPr>
              <w:adjustRightInd w:val="0"/>
              <w:snapToGrid w:val="0"/>
              <w:jc w:val="center"/>
              <w:rPr>
                <w:kern w:val="0"/>
                <w:szCs w:val="21"/>
              </w:rPr>
            </w:pPr>
            <w:r>
              <w:rPr>
                <w:kern w:val="0"/>
                <w:szCs w:val="21"/>
              </w:rPr>
              <w:t>小时浓度ug/m</w:t>
            </w:r>
            <w:r>
              <w:rPr>
                <w:kern w:val="0"/>
                <w:szCs w:val="21"/>
                <w:vertAlign w:val="superscript"/>
              </w:rPr>
              <w:t>3</w:t>
            </w:r>
          </w:p>
        </w:tc>
        <w:tc>
          <w:tcPr>
            <w:tcW w:w="1351" w:type="dxa"/>
            <w:shd w:val="clear" w:color="auto" w:fill="auto"/>
            <w:vAlign w:val="center"/>
          </w:tcPr>
          <w:p>
            <w:pPr>
              <w:adjustRightInd w:val="0"/>
              <w:snapToGrid w:val="0"/>
              <w:jc w:val="center"/>
              <w:rPr>
                <w:kern w:val="0"/>
                <w:szCs w:val="21"/>
              </w:rPr>
            </w:pPr>
            <w:r>
              <w:rPr>
                <w:kern w:val="0"/>
                <w:szCs w:val="21"/>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10</w:t>
            </w:r>
          </w:p>
        </w:tc>
        <w:tc>
          <w:tcPr>
            <w:tcW w:w="1134" w:type="dxa"/>
            <w:shd w:val="clear" w:color="auto" w:fill="auto"/>
            <w:noWrap/>
          </w:tcPr>
          <w:p>
            <w:pPr>
              <w:widowControl/>
              <w:adjustRightInd w:val="0"/>
              <w:snapToGrid w:val="0"/>
              <w:jc w:val="center"/>
              <w:rPr>
                <w:kern w:val="0"/>
                <w:szCs w:val="21"/>
              </w:rPr>
            </w:pPr>
            <w:r>
              <w:rPr>
                <w:szCs w:val="21"/>
              </w:rPr>
              <w:t>4.21</w:t>
            </w:r>
          </w:p>
        </w:tc>
        <w:tc>
          <w:tcPr>
            <w:tcW w:w="1701" w:type="dxa"/>
            <w:shd w:val="clear" w:color="auto" w:fill="auto"/>
            <w:noWrap/>
          </w:tcPr>
          <w:p>
            <w:pPr>
              <w:widowControl/>
              <w:adjustRightInd w:val="0"/>
              <w:snapToGrid w:val="0"/>
              <w:jc w:val="center"/>
              <w:rPr>
                <w:kern w:val="0"/>
                <w:szCs w:val="21"/>
              </w:rPr>
            </w:pPr>
            <w:r>
              <w:rPr>
                <w:szCs w:val="21"/>
              </w:rPr>
              <w:t>2.11</w:t>
            </w:r>
          </w:p>
        </w:tc>
        <w:tc>
          <w:tcPr>
            <w:tcW w:w="1701" w:type="dxa"/>
            <w:gridSpan w:val="2"/>
            <w:shd w:val="clear" w:color="auto" w:fill="auto"/>
            <w:noWrap/>
          </w:tcPr>
          <w:p>
            <w:pPr>
              <w:widowControl/>
              <w:adjustRightInd w:val="0"/>
              <w:snapToGrid w:val="0"/>
              <w:jc w:val="center"/>
              <w:rPr>
                <w:kern w:val="0"/>
                <w:szCs w:val="21"/>
              </w:rPr>
            </w:pPr>
            <w:r>
              <w:rPr>
                <w:szCs w:val="21"/>
              </w:rPr>
              <w:t>0.3</w:t>
            </w:r>
          </w:p>
        </w:tc>
        <w:tc>
          <w:tcPr>
            <w:tcW w:w="1351" w:type="dxa"/>
            <w:shd w:val="clear" w:color="auto" w:fill="auto"/>
            <w:noWrap/>
          </w:tcPr>
          <w:p>
            <w:pPr>
              <w:widowControl/>
              <w:adjustRightInd w:val="0"/>
              <w:snapToGrid w:val="0"/>
              <w:jc w:val="center"/>
              <w:rPr>
                <w:kern w:val="0"/>
                <w:szCs w:val="21"/>
              </w:rPr>
            </w:pPr>
            <w:r>
              <w:rPr>
                <w:szCs w:val="21"/>
              </w:rPr>
              <w:t>2.97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25</w:t>
            </w:r>
          </w:p>
        </w:tc>
        <w:tc>
          <w:tcPr>
            <w:tcW w:w="1134" w:type="dxa"/>
            <w:shd w:val="clear" w:color="auto" w:fill="auto"/>
            <w:noWrap/>
          </w:tcPr>
          <w:p>
            <w:pPr>
              <w:widowControl/>
              <w:adjustRightInd w:val="0"/>
              <w:snapToGrid w:val="0"/>
              <w:jc w:val="center"/>
              <w:rPr>
                <w:kern w:val="0"/>
                <w:szCs w:val="21"/>
              </w:rPr>
            </w:pPr>
            <w:r>
              <w:rPr>
                <w:szCs w:val="21"/>
              </w:rPr>
              <w:t>4.49</w:t>
            </w:r>
          </w:p>
        </w:tc>
        <w:tc>
          <w:tcPr>
            <w:tcW w:w="1701" w:type="dxa"/>
            <w:shd w:val="clear" w:color="auto" w:fill="auto"/>
            <w:noWrap/>
          </w:tcPr>
          <w:p>
            <w:pPr>
              <w:widowControl/>
              <w:adjustRightInd w:val="0"/>
              <w:snapToGrid w:val="0"/>
              <w:jc w:val="center"/>
              <w:rPr>
                <w:kern w:val="0"/>
                <w:szCs w:val="21"/>
              </w:rPr>
            </w:pPr>
            <w:r>
              <w:rPr>
                <w:szCs w:val="21"/>
              </w:rPr>
              <w:t>2.24</w:t>
            </w:r>
          </w:p>
        </w:tc>
        <w:tc>
          <w:tcPr>
            <w:tcW w:w="1701" w:type="dxa"/>
            <w:gridSpan w:val="2"/>
            <w:shd w:val="clear" w:color="auto" w:fill="auto"/>
            <w:noWrap/>
          </w:tcPr>
          <w:p>
            <w:pPr>
              <w:widowControl/>
              <w:adjustRightInd w:val="0"/>
              <w:snapToGrid w:val="0"/>
              <w:jc w:val="center"/>
              <w:rPr>
                <w:kern w:val="0"/>
                <w:szCs w:val="21"/>
              </w:rPr>
            </w:pPr>
            <w:r>
              <w:rPr>
                <w:szCs w:val="21"/>
              </w:rPr>
              <w:t>0.32</w:t>
            </w:r>
          </w:p>
        </w:tc>
        <w:tc>
          <w:tcPr>
            <w:tcW w:w="1351" w:type="dxa"/>
            <w:shd w:val="clear" w:color="auto" w:fill="auto"/>
            <w:noWrap/>
          </w:tcPr>
          <w:p>
            <w:pPr>
              <w:widowControl/>
              <w:adjustRightInd w:val="0"/>
              <w:snapToGrid w:val="0"/>
              <w:jc w:val="center"/>
              <w:rPr>
                <w:kern w:val="0"/>
                <w:szCs w:val="21"/>
              </w:rPr>
            </w:pPr>
            <w:r>
              <w:rPr>
                <w:szCs w:val="21"/>
              </w:rPr>
              <w:t>3.16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50</w:t>
            </w:r>
          </w:p>
        </w:tc>
        <w:tc>
          <w:tcPr>
            <w:tcW w:w="1134" w:type="dxa"/>
            <w:shd w:val="clear" w:color="auto" w:fill="auto"/>
            <w:noWrap/>
          </w:tcPr>
          <w:p>
            <w:pPr>
              <w:widowControl/>
              <w:adjustRightInd w:val="0"/>
              <w:snapToGrid w:val="0"/>
              <w:jc w:val="center"/>
              <w:rPr>
                <w:kern w:val="0"/>
                <w:szCs w:val="21"/>
              </w:rPr>
            </w:pPr>
            <w:r>
              <w:rPr>
                <w:szCs w:val="21"/>
              </w:rPr>
              <w:t>5.13</w:t>
            </w:r>
          </w:p>
        </w:tc>
        <w:tc>
          <w:tcPr>
            <w:tcW w:w="1701" w:type="dxa"/>
            <w:shd w:val="clear" w:color="auto" w:fill="auto"/>
            <w:noWrap/>
          </w:tcPr>
          <w:p>
            <w:pPr>
              <w:widowControl/>
              <w:adjustRightInd w:val="0"/>
              <w:snapToGrid w:val="0"/>
              <w:jc w:val="center"/>
              <w:rPr>
                <w:kern w:val="0"/>
                <w:szCs w:val="21"/>
              </w:rPr>
            </w:pPr>
            <w:r>
              <w:rPr>
                <w:szCs w:val="21"/>
              </w:rPr>
              <w:t>2.56</w:t>
            </w:r>
          </w:p>
        </w:tc>
        <w:tc>
          <w:tcPr>
            <w:tcW w:w="1701" w:type="dxa"/>
            <w:gridSpan w:val="2"/>
            <w:shd w:val="clear" w:color="auto" w:fill="auto"/>
            <w:noWrap/>
          </w:tcPr>
          <w:p>
            <w:pPr>
              <w:widowControl/>
              <w:adjustRightInd w:val="0"/>
              <w:snapToGrid w:val="0"/>
              <w:jc w:val="center"/>
              <w:rPr>
                <w:kern w:val="0"/>
                <w:szCs w:val="21"/>
              </w:rPr>
            </w:pPr>
            <w:r>
              <w:rPr>
                <w:szCs w:val="21"/>
              </w:rPr>
              <w:t>0.36</w:t>
            </w:r>
          </w:p>
        </w:tc>
        <w:tc>
          <w:tcPr>
            <w:tcW w:w="1351" w:type="dxa"/>
            <w:shd w:val="clear" w:color="auto" w:fill="auto"/>
            <w:noWrap/>
          </w:tcPr>
          <w:p>
            <w:pPr>
              <w:widowControl/>
              <w:adjustRightInd w:val="0"/>
              <w:snapToGrid w:val="0"/>
              <w:jc w:val="center"/>
              <w:rPr>
                <w:kern w:val="0"/>
                <w:szCs w:val="21"/>
              </w:rPr>
            </w:pPr>
            <w:r>
              <w:rPr>
                <w:szCs w:val="21"/>
              </w:rPr>
              <w:t>3.61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75</w:t>
            </w:r>
          </w:p>
        </w:tc>
        <w:tc>
          <w:tcPr>
            <w:tcW w:w="1134" w:type="dxa"/>
            <w:shd w:val="clear" w:color="auto" w:fill="auto"/>
            <w:noWrap/>
          </w:tcPr>
          <w:p>
            <w:pPr>
              <w:widowControl/>
              <w:adjustRightInd w:val="0"/>
              <w:snapToGrid w:val="0"/>
              <w:jc w:val="center"/>
              <w:rPr>
                <w:kern w:val="0"/>
                <w:szCs w:val="21"/>
              </w:rPr>
            </w:pPr>
            <w:r>
              <w:rPr>
                <w:szCs w:val="21"/>
              </w:rPr>
              <w:t>5.79</w:t>
            </w:r>
          </w:p>
        </w:tc>
        <w:tc>
          <w:tcPr>
            <w:tcW w:w="1701" w:type="dxa"/>
            <w:shd w:val="clear" w:color="auto" w:fill="auto"/>
            <w:noWrap/>
          </w:tcPr>
          <w:p>
            <w:pPr>
              <w:widowControl/>
              <w:adjustRightInd w:val="0"/>
              <w:snapToGrid w:val="0"/>
              <w:jc w:val="center"/>
              <w:rPr>
                <w:kern w:val="0"/>
                <w:szCs w:val="21"/>
              </w:rPr>
            </w:pPr>
            <w:r>
              <w:rPr>
                <w:szCs w:val="21"/>
              </w:rPr>
              <w:t>2.89</w:t>
            </w:r>
          </w:p>
        </w:tc>
        <w:tc>
          <w:tcPr>
            <w:tcW w:w="1701" w:type="dxa"/>
            <w:gridSpan w:val="2"/>
            <w:shd w:val="clear" w:color="auto" w:fill="auto"/>
            <w:noWrap/>
          </w:tcPr>
          <w:p>
            <w:pPr>
              <w:widowControl/>
              <w:adjustRightInd w:val="0"/>
              <w:snapToGrid w:val="0"/>
              <w:jc w:val="center"/>
              <w:rPr>
                <w:kern w:val="0"/>
                <w:szCs w:val="21"/>
              </w:rPr>
            </w:pPr>
            <w:r>
              <w:rPr>
                <w:szCs w:val="21"/>
              </w:rPr>
              <w:t>0.41</w:t>
            </w:r>
          </w:p>
        </w:tc>
        <w:tc>
          <w:tcPr>
            <w:tcW w:w="1351" w:type="dxa"/>
            <w:shd w:val="clear" w:color="auto" w:fill="auto"/>
            <w:noWrap/>
          </w:tcPr>
          <w:p>
            <w:pPr>
              <w:widowControl/>
              <w:adjustRightInd w:val="0"/>
              <w:snapToGrid w:val="0"/>
              <w:jc w:val="center"/>
              <w:rPr>
                <w:kern w:val="0"/>
                <w:szCs w:val="21"/>
              </w:rPr>
            </w:pPr>
            <w:r>
              <w:rPr>
                <w:szCs w:val="21"/>
              </w:rPr>
              <w:t>4.08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100</w:t>
            </w:r>
          </w:p>
        </w:tc>
        <w:tc>
          <w:tcPr>
            <w:tcW w:w="1134" w:type="dxa"/>
            <w:shd w:val="clear" w:color="auto" w:fill="auto"/>
            <w:noWrap/>
          </w:tcPr>
          <w:p>
            <w:pPr>
              <w:widowControl/>
              <w:adjustRightInd w:val="0"/>
              <w:snapToGrid w:val="0"/>
              <w:jc w:val="center"/>
              <w:rPr>
                <w:kern w:val="0"/>
                <w:szCs w:val="21"/>
              </w:rPr>
            </w:pPr>
            <w:r>
              <w:rPr>
                <w:szCs w:val="21"/>
              </w:rPr>
              <w:t>6.41</w:t>
            </w:r>
          </w:p>
        </w:tc>
        <w:tc>
          <w:tcPr>
            <w:tcW w:w="1701" w:type="dxa"/>
            <w:shd w:val="clear" w:color="auto" w:fill="auto"/>
            <w:noWrap/>
          </w:tcPr>
          <w:p>
            <w:pPr>
              <w:widowControl/>
              <w:adjustRightInd w:val="0"/>
              <w:snapToGrid w:val="0"/>
              <w:jc w:val="center"/>
              <w:rPr>
                <w:kern w:val="0"/>
                <w:szCs w:val="21"/>
              </w:rPr>
            </w:pPr>
            <w:r>
              <w:rPr>
                <w:szCs w:val="21"/>
              </w:rPr>
              <w:t>3.21</w:t>
            </w:r>
          </w:p>
        </w:tc>
        <w:tc>
          <w:tcPr>
            <w:tcW w:w="1701" w:type="dxa"/>
            <w:gridSpan w:val="2"/>
            <w:shd w:val="clear" w:color="auto" w:fill="auto"/>
            <w:noWrap/>
          </w:tcPr>
          <w:p>
            <w:pPr>
              <w:widowControl/>
              <w:adjustRightInd w:val="0"/>
              <w:snapToGrid w:val="0"/>
              <w:jc w:val="center"/>
              <w:rPr>
                <w:kern w:val="0"/>
                <w:szCs w:val="21"/>
              </w:rPr>
            </w:pPr>
            <w:r>
              <w:rPr>
                <w:szCs w:val="21"/>
              </w:rPr>
              <w:t>0.45</w:t>
            </w:r>
          </w:p>
        </w:tc>
        <w:tc>
          <w:tcPr>
            <w:tcW w:w="1351" w:type="dxa"/>
            <w:shd w:val="clear" w:color="auto" w:fill="auto"/>
            <w:noWrap/>
          </w:tcPr>
          <w:p>
            <w:pPr>
              <w:widowControl/>
              <w:adjustRightInd w:val="0"/>
              <w:snapToGrid w:val="0"/>
              <w:jc w:val="center"/>
              <w:rPr>
                <w:kern w:val="0"/>
                <w:szCs w:val="21"/>
              </w:rPr>
            </w:pPr>
            <w:r>
              <w:rPr>
                <w:szCs w:val="21"/>
              </w:rPr>
              <w:t>4.52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125</w:t>
            </w:r>
          </w:p>
        </w:tc>
        <w:tc>
          <w:tcPr>
            <w:tcW w:w="1134" w:type="dxa"/>
            <w:shd w:val="clear" w:color="auto" w:fill="auto"/>
            <w:noWrap/>
          </w:tcPr>
          <w:p>
            <w:pPr>
              <w:widowControl/>
              <w:adjustRightInd w:val="0"/>
              <w:snapToGrid w:val="0"/>
              <w:jc w:val="center"/>
              <w:rPr>
                <w:kern w:val="0"/>
                <w:szCs w:val="21"/>
              </w:rPr>
            </w:pPr>
            <w:r>
              <w:rPr>
                <w:szCs w:val="21"/>
              </w:rPr>
              <w:t>7</w:t>
            </w:r>
          </w:p>
        </w:tc>
        <w:tc>
          <w:tcPr>
            <w:tcW w:w="1701" w:type="dxa"/>
            <w:shd w:val="clear" w:color="auto" w:fill="auto"/>
            <w:noWrap/>
          </w:tcPr>
          <w:p>
            <w:pPr>
              <w:widowControl/>
              <w:adjustRightInd w:val="0"/>
              <w:snapToGrid w:val="0"/>
              <w:jc w:val="center"/>
              <w:rPr>
                <w:kern w:val="0"/>
                <w:szCs w:val="21"/>
              </w:rPr>
            </w:pPr>
            <w:r>
              <w:rPr>
                <w:szCs w:val="21"/>
              </w:rPr>
              <w:t>3.5</w:t>
            </w:r>
          </w:p>
        </w:tc>
        <w:tc>
          <w:tcPr>
            <w:tcW w:w="1701" w:type="dxa"/>
            <w:gridSpan w:val="2"/>
            <w:shd w:val="clear" w:color="auto" w:fill="auto"/>
            <w:noWrap/>
          </w:tcPr>
          <w:p>
            <w:pPr>
              <w:widowControl/>
              <w:adjustRightInd w:val="0"/>
              <w:snapToGrid w:val="0"/>
              <w:jc w:val="center"/>
              <w:rPr>
                <w:kern w:val="0"/>
                <w:szCs w:val="21"/>
              </w:rPr>
            </w:pPr>
            <w:r>
              <w:rPr>
                <w:szCs w:val="21"/>
              </w:rPr>
              <w:t>0.49</w:t>
            </w:r>
          </w:p>
        </w:tc>
        <w:tc>
          <w:tcPr>
            <w:tcW w:w="1351" w:type="dxa"/>
            <w:shd w:val="clear" w:color="auto" w:fill="auto"/>
            <w:noWrap/>
          </w:tcPr>
          <w:p>
            <w:pPr>
              <w:widowControl/>
              <w:adjustRightInd w:val="0"/>
              <w:snapToGrid w:val="0"/>
              <w:jc w:val="center"/>
              <w:rPr>
                <w:kern w:val="0"/>
                <w:szCs w:val="21"/>
              </w:rPr>
            </w:pPr>
            <w:r>
              <w:rPr>
                <w:szCs w:val="21"/>
              </w:rPr>
              <w:t>4.93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150</w:t>
            </w:r>
          </w:p>
        </w:tc>
        <w:tc>
          <w:tcPr>
            <w:tcW w:w="1134" w:type="dxa"/>
            <w:shd w:val="clear" w:color="auto" w:fill="auto"/>
            <w:noWrap/>
          </w:tcPr>
          <w:p>
            <w:pPr>
              <w:widowControl/>
              <w:adjustRightInd w:val="0"/>
              <w:snapToGrid w:val="0"/>
              <w:jc w:val="center"/>
              <w:rPr>
                <w:kern w:val="0"/>
                <w:szCs w:val="21"/>
              </w:rPr>
            </w:pPr>
            <w:r>
              <w:rPr>
                <w:szCs w:val="21"/>
              </w:rPr>
              <w:t>7.53</w:t>
            </w:r>
          </w:p>
        </w:tc>
        <w:tc>
          <w:tcPr>
            <w:tcW w:w="1701" w:type="dxa"/>
            <w:shd w:val="clear" w:color="auto" w:fill="auto"/>
            <w:noWrap/>
          </w:tcPr>
          <w:p>
            <w:pPr>
              <w:widowControl/>
              <w:adjustRightInd w:val="0"/>
              <w:snapToGrid w:val="0"/>
              <w:jc w:val="center"/>
              <w:rPr>
                <w:kern w:val="0"/>
                <w:szCs w:val="21"/>
              </w:rPr>
            </w:pPr>
            <w:r>
              <w:rPr>
                <w:szCs w:val="21"/>
              </w:rPr>
              <w:t>3.77</w:t>
            </w:r>
          </w:p>
        </w:tc>
        <w:tc>
          <w:tcPr>
            <w:tcW w:w="1701" w:type="dxa"/>
            <w:gridSpan w:val="2"/>
            <w:shd w:val="clear" w:color="auto" w:fill="auto"/>
            <w:noWrap/>
          </w:tcPr>
          <w:p>
            <w:pPr>
              <w:widowControl/>
              <w:adjustRightInd w:val="0"/>
              <w:snapToGrid w:val="0"/>
              <w:jc w:val="center"/>
              <w:rPr>
                <w:kern w:val="0"/>
                <w:szCs w:val="21"/>
              </w:rPr>
            </w:pPr>
            <w:r>
              <w:rPr>
                <w:szCs w:val="21"/>
              </w:rPr>
              <w:t>0.53</w:t>
            </w:r>
          </w:p>
        </w:tc>
        <w:tc>
          <w:tcPr>
            <w:tcW w:w="1351" w:type="dxa"/>
            <w:shd w:val="clear" w:color="auto" w:fill="auto"/>
            <w:noWrap/>
          </w:tcPr>
          <w:p>
            <w:pPr>
              <w:widowControl/>
              <w:adjustRightInd w:val="0"/>
              <w:snapToGrid w:val="0"/>
              <w:jc w:val="center"/>
              <w:rPr>
                <w:kern w:val="0"/>
                <w:szCs w:val="21"/>
              </w:rPr>
            </w:pPr>
            <w:r>
              <w:rPr>
                <w:szCs w:val="21"/>
              </w:rPr>
              <w:t>5.31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175</w:t>
            </w:r>
          </w:p>
        </w:tc>
        <w:tc>
          <w:tcPr>
            <w:tcW w:w="1134" w:type="dxa"/>
            <w:shd w:val="clear" w:color="auto" w:fill="auto"/>
            <w:noWrap/>
          </w:tcPr>
          <w:p>
            <w:pPr>
              <w:widowControl/>
              <w:adjustRightInd w:val="0"/>
              <w:snapToGrid w:val="0"/>
              <w:jc w:val="center"/>
              <w:rPr>
                <w:kern w:val="0"/>
                <w:szCs w:val="21"/>
              </w:rPr>
            </w:pPr>
            <w:r>
              <w:rPr>
                <w:szCs w:val="21"/>
              </w:rPr>
              <w:t>7.71</w:t>
            </w:r>
          </w:p>
        </w:tc>
        <w:tc>
          <w:tcPr>
            <w:tcW w:w="1701" w:type="dxa"/>
            <w:shd w:val="clear" w:color="auto" w:fill="auto"/>
            <w:noWrap/>
          </w:tcPr>
          <w:p>
            <w:pPr>
              <w:widowControl/>
              <w:adjustRightInd w:val="0"/>
              <w:snapToGrid w:val="0"/>
              <w:jc w:val="center"/>
              <w:rPr>
                <w:kern w:val="0"/>
                <w:szCs w:val="21"/>
              </w:rPr>
            </w:pPr>
            <w:r>
              <w:rPr>
                <w:szCs w:val="21"/>
              </w:rPr>
              <w:t>3.86</w:t>
            </w:r>
          </w:p>
        </w:tc>
        <w:tc>
          <w:tcPr>
            <w:tcW w:w="1701" w:type="dxa"/>
            <w:gridSpan w:val="2"/>
            <w:shd w:val="clear" w:color="auto" w:fill="auto"/>
            <w:noWrap/>
          </w:tcPr>
          <w:p>
            <w:pPr>
              <w:widowControl/>
              <w:adjustRightInd w:val="0"/>
              <w:snapToGrid w:val="0"/>
              <w:jc w:val="center"/>
              <w:rPr>
                <w:kern w:val="0"/>
                <w:szCs w:val="21"/>
              </w:rPr>
            </w:pPr>
            <w:r>
              <w:rPr>
                <w:szCs w:val="21"/>
              </w:rPr>
              <w:t>0.54</w:t>
            </w:r>
          </w:p>
        </w:tc>
        <w:tc>
          <w:tcPr>
            <w:tcW w:w="1351" w:type="dxa"/>
            <w:shd w:val="clear" w:color="auto" w:fill="auto"/>
            <w:noWrap/>
          </w:tcPr>
          <w:p>
            <w:pPr>
              <w:widowControl/>
              <w:adjustRightInd w:val="0"/>
              <w:snapToGrid w:val="0"/>
              <w:jc w:val="center"/>
              <w:rPr>
                <w:kern w:val="0"/>
                <w:szCs w:val="21"/>
              </w:rPr>
            </w:pPr>
            <w:r>
              <w:rPr>
                <w:szCs w:val="21"/>
              </w:rPr>
              <w:t>5.44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184</w:t>
            </w:r>
          </w:p>
        </w:tc>
        <w:tc>
          <w:tcPr>
            <w:tcW w:w="1134" w:type="dxa"/>
            <w:shd w:val="clear" w:color="auto" w:fill="auto"/>
            <w:noWrap/>
          </w:tcPr>
          <w:p>
            <w:pPr>
              <w:widowControl/>
              <w:adjustRightInd w:val="0"/>
              <w:snapToGrid w:val="0"/>
              <w:jc w:val="center"/>
              <w:rPr>
                <w:kern w:val="0"/>
                <w:szCs w:val="21"/>
              </w:rPr>
            </w:pPr>
            <w:r>
              <w:rPr>
                <w:szCs w:val="21"/>
              </w:rPr>
              <w:t>7.73</w:t>
            </w:r>
          </w:p>
        </w:tc>
        <w:tc>
          <w:tcPr>
            <w:tcW w:w="1701" w:type="dxa"/>
            <w:shd w:val="clear" w:color="auto" w:fill="auto"/>
            <w:noWrap/>
          </w:tcPr>
          <w:p>
            <w:pPr>
              <w:widowControl/>
              <w:adjustRightInd w:val="0"/>
              <w:snapToGrid w:val="0"/>
              <w:jc w:val="center"/>
              <w:rPr>
                <w:kern w:val="0"/>
                <w:szCs w:val="21"/>
              </w:rPr>
            </w:pPr>
            <w:r>
              <w:rPr>
                <w:szCs w:val="21"/>
              </w:rPr>
              <w:t>3.86</w:t>
            </w:r>
          </w:p>
        </w:tc>
        <w:tc>
          <w:tcPr>
            <w:tcW w:w="1701" w:type="dxa"/>
            <w:gridSpan w:val="2"/>
            <w:shd w:val="clear" w:color="auto" w:fill="auto"/>
            <w:noWrap/>
          </w:tcPr>
          <w:p>
            <w:pPr>
              <w:widowControl/>
              <w:adjustRightInd w:val="0"/>
              <w:snapToGrid w:val="0"/>
              <w:jc w:val="center"/>
              <w:rPr>
                <w:kern w:val="0"/>
                <w:szCs w:val="21"/>
              </w:rPr>
            </w:pPr>
            <w:r>
              <w:rPr>
                <w:szCs w:val="21"/>
              </w:rPr>
              <w:t>0.54</w:t>
            </w:r>
          </w:p>
        </w:tc>
        <w:tc>
          <w:tcPr>
            <w:tcW w:w="1351" w:type="dxa"/>
            <w:shd w:val="clear" w:color="auto" w:fill="auto"/>
            <w:noWrap/>
          </w:tcPr>
          <w:p>
            <w:pPr>
              <w:widowControl/>
              <w:adjustRightInd w:val="0"/>
              <w:snapToGrid w:val="0"/>
              <w:jc w:val="center"/>
              <w:rPr>
                <w:kern w:val="0"/>
                <w:szCs w:val="21"/>
              </w:rPr>
            </w:pPr>
            <w:r>
              <w:rPr>
                <w:szCs w:val="21"/>
              </w:rPr>
              <w:t>5.45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200</w:t>
            </w:r>
          </w:p>
        </w:tc>
        <w:tc>
          <w:tcPr>
            <w:tcW w:w="1134" w:type="dxa"/>
            <w:shd w:val="clear" w:color="auto" w:fill="auto"/>
            <w:noWrap/>
          </w:tcPr>
          <w:p>
            <w:pPr>
              <w:widowControl/>
              <w:adjustRightInd w:val="0"/>
              <w:snapToGrid w:val="0"/>
              <w:jc w:val="center"/>
              <w:rPr>
                <w:kern w:val="0"/>
                <w:szCs w:val="21"/>
              </w:rPr>
            </w:pPr>
            <w:r>
              <w:rPr>
                <w:szCs w:val="21"/>
              </w:rPr>
              <w:t>7.68</w:t>
            </w:r>
          </w:p>
        </w:tc>
        <w:tc>
          <w:tcPr>
            <w:tcW w:w="1701" w:type="dxa"/>
            <w:shd w:val="clear" w:color="auto" w:fill="auto"/>
            <w:noWrap/>
          </w:tcPr>
          <w:p>
            <w:pPr>
              <w:widowControl/>
              <w:adjustRightInd w:val="0"/>
              <w:snapToGrid w:val="0"/>
              <w:jc w:val="center"/>
              <w:rPr>
                <w:kern w:val="0"/>
                <w:szCs w:val="21"/>
              </w:rPr>
            </w:pPr>
            <w:r>
              <w:rPr>
                <w:szCs w:val="21"/>
              </w:rPr>
              <w:t>3.84</w:t>
            </w:r>
          </w:p>
        </w:tc>
        <w:tc>
          <w:tcPr>
            <w:tcW w:w="1701" w:type="dxa"/>
            <w:gridSpan w:val="2"/>
            <w:shd w:val="clear" w:color="auto" w:fill="auto"/>
            <w:noWrap/>
          </w:tcPr>
          <w:p>
            <w:pPr>
              <w:widowControl/>
              <w:adjustRightInd w:val="0"/>
              <w:snapToGrid w:val="0"/>
              <w:jc w:val="center"/>
              <w:rPr>
                <w:kern w:val="0"/>
                <w:szCs w:val="21"/>
              </w:rPr>
            </w:pPr>
            <w:r>
              <w:rPr>
                <w:szCs w:val="21"/>
              </w:rPr>
              <w:t>0.54</w:t>
            </w:r>
          </w:p>
        </w:tc>
        <w:tc>
          <w:tcPr>
            <w:tcW w:w="1351" w:type="dxa"/>
            <w:shd w:val="clear" w:color="auto" w:fill="auto"/>
            <w:noWrap/>
          </w:tcPr>
          <w:p>
            <w:pPr>
              <w:widowControl/>
              <w:adjustRightInd w:val="0"/>
              <w:snapToGrid w:val="0"/>
              <w:jc w:val="center"/>
              <w:rPr>
                <w:kern w:val="0"/>
                <w:szCs w:val="21"/>
              </w:rPr>
            </w:pPr>
            <w:r>
              <w:rPr>
                <w:szCs w:val="21"/>
              </w:rPr>
              <w:t>5.41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300</w:t>
            </w:r>
          </w:p>
        </w:tc>
        <w:tc>
          <w:tcPr>
            <w:tcW w:w="1134" w:type="dxa"/>
            <w:shd w:val="clear" w:color="auto" w:fill="auto"/>
            <w:noWrap/>
          </w:tcPr>
          <w:p>
            <w:pPr>
              <w:widowControl/>
              <w:adjustRightInd w:val="0"/>
              <w:snapToGrid w:val="0"/>
              <w:jc w:val="center"/>
              <w:rPr>
                <w:kern w:val="0"/>
                <w:szCs w:val="21"/>
              </w:rPr>
            </w:pPr>
            <w:r>
              <w:rPr>
                <w:szCs w:val="21"/>
              </w:rPr>
              <w:t>6.34</w:t>
            </w:r>
          </w:p>
        </w:tc>
        <w:tc>
          <w:tcPr>
            <w:tcW w:w="1701" w:type="dxa"/>
            <w:shd w:val="clear" w:color="auto" w:fill="auto"/>
            <w:noWrap/>
          </w:tcPr>
          <w:p>
            <w:pPr>
              <w:widowControl/>
              <w:adjustRightInd w:val="0"/>
              <w:snapToGrid w:val="0"/>
              <w:jc w:val="center"/>
              <w:rPr>
                <w:kern w:val="0"/>
                <w:szCs w:val="21"/>
              </w:rPr>
            </w:pPr>
            <w:r>
              <w:rPr>
                <w:szCs w:val="21"/>
              </w:rPr>
              <w:t>3.17</w:t>
            </w:r>
          </w:p>
        </w:tc>
        <w:tc>
          <w:tcPr>
            <w:tcW w:w="1701" w:type="dxa"/>
            <w:gridSpan w:val="2"/>
            <w:shd w:val="clear" w:color="auto" w:fill="auto"/>
            <w:noWrap/>
          </w:tcPr>
          <w:p>
            <w:pPr>
              <w:widowControl/>
              <w:adjustRightInd w:val="0"/>
              <w:snapToGrid w:val="0"/>
              <w:jc w:val="center"/>
              <w:rPr>
                <w:kern w:val="0"/>
                <w:szCs w:val="21"/>
              </w:rPr>
            </w:pPr>
            <w:r>
              <w:rPr>
                <w:szCs w:val="21"/>
              </w:rPr>
              <w:t>0.45</w:t>
            </w:r>
          </w:p>
        </w:tc>
        <w:tc>
          <w:tcPr>
            <w:tcW w:w="1351" w:type="dxa"/>
            <w:shd w:val="clear" w:color="auto" w:fill="auto"/>
            <w:noWrap/>
          </w:tcPr>
          <w:p>
            <w:pPr>
              <w:widowControl/>
              <w:adjustRightInd w:val="0"/>
              <w:snapToGrid w:val="0"/>
              <w:jc w:val="center"/>
              <w:rPr>
                <w:kern w:val="0"/>
                <w:szCs w:val="21"/>
              </w:rPr>
            </w:pPr>
            <w:r>
              <w:rPr>
                <w:szCs w:val="21"/>
              </w:rPr>
              <w:t>4.47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400</w:t>
            </w:r>
          </w:p>
        </w:tc>
        <w:tc>
          <w:tcPr>
            <w:tcW w:w="1134" w:type="dxa"/>
            <w:shd w:val="clear" w:color="auto" w:fill="auto"/>
            <w:noWrap/>
          </w:tcPr>
          <w:p>
            <w:pPr>
              <w:widowControl/>
              <w:adjustRightInd w:val="0"/>
              <w:snapToGrid w:val="0"/>
              <w:jc w:val="center"/>
              <w:rPr>
                <w:kern w:val="0"/>
                <w:szCs w:val="21"/>
              </w:rPr>
            </w:pPr>
            <w:r>
              <w:rPr>
                <w:szCs w:val="21"/>
              </w:rPr>
              <w:t>4.89</w:t>
            </w:r>
          </w:p>
        </w:tc>
        <w:tc>
          <w:tcPr>
            <w:tcW w:w="1701" w:type="dxa"/>
            <w:shd w:val="clear" w:color="auto" w:fill="auto"/>
            <w:noWrap/>
          </w:tcPr>
          <w:p>
            <w:pPr>
              <w:widowControl/>
              <w:adjustRightInd w:val="0"/>
              <w:snapToGrid w:val="0"/>
              <w:jc w:val="center"/>
              <w:rPr>
                <w:kern w:val="0"/>
                <w:szCs w:val="21"/>
              </w:rPr>
            </w:pPr>
            <w:r>
              <w:rPr>
                <w:szCs w:val="21"/>
              </w:rPr>
              <w:t>2.45</w:t>
            </w:r>
          </w:p>
        </w:tc>
        <w:tc>
          <w:tcPr>
            <w:tcW w:w="1701" w:type="dxa"/>
            <w:gridSpan w:val="2"/>
            <w:shd w:val="clear" w:color="auto" w:fill="auto"/>
            <w:noWrap/>
          </w:tcPr>
          <w:p>
            <w:pPr>
              <w:widowControl/>
              <w:adjustRightInd w:val="0"/>
              <w:snapToGrid w:val="0"/>
              <w:jc w:val="center"/>
              <w:rPr>
                <w:kern w:val="0"/>
                <w:szCs w:val="21"/>
              </w:rPr>
            </w:pPr>
            <w:r>
              <w:rPr>
                <w:szCs w:val="21"/>
              </w:rPr>
              <w:t>0.35</w:t>
            </w:r>
          </w:p>
        </w:tc>
        <w:tc>
          <w:tcPr>
            <w:tcW w:w="1351" w:type="dxa"/>
            <w:shd w:val="clear" w:color="auto" w:fill="auto"/>
            <w:noWrap/>
          </w:tcPr>
          <w:p>
            <w:pPr>
              <w:widowControl/>
              <w:adjustRightInd w:val="0"/>
              <w:snapToGrid w:val="0"/>
              <w:jc w:val="center"/>
              <w:rPr>
                <w:kern w:val="0"/>
                <w:szCs w:val="21"/>
              </w:rPr>
            </w:pPr>
            <w:r>
              <w:rPr>
                <w:szCs w:val="21"/>
              </w:rPr>
              <w:t>3.45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500</w:t>
            </w:r>
          </w:p>
        </w:tc>
        <w:tc>
          <w:tcPr>
            <w:tcW w:w="1134" w:type="dxa"/>
            <w:shd w:val="clear" w:color="auto" w:fill="auto"/>
            <w:noWrap/>
          </w:tcPr>
          <w:p>
            <w:pPr>
              <w:widowControl/>
              <w:adjustRightInd w:val="0"/>
              <w:snapToGrid w:val="0"/>
              <w:jc w:val="center"/>
              <w:rPr>
                <w:kern w:val="0"/>
                <w:szCs w:val="21"/>
              </w:rPr>
            </w:pPr>
            <w:r>
              <w:rPr>
                <w:szCs w:val="21"/>
              </w:rPr>
              <w:t>3.83</w:t>
            </w:r>
          </w:p>
        </w:tc>
        <w:tc>
          <w:tcPr>
            <w:tcW w:w="1701" w:type="dxa"/>
            <w:shd w:val="clear" w:color="auto" w:fill="auto"/>
            <w:noWrap/>
          </w:tcPr>
          <w:p>
            <w:pPr>
              <w:widowControl/>
              <w:adjustRightInd w:val="0"/>
              <w:snapToGrid w:val="0"/>
              <w:jc w:val="center"/>
              <w:rPr>
                <w:kern w:val="0"/>
                <w:szCs w:val="21"/>
              </w:rPr>
            </w:pPr>
            <w:r>
              <w:rPr>
                <w:szCs w:val="21"/>
              </w:rPr>
              <w:t>1.91</w:t>
            </w:r>
          </w:p>
        </w:tc>
        <w:tc>
          <w:tcPr>
            <w:tcW w:w="1701" w:type="dxa"/>
            <w:gridSpan w:val="2"/>
            <w:shd w:val="clear" w:color="auto" w:fill="auto"/>
            <w:noWrap/>
          </w:tcPr>
          <w:p>
            <w:pPr>
              <w:widowControl/>
              <w:adjustRightInd w:val="0"/>
              <w:snapToGrid w:val="0"/>
              <w:jc w:val="center"/>
              <w:rPr>
                <w:kern w:val="0"/>
                <w:szCs w:val="21"/>
              </w:rPr>
            </w:pPr>
            <w:r>
              <w:rPr>
                <w:szCs w:val="21"/>
              </w:rPr>
              <w:t>0.27</w:t>
            </w:r>
          </w:p>
        </w:tc>
        <w:tc>
          <w:tcPr>
            <w:tcW w:w="1351" w:type="dxa"/>
            <w:shd w:val="clear" w:color="auto" w:fill="auto"/>
            <w:noWrap/>
          </w:tcPr>
          <w:p>
            <w:pPr>
              <w:widowControl/>
              <w:adjustRightInd w:val="0"/>
              <w:snapToGrid w:val="0"/>
              <w:jc w:val="center"/>
              <w:rPr>
                <w:kern w:val="0"/>
                <w:szCs w:val="21"/>
              </w:rPr>
            </w:pPr>
            <w:r>
              <w:rPr>
                <w:szCs w:val="21"/>
              </w:rPr>
              <w:t>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600</w:t>
            </w:r>
          </w:p>
        </w:tc>
        <w:tc>
          <w:tcPr>
            <w:tcW w:w="1134" w:type="dxa"/>
            <w:shd w:val="clear" w:color="auto" w:fill="auto"/>
            <w:noWrap/>
          </w:tcPr>
          <w:p>
            <w:pPr>
              <w:widowControl/>
              <w:adjustRightInd w:val="0"/>
              <w:snapToGrid w:val="0"/>
              <w:jc w:val="center"/>
              <w:rPr>
                <w:kern w:val="0"/>
                <w:szCs w:val="21"/>
              </w:rPr>
            </w:pPr>
            <w:r>
              <w:rPr>
                <w:szCs w:val="21"/>
              </w:rPr>
              <w:t>3.08</w:t>
            </w:r>
          </w:p>
        </w:tc>
        <w:tc>
          <w:tcPr>
            <w:tcW w:w="1701" w:type="dxa"/>
            <w:shd w:val="clear" w:color="auto" w:fill="auto"/>
            <w:noWrap/>
          </w:tcPr>
          <w:p>
            <w:pPr>
              <w:widowControl/>
              <w:adjustRightInd w:val="0"/>
              <w:snapToGrid w:val="0"/>
              <w:jc w:val="center"/>
              <w:rPr>
                <w:kern w:val="0"/>
                <w:szCs w:val="21"/>
              </w:rPr>
            </w:pPr>
            <w:r>
              <w:rPr>
                <w:szCs w:val="21"/>
              </w:rPr>
              <w:t>1.54</w:t>
            </w:r>
          </w:p>
        </w:tc>
        <w:tc>
          <w:tcPr>
            <w:tcW w:w="1701" w:type="dxa"/>
            <w:gridSpan w:val="2"/>
            <w:shd w:val="clear" w:color="auto" w:fill="auto"/>
            <w:noWrap/>
          </w:tcPr>
          <w:p>
            <w:pPr>
              <w:widowControl/>
              <w:adjustRightInd w:val="0"/>
              <w:snapToGrid w:val="0"/>
              <w:jc w:val="center"/>
              <w:rPr>
                <w:kern w:val="0"/>
                <w:szCs w:val="21"/>
              </w:rPr>
            </w:pPr>
            <w:r>
              <w:rPr>
                <w:szCs w:val="21"/>
              </w:rPr>
              <w:t>0.22</w:t>
            </w:r>
          </w:p>
        </w:tc>
        <w:tc>
          <w:tcPr>
            <w:tcW w:w="1351" w:type="dxa"/>
            <w:shd w:val="clear" w:color="auto" w:fill="auto"/>
            <w:noWrap/>
          </w:tcPr>
          <w:p>
            <w:pPr>
              <w:widowControl/>
              <w:adjustRightInd w:val="0"/>
              <w:snapToGrid w:val="0"/>
              <w:jc w:val="center"/>
              <w:rPr>
                <w:kern w:val="0"/>
                <w:szCs w:val="21"/>
              </w:rPr>
            </w:pPr>
            <w:r>
              <w:rPr>
                <w:szCs w:val="21"/>
              </w:rPr>
              <w:t>2.17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700</w:t>
            </w:r>
          </w:p>
        </w:tc>
        <w:tc>
          <w:tcPr>
            <w:tcW w:w="1134" w:type="dxa"/>
            <w:shd w:val="clear" w:color="auto" w:fill="auto"/>
            <w:noWrap/>
          </w:tcPr>
          <w:p>
            <w:pPr>
              <w:widowControl/>
              <w:adjustRightInd w:val="0"/>
              <w:snapToGrid w:val="0"/>
              <w:jc w:val="center"/>
              <w:rPr>
                <w:kern w:val="0"/>
                <w:szCs w:val="21"/>
              </w:rPr>
            </w:pPr>
            <w:r>
              <w:rPr>
                <w:szCs w:val="21"/>
              </w:rPr>
              <w:t>2.54</w:t>
            </w:r>
          </w:p>
        </w:tc>
        <w:tc>
          <w:tcPr>
            <w:tcW w:w="1701" w:type="dxa"/>
            <w:shd w:val="clear" w:color="auto" w:fill="auto"/>
            <w:noWrap/>
          </w:tcPr>
          <w:p>
            <w:pPr>
              <w:widowControl/>
              <w:adjustRightInd w:val="0"/>
              <w:snapToGrid w:val="0"/>
              <w:jc w:val="center"/>
              <w:rPr>
                <w:kern w:val="0"/>
                <w:szCs w:val="21"/>
              </w:rPr>
            </w:pPr>
            <w:r>
              <w:rPr>
                <w:szCs w:val="21"/>
              </w:rPr>
              <w:t>1.27</w:t>
            </w:r>
          </w:p>
        </w:tc>
        <w:tc>
          <w:tcPr>
            <w:tcW w:w="1701" w:type="dxa"/>
            <w:gridSpan w:val="2"/>
            <w:shd w:val="clear" w:color="auto" w:fill="auto"/>
            <w:noWrap/>
          </w:tcPr>
          <w:p>
            <w:pPr>
              <w:widowControl/>
              <w:adjustRightInd w:val="0"/>
              <w:snapToGrid w:val="0"/>
              <w:jc w:val="center"/>
              <w:rPr>
                <w:kern w:val="0"/>
                <w:szCs w:val="21"/>
              </w:rPr>
            </w:pPr>
            <w:r>
              <w:rPr>
                <w:szCs w:val="21"/>
              </w:rPr>
              <w:t>0.18</w:t>
            </w:r>
          </w:p>
        </w:tc>
        <w:tc>
          <w:tcPr>
            <w:tcW w:w="1351" w:type="dxa"/>
            <w:shd w:val="clear" w:color="auto" w:fill="auto"/>
            <w:noWrap/>
          </w:tcPr>
          <w:p>
            <w:pPr>
              <w:widowControl/>
              <w:adjustRightInd w:val="0"/>
              <w:snapToGrid w:val="0"/>
              <w:jc w:val="center"/>
              <w:rPr>
                <w:kern w:val="0"/>
                <w:szCs w:val="21"/>
              </w:rPr>
            </w:pPr>
            <w:r>
              <w:rPr>
                <w:szCs w:val="21"/>
              </w:rPr>
              <w:t>1.79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800</w:t>
            </w:r>
          </w:p>
        </w:tc>
        <w:tc>
          <w:tcPr>
            <w:tcW w:w="1134" w:type="dxa"/>
            <w:shd w:val="clear" w:color="auto" w:fill="auto"/>
            <w:noWrap/>
          </w:tcPr>
          <w:p>
            <w:pPr>
              <w:widowControl/>
              <w:adjustRightInd w:val="0"/>
              <w:snapToGrid w:val="0"/>
              <w:jc w:val="center"/>
              <w:rPr>
                <w:kern w:val="0"/>
                <w:szCs w:val="21"/>
              </w:rPr>
            </w:pPr>
            <w:r>
              <w:rPr>
                <w:szCs w:val="21"/>
              </w:rPr>
              <w:t>2.13</w:t>
            </w:r>
          </w:p>
        </w:tc>
        <w:tc>
          <w:tcPr>
            <w:tcW w:w="1701" w:type="dxa"/>
            <w:shd w:val="clear" w:color="auto" w:fill="auto"/>
            <w:noWrap/>
          </w:tcPr>
          <w:p>
            <w:pPr>
              <w:widowControl/>
              <w:adjustRightInd w:val="0"/>
              <w:snapToGrid w:val="0"/>
              <w:jc w:val="center"/>
              <w:rPr>
                <w:kern w:val="0"/>
                <w:szCs w:val="21"/>
              </w:rPr>
            </w:pPr>
            <w:r>
              <w:rPr>
                <w:szCs w:val="21"/>
              </w:rPr>
              <w:t>1.07</w:t>
            </w:r>
          </w:p>
        </w:tc>
        <w:tc>
          <w:tcPr>
            <w:tcW w:w="1701" w:type="dxa"/>
            <w:gridSpan w:val="2"/>
            <w:shd w:val="clear" w:color="auto" w:fill="auto"/>
            <w:noWrap/>
          </w:tcPr>
          <w:p>
            <w:pPr>
              <w:widowControl/>
              <w:adjustRightInd w:val="0"/>
              <w:snapToGrid w:val="0"/>
              <w:jc w:val="center"/>
              <w:rPr>
                <w:kern w:val="0"/>
                <w:szCs w:val="21"/>
              </w:rPr>
            </w:pPr>
            <w:r>
              <w:rPr>
                <w:szCs w:val="21"/>
              </w:rPr>
              <w:t>0.15</w:t>
            </w:r>
          </w:p>
        </w:tc>
        <w:tc>
          <w:tcPr>
            <w:tcW w:w="1351" w:type="dxa"/>
            <w:shd w:val="clear" w:color="auto" w:fill="auto"/>
            <w:noWrap/>
          </w:tcPr>
          <w:p>
            <w:pPr>
              <w:widowControl/>
              <w:adjustRightInd w:val="0"/>
              <w:snapToGrid w:val="0"/>
              <w:jc w:val="center"/>
              <w:rPr>
                <w:kern w:val="0"/>
                <w:szCs w:val="21"/>
              </w:rPr>
            </w:pPr>
            <w:r>
              <w:rPr>
                <w:szCs w:val="21"/>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kern w:val="0"/>
                <w:szCs w:val="21"/>
              </w:rPr>
            </w:pPr>
            <w:r>
              <w:rPr>
                <w:szCs w:val="21"/>
              </w:rPr>
              <w:t>900</w:t>
            </w:r>
          </w:p>
        </w:tc>
        <w:tc>
          <w:tcPr>
            <w:tcW w:w="1134" w:type="dxa"/>
            <w:shd w:val="clear" w:color="auto" w:fill="auto"/>
            <w:noWrap/>
          </w:tcPr>
          <w:p>
            <w:pPr>
              <w:widowControl/>
              <w:adjustRightInd w:val="0"/>
              <w:snapToGrid w:val="0"/>
              <w:jc w:val="center"/>
              <w:rPr>
                <w:kern w:val="0"/>
                <w:szCs w:val="21"/>
              </w:rPr>
            </w:pPr>
            <w:r>
              <w:rPr>
                <w:szCs w:val="21"/>
              </w:rPr>
              <w:t>1.83</w:t>
            </w:r>
          </w:p>
        </w:tc>
        <w:tc>
          <w:tcPr>
            <w:tcW w:w="1701" w:type="dxa"/>
            <w:shd w:val="clear" w:color="auto" w:fill="auto"/>
            <w:noWrap/>
          </w:tcPr>
          <w:p>
            <w:pPr>
              <w:widowControl/>
              <w:adjustRightInd w:val="0"/>
              <w:snapToGrid w:val="0"/>
              <w:jc w:val="center"/>
              <w:rPr>
                <w:kern w:val="0"/>
                <w:szCs w:val="21"/>
              </w:rPr>
            </w:pPr>
            <w:r>
              <w:rPr>
                <w:szCs w:val="21"/>
              </w:rPr>
              <w:t>0.92</w:t>
            </w:r>
          </w:p>
        </w:tc>
        <w:tc>
          <w:tcPr>
            <w:tcW w:w="1701" w:type="dxa"/>
            <w:gridSpan w:val="2"/>
            <w:shd w:val="clear" w:color="auto" w:fill="auto"/>
            <w:noWrap/>
          </w:tcPr>
          <w:p>
            <w:pPr>
              <w:widowControl/>
              <w:adjustRightInd w:val="0"/>
              <w:snapToGrid w:val="0"/>
              <w:jc w:val="center"/>
              <w:rPr>
                <w:kern w:val="0"/>
                <w:szCs w:val="21"/>
              </w:rPr>
            </w:pPr>
            <w:r>
              <w:rPr>
                <w:szCs w:val="21"/>
              </w:rPr>
              <w:t>0.13</w:t>
            </w:r>
          </w:p>
        </w:tc>
        <w:tc>
          <w:tcPr>
            <w:tcW w:w="1351" w:type="dxa"/>
            <w:shd w:val="clear" w:color="auto" w:fill="auto"/>
            <w:noWrap/>
          </w:tcPr>
          <w:p>
            <w:pPr>
              <w:widowControl/>
              <w:adjustRightInd w:val="0"/>
              <w:snapToGrid w:val="0"/>
              <w:jc w:val="center"/>
              <w:rPr>
                <w:kern w:val="0"/>
                <w:szCs w:val="21"/>
              </w:rPr>
            </w:pPr>
            <w:r>
              <w:rPr>
                <w:szCs w:val="21"/>
              </w:rPr>
              <w:t>1.29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szCs w:val="21"/>
              </w:rPr>
            </w:pPr>
            <w:r>
              <w:rPr>
                <w:szCs w:val="21"/>
              </w:rPr>
              <w:t>1000</w:t>
            </w:r>
          </w:p>
        </w:tc>
        <w:tc>
          <w:tcPr>
            <w:tcW w:w="1134" w:type="dxa"/>
            <w:shd w:val="clear" w:color="auto" w:fill="auto"/>
            <w:noWrap/>
          </w:tcPr>
          <w:p>
            <w:pPr>
              <w:widowControl/>
              <w:adjustRightInd w:val="0"/>
              <w:snapToGrid w:val="0"/>
              <w:jc w:val="center"/>
              <w:rPr>
                <w:kern w:val="0"/>
                <w:szCs w:val="21"/>
              </w:rPr>
            </w:pPr>
            <w:r>
              <w:rPr>
                <w:szCs w:val="21"/>
              </w:rPr>
              <w:t>1.59</w:t>
            </w:r>
          </w:p>
        </w:tc>
        <w:tc>
          <w:tcPr>
            <w:tcW w:w="1701" w:type="dxa"/>
            <w:shd w:val="clear" w:color="auto" w:fill="auto"/>
            <w:noWrap/>
          </w:tcPr>
          <w:p>
            <w:pPr>
              <w:widowControl/>
              <w:adjustRightInd w:val="0"/>
              <w:snapToGrid w:val="0"/>
              <w:jc w:val="center"/>
              <w:rPr>
                <w:kern w:val="0"/>
                <w:szCs w:val="21"/>
              </w:rPr>
            </w:pPr>
            <w:r>
              <w:rPr>
                <w:szCs w:val="21"/>
              </w:rPr>
              <w:t>0.8</w:t>
            </w:r>
          </w:p>
        </w:tc>
        <w:tc>
          <w:tcPr>
            <w:tcW w:w="1701" w:type="dxa"/>
            <w:gridSpan w:val="2"/>
            <w:shd w:val="clear" w:color="auto" w:fill="auto"/>
            <w:noWrap/>
          </w:tcPr>
          <w:p>
            <w:pPr>
              <w:widowControl/>
              <w:adjustRightInd w:val="0"/>
              <w:snapToGrid w:val="0"/>
              <w:jc w:val="center"/>
              <w:rPr>
                <w:kern w:val="0"/>
                <w:szCs w:val="21"/>
              </w:rPr>
            </w:pPr>
            <w:r>
              <w:rPr>
                <w:szCs w:val="21"/>
              </w:rPr>
              <w:t>0.11</w:t>
            </w:r>
          </w:p>
        </w:tc>
        <w:tc>
          <w:tcPr>
            <w:tcW w:w="1351" w:type="dxa"/>
            <w:shd w:val="clear" w:color="auto" w:fill="auto"/>
            <w:noWrap/>
          </w:tcPr>
          <w:p>
            <w:pPr>
              <w:widowControl/>
              <w:adjustRightInd w:val="0"/>
              <w:snapToGrid w:val="0"/>
              <w:jc w:val="center"/>
              <w:rPr>
                <w:kern w:val="0"/>
                <w:szCs w:val="21"/>
              </w:rPr>
            </w:pPr>
            <w:r>
              <w:rPr>
                <w:szCs w:val="21"/>
              </w:rPr>
              <w:t>1.12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szCs w:val="21"/>
              </w:rPr>
            </w:pPr>
            <w:r>
              <w:rPr>
                <w:szCs w:val="21"/>
              </w:rPr>
              <w:t>1500</w:t>
            </w:r>
          </w:p>
        </w:tc>
        <w:tc>
          <w:tcPr>
            <w:tcW w:w="1134" w:type="dxa"/>
            <w:shd w:val="clear" w:color="auto" w:fill="auto"/>
            <w:noWrap/>
          </w:tcPr>
          <w:p>
            <w:pPr>
              <w:widowControl/>
              <w:adjustRightInd w:val="0"/>
              <w:snapToGrid w:val="0"/>
              <w:jc w:val="center"/>
              <w:rPr>
                <w:kern w:val="0"/>
                <w:szCs w:val="21"/>
              </w:rPr>
            </w:pPr>
            <w:r>
              <w:rPr>
                <w:szCs w:val="21"/>
              </w:rPr>
              <w:t>0.92</w:t>
            </w:r>
          </w:p>
        </w:tc>
        <w:tc>
          <w:tcPr>
            <w:tcW w:w="1701" w:type="dxa"/>
            <w:shd w:val="clear" w:color="auto" w:fill="auto"/>
            <w:noWrap/>
          </w:tcPr>
          <w:p>
            <w:pPr>
              <w:widowControl/>
              <w:adjustRightInd w:val="0"/>
              <w:snapToGrid w:val="0"/>
              <w:jc w:val="center"/>
              <w:rPr>
                <w:kern w:val="0"/>
                <w:szCs w:val="21"/>
              </w:rPr>
            </w:pPr>
            <w:r>
              <w:rPr>
                <w:szCs w:val="21"/>
              </w:rPr>
              <w:t>0.46</w:t>
            </w:r>
          </w:p>
        </w:tc>
        <w:tc>
          <w:tcPr>
            <w:tcW w:w="1701" w:type="dxa"/>
            <w:gridSpan w:val="2"/>
            <w:shd w:val="clear" w:color="auto" w:fill="auto"/>
            <w:noWrap/>
          </w:tcPr>
          <w:p>
            <w:pPr>
              <w:widowControl/>
              <w:adjustRightInd w:val="0"/>
              <w:snapToGrid w:val="0"/>
              <w:jc w:val="center"/>
              <w:rPr>
                <w:kern w:val="0"/>
                <w:szCs w:val="21"/>
              </w:rPr>
            </w:pPr>
            <w:r>
              <w:rPr>
                <w:szCs w:val="21"/>
              </w:rPr>
              <w:t>0.07</w:t>
            </w:r>
          </w:p>
        </w:tc>
        <w:tc>
          <w:tcPr>
            <w:tcW w:w="1351" w:type="dxa"/>
            <w:shd w:val="clear" w:color="auto" w:fill="auto"/>
            <w:noWrap/>
          </w:tcPr>
          <w:p>
            <w:pPr>
              <w:widowControl/>
              <w:adjustRightInd w:val="0"/>
              <w:snapToGrid w:val="0"/>
              <w:jc w:val="center"/>
              <w:rPr>
                <w:kern w:val="0"/>
                <w:szCs w:val="21"/>
              </w:rPr>
            </w:pPr>
            <w:r>
              <w:rPr>
                <w:szCs w:val="21"/>
              </w:rPr>
              <w:t>0.65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szCs w:val="21"/>
              </w:rPr>
            </w:pPr>
            <w:r>
              <w:rPr>
                <w:szCs w:val="21"/>
              </w:rPr>
              <w:t>2000</w:t>
            </w:r>
          </w:p>
        </w:tc>
        <w:tc>
          <w:tcPr>
            <w:tcW w:w="1134" w:type="dxa"/>
            <w:shd w:val="clear" w:color="auto" w:fill="auto"/>
            <w:noWrap/>
          </w:tcPr>
          <w:p>
            <w:pPr>
              <w:widowControl/>
              <w:adjustRightInd w:val="0"/>
              <w:snapToGrid w:val="0"/>
              <w:jc w:val="center"/>
              <w:rPr>
                <w:kern w:val="0"/>
                <w:szCs w:val="21"/>
              </w:rPr>
            </w:pPr>
            <w:r>
              <w:rPr>
                <w:szCs w:val="21"/>
              </w:rPr>
              <w:t>0.62</w:t>
            </w:r>
          </w:p>
        </w:tc>
        <w:tc>
          <w:tcPr>
            <w:tcW w:w="1701" w:type="dxa"/>
            <w:shd w:val="clear" w:color="auto" w:fill="auto"/>
            <w:noWrap/>
          </w:tcPr>
          <w:p>
            <w:pPr>
              <w:widowControl/>
              <w:adjustRightInd w:val="0"/>
              <w:snapToGrid w:val="0"/>
              <w:jc w:val="center"/>
              <w:rPr>
                <w:kern w:val="0"/>
                <w:szCs w:val="21"/>
              </w:rPr>
            </w:pPr>
            <w:r>
              <w:rPr>
                <w:szCs w:val="21"/>
              </w:rPr>
              <w:t>0.31</w:t>
            </w:r>
          </w:p>
        </w:tc>
        <w:tc>
          <w:tcPr>
            <w:tcW w:w="1701" w:type="dxa"/>
            <w:gridSpan w:val="2"/>
            <w:shd w:val="clear" w:color="auto" w:fill="auto"/>
            <w:noWrap/>
          </w:tcPr>
          <w:p>
            <w:pPr>
              <w:widowControl/>
              <w:adjustRightInd w:val="0"/>
              <w:snapToGrid w:val="0"/>
              <w:jc w:val="center"/>
              <w:rPr>
                <w:kern w:val="0"/>
                <w:szCs w:val="21"/>
              </w:rPr>
            </w:pPr>
            <w:r>
              <w:rPr>
                <w:szCs w:val="21"/>
              </w:rPr>
              <w:t>0.04</w:t>
            </w:r>
          </w:p>
        </w:tc>
        <w:tc>
          <w:tcPr>
            <w:tcW w:w="1351" w:type="dxa"/>
            <w:shd w:val="clear" w:color="auto" w:fill="auto"/>
            <w:noWrap/>
          </w:tcPr>
          <w:p>
            <w:pPr>
              <w:widowControl/>
              <w:adjustRightInd w:val="0"/>
              <w:snapToGrid w:val="0"/>
              <w:jc w:val="center"/>
              <w:rPr>
                <w:kern w:val="0"/>
                <w:szCs w:val="21"/>
              </w:rPr>
            </w:pPr>
            <w:r>
              <w:rPr>
                <w:szCs w:val="21"/>
              </w:rPr>
              <w:t>0.44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szCs w:val="21"/>
              </w:rPr>
            </w:pPr>
            <w:r>
              <w:rPr>
                <w:szCs w:val="21"/>
              </w:rPr>
              <w:t>2500</w:t>
            </w:r>
          </w:p>
        </w:tc>
        <w:tc>
          <w:tcPr>
            <w:tcW w:w="1134" w:type="dxa"/>
            <w:shd w:val="clear" w:color="auto" w:fill="auto"/>
            <w:noWrap/>
          </w:tcPr>
          <w:p>
            <w:pPr>
              <w:widowControl/>
              <w:adjustRightInd w:val="0"/>
              <w:snapToGrid w:val="0"/>
              <w:jc w:val="center"/>
              <w:rPr>
                <w:kern w:val="0"/>
                <w:szCs w:val="21"/>
              </w:rPr>
            </w:pPr>
            <w:r>
              <w:rPr>
                <w:szCs w:val="21"/>
              </w:rPr>
              <w:t>0.47</w:t>
            </w:r>
          </w:p>
        </w:tc>
        <w:tc>
          <w:tcPr>
            <w:tcW w:w="1701" w:type="dxa"/>
            <w:shd w:val="clear" w:color="auto" w:fill="auto"/>
            <w:noWrap/>
          </w:tcPr>
          <w:p>
            <w:pPr>
              <w:widowControl/>
              <w:adjustRightInd w:val="0"/>
              <w:snapToGrid w:val="0"/>
              <w:jc w:val="center"/>
              <w:rPr>
                <w:kern w:val="0"/>
                <w:szCs w:val="21"/>
              </w:rPr>
            </w:pPr>
            <w:r>
              <w:rPr>
                <w:szCs w:val="21"/>
              </w:rPr>
              <w:t>0.23</w:t>
            </w:r>
          </w:p>
        </w:tc>
        <w:tc>
          <w:tcPr>
            <w:tcW w:w="1701" w:type="dxa"/>
            <w:gridSpan w:val="2"/>
            <w:shd w:val="clear" w:color="auto" w:fill="auto"/>
            <w:noWrap/>
          </w:tcPr>
          <w:p>
            <w:pPr>
              <w:widowControl/>
              <w:adjustRightInd w:val="0"/>
              <w:snapToGrid w:val="0"/>
              <w:jc w:val="center"/>
              <w:rPr>
                <w:kern w:val="0"/>
                <w:szCs w:val="21"/>
              </w:rPr>
            </w:pPr>
            <w:r>
              <w:rPr>
                <w:szCs w:val="21"/>
              </w:rPr>
              <w:t>0.03</w:t>
            </w:r>
          </w:p>
        </w:tc>
        <w:tc>
          <w:tcPr>
            <w:tcW w:w="1351" w:type="dxa"/>
            <w:shd w:val="clear" w:color="auto" w:fill="auto"/>
            <w:noWrap/>
          </w:tcPr>
          <w:p>
            <w:pPr>
              <w:widowControl/>
              <w:adjustRightInd w:val="0"/>
              <w:snapToGrid w:val="0"/>
              <w:jc w:val="center"/>
              <w:rPr>
                <w:kern w:val="0"/>
                <w:szCs w:val="21"/>
              </w:rPr>
            </w:pPr>
            <w:r>
              <w:rPr>
                <w:szCs w:val="21"/>
              </w:rPr>
              <w:t>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kern w:val="0"/>
                <w:szCs w:val="21"/>
              </w:rPr>
            </w:pPr>
            <w:r>
              <w:rPr>
                <w:kern w:val="0"/>
                <w:szCs w:val="21"/>
              </w:rPr>
              <w:t>下风向最大质量浓度及占标率/%</w:t>
            </w:r>
          </w:p>
        </w:tc>
        <w:tc>
          <w:tcPr>
            <w:tcW w:w="1134" w:type="dxa"/>
            <w:shd w:val="clear" w:color="auto" w:fill="auto"/>
            <w:noWrap/>
            <w:vAlign w:val="center"/>
          </w:tcPr>
          <w:p>
            <w:pPr>
              <w:widowControl/>
              <w:adjustRightInd w:val="0"/>
              <w:snapToGrid w:val="0"/>
              <w:jc w:val="center"/>
              <w:rPr>
                <w:kern w:val="0"/>
                <w:szCs w:val="21"/>
              </w:rPr>
            </w:pPr>
            <w:r>
              <w:rPr>
                <w:kern w:val="0"/>
                <w:szCs w:val="21"/>
              </w:rPr>
              <w:t>7.73</w:t>
            </w:r>
          </w:p>
        </w:tc>
        <w:tc>
          <w:tcPr>
            <w:tcW w:w="1701" w:type="dxa"/>
            <w:shd w:val="clear" w:color="auto" w:fill="auto"/>
            <w:noWrap/>
            <w:vAlign w:val="center"/>
          </w:tcPr>
          <w:p>
            <w:pPr>
              <w:widowControl/>
              <w:adjustRightInd w:val="0"/>
              <w:snapToGrid w:val="0"/>
              <w:jc w:val="center"/>
              <w:rPr>
                <w:kern w:val="0"/>
                <w:szCs w:val="21"/>
              </w:rPr>
            </w:pPr>
            <w:r>
              <w:rPr>
                <w:kern w:val="0"/>
                <w:szCs w:val="21"/>
              </w:rPr>
              <w:t>3.86</w:t>
            </w:r>
          </w:p>
        </w:tc>
        <w:tc>
          <w:tcPr>
            <w:tcW w:w="1701" w:type="dxa"/>
            <w:gridSpan w:val="2"/>
            <w:shd w:val="clear" w:color="auto" w:fill="auto"/>
            <w:noWrap/>
            <w:vAlign w:val="center"/>
          </w:tcPr>
          <w:p>
            <w:pPr>
              <w:widowControl/>
              <w:adjustRightInd w:val="0"/>
              <w:snapToGrid w:val="0"/>
              <w:jc w:val="center"/>
              <w:rPr>
                <w:kern w:val="0"/>
                <w:szCs w:val="21"/>
              </w:rPr>
            </w:pPr>
            <w:r>
              <w:rPr>
                <w:kern w:val="0"/>
                <w:szCs w:val="21"/>
              </w:rPr>
              <w:t>0.54</w:t>
            </w:r>
          </w:p>
        </w:tc>
        <w:tc>
          <w:tcPr>
            <w:tcW w:w="1351" w:type="dxa"/>
            <w:shd w:val="clear" w:color="auto" w:fill="auto"/>
            <w:noWrap/>
            <w:vAlign w:val="center"/>
          </w:tcPr>
          <w:p>
            <w:pPr>
              <w:widowControl/>
              <w:adjustRightInd w:val="0"/>
              <w:snapToGrid w:val="0"/>
              <w:jc w:val="center"/>
              <w:rPr>
                <w:kern w:val="0"/>
                <w:szCs w:val="21"/>
              </w:rPr>
            </w:pPr>
            <w:r>
              <w:rPr>
                <w:kern w:val="0"/>
                <w:szCs w:val="21"/>
              </w:rPr>
              <w:t>5.54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kern w:val="0"/>
                <w:szCs w:val="21"/>
              </w:rPr>
            </w:pPr>
            <w:r>
              <w:rPr>
                <w:kern w:val="0"/>
                <w:szCs w:val="21"/>
              </w:rPr>
              <w:t>最大地面浓度对应距离</w:t>
            </w:r>
          </w:p>
        </w:tc>
        <w:tc>
          <w:tcPr>
            <w:tcW w:w="5887" w:type="dxa"/>
            <w:gridSpan w:val="5"/>
            <w:shd w:val="clear" w:color="auto" w:fill="auto"/>
            <w:noWrap/>
            <w:vAlign w:val="center"/>
          </w:tcPr>
          <w:p>
            <w:pPr>
              <w:widowControl/>
              <w:adjustRightInd w:val="0"/>
              <w:snapToGrid w:val="0"/>
              <w:jc w:val="center"/>
              <w:rPr>
                <w:kern w:val="0"/>
                <w:szCs w:val="21"/>
              </w:rPr>
            </w:pPr>
            <w:r>
              <w:rPr>
                <w:kern w:val="0"/>
                <w:szCs w:val="21"/>
              </w:rPr>
              <w:t>184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restart"/>
            <w:tcBorders>
              <w:top w:val="single" w:color="auto" w:sz="4" w:space="0"/>
              <w:left w:val="single" w:color="auto" w:sz="12" w:space="0"/>
              <w:right w:val="single" w:color="auto" w:sz="4" w:space="0"/>
            </w:tcBorders>
            <w:shd w:val="clear" w:color="auto" w:fill="auto"/>
            <w:noWrap/>
            <w:vAlign w:val="center"/>
          </w:tcPr>
          <w:p>
            <w:pPr>
              <w:widowControl/>
              <w:adjustRightInd w:val="0"/>
              <w:snapToGrid w:val="0"/>
              <w:jc w:val="center"/>
              <w:rPr>
                <w:color w:val="FF0000"/>
                <w:kern w:val="0"/>
                <w:szCs w:val="21"/>
              </w:rPr>
            </w:pPr>
            <w:r>
              <w:rPr>
                <w:color w:val="FF0000"/>
                <w:kern w:val="0"/>
                <w:szCs w:val="21"/>
              </w:rPr>
              <w:t>离源距离(m)</w:t>
            </w:r>
          </w:p>
        </w:tc>
        <w:tc>
          <w:tcPr>
            <w:tcW w:w="5887" w:type="dxa"/>
            <w:gridSpan w:val="5"/>
            <w:tcBorders>
              <w:top w:val="single" w:color="auto" w:sz="4" w:space="0"/>
              <w:left w:val="single" w:color="auto" w:sz="4" w:space="0"/>
              <w:bottom w:val="single" w:color="auto" w:sz="4" w:space="0"/>
              <w:right w:val="single" w:color="auto" w:sz="12" w:space="0"/>
            </w:tcBorders>
            <w:shd w:val="clear" w:color="auto" w:fill="auto"/>
            <w:noWrap/>
            <w:vAlign w:val="center"/>
          </w:tcPr>
          <w:p>
            <w:pPr>
              <w:widowControl/>
              <w:adjustRightInd w:val="0"/>
              <w:snapToGrid w:val="0"/>
              <w:jc w:val="center"/>
              <w:rPr>
                <w:color w:val="FF0000"/>
                <w:kern w:val="0"/>
                <w:szCs w:val="21"/>
              </w:rPr>
            </w:pPr>
            <w:r>
              <w:rPr>
                <w:color w:val="FF0000"/>
                <w:kern w:val="0"/>
                <w:szCs w:val="21"/>
              </w:rPr>
              <w:t>作业区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continue"/>
            <w:tcBorders>
              <w:left w:val="single" w:color="auto" w:sz="12" w:space="0"/>
              <w:right w:val="single" w:color="auto" w:sz="4" w:space="0"/>
            </w:tcBorders>
            <w:shd w:val="clear" w:color="auto" w:fill="auto"/>
            <w:noWrap/>
            <w:vAlign w:val="center"/>
          </w:tcPr>
          <w:p>
            <w:pPr>
              <w:adjustRightInd w:val="0"/>
              <w:snapToGrid w:val="0"/>
              <w:jc w:val="center"/>
              <w:rPr>
                <w:color w:val="FF0000"/>
                <w:kern w:val="0"/>
                <w:szCs w:val="21"/>
              </w:rPr>
            </w:pPr>
          </w:p>
        </w:tc>
        <w:tc>
          <w:tcPr>
            <w:tcW w:w="5887" w:type="dxa"/>
            <w:gridSpan w:val="5"/>
            <w:tcBorders>
              <w:left w:val="single" w:color="auto" w:sz="4" w:space="0"/>
            </w:tcBorders>
            <w:shd w:val="clear" w:color="auto" w:fill="auto"/>
            <w:noWrap/>
            <w:vAlign w:val="center"/>
          </w:tcPr>
          <w:p>
            <w:pPr>
              <w:widowControl/>
              <w:adjustRightInd w:val="0"/>
              <w:snapToGrid w:val="0"/>
              <w:jc w:val="center"/>
              <w:rPr>
                <w:color w:val="FF0000"/>
                <w:kern w:val="0"/>
                <w:szCs w:val="21"/>
              </w:rPr>
            </w:pPr>
            <w:r>
              <w:rPr>
                <w:color w:val="FF0000"/>
                <w:kern w:val="0"/>
                <w:szCs w:val="21"/>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continue"/>
            <w:tcBorders>
              <w:left w:val="single" w:color="auto" w:sz="12" w:space="0"/>
              <w:right w:val="single" w:color="auto" w:sz="4" w:space="0"/>
            </w:tcBorders>
            <w:shd w:val="clear" w:color="auto" w:fill="auto"/>
            <w:noWrap/>
            <w:vAlign w:val="center"/>
          </w:tcPr>
          <w:p>
            <w:pPr>
              <w:adjustRightInd w:val="0"/>
              <w:snapToGrid w:val="0"/>
              <w:jc w:val="center"/>
              <w:rPr>
                <w:color w:val="FF0000"/>
                <w:kern w:val="0"/>
                <w:szCs w:val="21"/>
              </w:rPr>
            </w:pPr>
          </w:p>
        </w:tc>
        <w:tc>
          <w:tcPr>
            <w:tcW w:w="2977" w:type="dxa"/>
            <w:gridSpan w:val="3"/>
            <w:tcBorders>
              <w:left w:val="single" w:color="auto" w:sz="4" w:space="0"/>
            </w:tcBorders>
            <w:shd w:val="clear" w:color="auto" w:fill="auto"/>
            <w:noWrap/>
            <w:vAlign w:val="center"/>
          </w:tcPr>
          <w:p>
            <w:pPr>
              <w:widowControl/>
              <w:adjustRightInd w:val="0"/>
              <w:snapToGrid w:val="0"/>
              <w:jc w:val="center"/>
              <w:rPr>
                <w:color w:val="FF0000"/>
                <w:kern w:val="0"/>
                <w:szCs w:val="21"/>
              </w:rPr>
            </w:pPr>
            <w:r>
              <w:rPr>
                <w:color w:val="FF0000"/>
                <w:kern w:val="0"/>
                <w:szCs w:val="21"/>
              </w:rPr>
              <w:t>小时浓度ug/m</w:t>
            </w:r>
            <w:r>
              <w:rPr>
                <w:color w:val="FF0000"/>
                <w:kern w:val="0"/>
                <w:szCs w:val="21"/>
                <w:vertAlign w:val="superscript"/>
              </w:rPr>
              <w:t>3</w:t>
            </w:r>
          </w:p>
        </w:tc>
        <w:tc>
          <w:tcPr>
            <w:tcW w:w="2910" w:type="dxa"/>
            <w:gridSpan w:val="2"/>
            <w:shd w:val="clear" w:color="auto" w:fill="auto"/>
            <w:vAlign w:val="center"/>
          </w:tcPr>
          <w:p>
            <w:pPr>
              <w:widowControl/>
              <w:adjustRightInd w:val="0"/>
              <w:snapToGrid w:val="0"/>
              <w:jc w:val="center"/>
              <w:rPr>
                <w:color w:val="FF0000"/>
                <w:kern w:val="0"/>
                <w:szCs w:val="21"/>
              </w:rPr>
            </w:pPr>
            <w:r>
              <w:rPr>
                <w:color w:val="FF0000"/>
                <w:kern w:val="0"/>
                <w:szCs w:val="21"/>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kern w:val="0"/>
                <w:szCs w:val="21"/>
              </w:rPr>
            </w:pPr>
            <w:r>
              <w:rPr>
                <w:rFonts w:eastAsia="等线"/>
                <w:color w:val="FF0000"/>
                <w:sz w:val="22"/>
                <w:szCs w:val="22"/>
              </w:rPr>
              <w:t>10</w:t>
            </w:r>
          </w:p>
        </w:tc>
        <w:tc>
          <w:tcPr>
            <w:tcW w:w="2977" w:type="dxa"/>
            <w:gridSpan w:val="3"/>
            <w:shd w:val="clear" w:color="auto" w:fill="auto"/>
            <w:noWrap/>
          </w:tcPr>
          <w:p>
            <w:pPr>
              <w:widowControl/>
              <w:adjustRightInd w:val="0"/>
              <w:snapToGrid w:val="0"/>
              <w:jc w:val="center"/>
              <w:rPr>
                <w:color w:val="FF0000"/>
                <w:kern w:val="0"/>
                <w:szCs w:val="21"/>
              </w:rPr>
            </w:pPr>
            <w:r>
              <w:rPr>
                <w:color w:val="FF0000"/>
              </w:rPr>
              <w:t>27.23</w:t>
            </w:r>
          </w:p>
        </w:tc>
        <w:tc>
          <w:tcPr>
            <w:tcW w:w="2910" w:type="dxa"/>
            <w:gridSpan w:val="2"/>
            <w:shd w:val="clear" w:color="auto" w:fill="auto"/>
            <w:noWrap/>
          </w:tcPr>
          <w:p>
            <w:pPr>
              <w:widowControl/>
              <w:adjustRightInd w:val="0"/>
              <w:snapToGrid w:val="0"/>
              <w:jc w:val="center"/>
              <w:rPr>
                <w:color w:val="FF0000"/>
                <w:kern w:val="0"/>
                <w:szCs w:val="21"/>
              </w:rPr>
            </w:pPr>
            <w:r>
              <w:rPr>
                <w:color w:val="FF0000"/>
              </w:rPr>
              <w:t>3.03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19</w:t>
            </w:r>
          </w:p>
        </w:tc>
        <w:tc>
          <w:tcPr>
            <w:tcW w:w="2977" w:type="dxa"/>
            <w:gridSpan w:val="3"/>
            <w:shd w:val="clear" w:color="auto" w:fill="auto"/>
            <w:noWrap/>
          </w:tcPr>
          <w:p>
            <w:pPr>
              <w:widowControl/>
              <w:adjustRightInd w:val="0"/>
              <w:snapToGrid w:val="0"/>
              <w:jc w:val="center"/>
              <w:rPr>
                <w:color w:val="FF0000"/>
                <w:szCs w:val="21"/>
              </w:rPr>
            </w:pPr>
            <w:r>
              <w:rPr>
                <w:color w:val="FF0000"/>
              </w:rPr>
              <w:t>27.31</w:t>
            </w:r>
          </w:p>
        </w:tc>
        <w:tc>
          <w:tcPr>
            <w:tcW w:w="2910" w:type="dxa"/>
            <w:gridSpan w:val="2"/>
            <w:shd w:val="clear" w:color="auto" w:fill="auto"/>
            <w:noWrap/>
          </w:tcPr>
          <w:p>
            <w:pPr>
              <w:widowControl/>
              <w:adjustRightInd w:val="0"/>
              <w:snapToGrid w:val="0"/>
              <w:jc w:val="center"/>
              <w:rPr>
                <w:color w:val="FF0000"/>
                <w:szCs w:val="21"/>
              </w:rPr>
            </w:pPr>
            <w:r>
              <w:rPr>
                <w:color w:val="FF0000"/>
              </w:rPr>
              <w:t>3.03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25</w:t>
            </w:r>
          </w:p>
        </w:tc>
        <w:tc>
          <w:tcPr>
            <w:tcW w:w="2977" w:type="dxa"/>
            <w:gridSpan w:val="3"/>
            <w:shd w:val="clear" w:color="auto" w:fill="auto"/>
            <w:noWrap/>
          </w:tcPr>
          <w:p>
            <w:pPr>
              <w:widowControl/>
              <w:adjustRightInd w:val="0"/>
              <w:snapToGrid w:val="0"/>
              <w:jc w:val="center"/>
              <w:rPr>
                <w:color w:val="FF0000"/>
                <w:szCs w:val="21"/>
              </w:rPr>
            </w:pPr>
            <w:r>
              <w:rPr>
                <w:color w:val="FF0000"/>
              </w:rPr>
              <w:t>27.18</w:t>
            </w:r>
          </w:p>
        </w:tc>
        <w:tc>
          <w:tcPr>
            <w:tcW w:w="2910" w:type="dxa"/>
            <w:gridSpan w:val="2"/>
            <w:shd w:val="clear" w:color="auto" w:fill="auto"/>
            <w:noWrap/>
          </w:tcPr>
          <w:p>
            <w:pPr>
              <w:widowControl/>
              <w:adjustRightInd w:val="0"/>
              <w:snapToGrid w:val="0"/>
              <w:jc w:val="center"/>
              <w:rPr>
                <w:color w:val="FF0000"/>
                <w:szCs w:val="21"/>
              </w:rPr>
            </w:pPr>
            <w:r>
              <w:rPr>
                <w:color w:val="FF0000"/>
              </w:rPr>
              <w:t>3.02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50</w:t>
            </w:r>
          </w:p>
        </w:tc>
        <w:tc>
          <w:tcPr>
            <w:tcW w:w="2977" w:type="dxa"/>
            <w:gridSpan w:val="3"/>
            <w:shd w:val="clear" w:color="auto" w:fill="auto"/>
            <w:noWrap/>
          </w:tcPr>
          <w:p>
            <w:pPr>
              <w:widowControl/>
              <w:adjustRightInd w:val="0"/>
              <w:snapToGrid w:val="0"/>
              <w:jc w:val="center"/>
              <w:rPr>
                <w:color w:val="FF0000"/>
                <w:szCs w:val="21"/>
              </w:rPr>
            </w:pPr>
            <w:r>
              <w:rPr>
                <w:color w:val="FF0000"/>
              </w:rPr>
              <w:t>19.16</w:t>
            </w:r>
          </w:p>
        </w:tc>
        <w:tc>
          <w:tcPr>
            <w:tcW w:w="2910" w:type="dxa"/>
            <w:gridSpan w:val="2"/>
            <w:shd w:val="clear" w:color="auto" w:fill="auto"/>
            <w:noWrap/>
          </w:tcPr>
          <w:p>
            <w:pPr>
              <w:widowControl/>
              <w:adjustRightInd w:val="0"/>
              <w:snapToGrid w:val="0"/>
              <w:jc w:val="center"/>
              <w:rPr>
                <w:color w:val="FF0000"/>
                <w:szCs w:val="21"/>
              </w:rPr>
            </w:pPr>
            <w:r>
              <w:rPr>
                <w:color w:val="FF0000"/>
              </w:rPr>
              <w:t>2.13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75</w:t>
            </w:r>
          </w:p>
        </w:tc>
        <w:tc>
          <w:tcPr>
            <w:tcW w:w="2977" w:type="dxa"/>
            <w:gridSpan w:val="3"/>
            <w:shd w:val="clear" w:color="auto" w:fill="auto"/>
            <w:noWrap/>
          </w:tcPr>
          <w:p>
            <w:pPr>
              <w:widowControl/>
              <w:adjustRightInd w:val="0"/>
              <w:snapToGrid w:val="0"/>
              <w:jc w:val="center"/>
              <w:rPr>
                <w:color w:val="FF0000"/>
                <w:szCs w:val="21"/>
              </w:rPr>
            </w:pPr>
            <w:r>
              <w:rPr>
                <w:color w:val="FF0000"/>
              </w:rPr>
              <w:t>14.66</w:t>
            </w:r>
          </w:p>
        </w:tc>
        <w:tc>
          <w:tcPr>
            <w:tcW w:w="2910" w:type="dxa"/>
            <w:gridSpan w:val="2"/>
            <w:shd w:val="clear" w:color="auto" w:fill="auto"/>
            <w:noWrap/>
          </w:tcPr>
          <w:p>
            <w:pPr>
              <w:widowControl/>
              <w:adjustRightInd w:val="0"/>
              <w:snapToGrid w:val="0"/>
              <w:jc w:val="center"/>
              <w:rPr>
                <w:color w:val="FF0000"/>
                <w:szCs w:val="21"/>
              </w:rPr>
            </w:pPr>
            <w:r>
              <w:rPr>
                <w:color w:val="FF0000"/>
              </w:rPr>
              <w:t>1.63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100</w:t>
            </w:r>
          </w:p>
        </w:tc>
        <w:tc>
          <w:tcPr>
            <w:tcW w:w="2977" w:type="dxa"/>
            <w:gridSpan w:val="3"/>
            <w:shd w:val="clear" w:color="auto" w:fill="auto"/>
            <w:noWrap/>
          </w:tcPr>
          <w:p>
            <w:pPr>
              <w:widowControl/>
              <w:adjustRightInd w:val="0"/>
              <w:snapToGrid w:val="0"/>
              <w:jc w:val="center"/>
              <w:rPr>
                <w:color w:val="FF0000"/>
                <w:szCs w:val="21"/>
              </w:rPr>
            </w:pPr>
            <w:r>
              <w:rPr>
                <w:color w:val="FF0000"/>
              </w:rPr>
              <w:t>12.05</w:t>
            </w:r>
          </w:p>
        </w:tc>
        <w:tc>
          <w:tcPr>
            <w:tcW w:w="2910" w:type="dxa"/>
            <w:gridSpan w:val="2"/>
            <w:shd w:val="clear" w:color="auto" w:fill="auto"/>
            <w:noWrap/>
          </w:tcPr>
          <w:p>
            <w:pPr>
              <w:widowControl/>
              <w:adjustRightInd w:val="0"/>
              <w:snapToGrid w:val="0"/>
              <w:jc w:val="center"/>
              <w:rPr>
                <w:color w:val="FF0000"/>
                <w:szCs w:val="21"/>
              </w:rPr>
            </w:pPr>
            <w:r>
              <w:rPr>
                <w:color w:val="FF0000"/>
              </w:rPr>
              <w:t>1.34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150</w:t>
            </w:r>
          </w:p>
        </w:tc>
        <w:tc>
          <w:tcPr>
            <w:tcW w:w="2977" w:type="dxa"/>
            <w:gridSpan w:val="3"/>
            <w:shd w:val="clear" w:color="auto" w:fill="auto"/>
            <w:noWrap/>
          </w:tcPr>
          <w:p>
            <w:pPr>
              <w:widowControl/>
              <w:adjustRightInd w:val="0"/>
              <w:snapToGrid w:val="0"/>
              <w:jc w:val="center"/>
              <w:rPr>
                <w:color w:val="FF0000"/>
                <w:szCs w:val="21"/>
              </w:rPr>
            </w:pPr>
            <w:r>
              <w:rPr>
                <w:color w:val="FF0000"/>
              </w:rPr>
              <w:t>8.32</w:t>
            </w:r>
          </w:p>
        </w:tc>
        <w:tc>
          <w:tcPr>
            <w:tcW w:w="2910" w:type="dxa"/>
            <w:gridSpan w:val="2"/>
            <w:shd w:val="clear" w:color="auto" w:fill="auto"/>
            <w:noWrap/>
          </w:tcPr>
          <w:p>
            <w:pPr>
              <w:widowControl/>
              <w:adjustRightInd w:val="0"/>
              <w:snapToGrid w:val="0"/>
              <w:jc w:val="center"/>
              <w:rPr>
                <w:color w:val="FF0000"/>
                <w:szCs w:val="21"/>
              </w:rPr>
            </w:pPr>
            <w:r>
              <w:rPr>
                <w:color w:val="FF0000"/>
              </w:rPr>
              <w:t>0.92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200</w:t>
            </w:r>
          </w:p>
        </w:tc>
        <w:tc>
          <w:tcPr>
            <w:tcW w:w="2977" w:type="dxa"/>
            <w:gridSpan w:val="3"/>
            <w:shd w:val="clear" w:color="auto" w:fill="auto"/>
            <w:noWrap/>
          </w:tcPr>
          <w:p>
            <w:pPr>
              <w:widowControl/>
              <w:adjustRightInd w:val="0"/>
              <w:snapToGrid w:val="0"/>
              <w:jc w:val="center"/>
              <w:rPr>
                <w:color w:val="FF0000"/>
                <w:szCs w:val="21"/>
              </w:rPr>
            </w:pPr>
            <w:r>
              <w:rPr>
                <w:color w:val="FF0000"/>
              </w:rPr>
              <w:t>6.01</w:t>
            </w:r>
          </w:p>
        </w:tc>
        <w:tc>
          <w:tcPr>
            <w:tcW w:w="2910" w:type="dxa"/>
            <w:gridSpan w:val="2"/>
            <w:shd w:val="clear" w:color="auto" w:fill="auto"/>
            <w:noWrap/>
          </w:tcPr>
          <w:p>
            <w:pPr>
              <w:widowControl/>
              <w:adjustRightInd w:val="0"/>
              <w:snapToGrid w:val="0"/>
              <w:jc w:val="center"/>
              <w:rPr>
                <w:color w:val="FF0000"/>
                <w:szCs w:val="21"/>
              </w:rPr>
            </w:pPr>
            <w:r>
              <w:rPr>
                <w:color w:val="FF0000"/>
              </w:rPr>
              <w:t>0.67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250</w:t>
            </w:r>
          </w:p>
        </w:tc>
        <w:tc>
          <w:tcPr>
            <w:tcW w:w="2977" w:type="dxa"/>
            <w:gridSpan w:val="3"/>
            <w:shd w:val="clear" w:color="auto" w:fill="auto"/>
            <w:noWrap/>
          </w:tcPr>
          <w:p>
            <w:pPr>
              <w:widowControl/>
              <w:adjustRightInd w:val="0"/>
              <w:snapToGrid w:val="0"/>
              <w:jc w:val="center"/>
              <w:rPr>
                <w:color w:val="FF0000"/>
                <w:szCs w:val="21"/>
              </w:rPr>
            </w:pPr>
            <w:r>
              <w:rPr>
                <w:color w:val="FF0000"/>
              </w:rPr>
              <w:t>4.56</w:t>
            </w:r>
          </w:p>
        </w:tc>
        <w:tc>
          <w:tcPr>
            <w:tcW w:w="2910" w:type="dxa"/>
            <w:gridSpan w:val="2"/>
            <w:shd w:val="clear" w:color="auto" w:fill="auto"/>
            <w:noWrap/>
          </w:tcPr>
          <w:p>
            <w:pPr>
              <w:widowControl/>
              <w:adjustRightInd w:val="0"/>
              <w:snapToGrid w:val="0"/>
              <w:jc w:val="center"/>
              <w:rPr>
                <w:color w:val="FF0000"/>
                <w:szCs w:val="21"/>
              </w:rPr>
            </w:pPr>
            <w:r>
              <w:rPr>
                <w:color w:val="FF0000"/>
              </w:rPr>
              <w:t>0.51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300</w:t>
            </w:r>
          </w:p>
        </w:tc>
        <w:tc>
          <w:tcPr>
            <w:tcW w:w="2977" w:type="dxa"/>
            <w:gridSpan w:val="3"/>
            <w:shd w:val="clear" w:color="auto" w:fill="auto"/>
            <w:noWrap/>
          </w:tcPr>
          <w:p>
            <w:pPr>
              <w:widowControl/>
              <w:adjustRightInd w:val="0"/>
              <w:snapToGrid w:val="0"/>
              <w:jc w:val="center"/>
              <w:rPr>
                <w:color w:val="FF0000"/>
                <w:szCs w:val="21"/>
              </w:rPr>
            </w:pPr>
            <w:r>
              <w:rPr>
                <w:color w:val="FF0000"/>
              </w:rPr>
              <w:t>3.6</w:t>
            </w:r>
          </w:p>
        </w:tc>
        <w:tc>
          <w:tcPr>
            <w:tcW w:w="2910" w:type="dxa"/>
            <w:gridSpan w:val="2"/>
            <w:shd w:val="clear" w:color="auto" w:fill="auto"/>
            <w:noWrap/>
          </w:tcPr>
          <w:p>
            <w:pPr>
              <w:widowControl/>
              <w:adjustRightInd w:val="0"/>
              <w:snapToGrid w:val="0"/>
              <w:jc w:val="center"/>
              <w:rPr>
                <w:color w:val="FF0000"/>
                <w:szCs w:val="21"/>
              </w:rPr>
            </w:pPr>
            <w:r>
              <w:rPr>
                <w:color w:val="FF0000"/>
              </w:rPr>
              <w:t>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350</w:t>
            </w:r>
          </w:p>
        </w:tc>
        <w:tc>
          <w:tcPr>
            <w:tcW w:w="2977" w:type="dxa"/>
            <w:gridSpan w:val="3"/>
            <w:shd w:val="clear" w:color="auto" w:fill="auto"/>
            <w:noWrap/>
          </w:tcPr>
          <w:p>
            <w:pPr>
              <w:widowControl/>
              <w:adjustRightInd w:val="0"/>
              <w:snapToGrid w:val="0"/>
              <w:jc w:val="center"/>
              <w:rPr>
                <w:color w:val="FF0000"/>
                <w:szCs w:val="21"/>
              </w:rPr>
            </w:pPr>
            <w:r>
              <w:rPr>
                <w:color w:val="FF0000"/>
              </w:rPr>
              <w:t>2.94</w:t>
            </w:r>
          </w:p>
        </w:tc>
        <w:tc>
          <w:tcPr>
            <w:tcW w:w="2910" w:type="dxa"/>
            <w:gridSpan w:val="2"/>
            <w:shd w:val="clear" w:color="auto" w:fill="auto"/>
            <w:noWrap/>
          </w:tcPr>
          <w:p>
            <w:pPr>
              <w:widowControl/>
              <w:adjustRightInd w:val="0"/>
              <w:snapToGrid w:val="0"/>
              <w:jc w:val="center"/>
              <w:rPr>
                <w:color w:val="FF0000"/>
                <w:szCs w:val="21"/>
              </w:rPr>
            </w:pPr>
            <w:r>
              <w:rPr>
                <w:color w:val="FF0000"/>
              </w:rPr>
              <w:t>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400</w:t>
            </w:r>
          </w:p>
        </w:tc>
        <w:tc>
          <w:tcPr>
            <w:tcW w:w="2977" w:type="dxa"/>
            <w:gridSpan w:val="3"/>
            <w:shd w:val="clear" w:color="auto" w:fill="auto"/>
            <w:noWrap/>
          </w:tcPr>
          <w:p>
            <w:pPr>
              <w:widowControl/>
              <w:adjustRightInd w:val="0"/>
              <w:snapToGrid w:val="0"/>
              <w:jc w:val="center"/>
              <w:rPr>
                <w:color w:val="FF0000"/>
                <w:szCs w:val="21"/>
              </w:rPr>
            </w:pPr>
            <w:r>
              <w:rPr>
                <w:color w:val="FF0000"/>
              </w:rPr>
              <w:t>2.45</w:t>
            </w:r>
          </w:p>
        </w:tc>
        <w:tc>
          <w:tcPr>
            <w:tcW w:w="2910" w:type="dxa"/>
            <w:gridSpan w:val="2"/>
            <w:shd w:val="clear" w:color="auto" w:fill="auto"/>
            <w:noWrap/>
          </w:tcPr>
          <w:p>
            <w:pPr>
              <w:widowControl/>
              <w:adjustRightInd w:val="0"/>
              <w:snapToGrid w:val="0"/>
              <w:jc w:val="center"/>
              <w:rPr>
                <w:color w:val="FF0000"/>
                <w:szCs w:val="21"/>
              </w:rPr>
            </w:pPr>
            <w:r>
              <w:rPr>
                <w:color w:val="FF0000"/>
              </w:rPr>
              <w:t>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szCs w:val="21"/>
              </w:rPr>
            </w:pPr>
            <w:r>
              <w:rPr>
                <w:rFonts w:eastAsia="等线"/>
                <w:color w:val="FF0000"/>
                <w:sz w:val="22"/>
                <w:szCs w:val="22"/>
              </w:rPr>
              <w:t>500</w:t>
            </w:r>
          </w:p>
        </w:tc>
        <w:tc>
          <w:tcPr>
            <w:tcW w:w="2977" w:type="dxa"/>
            <w:gridSpan w:val="3"/>
            <w:shd w:val="clear" w:color="auto" w:fill="auto"/>
            <w:noWrap/>
          </w:tcPr>
          <w:p>
            <w:pPr>
              <w:widowControl/>
              <w:adjustRightInd w:val="0"/>
              <w:snapToGrid w:val="0"/>
              <w:jc w:val="center"/>
              <w:rPr>
                <w:color w:val="FF0000"/>
                <w:szCs w:val="21"/>
              </w:rPr>
            </w:pPr>
            <w:r>
              <w:rPr>
                <w:color w:val="FF0000"/>
              </w:rPr>
              <w:t>1.81</w:t>
            </w:r>
          </w:p>
        </w:tc>
        <w:tc>
          <w:tcPr>
            <w:tcW w:w="2910" w:type="dxa"/>
            <w:gridSpan w:val="2"/>
            <w:shd w:val="clear" w:color="auto" w:fill="auto"/>
            <w:noWrap/>
          </w:tcPr>
          <w:p>
            <w:pPr>
              <w:widowControl/>
              <w:adjustRightInd w:val="0"/>
              <w:snapToGrid w:val="0"/>
              <w:jc w:val="center"/>
              <w:rPr>
                <w:color w:val="FF0000"/>
                <w:szCs w:val="21"/>
              </w:rPr>
            </w:pPr>
            <w:r>
              <w:rPr>
                <w:color w:val="FF0000"/>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rFonts w:eastAsia="等线"/>
                <w:color w:val="FF0000"/>
                <w:sz w:val="22"/>
                <w:szCs w:val="22"/>
              </w:rPr>
              <w:t>600</w:t>
            </w:r>
          </w:p>
        </w:tc>
        <w:tc>
          <w:tcPr>
            <w:tcW w:w="2977" w:type="dxa"/>
            <w:gridSpan w:val="3"/>
            <w:shd w:val="clear" w:color="auto" w:fill="auto"/>
            <w:noWrap/>
          </w:tcPr>
          <w:p>
            <w:pPr>
              <w:widowControl/>
              <w:adjustRightInd w:val="0"/>
              <w:snapToGrid w:val="0"/>
              <w:jc w:val="center"/>
              <w:rPr>
                <w:color w:val="FF0000"/>
                <w:szCs w:val="21"/>
              </w:rPr>
            </w:pPr>
            <w:r>
              <w:rPr>
                <w:color w:val="FF0000"/>
              </w:rPr>
              <w:t>1.4</w:t>
            </w:r>
          </w:p>
        </w:tc>
        <w:tc>
          <w:tcPr>
            <w:tcW w:w="2910" w:type="dxa"/>
            <w:gridSpan w:val="2"/>
            <w:shd w:val="clear" w:color="auto" w:fill="auto"/>
            <w:noWrap/>
          </w:tcPr>
          <w:p>
            <w:pPr>
              <w:widowControl/>
              <w:adjustRightInd w:val="0"/>
              <w:snapToGrid w:val="0"/>
              <w:jc w:val="center"/>
              <w:rPr>
                <w:color w:val="FF0000"/>
                <w:szCs w:val="21"/>
              </w:rPr>
            </w:pPr>
            <w:r>
              <w:rPr>
                <w:color w:val="FF0000"/>
              </w:rPr>
              <w:t>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rFonts w:eastAsia="等线"/>
                <w:color w:val="FF0000"/>
                <w:sz w:val="22"/>
                <w:szCs w:val="22"/>
              </w:rPr>
              <w:t>700</w:t>
            </w:r>
          </w:p>
        </w:tc>
        <w:tc>
          <w:tcPr>
            <w:tcW w:w="2977" w:type="dxa"/>
            <w:gridSpan w:val="3"/>
            <w:shd w:val="clear" w:color="auto" w:fill="auto"/>
            <w:noWrap/>
          </w:tcPr>
          <w:p>
            <w:pPr>
              <w:widowControl/>
              <w:adjustRightInd w:val="0"/>
              <w:snapToGrid w:val="0"/>
              <w:jc w:val="center"/>
              <w:rPr>
                <w:color w:val="FF0000"/>
                <w:szCs w:val="21"/>
              </w:rPr>
            </w:pPr>
            <w:r>
              <w:rPr>
                <w:color w:val="FF0000"/>
              </w:rPr>
              <w:t>1.13</w:t>
            </w:r>
          </w:p>
        </w:tc>
        <w:tc>
          <w:tcPr>
            <w:tcW w:w="2910" w:type="dxa"/>
            <w:gridSpan w:val="2"/>
            <w:shd w:val="clear" w:color="auto" w:fill="auto"/>
            <w:noWrap/>
          </w:tcPr>
          <w:p>
            <w:pPr>
              <w:widowControl/>
              <w:adjustRightInd w:val="0"/>
              <w:snapToGrid w:val="0"/>
              <w:jc w:val="center"/>
              <w:rPr>
                <w:color w:val="FF0000"/>
                <w:szCs w:val="21"/>
              </w:rPr>
            </w:pPr>
            <w:r>
              <w:rPr>
                <w:color w:val="FF0000"/>
              </w:rPr>
              <w:t>0.13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rFonts w:eastAsia="等线"/>
                <w:color w:val="FF0000"/>
                <w:sz w:val="22"/>
                <w:szCs w:val="22"/>
              </w:rPr>
              <w:t>800</w:t>
            </w:r>
          </w:p>
        </w:tc>
        <w:tc>
          <w:tcPr>
            <w:tcW w:w="2977" w:type="dxa"/>
            <w:gridSpan w:val="3"/>
            <w:shd w:val="clear" w:color="auto" w:fill="auto"/>
            <w:noWrap/>
          </w:tcPr>
          <w:p>
            <w:pPr>
              <w:widowControl/>
              <w:adjustRightInd w:val="0"/>
              <w:snapToGrid w:val="0"/>
              <w:jc w:val="center"/>
              <w:rPr>
                <w:color w:val="FF0000"/>
                <w:szCs w:val="21"/>
              </w:rPr>
            </w:pPr>
            <w:r>
              <w:rPr>
                <w:color w:val="FF0000"/>
              </w:rPr>
              <w:t>0.94</w:t>
            </w:r>
          </w:p>
        </w:tc>
        <w:tc>
          <w:tcPr>
            <w:tcW w:w="2910" w:type="dxa"/>
            <w:gridSpan w:val="2"/>
            <w:shd w:val="clear" w:color="auto" w:fill="auto"/>
            <w:noWrap/>
          </w:tcPr>
          <w:p>
            <w:pPr>
              <w:widowControl/>
              <w:adjustRightInd w:val="0"/>
              <w:snapToGrid w:val="0"/>
              <w:jc w:val="center"/>
              <w:rPr>
                <w:color w:val="FF0000"/>
                <w:szCs w:val="21"/>
              </w:rPr>
            </w:pPr>
            <w:r>
              <w:rPr>
                <w:color w:val="FF0000"/>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rFonts w:eastAsia="等线"/>
                <w:color w:val="FF0000"/>
                <w:sz w:val="22"/>
                <w:szCs w:val="22"/>
              </w:rPr>
              <w:t>900</w:t>
            </w:r>
          </w:p>
        </w:tc>
        <w:tc>
          <w:tcPr>
            <w:tcW w:w="2977" w:type="dxa"/>
            <w:gridSpan w:val="3"/>
            <w:shd w:val="clear" w:color="auto" w:fill="auto"/>
            <w:noWrap/>
          </w:tcPr>
          <w:p>
            <w:pPr>
              <w:widowControl/>
              <w:adjustRightInd w:val="0"/>
              <w:snapToGrid w:val="0"/>
              <w:jc w:val="center"/>
              <w:rPr>
                <w:color w:val="FF0000"/>
                <w:szCs w:val="21"/>
              </w:rPr>
            </w:pPr>
            <w:r>
              <w:rPr>
                <w:color w:val="FF0000"/>
              </w:rPr>
              <w:t>0.8</w:t>
            </w:r>
          </w:p>
        </w:tc>
        <w:tc>
          <w:tcPr>
            <w:tcW w:w="2910" w:type="dxa"/>
            <w:gridSpan w:val="2"/>
            <w:shd w:val="clear" w:color="auto" w:fill="auto"/>
            <w:noWrap/>
          </w:tcPr>
          <w:p>
            <w:pPr>
              <w:widowControl/>
              <w:adjustRightInd w:val="0"/>
              <w:snapToGrid w:val="0"/>
              <w:jc w:val="center"/>
              <w:rPr>
                <w:color w:val="FF0000"/>
                <w:szCs w:val="21"/>
              </w:rPr>
            </w:pPr>
            <w:r>
              <w:rPr>
                <w:color w:val="FF0000"/>
              </w:rPr>
              <w:t>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rFonts w:eastAsia="等线"/>
                <w:color w:val="FF0000"/>
                <w:sz w:val="22"/>
                <w:szCs w:val="22"/>
              </w:rPr>
              <w:t>1000</w:t>
            </w:r>
          </w:p>
        </w:tc>
        <w:tc>
          <w:tcPr>
            <w:tcW w:w="2977" w:type="dxa"/>
            <w:gridSpan w:val="3"/>
            <w:shd w:val="clear" w:color="auto" w:fill="auto"/>
            <w:noWrap/>
          </w:tcPr>
          <w:p>
            <w:pPr>
              <w:widowControl/>
              <w:adjustRightInd w:val="0"/>
              <w:snapToGrid w:val="0"/>
              <w:jc w:val="center"/>
              <w:rPr>
                <w:color w:val="FF0000"/>
                <w:szCs w:val="21"/>
              </w:rPr>
            </w:pPr>
            <w:r>
              <w:rPr>
                <w:color w:val="FF0000"/>
              </w:rPr>
              <w:t>0.69</w:t>
            </w:r>
          </w:p>
        </w:tc>
        <w:tc>
          <w:tcPr>
            <w:tcW w:w="2910" w:type="dxa"/>
            <w:gridSpan w:val="2"/>
            <w:shd w:val="clear" w:color="auto" w:fill="auto"/>
            <w:noWrap/>
          </w:tcPr>
          <w:p>
            <w:pPr>
              <w:widowControl/>
              <w:adjustRightInd w:val="0"/>
              <w:snapToGrid w:val="0"/>
              <w:jc w:val="center"/>
              <w:rPr>
                <w:color w:val="FF0000"/>
                <w:szCs w:val="21"/>
              </w:rPr>
            </w:pPr>
            <w:r>
              <w:rPr>
                <w:color w:val="FF0000"/>
              </w:rPr>
              <w:t>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rFonts w:eastAsia="等线"/>
                <w:color w:val="FF0000"/>
                <w:sz w:val="22"/>
                <w:szCs w:val="22"/>
              </w:rPr>
              <w:t>1500</w:t>
            </w:r>
          </w:p>
        </w:tc>
        <w:tc>
          <w:tcPr>
            <w:tcW w:w="2977" w:type="dxa"/>
            <w:gridSpan w:val="3"/>
            <w:shd w:val="clear" w:color="auto" w:fill="auto"/>
            <w:noWrap/>
          </w:tcPr>
          <w:p>
            <w:pPr>
              <w:widowControl/>
              <w:adjustRightInd w:val="0"/>
              <w:snapToGrid w:val="0"/>
              <w:jc w:val="center"/>
              <w:rPr>
                <w:color w:val="FF0000"/>
                <w:szCs w:val="21"/>
              </w:rPr>
            </w:pPr>
            <w:r>
              <w:rPr>
                <w:color w:val="FF0000"/>
              </w:rPr>
              <w:t>0.39</w:t>
            </w:r>
          </w:p>
        </w:tc>
        <w:tc>
          <w:tcPr>
            <w:tcW w:w="2910" w:type="dxa"/>
            <w:gridSpan w:val="2"/>
            <w:shd w:val="clear" w:color="auto" w:fill="auto"/>
            <w:noWrap/>
          </w:tcPr>
          <w:p>
            <w:pPr>
              <w:widowControl/>
              <w:adjustRightInd w:val="0"/>
              <w:snapToGrid w:val="0"/>
              <w:jc w:val="center"/>
              <w:rPr>
                <w:color w:val="FF0000"/>
                <w:szCs w:val="21"/>
              </w:rPr>
            </w:pPr>
            <w:r>
              <w:rPr>
                <w:color w:val="FF0000"/>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rFonts w:eastAsia="等线"/>
                <w:color w:val="FF0000"/>
                <w:sz w:val="22"/>
                <w:szCs w:val="22"/>
              </w:rPr>
              <w:t>2000</w:t>
            </w:r>
          </w:p>
        </w:tc>
        <w:tc>
          <w:tcPr>
            <w:tcW w:w="2977" w:type="dxa"/>
            <w:gridSpan w:val="3"/>
            <w:shd w:val="clear" w:color="auto" w:fill="auto"/>
            <w:noWrap/>
          </w:tcPr>
          <w:p>
            <w:pPr>
              <w:widowControl/>
              <w:adjustRightInd w:val="0"/>
              <w:snapToGrid w:val="0"/>
              <w:jc w:val="center"/>
              <w:rPr>
                <w:color w:val="FF0000"/>
                <w:szCs w:val="21"/>
              </w:rPr>
            </w:pPr>
            <w:r>
              <w:rPr>
                <w:color w:val="FF0000"/>
              </w:rPr>
              <w:t>0.26</w:t>
            </w:r>
          </w:p>
        </w:tc>
        <w:tc>
          <w:tcPr>
            <w:tcW w:w="2910" w:type="dxa"/>
            <w:gridSpan w:val="2"/>
            <w:shd w:val="clear" w:color="auto" w:fill="auto"/>
            <w:noWrap/>
          </w:tcPr>
          <w:p>
            <w:pPr>
              <w:widowControl/>
              <w:adjustRightInd w:val="0"/>
              <w:snapToGrid w:val="0"/>
              <w:jc w:val="center"/>
              <w:rPr>
                <w:color w:val="FF0000"/>
                <w:szCs w:val="21"/>
              </w:rPr>
            </w:pPr>
            <w:r>
              <w:rPr>
                <w:color w:val="FF0000"/>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rFonts w:eastAsia="等线"/>
                <w:color w:val="FF0000"/>
                <w:sz w:val="22"/>
                <w:szCs w:val="22"/>
              </w:rPr>
              <w:t>2500</w:t>
            </w:r>
          </w:p>
        </w:tc>
        <w:tc>
          <w:tcPr>
            <w:tcW w:w="2977" w:type="dxa"/>
            <w:gridSpan w:val="3"/>
            <w:shd w:val="clear" w:color="auto" w:fill="auto"/>
            <w:noWrap/>
          </w:tcPr>
          <w:p>
            <w:pPr>
              <w:widowControl/>
              <w:adjustRightInd w:val="0"/>
              <w:snapToGrid w:val="0"/>
              <w:jc w:val="center"/>
              <w:rPr>
                <w:color w:val="FF0000"/>
                <w:szCs w:val="21"/>
              </w:rPr>
            </w:pPr>
            <w:r>
              <w:rPr>
                <w:color w:val="FF0000"/>
              </w:rPr>
              <w:t>0.19</w:t>
            </w:r>
          </w:p>
        </w:tc>
        <w:tc>
          <w:tcPr>
            <w:tcW w:w="2910" w:type="dxa"/>
            <w:gridSpan w:val="2"/>
            <w:shd w:val="clear" w:color="auto" w:fill="auto"/>
            <w:noWrap/>
          </w:tcPr>
          <w:p>
            <w:pPr>
              <w:widowControl/>
              <w:adjustRightInd w:val="0"/>
              <w:snapToGrid w:val="0"/>
              <w:jc w:val="center"/>
              <w:rPr>
                <w:color w:val="FF0000"/>
                <w:szCs w:val="21"/>
              </w:rPr>
            </w:pPr>
            <w:r>
              <w:rPr>
                <w:color w:val="FF0000"/>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color w:val="FF0000"/>
                <w:kern w:val="0"/>
                <w:szCs w:val="21"/>
              </w:rPr>
              <w:t>下风向最大质量浓度及占标率/%</w:t>
            </w:r>
          </w:p>
        </w:tc>
        <w:tc>
          <w:tcPr>
            <w:tcW w:w="2977" w:type="dxa"/>
            <w:gridSpan w:val="3"/>
            <w:shd w:val="clear" w:color="auto" w:fill="auto"/>
            <w:noWrap/>
            <w:vAlign w:val="center"/>
          </w:tcPr>
          <w:p>
            <w:pPr>
              <w:widowControl/>
              <w:adjustRightInd w:val="0"/>
              <w:snapToGrid w:val="0"/>
              <w:jc w:val="center"/>
              <w:rPr>
                <w:color w:val="FF0000"/>
              </w:rPr>
            </w:pPr>
            <w:r>
              <w:rPr>
                <w:color w:val="FF0000"/>
              </w:rPr>
              <w:t>27.31</w:t>
            </w:r>
          </w:p>
        </w:tc>
        <w:tc>
          <w:tcPr>
            <w:tcW w:w="2910" w:type="dxa"/>
            <w:gridSpan w:val="2"/>
            <w:shd w:val="clear" w:color="auto" w:fill="auto"/>
            <w:noWrap/>
            <w:vAlign w:val="center"/>
          </w:tcPr>
          <w:p>
            <w:pPr>
              <w:widowControl/>
              <w:adjustRightInd w:val="0"/>
              <w:snapToGrid w:val="0"/>
              <w:jc w:val="center"/>
              <w:rPr>
                <w:color w:val="FF0000"/>
              </w:rPr>
            </w:pPr>
            <w:r>
              <w:rPr>
                <w:color w:val="FF0000"/>
              </w:rPr>
              <w:t>3.03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rFonts w:eastAsia="等线"/>
                <w:color w:val="FF0000"/>
                <w:sz w:val="22"/>
                <w:szCs w:val="22"/>
              </w:rPr>
            </w:pPr>
            <w:r>
              <w:rPr>
                <w:color w:val="FF0000"/>
                <w:kern w:val="0"/>
                <w:szCs w:val="21"/>
              </w:rPr>
              <w:t>最大地面浓度对应距离</w:t>
            </w:r>
          </w:p>
        </w:tc>
        <w:tc>
          <w:tcPr>
            <w:tcW w:w="5887" w:type="dxa"/>
            <w:gridSpan w:val="5"/>
            <w:shd w:val="clear" w:color="auto" w:fill="auto"/>
            <w:noWrap/>
          </w:tcPr>
          <w:p>
            <w:pPr>
              <w:widowControl/>
              <w:adjustRightInd w:val="0"/>
              <w:snapToGrid w:val="0"/>
              <w:jc w:val="center"/>
              <w:rPr>
                <w:color w:val="FF0000"/>
              </w:rPr>
            </w:pPr>
            <w:r>
              <w:rPr>
                <w:color w:val="FF0000"/>
              </w:rPr>
              <w:t>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restart"/>
            <w:tcBorders>
              <w:top w:val="single" w:color="auto" w:sz="4" w:space="0"/>
              <w:left w:val="single" w:color="auto" w:sz="12" w:space="0"/>
              <w:right w:val="single" w:color="auto" w:sz="4" w:space="0"/>
            </w:tcBorders>
            <w:shd w:val="clear" w:color="auto" w:fill="auto"/>
            <w:noWrap/>
            <w:vAlign w:val="center"/>
          </w:tcPr>
          <w:p>
            <w:pPr>
              <w:widowControl/>
              <w:adjustRightInd w:val="0"/>
              <w:snapToGrid w:val="0"/>
              <w:jc w:val="center"/>
              <w:rPr>
                <w:color w:val="FF0000"/>
                <w:kern w:val="0"/>
                <w:szCs w:val="21"/>
              </w:rPr>
            </w:pPr>
            <w:r>
              <w:rPr>
                <w:color w:val="FF0000"/>
                <w:kern w:val="0"/>
                <w:szCs w:val="21"/>
              </w:rPr>
              <w:t>离源距离(m)</w:t>
            </w:r>
          </w:p>
        </w:tc>
        <w:tc>
          <w:tcPr>
            <w:tcW w:w="5887" w:type="dxa"/>
            <w:gridSpan w:val="5"/>
            <w:tcBorders>
              <w:top w:val="single" w:color="auto" w:sz="4" w:space="0"/>
              <w:left w:val="single" w:color="auto" w:sz="4" w:space="0"/>
              <w:bottom w:val="single" w:color="auto" w:sz="4" w:space="0"/>
              <w:right w:val="single" w:color="auto" w:sz="12" w:space="0"/>
            </w:tcBorders>
            <w:shd w:val="clear" w:color="auto" w:fill="auto"/>
            <w:noWrap/>
            <w:vAlign w:val="center"/>
          </w:tcPr>
          <w:p>
            <w:pPr>
              <w:widowControl/>
              <w:adjustRightInd w:val="0"/>
              <w:snapToGrid w:val="0"/>
              <w:jc w:val="center"/>
              <w:rPr>
                <w:color w:val="FF0000"/>
                <w:kern w:val="0"/>
                <w:szCs w:val="21"/>
              </w:rPr>
            </w:pPr>
            <w:r>
              <w:rPr>
                <w:color w:val="FF0000"/>
                <w:kern w:val="0"/>
                <w:szCs w:val="21"/>
              </w:rPr>
              <w:t>渗滤液处理站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continue"/>
            <w:tcBorders>
              <w:left w:val="single" w:color="auto" w:sz="12" w:space="0"/>
              <w:right w:val="single" w:color="auto" w:sz="4" w:space="0"/>
            </w:tcBorders>
            <w:shd w:val="clear" w:color="auto" w:fill="auto"/>
            <w:noWrap/>
            <w:vAlign w:val="center"/>
          </w:tcPr>
          <w:p>
            <w:pPr>
              <w:adjustRightInd w:val="0"/>
              <w:snapToGrid w:val="0"/>
              <w:jc w:val="center"/>
              <w:rPr>
                <w:color w:val="FF0000"/>
                <w:kern w:val="0"/>
                <w:szCs w:val="21"/>
              </w:rPr>
            </w:pPr>
          </w:p>
        </w:tc>
        <w:tc>
          <w:tcPr>
            <w:tcW w:w="2835" w:type="dxa"/>
            <w:gridSpan w:val="2"/>
            <w:tcBorders>
              <w:left w:val="single" w:color="auto" w:sz="4" w:space="0"/>
            </w:tcBorders>
            <w:shd w:val="clear" w:color="auto" w:fill="auto"/>
            <w:noWrap/>
            <w:vAlign w:val="center"/>
          </w:tcPr>
          <w:p>
            <w:pPr>
              <w:widowControl/>
              <w:adjustRightInd w:val="0"/>
              <w:snapToGrid w:val="0"/>
              <w:jc w:val="center"/>
              <w:rPr>
                <w:color w:val="FF0000"/>
                <w:kern w:val="0"/>
                <w:szCs w:val="21"/>
              </w:rPr>
            </w:pPr>
            <w:r>
              <w:rPr>
                <w:color w:val="FF0000"/>
                <w:kern w:val="0"/>
                <w:szCs w:val="21"/>
              </w:rPr>
              <w:t>NH</w:t>
            </w:r>
            <w:r>
              <w:rPr>
                <w:color w:val="FF0000"/>
                <w:kern w:val="0"/>
                <w:szCs w:val="21"/>
                <w:vertAlign w:val="subscript"/>
              </w:rPr>
              <w:t>3</w:t>
            </w:r>
          </w:p>
        </w:tc>
        <w:tc>
          <w:tcPr>
            <w:tcW w:w="3052" w:type="dxa"/>
            <w:gridSpan w:val="3"/>
            <w:shd w:val="clear" w:color="auto" w:fill="auto"/>
            <w:vAlign w:val="center"/>
          </w:tcPr>
          <w:p>
            <w:pPr>
              <w:widowControl/>
              <w:adjustRightInd w:val="0"/>
              <w:snapToGrid w:val="0"/>
              <w:jc w:val="center"/>
              <w:rPr>
                <w:color w:val="FF0000"/>
                <w:kern w:val="0"/>
                <w:szCs w:val="21"/>
              </w:rPr>
            </w:pPr>
            <w:r>
              <w:rPr>
                <w:color w:val="FF0000"/>
                <w:kern w:val="0"/>
                <w:szCs w:val="21"/>
              </w:rPr>
              <w:t>H</w:t>
            </w:r>
            <w:r>
              <w:rPr>
                <w:color w:val="FF0000"/>
                <w:kern w:val="0"/>
                <w:szCs w:val="21"/>
                <w:vertAlign w:val="subscript"/>
              </w:rPr>
              <w:t>2</w:t>
            </w:r>
            <w:r>
              <w:rPr>
                <w:color w:val="FF0000"/>
                <w:kern w:val="0"/>
                <w:szCs w:val="21"/>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vMerge w:val="continue"/>
            <w:tcBorders>
              <w:left w:val="single" w:color="auto" w:sz="12" w:space="0"/>
              <w:right w:val="single" w:color="auto" w:sz="4" w:space="0"/>
            </w:tcBorders>
            <w:shd w:val="clear" w:color="auto" w:fill="auto"/>
            <w:noWrap/>
            <w:vAlign w:val="center"/>
          </w:tcPr>
          <w:p>
            <w:pPr>
              <w:adjustRightInd w:val="0"/>
              <w:snapToGrid w:val="0"/>
              <w:jc w:val="center"/>
              <w:rPr>
                <w:color w:val="FF0000"/>
                <w:kern w:val="0"/>
                <w:szCs w:val="21"/>
              </w:rPr>
            </w:pPr>
          </w:p>
        </w:tc>
        <w:tc>
          <w:tcPr>
            <w:tcW w:w="1134" w:type="dxa"/>
            <w:tcBorders>
              <w:left w:val="single" w:color="auto" w:sz="4" w:space="0"/>
            </w:tcBorders>
            <w:shd w:val="clear" w:color="auto" w:fill="auto"/>
            <w:noWrap/>
            <w:vAlign w:val="center"/>
          </w:tcPr>
          <w:p>
            <w:pPr>
              <w:widowControl/>
              <w:adjustRightInd w:val="0"/>
              <w:snapToGrid w:val="0"/>
              <w:jc w:val="center"/>
              <w:rPr>
                <w:color w:val="FF0000"/>
                <w:kern w:val="0"/>
                <w:szCs w:val="21"/>
              </w:rPr>
            </w:pPr>
            <w:r>
              <w:rPr>
                <w:color w:val="FF0000"/>
                <w:kern w:val="0"/>
                <w:szCs w:val="21"/>
              </w:rPr>
              <w:t>小时浓度ug/m</w:t>
            </w:r>
            <w:r>
              <w:rPr>
                <w:color w:val="FF0000"/>
                <w:kern w:val="0"/>
                <w:szCs w:val="21"/>
                <w:vertAlign w:val="superscript"/>
              </w:rPr>
              <w:t>3</w:t>
            </w:r>
          </w:p>
        </w:tc>
        <w:tc>
          <w:tcPr>
            <w:tcW w:w="1701" w:type="dxa"/>
            <w:shd w:val="clear" w:color="auto" w:fill="auto"/>
            <w:vAlign w:val="center"/>
          </w:tcPr>
          <w:p>
            <w:pPr>
              <w:widowControl/>
              <w:adjustRightInd w:val="0"/>
              <w:snapToGrid w:val="0"/>
              <w:jc w:val="center"/>
              <w:rPr>
                <w:color w:val="FF0000"/>
                <w:kern w:val="0"/>
                <w:szCs w:val="21"/>
              </w:rPr>
            </w:pPr>
            <w:r>
              <w:rPr>
                <w:color w:val="FF0000"/>
                <w:kern w:val="0"/>
                <w:szCs w:val="21"/>
              </w:rPr>
              <w:t>占标率%</w:t>
            </w:r>
          </w:p>
        </w:tc>
        <w:tc>
          <w:tcPr>
            <w:tcW w:w="1701" w:type="dxa"/>
            <w:gridSpan w:val="2"/>
            <w:shd w:val="clear" w:color="auto" w:fill="auto"/>
            <w:vAlign w:val="center"/>
          </w:tcPr>
          <w:p>
            <w:pPr>
              <w:adjustRightInd w:val="0"/>
              <w:snapToGrid w:val="0"/>
              <w:jc w:val="center"/>
              <w:rPr>
                <w:color w:val="FF0000"/>
                <w:kern w:val="0"/>
                <w:szCs w:val="21"/>
              </w:rPr>
            </w:pPr>
            <w:r>
              <w:rPr>
                <w:color w:val="FF0000"/>
                <w:kern w:val="0"/>
                <w:szCs w:val="21"/>
              </w:rPr>
              <w:t>小时浓度ug/m</w:t>
            </w:r>
            <w:r>
              <w:rPr>
                <w:color w:val="FF0000"/>
                <w:kern w:val="0"/>
                <w:szCs w:val="21"/>
                <w:vertAlign w:val="superscript"/>
              </w:rPr>
              <w:t>3</w:t>
            </w:r>
          </w:p>
        </w:tc>
        <w:tc>
          <w:tcPr>
            <w:tcW w:w="1351" w:type="dxa"/>
            <w:shd w:val="clear" w:color="auto" w:fill="auto"/>
            <w:vAlign w:val="center"/>
          </w:tcPr>
          <w:p>
            <w:pPr>
              <w:adjustRightInd w:val="0"/>
              <w:snapToGrid w:val="0"/>
              <w:jc w:val="center"/>
              <w:rPr>
                <w:color w:val="FF0000"/>
                <w:kern w:val="0"/>
                <w:szCs w:val="21"/>
              </w:rPr>
            </w:pPr>
            <w:r>
              <w:rPr>
                <w:color w:val="FF0000"/>
                <w:kern w:val="0"/>
                <w:szCs w:val="21"/>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kern w:val="0"/>
                <w:szCs w:val="21"/>
              </w:rPr>
            </w:pPr>
            <w:r>
              <w:rPr>
                <w:color w:val="FF0000"/>
              </w:rPr>
              <w:t>10</w:t>
            </w:r>
          </w:p>
        </w:tc>
        <w:tc>
          <w:tcPr>
            <w:tcW w:w="1134" w:type="dxa"/>
            <w:shd w:val="clear" w:color="auto" w:fill="auto"/>
            <w:noWrap/>
          </w:tcPr>
          <w:p>
            <w:pPr>
              <w:widowControl/>
              <w:adjustRightInd w:val="0"/>
              <w:snapToGrid w:val="0"/>
              <w:jc w:val="center"/>
              <w:rPr>
                <w:color w:val="FF0000"/>
                <w:kern w:val="0"/>
                <w:szCs w:val="21"/>
              </w:rPr>
            </w:pPr>
            <w:r>
              <w:rPr>
                <w:color w:val="FF0000"/>
              </w:rPr>
              <w:t>0.37</w:t>
            </w:r>
          </w:p>
        </w:tc>
        <w:tc>
          <w:tcPr>
            <w:tcW w:w="1701" w:type="dxa"/>
            <w:shd w:val="clear" w:color="auto" w:fill="auto"/>
            <w:noWrap/>
          </w:tcPr>
          <w:p>
            <w:pPr>
              <w:widowControl/>
              <w:adjustRightInd w:val="0"/>
              <w:snapToGrid w:val="0"/>
              <w:jc w:val="center"/>
              <w:rPr>
                <w:color w:val="FF0000"/>
                <w:kern w:val="0"/>
                <w:szCs w:val="21"/>
              </w:rPr>
            </w:pPr>
            <w:r>
              <w:rPr>
                <w:color w:val="FF0000"/>
              </w:rPr>
              <w:t>0.19</w:t>
            </w:r>
          </w:p>
        </w:tc>
        <w:tc>
          <w:tcPr>
            <w:tcW w:w="1701" w:type="dxa"/>
            <w:gridSpan w:val="2"/>
            <w:shd w:val="clear" w:color="auto" w:fill="auto"/>
            <w:noWrap/>
          </w:tcPr>
          <w:p>
            <w:pPr>
              <w:widowControl/>
              <w:adjustRightInd w:val="0"/>
              <w:snapToGrid w:val="0"/>
              <w:jc w:val="center"/>
              <w:rPr>
                <w:color w:val="FF0000"/>
                <w:kern w:val="0"/>
                <w:szCs w:val="21"/>
              </w:rPr>
            </w:pPr>
            <w:r>
              <w:rPr>
                <w:color w:val="FF0000"/>
              </w:rPr>
              <w:t>0</w:t>
            </w:r>
          </w:p>
        </w:tc>
        <w:tc>
          <w:tcPr>
            <w:tcW w:w="1351" w:type="dxa"/>
            <w:shd w:val="clear" w:color="auto" w:fill="auto"/>
            <w:noWrap/>
          </w:tcPr>
          <w:p>
            <w:pPr>
              <w:widowControl/>
              <w:adjustRightInd w:val="0"/>
              <w:snapToGrid w:val="0"/>
              <w:jc w:val="center"/>
              <w:rPr>
                <w:color w:val="FF0000"/>
                <w:kern w:val="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12</w:t>
            </w:r>
          </w:p>
        </w:tc>
        <w:tc>
          <w:tcPr>
            <w:tcW w:w="1134" w:type="dxa"/>
            <w:shd w:val="clear" w:color="auto" w:fill="auto"/>
            <w:noWrap/>
          </w:tcPr>
          <w:p>
            <w:pPr>
              <w:widowControl/>
              <w:adjustRightInd w:val="0"/>
              <w:snapToGrid w:val="0"/>
              <w:jc w:val="center"/>
              <w:rPr>
                <w:color w:val="FF0000"/>
                <w:szCs w:val="21"/>
              </w:rPr>
            </w:pPr>
            <w:r>
              <w:rPr>
                <w:color w:val="FF0000"/>
              </w:rPr>
              <w:t>0.37</w:t>
            </w:r>
          </w:p>
        </w:tc>
        <w:tc>
          <w:tcPr>
            <w:tcW w:w="1701" w:type="dxa"/>
            <w:shd w:val="clear" w:color="auto" w:fill="auto"/>
            <w:noWrap/>
          </w:tcPr>
          <w:p>
            <w:pPr>
              <w:widowControl/>
              <w:adjustRightInd w:val="0"/>
              <w:snapToGrid w:val="0"/>
              <w:jc w:val="center"/>
              <w:rPr>
                <w:color w:val="FF0000"/>
                <w:szCs w:val="21"/>
              </w:rPr>
            </w:pPr>
            <w:r>
              <w:rPr>
                <w:color w:val="FF0000"/>
              </w:rPr>
              <w:t>0.19</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25</w:t>
            </w:r>
          </w:p>
        </w:tc>
        <w:tc>
          <w:tcPr>
            <w:tcW w:w="1134" w:type="dxa"/>
            <w:shd w:val="clear" w:color="auto" w:fill="auto"/>
            <w:noWrap/>
          </w:tcPr>
          <w:p>
            <w:pPr>
              <w:widowControl/>
              <w:adjustRightInd w:val="0"/>
              <w:snapToGrid w:val="0"/>
              <w:jc w:val="center"/>
              <w:rPr>
                <w:color w:val="FF0000"/>
                <w:szCs w:val="21"/>
              </w:rPr>
            </w:pPr>
            <w:r>
              <w:rPr>
                <w:color w:val="FF0000"/>
              </w:rPr>
              <w:t>0.27</w:t>
            </w:r>
          </w:p>
        </w:tc>
        <w:tc>
          <w:tcPr>
            <w:tcW w:w="1701" w:type="dxa"/>
            <w:shd w:val="clear" w:color="auto" w:fill="auto"/>
            <w:noWrap/>
          </w:tcPr>
          <w:p>
            <w:pPr>
              <w:widowControl/>
              <w:adjustRightInd w:val="0"/>
              <w:snapToGrid w:val="0"/>
              <w:jc w:val="center"/>
              <w:rPr>
                <w:color w:val="FF0000"/>
                <w:szCs w:val="21"/>
              </w:rPr>
            </w:pPr>
            <w:r>
              <w:rPr>
                <w:color w:val="FF0000"/>
              </w:rPr>
              <w:t>0.14</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50</w:t>
            </w:r>
          </w:p>
        </w:tc>
        <w:tc>
          <w:tcPr>
            <w:tcW w:w="1134" w:type="dxa"/>
            <w:shd w:val="clear" w:color="auto" w:fill="auto"/>
            <w:noWrap/>
          </w:tcPr>
          <w:p>
            <w:pPr>
              <w:widowControl/>
              <w:adjustRightInd w:val="0"/>
              <w:snapToGrid w:val="0"/>
              <w:jc w:val="center"/>
              <w:rPr>
                <w:color w:val="FF0000"/>
                <w:szCs w:val="21"/>
              </w:rPr>
            </w:pPr>
            <w:r>
              <w:rPr>
                <w:color w:val="FF0000"/>
              </w:rPr>
              <w:t>0.18</w:t>
            </w:r>
          </w:p>
        </w:tc>
        <w:tc>
          <w:tcPr>
            <w:tcW w:w="1701" w:type="dxa"/>
            <w:shd w:val="clear" w:color="auto" w:fill="auto"/>
            <w:noWrap/>
          </w:tcPr>
          <w:p>
            <w:pPr>
              <w:widowControl/>
              <w:adjustRightInd w:val="0"/>
              <w:snapToGrid w:val="0"/>
              <w:jc w:val="center"/>
              <w:rPr>
                <w:color w:val="FF0000"/>
                <w:szCs w:val="21"/>
              </w:rPr>
            </w:pPr>
            <w:r>
              <w:rPr>
                <w:color w:val="FF0000"/>
              </w:rPr>
              <w:t>0.09</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75</w:t>
            </w:r>
          </w:p>
        </w:tc>
        <w:tc>
          <w:tcPr>
            <w:tcW w:w="1134" w:type="dxa"/>
            <w:shd w:val="clear" w:color="auto" w:fill="auto"/>
            <w:noWrap/>
          </w:tcPr>
          <w:p>
            <w:pPr>
              <w:widowControl/>
              <w:adjustRightInd w:val="0"/>
              <w:snapToGrid w:val="0"/>
              <w:jc w:val="center"/>
              <w:rPr>
                <w:color w:val="FF0000"/>
                <w:szCs w:val="21"/>
              </w:rPr>
            </w:pPr>
            <w:r>
              <w:rPr>
                <w:color w:val="FF0000"/>
              </w:rPr>
              <w:t>0.11</w:t>
            </w:r>
          </w:p>
        </w:tc>
        <w:tc>
          <w:tcPr>
            <w:tcW w:w="1701" w:type="dxa"/>
            <w:shd w:val="clear" w:color="auto" w:fill="auto"/>
            <w:noWrap/>
          </w:tcPr>
          <w:p>
            <w:pPr>
              <w:widowControl/>
              <w:adjustRightInd w:val="0"/>
              <w:snapToGrid w:val="0"/>
              <w:jc w:val="center"/>
              <w:rPr>
                <w:color w:val="FF0000"/>
                <w:szCs w:val="21"/>
              </w:rPr>
            </w:pPr>
            <w:r>
              <w:rPr>
                <w:color w:val="FF0000"/>
              </w:rPr>
              <w:t>0.06</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100</w:t>
            </w:r>
          </w:p>
        </w:tc>
        <w:tc>
          <w:tcPr>
            <w:tcW w:w="1134" w:type="dxa"/>
            <w:shd w:val="clear" w:color="auto" w:fill="auto"/>
            <w:noWrap/>
          </w:tcPr>
          <w:p>
            <w:pPr>
              <w:widowControl/>
              <w:adjustRightInd w:val="0"/>
              <w:snapToGrid w:val="0"/>
              <w:jc w:val="center"/>
              <w:rPr>
                <w:color w:val="FF0000"/>
                <w:szCs w:val="21"/>
              </w:rPr>
            </w:pPr>
            <w:r>
              <w:rPr>
                <w:color w:val="FF0000"/>
              </w:rPr>
              <w:t>0.08</w:t>
            </w:r>
          </w:p>
        </w:tc>
        <w:tc>
          <w:tcPr>
            <w:tcW w:w="1701" w:type="dxa"/>
            <w:shd w:val="clear" w:color="auto" w:fill="auto"/>
            <w:noWrap/>
          </w:tcPr>
          <w:p>
            <w:pPr>
              <w:widowControl/>
              <w:adjustRightInd w:val="0"/>
              <w:snapToGrid w:val="0"/>
              <w:jc w:val="center"/>
              <w:rPr>
                <w:color w:val="FF0000"/>
                <w:szCs w:val="21"/>
              </w:rPr>
            </w:pPr>
            <w:r>
              <w:rPr>
                <w:color w:val="FF0000"/>
              </w:rPr>
              <w:t>0.04</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125</w:t>
            </w:r>
          </w:p>
        </w:tc>
        <w:tc>
          <w:tcPr>
            <w:tcW w:w="1134" w:type="dxa"/>
            <w:shd w:val="clear" w:color="auto" w:fill="auto"/>
            <w:noWrap/>
          </w:tcPr>
          <w:p>
            <w:pPr>
              <w:widowControl/>
              <w:adjustRightInd w:val="0"/>
              <w:snapToGrid w:val="0"/>
              <w:jc w:val="center"/>
              <w:rPr>
                <w:color w:val="FF0000"/>
                <w:szCs w:val="21"/>
              </w:rPr>
            </w:pPr>
            <w:r>
              <w:rPr>
                <w:color w:val="FF0000"/>
              </w:rPr>
              <w:t>0.06</w:t>
            </w:r>
          </w:p>
        </w:tc>
        <w:tc>
          <w:tcPr>
            <w:tcW w:w="1701" w:type="dxa"/>
            <w:shd w:val="clear" w:color="auto" w:fill="auto"/>
            <w:noWrap/>
          </w:tcPr>
          <w:p>
            <w:pPr>
              <w:widowControl/>
              <w:adjustRightInd w:val="0"/>
              <w:snapToGrid w:val="0"/>
              <w:jc w:val="center"/>
              <w:rPr>
                <w:color w:val="FF0000"/>
                <w:szCs w:val="21"/>
              </w:rPr>
            </w:pPr>
            <w:r>
              <w:rPr>
                <w:color w:val="FF0000"/>
              </w:rPr>
              <w:t>0.03</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150</w:t>
            </w:r>
          </w:p>
        </w:tc>
        <w:tc>
          <w:tcPr>
            <w:tcW w:w="1134" w:type="dxa"/>
            <w:shd w:val="clear" w:color="auto" w:fill="auto"/>
            <w:noWrap/>
          </w:tcPr>
          <w:p>
            <w:pPr>
              <w:widowControl/>
              <w:adjustRightInd w:val="0"/>
              <w:snapToGrid w:val="0"/>
              <w:jc w:val="center"/>
              <w:rPr>
                <w:color w:val="FF0000"/>
                <w:szCs w:val="21"/>
              </w:rPr>
            </w:pPr>
            <w:r>
              <w:rPr>
                <w:color w:val="FF0000"/>
              </w:rPr>
              <w:t>0.04</w:t>
            </w:r>
          </w:p>
        </w:tc>
        <w:tc>
          <w:tcPr>
            <w:tcW w:w="1701" w:type="dxa"/>
            <w:shd w:val="clear" w:color="auto" w:fill="auto"/>
            <w:noWrap/>
          </w:tcPr>
          <w:p>
            <w:pPr>
              <w:widowControl/>
              <w:adjustRightInd w:val="0"/>
              <w:snapToGrid w:val="0"/>
              <w:jc w:val="center"/>
              <w:rPr>
                <w:color w:val="FF0000"/>
                <w:szCs w:val="21"/>
              </w:rPr>
            </w:pPr>
            <w:r>
              <w:rPr>
                <w:color w:val="FF0000"/>
              </w:rPr>
              <w:t>0.02</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175</w:t>
            </w:r>
          </w:p>
        </w:tc>
        <w:tc>
          <w:tcPr>
            <w:tcW w:w="1134" w:type="dxa"/>
            <w:shd w:val="clear" w:color="auto" w:fill="auto"/>
            <w:noWrap/>
          </w:tcPr>
          <w:p>
            <w:pPr>
              <w:widowControl/>
              <w:adjustRightInd w:val="0"/>
              <w:snapToGrid w:val="0"/>
              <w:jc w:val="center"/>
              <w:rPr>
                <w:color w:val="FF0000"/>
                <w:szCs w:val="21"/>
              </w:rPr>
            </w:pPr>
            <w:r>
              <w:rPr>
                <w:color w:val="FF0000"/>
              </w:rPr>
              <w:t>0.04</w:t>
            </w:r>
          </w:p>
        </w:tc>
        <w:tc>
          <w:tcPr>
            <w:tcW w:w="1701" w:type="dxa"/>
            <w:shd w:val="clear" w:color="auto" w:fill="auto"/>
            <w:noWrap/>
          </w:tcPr>
          <w:p>
            <w:pPr>
              <w:widowControl/>
              <w:adjustRightInd w:val="0"/>
              <w:snapToGrid w:val="0"/>
              <w:jc w:val="center"/>
              <w:rPr>
                <w:color w:val="FF0000"/>
                <w:szCs w:val="21"/>
              </w:rPr>
            </w:pPr>
            <w:r>
              <w:rPr>
                <w:color w:val="FF0000"/>
              </w:rPr>
              <w:t>0.02</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200</w:t>
            </w:r>
          </w:p>
        </w:tc>
        <w:tc>
          <w:tcPr>
            <w:tcW w:w="1134" w:type="dxa"/>
            <w:shd w:val="clear" w:color="auto" w:fill="auto"/>
            <w:noWrap/>
          </w:tcPr>
          <w:p>
            <w:pPr>
              <w:widowControl/>
              <w:adjustRightInd w:val="0"/>
              <w:snapToGrid w:val="0"/>
              <w:jc w:val="center"/>
              <w:rPr>
                <w:color w:val="FF0000"/>
                <w:szCs w:val="21"/>
              </w:rPr>
            </w:pPr>
            <w:r>
              <w:rPr>
                <w:color w:val="FF0000"/>
              </w:rPr>
              <w:t>0.03</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225</w:t>
            </w:r>
          </w:p>
        </w:tc>
        <w:tc>
          <w:tcPr>
            <w:tcW w:w="1134" w:type="dxa"/>
            <w:shd w:val="clear" w:color="auto" w:fill="auto"/>
            <w:noWrap/>
          </w:tcPr>
          <w:p>
            <w:pPr>
              <w:widowControl/>
              <w:adjustRightInd w:val="0"/>
              <w:snapToGrid w:val="0"/>
              <w:jc w:val="center"/>
              <w:rPr>
                <w:color w:val="FF0000"/>
                <w:szCs w:val="21"/>
              </w:rPr>
            </w:pPr>
            <w:r>
              <w:rPr>
                <w:color w:val="FF0000"/>
              </w:rPr>
              <w:t>0.02</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250</w:t>
            </w:r>
          </w:p>
        </w:tc>
        <w:tc>
          <w:tcPr>
            <w:tcW w:w="1134" w:type="dxa"/>
            <w:shd w:val="clear" w:color="auto" w:fill="auto"/>
            <w:noWrap/>
          </w:tcPr>
          <w:p>
            <w:pPr>
              <w:widowControl/>
              <w:adjustRightInd w:val="0"/>
              <w:snapToGrid w:val="0"/>
              <w:jc w:val="center"/>
              <w:rPr>
                <w:color w:val="FF0000"/>
                <w:szCs w:val="21"/>
              </w:rPr>
            </w:pPr>
            <w:r>
              <w:rPr>
                <w:color w:val="FF0000"/>
              </w:rPr>
              <w:t>0.02</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275</w:t>
            </w:r>
          </w:p>
        </w:tc>
        <w:tc>
          <w:tcPr>
            <w:tcW w:w="1134" w:type="dxa"/>
            <w:shd w:val="clear" w:color="auto" w:fill="auto"/>
            <w:noWrap/>
          </w:tcPr>
          <w:p>
            <w:pPr>
              <w:widowControl/>
              <w:adjustRightInd w:val="0"/>
              <w:snapToGrid w:val="0"/>
              <w:jc w:val="center"/>
              <w:rPr>
                <w:color w:val="FF0000"/>
                <w:szCs w:val="21"/>
              </w:rPr>
            </w:pPr>
            <w:r>
              <w:rPr>
                <w:color w:val="FF0000"/>
              </w:rPr>
              <w:t>0.02</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300</w:t>
            </w:r>
          </w:p>
        </w:tc>
        <w:tc>
          <w:tcPr>
            <w:tcW w:w="1134" w:type="dxa"/>
            <w:shd w:val="clear" w:color="auto" w:fill="auto"/>
            <w:noWrap/>
          </w:tcPr>
          <w:p>
            <w:pPr>
              <w:widowControl/>
              <w:adjustRightInd w:val="0"/>
              <w:snapToGrid w:val="0"/>
              <w:jc w:val="center"/>
              <w:rPr>
                <w:color w:val="FF0000"/>
                <w:szCs w:val="21"/>
              </w:rPr>
            </w:pPr>
            <w:r>
              <w:rPr>
                <w:color w:val="FF0000"/>
              </w:rPr>
              <w:t>0.02</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325</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350</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szCs w:val="21"/>
              </w:rPr>
            </w:pPr>
            <w:r>
              <w:rPr>
                <w:color w:val="FF0000"/>
              </w:rPr>
              <w:t>375</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400</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0.01</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425</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450</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475</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500</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525</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550</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575</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600</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625</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rPr>
              <w:t>650</w:t>
            </w:r>
          </w:p>
        </w:tc>
        <w:tc>
          <w:tcPr>
            <w:tcW w:w="1134" w:type="dxa"/>
            <w:shd w:val="clear" w:color="auto" w:fill="auto"/>
            <w:noWrap/>
          </w:tcPr>
          <w:p>
            <w:pPr>
              <w:widowControl/>
              <w:adjustRightInd w:val="0"/>
              <w:snapToGrid w:val="0"/>
              <w:jc w:val="center"/>
              <w:rPr>
                <w:color w:val="FF0000"/>
                <w:szCs w:val="21"/>
              </w:rPr>
            </w:pPr>
            <w:r>
              <w:rPr>
                <w:color w:val="FF0000"/>
              </w:rPr>
              <w:t>0.01</w:t>
            </w:r>
          </w:p>
        </w:tc>
        <w:tc>
          <w:tcPr>
            <w:tcW w:w="1701" w:type="dxa"/>
            <w:shd w:val="clear" w:color="auto" w:fill="auto"/>
            <w:noWrap/>
          </w:tcPr>
          <w:p>
            <w:pPr>
              <w:widowControl/>
              <w:adjustRightInd w:val="0"/>
              <w:snapToGrid w:val="0"/>
              <w:jc w:val="center"/>
              <w:rPr>
                <w:color w:val="FF0000"/>
                <w:szCs w:val="21"/>
              </w:rPr>
            </w:pPr>
            <w:r>
              <w:rPr>
                <w:color w:val="FF0000"/>
              </w:rPr>
              <w:t>0</w:t>
            </w:r>
          </w:p>
        </w:tc>
        <w:tc>
          <w:tcPr>
            <w:tcW w:w="1701" w:type="dxa"/>
            <w:gridSpan w:val="2"/>
            <w:shd w:val="clear" w:color="auto" w:fill="auto"/>
            <w:noWrap/>
          </w:tcPr>
          <w:p>
            <w:pPr>
              <w:widowControl/>
              <w:adjustRightInd w:val="0"/>
              <w:snapToGrid w:val="0"/>
              <w:jc w:val="center"/>
              <w:rPr>
                <w:color w:val="FF0000"/>
                <w:szCs w:val="21"/>
              </w:rPr>
            </w:pPr>
            <w:r>
              <w:rPr>
                <w:color w:val="FF0000"/>
              </w:rPr>
              <w:t>0</w:t>
            </w:r>
          </w:p>
        </w:tc>
        <w:tc>
          <w:tcPr>
            <w:tcW w:w="1351" w:type="dxa"/>
            <w:shd w:val="clear" w:color="auto" w:fill="auto"/>
            <w:noWrap/>
          </w:tcPr>
          <w:p>
            <w:pPr>
              <w:widowControl/>
              <w:adjustRightInd w:val="0"/>
              <w:snapToGrid w:val="0"/>
              <w:jc w:val="center"/>
              <w:rPr>
                <w:color w:val="FF0000"/>
                <w:szCs w:val="21"/>
              </w:rPr>
            </w:pPr>
            <w:r>
              <w:rPr>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vAlign w:val="center"/>
          </w:tcPr>
          <w:p>
            <w:pPr>
              <w:widowControl/>
              <w:adjustRightInd w:val="0"/>
              <w:snapToGrid w:val="0"/>
              <w:jc w:val="center"/>
              <w:rPr>
                <w:color w:val="FF0000"/>
              </w:rPr>
            </w:pPr>
            <w:r>
              <w:rPr>
                <w:color w:val="FF0000"/>
                <w:kern w:val="0"/>
                <w:szCs w:val="21"/>
              </w:rPr>
              <w:t>下风向最大质量浓度及占标率/%</w:t>
            </w:r>
          </w:p>
        </w:tc>
        <w:tc>
          <w:tcPr>
            <w:tcW w:w="1134" w:type="dxa"/>
            <w:shd w:val="clear" w:color="auto" w:fill="auto"/>
            <w:noWrap/>
            <w:vAlign w:val="center"/>
          </w:tcPr>
          <w:p>
            <w:pPr>
              <w:widowControl/>
              <w:adjustRightInd w:val="0"/>
              <w:snapToGrid w:val="0"/>
              <w:jc w:val="center"/>
              <w:rPr>
                <w:color w:val="FF0000"/>
              </w:rPr>
            </w:pPr>
            <w:r>
              <w:rPr>
                <w:rFonts w:hint="eastAsia"/>
                <w:color w:val="FF0000"/>
              </w:rPr>
              <w:t>0</w:t>
            </w:r>
            <w:r>
              <w:rPr>
                <w:color w:val="FF0000"/>
              </w:rPr>
              <w:t>.37</w:t>
            </w:r>
          </w:p>
        </w:tc>
        <w:tc>
          <w:tcPr>
            <w:tcW w:w="1701" w:type="dxa"/>
            <w:shd w:val="clear" w:color="auto" w:fill="auto"/>
            <w:noWrap/>
            <w:vAlign w:val="center"/>
          </w:tcPr>
          <w:p>
            <w:pPr>
              <w:widowControl/>
              <w:adjustRightInd w:val="0"/>
              <w:snapToGrid w:val="0"/>
              <w:jc w:val="center"/>
              <w:rPr>
                <w:color w:val="FF0000"/>
              </w:rPr>
            </w:pPr>
            <w:r>
              <w:rPr>
                <w:rFonts w:hint="eastAsia"/>
                <w:color w:val="FF0000"/>
              </w:rPr>
              <w:t>0</w:t>
            </w:r>
            <w:r>
              <w:rPr>
                <w:color w:val="FF0000"/>
              </w:rPr>
              <w:t>.19</w:t>
            </w:r>
          </w:p>
        </w:tc>
        <w:tc>
          <w:tcPr>
            <w:tcW w:w="1701" w:type="dxa"/>
            <w:gridSpan w:val="2"/>
            <w:shd w:val="clear" w:color="auto" w:fill="auto"/>
            <w:noWrap/>
            <w:vAlign w:val="center"/>
          </w:tcPr>
          <w:p>
            <w:pPr>
              <w:widowControl/>
              <w:adjustRightInd w:val="0"/>
              <w:snapToGrid w:val="0"/>
              <w:jc w:val="center"/>
              <w:rPr>
                <w:color w:val="FF0000"/>
              </w:rPr>
            </w:pPr>
            <w:r>
              <w:rPr>
                <w:rFonts w:hint="eastAsia"/>
                <w:color w:val="FF0000"/>
              </w:rPr>
              <w:t>0</w:t>
            </w:r>
          </w:p>
        </w:tc>
        <w:tc>
          <w:tcPr>
            <w:tcW w:w="1351" w:type="dxa"/>
            <w:shd w:val="clear" w:color="auto" w:fill="auto"/>
            <w:noWrap/>
            <w:vAlign w:val="center"/>
          </w:tcPr>
          <w:p>
            <w:pPr>
              <w:widowControl/>
              <w:adjustRightInd w:val="0"/>
              <w:snapToGrid w:val="0"/>
              <w:jc w:val="center"/>
              <w:rPr>
                <w:color w:val="FF0000"/>
              </w:rPr>
            </w:pPr>
            <w:r>
              <w:rPr>
                <w:rFonts w:hint="eastAsia"/>
                <w:color w:val="FF000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Pr>
        <w:tc>
          <w:tcPr>
            <w:tcW w:w="2395" w:type="dxa"/>
            <w:shd w:val="clear" w:color="auto" w:fill="auto"/>
            <w:noWrap/>
          </w:tcPr>
          <w:p>
            <w:pPr>
              <w:widowControl/>
              <w:adjustRightInd w:val="0"/>
              <w:snapToGrid w:val="0"/>
              <w:jc w:val="center"/>
              <w:rPr>
                <w:color w:val="FF0000"/>
              </w:rPr>
            </w:pPr>
            <w:r>
              <w:rPr>
                <w:color w:val="FF0000"/>
                <w:kern w:val="0"/>
                <w:szCs w:val="21"/>
              </w:rPr>
              <w:t>最大地面浓度对应距离</w:t>
            </w:r>
          </w:p>
        </w:tc>
        <w:tc>
          <w:tcPr>
            <w:tcW w:w="5887" w:type="dxa"/>
            <w:gridSpan w:val="5"/>
            <w:shd w:val="clear" w:color="auto" w:fill="auto"/>
            <w:noWrap/>
          </w:tcPr>
          <w:p>
            <w:pPr>
              <w:widowControl/>
              <w:adjustRightInd w:val="0"/>
              <w:snapToGrid w:val="0"/>
              <w:jc w:val="center"/>
              <w:rPr>
                <w:color w:val="FF0000"/>
              </w:rPr>
            </w:pPr>
            <w:r>
              <w:rPr>
                <w:rFonts w:hint="eastAsia"/>
                <w:color w:val="FF0000"/>
              </w:rPr>
              <w:t>1</w:t>
            </w:r>
            <w:r>
              <w:rPr>
                <w:color w:val="FF0000"/>
              </w:rPr>
              <w:t>0</w:t>
            </w:r>
          </w:p>
        </w:tc>
      </w:tr>
    </w:tbl>
    <w:p>
      <w:pPr>
        <w:spacing w:line="360" w:lineRule="auto"/>
        <w:rPr>
          <w:sz w:val="24"/>
        </w:rPr>
      </w:pPr>
    </w:p>
    <w:p>
      <w:pPr>
        <w:spacing w:line="360" w:lineRule="auto"/>
        <w:ind w:firstLine="480" w:firstLineChars="200"/>
        <w:rPr>
          <w:color w:val="FF0000"/>
          <w:sz w:val="24"/>
        </w:rPr>
      </w:pPr>
      <w:r>
        <w:rPr>
          <w:rFonts w:hint="eastAsia"/>
          <w:color w:val="FF0000"/>
          <w:sz w:val="24"/>
        </w:rPr>
        <w:t>根据预测</w:t>
      </w:r>
      <w:r>
        <w:rPr>
          <w:color w:val="FF0000"/>
          <w:sz w:val="24"/>
        </w:rPr>
        <w:t>，本项目</w:t>
      </w:r>
      <w:r>
        <w:rPr>
          <w:rFonts w:hint="eastAsia"/>
          <w:color w:val="FF0000"/>
          <w:sz w:val="24"/>
        </w:rPr>
        <w:t>填埋场</w:t>
      </w:r>
      <w:r>
        <w:rPr>
          <w:color w:val="FF0000"/>
          <w:sz w:val="24"/>
        </w:rPr>
        <w:t>产生的无组织H</w:t>
      </w:r>
      <w:r>
        <w:rPr>
          <w:color w:val="FF0000"/>
          <w:sz w:val="24"/>
          <w:vertAlign w:val="subscript"/>
        </w:rPr>
        <w:t>2</w:t>
      </w:r>
      <w:r>
        <w:rPr>
          <w:color w:val="FF0000"/>
          <w:sz w:val="24"/>
        </w:rPr>
        <w:t>S最大占标率为5.54%</w:t>
      </w:r>
      <w:r>
        <w:rPr>
          <w:rFonts w:hint="eastAsia"/>
          <w:color w:val="FF0000"/>
          <w:sz w:val="24"/>
        </w:rPr>
        <w:t>、</w:t>
      </w:r>
      <w:r>
        <w:rPr>
          <w:color w:val="FF0000"/>
          <w:sz w:val="24"/>
        </w:rPr>
        <w:t>最大落地浓度为</w:t>
      </w:r>
      <w:r>
        <w:rPr>
          <w:color w:val="FF0000"/>
          <w:sz w:val="24"/>
          <w:lang w:bidi="ar"/>
        </w:rPr>
        <w:t>0.54</w:t>
      </w:r>
      <w:r>
        <w:rPr>
          <w:color w:val="FF0000"/>
          <w:sz w:val="24"/>
        </w:rPr>
        <w:t>ug/m³</w:t>
      </w:r>
      <w:r>
        <w:rPr>
          <w:rFonts w:hint="eastAsia"/>
          <w:color w:val="FF0000"/>
          <w:sz w:val="24"/>
        </w:rPr>
        <w:t>，</w:t>
      </w:r>
      <w:r>
        <w:rPr>
          <w:color w:val="FF0000"/>
          <w:sz w:val="24"/>
        </w:rPr>
        <w:t>NH</w:t>
      </w:r>
      <w:r>
        <w:rPr>
          <w:color w:val="FF0000"/>
          <w:sz w:val="24"/>
          <w:vertAlign w:val="subscript"/>
        </w:rPr>
        <w:t>3</w:t>
      </w:r>
      <w:r>
        <w:rPr>
          <w:color w:val="FF0000"/>
          <w:sz w:val="24"/>
        </w:rPr>
        <w:t>最大占标率为3.86%</w:t>
      </w:r>
      <w:r>
        <w:rPr>
          <w:rFonts w:hint="eastAsia"/>
          <w:color w:val="FF0000"/>
          <w:sz w:val="24"/>
        </w:rPr>
        <w:t>、</w:t>
      </w:r>
      <w:r>
        <w:rPr>
          <w:color w:val="FF0000"/>
          <w:sz w:val="24"/>
        </w:rPr>
        <w:t>最大落地浓度为</w:t>
      </w:r>
      <w:r>
        <w:rPr>
          <w:color w:val="FF0000"/>
          <w:sz w:val="24"/>
          <w:lang w:bidi="ar"/>
        </w:rPr>
        <w:t>7.73ug/m³</w:t>
      </w:r>
      <w:r>
        <w:rPr>
          <w:color w:val="FF0000"/>
          <w:sz w:val="24"/>
        </w:rPr>
        <w:t>；</w:t>
      </w:r>
      <w:r>
        <w:rPr>
          <w:rFonts w:hint="eastAsia"/>
          <w:color w:val="FF0000"/>
          <w:sz w:val="24"/>
        </w:rPr>
        <w:t>作业区</w:t>
      </w:r>
      <w:r>
        <w:rPr>
          <w:color w:val="FF0000"/>
          <w:sz w:val="24"/>
        </w:rPr>
        <w:t>产生的无组织</w:t>
      </w:r>
      <w:r>
        <w:rPr>
          <w:rFonts w:hint="eastAsia"/>
          <w:color w:val="FF0000"/>
          <w:sz w:val="24"/>
        </w:rPr>
        <w:t>粉尘</w:t>
      </w:r>
      <w:r>
        <w:rPr>
          <w:color w:val="FF0000"/>
          <w:sz w:val="24"/>
        </w:rPr>
        <w:t>最大占标率为3.03%</w:t>
      </w:r>
      <w:r>
        <w:rPr>
          <w:rFonts w:hint="eastAsia"/>
          <w:color w:val="FF0000"/>
          <w:sz w:val="24"/>
        </w:rPr>
        <w:t>、</w:t>
      </w:r>
      <w:r>
        <w:rPr>
          <w:color w:val="FF0000"/>
          <w:sz w:val="24"/>
        </w:rPr>
        <w:t>最大落地浓度为</w:t>
      </w:r>
      <w:r>
        <w:rPr>
          <w:color w:val="FF0000"/>
          <w:sz w:val="24"/>
          <w:lang w:bidi="ar"/>
        </w:rPr>
        <w:t>27.31</w:t>
      </w:r>
      <w:r>
        <w:rPr>
          <w:color w:val="FF0000"/>
          <w:sz w:val="24"/>
        </w:rPr>
        <w:t>ug/m³；</w:t>
      </w:r>
      <w:r>
        <w:rPr>
          <w:rFonts w:hint="eastAsia"/>
          <w:color w:val="FF0000"/>
          <w:sz w:val="24"/>
        </w:rPr>
        <w:t>渗滤液处理站产生的无组织</w:t>
      </w:r>
      <w:r>
        <w:rPr>
          <w:color w:val="FF0000"/>
          <w:sz w:val="24"/>
        </w:rPr>
        <w:t>NH</w:t>
      </w:r>
      <w:r>
        <w:rPr>
          <w:color w:val="FF0000"/>
          <w:sz w:val="24"/>
          <w:vertAlign w:val="subscript"/>
        </w:rPr>
        <w:t>3</w:t>
      </w:r>
      <w:r>
        <w:rPr>
          <w:rFonts w:hint="eastAsia"/>
          <w:color w:val="FF0000"/>
          <w:sz w:val="24"/>
        </w:rPr>
        <w:t>最大占标率为</w:t>
      </w:r>
      <w:r>
        <w:rPr>
          <w:color w:val="FF0000"/>
          <w:sz w:val="24"/>
        </w:rPr>
        <w:t>0.37</w:t>
      </w:r>
      <w:r>
        <w:rPr>
          <w:rFonts w:hint="eastAsia"/>
          <w:color w:val="FF0000"/>
          <w:sz w:val="24"/>
        </w:rPr>
        <w:t>%，</w:t>
      </w:r>
      <w:r>
        <w:rPr>
          <w:color w:val="FF0000"/>
          <w:sz w:val="24"/>
        </w:rPr>
        <w:t>最大落地浓度为</w:t>
      </w:r>
      <w:r>
        <w:rPr>
          <w:color w:val="FF0000"/>
          <w:sz w:val="24"/>
          <w:lang w:bidi="ar"/>
        </w:rPr>
        <w:t>0.19ug/m³</w:t>
      </w:r>
      <w:r>
        <w:rPr>
          <w:rFonts w:hint="eastAsia"/>
          <w:color w:val="FF0000"/>
          <w:sz w:val="24"/>
          <w:lang w:bidi="ar"/>
        </w:rPr>
        <w:t>。</w:t>
      </w:r>
      <w:r>
        <w:rPr>
          <w:rFonts w:hint="eastAsia"/>
          <w:color w:val="FF0000"/>
          <w:sz w:val="24"/>
        </w:rPr>
        <w:t>污染物最大落地浓度均小于</w:t>
      </w:r>
      <w:r>
        <w:rPr>
          <w:color w:val="FF0000"/>
          <w:sz w:val="24"/>
        </w:rPr>
        <w:t>《环境影响评价技术导则 大气环境》（HJ2.2-2018）附录D其他污染物空气质量浓度参考限值及《恶臭污染物排放标准》（GB14554-93）中规定的限值要求</w:t>
      </w:r>
      <w:r>
        <w:rPr>
          <w:rFonts w:hint="eastAsia"/>
          <w:color w:val="FF0000"/>
          <w:sz w:val="24"/>
        </w:rPr>
        <w:t>，</w:t>
      </w:r>
      <w:r>
        <w:rPr>
          <w:color w:val="FF0000"/>
          <w:sz w:val="24"/>
        </w:rPr>
        <w:t>可不设置大气防护距离</w:t>
      </w:r>
      <w:r>
        <w:rPr>
          <w:rFonts w:hint="eastAsia"/>
          <w:color w:val="FF0000"/>
          <w:sz w:val="24"/>
        </w:rPr>
        <w:t>。</w:t>
      </w:r>
    </w:p>
    <w:p>
      <w:pPr>
        <w:autoSpaceDE w:val="0"/>
        <w:autoSpaceDN w:val="0"/>
        <w:adjustRightInd w:val="0"/>
        <w:spacing w:line="360" w:lineRule="auto"/>
        <w:outlineLvl w:val="2"/>
        <w:rPr>
          <w:b/>
          <w:kern w:val="0"/>
          <w:sz w:val="28"/>
          <w:szCs w:val="28"/>
        </w:rPr>
      </w:pPr>
      <w:bookmarkStart w:id="407" w:name="_Toc434483306"/>
      <w:bookmarkStart w:id="408" w:name="_Toc143762339"/>
      <w:bookmarkStart w:id="409" w:name="_Toc489433093"/>
      <w:r>
        <w:rPr>
          <w:b/>
          <w:kern w:val="0"/>
          <w:sz w:val="28"/>
          <w:szCs w:val="28"/>
        </w:rPr>
        <w:t>6.1.3 大气环境防护距离</w:t>
      </w:r>
      <w:bookmarkEnd w:id="407"/>
      <w:bookmarkEnd w:id="408"/>
      <w:bookmarkEnd w:id="409"/>
    </w:p>
    <w:p>
      <w:pPr>
        <w:spacing w:line="360" w:lineRule="auto"/>
        <w:ind w:firstLine="480" w:firstLineChars="200"/>
        <w:rPr>
          <w:sz w:val="24"/>
        </w:rPr>
      </w:pPr>
      <w:bookmarkStart w:id="410" w:name="_Toc434483307"/>
      <w:bookmarkStart w:id="411" w:name="_Toc489433094"/>
      <w:r>
        <w:rPr>
          <w:rFonts w:hint="eastAsia"/>
          <w:sz w:val="24"/>
        </w:rPr>
        <w:t>根据预测结果，厂界线外各污染物没有超标点，无需设大气环境防护距离</w:t>
      </w:r>
      <w:r>
        <w:rPr>
          <w:sz w:val="24"/>
        </w:rPr>
        <w:t>。</w:t>
      </w:r>
    </w:p>
    <w:p>
      <w:pPr>
        <w:autoSpaceDE w:val="0"/>
        <w:autoSpaceDN w:val="0"/>
        <w:adjustRightInd w:val="0"/>
        <w:spacing w:line="360" w:lineRule="auto"/>
        <w:outlineLvl w:val="2"/>
        <w:rPr>
          <w:b/>
          <w:kern w:val="0"/>
          <w:sz w:val="28"/>
          <w:szCs w:val="28"/>
        </w:rPr>
      </w:pPr>
      <w:bookmarkStart w:id="412" w:name="_Toc143762340"/>
      <w:r>
        <w:rPr>
          <w:b/>
          <w:kern w:val="0"/>
          <w:sz w:val="28"/>
          <w:szCs w:val="28"/>
        </w:rPr>
        <w:t xml:space="preserve">6.1.4 </w:t>
      </w:r>
      <w:r>
        <w:rPr>
          <w:rFonts w:hint="eastAsia"/>
          <w:b/>
          <w:kern w:val="0"/>
          <w:sz w:val="28"/>
          <w:szCs w:val="28"/>
        </w:rPr>
        <w:t>卫生</w:t>
      </w:r>
      <w:r>
        <w:rPr>
          <w:b/>
          <w:kern w:val="0"/>
          <w:sz w:val="28"/>
          <w:szCs w:val="28"/>
        </w:rPr>
        <w:t>防护距离</w:t>
      </w:r>
      <w:bookmarkEnd w:id="412"/>
    </w:p>
    <w:p>
      <w:pPr>
        <w:autoSpaceDE w:val="0"/>
        <w:autoSpaceDN w:val="0"/>
        <w:adjustRightInd w:val="0"/>
        <w:snapToGrid w:val="0"/>
        <w:spacing w:line="360" w:lineRule="auto"/>
        <w:ind w:firstLine="480" w:firstLineChars="200"/>
        <w:jc w:val="left"/>
        <w:rPr>
          <w:sz w:val="24"/>
        </w:rPr>
      </w:pPr>
      <w:r>
        <w:rPr>
          <w:sz w:val="24"/>
        </w:rPr>
        <w:t>根据《生活垃圾卫生填埋处理技术规范》（GB50869-2013）中第4.0.2 条填埋场不应设在以下地区，其中第3 条为“填埋库区与敞开式渗滤液处理区边界距民居住区或人畜供水点的卫生防护距离在500m 以内的地区”；根据防护距离确定的原则，本项目最终设置500m 的卫生防护距离。</w:t>
      </w:r>
    </w:p>
    <w:p>
      <w:pPr>
        <w:autoSpaceDE w:val="0"/>
        <w:autoSpaceDN w:val="0"/>
        <w:adjustRightInd w:val="0"/>
        <w:snapToGrid w:val="0"/>
        <w:spacing w:line="360" w:lineRule="auto"/>
        <w:ind w:firstLine="480" w:firstLineChars="200"/>
        <w:jc w:val="left"/>
        <w:rPr>
          <w:sz w:val="24"/>
        </w:rPr>
      </w:pPr>
      <w:r>
        <w:rPr>
          <w:sz w:val="24"/>
        </w:rPr>
        <w:t>卫生防护距离内无环境空气敏感点，此范围内用地禁止用于居住、医疗、学校等环境敏感设施的建设。</w:t>
      </w:r>
    </w:p>
    <w:p>
      <w:pPr>
        <w:autoSpaceDE w:val="0"/>
        <w:autoSpaceDN w:val="0"/>
        <w:adjustRightInd w:val="0"/>
        <w:spacing w:line="360" w:lineRule="auto"/>
        <w:outlineLvl w:val="2"/>
        <w:rPr>
          <w:b/>
          <w:kern w:val="0"/>
          <w:sz w:val="28"/>
          <w:szCs w:val="28"/>
        </w:rPr>
      </w:pPr>
      <w:bookmarkStart w:id="413" w:name="_Toc143762341"/>
      <w:r>
        <w:rPr>
          <w:b/>
          <w:kern w:val="0"/>
          <w:sz w:val="28"/>
          <w:szCs w:val="28"/>
        </w:rPr>
        <w:t xml:space="preserve">6.1.5 </w:t>
      </w:r>
      <w:r>
        <w:rPr>
          <w:rFonts w:hint="eastAsia"/>
          <w:b/>
          <w:kern w:val="0"/>
          <w:sz w:val="28"/>
          <w:szCs w:val="28"/>
        </w:rPr>
        <w:t>大气环境影响</w:t>
      </w:r>
      <w:r>
        <w:rPr>
          <w:b/>
          <w:kern w:val="0"/>
          <w:sz w:val="28"/>
          <w:szCs w:val="28"/>
        </w:rPr>
        <w:t>自查表</w:t>
      </w:r>
      <w:bookmarkEnd w:id="413"/>
    </w:p>
    <w:p>
      <w:pPr>
        <w:pStyle w:val="939"/>
        <w:keepNext/>
        <w:spacing w:line="240" w:lineRule="auto"/>
        <w:ind w:firstLine="0" w:firstLineChars="0"/>
        <w:jc w:val="center"/>
        <w:rPr>
          <w:b/>
        </w:rPr>
      </w:pPr>
      <w:r>
        <w:rPr>
          <w:b/>
        </w:rPr>
        <w:t>表6.1-11 大气环境影响评价自查表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5"/>
        <w:gridCol w:w="1298"/>
        <w:gridCol w:w="1105"/>
        <w:gridCol w:w="356"/>
        <w:gridCol w:w="46"/>
        <w:gridCol w:w="107"/>
        <w:gridCol w:w="440"/>
        <w:gridCol w:w="145"/>
        <w:gridCol w:w="722"/>
        <w:gridCol w:w="411"/>
        <w:gridCol w:w="431"/>
        <w:gridCol w:w="179"/>
        <w:gridCol w:w="401"/>
        <w:gridCol w:w="346"/>
        <w:gridCol w:w="384"/>
        <w:gridCol w:w="309"/>
        <w:gridCol w:w="86"/>
        <w:gridCol w:w="389"/>
        <w:gridCol w:w="403"/>
        <w:gridCol w:w="3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98" w:type="pct"/>
            <w:gridSpan w:val="2"/>
            <w:shd w:val="clear" w:color="auto" w:fill="auto"/>
            <w:vAlign w:val="center"/>
          </w:tcPr>
          <w:p>
            <w:pPr>
              <w:adjustRightInd w:val="0"/>
              <w:snapToGrid w:val="0"/>
              <w:spacing w:line="240" w:lineRule="atLeast"/>
              <w:jc w:val="center"/>
            </w:pPr>
            <w:r>
              <w:t>工作内容</w:t>
            </w:r>
          </w:p>
        </w:tc>
        <w:tc>
          <w:tcPr>
            <w:tcW w:w="3902" w:type="pct"/>
            <w:gridSpan w:val="18"/>
            <w:shd w:val="clear" w:color="auto" w:fill="auto"/>
            <w:vAlign w:val="center"/>
          </w:tcPr>
          <w:p>
            <w:pPr>
              <w:adjustRightInd w:val="0"/>
              <w:snapToGrid w:val="0"/>
              <w:spacing w:line="240" w:lineRule="atLeast"/>
              <w:jc w:val="center"/>
            </w:pPr>
            <w: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restart"/>
            <w:shd w:val="clear" w:color="auto" w:fill="auto"/>
            <w:vAlign w:val="center"/>
          </w:tcPr>
          <w:p>
            <w:pPr>
              <w:adjustRightInd w:val="0"/>
              <w:snapToGrid w:val="0"/>
              <w:spacing w:line="240" w:lineRule="atLeast"/>
              <w:jc w:val="center"/>
              <w:rPr>
                <w:sz w:val="18"/>
                <w:szCs w:val="18"/>
              </w:rPr>
            </w:pPr>
            <w:r>
              <w:rPr>
                <w:sz w:val="18"/>
                <w:szCs w:val="18"/>
              </w:rPr>
              <w:t>评价等级与范围</w:t>
            </w:r>
          </w:p>
        </w:tc>
        <w:tc>
          <w:tcPr>
            <w:tcW w:w="760" w:type="pct"/>
            <w:shd w:val="clear" w:color="auto" w:fill="auto"/>
            <w:vAlign w:val="center"/>
          </w:tcPr>
          <w:p>
            <w:pPr>
              <w:adjustRightInd w:val="0"/>
              <w:snapToGrid w:val="0"/>
              <w:spacing w:line="240" w:lineRule="atLeast"/>
              <w:jc w:val="center"/>
              <w:rPr>
                <w:sz w:val="18"/>
                <w:szCs w:val="18"/>
              </w:rPr>
            </w:pPr>
            <w:r>
              <w:rPr>
                <w:sz w:val="18"/>
                <w:szCs w:val="18"/>
              </w:rPr>
              <w:t>评价等级</w:t>
            </w:r>
          </w:p>
        </w:tc>
        <w:tc>
          <w:tcPr>
            <w:tcW w:w="2312" w:type="pct"/>
            <w:gridSpan w:val="10"/>
            <w:shd w:val="clear" w:color="auto" w:fill="auto"/>
            <w:vAlign w:val="center"/>
          </w:tcPr>
          <w:p>
            <w:pPr>
              <w:adjustRightInd w:val="0"/>
              <w:snapToGrid w:val="0"/>
              <w:spacing w:line="240" w:lineRule="atLeast"/>
              <w:jc w:val="center"/>
              <w:rPr>
                <w:sz w:val="18"/>
                <w:szCs w:val="18"/>
              </w:rPr>
            </w:pPr>
            <w:r>
              <w:rPr>
                <w:sz w:val="18"/>
                <w:szCs w:val="18"/>
              </w:rPr>
              <w:t>一级□</w:t>
            </w:r>
          </w:p>
        </w:tc>
        <w:tc>
          <w:tcPr>
            <w:tcW w:w="894" w:type="pct"/>
            <w:gridSpan w:val="5"/>
            <w:shd w:val="clear" w:color="auto" w:fill="auto"/>
            <w:vAlign w:val="center"/>
          </w:tcPr>
          <w:p>
            <w:pPr>
              <w:adjustRightInd w:val="0"/>
              <w:snapToGrid w:val="0"/>
              <w:spacing w:line="240" w:lineRule="atLeast"/>
              <w:jc w:val="center"/>
              <w:rPr>
                <w:sz w:val="18"/>
                <w:szCs w:val="18"/>
              </w:rPr>
            </w:pPr>
            <w:r>
              <w:rPr>
                <w:sz w:val="18"/>
                <w:szCs w:val="18"/>
              </w:rPr>
              <w:t>二级</w:t>
            </w:r>
            <w:r>
              <w:rPr>
                <w:sz w:val="18"/>
                <w:szCs w:val="18"/>
              </w:rPr>
              <w:sym w:font="Wingdings 2" w:char="0052"/>
            </w:r>
          </w:p>
        </w:tc>
        <w:tc>
          <w:tcPr>
            <w:tcW w:w="696" w:type="pct"/>
            <w:gridSpan w:val="3"/>
            <w:shd w:val="clear" w:color="auto" w:fill="auto"/>
            <w:vAlign w:val="center"/>
          </w:tcPr>
          <w:p>
            <w:pPr>
              <w:adjustRightInd w:val="0"/>
              <w:snapToGrid w:val="0"/>
              <w:spacing w:line="240" w:lineRule="atLeast"/>
              <w:jc w:val="center"/>
              <w:rPr>
                <w:sz w:val="18"/>
                <w:szCs w:val="18"/>
              </w:rPr>
            </w:pPr>
            <w:r>
              <w:rPr>
                <w:sz w:val="18"/>
                <w:szCs w:val="18"/>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评价范围</w:t>
            </w:r>
          </w:p>
        </w:tc>
        <w:tc>
          <w:tcPr>
            <w:tcW w:w="2312" w:type="pct"/>
            <w:gridSpan w:val="10"/>
            <w:shd w:val="clear" w:color="auto" w:fill="auto"/>
            <w:vAlign w:val="center"/>
          </w:tcPr>
          <w:p>
            <w:pPr>
              <w:adjustRightInd w:val="0"/>
              <w:snapToGrid w:val="0"/>
              <w:spacing w:line="240" w:lineRule="atLeast"/>
              <w:jc w:val="center"/>
              <w:rPr>
                <w:sz w:val="18"/>
                <w:szCs w:val="18"/>
              </w:rPr>
            </w:pPr>
            <w:r>
              <w:rPr>
                <w:sz w:val="18"/>
                <w:szCs w:val="18"/>
              </w:rPr>
              <w:t>边长=50km□</w:t>
            </w:r>
          </w:p>
        </w:tc>
        <w:tc>
          <w:tcPr>
            <w:tcW w:w="894" w:type="pct"/>
            <w:gridSpan w:val="5"/>
            <w:shd w:val="clear" w:color="auto" w:fill="auto"/>
            <w:vAlign w:val="center"/>
          </w:tcPr>
          <w:p>
            <w:pPr>
              <w:adjustRightInd w:val="0"/>
              <w:snapToGrid w:val="0"/>
              <w:spacing w:line="240" w:lineRule="atLeast"/>
              <w:jc w:val="center"/>
              <w:rPr>
                <w:sz w:val="18"/>
                <w:szCs w:val="18"/>
              </w:rPr>
            </w:pPr>
            <w:r>
              <w:rPr>
                <w:sz w:val="18"/>
                <w:szCs w:val="18"/>
              </w:rPr>
              <w:t>边长=5~50km</w:t>
            </w:r>
            <w:r>
              <w:rPr>
                <w:sz w:val="18"/>
                <w:szCs w:val="18"/>
              </w:rPr>
              <w:sym w:font="Wingdings 2" w:char="0052"/>
            </w:r>
          </w:p>
        </w:tc>
        <w:tc>
          <w:tcPr>
            <w:tcW w:w="696" w:type="pct"/>
            <w:gridSpan w:val="3"/>
            <w:shd w:val="clear" w:color="auto" w:fill="auto"/>
            <w:vAlign w:val="center"/>
          </w:tcPr>
          <w:p>
            <w:pPr>
              <w:adjustRightInd w:val="0"/>
              <w:snapToGrid w:val="0"/>
              <w:spacing w:line="240" w:lineRule="atLeast"/>
              <w:jc w:val="center"/>
              <w:rPr>
                <w:sz w:val="18"/>
                <w:szCs w:val="18"/>
              </w:rPr>
            </w:pPr>
            <w:r>
              <w:rPr>
                <w:sz w:val="18"/>
                <w:szCs w:val="18"/>
              </w:rPr>
              <w:t>边长=5km</w:t>
            </w:r>
          </w:p>
          <w:p>
            <w:pPr>
              <w:adjustRightInd w:val="0"/>
              <w:snapToGrid w:val="0"/>
              <w:spacing w:line="240" w:lineRule="atLeast"/>
              <w:jc w:val="center"/>
              <w:rPr>
                <w:sz w:val="18"/>
                <w:szCs w:val="18"/>
              </w:rPr>
            </w:pPr>
            <w:r>
              <w:rPr>
                <w:sz w:val="18"/>
                <w:szCs w:val="18"/>
              </w:rPr>
              <w:t>外扩2km□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restart"/>
            <w:shd w:val="clear" w:color="auto" w:fill="auto"/>
            <w:vAlign w:val="center"/>
          </w:tcPr>
          <w:p>
            <w:pPr>
              <w:adjustRightInd w:val="0"/>
              <w:snapToGrid w:val="0"/>
              <w:spacing w:line="240" w:lineRule="atLeast"/>
              <w:jc w:val="center"/>
              <w:rPr>
                <w:sz w:val="18"/>
                <w:szCs w:val="18"/>
              </w:rPr>
            </w:pPr>
            <w:r>
              <w:rPr>
                <w:sz w:val="18"/>
                <w:szCs w:val="18"/>
              </w:rPr>
              <w:t>评价因子</w:t>
            </w:r>
          </w:p>
        </w:tc>
        <w:tc>
          <w:tcPr>
            <w:tcW w:w="760" w:type="pct"/>
            <w:shd w:val="clear" w:color="auto" w:fill="auto"/>
            <w:vAlign w:val="center"/>
          </w:tcPr>
          <w:p>
            <w:pPr>
              <w:adjustRightInd w:val="0"/>
              <w:snapToGrid w:val="0"/>
              <w:spacing w:line="240" w:lineRule="atLeast"/>
              <w:jc w:val="center"/>
              <w:rPr>
                <w:sz w:val="18"/>
                <w:szCs w:val="18"/>
              </w:rPr>
            </w:pPr>
            <w:r>
              <w:rPr>
                <w:sz w:val="18"/>
                <w:szCs w:val="18"/>
              </w:rPr>
              <w:t>SO</w:t>
            </w:r>
            <w:r>
              <w:rPr>
                <w:sz w:val="18"/>
                <w:szCs w:val="18"/>
                <w:vertAlign w:val="subscript"/>
              </w:rPr>
              <w:t>2</w:t>
            </w:r>
            <w:r>
              <w:rPr>
                <w:sz w:val="18"/>
                <w:szCs w:val="18"/>
              </w:rPr>
              <w:t>+NOx排放量</w:t>
            </w:r>
          </w:p>
        </w:tc>
        <w:tc>
          <w:tcPr>
            <w:tcW w:w="1204" w:type="pct"/>
            <w:gridSpan w:val="5"/>
            <w:shd w:val="clear" w:color="auto" w:fill="auto"/>
            <w:vAlign w:val="center"/>
          </w:tcPr>
          <w:p>
            <w:pPr>
              <w:adjustRightInd w:val="0"/>
              <w:snapToGrid w:val="0"/>
              <w:spacing w:line="240" w:lineRule="atLeast"/>
              <w:jc w:val="center"/>
              <w:rPr>
                <w:sz w:val="18"/>
                <w:szCs w:val="18"/>
              </w:rPr>
            </w:pPr>
            <w:r>
              <w:rPr>
                <w:sz w:val="18"/>
                <w:szCs w:val="18"/>
              </w:rPr>
              <w:t>≥2000t/a□</w:t>
            </w:r>
          </w:p>
        </w:tc>
        <w:tc>
          <w:tcPr>
            <w:tcW w:w="1342" w:type="pct"/>
            <w:gridSpan w:val="6"/>
            <w:shd w:val="clear" w:color="auto" w:fill="auto"/>
            <w:vAlign w:val="center"/>
          </w:tcPr>
          <w:p>
            <w:pPr>
              <w:adjustRightInd w:val="0"/>
              <w:snapToGrid w:val="0"/>
              <w:spacing w:line="240" w:lineRule="atLeast"/>
              <w:jc w:val="center"/>
              <w:rPr>
                <w:sz w:val="18"/>
                <w:szCs w:val="18"/>
              </w:rPr>
            </w:pPr>
            <w:r>
              <w:rPr>
                <w:sz w:val="18"/>
                <w:szCs w:val="18"/>
              </w:rPr>
              <w:t>500~2000t/a□</w:t>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&lt;500t/a</w:t>
            </w:r>
            <w:r>
              <w:rPr>
                <w:sz w:val="18"/>
                <w:szCs w:val="18"/>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评价因子</w:t>
            </w:r>
          </w:p>
        </w:tc>
        <w:tc>
          <w:tcPr>
            <w:tcW w:w="2546" w:type="pct"/>
            <w:gridSpan w:val="11"/>
            <w:shd w:val="clear" w:color="auto" w:fill="auto"/>
            <w:vAlign w:val="center"/>
          </w:tcPr>
          <w:p>
            <w:pPr>
              <w:adjustRightInd w:val="0"/>
              <w:snapToGrid w:val="0"/>
              <w:spacing w:line="240" w:lineRule="atLeast"/>
              <w:jc w:val="center"/>
              <w:rPr>
                <w:sz w:val="18"/>
                <w:szCs w:val="18"/>
              </w:rPr>
            </w:pPr>
            <w:r>
              <w:rPr>
                <w:sz w:val="18"/>
                <w:szCs w:val="18"/>
              </w:rPr>
              <w:t>基本污染物（SO</w:t>
            </w:r>
            <w:r>
              <w:rPr>
                <w:sz w:val="18"/>
                <w:szCs w:val="18"/>
                <w:vertAlign w:val="subscript"/>
              </w:rPr>
              <w:t>2</w:t>
            </w:r>
            <w:r>
              <w:rPr>
                <w:sz w:val="18"/>
                <w:szCs w:val="18"/>
              </w:rPr>
              <w:t>、NO</w:t>
            </w:r>
            <w:r>
              <w:rPr>
                <w:sz w:val="18"/>
                <w:szCs w:val="18"/>
                <w:vertAlign w:val="subscript"/>
              </w:rPr>
              <w:t>2</w:t>
            </w:r>
            <w:r>
              <w:rPr>
                <w:sz w:val="18"/>
                <w:szCs w:val="18"/>
              </w:rPr>
              <w:t>、PM</w:t>
            </w:r>
            <w:r>
              <w:rPr>
                <w:sz w:val="18"/>
                <w:szCs w:val="18"/>
                <w:vertAlign w:val="subscript"/>
              </w:rPr>
              <w:t>10</w:t>
            </w:r>
            <w:r>
              <w:rPr>
                <w:sz w:val="18"/>
                <w:szCs w:val="18"/>
              </w:rPr>
              <w:t>、PM</w:t>
            </w:r>
            <w:r>
              <w:rPr>
                <w:sz w:val="18"/>
                <w:szCs w:val="18"/>
                <w:vertAlign w:val="subscript"/>
              </w:rPr>
              <w:t>2.5</w:t>
            </w:r>
            <w:r>
              <w:rPr>
                <w:sz w:val="18"/>
                <w:szCs w:val="18"/>
              </w:rPr>
              <w:t>、CO、O</w:t>
            </w:r>
            <w:r>
              <w:rPr>
                <w:sz w:val="18"/>
                <w:szCs w:val="18"/>
                <w:vertAlign w:val="subscript"/>
              </w:rPr>
              <w:t>3</w:t>
            </w:r>
            <w:r>
              <w:rPr>
                <w:sz w:val="18"/>
                <w:szCs w:val="18"/>
              </w:rPr>
              <w:t>）</w:t>
            </w:r>
          </w:p>
          <w:p>
            <w:pPr>
              <w:adjustRightInd w:val="0"/>
              <w:snapToGrid w:val="0"/>
              <w:spacing w:line="240" w:lineRule="atLeast"/>
              <w:jc w:val="center"/>
              <w:rPr>
                <w:sz w:val="18"/>
                <w:szCs w:val="18"/>
              </w:rPr>
            </w:pPr>
            <w:r>
              <w:rPr>
                <w:sz w:val="18"/>
                <w:szCs w:val="18"/>
              </w:rPr>
              <w:t>其他污染物（TSP</w:t>
            </w:r>
            <w:r>
              <w:rPr>
                <w:rFonts w:hint="eastAsia"/>
                <w:sz w:val="18"/>
                <w:szCs w:val="18"/>
              </w:rPr>
              <w:t>、N</w:t>
            </w:r>
            <w:r>
              <w:rPr>
                <w:sz w:val="18"/>
                <w:szCs w:val="18"/>
              </w:rPr>
              <w:t>H</w:t>
            </w:r>
            <w:r>
              <w:rPr>
                <w:sz w:val="18"/>
                <w:szCs w:val="18"/>
                <w:vertAlign w:val="subscript"/>
              </w:rPr>
              <w:t>3</w:t>
            </w:r>
            <w:r>
              <w:rPr>
                <w:rFonts w:hint="eastAsia"/>
                <w:sz w:val="18"/>
                <w:szCs w:val="18"/>
              </w:rPr>
              <w:t>、</w:t>
            </w:r>
            <w:r>
              <w:rPr>
                <w:sz w:val="18"/>
                <w:szCs w:val="18"/>
              </w:rPr>
              <w:t>H</w:t>
            </w:r>
            <w:r>
              <w:rPr>
                <w:sz w:val="18"/>
                <w:szCs w:val="18"/>
                <w:vertAlign w:val="subscript"/>
              </w:rPr>
              <w:t>2</w:t>
            </w:r>
            <w:r>
              <w:rPr>
                <w:sz w:val="18"/>
                <w:szCs w:val="18"/>
              </w:rPr>
              <w:t>S</w:t>
            </w:r>
            <w:r>
              <w:rPr>
                <w:rFonts w:hint="eastAsia"/>
                <w:sz w:val="18"/>
                <w:szCs w:val="18"/>
              </w:rPr>
              <w:t>、臭气浓度</w:t>
            </w:r>
            <w:r>
              <w:rPr>
                <w:sz w:val="18"/>
                <w:szCs w:val="18"/>
              </w:rPr>
              <w:t>）</w:t>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包括二次PM</w:t>
            </w:r>
            <w:r>
              <w:rPr>
                <w:sz w:val="18"/>
                <w:szCs w:val="18"/>
                <w:vertAlign w:val="subscript"/>
              </w:rPr>
              <w:t>2.5</w:t>
            </w:r>
            <w:r>
              <w:rPr>
                <w:sz w:val="18"/>
                <w:szCs w:val="18"/>
              </w:rPr>
              <w:t>□</w:t>
            </w:r>
          </w:p>
          <w:p>
            <w:pPr>
              <w:adjustRightInd w:val="0"/>
              <w:snapToGrid w:val="0"/>
              <w:spacing w:line="240" w:lineRule="atLeast"/>
              <w:jc w:val="center"/>
              <w:rPr>
                <w:sz w:val="18"/>
                <w:szCs w:val="18"/>
              </w:rPr>
            </w:pPr>
            <w:r>
              <w:rPr>
                <w:sz w:val="18"/>
                <w:szCs w:val="18"/>
              </w:rPr>
              <w:t>不包括二次PM</w:t>
            </w:r>
            <w:r>
              <w:rPr>
                <w:sz w:val="18"/>
                <w:szCs w:val="18"/>
                <w:vertAlign w:val="subscript"/>
              </w:rPr>
              <w:t>2.5</w:t>
            </w:r>
            <w:r>
              <w:rPr>
                <w:sz w:val="18"/>
                <w:szCs w:val="18"/>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shd w:val="clear" w:color="auto" w:fill="auto"/>
            <w:vAlign w:val="center"/>
          </w:tcPr>
          <w:p>
            <w:pPr>
              <w:adjustRightInd w:val="0"/>
              <w:snapToGrid w:val="0"/>
              <w:spacing w:line="240" w:lineRule="atLeast"/>
              <w:jc w:val="center"/>
              <w:rPr>
                <w:sz w:val="18"/>
                <w:szCs w:val="18"/>
              </w:rPr>
            </w:pPr>
            <w:r>
              <w:rPr>
                <w:sz w:val="18"/>
                <w:szCs w:val="18"/>
              </w:rPr>
              <w:t>评价标准</w:t>
            </w:r>
          </w:p>
        </w:tc>
        <w:tc>
          <w:tcPr>
            <w:tcW w:w="760" w:type="pct"/>
            <w:shd w:val="clear" w:color="auto" w:fill="auto"/>
            <w:vAlign w:val="center"/>
          </w:tcPr>
          <w:p>
            <w:pPr>
              <w:adjustRightInd w:val="0"/>
              <w:snapToGrid w:val="0"/>
              <w:spacing w:line="240" w:lineRule="atLeast"/>
              <w:jc w:val="center"/>
              <w:rPr>
                <w:sz w:val="18"/>
                <w:szCs w:val="18"/>
              </w:rPr>
            </w:pPr>
            <w:r>
              <w:rPr>
                <w:sz w:val="18"/>
                <w:szCs w:val="18"/>
              </w:rPr>
              <w:t>评价标准</w:t>
            </w:r>
          </w:p>
        </w:tc>
        <w:tc>
          <w:tcPr>
            <w:tcW w:w="1204" w:type="pct"/>
            <w:gridSpan w:val="5"/>
            <w:shd w:val="clear" w:color="auto" w:fill="auto"/>
            <w:vAlign w:val="center"/>
          </w:tcPr>
          <w:p>
            <w:pPr>
              <w:adjustRightInd w:val="0"/>
              <w:snapToGrid w:val="0"/>
              <w:spacing w:line="240" w:lineRule="atLeast"/>
              <w:jc w:val="center"/>
              <w:rPr>
                <w:sz w:val="18"/>
                <w:szCs w:val="18"/>
              </w:rPr>
            </w:pPr>
            <w:r>
              <w:rPr>
                <w:sz w:val="18"/>
                <w:szCs w:val="18"/>
              </w:rPr>
              <w:t>国家标准</w:t>
            </w:r>
            <w:r>
              <w:rPr>
                <w:sz w:val="18"/>
                <w:szCs w:val="18"/>
              </w:rPr>
              <w:sym w:font="Wingdings 2" w:char="0052"/>
            </w:r>
          </w:p>
        </w:tc>
        <w:tc>
          <w:tcPr>
            <w:tcW w:w="1342" w:type="pct"/>
            <w:gridSpan w:val="6"/>
            <w:shd w:val="clear" w:color="auto" w:fill="auto"/>
            <w:vAlign w:val="center"/>
          </w:tcPr>
          <w:p>
            <w:pPr>
              <w:adjustRightInd w:val="0"/>
              <w:snapToGrid w:val="0"/>
              <w:spacing w:line="240" w:lineRule="atLeast"/>
              <w:jc w:val="center"/>
              <w:rPr>
                <w:sz w:val="18"/>
                <w:szCs w:val="18"/>
              </w:rPr>
            </w:pPr>
            <w:r>
              <w:rPr>
                <w:sz w:val="18"/>
                <w:szCs w:val="18"/>
              </w:rPr>
              <w:t>地方标准□</w:t>
            </w:r>
          </w:p>
        </w:tc>
        <w:tc>
          <w:tcPr>
            <w:tcW w:w="660" w:type="pct"/>
            <w:gridSpan w:val="4"/>
            <w:shd w:val="clear" w:color="auto" w:fill="auto"/>
            <w:vAlign w:val="center"/>
          </w:tcPr>
          <w:p>
            <w:pPr>
              <w:adjustRightInd w:val="0"/>
              <w:snapToGrid w:val="0"/>
              <w:spacing w:line="240" w:lineRule="atLeast"/>
              <w:jc w:val="center"/>
              <w:rPr>
                <w:sz w:val="18"/>
                <w:szCs w:val="18"/>
              </w:rPr>
            </w:pPr>
            <w:r>
              <w:rPr>
                <w:sz w:val="18"/>
                <w:szCs w:val="18"/>
              </w:rPr>
              <w:t>附录D</w:t>
            </w:r>
            <w:r>
              <w:rPr>
                <w:sz w:val="18"/>
                <w:szCs w:val="18"/>
              </w:rPr>
              <w:sym w:font="Wingdings 2" w:char="0052"/>
            </w:r>
          </w:p>
        </w:tc>
        <w:tc>
          <w:tcPr>
            <w:tcW w:w="696" w:type="pct"/>
            <w:gridSpan w:val="3"/>
            <w:shd w:val="clear" w:color="auto" w:fill="auto"/>
            <w:vAlign w:val="center"/>
          </w:tcPr>
          <w:p>
            <w:pPr>
              <w:adjustRightInd w:val="0"/>
              <w:snapToGrid w:val="0"/>
              <w:spacing w:line="240" w:lineRule="atLeast"/>
              <w:jc w:val="center"/>
              <w:rPr>
                <w:sz w:val="18"/>
                <w:szCs w:val="18"/>
              </w:rPr>
            </w:pPr>
            <w:r>
              <w:rPr>
                <w:sz w:val="18"/>
                <w:szCs w:val="18"/>
              </w:rPr>
              <w:t>其他标准□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restart"/>
            <w:shd w:val="clear" w:color="auto" w:fill="auto"/>
            <w:vAlign w:val="center"/>
          </w:tcPr>
          <w:p>
            <w:pPr>
              <w:adjustRightInd w:val="0"/>
              <w:snapToGrid w:val="0"/>
              <w:spacing w:line="240" w:lineRule="atLeast"/>
              <w:jc w:val="center"/>
              <w:rPr>
                <w:sz w:val="18"/>
                <w:szCs w:val="18"/>
              </w:rPr>
            </w:pPr>
            <w:r>
              <w:rPr>
                <w:sz w:val="18"/>
                <w:szCs w:val="18"/>
              </w:rPr>
              <w:t>现状评价</w:t>
            </w:r>
          </w:p>
        </w:tc>
        <w:tc>
          <w:tcPr>
            <w:tcW w:w="760" w:type="pct"/>
            <w:shd w:val="clear" w:color="auto" w:fill="auto"/>
            <w:vAlign w:val="center"/>
          </w:tcPr>
          <w:p>
            <w:pPr>
              <w:adjustRightInd w:val="0"/>
              <w:snapToGrid w:val="0"/>
              <w:spacing w:line="240" w:lineRule="atLeast"/>
              <w:jc w:val="center"/>
              <w:rPr>
                <w:sz w:val="18"/>
                <w:szCs w:val="18"/>
              </w:rPr>
            </w:pPr>
            <w:r>
              <w:rPr>
                <w:sz w:val="18"/>
                <w:szCs w:val="18"/>
              </w:rPr>
              <w:t>评价功能区</w:t>
            </w:r>
          </w:p>
        </w:tc>
        <w:tc>
          <w:tcPr>
            <w:tcW w:w="1713" w:type="pct"/>
            <w:gridSpan w:val="7"/>
            <w:shd w:val="clear" w:color="auto" w:fill="auto"/>
            <w:vAlign w:val="center"/>
          </w:tcPr>
          <w:p>
            <w:pPr>
              <w:adjustRightInd w:val="0"/>
              <w:snapToGrid w:val="0"/>
              <w:spacing w:line="240" w:lineRule="atLeast"/>
              <w:jc w:val="center"/>
              <w:rPr>
                <w:sz w:val="18"/>
                <w:szCs w:val="18"/>
              </w:rPr>
            </w:pPr>
            <w:r>
              <w:rPr>
                <w:sz w:val="18"/>
                <w:szCs w:val="18"/>
              </w:rPr>
              <w:t>一类区□</w:t>
            </w:r>
          </w:p>
        </w:tc>
        <w:tc>
          <w:tcPr>
            <w:tcW w:w="1262" w:type="pct"/>
            <w:gridSpan w:val="6"/>
            <w:shd w:val="clear" w:color="auto" w:fill="auto"/>
            <w:vAlign w:val="center"/>
          </w:tcPr>
          <w:p>
            <w:pPr>
              <w:adjustRightInd w:val="0"/>
              <w:snapToGrid w:val="0"/>
              <w:spacing w:line="240" w:lineRule="atLeast"/>
              <w:jc w:val="center"/>
              <w:rPr>
                <w:sz w:val="18"/>
                <w:szCs w:val="18"/>
              </w:rPr>
            </w:pPr>
            <w:r>
              <w:rPr>
                <w:sz w:val="18"/>
                <w:szCs w:val="18"/>
              </w:rPr>
              <w:t>二类区</w:t>
            </w:r>
            <w:r>
              <w:rPr>
                <w:sz w:val="18"/>
                <w:szCs w:val="18"/>
              </w:rPr>
              <w:sym w:font="Wingdings 2" w:char="0052"/>
            </w:r>
          </w:p>
        </w:tc>
        <w:tc>
          <w:tcPr>
            <w:tcW w:w="928" w:type="pct"/>
            <w:gridSpan w:val="5"/>
            <w:shd w:val="clear" w:color="auto" w:fill="auto"/>
            <w:vAlign w:val="center"/>
          </w:tcPr>
          <w:p>
            <w:pPr>
              <w:adjustRightInd w:val="0"/>
              <w:snapToGrid w:val="0"/>
              <w:spacing w:line="240" w:lineRule="atLeast"/>
              <w:jc w:val="center"/>
              <w:rPr>
                <w:sz w:val="18"/>
                <w:szCs w:val="18"/>
              </w:rPr>
            </w:pPr>
            <w:r>
              <w:rPr>
                <w:sz w:val="18"/>
                <w:szCs w:val="18"/>
              </w:rPr>
              <w:t>一类区和二类区□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评价基准年</w:t>
            </w:r>
          </w:p>
        </w:tc>
        <w:tc>
          <w:tcPr>
            <w:tcW w:w="3902" w:type="pct"/>
            <w:gridSpan w:val="18"/>
            <w:shd w:val="clear" w:color="auto" w:fill="auto"/>
            <w:vAlign w:val="center"/>
          </w:tcPr>
          <w:p>
            <w:pPr>
              <w:adjustRightInd w:val="0"/>
              <w:snapToGrid w:val="0"/>
              <w:spacing w:line="240" w:lineRule="atLeast"/>
              <w:jc w:val="center"/>
              <w:rPr>
                <w:sz w:val="18"/>
                <w:szCs w:val="18"/>
              </w:rPr>
            </w:pPr>
            <w:r>
              <w:rPr>
                <w:sz w:val="18"/>
                <w:szCs w:val="18"/>
              </w:rPr>
              <w:t>（ 2020 ）年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环境空气质量现状调查数据来源</w:t>
            </w:r>
          </w:p>
        </w:tc>
        <w:tc>
          <w:tcPr>
            <w:tcW w:w="1713" w:type="pct"/>
            <w:gridSpan w:val="7"/>
            <w:shd w:val="clear" w:color="auto" w:fill="auto"/>
            <w:vAlign w:val="center"/>
          </w:tcPr>
          <w:p>
            <w:pPr>
              <w:adjustRightInd w:val="0"/>
              <w:snapToGrid w:val="0"/>
              <w:spacing w:line="240" w:lineRule="atLeast"/>
              <w:jc w:val="center"/>
              <w:rPr>
                <w:sz w:val="18"/>
                <w:szCs w:val="18"/>
              </w:rPr>
            </w:pPr>
            <w:r>
              <w:rPr>
                <w:sz w:val="18"/>
                <w:szCs w:val="18"/>
              </w:rPr>
              <w:t>长期例行监测标准□</w:t>
            </w:r>
          </w:p>
        </w:tc>
        <w:tc>
          <w:tcPr>
            <w:tcW w:w="1494" w:type="pct"/>
            <w:gridSpan w:val="8"/>
            <w:shd w:val="clear" w:color="auto" w:fill="auto"/>
            <w:vAlign w:val="center"/>
          </w:tcPr>
          <w:p>
            <w:pPr>
              <w:adjustRightInd w:val="0"/>
              <w:snapToGrid w:val="0"/>
              <w:spacing w:line="240" w:lineRule="atLeast"/>
              <w:jc w:val="center"/>
              <w:rPr>
                <w:sz w:val="18"/>
                <w:szCs w:val="18"/>
              </w:rPr>
            </w:pPr>
            <w:r>
              <w:rPr>
                <w:sz w:val="18"/>
                <w:szCs w:val="18"/>
              </w:rPr>
              <w:t>主管部门发布的数据标准</w:t>
            </w:r>
            <w:r>
              <w:rPr>
                <w:sz w:val="18"/>
                <w:szCs w:val="18"/>
              </w:rPr>
              <w:sym w:font="Wingdings 2" w:char="0052"/>
            </w:r>
          </w:p>
        </w:tc>
        <w:tc>
          <w:tcPr>
            <w:tcW w:w="696" w:type="pct"/>
            <w:gridSpan w:val="3"/>
            <w:shd w:val="clear" w:color="auto" w:fill="auto"/>
            <w:vAlign w:val="center"/>
          </w:tcPr>
          <w:p>
            <w:pPr>
              <w:adjustRightInd w:val="0"/>
              <w:snapToGrid w:val="0"/>
              <w:spacing w:line="240" w:lineRule="atLeast"/>
              <w:jc w:val="center"/>
              <w:rPr>
                <w:sz w:val="18"/>
                <w:szCs w:val="18"/>
              </w:rPr>
            </w:pPr>
            <w:r>
              <w:rPr>
                <w:sz w:val="18"/>
                <w:szCs w:val="18"/>
              </w:rPr>
              <w:t>现状补充标准</w:t>
            </w:r>
            <w:r>
              <w:rPr>
                <w:sz w:val="18"/>
                <w:szCs w:val="18"/>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现状评价</w:t>
            </w:r>
          </w:p>
        </w:tc>
        <w:tc>
          <w:tcPr>
            <w:tcW w:w="2546" w:type="pct"/>
            <w:gridSpan w:val="11"/>
            <w:shd w:val="clear" w:color="auto" w:fill="auto"/>
            <w:vAlign w:val="center"/>
          </w:tcPr>
          <w:p>
            <w:pPr>
              <w:adjustRightInd w:val="0"/>
              <w:snapToGrid w:val="0"/>
              <w:spacing w:line="240" w:lineRule="atLeast"/>
              <w:jc w:val="center"/>
              <w:rPr>
                <w:sz w:val="18"/>
                <w:szCs w:val="18"/>
              </w:rPr>
            </w:pPr>
            <w:r>
              <w:rPr>
                <w:sz w:val="18"/>
                <w:szCs w:val="18"/>
              </w:rPr>
              <w:t>达标区</w:t>
            </w:r>
            <w:r>
              <w:rPr>
                <w:sz w:val="18"/>
                <w:szCs w:val="18"/>
              </w:rPr>
              <w:sym w:font="Wingdings 2" w:char="0052"/>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不达标区□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shd w:val="clear" w:color="auto" w:fill="auto"/>
            <w:vAlign w:val="center"/>
          </w:tcPr>
          <w:p>
            <w:pPr>
              <w:adjustRightInd w:val="0"/>
              <w:snapToGrid w:val="0"/>
              <w:spacing w:line="240" w:lineRule="atLeast"/>
              <w:jc w:val="center"/>
              <w:rPr>
                <w:sz w:val="18"/>
                <w:szCs w:val="18"/>
              </w:rPr>
            </w:pPr>
            <w:r>
              <w:rPr>
                <w:sz w:val="18"/>
                <w:szCs w:val="18"/>
              </w:rPr>
              <w:t>污染源调查</w:t>
            </w:r>
          </w:p>
        </w:tc>
        <w:tc>
          <w:tcPr>
            <w:tcW w:w="760" w:type="pct"/>
            <w:shd w:val="clear" w:color="auto" w:fill="auto"/>
            <w:vAlign w:val="center"/>
          </w:tcPr>
          <w:p>
            <w:pPr>
              <w:adjustRightInd w:val="0"/>
              <w:snapToGrid w:val="0"/>
              <w:spacing w:line="240" w:lineRule="atLeast"/>
              <w:jc w:val="center"/>
              <w:rPr>
                <w:sz w:val="18"/>
                <w:szCs w:val="18"/>
              </w:rPr>
            </w:pPr>
            <w:r>
              <w:rPr>
                <w:sz w:val="18"/>
                <w:szCs w:val="18"/>
              </w:rPr>
              <w:t>调查内容</w:t>
            </w:r>
          </w:p>
        </w:tc>
        <w:tc>
          <w:tcPr>
            <w:tcW w:w="1290" w:type="pct"/>
            <w:gridSpan w:val="6"/>
            <w:shd w:val="clear" w:color="auto" w:fill="auto"/>
            <w:vAlign w:val="center"/>
          </w:tcPr>
          <w:p>
            <w:pPr>
              <w:adjustRightInd w:val="0"/>
              <w:snapToGrid w:val="0"/>
              <w:spacing w:line="240" w:lineRule="atLeast"/>
              <w:jc w:val="left"/>
              <w:rPr>
                <w:sz w:val="18"/>
                <w:szCs w:val="18"/>
              </w:rPr>
            </w:pPr>
            <w:r>
              <w:rPr>
                <w:sz w:val="18"/>
                <w:szCs w:val="18"/>
              </w:rPr>
              <w:t>本项目正常排放源</w:t>
            </w:r>
            <w:r>
              <w:rPr>
                <w:sz w:val="18"/>
                <w:szCs w:val="18"/>
              </w:rPr>
              <w:sym w:font="Wingdings 2" w:char="0052"/>
            </w:r>
          </w:p>
          <w:p>
            <w:pPr>
              <w:adjustRightInd w:val="0"/>
              <w:snapToGrid w:val="0"/>
              <w:spacing w:line="240" w:lineRule="atLeast"/>
              <w:jc w:val="left"/>
              <w:rPr>
                <w:sz w:val="18"/>
                <w:szCs w:val="18"/>
              </w:rPr>
            </w:pPr>
            <w:r>
              <w:rPr>
                <w:sz w:val="18"/>
                <w:szCs w:val="18"/>
              </w:rPr>
              <w:t>本项目非正常排放源□</w:t>
            </w:r>
          </w:p>
          <w:p>
            <w:pPr>
              <w:adjustRightInd w:val="0"/>
              <w:snapToGrid w:val="0"/>
              <w:spacing w:line="240" w:lineRule="atLeast"/>
              <w:jc w:val="left"/>
              <w:rPr>
                <w:sz w:val="18"/>
                <w:szCs w:val="18"/>
              </w:rPr>
            </w:pPr>
            <w:r>
              <w:rPr>
                <w:sz w:val="18"/>
                <w:szCs w:val="18"/>
              </w:rPr>
              <w:t>现有污染源□</w:t>
            </w:r>
          </w:p>
        </w:tc>
        <w:tc>
          <w:tcPr>
            <w:tcW w:w="1257" w:type="pct"/>
            <w:gridSpan w:val="5"/>
            <w:shd w:val="clear" w:color="auto" w:fill="auto"/>
            <w:vAlign w:val="center"/>
          </w:tcPr>
          <w:p>
            <w:pPr>
              <w:adjustRightInd w:val="0"/>
              <w:snapToGrid w:val="0"/>
              <w:spacing w:line="240" w:lineRule="atLeast"/>
              <w:jc w:val="center"/>
              <w:rPr>
                <w:sz w:val="18"/>
                <w:szCs w:val="18"/>
              </w:rPr>
            </w:pPr>
            <w:r>
              <w:rPr>
                <w:sz w:val="18"/>
                <w:szCs w:val="18"/>
              </w:rPr>
              <w:t>拟替代的污染源□</w:t>
            </w:r>
          </w:p>
        </w:tc>
        <w:tc>
          <w:tcPr>
            <w:tcW w:w="888" w:type="pct"/>
            <w:gridSpan w:val="5"/>
            <w:shd w:val="clear" w:color="auto" w:fill="auto"/>
            <w:vAlign w:val="center"/>
          </w:tcPr>
          <w:p>
            <w:pPr>
              <w:adjustRightInd w:val="0"/>
              <w:snapToGrid w:val="0"/>
              <w:spacing w:line="240" w:lineRule="atLeast"/>
              <w:jc w:val="center"/>
              <w:rPr>
                <w:sz w:val="18"/>
                <w:szCs w:val="18"/>
              </w:rPr>
            </w:pPr>
            <w:r>
              <w:rPr>
                <w:sz w:val="18"/>
                <w:szCs w:val="18"/>
              </w:rPr>
              <w:t>其他在建、拟建项目污染源□</w:t>
            </w:r>
          </w:p>
        </w:tc>
        <w:tc>
          <w:tcPr>
            <w:tcW w:w="468" w:type="pct"/>
            <w:gridSpan w:val="2"/>
            <w:shd w:val="clear" w:color="auto" w:fill="auto"/>
            <w:vAlign w:val="center"/>
          </w:tcPr>
          <w:p>
            <w:pPr>
              <w:adjustRightInd w:val="0"/>
              <w:snapToGrid w:val="0"/>
              <w:spacing w:line="240" w:lineRule="atLeast"/>
              <w:jc w:val="center"/>
              <w:rPr>
                <w:sz w:val="18"/>
                <w:szCs w:val="18"/>
              </w:rPr>
            </w:pPr>
            <w:r>
              <w:rPr>
                <w:sz w:val="18"/>
                <w:szCs w:val="18"/>
              </w:rPr>
              <w:t>区域污染源□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restart"/>
            <w:shd w:val="clear" w:color="auto" w:fill="auto"/>
            <w:vAlign w:val="center"/>
          </w:tcPr>
          <w:p>
            <w:pPr>
              <w:adjustRightInd w:val="0"/>
              <w:snapToGrid w:val="0"/>
              <w:spacing w:line="240" w:lineRule="atLeast"/>
              <w:jc w:val="center"/>
              <w:rPr>
                <w:sz w:val="18"/>
                <w:szCs w:val="18"/>
              </w:rPr>
            </w:pPr>
            <w:r>
              <w:rPr>
                <w:sz w:val="18"/>
                <w:szCs w:val="18"/>
              </w:rPr>
              <w:t>大气环境影响预测与评价（不进行进一步预测）</w:t>
            </w:r>
          </w:p>
        </w:tc>
        <w:tc>
          <w:tcPr>
            <w:tcW w:w="760" w:type="pct"/>
            <w:shd w:val="clear" w:color="auto" w:fill="auto"/>
            <w:vAlign w:val="center"/>
          </w:tcPr>
          <w:p>
            <w:pPr>
              <w:adjustRightInd w:val="0"/>
              <w:snapToGrid w:val="0"/>
              <w:spacing w:line="240" w:lineRule="atLeast"/>
              <w:jc w:val="center"/>
              <w:rPr>
                <w:sz w:val="18"/>
                <w:szCs w:val="18"/>
              </w:rPr>
            </w:pPr>
            <w:r>
              <w:rPr>
                <w:sz w:val="18"/>
                <w:szCs w:val="18"/>
              </w:rPr>
              <w:t>预测模型</w:t>
            </w:r>
          </w:p>
        </w:tc>
        <w:tc>
          <w:tcPr>
            <w:tcW w:w="648" w:type="pct"/>
            <w:shd w:val="clear" w:color="auto" w:fill="auto"/>
            <w:vAlign w:val="center"/>
          </w:tcPr>
          <w:p>
            <w:pPr>
              <w:adjustRightInd w:val="0"/>
              <w:snapToGrid w:val="0"/>
              <w:spacing w:line="240" w:lineRule="atLeast"/>
              <w:jc w:val="center"/>
              <w:rPr>
                <w:sz w:val="18"/>
                <w:szCs w:val="18"/>
              </w:rPr>
            </w:pPr>
            <w:r>
              <w:rPr>
                <w:sz w:val="18"/>
                <w:szCs w:val="18"/>
              </w:rPr>
              <w:t>AERMOD□</w:t>
            </w:r>
          </w:p>
        </w:tc>
        <w:tc>
          <w:tcPr>
            <w:tcW w:w="557" w:type="pct"/>
            <w:gridSpan w:val="4"/>
            <w:shd w:val="clear" w:color="auto" w:fill="auto"/>
            <w:vAlign w:val="center"/>
          </w:tcPr>
          <w:p>
            <w:pPr>
              <w:adjustRightInd w:val="0"/>
              <w:snapToGrid w:val="0"/>
              <w:spacing w:line="240" w:lineRule="atLeast"/>
              <w:jc w:val="center"/>
              <w:rPr>
                <w:sz w:val="18"/>
                <w:szCs w:val="18"/>
              </w:rPr>
            </w:pPr>
            <w:r>
              <w:rPr>
                <w:sz w:val="18"/>
                <w:szCs w:val="18"/>
              </w:rPr>
              <w:t>ADMS□</w:t>
            </w:r>
          </w:p>
        </w:tc>
        <w:tc>
          <w:tcPr>
            <w:tcW w:w="749" w:type="pct"/>
            <w:gridSpan w:val="3"/>
            <w:shd w:val="clear" w:color="auto" w:fill="auto"/>
            <w:vAlign w:val="center"/>
          </w:tcPr>
          <w:p>
            <w:pPr>
              <w:adjustRightInd w:val="0"/>
              <w:snapToGrid w:val="0"/>
              <w:spacing w:line="240" w:lineRule="atLeast"/>
              <w:jc w:val="center"/>
              <w:rPr>
                <w:sz w:val="18"/>
                <w:szCs w:val="18"/>
              </w:rPr>
            </w:pPr>
            <w:r>
              <w:rPr>
                <w:sz w:val="18"/>
                <w:szCs w:val="18"/>
              </w:rPr>
              <w:t>AUSTAL2000□</w:t>
            </w:r>
          </w:p>
        </w:tc>
        <w:tc>
          <w:tcPr>
            <w:tcW w:w="796" w:type="pct"/>
            <w:gridSpan w:val="4"/>
            <w:shd w:val="clear" w:color="auto" w:fill="auto"/>
            <w:vAlign w:val="center"/>
          </w:tcPr>
          <w:p>
            <w:pPr>
              <w:adjustRightInd w:val="0"/>
              <w:snapToGrid w:val="0"/>
              <w:spacing w:line="240" w:lineRule="atLeast"/>
              <w:jc w:val="center"/>
              <w:rPr>
                <w:sz w:val="18"/>
                <w:szCs w:val="18"/>
              </w:rPr>
            </w:pPr>
            <w:r>
              <w:rPr>
                <w:sz w:val="18"/>
                <w:szCs w:val="18"/>
              </w:rPr>
              <w:t>EDMS/AEDT□</w:t>
            </w:r>
          </w:p>
        </w:tc>
        <w:tc>
          <w:tcPr>
            <w:tcW w:w="457" w:type="pct"/>
            <w:gridSpan w:val="3"/>
            <w:shd w:val="clear" w:color="auto" w:fill="auto"/>
            <w:vAlign w:val="center"/>
          </w:tcPr>
          <w:p>
            <w:pPr>
              <w:adjustRightInd w:val="0"/>
              <w:snapToGrid w:val="0"/>
              <w:spacing w:line="240" w:lineRule="atLeast"/>
              <w:jc w:val="center"/>
              <w:rPr>
                <w:sz w:val="18"/>
                <w:szCs w:val="18"/>
              </w:rPr>
            </w:pPr>
            <w:r>
              <w:rPr>
                <w:sz w:val="18"/>
                <w:szCs w:val="18"/>
              </w:rPr>
              <w:t>CALPUFF□</w:t>
            </w:r>
          </w:p>
        </w:tc>
        <w:tc>
          <w:tcPr>
            <w:tcW w:w="464" w:type="pct"/>
            <w:gridSpan w:val="2"/>
            <w:shd w:val="clear" w:color="auto" w:fill="auto"/>
            <w:vAlign w:val="center"/>
          </w:tcPr>
          <w:p>
            <w:pPr>
              <w:adjustRightInd w:val="0"/>
              <w:snapToGrid w:val="0"/>
              <w:spacing w:line="240" w:lineRule="atLeast"/>
              <w:jc w:val="center"/>
              <w:rPr>
                <w:sz w:val="18"/>
                <w:szCs w:val="18"/>
              </w:rPr>
            </w:pPr>
            <w:r>
              <w:rPr>
                <w:sz w:val="18"/>
                <w:szCs w:val="18"/>
              </w:rPr>
              <w:t>网格模型□</w:t>
            </w:r>
          </w:p>
        </w:tc>
        <w:tc>
          <w:tcPr>
            <w:tcW w:w="232" w:type="pct"/>
            <w:shd w:val="clear" w:color="auto" w:fill="auto"/>
            <w:vAlign w:val="center"/>
          </w:tcPr>
          <w:p>
            <w:pPr>
              <w:adjustRightInd w:val="0"/>
              <w:snapToGrid w:val="0"/>
              <w:spacing w:line="240" w:lineRule="atLeast"/>
              <w:jc w:val="center"/>
              <w:rPr>
                <w:sz w:val="18"/>
                <w:szCs w:val="18"/>
              </w:rPr>
            </w:pPr>
            <w:r>
              <w:rPr>
                <w:sz w:val="18"/>
                <w:szCs w:val="18"/>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预测范围</w:t>
            </w:r>
          </w:p>
        </w:tc>
        <w:tc>
          <w:tcPr>
            <w:tcW w:w="1713" w:type="pct"/>
            <w:gridSpan w:val="7"/>
            <w:shd w:val="clear" w:color="auto" w:fill="auto"/>
            <w:vAlign w:val="center"/>
          </w:tcPr>
          <w:p>
            <w:pPr>
              <w:adjustRightInd w:val="0"/>
              <w:snapToGrid w:val="0"/>
              <w:spacing w:line="240" w:lineRule="atLeast"/>
              <w:jc w:val="center"/>
              <w:rPr>
                <w:sz w:val="18"/>
                <w:szCs w:val="18"/>
              </w:rPr>
            </w:pPr>
            <w:r>
              <w:rPr>
                <w:sz w:val="18"/>
                <w:szCs w:val="18"/>
              </w:rPr>
              <w:t>边长≥50km□</w:t>
            </w:r>
          </w:p>
        </w:tc>
        <w:tc>
          <w:tcPr>
            <w:tcW w:w="1494" w:type="pct"/>
            <w:gridSpan w:val="8"/>
            <w:shd w:val="clear" w:color="auto" w:fill="auto"/>
            <w:vAlign w:val="center"/>
          </w:tcPr>
          <w:p>
            <w:pPr>
              <w:adjustRightInd w:val="0"/>
              <w:snapToGrid w:val="0"/>
              <w:spacing w:line="240" w:lineRule="atLeast"/>
              <w:jc w:val="center"/>
              <w:rPr>
                <w:sz w:val="18"/>
                <w:szCs w:val="18"/>
              </w:rPr>
            </w:pPr>
            <w:r>
              <w:rPr>
                <w:sz w:val="18"/>
                <w:szCs w:val="18"/>
              </w:rPr>
              <w:t>边长5~50km</w:t>
            </w:r>
            <w:r>
              <w:rPr>
                <w:sz w:val="18"/>
                <w:szCs w:val="18"/>
              </w:rPr>
              <w:sym w:font="Wingdings 2" w:char="0052"/>
            </w:r>
          </w:p>
        </w:tc>
        <w:tc>
          <w:tcPr>
            <w:tcW w:w="696" w:type="pct"/>
            <w:gridSpan w:val="3"/>
            <w:shd w:val="clear" w:color="auto" w:fill="auto"/>
            <w:vAlign w:val="center"/>
          </w:tcPr>
          <w:p>
            <w:pPr>
              <w:adjustRightInd w:val="0"/>
              <w:snapToGrid w:val="0"/>
              <w:spacing w:line="240" w:lineRule="atLeast"/>
              <w:jc w:val="center"/>
              <w:rPr>
                <w:sz w:val="18"/>
                <w:szCs w:val="18"/>
              </w:rPr>
            </w:pPr>
            <w:r>
              <w:rPr>
                <w:sz w:val="18"/>
                <w:szCs w:val="18"/>
              </w:rPr>
              <w:t>边长=5km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预测因子</w:t>
            </w:r>
          </w:p>
        </w:tc>
        <w:tc>
          <w:tcPr>
            <w:tcW w:w="2546" w:type="pct"/>
            <w:gridSpan w:val="11"/>
            <w:shd w:val="clear" w:color="auto" w:fill="auto"/>
            <w:vAlign w:val="center"/>
          </w:tcPr>
          <w:p>
            <w:pPr>
              <w:adjustRightInd w:val="0"/>
              <w:snapToGrid w:val="0"/>
              <w:spacing w:line="240" w:lineRule="atLeast"/>
              <w:jc w:val="center"/>
              <w:rPr>
                <w:sz w:val="18"/>
                <w:szCs w:val="18"/>
              </w:rPr>
            </w:pPr>
            <w:r>
              <w:rPr>
                <w:sz w:val="18"/>
                <w:szCs w:val="18"/>
              </w:rPr>
              <w:t>预测因子（</w:t>
            </w:r>
            <w:r>
              <w:rPr>
                <w:rFonts w:hint="eastAsia"/>
                <w:sz w:val="18"/>
                <w:szCs w:val="18"/>
              </w:rPr>
              <w:t>N</w:t>
            </w:r>
            <w:r>
              <w:rPr>
                <w:sz w:val="18"/>
                <w:szCs w:val="18"/>
              </w:rPr>
              <w:t>H</w:t>
            </w:r>
            <w:r>
              <w:rPr>
                <w:sz w:val="18"/>
                <w:szCs w:val="18"/>
                <w:vertAlign w:val="subscript"/>
              </w:rPr>
              <w:t>3</w:t>
            </w:r>
            <w:r>
              <w:rPr>
                <w:rFonts w:hint="eastAsia"/>
                <w:sz w:val="18"/>
                <w:szCs w:val="18"/>
              </w:rPr>
              <w:t>、</w:t>
            </w:r>
            <w:r>
              <w:rPr>
                <w:sz w:val="18"/>
                <w:szCs w:val="18"/>
              </w:rPr>
              <w:t>H</w:t>
            </w:r>
            <w:r>
              <w:rPr>
                <w:sz w:val="18"/>
                <w:szCs w:val="18"/>
                <w:vertAlign w:val="subscript"/>
              </w:rPr>
              <w:t>2</w:t>
            </w:r>
            <w:r>
              <w:rPr>
                <w:sz w:val="18"/>
                <w:szCs w:val="18"/>
              </w:rPr>
              <w:t>S）</w:t>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包括二次PM</w:t>
            </w:r>
            <w:r>
              <w:rPr>
                <w:sz w:val="18"/>
                <w:szCs w:val="18"/>
                <w:vertAlign w:val="subscript"/>
              </w:rPr>
              <w:t>2.5</w:t>
            </w:r>
            <w:r>
              <w:rPr>
                <w:sz w:val="18"/>
                <w:szCs w:val="18"/>
              </w:rPr>
              <w:t>□</w:t>
            </w:r>
          </w:p>
          <w:p>
            <w:pPr>
              <w:adjustRightInd w:val="0"/>
              <w:snapToGrid w:val="0"/>
              <w:spacing w:line="240" w:lineRule="atLeast"/>
              <w:jc w:val="center"/>
              <w:rPr>
                <w:sz w:val="18"/>
                <w:szCs w:val="18"/>
              </w:rPr>
            </w:pPr>
            <w:r>
              <w:rPr>
                <w:sz w:val="18"/>
                <w:szCs w:val="18"/>
              </w:rPr>
              <w:t>不包括二次PM</w:t>
            </w:r>
            <w:r>
              <w:rPr>
                <w:sz w:val="18"/>
                <w:szCs w:val="18"/>
                <w:vertAlign w:val="subscript"/>
              </w:rPr>
              <w:t>2.5</w:t>
            </w:r>
            <w:r>
              <w:rPr>
                <w:sz w:val="18"/>
                <w:szCs w:val="18"/>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正常排放短期浓度贡献值</w:t>
            </w:r>
          </w:p>
        </w:tc>
        <w:tc>
          <w:tcPr>
            <w:tcW w:w="2546" w:type="pct"/>
            <w:gridSpan w:val="11"/>
            <w:shd w:val="clear" w:color="auto" w:fill="auto"/>
            <w:vAlign w:val="center"/>
          </w:tcPr>
          <w:p>
            <w:pPr>
              <w:adjustRightInd w:val="0"/>
              <w:snapToGrid w:val="0"/>
              <w:spacing w:line="240" w:lineRule="atLeast"/>
              <w:jc w:val="center"/>
              <w:rPr>
                <w:sz w:val="18"/>
                <w:szCs w:val="18"/>
              </w:rPr>
            </w:pPr>
            <w:r>
              <w:rPr>
                <w:sz w:val="18"/>
                <w:szCs w:val="18"/>
              </w:rPr>
              <w:t>C本项目最大占标率≤100%□</w:t>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C本项目最大占标率&gt;100%□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vMerge w:val="restart"/>
            <w:shd w:val="clear" w:color="auto" w:fill="auto"/>
            <w:vAlign w:val="center"/>
          </w:tcPr>
          <w:p>
            <w:pPr>
              <w:adjustRightInd w:val="0"/>
              <w:snapToGrid w:val="0"/>
              <w:spacing w:line="240" w:lineRule="atLeast"/>
              <w:jc w:val="center"/>
              <w:rPr>
                <w:sz w:val="18"/>
                <w:szCs w:val="18"/>
              </w:rPr>
            </w:pPr>
            <w:r>
              <w:rPr>
                <w:sz w:val="18"/>
                <w:szCs w:val="18"/>
              </w:rPr>
              <w:t>正常排放年均浓度贡献值</w:t>
            </w:r>
          </w:p>
        </w:tc>
        <w:tc>
          <w:tcPr>
            <w:tcW w:w="857" w:type="pct"/>
            <w:gridSpan w:val="2"/>
            <w:shd w:val="clear" w:color="auto" w:fill="auto"/>
            <w:vAlign w:val="center"/>
          </w:tcPr>
          <w:p>
            <w:pPr>
              <w:adjustRightInd w:val="0"/>
              <w:snapToGrid w:val="0"/>
              <w:spacing w:line="240" w:lineRule="atLeast"/>
              <w:jc w:val="center"/>
              <w:rPr>
                <w:sz w:val="18"/>
                <w:szCs w:val="18"/>
              </w:rPr>
            </w:pPr>
            <w:r>
              <w:rPr>
                <w:sz w:val="18"/>
                <w:szCs w:val="18"/>
              </w:rPr>
              <w:t>一类区</w:t>
            </w:r>
          </w:p>
        </w:tc>
        <w:tc>
          <w:tcPr>
            <w:tcW w:w="1690" w:type="pct"/>
            <w:gridSpan w:val="9"/>
            <w:shd w:val="clear" w:color="auto" w:fill="auto"/>
            <w:vAlign w:val="center"/>
          </w:tcPr>
          <w:p>
            <w:pPr>
              <w:adjustRightInd w:val="0"/>
              <w:snapToGrid w:val="0"/>
              <w:spacing w:line="240" w:lineRule="atLeast"/>
              <w:jc w:val="center"/>
              <w:rPr>
                <w:sz w:val="18"/>
                <w:szCs w:val="18"/>
              </w:rPr>
            </w:pPr>
            <w:r>
              <w:rPr>
                <w:sz w:val="18"/>
                <w:szCs w:val="18"/>
              </w:rPr>
              <w:t>C本项目最大占标率≤10%□</w:t>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C本项目最大占标率&gt;10%□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vMerge w:val="continue"/>
            <w:vAlign w:val="center"/>
          </w:tcPr>
          <w:p>
            <w:pPr>
              <w:adjustRightInd w:val="0"/>
              <w:snapToGrid w:val="0"/>
              <w:spacing w:line="240" w:lineRule="atLeast"/>
              <w:jc w:val="center"/>
              <w:rPr>
                <w:sz w:val="18"/>
                <w:szCs w:val="18"/>
              </w:rPr>
            </w:pPr>
          </w:p>
        </w:tc>
        <w:tc>
          <w:tcPr>
            <w:tcW w:w="857" w:type="pct"/>
            <w:gridSpan w:val="2"/>
            <w:shd w:val="clear" w:color="auto" w:fill="auto"/>
            <w:vAlign w:val="center"/>
          </w:tcPr>
          <w:p>
            <w:pPr>
              <w:adjustRightInd w:val="0"/>
              <w:snapToGrid w:val="0"/>
              <w:spacing w:line="240" w:lineRule="atLeast"/>
              <w:jc w:val="center"/>
              <w:rPr>
                <w:sz w:val="18"/>
                <w:szCs w:val="18"/>
              </w:rPr>
            </w:pPr>
            <w:r>
              <w:rPr>
                <w:sz w:val="18"/>
                <w:szCs w:val="18"/>
              </w:rPr>
              <w:t>二类区</w:t>
            </w:r>
          </w:p>
        </w:tc>
        <w:tc>
          <w:tcPr>
            <w:tcW w:w="1690" w:type="pct"/>
            <w:gridSpan w:val="9"/>
            <w:shd w:val="clear" w:color="auto" w:fill="auto"/>
            <w:vAlign w:val="center"/>
          </w:tcPr>
          <w:p>
            <w:pPr>
              <w:adjustRightInd w:val="0"/>
              <w:snapToGrid w:val="0"/>
              <w:spacing w:line="240" w:lineRule="atLeast"/>
              <w:jc w:val="center"/>
              <w:rPr>
                <w:sz w:val="18"/>
                <w:szCs w:val="18"/>
              </w:rPr>
            </w:pPr>
            <w:r>
              <w:rPr>
                <w:sz w:val="18"/>
                <w:szCs w:val="18"/>
              </w:rPr>
              <w:t>C本项目最大占标率≤30%□</w:t>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C本项目最大占标率&gt;30%□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非正常1h浓度贡献值</w:t>
            </w:r>
          </w:p>
        </w:tc>
        <w:tc>
          <w:tcPr>
            <w:tcW w:w="947" w:type="pct"/>
            <w:gridSpan w:val="4"/>
            <w:shd w:val="clear" w:color="auto" w:fill="auto"/>
            <w:vAlign w:val="center"/>
          </w:tcPr>
          <w:p>
            <w:pPr>
              <w:adjustRightInd w:val="0"/>
              <w:snapToGrid w:val="0"/>
              <w:spacing w:line="240" w:lineRule="atLeast"/>
              <w:jc w:val="center"/>
              <w:rPr>
                <w:sz w:val="18"/>
                <w:szCs w:val="18"/>
              </w:rPr>
            </w:pPr>
            <w:r>
              <w:rPr>
                <w:sz w:val="18"/>
                <w:szCs w:val="18"/>
              </w:rPr>
              <w:t>非正常持续时长</w:t>
            </w:r>
          </w:p>
          <w:p>
            <w:pPr>
              <w:adjustRightInd w:val="0"/>
              <w:snapToGrid w:val="0"/>
              <w:spacing w:line="240" w:lineRule="atLeast"/>
              <w:jc w:val="center"/>
              <w:rPr>
                <w:sz w:val="18"/>
                <w:szCs w:val="18"/>
              </w:rPr>
            </w:pPr>
            <w:r>
              <w:rPr>
                <w:sz w:val="18"/>
                <w:szCs w:val="18"/>
              </w:rPr>
              <w:t>（  ）h</w:t>
            </w:r>
          </w:p>
        </w:tc>
        <w:tc>
          <w:tcPr>
            <w:tcW w:w="2209" w:type="pct"/>
            <w:gridSpan w:val="10"/>
            <w:shd w:val="clear" w:color="auto" w:fill="auto"/>
            <w:vAlign w:val="center"/>
          </w:tcPr>
          <w:p>
            <w:pPr>
              <w:adjustRightInd w:val="0"/>
              <w:snapToGrid w:val="0"/>
              <w:spacing w:line="240" w:lineRule="atLeast"/>
              <w:jc w:val="center"/>
              <w:rPr>
                <w:sz w:val="18"/>
                <w:szCs w:val="18"/>
              </w:rPr>
            </w:pPr>
            <w:r>
              <w:rPr>
                <w:sz w:val="18"/>
                <w:szCs w:val="18"/>
              </w:rPr>
              <w:t>C非正常占标率≤100%□</w:t>
            </w:r>
          </w:p>
        </w:tc>
        <w:tc>
          <w:tcPr>
            <w:tcW w:w="747" w:type="pct"/>
            <w:gridSpan w:val="4"/>
            <w:shd w:val="clear" w:color="auto" w:fill="auto"/>
            <w:vAlign w:val="center"/>
          </w:tcPr>
          <w:p>
            <w:pPr>
              <w:adjustRightInd w:val="0"/>
              <w:snapToGrid w:val="0"/>
              <w:spacing w:line="240" w:lineRule="atLeast"/>
              <w:jc w:val="center"/>
              <w:rPr>
                <w:sz w:val="18"/>
                <w:szCs w:val="18"/>
              </w:rPr>
            </w:pPr>
            <w:r>
              <w:rPr>
                <w:sz w:val="18"/>
                <w:szCs w:val="18"/>
              </w:rPr>
              <w:t>C非正常占标率&gt;100%□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保证率日平均浓度和年平均浓度叠加值</w:t>
            </w:r>
          </w:p>
        </w:tc>
        <w:tc>
          <w:tcPr>
            <w:tcW w:w="2546" w:type="pct"/>
            <w:gridSpan w:val="11"/>
            <w:shd w:val="clear" w:color="auto" w:fill="auto"/>
            <w:vAlign w:val="center"/>
          </w:tcPr>
          <w:p>
            <w:pPr>
              <w:adjustRightInd w:val="0"/>
              <w:snapToGrid w:val="0"/>
              <w:spacing w:line="240" w:lineRule="atLeast"/>
              <w:jc w:val="center"/>
              <w:rPr>
                <w:sz w:val="18"/>
                <w:szCs w:val="18"/>
              </w:rPr>
            </w:pPr>
            <w:r>
              <w:rPr>
                <w:sz w:val="18"/>
                <w:szCs w:val="18"/>
              </w:rPr>
              <w:t>C</w:t>
            </w:r>
            <w:r>
              <w:rPr>
                <w:sz w:val="18"/>
                <w:szCs w:val="18"/>
                <w:vertAlign w:val="subscript"/>
              </w:rPr>
              <w:t>叠加</w:t>
            </w:r>
            <w:r>
              <w:rPr>
                <w:sz w:val="18"/>
                <w:szCs w:val="18"/>
              </w:rPr>
              <w:t>达标□</w:t>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C</w:t>
            </w:r>
            <w:r>
              <w:rPr>
                <w:sz w:val="18"/>
                <w:szCs w:val="18"/>
                <w:vertAlign w:val="subscript"/>
              </w:rPr>
              <w:t>叠加</w:t>
            </w:r>
            <w:r>
              <w:rPr>
                <w:sz w:val="18"/>
                <w:szCs w:val="18"/>
              </w:rPr>
              <w:t>不达标□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区域环境质量的整体变化情况</w:t>
            </w:r>
          </w:p>
        </w:tc>
        <w:tc>
          <w:tcPr>
            <w:tcW w:w="2546" w:type="pct"/>
            <w:gridSpan w:val="11"/>
            <w:shd w:val="clear" w:color="auto" w:fill="auto"/>
            <w:vAlign w:val="center"/>
          </w:tcPr>
          <w:p>
            <w:pPr>
              <w:adjustRightInd w:val="0"/>
              <w:snapToGrid w:val="0"/>
              <w:spacing w:line="240" w:lineRule="atLeast"/>
              <w:jc w:val="center"/>
              <w:rPr>
                <w:sz w:val="18"/>
                <w:szCs w:val="18"/>
              </w:rPr>
            </w:pPr>
            <w:r>
              <w:rPr>
                <w:sz w:val="18"/>
                <w:szCs w:val="18"/>
              </w:rPr>
              <w:t>k≤-20%□</w:t>
            </w:r>
          </w:p>
        </w:tc>
        <w:tc>
          <w:tcPr>
            <w:tcW w:w="1356" w:type="pct"/>
            <w:gridSpan w:val="7"/>
            <w:shd w:val="clear" w:color="auto" w:fill="auto"/>
            <w:vAlign w:val="center"/>
          </w:tcPr>
          <w:p>
            <w:pPr>
              <w:adjustRightInd w:val="0"/>
              <w:snapToGrid w:val="0"/>
              <w:spacing w:line="240" w:lineRule="atLeast"/>
              <w:jc w:val="center"/>
              <w:rPr>
                <w:sz w:val="18"/>
                <w:szCs w:val="18"/>
              </w:rPr>
            </w:pPr>
            <w:r>
              <w:rPr>
                <w:sz w:val="18"/>
                <w:szCs w:val="18"/>
              </w:rPr>
              <w:t>k&gt;-20%□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restart"/>
            <w:shd w:val="clear" w:color="auto" w:fill="auto"/>
            <w:vAlign w:val="center"/>
          </w:tcPr>
          <w:p>
            <w:pPr>
              <w:adjustRightInd w:val="0"/>
              <w:snapToGrid w:val="0"/>
              <w:spacing w:line="240" w:lineRule="atLeast"/>
              <w:jc w:val="center"/>
              <w:rPr>
                <w:sz w:val="18"/>
                <w:szCs w:val="18"/>
              </w:rPr>
            </w:pPr>
            <w:r>
              <w:rPr>
                <w:sz w:val="18"/>
                <w:szCs w:val="18"/>
              </w:rPr>
              <w:t>环境监测计划</w:t>
            </w:r>
          </w:p>
        </w:tc>
        <w:tc>
          <w:tcPr>
            <w:tcW w:w="760" w:type="pct"/>
            <w:shd w:val="clear" w:color="auto" w:fill="auto"/>
            <w:vAlign w:val="center"/>
          </w:tcPr>
          <w:p>
            <w:pPr>
              <w:adjustRightInd w:val="0"/>
              <w:snapToGrid w:val="0"/>
              <w:spacing w:line="240" w:lineRule="atLeast"/>
              <w:jc w:val="center"/>
              <w:rPr>
                <w:sz w:val="18"/>
                <w:szCs w:val="18"/>
              </w:rPr>
            </w:pPr>
            <w:r>
              <w:rPr>
                <w:sz w:val="18"/>
                <w:szCs w:val="18"/>
              </w:rPr>
              <w:t>污染源监测</w:t>
            </w:r>
          </w:p>
        </w:tc>
        <w:tc>
          <w:tcPr>
            <w:tcW w:w="1713" w:type="pct"/>
            <w:gridSpan w:val="7"/>
            <w:shd w:val="clear" w:color="auto" w:fill="auto"/>
            <w:vAlign w:val="center"/>
          </w:tcPr>
          <w:p>
            <w:pPr>
              <w:adjustRightInd w:val="0"/>
              <w:snapToGrid w:val="0"/>
              <w:spacing w:line="240" w:lineRule="atLeast"/>
              <w:jc w:val="center"/>
              <w:rPr>
                <w:sz w:val="18"/>
                <w:szCs w:val="18"/>
                <w:highlight w:val="yellow"/>
              </w:rPr>
            </w:pPr>
            <w:r>
              <w:rPr>
                <w:sz w:val="18"/>
                <w:szCs w:val="18"/>
              </w:rPr>
              <w:t>监测因子：（</w:t>
            </w:r>
            <w:r>
              <w:rPr>
                <w:rFonts w:hint="eastAsia"/>
                <w:sz w:val="18"/>
                <w:szCs w:val="18"/>
              </w:rPr>
              <w:t>N</w:t>
            </w:r>
            <w:r>
              <w:rPr>
                <w:sz w:val="18"/>
                <w:szCs w:val="18"/>
              </w:rPr>
              <w:t>H</w:t>
            </w:r>
            <w:r>
              <w:rPr>
                <w:sz w:val="18"/>
                <w:szCs w:val="18"/>
                <w:vertAlign w:val="subscript"/>
              </w:rPr>
              <w:t>3</w:t>
            </w:r>
            <w:r>
              <w:rPr>
                <w:rFonts w:hint="eastAsia"/>
                <w:sz w:val="18"/>
                <w:szCs w:val="18"/>
              </w:rPr>
              <w:t>、</w:t>
            </w:r>
            <w:r>
              <w:rPr>
                <w:sz w:val="18"/>
                <w:szCs w:val="18"/>
              </w:rPr>
              <w:t>H</w:t>
            </w:r>
            <w:r>
              <w:rPr>
                <w:sz w:val="18"/>
                <w:szCs w:val="18"/>
                <w:vertAlign w:val="subscript"/>
              </w:rPr>
              <w:t>2</w:t>
            </w:r>
            <w:r>
              <w:rPr>
                <w:sz w:val="18"/>
                <w:szCs w:val="18"/>
              </w:rPr>
              <w:t>S</w:t>
            </w:r>
            <w:r>
              <w:rPr>
                <w:rFonts w:hint="eastAsia"/>
                <w:sz w:val="18"/>
                <w:szCs w:val="18"/>
              </w:rPr>
              <w:t>、臭气浓度、</w:t>
            </w:r>
            <w:r>
              <w:rPr>
                <w:sz w:val="18"/>
                <w:szCs w:val="18"/>
              </w:rPr>
              <w:t>TSP）</w:t>
            </w:r>
          </w:p>
        </w:tc>
        <w:tc>
          <w:tcPr>
            <w:tcW w:w="1494" w:type="pct"/>
            <w:gridSpan w:val="8"/>
            <w:shd w:val="clear" w:color="auto" w:fill="auto"/>
            <w:vAlign w:val="center"/>
          </w:tcPr>
          <w:p>
            <w:pPr>
              <w:adjustRightInd w:val="0"/>
              <w:snapToGrid w:val="0"/>
              <w:spacing w:line="240" w:lineRule="atLeast"/>
              <w:jc w:val="center"/>
              <w:rPr>
                <w:sz w:val="18"/>
                <w:szCs w:val="18"/>
              </w:rPr>
            </w:pPr>
            <w:r>
              <w:rPr>
                <w:sz w:val="18"/>
                <w:szCs w:val="18"/>
              </w:rPr>
              <w:t>有组织废气监测□</w:t>
            </w:r>
          </w:p>
          <w:p>
            <w:pPr>
              <w:adjustRightInd w:val="0"/>
              <w:snapToGrid w:val="0"/>
              <w:spacing w:line="240" w:lineRule="atLeast"/>
              <w:jc w:val="center"/>
              <w:rPr>
                <w:sz w:val="18"/>
                <w:szCs w:val="18"/>
                <w:highlight w:val="yellow"/>
              </w:rPr>
            </w:pPr>
            <w:r>
              <w:rPr>
                <w:sz w:val="18"/>
                <w:szCs w:val="18"/>
              </w:rPr>
              <w:t>无组织废气监测</w:t>
            </w:r>
            <w:r>
              <w:rPr>
                <w:sz w:val="18"/>
                <w:szCs w:val="18"/>
              </w:rPr>
              <w:sym w:font="Wingdings 2" w:char="0052"/>
            </w:r>
          </w:p>
        </w:tc>
        <w:tc>
          <w:tcPr>
            <w:tcW w:w="696" w:type="pct"/>
            <w:gridSpan w:val="3"/>
            <w:shd w:val="clear" w:color="auto" w:fill="auto"/>
            <w:vAlign w:val="center"/>
          </w:tcPr>
          <w:p>
            <w:pPr>
              <w:adjustRightInd w:val="0"/>
              <w:snapToGrid w:val="0"/>
              <w:spacing w:line="240" w:lineRule="atLeast"/>
              <w:jc w:val="center"/>
              <w:rPr>
                <w:sz w:val="18"/>
                <w:szCs w:val="18"/>
              </w:rPr>
            </w:pPr>
            <w:r>
              <w:rPr>
                <w:sz w:val="18"/>
                <w:szCs w:val="18"/>
              </w:rPr>
              <w:t>无监测□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环境质量监测</w:t>
            </w:r>
          </w:p>
        </w:tc>
        <w:tc>
          <w:tcPr>
            <w:tcW w:w="1713" w:type="pct"/>
            <w:gridSpan w:val="7"/>
            <w:shd w:val="clear" w:color="auto" w:fill="auto"/>
            <w:vAlign w:val="center"/>
          </w:tcPr>
          <w:p>
            <w:pPr>
              <w:adjustRightInd w:val="0"/>
              <w:snapToGrid w:val="0"/>
              <w:spacing w:line="240" w:lineRule="atLeast"/>
              <w:jc w:val="center"/>
              <w:rPr>
                <w:sz w:val="18"/>
                <w:szCs w:val="18"/>
              </w:rPr>
            </w:pPr>
            <w:r>
              <w:rPr>
                <w:sz w:val="18"/>
                <w:szCs w:val="18"/>
              </w:rPr>
              <w:t>监测因子：（</w:t>
            </w:r>
            <w:r>
              <w:rPr>
                <w:rFonts w:hint="eastAsia"/>
                <w:sz w:val="18"/>
                <w:szCs w:val="18"/>
              </w:rPr>
              <w:t>NH</w:t>
            </w:r>
            <w:r>
              <w:rPr>
                <w:rFonts w:hint="eastAsia"/>
                <w:sz w:val="18"/>
                <w:szCs w:val="18"/>
                <w:vertAlign w:val="subscript"/>
              </w:rPr>
              <w:t>3</w:t>
            </w:r>
            <w:r>
              <w:rPr>
                <w:rFonts w:hint="eastAsia"/>
                <w:sz w:val="18"/>
                <w:szCs w:val="18"/>
              </w:rPr>
              <w:t>、H</w:t>
            </w:r>
            <w:r>
              <w:rPr>
                <w:rFonts w:hint="eastAsia"/>
                <w:sz w:val="18"/>
                <w:szCs w:val="18"/>
                <w:vertAlign w:val="subscript"/>
              </w:rPr>
              <w:t>2</w:t>
            </w:r>
            <w:r>
              <w:rPr>
                <w:rFonts w:hint="eastAsia"/>
                <w:sz w:val="18"/>
                <w:szCs w:val="18"/>
              </w:rPr>
              <w:t>S、T</w:t>
            </w:r>
            <w:r>
              <w:rPr>
                <w:sz w:val="18"/>
                <w:szCs w:val="18"/>
              </w:rPr>
              <w:t>SP）</w:t>
            </w:r>
          </w:p>
        </w:tc>
        <w:tc>
          <w:tcPr>
            <w:tcW w:w="1494" w:type="pct"/>
            <w:gridSpan w:val="8"/>
            <w:shd w:val="clear" w:color="auto" w:fill="auto"/>
            <w:vAlign w:val="center"/>
          </w:tcPr>
          <w:p>
            <w:pPr>
              <w:adjustRightInd w:val="0"/>
              <w:snapToGrid w:val="0"/>
              <w:spacing w:line="240" w:lineRule="atLeast"/>
              <w:jc w:val="center"/>
              <w:rPr>
                <w:sz w:val="18"/>
                <w:szCs w:val="18"/>
              </w:rPr>
            </w:pPr>
            <w:r>
              <w:rPr>
                <w:sz w:val="18"/>
                <w:szCs w:val="18"/>
              </w:rPr>
              <w:t>监测点位数（1）</w:t>
            </w:r>
          </w:p>
        </w:tc>
        <w:tc>
          <w:tcPr>
            <w:tcW w:w="696" w:type="pct"/>
            <w:gridSpan w:val="3"/>
            <w:shd w:val="clear" w:color="auto" w:fill="auto"/>
            <w:vAlign w:val="center"/>
          </w:tcPr>
          <w:p>
            <w:pPr>
              <w:adjustRightInd w:val="0"/>
              <w:snapToGrid w:val="0"/>
              <w:spacing w:line="240" w:lineRule="atLeast"/>
              <w:jc w:val="center"/>
              <w:rPr>
                <w:sz w:val="18"/>
                <w:szCs w:val="18"/>
              </w:rPr>
            </w:pPr>
            <w:r>
              <w:rPr>
                <w:sz w:val="18"/>
                <w:szCs w:val="18"/>
              </w:rPr>
              <w:t>无监测□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restart"/>
            <w:shd w:val="clear" w:color="auto" w:fill="auto"/>
            <w:vAlign w:val="center"/>
          </w:tcPr>
          <w:p>
            <w:pPr>
              <w:adjustRightInd w:val="0"/>
              <w:snapToGrid w:val="0"/>
              <w:spacing w:line="240" w:lineRule="atLeast"/>
              <w:jc w:val="center"/>
              <w:rPr>
                <w:sz w:val="18"/>
                <w:szCs w:val="18"/>
              </w:rPr>
            </w:pPr>
            <w:r>
              <w:rPr>
                <w:sz w:val="18"/>
                <w:szCs w:val="18"/>
              </w:rPr>
              <w:t>评价结论</w:t>
            </w:r>
          </w:p>
        </w:tc>
        <w:tc>
          <w:tcPr>
            <w:tcW w:w="760" w:type="pct"/>
            <w:shd w:val="clear" w:color="auto" w:fill="auto"/>
            <w:vAlign w:val="center"/>
          </w:tcPr>
          <w:p>
            <w:pPr>
              <w:adjustRightInd w:val="0"/>
              <w:snapToGrid w:val="0"/>
              <w:spacing w:line="240" w:lineRule="atLeast"/>
              <w:jc w:val="center"/>
              <w:rPr>
                <w:sz w:val="18"/>
                <w:szCs w:val="18"/>
              </w:rPr>
            </w:pPr>
            <w:r>
              <w:rPr>
                <w:sz w:val="18"/>
                <w:szCs w:val="18"/>
              </w:rPr>
              <w:t>环境影响</w:t>
            </w:r>
          </w:p>
        </w:tc>
        <w:tc>
          <w:tcPr>
            <w:tcW w:w="3902" w:type="pct"/>
            <w:gridSpan w:val="18"/>
            <w:shd w:val="clear" w:color="auto" w:fill="auto"/>
            <w:vAlign w:val="center"/>
          </w:tcPr>
          <w:p>
            <w:pPr>
              <w:adjustRightInd w:val="0"/>
              <w:snapToGrid w:val="0"/>
              <w:spacing w:line="240" w:lineRule="atLeast"/>
              <w:jc w:val="center"/>
              <w:rPr>
                <w:sz w:val="18"/>
                <w:szCs w:val="18"/>
              </w:rPr>
            </w:pPr>
            <w:r>
              <w:rPr>
                <w:sz w:val="18"/>
                <w:szCs w:val="18"/>
              </w:rPr>
              <w:t xml:space="preserve">可以接受 </w:t>
            </w:r>
            <w:r>
              <w:rPr>
                <w:sz w:val="18"/>
                <w:szCs w:val="18"/>
              </w:rPr>
              <w:sym w:font="Wingdings 2" w:char="0052"/>
            </w:r>
            <w:r>
              <w:rPr>
                <w:sz w:val="18"/>
                <w:szCs w:val="18"/>
              </w:rPr>
              <w:t xml:space="preserve">             不可以接受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大气环境防护距离</w:t>
            </w:r>
          </w:p>
        </w:tc>
        <w:tc>
          <w:tcPr>
            <w:tcW w:w="3902" w:type="pct"/>
            <w:gridSpan w:val="18"/>
            <w:shd w:val="clear" w:color="auto" w:fill="auto"/>
            <w:vAlign w:val="center"/>
          </w:tcPr>
          <w:p>
            <w:pPr>
              <w:adjustRightInd w:val="0"/>
              <w:snapToGrid w:val="0"/>
              <w:spacing w:line="240" w:lineRule="atLeast"/>
              <w:jc w:val="center"/>
              <w:rPr>
                <w:sz w:val="18"/>
                <w:szCs w:val="18"/>
              </w:rPr>
            </w:pPr>
            <w:r>
              <w:rPr>
                <w:sz w:val="18"/>
                <w:szCs w:val="18"/>
              </w:rPr>
              <w:t>距厂界最远（    ）m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37" w:type="pct"/>
            <w:vMerge w:val="continue"/>
            <w:vAlign w:val="center"/>
          </w:tcPr>
          <w:p>
            <w:pPr>
              <w:adjustRightInd w:val="0"/>
              <w:snapToGrid w:val="0"/>
              <w:spacing w:line="240" w:lineRule="atLeast"/>
              <w:jc w:val="center"/>
              <w:rPr>
                <w:sz w:val="18"/>
                <w:szCs w:val="18"/>
              </w:rPr>
            </w:pPr>
          </w:p>
        </w:tc>
        <w:tc>
          <w:tcPr>
            <w:tcW w:w="760" w:type="pct"/>
            <w:shd w:val="clear" w:color="auto" w:fill="auto"/>
            <w:vAlign w:val="center"/>
          </w:tcPr>
          <w:p>
            <w:pPr>
              <w:adjustRightInd w:val="0"/>
              <w:snapToGrid w:val="0"/>
              <w:spacing w:line="240" w:lineRule="atLeast"/>
              <w:jc w:val="center"/>
              <w:rPr>
                <w:sz w:val="18"/>
                <w:szCs w:val="18"/>
              </w:rPr>
            </w:pPr>
            <w:r>
              <w:rPr>
                <w:sz w:val="18"/>
                <w:szCs w:val="18"/>
              </w:rPr>
              <w:t>污染源年排放量</w:t>
            </w:r>
          </w:p>
        </w:tc>
        <w:tc>
          <w:tcPr>
            <w:tcW w:w="884" w:type="pct"/>
            <w:gridSpan w:val="3"/>
            <w:shd w:val="clear" w:color="auto" w:fill="auto"/>
            <w:vAlign w:val="center"/>
          </w:tcPr>
          <w:p>
            <w:pPr>
              <w:adjustRightInd w:val="0"/>
              <w:snapToGrid w:val="0"/>
              <w:spacing w:line="240" w:lineRule="atLeast"/>
              <w:jc w:val="center"/>
              <w:rPr>
                <w:sz w:val="18"/>
                <w:szCs w:val="18"/>
              </w:rPr>
            </w:pPr>
            <w:r>
              <w:rPr>
                <w:sz w:val="18"/>
                <w:szCs w:val="18"/>
              </w:rPr>
              <w:t>SO</w:t>
            </w:r>
            <w:r>
              <w:rPr>
                <w:sz w:val="18"/>
                <w:szCs w:val="18"/>
                <w:vertAlign w:val="subscript"/>
              </w:rPr>
              <w:t>2</w:t>
            </w:r>
            <w:r>
              <w:rPr>
                <w:sz w:val="18"/>
                <w:szCs w:val="18"/>
              </w:rPr>
              <w:t>：( )t/a</w:t>
            </w:r>
          </w:p>
        </w:tc>
        <w:tc>
          <w:tcPr>
            <w:tcW w:w="1323" w:type="pct"/>
            <w:gridSpan w:val="6"/>
            <w:shd w:val="clear" w:color="auto" w:fill="auto"/>
            <w:vAlign w:val="center"/>
          </w:tcPr>
          <w:p>
            <w:pPr>
              <w:adjustRightInd w:val="0"/>
              <w:snapToGrid w:val="0"/>
              <w:spacing w:line="240" w:lineRule="atLeast"/>
              <w:jc w:val="center"/>
              <w:rPr>
                <w:sz w:val="18"/>
                <w:szCs w:val="18"/>
              </w:rPr>
            </w:pPr>
            <w:r>
              <w:rPr>
                <w:sz w:val="18"/>
                <w:szCs w:val="18"/>
              </w:rPr>
              <w:t>NO</w:t>
            </w:r>
            <w:r>
              <w:rPr>
                <w:sz w:val="18"/>
                <w:szCs w:val="18"/>
                <w:vertAlign w:val="subscript"/>
              </w:rPr>
              <w:t>x</w:t>
            </w:r>
            <w:r>
              <w:rPr>
                <w:sz w:val="18"/>
                <w:szCs w:val="18"/>
              </w:rPr>
              <w:t>：(  )t/a</w:t>
            </w:r>
          </w:p>
        </w:tc>
        <w:tc>
          <w:tcPr>
            <w:tcW w:w="999" w:type="pct"/>
            <w:gridSpan w:val="6"/>
            <w:shd w:val="clear" w:color="auto" w:fill="auto"/>
            <w:vAlign w:val="center"/>
          </w:tcPr>
          <w:p>
            <w:pPr>
              <w:adjustRightInd w:val="0"/>
              <w:snapToGrid w:val="0"/>
              <w:spacing w:line="240" w:lineRule="atLeast"/>
              <w:jc w:val="center"/>
              <w:rPr>
                <w:sz w:val="18"/>
                <w:szCs w:val="18"/>
              </w:rPr>
            </w:pPr>
            <w:r>
              <w:rPr>
                <w:sz w:val="18"/>
                <w:szCs w:val="18"/>
              </w:rPr>
              <w:t>颗粒物：(0.08 )t/a</w:t>
            </w:r>
          </w:p>
        </w:tc>
        <w:tc>
          <w:tcPr>
            <w:tcW w:w="696" w:type="pct"/>
            <w:gridSpan w:val="3"/>
            <w:shd w:val="clear" w:color="auto" w:fill="auto"/>
            <w:vAlign w:val="center"/>
          </w:tcPr>
          <w:p>
            <w:pPr>
              <w:adjustRightInd w:val="0"/>
              <w:snapToGrid w:val="0"/>
              <w:spacing w:line="240" w:lineRule="atLeast"/>
              <w:jc w:val="center"/>
              <w:rPr>
                <w:sz w:val="18"/>
                <w:szCs w:val="18"/>
              </w:rPr>
            </w:pPr>
            <w:r>
              <w:rPr>
                <w:sz w:val="18"/>
                <w:szCs w:val="18"/>
              </w:rPr>
              <w:t>VOCs：( 0 )t/a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20"/>
            <w:shd w:val="clear" w:color="auto" w:fill="auto"/>
            <w:vAlign w:val="center"/>
          </w:tcPr>
          <w:p>
            <w:pPr>
              <w:adjustRightInd w:val="0"/>
              <w:snapToGrid w:val="0"/>
              <w:spacing w:line="240" w:lineRule="atLeast"/>
              <w:jc w:val="center"/>
              <w:rPr>
                <w:sz w:val="18"/>
                <w:szCs w:val="18"/>
              </w:rPr>
            </w:pPr>
            <w:r>
              <w:rPr>
                <w:sz w:val="18"/>
                <w:szCs w:val="18"/>
              </w:rPr>
              <w:t>注：“□”，填“√”；“（  ）”为内容填写项</w:t>
            </w:r>
          </w:p>
        </w:tc>
      </w:tr>
    </w:tbl>
    <w:p>
      <w:pPr>
        <w:spacing w:line="360" w:lineRule="auto"/>
        <w:ind w:firstLine="480" w:firstLineChars="200"/>
        <w:rPr>
          <w:sz w:val="24"/>
        </w:rPr>
        <w:sectPr>
          <w:pgSz w:w="11906" w:h="16838"/>
          <w:pgMar w:top="1440" w:right="1797" w:bottom="1440" w:left="1797" w:header="851" w:footer="992" w:gutter="0"/>
          <w:cols w:space="425" w:num="1"/>
          <w:docGrid w:type="lines" w:linePitch="312" w:charSpace="0"/>
        </w:sectPr>
      </w:pPr>
    </w:p>
    <w:bookmarkEnd w:id="410"/>
    <w:bookmarkEnd w:id="411"/>
    <w:p>
      <w:pPr>
        <w:pStyle w:val="347"/>
        <w:keepNext w:val="0"/>
        <w:topLinePunct w:val="0"/>
        <w:spacing w:beforeLines="50" w:afterLines="50" w:line="360" w:lineRule="auto"/>
        <w:jc w:val="both"/>
        <w:rPr>
          <w:rFonts w:cs="Times New Roman"/>
        </w:rPr>
      </w:pPr>
      <w:bookmarkStart w:id="414" w:name="_Toc489433095"/>
      <w:bookmarkStart w:id="415" w:name="_Toc143762342"/>
      <w:r>
        <w:rPr>
          <w:rFonts w:cs="Times New Roman"/>
        </w:rPr>
        <w:t>6.2运营期</w:t>
      </w:r>
      <w:r>
        <w:rPr>
          <w:rFonts w:hint="eastAsia" w:cs="Times New Roman"/>
        </w:rPr>
        <w:t>地下</w:t>
      </w:r>
      <w:r>
        <w:rPr>
          <w:rFonts w:cs="Times New Roman"/>
        </w:rPr>
        <w:t>水环境影响</w:t>
      </w:r>
      <w:bookmarkEnd w:id="414"/>
      <w:r>
        <w:rPr>
          <w:rFonts w:hint="eastAsia" w:cs="Times New Roman"/>
        </w:rPr>
        <w:t>预测与评价</w:t>
      </w:r>
      <w:bookmarkEnd w:id="415"/>
    </w:p>
    <w:p>
      <w:pPr>
        <w:keepNext/>
        <w:keepLines/>
        <w:adjustRightInd w:val="0"/>
        <w:snapToGrid w:val="0"/>
        <w:spacing w:line="360" w:lineRule="auto"/>
        <w:jc w:val="left"/>
        <w:outlineLvl w:val="2"/>
        <w:rPr>
          <w:b/>
          <w:sz w:val="28"/>
          <w:szCs w:val="28"/>
        </w:rPr>
      </w:pPr>
      <w:bookmarkStart w:id="416" w:name="_Toc143762343"/>
      <w:bookmarkStart w:id="417" w:name="_Toc489433096"/>
      <w:r>
        <w:rPr>
          <w:b/>
          <w:sz w:val="28"/>
          <w:szCs w:val="28"/>
        </w:rPr>
        <w:t>6.2.1环境水文地质条件</w:t>
      </w:r>
      <w:bookmarkEnd w:id="416"/>
    </w:p>
    <w:p>
      <w:pPr>
        <w:keepNext/>
        <w:keepLines/>
        <w:adjustRightInd w:val="0"/>
        <w:snapToGrid w:val="0"/>
        <w:spacing w:line="360" w:lineRule="auto"/>
        <w:jc w:val="left"/>
        <w:outlineLvl w:val="3"/>
        <w:rPr>
          <w:b/>
          <w:bCs/>
          <w:sz w:val="24"/>
        </w:rPr>
      </w:pPr>
      <w:r>
        <w:rPr>
          <w:b/>
          <w:sz w:val="28"/>
          <w:szCs w:val="28"/>
        </w:rPr>
        <w:t>6.2.1</w:t>
      </w:r>
      <w:r>
        <w:rPr>
          <w:b/>
          <w:bCs/>
          <w:sz w:val="24"/>
        </w:rPr>
        <w:t>.1区域水文地质条件</w:t>
      </w:r>
    </w:p>
    <w:p>
      <w:pPr>
        <w:adjustRightInd w:val="0"/>
        <w:snapToGrid w:val="0"/>
        <w:spacing w:line="360" w:lineRule="auto"/>
        <w:ind w:firstLine="424" w:firstLineChars="177"/>
        <w:rPr>
          <w:sz w:val="24"/>
        </w:rPr>
      </w:pPr>
      <w:r>
        <w:rPr>
          <w:sz w:val="24"/>
        </w:rPr>
        <w:t>1</w:t>
      </w:r>
      <w:r>
        <w:rPr>
          <w:rFonts w:ascii="宋体" w:hAnsi="宋体"/>
          <w:sz w:val="24"/>
        </w:rPr>
        <w:t>、地下水系统划分</w:t>
      </w:r>
    </w:p>
    <w:p>
      <w:pPr>
        <w:adjustRightInd w:val="0"/>
        <w:snapToGrid w:val="0"/>
        <w:spacing w:line="360" w:lineRule="auto"/>
        <w:ind w:firstLine="424" w:firstLineChars="177"/>
        <w:rPr>
          <w:sz w:val="24"/>
        </w:rPr>
      </w:pPr>
      <w:r>
        <w:rPr>
          <w:rFonts w:ascii="宋体" w:hAnsi="宋体"/>
          <w:sz w:val="24"/>
        </w:rPr>
        <w:t>根据《河套盆地地下水资源及环境问题调查评价成果报告》，河套平原划分为后套平原地下水系统，在一级地下水系统划分基础上，依据中间水流系统和含水介质的差异，进一步划分为</w:t>
      </w:r>
      <w:r>
        <w:rPr>
          <w:sz w:val="24"/>
        </w:rPr>
        <w:t>2</w:t>
      </w:r>
      <w:r>
        <w:rPr>
          <w:rFonts w:ascii="宋体" w:hAnsi="宋体"/>
          <w:sz w:val="24"/>
        </w:rPr>
        <w:t>个二级地下水子系统。针对后套黄河冲湖积平原二级地下水子系统，再进一步划分为</w:t>
      </w:r>
      <w:r>
        <w:rPr>
          <w:sz w:val="24"/>
        </w:rPr>
        <w:t>6</w:t>
      </w:r>
      <w:r>
        <w:rPr>
          <w:rFonts w:ascii="宋体" w:hAnsi="宋体"/>
          <w:sz w:val="24"/>
        </w:rPr>
        <w:t>个三级地下水子系统。</w:t>
      </w:r>
    </w:p>
    <w:p>
      <w:pPr>
        <w:adjustRightInd w:val="0"/>
        <w:snapToGrid w:val="0"/>
        <w:spacing w:line="360" w:lineRule="auto"/>
        <w:jc w:val="center"/>
        <w:rPr>
          <w:szCs w:val="21"/>
        </w:rPr>
      </w:pPr>
      <w:r>
        <w:rPr>
          <w:rFonts w:hint="eastAsia"/>
          <w:szCs w:val="21"/>
        </w:rPr>
        <w:drawing>
          <wp:anchor distT="0" distB="0" distL="114300" distR="114300" simplePos="0" relativeHeight="251677696" behindDoc="0" locked="0" layoutInCell="1" allowOverlap="1">
            <wp:simplePos x="0" y="0"/>
            <wp:positionH relativeFrom="column">
              <wp:posOffset>3629025</wp:posOffset>
            </wp:positionH>
            <wp:positionV relativeFrom="paragraph">
              <wp:posOffset>912495</wp:posOffset>
            </wp:positionV>
            <wp:extent cx="76200" cy="76200"/>
            <wp:effectExtent l="0" t="0" r="0" b="0"/>
            <wp:wrapNone/>
            <wp:docPr id="256" name="图片 256" descr="C:\Users\众成环境\AppData\Local\Temp\ksohtml24568\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C:\Users\众成环境\AppData\Local\Temp\ksohtml24568\wps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76200" cy="76200"/>
                    </a:xfrm>
                    <a:prstGeom prst="rect">
                      <a:avLst/>
                    </a:prstGeom>
                    <a:noFill/>
                    <a:ln>
                      <a:noFill/>
                    </a:ln>
                  </pic:spPr>
                </pic:pic>
              </a:graphicData>
            </a:graphic>
          </wp:anchor>
        </w:drawing>
      </w:r>
      <w:r>
        <w:rPr>
          <w:rFonts w:hint="eastAsia"/>
          <w:szCs w:val="21"/>
        </w:rPr>
        <w:drawing>
          <wp:anchor distT="0" distB="0" distL="114300" distR="114300" simplePos="0" relativeHeight="251678720" behindDoc="0" locked="0" layoutInCell="1" allowOverlap="1">
            <wp:simplePos x="0" y="0"/>
            <wp:positionH relativeFrom="column">
              <wp:posOffset>3752850</wp:posOffset>
            </wp:positionH>
            <wp:positionV relativeFrom="paragraph">
              <wp:posOffset>560070</wp:posOffset>
            </wp:positionV>
            <wp:extent cx="828675" cy="381000"/>
            <wp:effectExtent l="0" t="0" r="9525" b="0"/>
            <wp:wrapNone/>
            <wp:docPr id="264" name="图片 264" descr="C:\Users\众成环境\AppData\Local\Temp\ksohtml24568\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C:\Users\众成环境\AppData\Local\Temp\ksohtml24568\wps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828675" cy="381000"/>
                    </a:xfrm>
                    <a:prstGeom prst="rect">
                      <a:avLst/>
                    </a:prstGeom>
                    <a:noFill/>
                    <a:ln>
                      <a:noFill/>
                    </a:ln>
                  </pic:spPr>
                </pic:pic>
              </a:graphicData>
            </a:graphic>
          </wp:anchor>
        </w:drawing>
      </w:r>
      <w:r>
        <w:rPr>
          <w:rFonts w:hint="eastAsia"/>
          <w:szCs w:val="21"/>
        </w:rPr>
        <w:drawing>
          <wp:inline distT="0" distB="0" distL="0" distR="0">
            <wp:extent cx="5267325" cy="4543425"/>
            <wp:effectExtent l="0" t="0" r="9525" b="9525"/>
            <wp:docPr id="265" name="图片 265" descr="C:\Users\众成环境\AppData\Local\Temp\ksohtml24568\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C:\Users\众成环境\AppData\Local\Temp\ksohtml24568\wps6.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67325" cy="4543425"/>
                    </a:xfrm>
                    <a:prstGeom prst="rect">
                      <a:avLst/>
                    </a:prstGeom>
                    <a:noFill/>
                    <a:ln>
                      <a:noFill/>
                    </a:ln>
                  </pic:spPr>
                </pic:pic>
              </a:graphicData>
            </a:graphic>
          </wp:inline>
        </w:drawing>
      </w:r>
      <w:r>
        <w:rPr>
          <w:szCs w:val="21"/>
        </w:rPr>
        <w:t xml:space="preserve"> </w:t>
      </w:r>
    </w:p>
    <w:p>
      <w:pPr>
        <w:adjustRightInd w:val="0"/>
        <w:snapToGrid w:val="0"/>
        <w:spacing w:line="360" w:lineRule="auto"/>
        <w:ind w:left="-178" w:leftChars="-85"/>
        <w:jc w:val="center"/>
        <w:rPr>
          <w:b/>
          <w:sz w:val="24"/>
        </w:rPr>
      </w:pPr>
      <w:r>
        <w:rPr>
          <w:b/>
          <w:sz w:val="24"/>
        </w:rPr>
        <w:t>图6.2-1  区域含水层系统划分</w:t>
      </w:r>
    </w:p>
    <w:p>
      <w:pPr>
        <w:adjustRightInd w:val="0"/>
        <w:snapToGrid w:val="0"/>
        <w:ind w:left="-178" w:leftChars="-85"/>
        <w:jc w:val="center"/>
        <w:rPr>
          <w:b/>
          <w:sz w:val="24"/>
        </w:rPr>
      </w:pPr>
      <w:r>
        <w:rPr>
          <w:b/>
          <w:sz w:val="24"/>
        </w:rPr>
        <w:t>表6.2-1  地下水系统划分一览表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93"/>
        <w:gridCol w:w="2607"/>
        <w:gridCol w:w="47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77" w:type="dxa"/>
            <w:vAlign w:val="center"/>
          </w:tcPr>
          <w:p>
            <w:pPr>
              <w:adjustRightInd w:val="0"/>
              <w:snapToGrid w:val="0"/>
              <w:jc w:val="center"/>
              <w:rPr>
                <w:kern w:val="0"/>
                <w:szCs w:val="21"/>
              </w:rPr>
            </w:pPr>
            <w:r>
              <w:rPr>
                <w:rFonts w:ascii="宋体" w:hAnsi="宋体"/>
                <w:kern w:val="0"/>
                <w:szCs w:val="21"/>
              </w:rPr>
              <w:t>一级系统</w:t>
            </w:r>
          </w:p>
        </w:tc>
        <w:tc>
          <w:tcPr>
            <w:tcW w:w="2579" w:type="dxa"/>
            <w:vAlign w:val="center"/>
          </w:tcPr>
          <w:p>
            <w:pPr>
              <w:adjustRightInd w:val="0"/>
              <w:snapToGrid w:val="0"/>
              <w:jc w:val="center"/>
              <w:rPr>
                <w:kern w:val="0"/>
                <w:szCs w:val="21"/>
              </w:rPr>
            </w:pPr>
            <w:r>
              <w:rPr>
                <w:rFonts w:ascii="宋体" w:hAnsi="宋体"/>
                <w:kern w:val="0"/>
                <w:szCs w:val="21"/>
              </w:rPr>
              <w:t>二级系统</w:t>
            </w:r>
          </w:p>
        </w:tc>
        <w:tc>
          <w:tcPr>
            <w:tcW w:w="4705" w:type="dxa"/>
            <w:vAlign w:val="center"/>
          </w:tcPr>
          <w:p>
            <w:pPr>
              <w:adjustRightInd w:val="0"/>
              <w:snapToGrid w:val="0"/>
              <w:jc w:val="center"/>
              <w:rPr>
                <w:kern w:val="0"/>
                <w:szCs w:val="21"/>
              </w:rPr>
            </w:pPr>
            <w:r>
              <w:rPr>
                <w:rFonts w:ascii="宋体" w:hAnsi="宋体"/>
                <w:kern w:val="0"/>
                <w:szCs w:val="21"/>
              </w:rPr>
              <w:t>三级系统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77" w:type="dxa"/>
            <w:vMerge w:val="restart"/>
            <w:vAlign w:val="center"/>
          </w:tcPr>
          <w:p>
            <w:pPr>
              <w:snapToGrid w:val="0"/>
              <w:jc w:val="center"/>
              <w:rPr>
                <w:kern w:val="0"/>
                <w:szCs w:val="21"/>
              </w:rPr>
            </w:pPr>
            <w:r>
              <w:rPr>
                <w:rFonts w:ascii="宋体" w:hAnsi="宋体"/>
                <w:kern w:val="0"/>
                <w:szCs w:val="21"/>
              </w:rPr>
              <w:t>后套平原</w:t>
            </w:r>
          </w:p>
          <w:p>
            <w:pPr>
              <w:snapToGrid w:val="0"/>
              <w:jc w:val="center"/>
              <w:rPr>
                <w:kern w:val="0"/>
                <w:szCs w:val="21"/>
              </w:rPr>
            </w:pPr>
            <w:r>
              <w:rPr>
                <w:rFonts w:ascii="宋体" w:hAnsi="宋体"/>
                <w:kern w:val="0"/>
                <w:szCs w:val="21"/>
              </w:rPr>
              <w:t>地下水系统</w:t>
            </w:r>
          </w:p>
          <w:p>
            <w:pPr>
              <w:snapToGrid w:val="0"/>
              <w:jc w:val="center"/>
              <w:rPr>
                <w:kern w:val="0"/>
                <w:szCs w:val="21"/>
              </w:rPr>
            </w:pPr>
            <w:r>
              <w:rPr>
                <w:rFonts w:ascii="宋体" w:hAnsi="宋体"/>
                <w:kern w:val="0"/>
                <w:szCs w:val="21"/>
              </w:rPr>
              <w:t>（</w:t>
            </w:r>
            <w:r>
              <w:rPr>
                <w:kern w:val="0"/>
                <w:szCs w:val="21"/>
              </w:rPr>
              <w:t>A</w:t>
            </w:r>
            <w:r>
              <w:rPr>
                <w:rFonts w:ascii="宋体" w:hAnsi="宋体"/>
                <w:kern w:val="0"/>
                <w:szCs w:val="21"/>
              </w:rPr>
              <w:t>）</w:t>
            </w:r>
          </w:p>
        </w:tc>
        <w:tc>
          <w:tcPr>
            <w:tcW w:w="2579" w:type="dxa"/>
            <w:vMerge w:val="restart"/>
            <w:vAlign w:val="center"/>
          </w:tcPr>
          <w:p>
            <w:pPr>
              <w:snapToGrid w:val="0"/>
              <w:jc w:val="center"/>
              <w:rPr>
                <w:kern w:val="0"/>
                <w:szCs w:val="21"/>
              </w:rPr>
            </w:pPr>
            <w:r>
              <w:rPr>
                <w:rFonts w:ascii="宋体" w:hAnsi="宋体"/>
                <w:kern w:val="0"/>
                <w:szCs w:val="21"/>
              </w:rPr>
              <w:t>黄河冲湖积平原地下水子系统（</w:t>
            </w:r>
            <w:r>
              <w:rPr>
                <w:kern w:val="0"/>
                <w:szCs w:val="21"/>
              </w:rPr>
              <w:t>A02</w:t>
            </w:r>
            <w:r>
              <w:rPr>
                <w:rFonts w:ascii="宋体" w:hAnsi="宋体"/>
                <w:kern w:val="0"/>
                <w:szCs w:val="21"/>
              </w:rPr>
              <w:t>）</w:t>
            </w:r>
          </w:p>
        </w:tc>
        <w:tc>
          <w:tcPr>
            <w:tcW w:w="4705" w:type="dxa"/>
            <w:vAlign w:val="center"/>
          </w:tcPr>
          <w:p>
            <w:pPr>
              <w:snapToGrid w:val="0"/>
              <w:jc w:val="center"/>
              <w:rPr>
                <w:kern w:val="0"/>
                <w:szCs w:val="21"/>
              </w:rPr>
            </w:pPr>
            <w:r>
              <w:rPr>
                <w:rFonts w:ascii="宋体" w:hAnsi="宋体"/>
                <w:kern w:val="0"/>
                <w:szCs w:val="21"/>
              </w:rPr>
              <w:t>乌兰布和沙漠地下水子系统（</w:t>
            </w:r>
            <w:r>
              <w:rPr>
                <w:kern w:val="0"/>
                <w:szCs w:val="21"/>
              </w:rPr>
              <w:t>A02-1</w:t>
            </w:r>
            <w:r>
              <w:rPr>
                <w:rFonts w:ascii="宋体" w:hAnsi="宋体"/>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4705" w:type="dxa"/>
            <w:vAlign w:val="center"/>
          </w:tcPr>
          <w:p>
            <w:pPr>
              <w:snapToGrid w:val="0"/>
              <w:jc w:val="center"/>
              <w:rPr>
                <w:kern w:val="0"/>
                <w:szCs w:val="21"/>
              </w:rPr>
            </w:pPr>
            <w:r>
              <w:rPr>
                <w:rFonts w:ascii="宋体" w:hAnsi="宋体"/>
                <w:kern w:val="0"/>
                <w:szCs w:val="21"/>
              </w:rPr>
              <w:t>乌兰布和灌域地下水子系统（</w:t>
            </w:r>
            <w:r>
              <w:rPr>
                <w:kern w:val="0"/>
                <w:szCs w:val="21"/>
              </w:rPr>
              <w:t>A02-2</w:t>
            </w:r>
            <w:r>
              <w:rPr>
                <w:rFonts w:ascii="宋体" w:hAnsi="宋体"/>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4705" w:type="dxa"/>
            <w:vAlign w:val="center"/>
          </w:tcPr>
          <w:p>
            <w:pPr>
              <w:snapToGrid w:val="0"/>
              <w:jc w:val="center"/>
              <w:rPr>
                <w:kern w:val="0"/>
                <w:szCs w:val="21"/>
              </w:rPr>
            </w:pPr>
            <w:r>
              <w:rPr>
                <w:rFonts w:ascii="宋体" w:hAnsi="宋体"/>
                <w:kern w:val="0"/>
                <w:szCs w:val="21"/>
              </w:rPr>
              <w:t>解放闸灌域地下水子系统（</w:t>
            </w:r>
            <w:r>
              <w:rPr>
                <w:kern w:val="0"/>
                <w:szCs w:val="21"/>
              </w:rPr>
              <w:t>A02-3</w:t>
            </w:r>
            <w:r>
              <w:rPr>
                <w:rFonts w:ascii="宋体" w:hAnsi="宋体"/>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4705" w:type="dxa"/>
            <w:vAlign w:val="center"/>
          </w:tcPr>
          <w:p>
            <w:pPr>
              <w:snapToGrid w:val="0"/>
              <w:jc w:val="center"/>
              <w:rPr>
                <w:kern w:val="0"/>
                <w:szCs w:val="21"/>
              </w:rPr>
            </w:pPr>
            <w:r>
              <w:rPr>
                <w:rFonts w:ascii="宋体" w:hAnsi="宋体"/>
                <w:kern w:val="0"/>
                <w:szCs w:val="21"/>
              </w:rPr>
              <w:t>永济灌域地下水子系统（</w:t>
            </w:r>
            <w:r>
              <w:rPr>
                <w:kern w:val="0"/>
                <w:szCs w:val="21"/>
              </w:rPr>
              <w:t>A02-4</w:t>
            </w:r>
            <w:r>
              <w:rPr>
                <w:rFonts w:ascii="宋体" w:hAnsi="宋体"/>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4705" w:type="dxa"/>
            <w:vAlign w:val="center"/>
          </w:tcPr>
          <w:p>
            <w:pPr>
              <w:snapToGrid w:val="0"/>
              <w:jc w:val="center"/>
              <w:rPr>
                <w:kern w:val="0"/>
                <w:szCs w:val="21"/>
              </w:rPr>
            </w:pPr>
            <w:r>
              <w:rPr>
                <w:rFonts w:ascii="宋体" w:hAnsi="宋体"/>
                <w:b/>
                <w:bCs/>
                <w:kern w:val="0"/>
                <w:szCs w:val="21"/>
              </w:rPr>
              <w:t>义长灌域地下水子系统（</w:t>
            </w:r>
            <w:r>
              <w:rPr>
                <w:b/>
                <w:bCs/>
                <w:kern w:val="0"/>
                <w:szCs w:val="21"/>
              </w:rPr>
              <w:t>A02-5</w:t>
            </w:r>
            <w:r>
              <w:rPr>
                <w:rFonts w:ascii="宋体" w:hAnsi="宋体"/>
                <w:b/>
                <w:bCs/>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4705" w:type="dxa"/>
            <w:vAlign w:val="center"/>
          </w:tcPr>
          <w:p>
            <w:pPr>
              <w:snapToGrid w:val="0"/>
              <w:jc w:val="center"/>
              <w:rPr>
                <w:kern w:val="0"/>
                <w:szCs w:val="21"/>
              </w:rPr>
            </w:pPr>
            <w:r>
              <w:rPr>
                <w:rFonts w:ascii="宋体" w:hAnsi="宋体"/>
                <w:kern w:val="0"/>
                <w:szCs w:val="21"/>
              </w:rPr>
              <w:t>前旗灌域地下水子系统（</w:t>
            </w:r>
            <w:r>
              <w:rPr>
                <w:kern w:val="0"/>
                <w:szCs w:val="21"/>
              </w:rPr>
              <w:t>A02-6</w:t>
            </w:r>
            <w:r>
              <w:rPr>
                <w:rFonts w:ascii="宋体" w:hAnsi="宋体"/>
                <w:kern w:val="0"/>
                <w:szCs w:val="21"/>
              </w:rPr>
              <w:t>）</w:t>
            </w:r>
          </w:p>
        </w:tc>
      </w:tr>
    </w:tbl>
    <w:p>
      <w:pPr>
        <w:adjustRightInd w:val="0"/>
        <w:snapToGrid w:val="0"/>
        <w:spacing w:before="120" w:beforeLines="50" w:line="360" w:lineRule="auto"/>
        <w:ind w:firstLine="424" w:firstLineChars="177"/>
        <w:rPr>
          <w:sz w:val="24"/>
        </w:rPr>
      </w:pPr>
      <w:r>
        <w:rPr>
          <w:sz w:val="24"/>
        </w:rPr>
        <w:t>2</w:t>
      </w:r>
      <w:r>
        <w:rPr>
          <w:rFonts w:ascii="宋体" w:hAnsi="宋体"/>
          <w:sz w:val="24"/>
        </w:rPr>
        <w:t>、区域地下水系统边界条件</w:t>
      </w:r>
    </w:p>
    <w:p>
      <w:pPr>
        <w:adjustRightInd w:val="0"/>
        <w:snapToGrid w:val="0"/>
        <w:spacing w:line="360" w:lineRule="auto"/>
        <w:ind w:firstLine="408" w:firstLineChars="170"/>
        <w:rPr>
          <w:sz w:val="24"/>
        </w:rPr>
      </w:pPr>
      <w:r>
        <w:rPr>
          <w:rFonts w:ascii="宋体" w:hAnsi="宋体"/>
          <w:sz w:val="24"/>
        </w:rPr>
        <w:t>后套平原地下水系统系统北边界为狼山和色尔腾山山前断裂，边界的水理性质与基岩山地的岩性和基岩裂隙水的赋存条件息息相关，在中西段希日河</w:t>
      </w:r>
      <w:r>
        <w:rPr>
          <w:sz w:val="24"/>
        </w:rPr>
        <w:t>—</w:t>
      </w:r>
      <w:r>
        <w:rPr>
          <w:rFonts w:ascii="宋体" w:hAnsi="宋体"/>
          <w:sz w:val="24"/>
        </w:rPr>
        <w:t>西乌盖沟之间，基岩山地岩性主要为白垩系碎屑岩、砂岩、粉砂岩和长城系变质砂岩，在东段呼勒斯太沟</w:t>
      </w:r>
      <w:r>
        <w:rPr>
          <w:sz w:val="24"/>
        </w:rPr>
        <w:t>-</w:t>
      </w:r>
      <w:r>
        <w:rPr>
          <w:rFonts w:ascii="宋体" w:hAnsi="宋体"/>
          <w:sz w:val="24"/>
        </w:rPr>
        <w:t>海流图河之间，基岩山地岩性主要为花岗岩和二叠系含砾砂岩、砂砾岩，山地裂隙发育，基岩裂隙水侧向补给山前平原，构成侧向补给边界，其他地段基岩山地大多为片麻岩，裂隙水赋存条件差，基本为隔水边界；另外在希日河、大坝沟、西乌盖沟、东乌盖沟、呼勒斯太沟、敖布拉格沟等较大沟口通过潜流补给山前平原；系统南边界为黄河，在临河马场地乡以西，黄河水位高于地下水，为侧向补给边界，在马场地乡以东，黄河水位逐渐低于浅层地下水位，为排泄边界；系统东边界乌梁素海，为侧向排泄边界；系统西边界为河套平原与乌兰布和沙漠的分界，为侧向流入边界。</w:t>
      </w:r>
    </w:p>
    <w:p>
      <w:pPr>
        <w:adjustRightInd w:val="0"/>
        <w:snapToGrid w:val="0"/>
        <w:spacing w:line="360" w:lineRule="auto"/>
        <w:ind w:firstLine="424" w:firstLineChars="177"/>
        <w:rPr>
          <w:sz w:val="24"/>
        </w:rPr>
      </w:pPr>
      <w:r>
        <w:rPr>
          <w:sz w:val="24"/>
        </w:rPr>
        <w:t>3</w:t>
      </w:r>
      <w:r>
        <w:rPr>
          <w:rFonts w:ascii="宋体" w:hAnsi="宋体"/>
          <w:sz w:val="24"/>
        </w:rPr>
        <w:t>、含水层系统划分及结构特征</w:t>
      </w:r>
    </w:p>
    <w:p>
      <w:pPr>
        <w:adjustRightInd w:val="0"/>
        <w:snapToGrid w:val="0"/>
        <w:spacing w:line="360" w:lineRule="auto"/>
        <w:ind w:firstLine="480"/>
        <w:rPr>
          <w:sz w:val="24"/>
        </w:rPr>
      </w:pPr>
      <w:r>
        <w:rPr>
          <w:rFonts w:ascii="宋体" w:hAnsi="宋体"/>
          <w:sz w:val="24"/>
        </w:rPr>
        <w:t>区域含水层按照水力类型分为浅层潜水</w:t>
      </w:r>
      <w:r>
        <w:rPr>
          <w:sz w:val="24"/>
        </w:rPr>
        <w:t>-</w:t>
      </w:r>
      <w:r>
        <w:rPr>
          <w:rFonts w:ascii="宋体" w:hAnsi="宋体"/>
          <w:sz w:val="24"/>
        </w:rPr>
        <w:t>半承压含水层和承压含水层。浅层潜水</w:t>
      </w:r>
      <w:r>
        <w:rPr>
          <w:sz w:val="24"/>
        </w:rPr>
        <w:t>-</w:t>
      </w:r>
      <w:r>
        <w:rPr>
          <w:rFonts w:ascii="宋体" w:hAnsi="宋体"/>
          <w:sz w:val="24"/>
        </w:rPr>
        <w:t>半承压含水层广泛分布于整个后套平原，承压含水层分布于浅层潜水</w:t>
      </w:r>
      <w:r>
        <w:rPr>
          <w:sz w:val="24"/>
        </w:rPr>
        <w:t>-</w:t>
      </w:r>
      <w:r>
        <w:rPr>
          <w:rFonts w:ascii="宋体" w:hAnsi="宋体"/>
          <w:sz w:val="24"/>
        </w:rPr>
        <w:t>半承压含水层下部。</w:t>
      </w:r>
    </w:p>
    <w:p>
      <w:pPr>
        <w:adjustRightInd w:val="0"/>
        <w:snapToGrid w:val="0"/>
        <w:spacing w:line="360" w:lineRule="auto"/>
        <w:ind w:firstLine="420"/>
        <w:rPr>
          <w:sz w:val="24"/>
        </w:rPr>
      </w:pPr>
      <w:r>
        <w:rPr>
          <w:rFonts w:ascii="宋体" w:hAnsi="宋体"/>
          <w:sz w:val="24"/>
        </w:rPr>
        <w:t>（</w:t>
      </w:r>
      <w:r>
        <w:rPr>
          <w:sz w:val="24"/>
        </w:rPr>
        <w:t>1</w:t>
      </w:r>
      <w:r>
        <w:rPr>
          <w:rFonts w:ascii="宋体" w:hAnsi="宋体"/>
          <w:sz w:val="24"/>
        </w:rPr>
        <w:t>）浅层潜水</w:t>
      </w:r>
      <w:r>
        <w:rPr>
          <w:sz w:val="24"/>
        </w:rPr>
        <w:t>-</w:t>
      </w:r>
      <w:r>
        <w:rPr>
          <w:rFonts w:ascii="宋体" w:hAnsi="宋体"/>
          <w:sz w:val="24"/>
        </w:rPr>
        <w:t>半承压含水层</w:t>
      </w:r>
    </w:p>
    <w:p>
      <w:pPr>
        <w:adjustRightInd w:val="0"/>
        <w:snapToGrid w:val="0"/>
        <w:spacing w:line="360" w:lineRule="auto"/>
        <w:ind w:firstLine="480"/>
        <w:rPr>
          <w:sz w:val="24"/>
        </w:rPr>
      </w:pPr>
      <w:r>
        <w:rPr>
          <w:rFonts w:ascii="宋体" w:hAnsi="宋体"/>
          <w:sz w:val="24"/>
        </w:rPr>
        <w:t>含水层岩性为上更新统至全新统（</w:t>
      </w:r>
      <w:r>
        <w:rPr>
          <w:sz w:val="24"/>
        </w:rPr>
        <w:t>Q</w:t>
      </w:r>
      <w:r>
        <w:rPr>
          <w:sz w:val="24"/>
          <w:vertAlign w:val="subscript"/>
        </w:rPr>
        <w:t>3-4</w:t>
      </w:r>
      <w:r>
        <w:rPr>
          <w:rFonts w:ascii="宋体" w:hAnsi="宋体"/>
          <w:sz w:val="24"/>
        </w:rPr>
        <w:t>）由湖积相向冲积湖积过渡的中细砂、细砂和粉细砂，局部有含砾中粗砂。含水层顶板埋深一般小于</w:t>
      </w:r>
      <w:r>
        <w:rPr>
          <w:sz w:val="24"/>
        </w:rPr>
        <w:t>20m</w:t>
      </w:r>
      <w:r>
        <w:rPr>
          <w:rFonts w:ascii="宋体" w:hAnsi="宋体"/>
          <w:sz w:val="24"/>
        </w:rPr>
        <w:t>。</w:t>
      </w:r>
    </w:p>
    <w:p>
      <w:pPr>
        <w:adjustRightInd w:val="0"/>
        <w:snapToGrid w:val="0"/>
        <w:spacing w:line="360" w:lineRule="auto"/>
        <w:ind w:firstLine="480"/>
        <w:rPr>
          <w:sz w:val="24"/>
        </w:rPr>
      </w:pPr>
      <w:r>
        <w:rPr>
          <w:rFonts w:ascii="宋体" w:hAnsi="宋体"/>
          <w:sz w:val="24"/>
        </w:rPr>
        <w:t>含水层在水平方向上有明显的分带规律。由于拗陷深度自东向西，由南向北加大，含水层厚度沿此方向增厚，由东部</w:t>
      </w:r>
      <w:r>
        <w:rPr>
          <w:sz w:val="24"/>
        </w:rPr>
        <w:t>60~80m</w:t>
      </w:r>
      <w:r>
        <w:rPr>
          <w:rFonts w:ascii="宋体" w:hAnsi="宋体"/>
          <w:sz w:val="24"/>
        </w:rPr>
        <w:t>，向西增至</w:t>
      </w:r>
      <w:r>
        <w:rPr>
          <w:sz w:val="24"/>
        </w:rPr>
        <w:t>150~240m</w:t>
      </w:r>
      <w:r>
        <w:rPr>
          <w:rFonts w:ascii="宋体" w:hAnsi="宋体"/>
          <w:sz w:val="24"/>
        </w:rPr>
        <w:t>，由南部隆起区</w:t>
      </w:r>
      <w:r>
        <w:rPr>
          <w:sz w:val="24"/>
        </w:rPr>
        <w:t>20~60m</w:t>
      </w:r>
      <w:r>
        <w:rPr>
          <w:rFonts w:ascii="宋体" w:hAnsi="宋体"/>
          <w:sz w:val="24"/>
        </w:rPr>
        <w:t>，向北部增至</w:t>
      </w:r>
      <w:r>
        <w:rPr>
          <w:sz w:val="24"/>
        </w:rPr>
        <w:t>100~200m</w:t>
      </w:r>
      <w:r>
        <w:rPr>
          <w:rFonts w:ascii="宋体" w:hAnsi="宋体"/>
          <w:sz w:val="24"/>
        </w:rPr>
        <w:t>，总的呈由东南向西北变厚的规律。在西部陕坝以北区域，区域拗陷沉积中心，含水层厚度最大，据目前钻孔揭露最大含水层厚度为</w:t>
      </w:r>
      <w:r>
        <w:rPr>
          <w:sz w:val="24"/>
        </w:rPr>
        <w:t>238m</w:t>
      </w:r>
      <w:r>
        <w:rPr>
          <w:rFonts w:ascii="宋体" w:hAnsi="宋体"/>
          <w:sz w:val="24"/>
        </w:rPr>
        <w:t>；在后套平原东南部西山嘴以北一带，含水层厚度最薄，一般小于</w:t>
      </w:r>
      <w:r>
        <w:rPr>
          <w:sz w:val="24"/>
        </w:rPr>
        <w:t>20m</w:t>
      </w:r>
      <w:r>
        <w:rPr>
          <w:rFonts w:ascii="宋体" w:hAnsi="宋体"/>
          <w:sz w:val="24"/>
        </w:rPr>
        <w:t>。</w:t>
      </w:r>
    </w:p>
    <w:p>
      <w:pPr>
        <w:adjustRightInd w:val="0"/>
        <w:snapToGrid w:val="0"/>
        <w:spacing w:line="360" w:lineRule="auto"/>
        <w:ind w:firstLine="480"/>
        <w:rPr>
          <w:sz w:val="24"/>
        </w:rPr>
      </w:pPr>
      <w:r>
        <w:rPr>
          <w:rFonts w:ascii="宋体" w:hAnsi="宋体"/>
          <w:sz w:val="24"/>
        </w:rPr>
        <w:t>含水层底板埋深沿东南向西北方向变大，在东部</w:t>
      </w:r>
      <w:r>
        <w:rPr>
          <w:sz w:val="24"/>
        </w:rPr>
        <w:t>80~100m</w:t>
      </w:r>
      <w:r>
        <w:rPr>
          <w:rFonts w:ascii="宋体" w:hAnsi="宋体"/>
          <w:sz w:val="24"/>
        </w:rPr>
        <w:t>，向西增至</w:t>
      </w:r>
      <w:r>
        <w:rPr>
          <w:sz w:val="24"/>
        </w:rPr>
        <w:t>150~300m</w:t>
      </w:r>
      <w:r>
        <w:rPr>
          <w:rFonts w:ascii="宋体" w:hAnsi="宋体"/>
          <w:sz w:val="24"/>
        </w:rPr>
        <w:t>；在南部</w:t>
      </w:r>
      <w:r>
        <w:rPr>
          <w:sz w:val="24"/>
        </w:rPr>
        <w:t>30~80m</w:t>
      </w:r>
      <w:r>
        <w:rPr>
          <w:rFonts w:ascii="宋体" w:hAnsi="宋体"/>
          <w:sz w:val="24"/>
        </w:rPr>
        <w:t>，向北增至</w:t>
      </w:r>
      <w:r>
        <w:rPr>
          <w:sz w:val="24"/>
        </w:rPr>
        <w:t>100~200m</w:t>
      </w:r>
      <w:r>
        <w:rPr>
          <w:rFonts w:ascii="宋体" w:hAnsi="宋体"/>
          <w:sz w:val="24"/>
        </w:rPr>
        <w:t>。乌兰布和沙漠区，由于磴口</w:t>
      </w:r>
      <w:r>
        <w:rPr>
          <w:sz w:val="24"/>
        </w:rPr>
        <w:t>—</w:t>
      </w:r>
      <w:r>
        <w:rPr>
          <w:rFonts w:ascii="宋体" w:hAnsi="宋体"/>
          <w:sz w:val="24"/>
        </w:rPr>
        <w:t>全盛西沟断裂带的影响，含水层呈向北北西倾的单斜构造，南部含水层底板埋藏浅，多在</w:t>
      </w:r>
      <w:r>
        <w:rPr>
          <w:sz w:val="24"/>
        </w:rPr>
        <w:t>40~100m</w:t>
      </w:r>
      <w:r>
        <w:rPr>
          <w:rFonts w:ascii="宋体" w:hAnsi="宋体"/>
          <w:sz w:val="24"/>
        </w:rPr>
        <w:t>，厚度较薄，一般</w:t>
      </w:r>
      <w:r>
        <w:rPr>
          <w:sz w:val="24"/>
        </w:rPr>
        <w:t>30~80m</w:t>
      </w:r>
      <w:r>
        <w:rPr>
          <w:rFonts w:ascii="宋体" w:hAnsi="宋体"/>
          <w:sz w:val="24"/>
        </w:rPr>
        <w:t>，向北至扇群前缘洼地一带，底板埋深在</w:t>
      </w:r>
      <w:r>
        <w:rPr>
          <w:sz w:val="24"/>
        </w:rPr>
        <w:t>140~250m</w:t>
      </w:r>
      <w:r>
        <w:rPr>
          <w:rFonts w:ascii="宋体" w:hAnsi="宋体"/>
          <w:sz w:val="24"/>
        </w:rPr>
        <w:t>，厚度在</w:t>
      </w:r>
      <w:r>
        <w:rPr>
          <w:sz w:val="24"/>
        </w:rPr>
        <w:t>100~200m</w:t>
      </w:r>
      <w:r>
        <w:rPr>
          <w:rFonts w:ascii="宋体" w:hAnsi="宋体"/>
          <w:sz w:val="24"/>
        </w:rPr>
        <w:t>。</w:t>
      </w:r>
    </w:p>
    <w:p>
      <w:pPr>
        <w:adjustRightInd w:val="0"/>
        <w:snapToGrid w:val="0"/>
        <w:spacing w:line="360" w:lineRule="auto"/>
        <w:ind w:firstLine="480"/>
        <w:rPr>
          <w:sz w:val="24"/>
        </w:rPr>
      </w:pPr>
      <w:r>
        <w:rPr>
          <w:rFonts w:ascii="宋体" w:hAnsi="宋体"/>
          <w:sz w:val="24"/>
        </w:rPr>
        <w:t>由于沉积物质主要来源于西部和南部，含水层颗粒力度及富水性的分布，在水平上自西向东，由南向北逐渐变细，粘土质夹层和厚度递增，以致使东部含水层颗粒变细，厚度变薄。就套内全区来说，以西南部磴口一带颗粒最粗，以含砾中砂为主，局部可见中粗砂，向东北方向递变为细中砂、中细砂、西砂、粉细砂，其中含中细砂和粉细砂分布最广，在南部近黄河一带较粗，在北部深拗陷带和东部乌梁素海西部一带颗粒最细，粘土质层增厚，均以粉细砂为主。含水层粒度的这一变化规律，使富水性由西南向东北方向变小，</w:t>
      </w:r>
      <w:r>
        <w:rPr>
          <w:sz w:val="24"/>
        </w:rPr>
        <w:t>60m</w:t>
      </w:r>
      <w:r>
        <w:rPr>
          <w:rFonts w:ascii="宋体" w:hAnsi="宋体"/>
          <w:sz w:val="24"/>
        </w:rPr>
        <w:t>以上含水层厚度的单位涌水量在西南部</w:t>
      </w:r>
      <w:r>
        <w:rPr>
          <w:sz w:val="24"/>
        </w:rPr>
        <w:t>350~500m</w:t>
      </w:r>
      <w:r>
        <w:rPr>
          <w:sz w:val="24"/>
          <w:vertAlign w:val="superscript"/>
        </w:rPr>
        <w:t>3</w:t>
      </w:r>
      <w:r>
        <w:rPr>
          <w:sz w:val="24"/>
        </w:rPr>
        <w:t>/d</w:t>
      </w:r>
      <w:r>
        <w:rPr>
          <w:rFonts w:ascii="宋体" w:hAnsi="宋体"/>
          <w:sz w:val="24"/>
        </w:rPr>
        <w:t>，局部可达</w:t>
      </w:r>
      <w:r>
        <w:rPr>
          <w:sz w:val="24"/>
        </w:rPr>
        <w:t>600m</w:t>
      </w:r>
      <w:r>
        <w:rPr>
          <w:sz w:val="24"/>
          <w:vertAlign w:val="superscript"/>
        </w:rPr>
        <w:t>3</w:t>
      </w:r>
      <w:r>
        <w:rPr>
          <w:sz w:val="24"/>
        </w:rPr>
        <w:t>/d</w:t>
      </w:r>
      <w:r>
        <w:rPr>
          <w:rFonts w:ascii="宋体" w:hAnsi="宋体"/>
          <w:sz w:val="24"/>
        </w:rPr>
        <w:t>，向东北部渐变为</w:t>
      </w:r>
      <w:r>
        <w:rPr>
          <w:sz w:val="24"/>
        </w:rPr>
        <w:t>250~350m</w:t>
      </w:r>
      <w:r>
        <w:rPr>
          <w:sz w:val="24"/>
          <w:vertAlign w:val="superscript"/>
        </w:rPr>
        <w:t>3</w:t>
      </w:r>
      <w:r>
        <w:rPr>
          <w:sz w:val="24"/>
        </w:rPr>
        <w:t>/d</w:t>
      </w:r>
      <w:r>
        <w:rPr>
          <w:rFonts w:ascii="宋体" w:hAnsi="宋体"/>
          <w:sz w:val="24"/>
        </w:rPr>
        <w:t>及</w:t>
      </w:r>
      <w:r>
        <w:rPr>
          <w:sz w:val="24"/>
        </w:rPr>
        <w:t>150~250m</w:t>
      </w:r>
      <w:r>
        <w:rPr>
          <w:sz w:val="24"/>
          <w:vertAlign w:val="superscript"/>
        </w:rPr>
        <w:t>3</w:t>
      </w:r>
      <w:r>
        <w:rPr>
          <w:sz w:val="24"/>
        </w:rPr>
        <w:t>/d</w:t>
      </w:r>
      <w:r>
        <w:rPr>
          <w:rFonts w:ascii="宋体" w:hAnsi="宋体"/>
          <w:sz w:val="24"/>
        </w:rPr>
        <w:t>，至乌梁素海西侧一带，不足</w:t>
      </w:r>
      <w:r>
        <w:rPr>
          <w:sz w:val="24"/>
        </w:rPr>
        <w:t>150m</w:t>
      </w:r>
      <w:r>
        <w:rPr>
          <w:sz w:val="24"/>
          <w:vertAlign w:val="superscript"/>
        </w:rPr>
        <w:t>3</w:t>
      </w:r>
      <w:r>
        <w:rPr>
          <w:sz w:val="24"/>
        </w:rPr>
        <w:t>/d</w:t>
      </w:r>
      <w:r>
        <w:rPr>
          <w:rFonts w:ascii="宋体" w:hAnsi="宋体"/>
          <w:sz w:val="24"/>
        </w:rPr>
        <w:t>。</w:t>
      </w:r>
    </w:p>
    <w:p>
      <w:pPr>
        <w:adjustRightInd w:val="0"/>
        <w:snapToGrid w:val="0"/>
        <w:spacing w:line="360" w:lineRule="auto"/>
        <w:ind w:firstLine="482"/>
        <w:rPr>
          <w:sz w:val="24"/>
        </w:rPr>
      </w:pPr>
      <w:r>
        <w:rPr>
          <w:rFonts w:ascii="宋体" w:hAnsi="宋体"/>
          <w:sz w:val="24"/>
        </w:rPr>
        <w:t>在垂向上，含水层可分为上中下三段。上段为全新统以弱含水冲积层潜水（</w:t>
      </w:r>
      <w:r>
        <w:rPr>
          <w:sz w:val="24"/>
        </w:rPr>
        <w:t>Q</w:t>
      </w:r>
      <w:r>
        <w:rPr>
          <w:sz w:val="24"/>
          <w:vertAlign w:val="subscript"/>
        </w:rPr>
        <w:t>4</w:t>
      </w:r>
      <w:r>
        <w:rPr>
          <w:sz w:val="24"/>
          <w:vertAlign w:val="superscript"/>
        </w:rPr>
        <w:t>al</w:t>
      </w:r>
      <w:r>
        <w:rPr>
          <w:rFonts w:ascii="宋体" w:hAnsi="宋体"/>
          <w:sz w:val="24"/>
        </w:rPr>
        <w:t>）为主，中段为上更新统上层以冲积湖积层微</w:t>
      </w:r>
      <w:r>
        <w:rPr>
          <w:sz w:val="24"/>
        </w:rPr>
        <w:t>-</w:t>
      </w:r>
      <w:r>
        <w:rPr>
          <w:rFonts w:ascii="宋体" w:hAnsi="宋体"/>
          <w:sz w:val="24"/>
        </w:rPr>
        <w:t>半承压水（</w:t>
      </w:r>
      <w:r>
        <w:rPr>
          <w:sz w:val="24"/>
        </w:rPr>
        <w:t>Q</w:t>
      </w:r>
      <w:r>
        <w:rPr>
          <w:sz w:val="24"/>
          <w:vertAlign w:val="subscript"/>
        </w:rPr>
        <w:t>3</w:t>
      </w:r>
      <w:r>
        <w:rPr>
          <w:sz w:val="24"/>
          <w:vertAlign w:val="superscript"/>
        </w:rPr>
        <w:t>2al-l</w:t>
      </w:r>
      <w:r>
        <w:rPr>
          <w:rFonts w:ascii="宋体" w:hAnsi="宋体"/>
          <w:sz w:val="24"/>
        </w:rPr>
        <w:t>）为主；下段为上更新统下层以湖积层半承压水（</w:t>
      </w:r>
      <w:r>
        <w:rPr>
          <w:sz w:val="24"/>
        </w:rPr>
        <w:t>Q</w:t>
      </w:r>
      <w:r>
        <w:rPr>
          <w:sz w:val="24"/>
          <w:vertAlign w:val="subscript"/>
        </w:rPr>
        <w:t>3</w:t>
      </w:r>
      <w:r>
        <w:rPr>
          <w:sz w:val="24"/>
          <w:vertAlign w:val="superscript"/>
        </w:rPr>
        <w:t>1l</w:t>
      </w:r>
      <w:r>
        <w:rPr>
          <w:rFonts w:ascii="宋体" w:hAnsi="宋体"/>
          <w:sz w:val="24"/>
        </w:rPr>
        <w:t>）为主。</w:t>
      </w:r>
    </w:p>
    <w:p>
      <w:pPr>
        <w:adjustRightInd w:val="0"/>
        <w:snapToGrid w:val="0"/>
        <w:spacing w:line="360" w:lineRule="auto"/>
        <w:rPr>
          <w:rFonts w:eastAsia="仿宋"/>
          <w:sz w:val="24"/>
        </w:rPr>
      </w:pPr>
      <w:r>
        <w:rPr>
          <w:rFonts w:hint="eastAsia"/>
          <w:szCs w:val="21"/>
        </w:rPr>
        <w:drawing>
          <wp:anchor distT="0" distB="0" distL="114300" distR="114300" simplePos="0" relativeHeight="251679744" behindDoc="0" locked="0" layoutInCell="1" allowOverlap="1">
            <wp:simplePos x="0" y="0"/>
            <wp:positionH relativeFrom="column">
              <wp:posOffset>4171950</wp:posOffset>
            </wp:positionH>
            <wp:positionV relativeFrom="paragraph">
              <wp:posOffset>1428750</wp:posOffset>
            </wp:positionV>
            <wp:extent cx="828675" cy="381000"/>
            <wp:effectExtent l="0" t="0" r="9525" b="0"/>
            <wp:wrapNone/>
            <wp:docPr id="267" name="图片 267" descr="C:\Users\众成环境\AppData\Local\Temp\ksohtml24568\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Users\众成环境\AppData\Local\Temp\ksohtml24568\wps8.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828675" cy="381000"/>
                    </a:xfrm>
                    <a:prstGeom prst="rect">
                      <a:avLst/>
                    </a:prstGeom>
                    <a:noFill/>
                    <a:ln>
                      <a:noFill/>
                    </a:ln>
                  </pic:spPr>
                </pic:pic>
              </a:graphicData>
            </a:graphic>
          </wp:anchor>
        </w:drawing>
      </w:r>
      <w:r>
        <w:rPr>
          <w:rFonts w:hint="eastAsia"/>
          <w:szCs w:val="21"/>
        </w:rPr>
        <w:drawing>
          <wp:anchor distT="0" distB="0" distL="114300" distR="114300" simplePos="0" relativeHeight="251680768" behindDoc="0" locked="0" layoutInCell="1" allowOverlap="1">
            <wp:simplePos x="0" y="0"/>
            <wp:positionH relativeFrom="column">
              <wp:posOffset>4124325</wp:posOffset>
            </wp:positionH>
            <wp:positionV relativeFrom="paragraph">
              <wp:posOffset>1828800</wp:posOffset>
            </wp:positionV>
            <wp:extent cx="76200" cy="76200"/>
            <wp:effectExtent l="0" t="0" r="0" b="0"/>
            <wp:wrapNone/>
            <wp:docPr id="266" name="图片 266" descr="C:\Users\众成环境\AppData\Local\Temp\ksohtml24568\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C:\Users\众成环境\AppData\Local\Temp\ksohtml24568\wps7.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76200" cy="76200"/>
                    </a:xfrm>
                    <a:prstGeom prst="rect">
                      <a:avLst/>
                    </a:prstGeom>
                    <a:noFill/>
                    <a:ln>
                      <a:noFill/>
                    </a:ln>
                  </pic:spPr>
                </pic:pic>
              </a:graphicData>
            </a:graphic>
          </wp:anchor>
        </w:drawing>
      </w:r>
      <w:r>
        <w:rPr>
          <w:rFonts w:hint="eastAsia"/>
          <w:szCs w:val="21"/>
        </w:rPr>
        <w:drawing>
          <wp:inline distT="0" distB="0" distL="0" distR="0">
            <wp:extent cx="5353050" cy="5086350"/>
            <wp:effectExtent l="0" t="0" r="0" b="0"/>
            <wp:docPr id="268" name="图片 268" descr="C:\Users\众成环境\AppData\Local\Temp\ksohtml24568\w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C:\Users\众成环境\AppData\Local\Temp\ksohtml24568\wps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353050" cy="5086350"/>
                    </a:xfrm>
                    <a:prstGeom prst="rect">
                      <a:avLst/>
                    </a:prstGeom>
                    <a:noFill/>
                    <a:ln>
                      <a:noFill/>
                    </a:ln>
                  </pic:spPr>
                </pic:pic>
              </a:graphicData>
            </a:graphic>
          </wp:inline>
        </w:drawing>
      </w:r>
      <w:r>
        <w:rPr>
          <w:rFonts w:eastAsia="仿宋"/>
          <w:sz w:val="24"/>
        </w:rPr>
        <w:t xml:space="preserve"> </w:t>
      </w:r>
    </w:p>
    <w:p>
      <w:pPr>
        <w:adjustRightInd w:val="0"/>
        <w:snapToGrid w:val="0"/>
        <w:spacing w:line="360" w:lineRule="auto"/>
        <w:jc w:val="center"/>
        <w:rPr>
          <w:b/>
          <w:bCs/>
          <w:szCs w:val="21"/>
        </w:rPr>
      </w:pPr>
      <w:r>
        <w:rPr>
          <w:b/>
          <w:sz w:val="24"/>
        </w:rPr>
        <w:t xml:space="preserve">图6.2-2 </w:t>
      </w:r>
      <w:r>
        <w:rPr>
          <w:b/>
          <w:bCs/>
          <w:szCs w:val="21"/>
        </w:rPr>
        <w:t>浅层潜水-半承压含水层区域水文地质图</w:t>
      </w:r>
    </w:p>
    <w:p>
      <w:pPr>
        <w:adjustRightInd w:val="0"/>
        <w:snapToGrid w:val="0"/>
        <w:spacing w:line="360" w:lineRule="auto"/>
        <w:jc w:val="center"/>
        <w:rPr>
          <w:szCs w:val="21"/>
        </w:rPr>
      </w:pPr>
      <w:r>
        <w:rPr>
          <w:rFonts w:hint="eastAsia"/>
          <w:szCs w:val="21"/>
        </w:rPr>
        <w:drawing>
          <wp:inline distT="0" distB="0" distL="0" distR="0">
            <wp:extent cx="5114925" cy="1514475"/>
            <wp:effectExtent l="0" t="0" r="9525" b="9525"/>
            <wp:docPr id="269" name="图片 269" descr="C:\Users\众成环境\AppData\Local\Temp\ksohtml24568\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C:\Users\众成环境\AppData\Local\Temp\ksohtml24568\wps10.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114925" cy="1514475"/>
                    </a:xfrm>
                    <a:prstGeom prst="rect">
                      <a:avLst/>
                    </a:prstGeom>
                    <a:noFill/>
                    <a:ln>
                      <a:noFill/>
                    </a:ln>
                  </pic:spPr>
                </pic:pic>
              </a:graphicData>
            </a:graphic>
          </wp:inline>
        </w:drawing>
      </w:r>
      <w:r>
        <w:rPr>
          <w:szCs w:val="21"/>
        </w:rPr>
        <w:t xml:space="preserve"> </w:t>
      </w:r>
    </w:p>
    <w:p>
      <w:pPr>
        <w:adjustRightInd w:val="0"/>
        <w:snapToGrid w:val="0"/>
        <w:spacing w:line="360" w:lineRule="auto"/>
        <w:jc w:val="center"/>
        <w:rPr>
          <w:b/>
          <w:bCs/>
          <w:szCs w:val="21"/>
        </w:rPr>
      </w:pPr>
      <w:r>
        <w:rPr>
          <w:b/>
          <w:bCs/>
          <w:szCs w:val="21"/>
        </w:rPr>
        <w:t>1-1´</w:t>
      </w:r>
      <w:r>
        <w:rPr>
          <w:rFonts w:ascii="宋体" w:hAnsi="宋体"/>
          <w:b/>
          <w:bCs/>
          <w:szCs w:val="21"/>
        </w:rPr>
        <w:t>区域水文地质剖面图</w:t>
      </w:r>
    </w:p>
    <w:p>
      <w:pPr>
        <w:adjustRightInd w:val="0"/>
        <w:snapToGrid w:val="0"/>
        <w:spacing w:line="360" w:lineRule="auto"/>
        <w:jc w:val="center"/>
        <w:rPr>
          <w:szCs w:val="21"/>
        </w:rPr>
      </w:pPr>
      <w:r>
        <w:rPr>
          <w:rFonts w:hint="eastAsia"/>
          <w:szCs w:val="21"/>
        </w:rPr>
        <w:drawing>
          <wp:inline distT="0" distB="0" distL="0" distR="0">
            <wp:extent cx="5162550" cy="2286000"/>
            <wp:effectExtent l="0" t="0" r="0" b="0"/>
            <wp:docPr id="270" name="图片 270" descr="C:\Users\众成环境\AppData\Local\Temp\ksohtml24568\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C:\Users\众成环境\AppData\Local\Temp\ksohtml24568\wps1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162550" cy="2286000"/>
                    </a:xfrm>
                    <a:prstGeom prst="rect">
                      <a:avLst/>
                    </a:prstGeom>
                    <a:noFill/>
                    <a:ln>
                      <a:noFill/>
                    </a:ln>
                  </pic:spPr>
                </pic:pic>
              </a:graphicData>
            </a:graphic>
          </wp:inline>
        </w:drawing>
      </w:r>
      <w:r>
        <w:rPr>
          <w:szCs w:val="21"/>
        </w:rPr>
        <w:t xml:space="preserve"> </w:t>
      </w:r>
    </w:p>
    <w:p>
      <w:pPr>
        <w:adjustRightInd w:val="0"/>
        <w:snapToGrid w:val="0"/>
        <w:spacing w:line="360" w:lineRule="auto"/>
        <w:jc w:val="center"/>
        <w:rPr>
          <w:b/>
          <w:bCs/>
          <w:sz w:val="24"/>
        </w:rPr>
      </w:pPr>
      <w:r>
        <w:rPr>
          <w:b/>
          <w:sz w:val="24"/>
        </w:rPr>
        <w:t xml:space="preserve">图6.2-3  </w:t>
      </w:r>
      <w:r>
        <w:rPr>
          <w:b/>
          <w:bCs/>
          <w:sz w:val="24"/>
        </w:rPr>
        <w:t>2-2´</w:t>
      </w:r>
      <w:r>
        <w:rPr>
          <w:rFonts w:ascii="宋体" w:hAnsi="宋体"/>
          <w:b/>
          <w:bCs/>
          <w:sz w:val="24"/>
        </w:rPr>
        <w:t>区域水文地质剖面图</w:t>
      </w:r>
    </w:p>
    <w:p>
      <w:pPr>
        <w:kinsoku w:val="0"/>
        <w:overflowPunct w:val="0"/>
        <w:autoSpaceDE w:val="0"/>
        <w:autoSpaceDN w:val="0"/>
        <w:adjustRightInd w:val="0"/>
        <w:snapToGrid w:val="0"/>
        <w:spacing w:line="360" w:lineRule="auto"/>
        <w:ind w:firstLine="528" w:firstLineChars="220"/>
        <w:rPr>
          <w:sz w:val="24"/>
        </w:rPr>
      </w:pPr>
      <w:r>
        <w:rPr>
          <w:rFonts w:ascii="宋体" w:hAnsi="宋体"/>
          <w:sz w:val="24"/>
        </w:rPr>
        <w:t>（</w:t>
      </w:r>
      <w:r>
        <w:rPr>
          <w:sz w:val="24"/>
        </w:rPr>
        <w:t>2</w:t>
      </w:r>
      <w:r>
        <w:rPr>
          <w:rFonts w:ascii="宋体" w:hAnsi="宋体"/>
          <w:sz w:val="24"/>
        </w:rPr>
        <w:t>）承压含水层</w:t>
      </w:r>
    </w:p>
    <w:p>
      <w:pPr>
        <w:kinsoku w:val="0"/>
        <w:overflowPunct w:val="0"/>
        <w:autoSpaceDE w:val="0"/>
        <w:autoSpaceDN w:val="0"/>
        <w:adjustRightInd w:val="0"/>
        <w:snapToGrid w:val="0"/>
        <w:spacing w:line="360" w:lineRule="auto"/>
        <w:ind w:firstLine="528" w:firstLineChars="220"/>
        <w:rPr>
          <w:sz w:val="24"/>
        </w:rPr>
      </w:pPr>
      <w:r>
        <w:rPr>
          <w:rFonts w:ascii="宋体" w:hAnsi="宋体"/>
          <w:sz w:val="24"/>
        </w:rPr>
        <w:t>本次研究工作中的承压含水层值中更新统下段（</w:t>
      </w:r>
      <w:r>
        <w:rPr>
          <w:sz w:val="24"/>
        </w:rPr>
        <w:t>Q</w:t>
      </w:r>
      <w:r>
        <w:rPr>
          <w:sz w:val="24"/>
          <w:vertAlign w:val="subscript"/>
        </w:rPr>
        <w:t>2</w:t>
      </w:r>
      <w:r>
        <w:rPr>
          <w:sz w:val="24"/>
          <w:vertAlign w:val="superscript"/>
        </w:rPr>
        <w:t>1</w:t>
      </w:r>
      <w:r>
        <w:rPr>
          <w:rFonts w:ascii="宋体" w:hAnsi="宋体"/>
          <w:sz w:val="24"/>
        </w:rPr>
        <w:t>）含水层。其分布主要受构造控制，一般在湖盆边缘地带和隆起区埋藏较浅。在</w:t>
      </w:r>
      <w:r>
        <w:rPr>
          <w:sz w:val="24"/>
        </w:rPr>
        <w:t>300m</w:t>
      </w:r>
      <w:r>
        <w:rPr>
          <w:rFonts w:ascii="宋体" w:hAnsi="宋体"/>
          <w:sz w:val="24"/>
        </w:rPr>
        <w:t>勘探深度内，主要见于磴口</w:t>
      </w:r>
      <w:r>
        <w:rPr>
          <w:sz w:val="24"/>
        </w:rPr>
        <w:t>——</w:t>
      </w:r>
      <w:r>
        <w:rPr>
          <w:rFonts w:ascii="宋体" w:hAnsi="宋体"/>
          <w:sz w:val="24"/>
        </w:rPr>
        <w:t>全盛西沟断裂带以南，扇裙前缘断裂以北地区。</w:t>
      </w:r>
    </w:p>
    <w:p>
      <w:pPr>
        <w:kinsoku w:val="0"/>
        <w:overflowPunct w:val="0"/>
        <w:autoSpaceDE w:val="0"/>
        <w:autoSpaceDN w:val="0"/>
        <w:adjustRightInd w:val="0"/>
        <w:snapToGrid w:val="0"/>
        <w:spacing w:line="360" w:lineRule="auto"/>
        <w:ind w:firstLine="482"/>
        <w:rPr>
          <w:sz w:val="24"/>
        </w:rPr>
      </w:pPr>
      <w:r>
        <w:rPr>
          <w:rFonts w:ascii="宋体" w:hAnsi="宋体"/>
          <w:sz w:val="24"/>
        </w:rPr>
        <w:t>本含水组因受古地理环境制约，使小范围内地下水赋存亦存在差别。</w:t>
      </w:r>
    </w:p>
    <w:p>
      <w:pPr>
        <w:kinsoku w:val="0"/>
        <w:overflowPunct w:val="0"/>
        <w:autoSpaceDE w:val="0"/>
        <w:autoSpaceDN w:val="0"/>
        <w:adjustRightInd w:val="0"/>
        <w:snapToGrid w:val="0"/>
        <w:spacing w:line="360" w:lineRule="auto"/>
        <w:ind w:firstLine="482"/>
        <w:rPr>
          <w:sz w:val="24"/>
        </w:rPr>
      </w:pPr>
      <w:r>
        <w:rPr>
          <w:rFonts w:ascii="宋体" w:hAnsi="宋体"/>
          <w:sz w:val="24"/>
        </w:rPr>
        <w:t>在扇裙前缘断裂以北狼山与和乌拉山山前地区，含水层岩性主要为泥质砂砾石及中细砂，为冲积</w:t>
      </w:r>
      <w:r>
        <w:rPr>
          <w:sz w:val="24"/>
        </w:rPr>
        <w:t>—</w:t>
      </w:r>
      <w:r>
        <w:rPr>
          <w:rFonts w:ascii="宋体" w:hAnsi="宋体"/>
          <w:sz w:val="24"/>
        </w:rPr>
        <w:t>湖积交互的湖滨相沉积。含水层顶板自北向南渐深，一般在</w:t>
      </w:r>
      <w:r>
        <w:rPr>
          <w:sz w:val="24"/>
        </w:rPr>
        <w:t>70~110m</w:t>
      </w:r>
      <w:r>
        <w:rPr>
          <w:rFonts w:ascii="宋体" w:hAnsi="宋体"/>
          <w:sz w:val="24"/>
        </w:rPr>
        <w:t>和</w:t>
      </w:r>
      <w:r>
        <w:rPr>
          <w:sz w:val="24"/>
        </w:rPr>
        <w:t>180~200m</w:t>
      </w:r>
      <w:r>
        <w:rPr>
          <w:rFonts w:ascii="宋体" w:hAnsi="宋体"/>
          <w:sz w:val="24"/>
        </w:rPr>
        <w:t>，一般为淡水，局部地区，特别是在古冲积扇的翼部和扇间地带常有咸水分布，矿化度在</w:t>
      </w:r>
      <w:r>
        <w:rPr>
          <w:sz w:val="24"/>
        </w:rPr>
        <w:t>3~10g/L</w:t>
      </w:r>
      <w:r>
        <w:rPr>
          <w:rFonts w:ascii="宋体" w:hAnsi="宋体"/>
          <w:sz w:val="24"/>
        </w:rPr>
        <w:t>，咸水顶面基本与上更新统底板一致。单位涌水量在</w:t>
      </w:r>
      <w:r>
        <w:rPr>
          <w:sz w:val="24"/>
        </w:rPr>
        <w:t>500~1500m</w:t>
      </w:r>
      <w:r>
        <w:rPr>
          <w:sz w:val="24"/>
          <w:vertAlign w:val="superscript"/>
        </w:rPr>
        <w:t>3</w:t>
      </w:r>
      <w:r>
        <w:rPr>
          <w:sz w:val="24"/>
        </w:rPr>
        <w:t>/d</w:t>
      </w:r>
      <w:r>
        <w:rPr>
          <w:rFonts w:ascii="宋体" w:hAnsi="宋体"/>
          <w:sz w:val="24"/>
        </w:rPr>
        <w:t>。在扇裙前缘和扇间地带有自流水。在乌拉山山前，含水层以下段为主，其顶板埋深一般在</w:t>
      </w:r>
      <w:r>
        <w:rPr>
          <w:sz w:val="24"/>
        </w:rPr>
        <w:t>60~100m</w:t>
      </w:r>
      <w:r>
        <w:rPr>
          <w:rFonts w:ascii="宋体" w:hAnsi="宋体"/>
          <w:sz w:val="24"/>
        </w:rPr>
        <w:t>，在公庙子以西有咸水分布，局部地区矿化度较高。</w:t>
      </w:r>
    </w:p>
    <w:p>
      <w:pPr>
        <w:kinsoku w:val="0"/>
        <w:overflowPunct w:val="0"/>
        <w:autoSpaceDE w:val="0"/>
        <w:autoSpaceDN w:val="0"/>
        <w:adjustRightInd w:val="0"/>
        <w:snapToGrid w:val="0"/>
        <w:spacing w:line="360" w:lineRule="auto"/>
        <w:ind w:firstLine="482"/>
        <w:rPr>
          <w:sz w:val="24"/>
        </w:rPr>
      </w:pPr>
      <w:r>
        <w:rPr>
          <w:rFonts w:ascii="宋体" w:hAnsi="宋体"/>
          <w:sz w:val="24"/>
        </w:rPr>
        <w:t>湖盆西南边缘磴口</w:t>
      </w:r>
      <w:r>
        <w:rPr>
          <w:sz w:val="24"/>
        </w:rPr>
        <w:t>—</w:t>
      </w:r>
      <w:r>
        <w:rPr>
          <w:rFonts w:ascii="宋体" w:hAnsi="宋体"/>
          <w:sz w:val="24"/>
        </w:rPr>
        <w:t>全盛西沟断裂带以南，由于受磴口隆起的影响，含水层埋藏较浅，并由南向北渐深，其顶板埋深由南部</w:t>
      </w:r>
      <w:r>
        <w:rPr>
          <w:sz w:val="24"/>
        </w:rPr>
        <w:t>60~100m</w:t>
      </w:r>
      <w:r>
        <w:rPr>
          <w:rFonts w:ascii="宋体" w:hAnsi="宋体"/>
          <w:sz w:val="24"/>
        </w:rPr>
        <w:t>，向北部增至</w:t>
      </w:r>
      <w:r>
        <w:rPr>
          <w:sz w:val="24"/>
        </w:rPr>
        <w:t>100~150m</w:t>
      </w:r>
      <w:r>
        <w:rPr>
          <w:rFonts w:ascii="宋体" w:hAnsi="宋体"/>
          <w:sz w:val="24"/>
        </w:rPr>
        <w:t>，厚度也有增大的趋势，但含水层颗粒沿此方向变细，由中细砂变为细砂和粉细砂，而在磴口一带埋藏最浅，含水层颗粒较粗，以中细砂为主，局部含粗砂，厚度较大，可达</w:t>
      </w:r>
      <w:r>
        <w:rPr>
          <w:sz w:val="24"/>
        </w:rPr>
        <w:t>250~</w:t>
      </w:r>
      <w:r>
        <w:rPr>
          <w:spacing w:val="2"/>
          <w:sz w:val="24"/>
        </w:rPr>
        <w:t>300m</w:t>
      </w:r>
      <w:r>
        <w:rPr>
          <w:rFonts w:ascii="宋体" w:hAnsi="宋体"/>
          <w:spacing w:val="2"/>
          <w:sz w:val="24"/>
        </w:rPr>
        <w:t>，含水层顶板埋藏</w:t>
      </w:r>
      <w:r>
        <w:rPr>
          <w:spacing w:val="2"/>
          <w:sz w:val="24"/>
        </w:rPr>
        <w:t>50</w:t>
      </w:r>
      <w:r>
        <w:rPr>
          <w:sz w:val="24"/>
        </w:rPr>
        <w:t>~</w:t>
      </w:r>
      <w:r>
        <w:rPr>
          <w:spacing w:val="2"/>
          <w:sz w:val="24"/>
        </w:rPr>
        <w:t>70m</w:t>
      </w:r>
      <w:r>
        <w:rPr>
          <w:rFonts w:ascii="宋体" w:hAnsi="宋体"/>
          <w:spacing w:val="2"/>
          <w:sz w:val="24"/>
        </w:rPr>
        <w:t>，单井涌水量一般为</w:t>
      </w:r>
      <w:r>
        <w:rPr>
          <w:spacing w:val="2"/>
          <w:sz w:val="24"/>
        </w:rPr>
        <w:t>300</w:t>
      </w:r>
      <w:r>
        <w:rPr>
          <w:sz w:val="24"/>
        </w:rPr>
        <w:t>~</w:t>
      </w:r>
      <w:r>
        <w:rPr>
          <w:spacing w:val="2"/>
          <w:sz w:val="24"/>
        </w:rPr>
        <w:t>1300</w:t>
      </w:r>
      <w:r>
        <w:rPr>
          <w:sz w:val="24"/>
        </w:rPr>
        <w:t xml:space="preserve"> m</w:t>
      </w:r>
      <w:r>
        <w:rPr>
          <w:sz w:val="24"/>
          <w:vertAlign w:val="superscript"/>
        </w:rPr>
        <w:t>3</w:t>
      </w:r>
      <w:r>
        <w:rPr>
          <w:sz w:val="24"/>
        </w:rPr>
        <w:t>/d</w:t>
      </w:r>
      <w:r>
        <w:rPr>
          <w:rFonts w:ascii="宋体" w:hAnsi="宋体"/>
          <w:sz w:val="24"/>
        </w:rPr>
        <w:t>，均为淡水，矿化度多小于</w:t>
      </w:r>
      <w:r>
        <w:rPr>
          <w:sz w:val="24"/>
        </w:rPr>
        <w:t>1g/L</w:t>
      </w:r>
      <w:r>
        <w:rPr>
          <w:rFonts w:ascii="宋体" w:hAnsi="宋体"/>
          <w:sz w:val="24"/>
        </w:rPr>
        <w:t>，局部</w:t>
      </w:r>
      <w:r>
        <w:rPr>
          <w:sz w:val="24"/>
        </w:rPr>
        <w:t>1~3g/L</w:t>
      </w:r>
      <w:r>
        <w:rPr>
          <w:rFonts w:ascii="宋体" w:hAnsi="宋体"/>
          <w:sz w:val="24"/>
        </w:rPr>
        <w:t>，有一定的供水意义。</w:t>
      </w:r>
    </w:p>
    <w:p>
      <w:pPr>
        <w:adjustRightInd w:val="0"/>
        <w:snapToGrid w:val="0"/>
        <w:spacing w:line="360" w:lineRule="auto"/>
        <w:ind w:firstLine="482"/>
        <w:rPr>
          <w:sz w:val="24"/>
        </w:rPr>
      </w:pPr>
      <w:r>
        <w:rPr>
          <w:rFonts w:ascii="宋体" w:hAnsi="宋体"/>
          <w:sz w:val="24"/>
        </w:rPr>
        <w:t>湖盆东南边缘含水层分布较普遍，由于乌拉山潜伏隆起和磴口</w:t>
      </w:r>
      <w:r>
        <w:rPr>
          <w:sz w:val="24"/>
        </w:rPr>
        <w:t>—</w:t>
      </w:r>
      <w:r>
        <w:rPr>
          <w:rFonts w:ascii="宋体" w:hAnsi="宋体"/>
          <w:sz w:val="24"/>
        </w:rPr>
        <w:t>全盛西沟断裂带的影响，平原区南部一带含水层埋藏浅，向北逐渐加深，含水层顶板埋深由</w:t>
      </w:r>
      <w:r>
        <w:rPr>
          <w:sz w:val="24"/>
        </w:rPr>
        <w:t>60~120m</w:t>
      </w:r>
      <w:r>
        <w:rPr>
          <w:rFonts w:ascii="宋体" w:hAnsi="宋体"/>
          <w:sz w:val="24"/>
        </w:rPr>
        <w:t>，向北增至</w:t>
      </w:r>
      <w:r>
        <w:rPr>
          <w:sz w:val="24"/>
        </w:rPr>
        <w:t>200m</w:t>
      </w:r>
      <w:r>
        <w:rPr>
          <w:rFonts w:ascii="宋体" w:hAnsi="宋体"/>
          <w:sz w:val="24"/>
        </w:rPr>
        <w:t>以下，含水层以粉细砂为主，水量一般较小，矿化度多大于</w:t>
      </w:r>
      <w:r>
        <w:rPr>
          <w:sz w:val="24"/>
        </w:rPr>
        <w:t>3g/L</w:t>
      </w:r>
      <w:r>
        <w:rPr>
          <w:rFonts w:ascii="宋体" w:hAnsi="宋体"/>
          <w:sz w:val="24"/>
        </w:rPr>
        <w:t>，大部为咸水。在西山嘴近山麓一带，为山麓湖滨相沉积，含水层颗粒较粗，见有含砾中粗砂，</w:t>
      </w:r>
      <w:r>
        <w:rPr>
          <w:sz w:val="24"/>
        </w:rPr>
        <w:t>200m</w:t>
      </w:r>
      <w:r>
        <w:rPr>
          <w:rFonts w:ascii="宋体" w:hAnsi="宋体"/>
          <w:sz w:val="24"/>
        </w:rPr>
        <w:t>以内揭露含水层厚度</w:t>
      </w:r>
      <w:r>
        <w:rPr>
          <w:sz w:val="24"/>
        </w:rPr>
        <w:t>12~35m</w:t>
      </w:r>
      <w:r>
        <w:rPr>
          <w:rFonts w:ascii="宋体" w:hAnsi="宋体"/>
          <w:sz w:val="24"/>
        </w:rPr>
        <w:t>，自流量为</w:t>
      </w:r>
      <w:r>
        <w:rPr>
          <w:sz w:val="24"/>
        </w:rPr>
        <w:t>60~70m</w:t>
      </w:r>
      <w:r>
        <w:rPr>
          <w:sz w:val="24"/>
          <w:vertAlign w:val="superscript"/>
        </w:rPr>
        <w:t>3</w:t>
      </w:r>
      <w:r>
        <w:rPr>
          <w:sz w:val="24"/>
        </w:rPr>
        <w:t>/d</w:t>
      </w:r>
      <w:r>
        <w:rPr>
          <w:rFonts w:ascii="宋体" w:hAnsi="宋体"/>
          <w:sz w:val="24"/>
        </w:rPr>
        <w:t>，水质尚好，矿化度</w:t>
      </w:r>
      <w:r>
        <w:rPr>
          <w:sz w:val="24"/>
        </w:rPr>
        <w:t>1~3g/L</w:t>
      </w:r>
      <w:r>
        <w:rPr>
          <w:rFonts w:ascii="宋体" w:hAnsi="宋体"/>
          <w:sz w:val="24"/>
        </w:rPr>
        <w:t>，有一定的供水价值，唯独分布范围较局限。在乌梁素海西侧，含水层埋藏较深，颗粒变细，以粉细砂为主，厚度较薄，水量甚小，可自流，水质尚好，为矿化度</w:t>
      </w:r>
      <w:r>
        <w:rPr>
          <w:sz w:val="24"/>
        </w:rPr>
        <w:t>1~2g/L</w:t>
      </w:r>
      <w:r>
        <w:rPr>
          <w:rFonts w:ascii="宋体" w:hAnsi="宋体"/>
          <w:sz w:val="24"/>
        </w:rPr>
        <w:t>的淡水。</w:t>
      </w:r>
    </w:p>
    <w:p>
      <w:pPr>
        <w:adjustRightInd w:val="0"/>
        <w:snapToGrid w:val="0"/>
        <w:spacing w:line="360" w:lineRule="auto"/>
        <w:ind w:firstLine="482"/>
        <w:rPr>
          <w:sz w:val="24"/>
        </w:rPr>
      </w:pPr>
      <w:r>
        <w:rPr>
          <w:rFonts w:ascii="宋体" w:hAnsi="宋体"/>
          <w:sz w:val="24"/>
        </w:rPr>
        <w:t>湖盆中心扇裙前缘断裂南侧，西起太阳庙东至乌梁素海北端的长条地带，在构造上处于盆地深拗陷带，为区域沉积中心，含水层埋藏很深，其顶板埋深一般在</w:t>
      </w:r>
      <w:r>
        <w:rPr>
          <w:sz w:val="24"/>
        </w:rPr>
        <w:t>200~300m</w:t>
      </w:r>
      <w:r>
        <w:rPr>
          <w:rFonts w:ascii="宋体" w:hAnsi="宋体"/>
          <w:sz w:val="24"/>
        </w:rPr>
        <w:t>以下，而且含水层颗粒细，水量小，水质较差，多为咸水。</w:t>
      </w:r>
    </w:p>
    <w:p>
      <w:pPr>
        <w:adjustRightInd w:val="0"/>
        <w:snapToGrid w:val="0"/>
        <w:spacing w:line="360" w:lineRule="auto"/>
        <w:ind w:firstLine="482"/>
        <w:rPr>
          <w:sz w:val="24"/>
        </w:rPr>
      </w:pPr>
      <w:r>
        <w:rPr>
          <w:sz w:val="24"/>
        </w:rPr>
        <w:t>4</w:t>
      </w:r>
      <w:r>
        <w:rPr>
          <w:rFonts w:ascii="宋体" w:hAnsi="宋体"/>
          <w:sz w:val="24"/>
        </w:rPr>
        <w:t>、地下水水位动态</w:t>
      </w:r>
    </w:p>
    <w:p>
      <w:pPr>
        <w:adjustRightInd w:val="0"/>
        <w:snapToGrid w:val="0"/>
        <w:spacing w:line="360" w:lineRule="auto"/>
        <w:ind w:firstLine="482"/>
        <w:rPr>
          <w:sz w:val="24"/>
        </w:rPr>
      </w:pPr>
      <w:r>
        <w:rPr>
          <w:rFonts w:ascii="宋体" w:hAnsi="宋体"/>
          <w:sz w:val="24"/>
        </w:rPr>
        <w:t>后套平原主要开发利用的水资源是黄河水和山前冲洪积倾斜平原单一结构含水层的潜水。浅层地下水主要补给源是引黄灌溉水和大气降水，并以浅层水蒸散发和向排水沟排水的方式排泄。地下水动态以灌溉入渗</w:t>
      </w:r>
      <w:r>
        <w:rPr>
          <w:sz w:val="24"/>
        </w:rPr>
        <w:t>—</w:t>
      </w:r>
      <w:r>
        <w:rPr>
          <w:rFonts w:ascii="宋体" w:hAnsi="宋体"/>
          <w:sz w:val="24"/>
        </w:rPr>
        <w:t>蒸发型为主，灌、排水量和降水的多少，直接影响着浅层地下水位的动态变化。后套平原狼山山前单一结构区潜水水位动态主要表现为径流</w:t>
      </w:r>
      <w:r>
        <w:rPr>
          <w:sz w:val="24"/>
        </w:rPr>
        <w:t>-</w:t>
      </w:r>
      <w:r>
        <w:rPr>
          <w:rFonts w:ascii="宋体" w:hAnsi="宋体"/>
          <w:sz w:val="24"/>
        </w:rPr>
        <w:t>开采型，水位的动态变化受到农灌开采地下水和山前侧向径流补给的影响。山前单一结构区的潜水年内只有一个低水位期，发生在</w:t>
      </w:r>
      <w:r>
        <w:rPr>
          <w:sz w:val="24"/>
        </w:rPr>
        <w:t>7-8</w:t>
      </w:r>
      <w:r>
        <w:rPr>
          <w:rFonts w:ascii="宋体" w:hAnsi="宋体"/>
          <w:sz w:val="24"/>
        </w:rPr>
        <w:t>月份，主要受季节性农灌开采地下水的影响。</w:t>
      </w:r>
      <w:r>
        <w:rPr>
          <w:sz w:val="24"/>
        </w:rPr>
        <w:t>8</w:t>
      </w:r>
      <w:r>
        <w:rPr>
          <w:rFonts w:ascii="宋体" w:hAnsi="宋体"/>
          <w:sz w:val="24"/>
        </w:rPr>
        <w:t>月份停止开采地下水后，水位逐渐上升；次年</w:t>
      </w:r>
      <w:r>
        <w:rPr>
          <w:sz w:val="24"/>
        </w:rPr>
        <w:t>2</w:t>
      </w:r>
      <w:r>
        <w:rPr>
          <w:rFonts w:ascii="宋体" w:hAnsi="宋体"/>
          <w:sz w:val="24"/>
        </w:rPr>
        <w:t>月份地下水水位缓慢上升；</w:t>
      </w:r>
      <w:r>
        <w:rPr>
          <w:sz w:val="24"/>
        </w:rPr>
        <w:t>2-4</w:t>
      </w:r>
      <w:r>
        <w:rPr>
          <w:rFonts w:ascii="宋体" w:hAnsi="宋体"/>
          <w:sz w:val="24"/>
        </w:rPr>
        <w:t>月份水位基本保持平稳状态，水位达到年内最高值；</w:t>
      </w:r>
      <w:r>
        <w:rPr>
          <w:sz w:val="24"/>
        </w:rPr>
        <w:t>4-5</w:t>
      </w:r>
      <w:r>
        <w:rPr>
          <w:rFonts w:ascii="宋体" w:hAnsi="宋体"/>
          <w:sz w:val="24"/>
        </w:rPr>
        <w:t>月份夏灌开始，由于开采利用潜水灌溉，地下水水位开始逐渐下降，到</w:t>
      </w:r>
      <w:r>
        <w:rPr>
          <w:sz w:val="24"/>
        </w:rPr>
        <w:t>7</w:t>
      </w:r>
      <w:r>
        <w:rPr>
          <w:rFonts w:ascii="宋体" w:hAnsi="宋体"/>
          <w:sz w:val="24"/>
        </w:rPr>
        <w:t>、</w:t>
      </w:r>
      <w:r>
        <w:rPr>
          <w:sz w:val="24"/>
        </w:rPr>
        <w:t>8</w:t>
      </w:r>
      <w:r>
        <w:rPr>
          <w:rFonts w:ascii="宋体" w:hAnsi="宋体"/>
          <w:sz w:val="24"/>
        </w:rPr>
        <w:t>月份，出现年内最低水位。年内水位变幅大部分地区小于</w:t>
      </w:r>
      <w:r>
        <w:rPr>
          <w:sz w:val="24"/>
        </w:rPr>
        <w:t>1m</w:t>
      </w:r>
      <w:r>
        <w:rPr>
          <w:rFonts w:ascii="宋体" w:hAnsi="宋体"/>
          <w:sz w:val="24"/>
        </w:rPr>
        <w:t>，在德岭台地西南部潜水开采强度较大的局部地区，年内水位变幅可达</w:t>
      </w:r>
      <w:r>
        <w:rPr>
          <w:sz w:val="24"/>
        </w:rPr>
        <w:t>3m</w:t>
      </w:r>
      <w:r>
        <w:rPr>
          <w:rFonts w:ascii="宋体" w:hAnsi="宋体"/>
          <w:sz w:val="24"/>
        </w:rPr>
        <w:t>。</w:t>
      </w:r>
    </w:p>
    <w:p>
      <w:pPr>
        <w:adjustRightInd w:val="0"/>
        <w:snapToGrid w:val="0"/>
        <w:spacing w:line="360" w:lineRule="auto"/>
        <w:ind w:firstLine="480" w:firstLineChars="200"/>
        <w:rPr>
          <w:sz w:val="24"/>
        </w:rPr>
      </w:pPr>
      <w:r>
        <w:rPr>
          <w:sz w:val="24"/>
        </w:rPr>
        <w:t>5</w:t>
      </w:r>
      <w:r>
        <w:rPr>
          <w:rFonts w:ascii="宋体" w:hAnsi="宋体"/>
          <w:sz w:val="24"/>
        </w:rPr>
        <w:t>、地下水补径排特征</w:t>
      </w:r>
    </w:p>
    <w:p>
      <w:pPr>
        <w:adjustRightInd w:val="0"/>
        <w:snapToGrid w:val="0"/>
        <w:spacing w:line="360" w:lineRule="auto"/>
        <w:ind w:firstLine="480" w:firstLineChars="200"/>
        <w:rPr>
          <w:sz w:val="24"/>
        </w:rPr>
      </w:pPr>
      <w:r>
        <w:rPr>
          <w:rFonts w:ascii="宋体" w:hAnsi="宋体"/>
          <w:sz w:val="24"/>
        </w:rPr>
        <w:t>后套平原单一结构区潜水主要分布于北部山前冲洪积扇裙带和洪积平原上，主要接受山区地下水的侧向径流补给。后套平原地势南高北低，在北部山前洪积扇群带前缘自然地形成一条东西向的排水廊道。因此，单一结构区潜水径流路径短，主要的排泄方式是农业开采和径流排泄。</w:t>
      </w:r>
    </w:p>
    <w:p>
      <w:pPr>
        <w:adjustRightInd w:val="0"/>
        <w:snapToGrid w:val="0"/>
        <w:spacing w:line="360" w:lineRule="auto"/>
        <w:ind w:firstLine="480" w:firstLineChars="200"/>
        <w:rPr>
          <w:sz w:val="24"/>
        </w:rPr>
      </w:pPr>
      <w:r>
        <w:rPr>
          <w:rFonts w:ascii="宋体" w:hAnsi="宋体"/>
          <w:sz w:val="24"/>
        </w:rPr>
        <w:t>后套平原是我国最大的一首制灌区，黄河水灌溉入渗补给是双层结构区浅层地下水的主要补给来源，其次是渠道的渗漏补给和降雨入渗补给。黄河南岸浅层地下水在杭锦旗西部呼和木独镇和巴拉贡镇有对黄河北岸由西南至东北方向的侧向径流补给，呼和木独镇东部的浅层水在黄河南岸的引黄灌区和黄河排泄，没有补给到黄河北岸的浅层水。</w:t>
      </w:r>
    </w:p>
    <w:p>
      <w:pPr>
        <w:adjustRightInd w:val="0"/>
        <w:snapToGrid w:val="0"/>
        <w:spacing w:line="360" w:lineRule="auto"/>
        <w:ind w:firstLine="480" w:firstLineChars="200"/>
        <w:rPr>
          <w:sz w:val="24"/>
        </w:rPr>
      </w:pPr>
      <w:r>
        <w:rPr>
          <w:rFonts w:ascii="宋体" w:hAnsi="宋体"/>
          <w:sz w:val="24"/>
        </w:rPr>
        <w:t>黄河水和地下水的补排关系呈周期性转变，以向浅层地下水补给为主，尤以黄河高水位期明显，但受含水层岩性、厚度以及黄河水位、水量的影响，补给量有限，黄河水不是主要的补给来源。黄河水水位和地下水水位之间的差值在</w:t>
      </w:r>
      <w:r>
        <w:rPr>
          <w:sz w:val="24"/>
        </w:rPr>
        <w:t>-0.5~1.0m</w:t>
      </w:r>
      <w:r>
        <w:rPr>
          <w:rFonts w:ascii="宋体" w:hAnsi="宋体"/>
          <w:sz w:val="24"/>
        </w:rPr>
        <w:t>之间波动，二者之间的补排关系呈周期性转变，以黄河水补给浅层地下水为主，黄河水没有持续稳定地补给浅层地下水，补给方式主要为河道侧渗。</w:t>
      </w:r>
    </w:p>
    <w:p>
      <w:pPr>
        <w:adjustRightInd w:val="0"/>
        <w:snapToGrid w:val="0"/>
        <w:spacing w:line="360" w:lineRule="auto"/>
        <w:ind w:firstLine="482"/>
        <w:rPr>
          <w:sz w:val="24"/>
        </w:rPr>
      </w:pPr>
      <w:r>
        <w:rPr>
          <w:rFonts w:ascii="宋体" w:hAnsi="宋体"/>
          <w:sz w:val="24"/>
        </w:rPr>
        <w:t>浅层地下水在黄河冲湖积平原区主要从黄河北岸向北部山前径流，径流方向从西南至东北。平原区地势平缓，水力坡度很小，并且含水层岩性较细，地下水径流缓慢。</w:t>
      </w:r>
    </w:p>
    <w:p>
      <w:pPr>
        <w:adjustRightInd w:val="0"/>
        <w:snapToGrid w:val="0"/>
        <w:spacing w:line="360" w:lineRule="auto"/>
        <w:ind w:firstLine="482"/>
        <w:rPr>
          <w:sz w:val="24"/>
        </w:rPr>
      </w:pPr>
      <w:r>
        <w:rPr>
          <w:rFonts w:ascii="宋体" w:hAnsi="宋体"/>
          <w:sz w:val="24"/>
        </w:rPr>
        <w:t>黄河冲湖积平原区的浅层水水位埋藏非常浅，在</w:t>
      </w:r>
      <w:r>
        <w:rPr>
          <w:sz w:val="24"/>
        </w:rPr>
        <w:t>1-5m</w:t>
      </w:r>
      <w:r>
        <w:rPr>
          <w:rFonts w:ascii="宋体" w:hAnsi="宋体"/>
          <w:sz w:val="24"/>
        </w:rPr>
        <w:t>之间，而且该地区的年蒸发量很大，在</w:t>
      </w:r>
      <w:r>
        <w:rPr>
          <w:sz w:val="24"/>
        </w:rPr>
        <w:t>2050-2550mm</w:t>
      </w:r>
      <w:r>
        <w:rPr>
          <w:rFonts w:ascii="宋体" w:hAnsi="宋体"/>
          <w:sz w:val="24"/>
        </w:rPr>
        <w:t>之间。再者，后套平原包气带岩性主要为粘砂土和砂粘土，颗粒细小，毛细作用较强，因此，浅层水的蒸发作用强烈，蒸发排泄成为平原区浅层水的主要排泄方式。农灌期浅层水水位升高时，地下水会向排水沟排泄，并通过各级排水沟汇入北部山前的总排干沟。退水通过排干沟进入乌梁素海，经乌梁素海退水渠在三湖河口退入黄河。此外，后套平原农业用地面积大，在作物生育期，农作物蒸散发作用对地下水的消耗也是浅层水的排泄途径之一。</w:t>
      </w:r>
    </w:p>
    <w:p>
      <w:pPr>
        <w:adjustRightInd w:val="0"/>
        <w:snapToGrid w:val="0"/>
        <w:spacing w:line="360" w:lineRule="auto"/>
        <w:ind w:firstLine="482"/>
        <w:rPr>
          <w:sz w:val="24"/>
        </w:rPr>
      </w:pPr>
      <w:r>
        <w:rPr>
          <w:rFonts w:ascii="宋体" w:hAnsi="宋体"/>
          <w:sz w:val="24"/>
        </w:rPr>
        <w:t>平原区的承压地下水主要依靠单一结构区潜水的侧向径流补给。此外，乌梁素海东部的地下水通过深部水循环补给西部的承压水也是可能的补给方式之一。由于承压含水层埋藏深，后套平原对承压水基本没有开采。承压水径流平缓，总体上由西南向东北径流。排泄区在乌梁素海</w:t>
      </w:r>
    </w:p>
    <w:p>
      <w:pPr>
        <w:adjustRightInd w:val="0"/>
        <w:snapToGrid w:val="0"/>
        <w:spacing w:line="360" w:lineRule="auto"/>
        <w:ind w:firstLine="482"/>
        <w:rPr>
          <w:sz w:val="24"/>
        </w:rPr>
      </w:pPr>
      <w:r>
        <w:rPr>
          <w:sz w:val="24"/>
        </w:rPr>
        <w:t>6</w:t>
      </w:r>
      <w:r>
        <w:rPr>
          <w:rFonts w:ascii="宋体" w:hAnsi="宋体"/>
          <w:sz w:val="24"/>
        </w:rPr>
        <w:t>、区域地下水化学特征</w:t>
      </w:r>
    </w:p>
    <w:p>
      <w:pPr>
        <w:adjustRightInd w:val="0"/>
        <w:snapToGrid w:val="0"/>
        <w:spacing w:line="360" w:lineRule="auto"/>
        <w:ind w:firstLine="482"/>
        <w:rPr>
          <w:sz w:val="24"/>
        </w:rPr>
      </w:pPr>
      <w:r>
        <w:rPr>
          <w:rFonts w:ascii="宋体" w:hAnsi="宋体"/>
          <w:sz w:val="24"/>
        </w:rPr>
        <w:t>受古地理、水文、地质构造及人类活动等因素的影响，地下水中的各组分经过水文地球化学作用在不同区域富集，同时由于黄河的迂回改道以及灌渠水的混合作用，使得该区域的水化学类型在空间上呈现一定的分带性。在山前冲洪积倾斜平原，地下水接受来自山区的地表径流以及大气降水的补给，地形坡度大，地下水埋藏较深，地下水以矿化度较低</w:t>
      </w:r>
      <w:r>
        <w:rPr>
          <w:sz w:val="24"/>
        </w:rPr>
        <w:t>(TDS&lt;1 g/L)</w:t>
      </w:r>
      <w:r>
        <w:rPr>
          <w:rFonts w:ascii="宋体" w:hAnsi="宋体"/>
          <w:sz w:val="24"/>
        </w:rPr>
        <w:t>的重碳酸型水为主。随着地下水径流到靠近平原中部的地区，地势逐渐平缓，水化学类型以矿化度略高</w:t>
      </w:r>
      <w:r>
        <w:rPr>
          <w:sz w:val="24"/>
        </w:rPr>
        <w:t>(TDS</w:t>
      </w:r>
      <w:r>
        <w:rPr>
          <w:rFonts w:ascii="宋体" w:hAnsi="宋体"/>
          <w:sz w:val="24"/>
        </w:rPr>
        <w:t>在</w:t>
      </w:r>
      <w:r>
        <w:rPr>
          <w:sz w:val="24"/>
        </w:rPr>
        <w:t>1-2 g/L)</w:t>
      </w:r>
      <w:r>
        <w:rPr>
          <w:rFonts w:ascii="宋体" w:hAnsi="宋体"/>
          <w:sz w:val="24"/>
        </w:rPr>
        <w:t>的重碳酸盐</w:t>
      </w:r>
      <w:r>
        <w:rPr>
          <w:sz w:val="24"/>
        </w:rPr>
        <w:t>-</w:t>
      </w:r>
      <w:r>
        <w:rPr>
          <w:rFonts w:ascii="宋体" w:hAnsi="宋体"/>
          <w:sz w:val="24"/>
        </w:rPr>
        <w:t>氯化物型水为主。平原中心径流条件差，地下水水平流动几乎处于停滞状态，地下水埋藏浅，地下水以高矿化度</w:t>
      </w:r>
      <w:r>
        <w:rPr>
          <w:sz w:val="24"/>
        </w:rPr>
        <w:t>(TDS&gt;3 g/L)</w:t>
      </w:r>
      <w:r>
        <w:rPr>
          <w:rFonts w:ascii="宋体" w:hAnsi="宋体"/>
          <w:sz w:val="24"/>
        </w:rPr>
        <w:t>的氯化物型水和氯化物</w:t>
      </w:r>
      <w:r>
        <w:rPr>
          <w:sz w:val="24"/>
        </w:rPr>
        <w:t>-</w:t>
      </w:r>
      <w:r>
        <w:rPr>
          <w:rFonts w:ascii="宋体" w:hAnsi="宋体"/>
          <w:sz w:val="24"/>
        </w:rPr>
        <w:t>硫酸盐型水为主。</w:t>
      </w:r>
    </w:p>
    <w:p>
      <w:pPr>
        <w:adjustRightInd w:val="0"/>
        <w:snapToGrid w:val="0"/>
        <w:spacing w:line="360" w:lineRule="auto"/>
        <w:ind w:firstLine="482"/>
        <w:rPr>
          <w:sz w:val="24"/>
        </w:rPr>
      </w:pPr>
      <w:r>
        <w:rPr>
          <w:rFonts w:ascii="宋体" w:hAnsi="宋体"/>
          <w:sz w:val="24"/>
        </w:rPr>
        <w:t>后套平原地下水系统水化学类型较多，阳离子以</w:t>
      </w:r>
      <w:r>
        <w:rPr>
          <w:sz w:val="24"/>
        </w:rPr>
        <w:t>Na</w:t>
      </w:r>
      <w:r>
        <w:rPr>
          <w:sz w:val="24"/>
          <w:vertAlign w:val="superscript"/>
        </w:rPr>
        <w:t>+</w:t>
      </w:r>
      <w:r>
        <w:rPr>
          <w:rFonts w:ascii="宋体" w:hAnsi="宋体"/>
          <w:sz w:val="24"/>
        </w:rPr>
        <w:t>、</w:t>
      </w:r>
      <w:r>
        <w:rPr>
          <w:sz w:val="24"/>
        </w:rPr>
        <w:t>+Mg</w:t>
      </w:r>
      <w:r>
        <w:rPr>
          <w:sz w:val="24"/>
          <w:vertAlign w:val="superscript"/>
        </w:rPr>
        <w:t>2+</w:t>
      </w:r>
      <w:r>
        <w:rPr>
          <w:rFonts w:ascii="宋体" w:hAnsi="宋体"/>
          <w:sz w:val="24"/>
        </w:rPr>
        <w:t>为主，阴离子相对较复杂，山前以</w:t>
      </w:r>
      <w:r>
        <w:rPr>
          <w:sz w:val="24"/>
        </w:rPr>
        <w:t>HCO</w:t>
      </w:r>
      <w:r>
        <w:rPr>
          <w:sz w:val="24"/>
          <w:vertAlign w:val="subscript"/>
        </w:rPr>
        <w:t>3</w:t>
      </w:r>
      <w:r>
        <w:rPr>
          <w:sz w:val="24"/>
          <w:vertAlign w:val="superscript"/>
        </w:rPr>
        <w:t>-</w:t>
      </w:r>
      <w:r>
        <w:rPr>
          <w:rFonts w:ascii="宋体" w:hAnsi="宋体"/>
          <w:sz w:val="24"/>
        </w:rPr>
        <w:t>为主，山前倾斜平原以</w:t>
      </w:r>
      <w:r>
        <w:rPr>
          <w:sz w:val="24"/>
        </w:rPr>
        <w:t>HCO</w:t>
      </w:r>
      <w:r>
        <w:rPr>
          <w:sz w:val="24"/>
          <w:vertAlign w:val="subscript"/>
        </w:rPr>
        <w:t>3</w:t>
      </w:r>
      <w:r>
        <w:rPr>
          <w:sz w:val="24"/>
          <w:vertAlign w:val="superscript"/>
        </w:rPr>
        <w:t>-</w:t>
      </w:r>
      <w:r>
        <w:rPr>
          <w:rFonts w:ascii="宋体" w:hAnsi="宋体"/>
          <w:sz w:val="24"/>
        </w:rPr>
        <w:t>、</w:t>
      </w:r>
      <w:r>
        <w:rPr>
          <w:sz w:val="24"/>
        </w:rPr>
        <w:t>SO</w:t>
      </w:r>
      <w:r>
        <w:rPr>
          <w:sz w:val="24"/>
          <w:vertAlign w:val="subscript"/>
        </w:rPr>
        <w:t>4</w:t>
      </w:r>
      <w:r>
        <w:rPr>
          <w:sz w:val="24"/>
          <w:vertAlign w:val="superscript"/>
        </w:rPr>
        <w:t>2</w:t>
      </w:r>
      <w:r>
        <w:rPr>
          <w:sz w:val="24"/>
        </w:rPr>
        <w:t>-</w:t>
      </w:r>
      <w:r>
        <w:rPr>
          <w:rFonts w:ascii="宋体" w:hAnsi="宋体"/>
          <w:sz w:val="24"/>
        </w:rPr>
        <w:t>、</w:t>
      </w:r>
      <w:r>
        <w:rPr>
          <w:sz w:val="24"/>
        </w:rPr>
        <w:t>Cl</w:t>
      </w:r>
      <w:r>
        <w:rPr>
          <w:sz w:val="24"/>
          <w:vertAlign w:val="superscript"/>
        </w:rPr>
        <w:t>-</w:t>
      </w:r>
      <w:r>
        <w:rPr>
          <w:rFonts w:ascii="宋体" w:hAnsi="宋体"/>
          <w:sz w:val="24"/>
        </w:rPr>
        <w:t>为主，近黄河地区以</w:t>
      </w:r>
      <w:r>
        <w:rPr>
          <w:sz w:val="24"/>
        </w:rPr>
        <w:t>SO</w:t>
      </w:r>
      <w:r>
        <w:rPr>
          <w:sz w:val="24"/>
          <w:vertAlign w:val="subscript"/>
        </w:rPr>
        <w:t>4</w:t>
      </w:r>
      <w:r>
        <w:rPr>
          <w:sz w:val="24"/>
          <w:vertAlign w:val="superscript"/>
        </w:rPr>
        <w:t>2</w:t>
      </w:r>
      <w:r>
        <w:rPr>
          <w:sz w:val="24"/>
        </w:rPr>
        <w:t>-</w:t>
      </w:r>
      <w:r>
        <w:rPr>
          <w:rFonts w:ascii="宋体" w:hAnsi="宋体"/>
          <w:sz w:val="24"/>
        </w:rPr>
        <w:t>、</w:t>
      </w:r>
      <w:r>
        <w:rPr>
          <w:sz w:val="24"/>
        </w:rPr>
        <w:t>Cl</w:t>
      </w:r>
      <w:r>
        <w:rPr>
          <w:sz w:val="24"/>
          <w:vertAlign w:val="superscript"/>
        </w:rPr>
        <w:t>-</w:t>
      </w:r>
      <w:r>
        <w:rPr>
          <w:rFonts w:ascii="宋体" w:hAnsi="宋体"/>
          <w:sz w:val="24"/>
        </w:rPr>
        <w:t>为。后套平原整体上阴离子</w:t>
      </w:r>
      <w:r>
        <w:rPr>
          <w:sz w:val="24"/>
        </w:rPr>
        <w:t>SO</w:t>
      </w:r>
      <w:r>
        <w:rPr>
          <w:sz w:val="24"/>
          <w:vertAlign w:val="subscript"/>
        </w:rPr>
        <w:t>4</w:t>
      </w:r>
      <w:r>
        <w:rPr>
          <w:sz w:val="24"/>
          <w:vertAlign w:val="superscript"/>
        </w:rPr>
        <w:t>2</w:t>
      </w:r>
      <w:r>
        <w:rPr>
          <w:sz w:val="24"/>
        </w:rPr>
        <w:t>-</w:t>
      </w:r>
      <w:r>
        <w:rPr>
          <w:rFonts w:ascii="宋体" w:hAnsi="宋体"/>
          <w:sz w:val="24"/>
        </w:rPr>
        <w:t>含量偏高，极高值点分布较为分散。但在西北部地下水排泄带的中心区域出现一条低值带。在山前冲洪积扇间洼地和扇前缘、黄河冲湖积平原都有大面积分布，其中在西部地区的总干渠及主要干渠附近，及山前冲洪积倾斜平原有较明显带状分布。矿化度多小于</w:t>
      </w:r>
      <w:r>
        <w:rPr>
          <w:sz w:val="24"/>
        </w:rPr>
        <w:t>3g/L</w:t>
      </w:r>
      <w:r>
        <w:rPr>
          <w:rFonts w:ascii="宋体" w:hAnsi="宋体"/>
          <w:sz w:val="24"/>
        </w:rPr>
        <w:t>，为低矿化水，仅零星点分布于扇前洼地高矿化带上。后套平原多处于径流区，地下水化学组分的迁移演化处于中间阶段，各种水化学作用同时发生，如对易溶硫酸盐的溶滤，离子交换，及蒸发浓缩作用等，使得后套平原的浅层地下水水化学类型复杂多样。</w:t>
      </w:r>
    </w:p>
    <w:p>
      <w:pPr>
        <w:keepNext/>
        <w:keepLines/>
        <w:adjustRightInd w:val="0"/>
        <w:snapToGrid w:val="0"/>
        <w:spacing w:line="360" w:lineRule="auto"/>
        <w:outlineLvl w:val="3"/>
        <w:rPr>
          <w:b/>
          <w:sz w:val="28"/>
          <w:szCs w:val="28"/>
        </w:rPr>
      </w:pPr>
      <w:r>
        <w:rPr>
          <w:b/>
          <w:sz w:val="28"/>
          <w:szCs w:val="28"/>
        </w:rPr>
        <w:t>6.2.1.2评价区水文地质条件</w:t>
      </w:r>
    </w:p>
    <w:p>
      <w:pPr>
        <w:adjustRightInd w:val="0"/>
        <w:snapToGrid w:val="0"/>
        <w:spacing w:line="360" w:lineRule="auto"/>
        <w:ind w:firstLine="480" w:firstLineChars="200"/>
        <w:rPr>
          <w:sz w:val="24"/>
        </w:rPr>
      </w:pPr>
      <w:r>
        <w:rPr>
          <w:rFonts w:ascii="宋体" w:hAnsi="宋体"/>
          <w:sz w:val="24"/>
        </w:rPr>
        <w:t>本次划定的评价区位于黄河冲湖积平原地下水子系统中的义长灌域地下水子系统（</w:t>
      </w:r>
      <w:r>
        <w:rPr>
          <w:sz w:val="24"/>
        </w:rPr>
        <w:t>A02-5</w:t>
      </w:r>
      <w:r>
        <w:rPr>
          <w:rFonts w:ascii="宋体" w:hAnsi="宋体"/>
          <w:sz w:val="24"/>
        </w:rPr>
        <w:t>）。</w:t>
      </w:r>
    </w:p>
    <w:p>
      <w:pPr>
        <w:adjustRightInd w:val="0"/>
        <w:snapToGrid w:val="0"/>
        <w:spacing w:line="360" w:lineRule="auto"/>
        <w:ind w:firstLine="480" w:firstLineChars="200"/>
        <w:rPr>
          <w:sz w:val="24"/>
        </w:rPr>
      </w:pPr>
      <w:r>
        <w:rPr>
          <w:sz w:val="24"/>
        </w:rPr>
        <w:t>1</w:t>
      </w:r>
      <w:r>
        <w:rPr>
          <w:rFonts w:ascii="宋体" w:hAnsi="宋体"/>
          <w:sz w:val="24"/>
        </w:rPr>
        <w:t>、含水层特征</w:t>
      </w:r>
    </w:p>
    <w:p>
      <w:pPr>
        <w:adjustRightInd w:val="0"/>
        <w:snapToGrid w:val="0"/>
        <w:spacing w:line="360" w:lineRule="auto"/>
        <w:ind w:firstLine="480" w:firstLineChars="200"/>
        <w:rPr>
          <w:sz w:val="24"/>
        </w:rPr>
      </w:pPr>
      <w:r>
        <w:rPr>
          <w:rFonts w:ascii="宋体" w:hAnsi="宋体"/>
          <w:sz w:val="24"/>
        </w:rPr>
        <w:t>浅层地下水在评价区内普遍分布。其含水层由上更新统至全新统所组成，并构成统一含水岩组。</w:t>
      </w:r>
    </w:p>
    <w:p>
      <w:pPr>
        <w:adjustRightInd w:val="0"/>
        <w:snapToGrid w:val="0"/>
        <w:spacing w:line="360" w:lineRule="auto"/>
        <w:ind w:firstLine="480" w:firstLineChars="200"/>
        <w:rPr>
          <w:sz w:val="24"/>
        </w:rPr>
      </w:pPr>
      <w:r>
        <w:rPr>
          <w:rFonts w:ascii="宋体" w:hAnsi="宋体"/>
          <w:sz w:val="24"/>
        </w:rPr>
        <w:t>（</w:t>
      </w:r>
      <w:r>
        <w:rPr>
          <w:sz w:val="24"/>
        </w:rPr>
        <w:t>1</w:t>
      </w:r>
      <w:r>
        <w:rPr>
          <w:rFonts w:ascii="宋体" w:hAnsi="宋体"/>
          <w:sz w:val="24"/>
        </w:rPr>
        <w:t>）全新统含水层</w:t>
      </w:r>
    </w:p>
    <w:p>
      <w:pPr>
        <w:adjustRightInd w:val="0"/>
        <w:snapToGrid w:val="0"/>
        <w:spacing w:line="360" w:lineRule="auto"/>
        <w:ind w:firstLine="480" w:firstLineChars="200"/>
        <w:rPr>
          <w:sz w:val="24"/>
        </w:rPr>
      </w:pPr>
      <w:r>
        <w:rPr>
          <w:rFonts w:ascii="宋体" w:hAnsi="宋体"/>
          <w:sz w:val="24"/>
        </w:rPr>
        <w:t>分布于该含水岩组最上部，岩性上部为灰黄色粉细砂，局部粉土夹层，结构松散，分选均匀。其顶部大部分地区为薄层的粉土，局部地区有粉质粘土覆盖，形成上细下粗的二元结构。</w:t>
      </w:r>
    </w:p>
    <w:p>
      <w:pPr>
        <w:adjustRightInd w:val="0"/>
        <w:snapToGrid w:val="0"/>
        <w:spacing w:line="360" w:lineRule="auto"/>
        <w:ind w:firstLine="480" w:firstLineChars="200"/>
        <w:rPr>
          <w:sz w:val="24"/>
        </w:rPr>
      </w:pPr>
      <w:r>
        <w:rPr>
          <w:rFonts w:ascii="宋体" w:hAnsi="宋体"/>
          <w:sz w:val="24"/>
        </w:rPr>
        <w:t>由于评价区内含水层顶部有连续的薄层粉质粘土覆盖层（评价区内</w:t>
      </w:r>
      <w:r>
        <w:rPr>
          <w:sz w:val="24"/>
        </w:rPr>
        <w:t>ZK1~32</w:t>
      </w:r>
      <w:r>
        <w:rPr>
          <w:rFonts w:ascii="宋体" w:hAnsi="宋体"/>
          <w:sz w:val="24"/>
        </w:rPr>
        <w:t>钻孔均显示），使区内地下水具有微承压性质。</w:t>
      </w:r>
    </w:p>
    <w:p>
      <w:pPr>
        <w:adjustRightInd w:val="0"/>
        <w:snapToGrid w:val="0"/>
        <w:spacing w:line="360" w:lineRule="auto"/>
        <w:ind w:firstLine="480" w:firstLineChars="200"/>
        <w:rPr>
          <w:sz w:val="24"/>
        </w:rPr>
      </w:pPr>
      <w:r>
        <w:rPr>
          <w:rFonts w:ascii="宋体" w:hAnsi="宋体"/>
          <w:sz w:val="24"/>
        </w:rPr>
        <w:t>（</w:t>
      </w:r>
      <w:r>
        <w:rPr>
          <w:sz w:val="24"/>
        </w:rPr>
        <w:t>2</w:t>
      </w:r>
      <w:r>
        <w:rPr>
          <w:rFonts w:ascii="宋体" w:hAnsi="宋体"/>
          <w:sz w:val="24"/>
        </w:rPr>
        <w:t>）上更新统含水层</w:t>
      </w:r>
    </w:p>
    <w:p>
      <w:pPr>
        <w:adjustRightInd w:val="0"/>
        <w:snapToGrid w:val="0"/>
        <w:spacing w:line="360" w:lineRule="auto"/>
        <w:ind w:firstLine="480" w:firstLineChars="200"/>
        <w:rPr>
          <w:sz w:val="24"/>
        </w:rPr>
      </w:pPr>
      <w:r>
        <w:rPr>
          <w:rFonts w:ascii="宋体" w:hAnsi="宋体"/>
          <w:sz w:val="24"/>
        </w:rPr>
        <w:t>据岩相及岩性特征的不同，可分为两段。上段（</w:t>
      </w:r>
      <w:r>
        <w:rPr>
          <w:sz w:val="24"/>
        </w:rPr>
        <w:t>Q</w:t>
      </w:r>
      <w:r>
        <w:rPr>
          <w:sz w:val="24"/>
          <w:vertAlign w:val="subscript"/>
        </w:rPr>
        <w:t>3</w:t>
      </w:r>
      <w:r>
        <w:rPr>
          <w:sz w:val="24"/>
          <w:vertAlign w:val="superscript"/>
        </w:rPr>
        <w:t>2</w:t>
      </w:r>
      <w:r>
        <w:rPr>
          <w:rFonts w:ascii="宋体" w:hAnsi="宋体"/>
          <w:sz w:val="24"/>
        </w:rPr>
        <w:t>）岩性以灰、灰褐色的粉砂为主，结构松散，分选均匀，其间偶夹</w:t>
      </w:r>
      <w:r>
        <w:rPr>
          <w:sz w:val="24"/>
        </w:rPr>
        <w:t>1</w:t>
      </w:r>
      <w:r>
        <w:rPr>
          <w:rFonts w:ascii="宋体" w:hAnsi="宋体"/>
          <w:sz w:val="24"/>
        </w:rPr>
        <w:t>～</w:t>
      </w:r>
      <w:r>
        <w:rPr>
          <w:sz w:val="24"/>
        </w:rPr>
        <w:t>2</w:t>
      </w:r>
      <w:r>
        <w:rPr>
          <w:rFonts w:ascii="宋体" w:hAnsi="宋体"/>
          <w:sz w:val="24"/>
        </w:rPr>
        <w:t>层粉土或粉质粘土透镜体。下段（</w:t>
      </w:r>
      <w:r>
        <w:rPr>
          <w:sz w:val="24"/>
        </w:rPr>
        <w:t>Q</w:t>
      </w:r>
      <w:r>
        <w:rPr>
          <w:sz w:val="24"/>
          <w:vertAlign w:val="subscript"/>
        </w:rPr>
        <w:t>3</w:t>
      </w:r>
      <w:r>
        <w:rPr>
          <w:sz w:val="24"/>
          <w:vertAlign w:val="superscript"/>
        </w:rPr>
        <w:t>1</w:t>
      </w:r>
      <w:r>
        <w:rPr>
          <w:rFonts w:ascii="宋体" w:hAnsi="宋体"/>
          <w:sz w:val="24"/>
        </w:rPr>
        <w:t>）岩性主要为灰褐色的细砂、粉砂或粉细砂为主，其间夹</w:t>
      </w:r>
      <w:r>
        <w:rPr>
          <w:sz w:val="24"/>
        </w:rPr>
        <w:t>2-3</w:t>
      </w:r>
      <w:r>
        <w:rPr>
          <w:rFonts w:ascii="宋体" w:hAnsi="宋体"/>
          <w:sz w:val="24"/>
        </w:rPr>
        <w:t>层薄层粉质粘土透镜体，底部粉质粘土成份增高。</w:t>
      </w:r>
    </w:p>
    <w:p>
      <w:pPr>
        <w:adjustRightInd w:val="0"/>
        <w:snapToGrid w:val="0"/>
        <w:spacing w:line="360" w:lineRule="auto"/>
        <w:ind w:firstLine="480" w:firstLineChars="200"/>
        <w:rPr>
          <w:sz w:val="24"/>
        </w:rPr>
      </w:pPr>
      <w:r>
        <w:rPr>
          <w:rFonts w:ascii="宋体" w:hAnsi="宋体"/>
          <w:sz w:val="24"/>
        </w:rPr>
        <w:t>全新统及上更新统上、下段含水层之间，虽有薄层粘性土夹层，但总体上呈透镜体状，分布不稳定，在区域上为有水力联系的统一水位，故构成统一含水岩组，称作上更新统至全新统含水岩组。含水岩组厚度受构造控制明显，盆地边缘较薄，深坳陷带较厚，在评价区一带一般为</w:t>
      </w:r>
      <w:r>
        <w:rPr>
          <w:sz w:val="24"/>
        </w:rPr>
        <w:t>50</w:t>
      </w:r>
      <w:r>
        <w:rPr>
          <w:rFonts w:ascii="宋体" w:hAnsi="宋体"/>
          <w:sz w:val="24"/>
        </w:rPr>
        <w:t>～</w:t>
      </w:r>
      <w:r>
        <w:rPr>
          <w:sz w:val="24"/>
        </w:rPr>
        <w:t>60m</w:t>
      </w:r>
      <w:r>
        <w:rPr>
          <w:rFonts w:ascii="宋体" w:hAnsi="宋体"/>
          <w:sz w:val="24"/>
        </w:rPr>
        <w:t>。含水层富水性较好，涌水量</w:t>
      </w:r>
      <w:r>
        <w:rPr>
          <w:sz w:val="24"/>
        </w:rPr>
        <w:t>100~1000m</w:t>
      </w:r>
      <w:r>
        <w:rPr>
          <w:sz w:val="24"/>
          <w:vertAlign w:val="superscript"/>
        </w:rPr>
        <w:t>3</w:t>
      </w:r>
      <w:r>
        <w:rPr>
          <w:sz w:val="24"/>
        </w:rPr>
        <w:t>/d</w:t>
      </w:r>
      <w:r>
        <w:rPr>
          <w:rFonts w:ascii="宋体" w:hAnsi="宋体"/>
          <w:sz w:val="24"/>
        </w:rPr>
        <w:t>。</w:t>
      </w:r>
    </w:p>
    <w:p>
      <w:pPr>
        <w:adjustRightInd w:val="0"/>
        <w:snapToGrid w:val="0"/>
        <w:spacing w:line="360" w:lineRule="auto"/>
        <w:ind w:firstLine="480" w:firstLineChars="200"/>
        <w:jc w:val="left"/>
        <w:rPr>
          <w:color w:val="FF0000"/>
          <w:sz w:val="24"/>
        </w:rPr>
      </w:pPr>
      <w:r>
        <w:rPr>
          <w:rFonts w:ascii="宋体" w:hAnsi="宋体"/>
          <w:color w:val="FF0000"/>
          <w:sz w:val="24"/>
        </w:rPr>
        <w:t>评价区水位埋深一般为</w:t>
      </w:r>
      <w:r>
        <w:rPr>
          <w:color w:val="FF0000"/>
          <w:sz w:val="24"/>
        </w:rPr>
        <w:t>3.36~4.22m</w:t>
      </w:r>
      <w:r>
        <w:rPr>
          <w:rFonts w:ascii="宋体" w:hAnsi="宋体"/>
          <w:color w:val="FF0000"/>
          <w:sz w:val="24"/>
        </w:rPr>
        <w:t>，在评价区北部埋深约为</w:t>
      </w:r>
      <w:r>
        <w:rPr>
          <w:color w:val="FF0000"/>
          <w:sz w:val="24"/>
        </w:rPr>
        <w:t>4.22m</w:t>
      </w:r>
      <w:r>
        <w:rPr>
          <w:rFonts w:ascii="宋体" w:hAnsi="宋体"/>
          <w:color w:val="FF0000"/>
          <w:sz w:val="24"/>
        </w:rPr>
        <w:t>，自北向东南逐渐减小至</w:t>
      </w:r>
      <w:r>
        <w:rPr>
          <w:color w:val="FF0000"/>
          <w:sz w:val="24"/>
        </w:rPr>
        <w:t>3.36m</w:t>
      </w:r>
      <w:r>
        <w:rPr>
          <w:rFonts w:ascii="宋体" w:hAnsi="宋体"/>
          <w:color w:val="FF0000"/>
          <w:sz w:val="24"/>
        </w:rPr>
        <w:t>左右。</w:t>
      </w:r>
    </w:p>
    <w:p>
      <w:pPr>
        <w:adjustRightInd w:val="0"/>
        <w:snapToGrid w:val="0"/>
        <w:jc w:val="center"/>
        <w:rPr>
          <w:b/>
          <w:kern w:val="0"/>
          <w:sz w:val="24"/>
        </w:rPr>
      </w:pPr>
      <w:r>
        <w:rPr>
          <w:b/>
          <w:kern w:val="0"/>
          <w:sz w:val="24"/>
        </w:rPr>
        <w:t>表6.2-2 抽水试验成果表</w:t>
      </w:r>
    </w:p>
    <w:tbl>
      <w:tblPr>
        <w:tblStyle w:val="22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36"/>
        <w:gridCol w:w="1778"/>
        <w:gridCol w:w="1185"/>
        <w:gridCol w:w="1185"/>
        <w:gridCol w:w="1333"/>
        <w:gridCol w:w="1185"/>
        <w:gridCol w:w="12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21" w:type="dxa"/>
            <w:vAlign w:val="center"/>
          </w:tcPr>
          <w:p>
            <w:pPr>
              <w:adjustRightInd w:val="0"/>
              <w:snapToGrid w:val="0"/>
              <w:jc w:val="center"/>
              <w:rPr>
                <w:rFonts w:eastAsia="Times New Roman"/>
                <w:kern w:val="0"/>
                <w:szCs w:val="21"/>
              </w:rPr>
            </w:pPr>
            <w:r>
              <w:rPr>
                <w:rFonts w:hint="eastAsia" w:ascii="宋体" w:hAnsi="宋体" w:eastAsia="Times New Roman" w:cs="宋体"/>
                <w:kern w:val="0"/>
                <w:szCs w:val="21"/>
              </w:rPr>
              <w:t>孔号</w:t>
            </w:r>
          </w:p>
        </w:tc>
        <w:tc>
          <w:tcPr>
            <w:tcW w:w="1742" w:type="dxa"/>
            <w:vAlign w:val="center"/>
          </w:tcPr>
          <w:p>
            <w:pPr>
              <w:adjustRightInd w:val="0"/>
              <w:snapToGrid w:val="0"/>
              <w:jc w:val="center"/>
              <w:rPr>
                <w:rFonts w:eastAsia="Times New Roman"/>
                <w:kern w:val="0"/>
                <w:szCs w:val="21"/>
              </w:rPr>
            </w:pPr>
            <w:r>
              <w:rPr>
                <w:rFonts w:hint="eastAsia" w:ascii="宋体" w:hAnsi="宋体" w:eastAsia="Times New Roman" w:cs="宋体"/>
                <w:kern w:val="0"/>
                <w:szCs w:val="21"/>
              </w:rPr>
              <w:t>含水层埋藏类型</w:t>
            </w:r>
          </w:p>
        </w:tc>
        <w:tc>
          <w:tcPr>
            <w:tcW w:w="1161" w:type="dxa"/>
            <w:vAlign w:val="center"/>
          </w:tcPr>
          <w:p>
            <w:pPr>
              <w:adjustRightInd w:val="0"/>
              <w:snapToGrid w:val="0"/>
              <w:jc w:val="center"/>
              <w:rPr>
                <w:rFonts w:eastAsia="Times New Roman"/>
                <w:kern w:val="0"/>
                <w:szCs w:val="21"/>
              </w:rPr>
            </w:pPr>
            <w:r>
              <w:rPr>
                <w:rFonts w:hint="eastAsia" w:ascii="宋体" w:hAnsi="宋体" w:eastAsia="Times New Roman" w:cs="宋体"/>
                <w:kern w:val="0"/>
                <w:szCs w:val="21"/>
              </w:rPr>
              <w:t>孔深（</w:t>
            </w:r>
            <w:r>
              <w:rPr>
                <w:rFonts w:eastAsia="Times New Roman"/>
                <w:kern w:val="0"/>
                <w:szCs w:val="21"/>
              </w:rPr>
              <w:t>m</w:t>
            </w:r>
            <w:r>
              <w:rPr>
                <w:rFonts w:hint="eastAsia" w:ascii="宋体" w:hAnsi="宋体" w:eastAsia="Times New Roman" w:cs="宋体"/>
                <w:kern w:val="0"/>
                <w:szCs w:val="21"/>
              </w:rPr>
              <w:t>）</w:t>
            </w:r>
          </w:p>
        </w:tc>
        <w:tc>
          <w:tcPr>
            <w:tcW w:w="1161" w:type="dxa"/>
            <w:vAlign w:val="center"/>
          </w:tcPr>
          <w:p>
            <w:pPr>
              <w:adjustRightInd w:val="0"/>
              <w:snapToGrid w:val="0"/>
              <w:jc w:val="center"/>
              <w:rPr>
                <w:rFonts w:eastAsia="Times New Roman"/>
                <w:kern w:val="0"/>
                <w:szCs w:val="21"/>
              </w:rPr>
            </w:pPr>
            <w:r>
              <w:rPr>
                <w:rFonts w:hint="eastAsia" w:ascii="宋体" w:hAnsi="宋体" w:eastAsia="Times New Roman" w:cs="宋体"/>
                <w:kern w:val="0"/>
                <w:szCs w:val="21"/>
              </w:rPr>
              <w:t>含水层厚度（</w:t>
            </w:r>
            <w:r>
              <w:rPr>
                <w:rFonts w:eastAsia="Times New Roman"/>
                <w:kern w:val="0"/>
                <w:szCs w:val="21"/>
              </w:rPr>
              <w:t>m</w:t>
            </w:r>
            <w:r>
              <w:rPr>
                <w:rFonts w:hint="eastAsia" w:ascii="宋体" w:hAnsi="宋体" w:eastAsia="Times New Roman" w:cs="宋体"/>
                <w:kern w:val="0"/>
                <w:szCs w:val="21"/>
              </w:rPr>
              <w:t>）</w:t>
            </w:r>
          </w:p>
        </w:tc>
        <w:tc>
          <w:tcPr>
            <w:tcW w:w="1306" w:type="dxa"/>
            <w:vAlign w:val="center"/>
          </w:tcPr>
          <w:p>
            <w:pPr>
              <w:adjustRightInd w:val="0"/>
              <w:snapToGrid w:val="0"/>
              <w:jc w:val="center"/>
              <w:rPr>
                <w:rFonts w:eastAsia="Times New Roman"/>
                <w:kern w:val="0"/>
                <w:szCs w:val="21"/>
              </w:rPr>
            </w:pPr>
            <w:r>
              <w:rPr>
                <w:rFonts w:hint="eastAsia" w:ascii="宋体" w:hAnsi="宋体" w:eastAsia="Times New Roman" w:cs="宋体"/>
                <w:kern w:val="0"/>
                <w:szCs w:val="21"/>
              </w:rPr>
              <w:t>涌水量（</w:t>
            </w:r>
            <w:r>
              <w:rPr>
                <w:rFonts w:eastAsia="Times New Roman"/>
                <w:kern w:val="0"/>
                <w:szCs w:val="21"/>
              </w:rPr>
              <w:t>m</w:t>
            </w:r>
            <w:r>
              <w:rPr>
                <w:rFonts w:eastAsia="Times New Roman"/>
                <w:kern w:val="0"/>
                <w:szCs w:val="21"/>
                <w:vertAlign w:val="superscript"/>
              </w:rPr>
              <w:t>3</w:t>
            </w:r>
            <w:r>
              <w:rPr>
                <w:rFonts w:eastAsia="Times New Roman"/>
                <w:kern w:val="0"/>
                <w:szCs w:val="21"/>
              </w:rPr>
              <w:t>/d</w:t>
            </w:r>
            <w:r>
              <w:rPr>
                <w:rFonts w:hint="eastAsia" w:ascii="宋体" w:hAnsi="宋体" w:eastAsia="Times New Roman" w:cs="宋体"/>
                <w:kern w:val="0"/>
                <w:szCs w:val="21"/>
              </w:rPr>
              <w:t>）</w:t>
            </w:r>
          </w:p>
        </w:tc>
        <w:tc>
          <w:tcPr>
            <w:tcW w:w="1161" w:type="dxa"/>
            <w:vAlign w:val="center"/>
          </w:tcPr>
          <w:p>
            <w:pPr>
              <w:adjustRightInd w:val="0"/>
              <w:snapToGrid w:val="0"/>
              <w:jc w:val="center"/>
              <w:rPr>
                <w:rFonts w:eastAsia="Times New Roman"/>
                <w:kern w:val="0"/>
                <w:szCs w:val="21"/>
              </w:rPr>
            </w:pPr>
            <w:r>
              <w:rPr>
                <w:rFonts w:hint="eastAsia" w:ascii="宋体" w:hAnsi="宋体" w:eastAsia="Times New Roman" w:cs="宋体"/>
                <w:kern w:val="0"/>
                <w:szCs w:val="21"/>
              </w:rPr>
              <w:t>降深（</w:t>
            </w:r>
            <w:r>
              <w:rPr>
                <w:rFonts w:eastAsia="Times New Roman"/>
                <w:kern w:val="0"/>
                <w:szCs w:val="21"/>
              </w:rPr>
              <w:t>m</w:t>
            </w:r>
            <w:r>
              <w:rPr>
                <w:rFonts w:hint="eastAsia" w:ascii="宋体" w:hAnsi="宋体" w:eastAsia="Times New Roman" w:cs="宋体"/>
                <w:kern w:val="0"/>
                <w:szCs w:val="21"/>
              </w:rPr>
              <w:t>）</w:t>
            </w:r>
          </w:p>
        </w:tc>
        <w:tc>
          <w:tcPr>
            <w:tcW w:w="1242" w:type="dxa"/>
            <w:vAlign w:val="center"/>
          </w:tcPr>
          <w:p>
            <w:pPr>
              <w:adjustRightInd w:val="0"/>
              <w:snapToGrid w:val="0"/>
              <w:jc w:val="center"/>
              <w:rPr>
                <w:rFonts w:eastAsia="Times New Roman"/>
                <w:kern w:val="0"/>
                <w:szCs w:val="21"/>
              </w:rPr>
            </w:pPr>
            <w:r>
              <w:rPr>
                <w:rFonts w:hint="eastAsia" w:ascii="宋体" w:hAnsi="宋体" w:eastAsia="Times New Roman" w:cs="宋体"/>
                <w:kern w:val="0"/>
                <w:szCs w:val="21"/>
              </w:rPr>
              <w:t>渗透系数（</w:t>
            </w:r>
            <w:r>
              <w:rPr>
                <w:rFonts w:eastAsia="Times New Roman"/>
                <w:kern w:val="0"/>
                <w:szCs w:val="21"/>
              </w:rPr>
              <w:t>m/d</w:t>
            </w:r>
            <w:r>
              <w:rPr>
                <w:rFonts w:hint="eastAsia" w:ascii="宋体" w:hAnsi="宋体" w:eastAsia="Times New Roman" w:cs="宋体"/>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21" w:type="dxa"/>
            <w:vAlign w:val="center"/>
          </w:tcPr>
          <w:p>
            <w:pPr>
              <w:adjustRightInd w:val="0"/>
              <w:snapToGrid w:val="0"/>
              <w:jc w:val="center"/>
              <w:rPr>
                <w:rFonts w:eastAsia="Times New Roman"/>
                <w:kern w:val="0"/>
                <w:szCs w:val="21"/>
              </w:rPr>
            </w:pPr>
            <w:r>
              <w:rPr>
                <w:rFonts w:eastAsia="Times New Roman"/>
                <w:kern w:val="0"/>
                <w:szCs w:val="21"/>
              </w:rPr>
              <w:t>Q1</w:t>
            </w:r>
          </w:p>
        </w:tc>
        <w:tc>
          <w:tcPr>
            <w:tcW w:w="1742" w:type="dxa"/>
            <w:vAlign w:val="center"/>
          </w:tcPr>
          <w:p>
            <w:pPr>
              <w:adjustRightInd w:val="0"/>
              <w:snapToGrid w:val="0"/>
              <w:jc w:val="center"/>
              <w:rPr>
                <w:rFonts w:eastAsia="Times New Roman"/>
                <w:kern w:val="0"/>
                <w:szCs w:val="21"/>
              </w:rPr>
            </w:pPr>
            <w:r>
              <w:rPr>
                <w:rFonts w:hint="eastAsia" w:ascii="宋体" w:hAnsi="宋体" w:eastAsia="Times New Roman" w:cs="宋体"/>
                <w:kern w:val="0"/>
                <w:szCs w:val="21"/>
              </w:rPr>
              <w:t>潜水（微承压）</w:t>
            </w:r>
          </w:p>
        </w:tc>
        <w:tc>
          <w:tcPr>
            <w:tcW w:w="1161" w:type="dxa"/>
            <w:vAlign w:val="center"/>
          </w:tcPr>
          <w:p>
            <w:pPr>
              <w:adjustRightInd w:val="0"/>
              <w:snapToGrid w:val="0"/>
              <w:jc w:val="center"/>
              <w:rPr>
                <w:rFonts w:eastAsia="Times New Roman"/>
                <w:kern w:val="0"/>
                <w:szCs w:val="21"/>
              </w:rPr>
            </w:pPr>
            <w:r>
              <w:rPr>
                <w:rFonts w:eastAsia="Times New Roman"/>
                <w:kern w:val="0"/>
                <w:szCs w:val="21"/>
              </w:rPr>
              <w:t>82.87</w:t>
            </w:r>
          </w:p>
        </w:tc>
        <w:tc>
          <w:tcPr>
            <w:tcW w:w="1161" w:type="dxa"/>
            <w:vAlign w:val="center"/>
          </w:tcPr>
          <w:p>
            <w:pPr>
              <w:adjustRightInd w:val="0"/>
              <w:snapToGrid w:val="0"/>
              <w:jc w:val="center"/>
              <w:rPr>
                <w:rFonts w:eastAsia="Times New Roman"/>
                <w:kern w:val="0"/>
                <w:szCs w:val="21"/>
              </w:rPr>
            </w:pPr>
            <w:r>
              <w:rPr>
                <w:rFonts w:eastAsia="Times New Roman"/>
                <w:kern w:val="0"/>
                <w:szCs w:val="21"/>
              </w:rPr>
              <w:t>52.5</w:t>
            </w:r>
          </w:p>
        </w:tc>
        <w:tc>
          <w:tcPr>
            <w:tcW w:w="1306" w:type="dxa"/>
            <w:vAlign w:val="center"/>
          </w:tcPr>
          <w:p>
            <w:pPr>
              <w:adjustRightInd w:val="0"/>
              <w:snapToGrid w:val="0"/>
              <w:jc w:val="center"/>
              <w:rPr>
                <w:rFonts w:eastAsia="Times New Roman"/>
                <w:kern w:val="0"/>
                <w:szCs w:val="21"/>
              </w:rPr>
            </w:pPr>
            <w:r>
              <w:rPr>
                <w:rFonts w:eastAsia="Times New Roman"/>
                <w:kern w:val="0"/>
                <w:szCs w:val="21"/>
              </w:rPr>
              <w:t>279.86</w:t>
            </w:r>
          </w:p>
        </w:tc>
        <w:tc>
          <w:tcPr>
            <w:tcW w:w="1161" w:type="dxa"/>
            <w:vAlign w:val="center"/>
          </w:tcPr>
          <w:p>
            <w:pPr>
              <w:adjustRightInd w:val="0"/>
              <w:snapToGrid w:val="0"/>
              <w:jc w:val="center"/>
              <w:rPr>
                <w:rFonts w:eastAsia="Times New Roman"/>
                <w:kern w:val="0"/>
                <w:szCs w:val="21"/>
              </w:rPr>
            </w:pPr>
            <w:r>
              <w:rPr>
                <w:rFonts w:eastAsia="Times New Roman"/>
                <w:kern w:val="0"/>
                <w:szCs w:val="21"/>
              </w:rPr>
              <w:t>5</w:t>
            </w:r>
          </w:p>
        </w:tc>
        <w:tc>
          <w:tcPr>
            <w:tcW w:w="1242" w:type="dxa"/>
            <w:vAlign w:val="center"/>
          </w:tcPr>
          <w:p>
            <w:pPr>
              <w:adjustRightInd w:val="0"/>
              <w:snapToGrid w:val="0"/>
              <w:jc w:val="center"/>
              <w:rPr>
                <w:rFonts w:eastAsia="Times New Roman"/>
                <w:kern w:val="0"/>
                <w:szCs w:val="21"/>
              </w:rPr>
            </w:pPr>
            <w:r>
              <w:rPr>
                <w:rFonts w:eastAsia="Times New Roman"/>
                <w:kern w:val="0"/>
                <w:szCs w:val="21"/>
              </w:rPr>
              <w:t>1.09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8494" w:type="dxa"/>
            <w:gridSpan w:val="7"/>
            <w:vAlign w:val="center"/>
          </w:tcPr>
          <w:p>
            <w:pPr>
              <w:adjustRightInd w:val="0"/>
              <w:snapToGrid w:val="0"/>
              <w:spacing w:before="120" w:beforeLines="50" w:after="120" w:afterLines="50"/>
              <w:jc w:val="left"/>
              <w:rPr>
                <w:rFonts w:eastAsia="Times New Roman"/>
                <w:kern w:val="0"/>
                <w:szCs w:val="21"/>
              </w:rPr>
            </w:pPr>
            <w:r>
              <w:rPr>
                <w:rFonts w:hint="eastAsia" w:ascii="宋体" w:hAnsi="宋体" w:eastAsia="Times New Roman" w:cs="宋体"/>
                <w:kern w:val="0"/>
                <w:szCs w:val="21"/>
              </w:rPr>
              <w:t>采用潜水水稳定流裘布依公式计算：</w:t>
            </w:r>
            <w:r>
              <w:rPr>
                <w:rFonts w:eastAsia="Times New Roman"/>
                <w:kern w:val="0"/>
                <w:sz w:val="20"/>
                <w:szCs w:val="20"/>
              </w:rPr>
              <w:drawing>
                <wp:inline distT="0" distB="0" distL="0" distR="0">
                  <wp:extent cx="866775" cy="257175"/>
                  <wp:effectExtent l="0" t="0" r="9525" b="9525"/>
                  <wp:docPr id="272" name="图片 272" descr="C:\Users\众成环境\AppData\Local\Temp\ksohtml24568\wp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C:\Users\众成环境\AppData\Local\Temp\ksohtml24568\wps1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866775" cy="257175"/>
                          </a:xfrm>
                          <a:prstGeom prst="rect">
                            <a:avLst/>
                          </a:prstGeom>
                          <a:noFill/>
                          <a:ln>
                            <a:noFill/>
                          </a:ln>
                        </pic:spPr>
                      </pic:pic>
                    </a:graphicData>
                  </a:graphic>
                </wp:inline>
              </w:drawing>
            </w:r>
            <w:r>
              <w:rPr>
                <w:rFonts w:eastAsia="Times New Roman"/>
                <w:kern w:val="0"/>
                <w:sz w:val="20"/>
                <w:szCs w:val="20"/>
              </w:rPr>
              <w:drawing>
                <wp:inline distT="0" distB="0" distL="0" distR="0">
                  <wp:extent cx="1200150" cy="419100"/>
                  <wp:effectExtent l="0" t="0" r="0" b="0"/>
                  <wp:docPr id="271" name="图片 271" descr="C:\Users\众成环境\AppData\Local\Temp\ksohtml24568\wp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C:\Users\众成环境\AppData\Local\Temp\ksohtml24568\wps1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1200150" cy="419100"/>
                          </a:xfrm>
                          <a:prstGeom prst="rect">
                            <a:avLst/>
                          </a:prstGeom>
                          <a:noFill/>
                          <a:ln>
                            <a:noFill/>
                          </a:ln>
                        </pic:spPr>
                      </pic:pic>
                    </a:graphicData>
                  </a:graphic>
                </wp:inline>
              </w:drawing>
            </w:r>
          </w:p>
        </w:tc>
      </w:tr>
    </w:tbl>
    <w:p>
      <w:pPr>
        <w:adjustRightInd w:val="0"/>
        <w:snapToGrid w:val="0"/>
        <w:spacing w:before="120" w:beforeLines="50" w:line="360" w:lineRule="auto"/>
        <w:ind w:firstLine="480" w:firstLineChars="200"/>
        <w:jc w:val="left"/>
        <w:rPr>
          <w:sz w:val="24"/>
        </w:rPr>
      </w:pPr>
      <w:r>
        <w:rPr>
          <w:sz w:val="24"/>
        </w:rPr>
        <w:t>2</w:t>
      </w:r>
      <w:r>
        <w:rPr>
          <w:rFonts w:ascii="宋体" w:hAnsi="宋体"/>
          <w:sz w:val="24"/>
        </w:rPr>
        <w:t>、补径排条件</w:t>
      </w:r>
    </w:p>
    <w:p>
      <w:pPr>
        <w:adjustRightInd w:val="0"/>
        <w:snapToGrid w:val="0"/>
        <w:spacing w:line="360" w:lineRule="auto"/>
        <w:ind w:firstLine="480" w:firstLineChars="200"/>
        <w:rPr>
          <w:sz w:val="24"/>
        </w:rPr>
      </w:pPr>
      <w:r>
        <w:rPr>
          <w:rFonts w:ascii="宋体" w:hAnsi="宋体"/>
          <w:sz w:val="24"/>
        </w:rPr>
        <w:t>评价区地下水总的流向为由北流向南径流，水力坡度约为</w:t>
      </w:r>
      <w:r>
        <w:rPr>
          <w:sz w:val="24"/>
        </w:rPr>
        <w:t>0.45‰</w:t>
      </w:r>
      <w:r>
        <w:rPr>
          <w:rFonts w:ascii="宋体" w:hAnsi="宋体"/>
          <w:sz w:val="24"/>
        </w:rPr>
        <w:t>。由于河套平原在构造上为封闭的盆地，含水岩组岩性以细砂、粉细砂为主，水力坡度平缓，水流不畅，地下水以垂直交替为主，评价区地下水主要受人为引黄灌溉水入渗所补给，其次受大气降水补给，侧向径流补给量最小。地下水的排泄主要有三个途径：一是蒸发排泄；二是人工开采，对地下水的开采主要为分散式人畜饮用水水源井；三是侧向径流排泄。</w:t>
      </w:r>
    </w:p>
    <w:p>
      <w:pPr>
        <w:adjustRightInd w:val="0"/>
        <w:snapToGrid w:val="0"/>
        <w:spacing w:line="360" w:lineRule="auto"/>
        <w:ind w:firstLine="480" w:firstLineChars="200"/>
        <w:jc w:val="left"/>
        <w:rPr>
          <w:sz w:val="24"/>
        </w:rPr>
      </w:pPr>
      <w:r>
        <w:rPr>
          <w:sz w:val="24"/>
        </w:rPr>
        <w:t>3</w:t>
      </w:r>
      <w:r>
        <w:rPr>
          <w:rFonts w:ascii="宋体" w:hAnsi="宋体"/>
          <w:sz w:val="24"/>
        </w:rPr>
        <w:t>、地下水化学特征</w:t>
      </w:r>
    </w:p>
    <w:p>
      <w:pPr>
        <w:adjustRightInd w:val="0"/>
        <w:snapToGrid w:val="0"/>
        <w:spacing w:line="360" w:lineRule="auto"/>
        <w:ind w:firstLine="480" w:firstLineChars="200"/>
        <w:jc w:val="left"/>
        <w:rPr>
          <w:b/>
          <w:szCs w:val="21"/>
        </w:rPr>
      </w:pPr>
      <w:r>
        <w:rPr>
          <w:rFonts w:ascii="宋体" w:hAnsi="宋体"/>
          <w:sz w:val="24"/>
        </w:rPr>
        <w:t>评价区地下水水化学类型主要为</w:t>
      </w:r>
      <w:r>
        <w:rPr>
          <w:kern w:val="0"/>
          <w:sz w:val="24"/>
        </w:rPr>
        <w:t>HCO</w:t>
      </w:r>
      <w:r>
        <w:rPr>
          <w:kern w:val="0"/>
          <w:sz w:val="24"/>
          <w:vertAlign w:val="subscript"/>
        </w:rPr>
        <w:t>3</w:t>
      </w:r>
      <w:r>
        <w:rPr>
          <w:kern w:val="0"/>
          <w:sz w:val="24"/>
        </w:rPr>
        <w:t>•Cl-Na</w:t>
      </w:r>
      <w:r>
        <w:rPr>
          <w:rFonts w:ascii="宋体" w:hAnsi="宋体"/>
          <w:kern w:val="0"/>
          <w:sz w:val="24"/>
        </w:rPr>
        <w:t>。</w:t>
      </w:r>
    </w:p>
    <w:p>
      <w:pPr>
        <w:adjustRightInd w:val="0"/>
        <w:snapToGrid w:val="0"/>
        <w:spacing w:line="360" w:lineRule="auto"/>
        <w:jc w:val="center"/>
        <w:rPr>
          <w:b/>
          <w:szCs w:val="21"/>
        </w:rPr>
        <w:sectPr>
          <w:pgSz w:w="12240" w:h="15840"/>
          <w:pgMar w:top="1440" w:right="1800" w:bottom="1440" w:left="1800" w:header="720" w:footer="720" w:gutter="0"/>
          <w:cols w:space="720" w:num="1"/>
        </w:sectPr>
      </w:pPr>
    </w:p>
    <w:p>
      <w:pPr>
        <w:adjustRightInd w:val="0"/>
        <w:snapToGrid w:val="0"/>
        <w:spacing w:line="360" w:lineRule="auto"/>
        <w:jc w:val="center"/>
        <w:rPr>
          <w:b/>
          <w:szCs w:val="21"/>
        </w:rPr>
      </w:pPr>
      <w:r>
        <w:drawing>
          <wp:inline distT="0" distB="0" distL="0" distR="0">
            <wp:extent cx="6711315" cy="51625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6711315" cy="5162550"/>
                    </a:xfrm>
                    <a:prstGeom prst="rect">
                      <a:avLst/>
                    </a:prstGeom>
                    <a:noFill/>
                    <a:ln>
                      <a:noFill/>
                    </a:ln>
                  </pic:spPr>
                </pic:pic>
              </a:graphicData>
            </a:graphic>
          </wp:inline>
        </w:drawing>
      </w:r>
    </w:p>
    <w:p>
      <w:pPr>
        <w:adjustRightInd w:val="0"/>
        <w:snapToGrid w:val="0"/>
        <w:spacing w:line="360" w:lineRule="auto"/>
        <w:jc w:val="center"/>
        <w:rPr>
          <w:b/>
          <w:color w:val="FF0000"/>
          <w:sz w:val="24"/>
        </w:rPr>
        <w:sectPr>
          <w:pgSz w:w="15840" w:h="12240" w:orient="landscape"/>
          <w:pgMar w:top="1800" w:right="1440" w:bottom="1800" w:left="1440" w:header="720" w:footer="720" w:gutter="0"/>
          <w:cols w:space="720" w:num="1"/>
          <w:docGrid w:linePitch="286" w:charSpace="0"/>
        </w:sectPr>
      </w:pPr>
      <w:r>
        <w:rPr>
          <w:b/>
          <w:color w:val="FF0000"/>
          <w:sz w:val="24"/>
        </w:rPr>
        <w:t>图6.2-4 评价区水文地质图</w:t>
      </w:r>
    </w:p>
    <w:p>
      <w:pPr>
        <w:spacing w:line="360" w:lineRule="auto"/>
        <w:rPr>
          <w:rFonts w:eastAsia="仿宋"/>
          <w:sz w:val="30"/>
          <w:szCs w:val="30"/>
          <w:highlight w:val="yellow"/>
        </w:rPr>
      </w:pPr>
      <w:r>
        <w:rPr>
          <w:rFonts w:hint="eastAsia"/>
          <w:szCs w:val="21"/>
        </w:rPr>
        <w:drawing>
          <wp:inline distT="0" distB="0" distL="0" distR="0">
            <wp:extent cx="5276850" cy="3276600"/>
            <wp:effectExtent l="0" t="0" r="0" b="0"/>
            <wp:docPr id="274" name="图片 274" descr="C:\Users\众成环境\AppData\Local\Temp\ksohtml24568\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C:\Users\众成环境\AppData\Local\Temp\ksohtml24568\wps15.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276850" cy="3276600"/>
                    </a:xfrm>
                    <a:prstGeom prst="rect">
                      <a:avLst/>
                    </a:prstGeom>
                    <a:noFill/>
                    <a:ln>
                      <a:noFill/>
                    </a:ln>
                  </pic:spPr>
                </pic:pic>
              </a:graphicData>
            </a:graphic>
          </wp:inline>
        </w:drawing>
      </w:r>
    </w:p>
    <w:p>
      <w:pPr>
        <w:adjustRightInd w:val="0"/>
        <w:snapToGrid w:val="0"/>
        <w:spacing w:line="360" w:lineRule="auto"/>
        <w:jc w:val="center"/>
        <w:rPr>
          <w:b/>
          <w:sz w:val="24"/>
        </w:rPr>
      </w:pPr>
      <w:r>
        <w:rPr>
          <w:b/>
          <w:sz w:val="24"/>
        </w:rPr>
        <w:t>图6.2-5评价区水文地质剖面图</w:t>
      </w:r>
    </w:p>
    <w:bookmarkEnd w:id="417"/>
    <w:p>
      <w:pPr>
        <w:keepNext/>
        <w:keepLines/>
        <w:adjustRightInd w:val="0"/>
        <w:snapToGrid w:val="0"/>
        <w:spacing w:line="360" w:lineRule="auto"/>
        <w:jc w:val="left"/>
        <w:outlineLvl w:val="3"/>
        <w:rPr>
          <w:b/>
          <w:sz w:val="28"/>
          <w:szCs w:val="28"/>
        </w:rPr>
      </w:pPr>
      <w:r>
        <w:rPr>
          <w:b/>
          <w:sz w:val="28"/>
          <w:szCs w:val="28"/>
        </w:rPr>
        <w:t>6</w:t>
      </w:r>
      <w:r>
        <w:rPr>
          <w:rFonts w:hint="eastAsia"/>
          <w:b/>
          <w:sz w:val="28"/>
          <w:szCs w:val="28"/>
        </w:rPr>
        <w:t>.</w:t>
      </w:r>
      <w:r>
        <w:rPr>
          <w:b/>
          <w:sz w:val="28"/>
          <w:szCs w:val="28"/>
        </w:rPr>
        <w:t>2</w:t>
      </w:r>
      <w:r>
        <w:rPr>
          <w:rFonts w:hint="eastAsia"/>
          <w:b/>
          <w:sz w:val="28"/>
          <w:szCs w:val="28"/>
        </w:rPr>
        <w:t>.</w:t>
      </w:r>
      <w:r>
        <w:rPr>
          <w:b/>
          <w:sz w:val="28"/>
          <w:szCs w:val="28"/>
        </w:rPr>
        <w:t>1.3</w:t>
      </w:r>
      <w:r>
        <w:rPr>
          <w:rFonts w:hint="eastAsia"/>
          <w:b/>
          <w:sz w:val="28"/>
          <w:szCs w:val="28"/>
        </w:rPr>
        <w:t>项目区地质、水文地址条件</w:t>
      </w:r>
    </w:p>
    <w:p>
      <w:pPr>
        <w:adjustRightInd w:val="0"/>
        <w:snapToGrid w:val="0"/>
        <w:spacing w:line="360" w:lineRule="auto"/>
        <w:ind w:firstLine="480" w:firstLineChars="200"/>
        <w:rPr>
          <w:sz w:val="24"/>
        </w:rPr>
      </w:pPr>
      <w:r>
        <w:rPr>
          <w:rFonts w:ascii="宋体" w:hAnsi="宋体"/>
          <w:sz w:val="24"/>
        </w:rPr>
        <w:t>项目场地地形较为平坦，在地貌上属于黄河后套冲积平原的中部，沉积了巨厚的第四纪碎屑沉积物。根据《巴彦淖尔市五原县复兴镇生活垃圾无害化处理厂工程地质勘查报告》（</w:t>
      </w:r>
      <w:r>
        <w:rPr>
          <w:sz w:val="24"/>
        </w:rPr>
        <w:t>2016</w:t>
      </w:r>
      <w:r>
        <w:rPr>
          <w:rFonts w:ascii="宋体" w:hAnsi="宋体"/>
          <w:sz w:val="24"/>
        </w:rPr>
        <w:t>年</w:t>
      </w:r>
      <w:r>
        <w:rPr>
          <w:sz w:val="24"/>
        </w:rPr>
        <w:t>11</w:t>
      </w:r>
      <w:r>
        <w:rPr>
          <w:rFonts w:ascii="宋体" w:hAnsi="宋体"/>
          <w:sz w:val="24"/>
        </w:rPr>
        <w:t>月），钻探揭露的地层在</w:t>
      </w:r>
      <w:r>
        <w:rPr>
          <w:sz w:val="24"/>
        </w:rPr>
        <w:t>20.00</w:t>
      </w:r>
      <w:r>
        <w:rPr>
          <w:rFonts w:ascii="宋体" w:hAnsi="宋体"/>
          <w:sz w:val="24"/>
        </w:rPr>
        <w:t>米深度范围内，除第</w:t>
      </w:r>
      <w:r>
        <w:rPr>
          <w:rFonts w:hint="eastAsia" w:ascii="宋体" w:hAnsi="宋体"/>
          <w:sz w:val="24"/>
        </w:rPr>
        <w:t>①</w:t>
      </w:r>
      <w:r>
        <w:rPr>
          <w:rFonts w:ascii="宋体" w:hAnsi="宋体"/>
          <w:sz w:val="24"/>
        </w:rPr>
        <w:t>单元层厚度为</w:t>
      </w:r>
      <w:r>
        <w:rPr>
          <w:sz w:val="24"/>
        </w:rPr>
        <w:t>0.30</w:t>
      </w:r>
      <w:r>
        <w:rPr>
          <w:rFonts w:ascii="宋体" w:hAnsi="宋体"/>
          <w:sz w:val="24"/>
        </w:rPr>
        <w:t>米的耕土外，场地天然地层均由第四系冲积地层组成。依据岩性及工程性质不同，场地地层可分为以下四个单元层。对各层土分述如下：</w:t>
      </w:r>
    </w:p>
    <w:p>
      <w:pPr>
        <w:adjustRightInd w:val="0"/>
        <w:snapToGrid w:val="0"/>
        <w:spacing w:line="360" w:lineRule="auto"/>
        <w:ind w:firstLine="480" w:firstLineChars="200"/>
        <w:rPr>
          <w:sz w:val="24"/>
        </w:rPr>
      </w:pPr>
      <w:r>
        <w:rPr>
          <w:rFonts w:ascii="宋体" w:hAnsi="宋体"/>
          <w:sz w:val="24"/>
        </w:rPr>
        <w:t>第</w:t>
      </w:r>
      <w:r>
        <w:rPr>
          <w:rFonts w:hint="eastAsia" w:ascii="宋体" w:hAnsi="宋体"/>
          <w:sz w:val="24"/>
        </w:rPr>
        <w:t>①</w:t>
      </w:r>
      <w:r>
        <w:rPr>
          <w:rFonts w:ascii="宋体" w:hAnsi="宋体"/>
          <w:sz w:val="24"/>
        </w:rPr>
        <w:t>单元层耕土（</w:t>
      </w:r>
      <w:r>
        <w:rPr>
          <w:sz w:val="24"/>
        </w:rPr>
        <w:t>Q</w:t>
      </w:r>
      <w:r>
        <w:rPr>
          <w:sz w:val="24"/>
          <w:vertAlign w:val="subscript"/>
        </w:rPr>
        <w:t>4</w:t>
      </w:r>
      <w:r>
        <w:rPr>
          <w:sz w:val="24"/>
          <w:vertAlign w:val="superscript"/>
        </w:rPr>
        <w:t>ml</w:t>
      </w:r>
      <w:r>
        <w:rPr>
          <w:rFonts w:ascii="宋体" w:hAnsi="宋体"/>
          <w:sz w:val="24"/>
        </w:rPr>
        <w:t>）：该层土主要由粉土、粉质粘土混砂砾及植物根系等组成；层厚变化在</w:t>
      </w:r>
      <w:r>
        <w:rPr>
          <w:sz w:val="24"/>
        </w:rPr>
        <w:t>0.30</w:t>
      </w:r>
      <w:r>
        <w:rPr>
          <w:rFonts w:ascii="宋体" w:hAnsi="宋体"/>
          <w:sz w:val="24"/>
        </w:rPr>
        <w:t>米左右，层底标高变化在</w:t>
      </w:r>
      <w:r>
        <w:rPr>
          <w:sz w:val="24"/>
        </w:rPr>
        <w:t>1026.15</w:t>
      </w:r>
      <w:r>
        <w:rPr>
          <w:rFonts w:ascii="宋体" w:hAnsi="宋体"/>
          <w:sz w:val="24"/>
        </w:rPr>
        <w:t>～</w:t>
      </w:r>
      <w:r>
        <w:rPr>
          <w:sz w:val="24"/>
        </w:rPr>
        <w:t>1026.62</w:t>
      </w:r>
      <w:r>
        <w:rPr>
          <w:rFonts w:ascii="宋体" w:hAnsi="宋体"/>
          <w:sz w:val="24"/>
        </w:rPr>
        <w:t>米之间。</w:t>
      </w:r>
    </w:p>
    <w:p>
      <w:pPr>
        <w:adjustRightInd w:val="0"/>
        <w:snapToGrid w:val="0"/>
        <w:spacing w:line="360" w:lineRule="auto"/>
        <w:ind w:firstLine="480" w:firstLineChars="200"/>
        <w:rPr>
          <w:sz w:val="24"/>
        </w:rPr>
      </w:pPr>
      <w:r>
        <w:rPr>
          <w:rFonts w:ascii="宋体" w:hAnsi="宋体"/>
          <w:sz w:val="24"/>
        </w:rPr>
        <w:t>第</w:t>
      </w:r>
      <w:r>
        <w:rPr>
          <w:rFonts w:hint="eastAsia" w:ascii="宋体" w:hAnsi="宋体"/>
          <w:sz w:val="24"/>
        </w:rPr>
        <w:t>②</w:t>
      </w:r>
      <w:r>
        <w:rPr>
          <w:rFonts w:ascii="宋体" w:hAnsi="宋体"/>
          <w:sz w:val="24"/>
        </w:rPr>
        <w:t>单元层粉土、粉质粘土及粉细砂（</w:t>
      </w:r>
      <w:r>
        <w:rPr>
          <w:sz w:val="24"/>
        </w:rPr>
        <w:t>Q</w:t>
      </w:r>
      <w:r>
        <w:rPr>
          <w:sz w:val="24"/>
          <w:vertAlign w:val="subscript"/>
        </w:rPr>
        <w:t>4</w:t>
      </w:r>
      <w:r>
        <w:rPr>
          <w:sz w:val="24"/>
          <w:vertAlign w:val="superscript"/>
        </w:rPr>
        <w:t>al</w:t>
      </w:r>
      <w:r>
        <w:rPr>
          <w:rFonts w:ascii="宋体" w:hAnsi="宋体"/>
          <w:sz w:val="24"/>
        </w:rPr>
        <w:t>）：该层主要由粉土夹粉质粘土与粉细砂组成；粉土天然状态下呈灰黄色～灰色，稍湿～湿，稍密～中密，摇震反应轻微，无光泽反应，韧性及干强度低，含有云母等；粉质粘土天然状态下呈褐黄色～黄褐色，湿～很湿，可塑状态，无摇震反应，稍有光泽反应，干强度中等，韧性中等，含有云母及氧化铁；粉细砂天然状态下呈浅灰色～灰绿色，均粒结构，矿物成份主要以石英、长石为主，含云母等，很湿～饱和，松散；第</w:t>
      </w:r>
      <w:r>
        <w:rPr>
          <w:rFonts w:hint="eastAsia" w:ascii="宋体" w:hAnsi="宋体"/>
          <w:sz w:val="24"/>
        </w:rPr>
        <w:t>②</w:t>
      </w:r>
      <w:r>
        <w:rPr>
          <w:rFonts w:ascii="宋体" w:hAnsi="宋体"/>
          <w:sz w:val="24"/>
        </w:rPr>
        <w:t>单元层厚度变化在</w:t>
      </w:r>
      <w:r>
        <w:rPr>
          <w:sz w:val="24"/>
        </w:rPr>
        <w:t>3.00</w:t>
      </w:r>
      <w:r>
        <w:rPr>
          <w:rFonts w:ascii="宋体" w:hAnsi="宋体"/>
          <w:sz w:val="24"/>
        </w:rPr>
        <w:t>～</w:t>
      </w:r>
      <w:r>
        <w:rPr>
          <w:sz w:val="24"/>
        </w:rPr>
        <w:t>4.30</w:t>
      </w:r>
      <w:r>
        <w:rPr>
          <w:rFonts w:ascii="宋体" w:hAnsi="宋体"/>
          <w:sz w:val="24"/>
        </w:rPr>
        <w:t>米之间，层底标高变化在</w:t>
      </w:r>
      <w:r>
        <w:rPr>
          <w:sz w:val="24"/>
        </w:rPr>
        <w:t>1021.96</w:t>
      </w:r>
      <w:r>
        <w:rPr>
          <w:rFonts w:ascii="宋体" w:hAnsi="宋体"/>
          <w:sz w:val="24"/>
        </w:rPr>
        <w:t>～</w:t>
      </w:r>
      <w:r>
        <w:rPr>
          <w:sz w:val="24"/>
        </w:rPr>
        <w:t>1023.44</w:t>
      </w:r>
      <w:r>
        <w:rPr>
          <w:rFonts w:ascii="宋体" w:hAnsi="宋体"/>
          <w:sz w:val="24"/>
        </w:rPr>
        <w:t>米之间。</w:t>
      </w:r>
    </w:p>
    <w:p>
      <w:pPr>
        <w:adjustRightInd w:val="0"/>
        <w:snapToGrid w:val="0"/>
        <w:spacing w:line="360" w:lineRule="auto"/>
        <w:ind w:firstLine="480" w:firstLineChars="200"/>
        <w:rPr>
          <w:sz w:val="24"/>
        </w:rPr>
      </w:pPr>
      <w:r>
        <w:rPr>
          <w:rFonts w:ascii="宋体" w:hAnsi="宋体"/>
          <w:sz w:val="24"/>
        </w:rPr>
        <w:t>第</w:t>
      </w:r>
      <w:r>
        <w:rPr>
          <w:rFonts w:hint="eastAsia" w:ascii="宋体" w:hAnsi="宋体"/>
          <w:sz w:val="24"/>
        </w:rPr>
        <w:t>③</w:t>
      </w:r>
      <w:r>
        <w:rPr>
          <w:rFonts w:ascii="宋体" w:hAnsi="宋体"/>
          <w:sz w:val="24"/>
        </w:rPr>
        <w:t>单元层粘土及粉细砂（</w:t>
      </w:r>
      <w:r>
        <w:rPr>
          <w:sz w:val="24"/>
        </w:rPr>
        <w:t>Q</w:t>
      </w:r>
      <w:r>
        <w:rPr>
          <w:sz w:val="24"/>
          <w:vertAlign w:val="subscript"/>
        </w:rPr>
        <w:t>4</w:t>
      </w:r>
      <w:r>
        <w:rPr>
          <w:sz w:val="24"/>
          <w:vertAlign w:val="superscript"/>
        </w:rPr>
        <w:t>al</w:t>
      </w:r>
      <w:r>
        <w:rPr>
          <w:rFonts w:ascii="宋体" w:hAnsi="宋体"/>
          <w:sz w:val="24"/>
        </w:rPr>
        <w:t>）：该层土主要由粘土组成，中部夹粉细砂夹层；粘土在天然状态下呈黄褐色～红褐色，饱和，可塑～硬塑，无摇震反应，稍有光泽反应，干强度高，韧性中等；粉细砂天然状态下呈灰黄色～浅灰色，饱和，稍密～中密，总体为均粒结构，分选性好，矿物成分以长石、石英为主，含少量云母；第</w:t>
      </w:r>
      <w:r>
        <w:rPr>
          <w:rFonts w:hint="eastAsia" w:ascii="宋体" w:hAnsi="宋体"/>
          <w:sz w:val="24"/>
        </w:rPr>
        <w:t>③</w:t>
      </w:r>
      <w:r>
        <w:rPr>
          <w:rFonts w:ascii="宋体" w:hAnsi="宋体"/>
          <w:sz w:val="24"/>
        </w:rPr>
        <w:t>单元层厚度变化在</w:t>
      </w:r>
      <w:r>
        <w:rPr>
          <w:sz w:val="24"/>
        </w:rPr>
        <w:t>2.60</w:t>
      </w:r>
      <w:r>
        <w:rPr>
          <w:rFonts w:ascii="宋体" w:hAnsi="宋体"/>
          <w:sz w:val="24"/>
        </w:rPr>
        <w:t>～</w:t>
      </w:r>
      <w:r>
        <w:rPr>
          <w:sz w:val="24"/>
        </w:rPr>
        <w:t>4.40</w:t>
      </w:r>
      <w:r>
        <w:rPr>
          <w:rFonts w:ascii="宋体" w:hAnsi="宋体"/>
          <w:sz w:val="24"/>
        </w:rPr>
        <w:t>米之间，层底标高变化在</w:t>
      </w:r>
      <w:r>
        <w:rPr>
          <w:sz w:val="24"/>
        </w:rPr>
        <w:t>1017.91</w:t>
      </w:r>
      <w:r>
        <w:rPr>
          <w:rFonts w:ascii="宋体" w:hAnsi="宋体"/>
          <w:sz w:val="24"/>
        </w:rPr>
        <w:t>～</w:t>
      </w:r>
      <w:r>
        <w:rPr>
          <w:sz w:val="24"/>
        </w:rPr>
        <w:t>1020.38</w:t>
      </w:r>
      <w:r>
        <w:rPr>
          <w:rFonts w:ascii="宋体" w:hAnsi="宋体"/>
          <w:sz w:val="24"/>
        </w:rPr>
        <w:t>米之间。</w:t>
      </w:r>
    </w:p>
    <w:p>
      <w:pPr>
        <w:adjustRightInd w:val="0"/>
        <w:snapToGrid w:val="0"/>
        <w:spacing w:line="360" w:lineRule="auto"/>
        <w:ind w:firstLine="480" w:firstLineChars="200"/>
        <w:rPr>
          <w:sz w:val="24"/>
        </w:rPr>
      </w:pPr>
      <w:r>
        <w:rPr>
          <w:rFonts w:ascii="宋体" w:hAnsi="宋体"/>
          <w:sz w:val="24"/>
        </w:rPr>
        <w:t>第</w:t>
      </w:r>
      <w:r>
        <w:rPr>
          <w:rFonts w:hint="eastAsia" w:ascii="宋体" w:hAnsi="宋体"/>
          <w:sz w:val="24"/>
        </w:rPr>
        <w:t>④</w:t>
      </w:r>
      <w:r>
        <w:rPr>
          <w:rFonts w:ascii="宋体" w:hAnsi="宋体"/>
          <w:sz w:val="24"/>
        </w:rPr>
        <w:t>单元层粉细砂（</w:t>
      </w:r>
      <w:r>
        <w:rPr>
          <w:sz w:val="24"/>
        </w:rPr>
        <w:t>Q</w:t>
      </w:r>
      <w:r>
        <w:rPr>
          <w:sz w:val="24"/>
          <w:vertAlign w:val="subscript"/>
        </w:rPr>
        <w:t>4</w:t>
      </w:r>
      <w:r>
        <w:rPr>
          <w:sz w:val="24"/>
          <w:vertAlign w:val="superscript"/>
        </w:rPr>
        <w:t>al</w:t>
      </w:r>
      <w:r>
        <w:rPr>
          <w:rFonts w:ascii="宋体" w:hAnsi="宋体"/>
          <w:sz w:val="24"/>
        </w:rPr>
        <w:t>）：该层主要由细砂或粉砂组成；粉细砂天然状态下呈灰黄色～深灰色，饱和，中密～密实，随深度的增加其密实度渐增，均粒结构，颗粒均匀，分选性好，矿物成分以长石、石英为主，含少量云母；该单元层本次钻探未揭穿</w:t>
      </w:r>
    </w:p>
    <w:p>
      <w:pPr>
        <w:pStyle w:val="939"/>
        <w:ind w:firstLine="480"/>
        <w:rPr>
          <w:b/>
          <w:sz w:val="28"/>
          <w:szCs w:val="28"/>
        </w:rPr>
      </w:pPr>
      <w:r>
        <w:drawing>
          <wp:inline distT="0" distB="0" distL="0" distR="0">
            <wp:extent cx="4985385" cy="3685540"/>
            <wp:effectExtent l="0" t="0" r="5715" b="0"/>
            <wp:docPr id="275" name="图片 275" descr="ZK2剖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ZK2剖面图"/>
                    <pic:cNvPicPr>
                      <a:picLocks noChangeAspect="1"/>
                    </pic:cNvPicPr>
                  </pic:nvPicPr>
                  <pic:blipFill>
                    <a:blip r:embed="rId75" cstate="screen"/>
                    <a:stretch>
                      <a:fillRect/>
                    </a:stretch>
                  </pic:blipFill>
                  <pic:spPr>
                    <a:xfrm>
                      <a:off x="0" y="0"/>
                      <a:ext cx="4985385" cy="3685540"/>
                    </a:xfrm>
                    <a:prstGeom prst="rect">
                      <a:avLst/>
                    </a:prstGeom>
                  </pic:spPr>
                </pic:pic>
              </a:graphicData>
            </a:graphic>
          </wp:inline>
        </w:drawing>
      </w:r>
    </w:p>
    <w:p>
      <w:pPr>
        <w:adjustRightInd w:val="0"/>
        <w:snapToGrid w:val="0"/>
        <w:spacing w:line="360" w:lineRule="auto"/>
        <w:jc w:val="center"/>
        <w:rPr>
          <w:b/>
          <w:sz w:val="24"/>
        </w:rPr>
      </w:pPr>
      <w:r>
        <w:rPr>
          <w:b/>
          <w:sz w:val="24"/>
        </w:rPr>
        <w:t xml:space="preserve">图6.2-6 </w:t>
      </w:r>
      <w:r>
        <w:rPr>
          <w:rFonts w:hint="eastAsia"/>
          <w:b/>
          <w:sz w:val="24"/>
        </w:rPr>
        <w:t>工程</w:t>
      </w:r>
      <w:r>
        <w:rPr>
          <w:b/>
          <w:sz w:val="24"/>
        </w:rPr>
        <w:t>地质剖面图</w:t>
      </w:r>
    </w:p>
    <w:p>
      <w:pPr>
        <w:adjustRightInd w:val="0"/>
        <w:snapToGrid w:val="0"/>
        <w:spacing w:line="360" w:lineRule="auto"/>
        <w:ind w:firstLine="480" w:firstLineChars="200"/>
        <w:rPr>
          <w:b/>
          <w:szCs w:val="21"/>
        </w:rPr>
      </w:pPr>
      <w:r>
        <w:rPr>
          <w:rFonts w:hint="eastAsia" w:ascii="宋体" w:hAnsi="宋体"/>
          <w:sz w:val="24"/>
        </w:rPr>
        <w:t>根据</w:t>
      </w:r>
      <w:r>
        <w:rPr>
          <w:rFonts w:ascii="宋体" w:hAnsi="宋体"/>
          <w:sz w:val="24"/>
        </w:rPr>
        <w:t>《巴彦淖尔市五原县复兴镇生活垃圾无害化处理厂工程地质勘查报告》（</w:t>
      </w:r>
      <w:r>
        <w:rPr>
          <w:sz w:val="24"/>
        </w:rPr>
        <w:t>2016</w:t>
      </w:r>
      <w:r>
        <w:rPr>
          <w:rFonts w:ascii="宋体" w:hAnsi="宋体"/>
          <w:sz w:val="24"/>
        </w:rPr>
        <w:t>年</w:t>
      </w:r>
      <w:r>
        <w:rPr>
          <w:sz w:val="24"/>
        </w:rPr>
        <w:t>11</w:t>
      </w:r>
      <w:r>
        <w:rPr>
          <w:rFonts w:ascii="宋体" w:hAnsi="宋体"/>
          <w:sz w:val="24"/>
        </w:rPr>
        <w:t>月）</w:t>
      </w:r>
      <w:r>
        <w:rPr>
          <w:rFonts w:hint="eastAsia" w:ascii="宋体" w:hAnsi="宋体"/>
          <w:sz w:val="24"/>
        </w:rPr>
        <w:t>，</w:t>
      </w:r>
      <w:r>
        <w:rPr>
          <w:rFonts w:ascii="宋体" w:hAnsi="宋体"/>
          <w:sz w:val="24"/>
        </w:rPr>
        <w:t>含水层岩性主要为粉土及粉细砂。其中包气带为粉土、粉质粘土构成，</w:t>
      </w:r>
      <w:r>
        <w:rPr>
          <w:rFonts w:ascii="宋体" w:hAnsi="宋体"/>
          <w:kern w:val="0"/>
          <w:sz w:val="24"/>
        </w:rPr>
        <w:t>参考《岩土工程试验监测手册》，粉质粘土渗透系数约</w:t>
      </w:r>
      <w:r>
        <w:rPr>
          <w:kern w:val="0"/>
          <w:sz w:val="24"/>
        </w:rPr>
        <w:t>1.2×10</w:t>
      </w:r>
      <w:r>
        <w:rPr>
          <w:kern w:val="0"/>
          <w:sz w:val="24"/>
          <w:vertAlign w:val="superscript"/>
        </w:rPr>
        <w:t>-6</w:t>
      </w:r>
      <w:r>
        <w:rPr>
          <w:kern w:val="0"/>
          <w:sz w:val="24"/>
        </w:rPr>
        <w:t>~6.0×10</w:t>
      </w:r>
      <w:r>
        <w:rPr>
          <w:kern w:val="0"/>
          <w:sz w:val="24"/>
          <w:vertAlign w:val="superscript"/>
        </w:rPr>
        <w:t>-5</w:t>
      </w:r>
      <w:r>
        <w:rPr>
          <w:kern w:val="0"/>
          <w:sz w:val="24"/>
        </w:rPr>
        <w:t>cm/s</w:t>
      </w:r>
      <w:r>
        <w:rPr>
          <w:rFonts w:ascii="宋体" w:hAnsi="宋体"/>
          <w:kern w:val="0"/>
          <w:sz w:val="24"/>
        </w:rPr>
        <w:t>，本次保守按</w:t>
      </w:r>
      <w:r>
        <w:rPr>
          <w:kern w:val="0"/>
          <w:sz w:val="24"/>
        </w:rPr>
        <w:t>6.0×10</w:t>
      </w:r>
      <w:r>
        <w:rPr>
          <w:kern w:val="0"/>
          <w:sz w:val="24"/>
          <w:vertAlign w:val="superscript"/>
        </w:rPr>
        <w:t>-5</w:t>
      </w:r>
      <w:r>
        <w:rPr>
          <w:kern w:val="0"/>
          <w:sz w:val="24"/>
        </w:rPr>
        <w:t>cm/s</w:t>
      </w:r>
      <w:r>
        <w:rPr>
          <w:rFonts w:ascii="宋体" w:hAnsi="宋体"/>
          <w:kern w:val="0"/>
          <w:sz w:val="24"/>
        </w:rPr>
        <w:t>考虑，包气带防污性能为</w:t>
      </w:r>
      <w:r>
        <w:rPr>
          <w:kern w:val="0"/>
          <w:sz w:val="24"/>
        </w:rPr>
        <w:t>“</w:t>
      </w:r>
      <w:r>
        <w:rPr>
          <w:rFonts w:ascii="宋体" w:hAnsi="宋体"/>
          <w:kern w:val="0"/>
          <w:sz w:val="24"/>
        </w:rPr>
        <w:t>中</w:t>
      </w:r>
      <w:r>
        <w:rPr>
          <w:kern w:val="0"/>
          <w:sz w:val="24"/>
        </w:rPr>
        <w:t>”</w:t>
      </w:r>
      <w:r>
        <w:rPr>
          <w:rFonts w:ascii="宋体" w:hAnsi="宋体"/>
          <w:kern w:val="0"/>
          <w:sz w:val="24"/>
        </w:rPr>
        <w:t>。</w:t>
      </w:r>
    </w:p>
    <w:p>
      <w:pPr>
        <w:pStyle w:val="193"/>
        <w:spacing w:line="360" w:lineRule="auto"/>
        <w:ind w:firstLine="0" w:firstLineChars="0"/>
        <w:outlineLvl w:val="2"/>
        <w:rPr>
          <w:rFonts w:ascii="Times New Roman" w:hAnsi="Times New Roman"/>
          <w:b/>
          <w:bCs/>
          <w:kern w:val="0"/>
          <w:sz w:val="28"/>
          <w:szCs w:val="20"/>
        </w:rPr>
      </w:pPr>
      <w:bookmarkStart w:id="418" w:name="_Toc489433099"/>
      <w:bookmarkStart w:id="419" w:name="_Toc143762344"/>
      <w:r>
        <w:rPr>
          <w:rFonts w:ascii="Times New Roman" w:hAnsi="Times New Roman"/>
          <w:b/>
          <w:bCs/>
          <w:kern w:val="0"/>
          <w:sz w:val="28"/>
          <w:szCs w:val="20"/>
        </w:rPr>
        <w:t>6.2.2地下水环境影响预测</w:t>
      </w:r>
      <w:bookmarkEnd w:id="418"/>
      <w:bookmarkEnd w:id="419"/>
    </w:p>
    <w:p>
      <w:pPr>
        <w:keepNext/>
        <w:keepLines/>
        <w:adjustRightInd w:val="0"/>
        <w:snapToGrid w:val="0"/>
        <w:spacing w:line="360" w:lineRule="auto"/>
        <w:jc w:val="left"/>
        <w:outlineLvl w:val="3"/>
        <w:rPr>
          <w:b/>
          <w:sz w:val="28"/>
          <w:szCs w:val="28"/>
        </w:rPr>
      </w:pPr>
      <w:r>
        <w:rPr>
          <w:b/>
          <w:sz w:val="28"/>
          <w:szCs w:val="28"/>
        </w:rPr>
        <w:t>6.2.2.1地下水流数值模型</w:t>
      </w:r>
    </w:p>
    <w:p>
      <w:pPr>
        <w:adjustRightInd w:val="0"/>
        <w:snapToGrid w:val="0"/>
        <w:spacing w:line="360" w:lineRule="auto"/>
        <w:ind w:firstLine="480" w:firstLineChars="200"/>
        <w:rPr>
          <w:kern w:val="0"/>
          <w:sz w:val="24"/>
        </w:rPr>
      </w:pPr>
      <w:r>
        <w:rPr>
          <w:rFonts w:ascii="宋体" w:hAnsi="宋体"/>
          <w:sz w:val="24"/>
        </w:rPr>
        <w:t>地下水数值模型是地下水资源评价和预测地下水系统状态及其变化趋势的有效工具。本章在水文地质条件概化的基础上，运用地下水流模型软件</w:t>
      </w:r>
      <w:r>
        <w:rPr>
          <w:sz w:val="24"/>
        </w:rPr>
        <w:t>VisualMODFLOW4.2</w:t>
      </w:r>
      <w:r>
        <w:rPr>
          <w:rFonts w:ascii="宋体" w:hAnsi="宋体"/>
          <w:sz w:val="24"/>
        </w:rPr>
        <w:t>建立地下水流数值模拟模型，并通过流场和水位过程线的拟合，对模型进行识别和验证，完成模型识别和地下水系统均衡分析。</w:t>
      </w:r>
      <w:r>
        <w:rPr>
          <w:sz w:val="24"/>
        </w:rPr>
        <w:t>VisualModflow</w:t>
      </w:r>
      <w:r>
        <w:rPr>
          <w:rFonts w:ascii="宋体" w:hAnsi="宋体"/>
          <w:sz w:val="24"/>
        </w:rPr>
        <w:t>是基于美国地质调查局的地下水流有限差分计算程序</w:t>
      </w:r>
      <w:r>
        <w:rPr>
          <w:sz w:val="24"/>
        </w:rPr>
        <w:t>MODFLOW</w:t>
      </w:r>
      <w:r>
        <w:rPr>
          <w:rFonts w:ascii="宋体" w:hAnsi="宋体"/>
          <w:sz w:val="24"/>
        </w:rPr>
        <w:t>，由加拿大滑铁卢大学水资源研究所开发的地下水模拟软件。</w:t>
      </w:r>
      <w:r>
        <w:rPr>
          <w:sz w:val="24"/>
        </w:rPr>
        <w:t>VisualModflow</w:t>
      </w:r>
      <w:r>
        <w:rPr>
          <w:rFonts w:ascii="宋体" w:hAnsi="宋体"/>
          <w:sz w:val="24"/>
        </w:rPr>
        <w:t>继承了地下水流计算程序</w:t>
      </w:r>
      <w:r>
        <w:rPr>
          <w:sz w:val="24"/>
        </w:rPr>
        <w:t>MODFLOW</w:t>
      </w:r>
      <w:r>
        <w:rPr>
          <w:rFonts w:ascii="宋体" w:hAnsi="宋体"/>
          <w:sz w:val="24"/>
        </w:rPr>
        <w:t>的优点，具有模块化特点，处理不同的边界和源汇项都有专门独立的模块，便于整理输入数据和修改调试模型。作为一款可视化水流模拟软件，它的界面十分友好，条理清晰，菜单与模块化的程序相对应，更为可取的是它提供了比较好的模型数据前处理和后处理的接口，原始数据不用过多处理就可以从软件界面输入，模型计算完成后可以可视化显示流场、水位过程线以及降深等，并且可以输出图形和数据。另一方面，</w:t>
      </w:r>
      <w:r>
        <w:rPr>
          <w:sz w:val="24"/>
        </w:rPr>
        <w:t>VisualModflow</w:t>
      </w:r>
      <w:r>
        <w:rPr>
          <w:rFonts w:ascii="宋体" w:hAnsi="宋体"/>
          <w:sz w:val="24"/>
        </w:rPr>
        <w:t>包含与</w:t>
      </w:r>
      <w:r>
        <w:rPr>
          <w:sz w:val="24"/>
        </w:rPr>
        <w:t>MODFLOW</w:t>
      </w:r>
      <w:r>
        <w:rPr>
          <w:rFonts w:ascii="宋体" w:hAnsi="宋体"/>
          <w:sz w:val="24"/>
        </w:rPr>
        <w:t>地下水流模拟配套的地下水溶质运移模块</w:t>
      </w:r>
      <w:r>
        <w:rPr>
          <w:sz w:val="24"/>
        </w:rPr>
        <w:t>MT3DMS</w:t>
      </w:r>
      <w:r>
        <w:rPr>
          <w:rFonts w:ascii="宋体" w:hAnsi="宋体"/>
          <w:sz w:val="24"/>
        </w:rPr>
        <w:t>，便于下一步建立本项目溶质运移模型。</w:t>
      </w:r>
    </w:p>
    <w:p>
      <w:pPr>
        <w:adjustRightInd w:val="0"/>
        <w:snapToGrid w:val="0"/>
        <w:spacing w:line="360" w:lineRule="auto"/>
        <w:ind w:firstLine="480" w:firstLineChars="200"/>
        <w:rPr>
          <w:sz w:val="24"/>
        </w:rPr>
      </w:pPr>
      <w:r>
        <w:rPr>
          <w:rFonts w:ascii="宋体" w:hAnsi="宋体"/>
          <w:sz w:val="24"/>
        </w:rPr>
        <w:t>（</w:t>
      </w:r>
      <w:r>
        <w:rPr>
          <w:sz w:val="24"/>
        </w:rPr>
        <w:t>1</w:t>
      </w:r>
      <w:r>
        <w:rPr>
          <w:rFonts w:ascii="宋体" w:hAnsi="宋体"/>
          <w:sz w:val="24"/>
        </w:rPr>
        <w:t>）水文地质概念模型</w:t>
      </w:r>
    </w:p>
    <w:p>
      <w:pPr>
        <w:adjustRightInd w:val="0"/>
        <w:snapToGrid w:val="0"/>
        <w:spacing w:line="360" w:lineRule="auto"/>
        <w:ind w:firstLine="480" w:firstLineChars="200"/>
        <w:rPr>
          <w:sz w:val="24"/>
        </w:rPr>
      </w:pPr>
      <w:r>
        <w:rPr>
          <w:rFonts w:ascii="宋体" w:hAnsi="宋体"/>
          <w:sz w:val="24"/>
        </w:rPr>
        <w:t>水文地质概念模型是把含水层实际的边界性质、内部地层结构、渗透性能、水力特征和补给排泄等条件概化为便于进行数学与物理模拟的基本模式。建立评价区水文地质概念模型是进行预测评价的第一步。</w:t>
      </w:r>
    </w:p>
    <w:p>
      <w:pPr>
        <w:adjustRightInd w:val="0"/>
        <w:snapToGrid w:val="0"/>
        <w:spacing w:line="360" w:lineRule="auto"/>
        <w:ind w:firstLine="480" w:firstLineChars="200"/>
        <w:rPr>
          <w:sz w:val="24"/>
        </w:rPr>
      </w:pPr>
      <w:r>
        <w:rPr>
          <w:rFonts w:hint="eastAsia" w:ascii="宋体" w:hAnsi="宋体"/>
          <w:sz w:val="24"/>
        </w:rPr>
        <w:t>①</w:t>
      </w:r>
      <w:r>
        <w:rPr>
          <w:rFonts w:ascii="宋体" w:hAnsi="宋体"/>
          <w:sz w:val="24"/>
        </w:rPr>
        <w:t>含水层概化</w:t>
      </w:r>
    </w:p>
    <w:p>
      <w:pPr>
        <w:autoSpaceDE w:val="0"/>
        <w:autoSpaceDN w:val="0"/>
        <w:adjustRightInd w:val="0"/>
        <w:snapToGrid w:val="0"/>
        <w:spacing w:line="360" w:lineRule="auto"/>
        <w:ind w:firstLine="480" w:firstLineChars="200"/>
        <w:rPr>
          <w:sz w:val="24"/>
        </w:rPr>
      </w:pPr>
      <w:r>
        <w:rPr>
          <w:rFonts w:ascii="宋体" w:hAnsi="宋体"/>
          <w:kern w:val="21"/>
          <w:sz w:val="24"/>
        </w:rPr>
        <w:t>根据评价区地下水赋存条件及水力学特征，</w:t>
      </w:r>
      <w:r>
        <w:rPr>
          <w:rFonts w:ascii="宋体" w:hAnsi="宋体"/>
          <w:sz w:val="24"/>
        </w:rPr>
        <w:t>评价区含水层为松散岩类孔隙水含水层。本次评价将其作为模拟预测层。含水层水文地质参数根据评价区水文地质资料取值，其地下水径流符合平面二维流规律。</w:t>
      </w:r>
    </w:p>
    <w:p>
      <w:pPr>
        <w:adjustRightInd w:val="0"/>
        <w:snapToGrid w:val="0"/>
        <w:spacing w:line="360" w:lineRule="auto"/>
        <w:ind w:firstLine="480" w:firstLineChars="200"/>
        <w:rPr>
          <w:sz w:val="24"/>
        </w:rPr>
      </w:pPr>
      <w:r>
        <w:rPr>
          <w:rFonts w:hint="eastAsia" w:ascii="宋体" w:hAnsi="宋体"/>
          <w:sz w:val="24"/>
        </w:rPr>
        <w:t>②</w:t>
      </w:r>
      <w:r>
        <w:rPr>
          <w:rFonts w:ascii="宋体" w:hAnsi="宋体"/>
          <w:sz w:val="24"/>
        </w:rPr>
        <w:t>边界条件概化</w:t>
      </w:r>
    </w:p>
    <w:p>
      <w:pPr>
        <w:adjustRightInd w:val="0"/>
        <w:snapToGrid w:val="0"/>
        <w:spacing w:line="360" w:lineRule="auto"/>
        <w:ind w:firstLine="480" w:firstLineChars="200"/>
        <w:rPr>
          <w:sz w:val="24"/>
        </w:rPr>
      </w:pPr>
      <w:r>
        <w:rPr>
          <w:rFonts w:ascii="宋体" w:hAnsi="宋体"/>
          <w:sz w:val="24"/>
        </w:rPr>
        <w:t>模拟区南边界、北边界平行于地下水等水位线，按定水头边界处理；东边界、西边界垂直于地下水等水位线，按隔水边界处理；边界流入量根据边界附近含水层厚度、边界长度、等水位线与边界夹角以及边界附近水力梯度和渗透系数计算。</w:t>
      </w:r>
    </w:p>
    <w:p>
      <w:pPr>
        <w:adjustRightInd w:val="0"/>
        <w:snapToGrid w:val="0"/>
        <w:spacing w:line="360" w:lineRule="auto"/>
        <w:ind w:firstLine="480" w:firstLineChars="200"/>
        <w:rPr>
          <w:sz w:val="24"/>
        </w:rPr>
      </w:pPr>
      <w:r>
        <w:rPr>
          <w:rFonts w:ascii="宋体" w:hAnsi="宋体"/>
          <w:sz w:val="24"/>
        </w:rPr>
        <w:t>在垂向上，含水层自由水面为系统的上边界，通过该边界，含水层系统与外发生垂向交换，如大气降水入渗补给；含水层下部为粉质粘土层，透水性很差，按隔水边界处理。</w:t>
      </w:r>
    </w:p>
    <w:p>
      <w:pPr>
        <w:widowControl/>
        <w:adjustRightInd w:val="0"/>
        <w:snapToGrid w:val="0"/>
        <w:spacing w:line="360" w:lineRule="auto"/>
        <w:jc w:val="left"/>
        <w:rPr>
          <w:kern w:val="0"/>
          <w:sz w:val="24"/>
        </w:rPr>
      </w:pPr>
      <w:r>
        <w:rPr>
          <w:rFonts w:hint="eastAsia"/>
        </w:rPr>
        <w:drawing>
          <wp:inline distT="0" distB="0" distL="0" distR="0">
            <wp:extent cx="5267325" cy="5200650"/>
            <wp:effectExtent l="0" t="0" r="9525" b="0"/>
            <wp:docPr id="289" name="图片 289" descr="C:\Users\众成环境\AppData\Local\Temp\ksohtml24568\wp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C:\Users\众成环境\AppData\Local\Temp\ksohtml24568\wps1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67325" cy="5200650"/>
                    </a:xfrm>
                    <a:prstGeom prst="rect">
                      <a:avLst/>
                    </a:prstGeom>
                    <a:noFill/>
                    <a:ln>
                      <a:noFill/>
                    </a:ln>
                  </pic:spPr>
                </pic:pic>
              </a:graphicData>
            </a:graphic>
          </wp:inline>
        </w:drawing>
      </w:r>
      <w:r>
        <w:rPr>
          <w:kern w:val="0"/>
          <w:sz w:val="24"/>
        </w:rPr>
        <w:t xml:space="preserve"> </w:t>
      </w:r>
    </w:p>
    <w:p>
      <w:pPr>
        <w:adjustRightInd w:val="0"/>
        <w:snapToGrid w:val="0"/>
        <w:spacing w:line="360" w:lineRule="auto"/>
        <w:jc w:val="center"/>
        <w:rPr>
          <w:b/>
          <w:sz w:val="24"/>
        </w:rPr>
      </w:pPr>
      <w:r>
        <w:rPr>
          <w:b/>
          <w:sz w:val="24"/>
        </w:rPr>
        <w:t>图6.2-7  模拟区边界条件示意图</w:t>
      </w:r>
    </w:p>
    <w:p>
      <w:pPr>
        <w:adjustRightInd w:val="0"/>
        <w:snapToGrid w:val="0"/>
        <w:spacing w:line="360" w:lineRule="auto"/>
        <w:ind w:firstLine="480" w:firstLineChars="200"/>
        <w:rPr>
          <w:kern w:val="0"/>
          <w:sz w:val="24"/>
        </w:rPr>
      </w:pPr>
      <w:r>
        <w:rPr>
          <w:rFonts w:ascii="宋体" w:hAnsi="宋体"/>
          <w:kern w:val="0"/>
          <w:sz w:val="24"/>
        </w:rPr>
        <w:t>（</w:t>
      </w:r>
      <w:r>
        <w:rPr>
          <w:kern w:val="0"/>
          <w:sz w:val="24"/>
        </w:rPr>
        <w:t>2</w:t>
      </w:r>
      <w:r>
        <w:rPr>
          <w:rFonts w:ascii="宋体" w:hAnsi="宋体"/>
          <w:kern w:val="0"/>
          <w:sz w:val="24"/>
        </w:rPr>
        <w:t>）数学模型</w:t>
      </w:r>
    </w:p>
    <w:p>
      <w:pPr>
        <w:adjustRightInd w:val="0"/>
        <w:snapToGrid w:val="0"/>
        <w:spacing w:line="360" w:lineRule="auto"/>
        <w:ind w:firstLine="480" w:firstLineChars="200"/>
        <w:rPr>
          <w:kern w:val="0"/>
          <w:sz w:val="24"/>
        </w:rPr>
      </w:pPr>
      <w:r>
        <w:rPr>
          <w:rFonts w:ascii="宋体" w:hAnsi="宋体"/>
          <w:kern w:val="0"/>
          <w:sz w:val="24"/>
        </w:rPr>
        <w:t>模拟区地下水流系统概化为二维结构稳定流，可用如下微分方程的定解问题来描述：</w:t>
      </w:r>
    </w:p>
    <w:p>
      <w:pPr>
        <w:adjustRightInd w:val="0"/>
        <w:snapToGrid w:val="0"/>
        <w:spacing w:line="360" w:lineRule="auto"/>
        <w:ind w:firstLine="420" w:firstLineChars="200"/>
        <w:rPr>
          <w:kern w:val="0"/>
          <w:sz w:val="24"/>
        </w:rPr>
      </w:pPr>
      <w:r>
        <w:rPr>
          <w:rFonts w:hint="eastAsia"/>
        </w:rPr>
        <w:drawing>
          <wp:inline distT="0" distB="0" distL="0" distR="0">
            <wp:extent cx="3886200" cy="1228725"/>
            <wp:effectExtent l="0" t="0" r="0" b="9525"/>
            <wp:docPr id="288" name="图片 288" descr="C:\Users\众成环境\AppData\Local\Temp\ksohtml24568\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C:\Users\众成环境\AppData\Local\Temp\ksohtml24568\wps17.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3886200" cy="1228725"/>
                    </a:xfrm>
                    <a:prstGeom prst="rect">
                      <a:avLst/>
                    </a:prstGeom>
                    <a:noFill/>
                    <a:ln>
                      <a:noFill/>
                    </a:ln>
                  </pic:spPr>
                </pic:pic>
              </a:graphicData>
            </a:graphic>
          </wp:inline>
        </w:drawing>
      </w:r>
    </w:p>
    <w:p>
      <w:pPr>
        <w:adjustRightInd w:val="0"/>
        <w:snapToGrid w:val="0"/>
        <w:spacing w:line="360" w:lineRule="auto"/>
        <w:ind w:firstLine="480" w:firstLineChars="200"/>
        <w:rPr>
          <w:kern w:val="0"/>
          <w:sz w:val="24"/>
        </w:rPr>
      </w:pPr>
      <w:r>
        <w:rPr>
          <w:rFonts w:ascii="宋体" w:hAnsi="宋体"/>
          <w:kern w:val="0"/>
          <w:sz w:val="24"/>
        </w:rPr>
        <w:t>式中：</w:t>
      </w:r>
    </w:p>
    <w:p>
      <w:pPr>
        <w:adjustRightInd w:val="0"/>
        <w:snapToGrid w:val="0"/>
        <w:spacing w:line="360" w:lineRule="auto"/>
        <w:ind w:firstLine="480" w:firstLineChars="200"/>
        <w:rPr>
          <w:kern w:val="0"/>
          <w:sz w:val="24"/>
        </w:rPr>
      </w:pPr>
      <w:r>
        <w:rPr>
          <w:kern w:val="0"/>
          <w:sz w:val="24"/>
        </w:rPr>
        <w:t>H—</w:t>
      </w:r>
      <w:r>
        <w:rPr>
          <w:rFonts w:ascii="宋体" w:hAnsi="宋体"/>
          <w:kern w:val="0"/>
          <w:sz w:val="24"/>
        </w:rPr>
        <w:t>地下水水头（</w:t>
      </w:r>
      <w:r>
        <w:rPr>
          <w:kern w:val="0"/>
          <w:sz w:val="24"/>
        </w:rPr>
        <w:t>m</w:t>
      </w:r>
      <w:r>
        <w:rPr>
          <w:rFonts w:ascii="宋体" w:hAnsi="宋体"/>
          <w:kern w:val="0"/>
          <w:sz w:val="24"/>
        </w:rPr>
        <w:t>）；</w:t>
      </w:r>
    </w:p>
    <w:p>
      <w:pPr>
        <w:adjustRightInd w:val="0"/>
        <w:snapToGrid w:val="0"/>
        <w:spacing w:line="360" w:lineRule="auto"/>
        <w:ind w:firstLine="480" w:firstLineChars="200"/>
        <w:rPr>
          <w:kern w:val="0"/>
          <w:sz w:val="24"/>
        </w:rPr>
      </w:pPr>
      <w:r>
        <w:rPr>
          <w:kern w:val="0"/>
          <w:sz w:val="24"/>
        </w:rPr>
        <w:t>K—</w:t>
      </w:r>
      <w:r>
        <w:rPr>
          <w:rFonts w:ascii="宋体" w:hAnsi="宋体"/>
          <w:kern w:val="0"/>
          <w:sz w:val="24"/>
        </w:rPr>
        <w:t>渗透系数（</w:t>
      </w:r>
      <w:r>
        <w:rPr>
          <w:kern w:val="0"/>
          <w:sz w:val="24"/>
        </w:rPr>
        <w:t>m/d</w:t>
      </w:r>
      <w:r>
        <w:rPr>
          <w:rFonts w:ascii="宋体" w:hAnsi="宋体"/>
          <w:kern w:val="0"/>
          <w:sz w:val="24"/>
        </w:rPr>
        <w:t>）；</w:t>
      </w:r>
    </w:p>
    <w:p>
      <w:pPr>
        <w:adjustRightInd w:val="0"/>
        <w:snapToGrid w:val="0"/>
        <w:spacing w:line="360" w:lineRule="auto"/>
        <w:ind w:firstLine="480" w:firstLineChars="200"/>
        <w:rPr>
          <w:kern w:val="0"/>
          <w:sz w:val="24"/>
        </w:rPr>
      </w:pPr>
      <w:r>
        <w:rPr>
          <w:kern w:val="0"/>
          <w:sz w:val="24"/>
        </w:rPr>
        <w:t>H</w:t>
      </w:r>
      <w:r>
        <w:rPr>
          <w:kern w:val="0"/>
          <w:sz w:val="24"/>
          <w:vertAlign w:val="subscript"/>
        </w:rPr>
        <w:t>0</w:t>
      </w:r>
      <w:r>
        <w:rPr>
          <w:rFonts w:ascii="宋体" w:hAnsi="宋体"/>
          <w:kern w:val="0"/>
          <w:sz w:val="24"/>
        </w:rPr>
        <w:t>（</w:t>
      </w:r>
      <w:r>
        <w:rPr>
          <w:kern w:val="0"/>
          <w:sz w:val="24"/>
        </w:rPr>
        <w:t>x</w:t>
      </w:r>
      <w:r>
        <w:rPr>
          <w:rFonts w:ascii="宋体" w:hAnsi="宋体"/>
          <w:kern w:val="0"/>
          <w:sz w:val="24"/>
        </w:rPr>
        <w:t>、</w:t>
      </w:r>
      <w:r>
        <w:rPr>
          <w:kern w:val="0"/>
          <w:sz w:val="24"/>
        </w:rPr>
        <w:t>y</w:t>
      </w:r>
      <w:r>
        <w:rPr>
          <w:rFonts w:ascii="宋体" w:hAnsi="宋体"/>
          <w:kern w:val="0"/>
          <w:sz w:val="24"/>
        </w:rPr>
        <w:t>）</w:t>
      </w:r>
      <w:r>
        <w:rPr>
          <w:kern w:val="0"/>
          <w:sz w:val="24"/>
        </w:rPr>
        <w:t>—</w:t>
      </w:r>
      <w:r>
        <w:rPr>
          <w:rFonts w:ascii="宋体" w:hAnsi="宋体"/>
          <w:kern w:val="0"/>
          <w:sz w:val="24"/>
        </w:rPr>
        <w:t>第一类边界恒定地下水水头函数（</w:t>
      </w:r>
      <w:r>
        <w:rPr>
          <w:kern w:val="0"/>
          <w:sz w:val="24"/>
        </w:rPr>
        <w:t>m</w:t>
      </w:r>
      <w:r>
        <w:rPr>
          <w:rFonts w:ascii="宋体" w:hAnsi="宋体"/>
          <w:kern w:val="0"/>
          <w:sz w:val="24"/>
        </w:rPr>
        <w:t>）；</w:t>
      </w:r>
    </w:p>
    <w:p>
      <w:pPr>
        <w:adjustRightInd w:val="0"/>
        <w:snapToGrid w:val="0"/>
        <w:spacing w:line="360" w:lineRule="auto"/>
        <w:ind w:firstLine="480" w:firstLineChars="200"/>
        <w:rPr>
          <w:kern w:val="0"/>
          <w:sz w:val="24"/>
        </w:rPr>
      </w:pPr>
      <w:r>
        <w:rPr>
          <w:kern w:val="0"/>
          <w:sz w:val="24"/>
        </w:rPr>
        <w:t>ε—</w:t>
      </w:r>
      <w:r>
        <w:rPr>
          <w:rFonts w:ascii="宋体" w:hAnsi="宋体"/>
          <w:kern w:val="0"/>
          <w:sz w:val="24"/>
        </w:rPr>
        <w:t>源汇项强度（包括开采强度等）（</w:t>
      </w:r>
      <w:r>
        <w:rPr>
          <w:kern w:val="0"/>
          <w:sz w:val="24"/>
        </w:rPr>
        <w:t>m/d</w:t>
      </w:r>
      <w:r>
        <w:rPr>
          <w:rFonts w:ascii="宋体" w:hAnsi="宋体"/>
          <w:kern w:val="0"/>
          <w:sz w:val="24"/>
        </w:rPr>
        <w:t>）；</w:t>
      </w:r>
    </w:p>
    <w:p>
      <w:pPr>
        <w:adjustRightInd w:val="0"/>
        <w:snapToGrid w:val="0"/>
        <w:spacing w:line="360" w:lineRule="auto"/>
        <w:ind w:firstLine="480" w:firstLineChars="200"/>
        <w:rPr>
          <w:kern w:val="0"/>
          <w:sz w:val="24"/>
        </w:rPr>
      </w:pPr>
      <w:r>
        <w:rPr>
          <w:kern w:val="0"/>
          <w:sz w:val="24"/>
        </w:rPr>
        <w:t>Ω—</w:t>
      </w:r>
      <w:r>
        <w:rPr>
          <w:rFonts w:ascii="宋体" w:hAnsi="宋体"/>
          <w:kern w:val="0"/>
          <w:sz w:val="24"/>
        </w:rPr>
        <w:t>渗流区域；</w:t>
      </w:r>
    </w:p>
    <w:p>
      <w:pPr>
        <w:adjustRightInd w:val="0"/>
        <w:snapToGrid w:val="0"/>
        <w:spacing w:line="360" w:lineRule="auto"/>
        <w:ind w:firstLine="480" w:firstLineChars="200"/>
        <w:rPr>
          <w:kern w:val="0"/>
          <w:sz w:val="24"/>
        </w:rPr>
      </w:pPr>
      <w:r>
        <w:rPr>
          <w:kern w:val="0"/>
          <w:sz w:val="24"/>
        </w:rPr>
        <w:t>B</w:t>
      </w:r>
      <w:r>
        <w:rPr>
          <w:kern w:val="0"/>
          <w:sz w:val="24"/>
          <w:vertAlign w:val="subscript"/>
        </w:rPr>
        <w:t>1</w:t>
      </w:r>
      <w:r>
        <w:rPr>
          <w:kern w:val="0"/>
          <w:sz w:val="24"/>
        </w:rPr>
        <w:t>—</w:t>
      </w:r>
      <w:r>
        <w:rPr>
          <w:rFonts w:ascii="宋体" w:hAnsi="宋体"/>
          <w:kern w:val="0"/>
          <w:sz w:val="24"/>
        </w:rPr>
        <w:t>为恒定水头已知边界，第一类边界；</w:t>
      </w:r>
    </w:p>
    <w:p>
      <w:pPr>
        <w:adjustRightInd w:val="0"/>
        <w:snapToGrid w:val="0"/>
        <w:spacing w:line="360" w:lineRule="auto"/>
        <w:ind w:firstLine="480" w:firstLineChars="200"/>
        <w:rPr>
          <w:kern w:val="0"/>
          <w:sz w:val="24"/>
        </w:rPr>
      </w:pPr>
      <w:r>
        <w:rPr>
          <w:kern w:val="0"/>
          <w:sz w:val="24"/>
        </w:rPr>
        <w:t>B</w:t>
      </w:r>
      <w:r>
        <w:rPr>
          <w:kern w:val="0"/>
          <w:sz w:val="24"/>
          <w:vertAlign w:val="subscript"/>
        </w:rPr>
        <w:t>2</w:t>
      </w:r>
      <w:r>
        <w:rPr>
          <w:kern w:val="0"/>
          <w:sz w:val="24"/>
        </w:rPr>
        <w:t>—</w:t>
      </w:r>
      <w:r>
        <w:rPr>
          <w:rFonts w:ascii="宋体" w:hAnsi="宋体"/>
          <w:kern w:val="0"/>
          <w:sz w:val="24"/>
        </w:rPr>
        <w:t>为零流量已知边界，第二类边界；</w:t>
      </w:r>
    </w:p>
    <w:p>
      <w:pPr>
        <w:adjustRightInd w:val="0"/>
        <w:snapToGrid w:val="0"/>
        <w:spacing w:line="360" w:lineRule="auto"/>
        <w:ind w:firstLine="480" w:firstLineChars="200"/>
        <w:rPr>
          <w:kern w:val="0"/>
          <w:sz w:val="24"/>
        </w:rPr>
      </w:pPr>
      <w:r>
        <w:rPr>
          <w:kern w:val="0"/>
          <w:sz w:val="24"/>
        </w:rPr>
        <w:t>n—</w:t>
      </w:r>
      <w:r>
        <w:rPr>
          <w:rFonts w:ascii="宋体" w:hAnsi="宋体"/>
          <w:kern w:val="0"/>
          <w:sz w:val="24"/>
        </w:rPr>
        <w:t>渗流区边界的单位外法线方向。</w:t>
      </w:r>
    </w:p>
    <w:p>
      <w:pPr>
        <w:adjustRightInd w:val="0"/>
        <w:snapToGrid w:val="0"/>
        <w:spacing w:line="360" w:lineRule="auto"/>
        <w:ind w:firstLine="480" w:firstLineChars="200"/>
        <w:rPr>
          <w:sz w:val="24"/>
        </w:rPr>
      </w:pPr>
      <w:r>
        <w:rPr>
          <w:rFonts w:ascii="宋体" w:hAnsi="宋体"/>
          <w:sz w:val="24"/>
        </w:rPr>
        <w:t>（</w:t>
      </w:r>
      <w:r>
        <w:rPr>
          <w:sz w:val="24"/>
        </w:rPr>
        <w:t>3</w:t>
      </w:r>
      <w:r>
        <w:rPr>
          <w:rFonts w:ascii="宋体" w:hAnsi="宋体"/>
          <w:sz w:val="24"/>
        </w:rPr>
        <w:t>）网格剖分</w:t>
      </w:r>
    </w:p>
    <w:p>
      <w:pPr>
        <w:adjustRightInd w:val="0"/>
        <w:snapToGrid w:val="0"/>
        <w:spacing w:line="360" w:lineRule="auto"/>
        <w:ind w:firstLine="480" w:firstLineChars="200"/>
        <w:rPr>
          <w:sz w:val="24"/>
        </w:rPr>
      </w:pPr>
      <w:r>
        <w:rPr>
          <w:rFonts w:ascii="宋体" w:hAnsi="宋体"/>
          <w:sz w:val="24"/>
        </w:rPr>
        <w:t>模拟区面积为</w:t>
      </w:r>
      <w:r>
        <w:rPr>
          <w:sz w:val="24"/>
        </w:rPr>
        <w:t>6.34km</w:t>
      </w:r>
      <w:r>
        <w:rPr>
          <w:sz w:val="24"/>
          <w:vertAlign w:val="superscript"/>
        </w:rPr>
        <w:t>2</w:t>
      </w:r>
      <w:r>
        <w:rPr>
          <w:rFonts w:ascii="宋体" w:hAnsi="宋体"/>
          <w:sz w:val="24"/>
        </w:rPr>
        <w:t>，网格剖分在水平方向上用正交网格剖分法，将模型剖分成个大小为</w:t>
      </w:r>
      <w:r>
        <w:rPr>
          <w:sz w:val="24"/>
        </w:rPr>
        <w:t>25m×25m</w:t>
      </w:r>
      <w:r>
        <w:rPr>
          <w:rFonts w:ascii="宋体" w:hAnsi="宋体"/>
          <w:sz w:val="24"/>
        </w:rPr>
        <w:t>的单元格，在重点模拟区域进行了进一步细化剖分为</w:t>
      </w:r>
      <w:r>
        <w:rPr>
          <w:sz w:val="24"/>
        </w:rPr>
        <w:t>5m×5m</w:t>
      </w:r>
      <w:r>
        <w:rPr>
          <w:rFonts w:ascii="宋体" w:hAnsi="宋体"/>
          <w:sz w:val="24"/>
        </w:rPr>
        <w:t>的单元格。</w:t>
      </w:r>
    </w:p>
    <w:p>
      <w:pPr>
        <w:spacing w:line="360" w:lineRule="auto"/>
        <w:jc w:val="center"/>
        <w:rPr>
          <w:sz w:val="24"/>
        </w:rPr>
      </w:pPr>
      <w:r>
        <w:rPr>
          <w:rFonts w:hint="eastAsia"/>
        </w:rPr>
        <w:drawing>
          <wp:inline distT="0" distB="0" distL="0" distR="0">
            <wp:extent cx="5276850" cy="4972050"/>
            <wp:effectExtent l="0" t="0" r="0" b="0"/>
            <wp:docPr id="287" name="图片 287" descr="C:\Users\众成环境\AppData\Local\Temp\ksohtml24568\wp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C:\Users\众成环境\AppData\Local\Temp\ksohtml24568\wps1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76850" cy="4972050"/>
                    </a:xfrm>
                    <a:prstGeom prst="rect">
                      <a:avLst/>
                    </a:prstGeom>
                    <a:noFill/>
                    <a:ln>
                      <a:noFill/>
                    </a:ln>
                  </pic:spPr>
                </pic:pic>
              </a:graphicData>
            </a:graphic>
          </wp:inline>
        </w:drawing>
      </w:r>
      <w:r>
        <w:rPr>
          <w:sz w:val="24"/>
        </w:rPr>
        <w:t xml:space="preserve"> </w:t>
      </w:r>
    </w:p>
    <w:p>
      <w:pPr>
        <w:spacing w:line="360" w:lineRule="auto"/>
        <w:jc w:val="center"/>
        <w:rPr>
          <w:b/>
          <w:sz w:val="24"/>
        </w:rPr>
      </w:pPr>
      <w:r>
        <w:rPr>
          <w:b/>
          <w:sz w:val="24"/>
        </w:rPr>
        <w:t>图6.2-7  模型网格剖分示意图</w:t>
      </w:r>
    </w:p>
    <w:p>
      <w:pPr>
        <w:spacing w:line="360" w:lineRule="auto"/>
        <w:ind w:firstLine="480" w:firstLineChars="200"/>
        <w:rPr>
          <w:sz w:val="24"/>
        </w:rPr>
      </w:pPr>
      <w:r>
        <w:rPr>
          <w:rFonts w:ascii="宋体" w:hAnsi="宋体"/>
          <w:sz w:val="24"/>
        </w:rPr>
        <w:t>（</w:t>
      </w:r>
      <w:r>
        <w:rPr>
          <w:sz w:val="24"/>
        </w:rPr>
        <w:t>4</w:t>
      </w:r>
      <w:r>
        <w:rPr>
          <w:rFonts w:ascii="宋体" w:hAnsi="宋体"/>
          <w:sz w:val="24"/>
        </w:rPr>
        <w:t>）水文地质参数</w:t>
      </w:r>
    </w:p>
    <w:p>
      <w:pPr>
        <w:spacing w:line="360" w:lineRule="auto"/>
        <w:ind w:firstLine="480" w:firstLineChars="200"/>
        <w:rPr>
          <w:sz w:val="24"/>
        </w:rPr>
      </w:pPr>
      <w:r>
        <w:rPr>
          <w:rFonts w:ascii="宋体" w:hAnsi="宋体"/>
          <w:sz w:val="24"/>
        </w:rPr>
        <w:t>含水层渗透系数根据评价区内钻孔抽水试验结果取值，详见下表。</w:t>
      </w:r>
    </w:p>
    <w:p>
      <w:pPr>
        <w:adjustRightInd w:val="0"/>
        <w:snapToGrid w:val="0"/>
        <w:jc w:val="center"/>
        <w:rPr>
          <w:b/>
          <w:kern w:val="0"/>
          <w:sz w:val="24"/>
        </w:rPr>
      </w:pPr>
      <w:r>
        <w:rPr>
          <w:b/>
          <w:kern w:val="0"/>
          <w:sz w:val="24"/>
        </w:rPr>
        <w:t>表6.2-3 抽水试验成果表</w:t>
      </w:r>
    </w:p>
    <w:tbl>
      <w:tblPr>
        <w:tblStyle w:val="224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24"/>
        <w:gridCol w:w="1560"/>
        <w:gridCol w:w="843"/>
        <w:gridCol w:w="1584"/>
        <w:gridCol w:w="1404"/>
        <w:gridCol w:w="977"/>
        <w:gridCol w:w="15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1" w:type="dxa"/>
            <w:vAlign w:val="center"/>
          </w:tcPr>
          <w:p>
            <w:pPr>
              <w:adjustRightInd w:val="0"/>
              <w:snapToGrid w:val="0"/>
              <w:jc w:val="center"/>
              <w:rPr>
                <w:rFonts w:eastAsia="Times New Roman"/>
                <w:kern w:val="0"/>
              </w:rPr>
            </w:pPr>
            <w:r>
              <w:rPr>
                <w:rFonts w:ascii="宋体" w:hAnsi="宋体" w:eastAsia="Times New Roman"/>
                <w:kern w:val="0"/>
              </w:rPr>
              <w:t>孔号</w:t>
            </w:r>
          </w:p>
        </w:tc>
        <w:tc>
          <w:tcPr>
            <w:tcW w:w="1549" w:type="dxa"/>
            <w:vAlign w:val="center"/>
          </w:tcPr>
          <w:p>
            <w:pPr>
              <w:adjustRightInd w:val="0"/>
              <w:snapToGrid w:val="0"/>
              <w:jc w:val="center"/>
              <w:rPr>
                <w:rFonts w:eastAsia="Times New Roman"/>
                <w:kern w:val="0"/>
              </w:rPr>
            </w:pPr>
            <w:r>
              <w:rPr>
                <w:rFonts w:ascii="宋体" w:hAnsi="宋体" w:eastAsia="Times New Roman"/>
                <w:kern w:val="0"/>
              </w:rPr>
              <w:t>含水层埋藏类型</w:t>
            </w:r>
          </w:p>
        </w:tc>
        <w:tc>
          <w:tcPr>
            <w:tcW w:w="837" w:type="dxa"/>
            <w:vAlign w:val="center"/>
          </w:tcPr>
          <w:p>
            <w:pPr>
              <w:adjustRightInd w:val="0"/>
              <w:snapToGrid w:val="0"/>
              <w:jc w:val="center"/>
              <w:rPr>
                <w:rFonts w:eastAsia="Times New Roman"/>
                <w:kern w:val="0"/>
              </w:rPr>
            </w:pPr>
            <w:r>
              <w:rPr>
                <w:rFonts w:ascii="宋体" w:hAnsi="宋体" w:eastAsia="Times New Roman"/>
                <w:kern w:val="0"/>
              </w:rPr>
              <w:t>孔深（</w:t>
            </w:r>
            <w:r>
              <w:rPr>
                <w:rFonts w:eastAsia="Times New Roman"/>
                <w:kern w:val="0"/>
              </w:rPr>
              <w:t>m</w:t>
            </w:r>
            <w:r>
              <w:rPr>
                <w:rFonts w:ascii="宋体" w:hAnsi="宋体" w:eastAsia="Times New Roman"/>
                <w:kern w:val="0"/>
              </w:rPr>
              <w:t>）</w:t>
            </w:r>
          </w:p>
        </w:tc>
        <w:tc>
          <w:tcPr>
            <w:tcW w:w="1573" w:type="dxa"/>
            <w:vAlign w:val="center"/>
          </w:tcPr>
          <w:p>
            <w:pPr>
              <w:adjustRightInd w:val="0"/>
              <w:snapToGrid w:val="0"/>
              <w:jc w:val="center"/>
              <w:rPr>
                <w:rFonts w:eastAsia="Times New Roman"/>
                <w:kern w:val="0"/>
              </w:rPr>
            </w:pPr>
            <w:r>
              <w:rPr>
                <w:rFonts w:ascii="宋体" w:hAnsi="宋体" w:eastAsia="Times New Roman"/>
                <w:kern w:val="0"/>
              </w:rPr>
              <w:t>含水层厚度（</w:t>
            </w:r>
            <w:r>
              <w:rPr>
                <w:rFonts w:eastAsia="Times New Roman"/>
                <w:kern w:val="0"/>
              </w:rPr>
              <w:t>m</w:t>
            </w:r>
            <w:r>
              <w:rPr>
                <w:rFonts w:ascii="宋体" w:hAnsi="宋体" w:eastAsia="Times New Roman"/>
                <w:kern w:val="0"/>
              </w:rPr>
              <w:t>）</w:t>
            </w:r>
          </w:p>
        </w:tc>
        <w:tc>
          <w:tcPr>
            <w:tcW w:w="1394" w:type="dxa"/>
            <w:vAlign w:val="center"/>
          </w:tcPr>
          <w:p>
            <w:pPr>
              <w:adjustRightInd w:val="0"/>
              <w:snapToGrid w:val="0"/>
              <w:jc w:val="center"/>
              <w:rPr>
                <w:rFonts w:eastAsia="Times New Roman"/>
                <w:kern w:val="0"/>
              </w:rPr>
            </w:pPr>
            <w:r>
              <w:rPr>
                <w:rFonts w:ascii="宋体" w:hAnsi="宋体" w:eastAsia="Times New Roman"/>
                <w:kern w:val="0"/>
              </w:rPr>
              <w:t>涌水量（</w:t>
            </w:r>
            <w:r>
              <w:rPr>
                <w:rFonts w:eastAsia="Times New Roman"/>
                <w:kern w:val="0"/>
              </w:rPr>
              <w:t>m</w:t>
            </w:r>
            <w:r>
              <w:rPr>
                <w:rFonts w:eastAsia="Times New Roman"/>
                <w:kern w:val="0"/>
                <w:vertAlign w:val="superscript"/>
              </w:rPr>
              <w:t>3</w:t>
            </w:r>
            <w:r>
              <w:rPr>
                <w:rFonts w:eastAsia="Times New Roman"/>
                <w:kern w:val="0"/>
              </w:rPr>
              <w:t>/d</w:t>
            </w:r>
            <w:r>
              <w:rPr>
                <w:rFonts w:ascii="宋体" w:hAnsi="宋体" w:eastAsia="Times New Roman"/>
                <w:kern w:val="0"/>
              </w:rPr>
              <w:t>）</w:t>
            </w:r>
          </w:p>
        </w:tc>
        <w:tc>
          <w:tcPr>
            <w:tcW w:w="970" w:type="dxa"/>
            <w:vAlign w:val="center"/>
          </w:tcPr>
          <w:p>
            <w:pPr>
              <w:adjustRightInd w:val="0"/>
              <w:snapToGrid w:val="0"/>
              <w:jc w:val="center"/>
              <w:rPr>
                <w:rFonts w:eastAsia="Times New Roman"/>
                <w:kern w:val="0"/>
              </w:rPr>
            </w:pPr>
            <w:r>
              <w:rPr>
                <w:rFonts w:ascii="宋体" w:hAnsi="宋体" w:eastAsia="Times New Roman"/>
                <w:kern w:val="0"/>
              </w:rPr>
              <w:t>降深（</w:t>
            </w:r>
            <w:r>
              <w:rPr>
                <w:rFonts w:eastAsia="Times New Roman"/>
                <w:kern w:val="0"/>
              </w:rPr>
              <w:t>m</w:t>
            </w:r>
            <w:r>
              <w:rPr>
                <w:rFonts w:ascii="宋体" w:hAnsi="宋体" w:eastAsia="Times New Roman"/>
                <w:kern w:val="0"/>
              </w:rPr>
              <w:t>）</w:t>
            </w:r>
          </w:p>
        </w:tc>
        <w:tc>
          <w:tcPr>
            <w:tcW w:w="1538" w:type="dxa"/>
            <w:vAlign w:val="center"/>
          </w:tcPr>
          <w:p>
            <w:pPr>
              <w:adjustRightInd w:val="0"/>
              <w:snapToGrid w:val="0"/>
              <w:jc w:val="center"/>
              <w:rPr>
                <w:rFonts w:eastAsia="Times New Roman"/>
                <w:kern w:val="0"/>
              </w:rPr>
            </w:pPr>
            <w:r>
              <w:rPr>
                <w:rFonts w:ascii="宋体" w:hAnsi="宋体" w:eastAsia="Times New Roman"/>
                <w:kern w:val="0"/>
              </w:rPr>
              <w:t>渗透系数（</w:t>
            </w:r>
            <w:r>
              <w:rPr>
                <w:rFonts w:eastAsia="Times New Roman"/>
                <w:kern w:val="0"/>
              </w:rPr>
              <w:t>m/d</w:t>
            </w:r>
            <w:r>
              <w:rPr>
                <w:rFonts w:ascii="宋体" w:hAnsi="宋体" w:eastAsia="Times New Roman"/>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1" w:type="dxa"/>
            <w:vAlign w:val="center"/>
          </w:tcPr>
          <w:p>
            <w:pPr>
              <w:adjustRightInd w:val="0"/>
              <w:snapToGrid w:val="0"/>
              <w:jc w:val="center"/>
              <w:rPr>
                <w:rFonts w:eastAsia="Times New Roman"/>
                <w:kern w:val="0"/>
              </w:rPr>
            </w:pPr>
            <w:r>
              <w:rPr>
                <w:rFonts w:eastAsia="Times New Roman"/>
                <w:kern w:val="0"/>
              </w:rPr>
              <w:t>Q1</w:t>
            </w:r>
          </w:p>
        </w:tc>
        <w:tc>
          <w:tcPr>
            <w:tcW w:w="1549" w:type="dxa"/>
            <w:vAlign w:val="center"/>
          </w:tcPr>
          <w:p>
            <w:pPr>
              <w:adjustRightInd w:val="0"/>
              <w:snapToGrid w:val="0"/>
              <w:jc w:val="center"/>
              <w:rPr>
                <w:rFonts w:eastAsia="Times New Roman"/>
                <w:kern w:val="0"/>
              </w:rPr>
            </w:pPr>
            <w:r>
              <w:rPr>
                <w:rFonts w:ascii="宋体" w:hAnsi="宋体" w:eastAsia="Times New Roman"/>
                <w:kern w:val="0"/>
              </w:rPr>
              <w:t>潜水（微承压）</w:t>
            </w:r>
          </w:p>
        </w:tc>
        <w:tc>
          <w:tcPr>
            <w:tcW w:w="837" w:type="dxa"/>
            <w:vAlign w:val="center"/>
          </w:tcPr>
          <w:p>
            <w:pPr>
              <w:adjustRightInd w:val="0"/>
              <w:snapToGrid w:val="0"/>
              <w:jc w:val="center"/>
              <w:rPr>
                <w:rFonts w:eastAsia="Times New Roman"/>
                <w:kern w:val="0"/>
              </w:rPr>
            </w:pPr>
            <w:r>
              <w:rPr>
                <w:rFonts w:eastAsia="Times New Roman"/>
                <w:kern w:val="0"/>
              </w:rPr>
              <w:t>82.87</w:t>
            </w:r>
          </w:p>
        </w:tc>
        <w:tc>
          <w:tcPr>
            <w:tcW w:w="1573" w:type="dxa"/>
            <w:vAlign w:val="center"/>
          </w:tcPr>
          <w:p>
            <w:pPr>
              <w:adjustRightInd w:val="0"/>
              <w:snapToGrid w:val="0"/>
              <w:jc w:val="center"/>
              <w:rPr>
                <w:rFonts w:eastAsia="Times New Roman"/>
                <w:kern w:val="0"/>
              </w:rPr>
            </w:pPr>
            <w:r>
              <w:rPr>
                <w:rFonts w:eastAsia="Times New Roman"/>
                <w:kern w:val="0"/>
              </w:rPr>
              <w:t>52.5</w:t>
            </w:r>
          </w:p>
        </w:tc>
        <w:tc>
          <w:tcPr>
            <w:tcW w:w="1394" w:type="dxa"/>
            <w:vAlign w:val="center"/>
          </w:tcPr>
          <w:p>
            <w:pPr>
              <w:adjustRightInd w:val="0"/>
              <w:snapToGrid w:val="0"/>
              <w:jc w:val="center"/>
              <w:rPr>
                <w:rFonts w:eastAsia="Times New Roman"/>
                <w:kern w:val="0"/>
              </w:rPr>
            </w:pPr>
            <w:r>
              <w:rPr>
                <w:rFonts w:eastAsia="Times New Roman"/>
                <w:kern w:val="0"/>
              </w:rPr>
              <w:t>279.86</w:t>
            </w:r>
          </w:p>
        </w:tc>
        <w:tc>
          <w:tcPr>
            <w:tcW w:w="970" w:type="dxa"/>
            <w:vAlign w:val="center"/>
          </w:tcPr>
          <w:p>
            <w:pPr>
              <w:adjustRightInd w:val="0"/>
              <w:snapToGrid w:val="0"/>
              <w:jc w:val="center"/>
              <w:rPr>
                <w:rFonts w:eastAsia="Times New Roman"/>
                <w:kern w:val="0"/>
              </w:rPr>
            </w:pPr>
            <w:r>
              <w:rPr>
                <w:rFonts w:eastAsia="Times New Roman"/>
                <w:kern w:val="0"/>
              </w:rPr>
              <w:t>5</w:t>
            </w:r>
          </w:p>
        </w:tc>
        <w:tc>
          <w:tcPr>
            <w:tcW w:w="1538" w:type="dxa"/>
            <w:vAlign w:val="center"/>
          </w:tcPr>
          <w:p>
            <w:pPr>
              <w:adjustRightInd w:val="0"/>
              <w:snapToGrid w:val="0"/>
              <w:jc w:val="center"/>
              <w:rPr>
                <w:rFonts w:eastAsia="Times New Roman"/>
                <w:kern w:val="0"/>
              </w:rPr>
            </w:pPr>
            <w:r>
              <w:rPr>
                <w:rFonts w:eastAsia="Times New Roman"/>
                <w:kern w:val="0"/>
              </w:rPr>
              <w:t>1.09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8282" w:type="dxa"/>
            <w:gridSpan w:val="7"/>
            <w:vAlign w:val="center"/>
          </w:tcPr>
          <w:p>
            <w:pPr>
              <w:adjustRightInd w:val="0"/>
              <w:snapToGrid w:val="0"/>
              <w:spacing w:before="156" w:beforeLines="50" w:after="156" w:afterLines="50"/>
              <w:jc w:val="left"/>
              <w:rPr>
                <w:rFonts w:eastAsia="Times New Roman"/>
                <w:kern w:val="0"/>
              </w:rPr>
            </w:pPr>
            <w:r>
              <w:rPr>
                <w:rFonts w:ascii="宋体" w:hAnsi="宋体" w:eastAsia="Times New Roman"/>
                <w:kern w:val="0"/>
              </w:rPr>
              <w:t>采用潜水水稳定流裘布依公式计算：</w:t>
            </w:r>
            <w:r>
              <w:rPr>
                <w:rFonts w:hint="eastAsia" w:eastAsia="Times New Roman"/>
                <w:kern w:val="0"/>
                <w:sz w:val="20"/>
                <w:szCs w:val="20"/>
              </w:rPr>
              <w:drawing>
                <wp:inline distT="0" distB="0" distL="0" distR="0">
                  <wp:extent cx="866775" cy="257175"/>
                  <wp:effectExtent l="0" t="0" r="9525" b="9525"/>
                  <wp:docPr id="285" name="图片 285" descr="C:\Users\众成环境\AppData\Local\Temp\ksohtml24568\wp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C:\Users\众成环境\AppData\Local\Temp\ksohtml24568\wps2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866775" cy="257175"/>
                          </a:xfrm>
                          <a:prstGeom prst="rect">
                            <a:avLst/>
                          </a:prstGeom>
                          <a:noFill/>
                          <a:ln>
                            <a:noFill/>
                          </a:ln>
                        </pic:spPr>
                      </pic:pic>
                    </a:graphicData>
                  </a:graphic>
                </wp:inline>
              </w:drawing>
            </w:r>
            <w:r>
              <w:rPr>
                <w:rFonts w:hint="eastAsia" w:eastAsia="Times New Roman"/>
                <w:kern w:val="0"/>
                <w:sz w:val="20"/>
                <w:szCs w:val="20"/>
              </w:rPr>
              <w:drawing>
                <wp:inline distT="0" distB="0" distL="0" distR="0">
                  <wp:extent cx="1200150" cy="419100"/>
                  <wp:effectExtent l="0" t="0" r="0" b="0"/>
                  <wp:docPr id="286" name="图片 286" descr="C:\Users\众成环境\AppData\Local\Temp\ksohtml24568\wp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C:\Users\众成环境\AppData\Local\Temp\ksohtml24568\wps1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1200150" cy="419100"/>
                          </a:xfrm>
                          <a:prstGeom prst="rect">
                            <a:avLst/>
                          </a:prstGeom>
                          <a:noFill/>
                          <a:ln>
                            <a:noFill/>
                          </a:ln>
                        </pic:spPr>
                      </pic:pic>
                    </a:graphicData>
                  </a:graphic>
                </wp:inline>
              </w:drawing>
            </w:r>
          </w:p>
        </w:tc>
      </w:tr>
    </w:tbl>
    <w:p>
      <w:pPr>
        <w:spacing w:line="360" w:lineRule="auto"/>
        <w:ind w:firstLine="480" w:firstLineChars="200"/>
        <w:rPr>
          <w:sz w:val="24"/>
        </w:rPr>
      </w:pPr>
      <w:r>
        <w:rPr>
          <w:rFonts w:ascii="宋体" w:hAnsi="宋体"/>
          <w:sz w:val="24"/>
        </w:rPr>
        <w:t>本次评价区含水层水文地质参数取值及依据汇总详见下表。</w:t>
      </w:r>
    </w:p>
    <w:p>
      <w:pPr>
        <w:adjustRightInd w:val="0"/>
        <w:snapToGrid w:val="0"/>
        <w:jc w:val="center"/>
        <w:rPr>
          <w:b/>
          <w:kern w:val="0"/>
          <w:sz w:val="24"/>
        </w:rPr>
      </w:pPr>
      <w:r>
        <w:rPr>
          <w:b/>
          <w:kern w:val="0"/>
          <w:sz w:val="24"/>
        </w:rPr>
        <w:t>表6.2-4   评价区水文地质参数取值汇总表</w:t>
      </w:r>
    </w:p>
    <w:tbl>
      <w:tblPr>
        <w:tblStyle w:val="22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560"/>
        <w:gridCol w:w="56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imes New Roman"/>
                <w:kern w:val="0"/>
              </w:rPr>
            </w:pPr>
            <w:r>
              <w:rPr>
                <w:rFonts w:ascii="宋体" w:hAnsi="宋体" w:eastAsia="Times New Roman"/>
                <w:kern w:val="0"/>
              </w:rPr>
              <w:t>参数名称</w:t>
            </w:r>
          </w:p>
        </w:tc>
        <w:tc>
          <w:tcPr>
            <w:tcW w:w="544" w:type="dxa"/>
            <w:vAlign w:val="center"/>
          </w:tcPr>
          <w:p>
            <w:pPr>
              <w:widowControl/>
              <w:jc w:val="center"/>
              <w:rPr>
                <w:rFonts w:eastAsia="Times New Roman"/>
                <w:kern w:val="0"/>
              </w:rPr>
            </w:pPr>
            <w:r>
              <w:rPr>
                <w:rFonts w:ascii="宋体" w:hAnsi="宋体" w:eastAsia="Times New Roman"/>
                <w:kern w:val="0"/>
              </w:rPr>
              <w:t>单位</w:t>
            </w:r>
          </w:p>
        </w:tc>
        <w:tc>
          <w:tcPr>
            <w:tcW w:w="5511" w:type="dxa"/>
            <w:vAlign w:val="center"/>
          </w:tcPr>
          <w:p>
            <w:pPr>
              <w:widowControl/>
              <w:jc w:val="center"/>
              <w:rPr>
                <w:rFonts w:eastAsia="Times New Roman"/>
                <w:kern w:val="0"/>
              </w:rPr>
            </w:pPr>
            <w:r>
              <w:rPr>
                <w:rFonts w:ascii="宋体" w:hAnsi="宋体" w:eastAsia="Times New Roman"/>
                <w:kern w:val="0"/>
              </w:rPr>
              <w:t>取值结果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imes New Roman"/>
                <w:kern w:val="0"/>
              </w:rPr>
            </w:pPr>
            <w:r>
              <w:rPr>
                <w:rFonts w:ascii="宋体" w:hAnsi="宋体" w:eastAsia="Times New Roman"/>
                <w:kern w:val="0"/>
              </w:rPr>
              <w:t>降水入渗率</w:t>
            </w:r>
          </w:p>
        </w:tc>
        <w:tc>
          <w:tcPr>
            <w:tcW w:w="544" w:type="dxa"/>
            <w:vAlign w:val="center"/>
          </w:tcPr>
          <w:p>
            <w:pPr>
              <w:widowControl/>
              <w:jc w:val="center"/>
              <w:rPr>
                <w:rFonts w:eastAsia="Times New Roman"/>
                <w:kern w:val="0"/>
              </w:rPr>
            </w:pPr>
            <w:r>
              <w:rPr>
                <w:rFonts w:eastAsia="Times New Roman"/>
                <w:kern w:val="0"/>
              </w:rPr>
              <w:t>--</w:t>
            </w:r>
          </w:p>
        </w:tc>
        <w:tc>
          <w:tcPr>
            <w:tcW w:w="5511" w:type="dxa"/>
            <w:vAlign w:val="center"/>
          </w:tcPr>
          <w:p>
            <w:pPr>
              <w:widowControl/>
              <w:jc w:val="center"/>
              <w:rPr>
                <w:rFonts w:eastAsia="Times New Roman"/>
                <w:kern w:val="0"/>
              </w:rPr>
            </w:pPr>
            <w:r>
              <w:rPr>
                <w:rFonts w:eastAsia="Times New Roman"/>
                <w:kern w:val="0"/>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imes New Roman"/>
                <w:kern w:val="0"/>
              </w:rPr>
            </w:pPr>
            <w:r>
              <w:rPr>
                <w:rFonts w:ascii="宋体" w:hAnsi="宋体" w:eastAsia="Times New Roman"/>
                <w:kern w:val="0"/>
              </w:rPr>
              <w:t>年平均降水量</w:t>
            </w:r>
          </w:p>
        </w:tc>
        <w:tc>
          <w:tcPr>
            <w:tcW w:w="544" w:type="dxa"/>
            <w:vAlign w:val="center"/>
          </w:tcPr>
          <w:p>
            <w:pPr>
              <w:widowControl/>
              <w:jc w:val="center"/>
              <w:rPr>
                <w:rFonts w:eastAsia="Times New Roman"/>
                <w:kern w:val="0"/>
              </w:rPr>
            </w:pPr>
            <w:r>
              <w:rPr>
                <w:rFonts w:eastAsia="Times New Roman"/>
                <w:kern w:val="0"/>
              </w:rPr>
              <w:t>mm</w:t>
            </w:r>
          </w:p>
        </w:tc>
        <w:tc>
          <w:tcPr>
            <w:tcW w:w="5511" w:type="dxa"/>
            <w:vAlign w:val="center"/>
          </w:tcPr>
          <w:p>
            <w:pPr>
              <w:widowControl/>
              <w:jc w:val="center"/>
              <w:rPr>
                <w:rFonts w:eastAsia="Times New Roman"/>
                <w:kern w:val="0"/>
              </w:rPr>
            </w:pPr>
            <w:r>
              <w:rPr>
                <w:rFonts w:eastAsia="Times New Roman"/>
                <w:kern w:val="0"/>
              </w:rPr>
              <w:t>170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imes New Roman"/>
                <w:kern w:val="0"/>
              </w:rPr>
            </w:pPr>
            <w:r>
              <w:rPr>
                <w:rFonts w:ascii="宋体" w:hAnsi="宋体" w:eastAsia="Times New Roman"/>
                <w:kern w:val="0"/>
              </w:rPr>
              <w:t>年均蒸发量</w:t>
            </w:r>
          </w:p>
        </w:tc>
        <w:tc>
          <w:tcPr>
            <w:tcW w:w="544" w:type="dxa"/>
            <w:vAlign w:val="center"/>
          </w:tcPr>
          <w:p>
            <w:pPr>
              <w:widowControl/>
              <w:jc w:val="center"/>
              <w:rPr>
                <w:rFonts w:eastAsia="Times New Roman"/>
                <w:kern w:val="0"/>
              </w:rPr>
            </w:pPr>
            <w:r>
              <w:rPr>
                <w:rFonts w:eastAsia="Times New Roman"/>
                <w:kern w:val="0"/>
              </w:rPr>
              <w:t>mm</w:t>
            </w:r>
          </w:p>
        </w:tc>
        <w:tc>
          <w:tcPr>
            <w:tcW w:w="5511" w:type="dxa"/>
            <w:vAlign w:val="center"/>
          </w:tcPr>
          <w:p>
            <w:pPr>
              <w:widowControl/>
              <w:jc w:val="center"/>
              <w:rPr>
                <w:rFonts w:eastAsia="Times New Roman"/>
                <w:kern w:val="0"/>
              </w:rPr>
            </w:pPr>
            <w:r>
              <w:rPr>
                <w:rFonts w:eastAsia="Times New Roman"/>
                <w:kern w:val="0"/>
              </w:rPr>
              <w:t>2050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imes New Roman"/>
                <w:kern w:val="0"/>
              </w:rPr>
            </w:pPr>
            <w:r>
              <w:rPr>
                <w:rFonts w:ascii="宋体" w:hAnsi="宋体" w:eastAsia="Times New Roman"/>
                <w:kern w:val="0"/>
              </w:rPr>
              <w:t>蒸发最大影响深度</w:t>
            </w:r>
          </w:p>
        </w:tc>
        <w:tc>
          <w:tcPr>
            <w:tcW w:w="544" w:type="dxa"/>
            <w:vAlign w:val="center"/>
          </w:tcPr>
          <w:p>
            <w:pPr>
              <w:widowControl/>
              <w:jc w:val="center"/>
              <w:rPr>
                <w:rFonts w:eastAsia="Times New Roman"/>
                <w:kern w:val="0"/>
              </w:rPr>
            </w:pPr>
            <w:r>
              <w:rPr>
                <w:rFonts w:eastAsia="Times New Roman"/>
                <w:kern w:val="0"/>
              </w:rPr>
              <w:t>m</w:t>
            </w:r>
          </w:p>
        </w:tc>
        <w:tc>
          <w:tcPr>
            <w:tcW w:w="5511" w:type="dxa"/>
            <w:vAlign w:val="center"/>
          </w:tcPr>
          <w:p>
            <w:pPr>
              <w:widowControl/>
              <w:jc w:val="center"/>
              <w:rPr>
                <w:rFonts w:eastAsia="Times New Roman"/>
                <w:kern w:val="0"/>
              </w:rPr>
            </w:pPr>
            <w:r>
              <w:rPr>
                <w:rFonts w:eastAsia="Times New Roman"/>
                <w:kern w:val="0"/>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imes New Roman"/>
                <w:kern w:val="0"/>
              </w:rPr>
            </w:pPr>
            <w:r>
              <w:rPr>
                <w:rFonts w:ascii="宋体" w:hAnsi="宋体" w:eastAsia="Times New Roman"/>
                <w:kern w:val="0"/>
              </w:rPr>
              <w:t>含水层渗透系数</w:t>
            </w:r>
          </w:p>
        </w:tc>
        <w:tc>
          <w:tcPr>
            <w:tcW w:w="544" w:type="dxa"/>
            <w:vAlign w:val="center"/>
          </w:tcPr>
          <w:p>
            <w:pPr>
              <w:widowControl/>
              <w:jc w:val="center"/>
              <w:rPr>
                <w:rFonts w:eastAsia="Times New Roman"/>
                <w:kern w:val="0"/>
              </w:rPr>
            </w:pPr>
            <w:r>
              <w:rPr>
                <w:rFonts w:eastAsia="Times New Roman"/>
                <w:kern w:val="0"/>
              </w:rPr>
              <w:t>m/d</w:t>
            </w:r>
          </w:p>
        </w:tc>
        <w:tc>
          <w:tcPr>
            <w:tcW w:w="5511" w:type="dxa"/>
            <w:vAlign w:val="center"/>
          </w:tcPr>
          <w:p>
            <w:pPr>
              <w:widowControl/>
              <w:jc w:val="center"/>
              <w:rPr>
                <w:rFonts w:eastAsia="Times New Roman"/>
                <w:kern w:val="0"/>
              </w:rPr>
            </w:pPr>
            <w:r>
              <w:rPr>
                <w:rFonts w:eastAsia="Times New Roman"/>
                <w:kern w:val="0"/>
              </w:rPr>
              <w:t>1.09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imes New Roman"/>
                <w:kern w:val="0"/>
              </w:rPr>
            </w:pPr>
            <w:r>
              <w:rPr>
                <w:rFonts w:ascii="宋体" w:hAnsi="宋体" w:eastAsia="Times New Roman"/>
                <w:kern w:val="0"/>
              </w:rPr>
              <w:t>纵向弥散度</w:t>
            </w:r>
          </w:p>
        </w:tc>
        <w:tc>
          <w:tcPr>
            <w:tcW w:w="544" w:type="dxa"/>
            <w:vAlign w:val="center"/>
          </w:tcPr>
          <w:p>
            <w:pPr>
              <w:widowControl/>
              <w:jc w:val="center"/>
              <w:rPr>
                <w:rFonts w:eastAsia="Times New Roman"/>
                <w:kern w:val="0"/>
              </w:rPr>
            </w:pPr>
            <w:r>
              <w:rPr>
                <w:rFonts w:eastAsia="Times New Roman"/>
                <w:kern w:val="0"/>
              </w:rPr>
              <w:t>m</w:t>
            </w:r>
          </w:p>
        </w:tc>
        <w:tc>
          <w:tcPr>
            <w:tcW w:w="5511" w:type="dxa"/>
            <w:vAlign w:val="center"/>
          </w:tcPr>
          <w:p>
            <w:pPr>
              <w:widowControl/>
              <w:jc w:val="center"/>
              <w:rPr>
                <w:rFonts w:eastAsia="Times New Roman"/>
                <w:kern w:val="0"/>
              </w:rPr>
            </w:pPr>
            <w:r>
              <w:rPr>
                <w:rFonts w:eastAsia="Times New Roman"/>
                <w:kern w:val="0"/>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imes New Roman"/>
                <w:kern w:val="0"/>
              </w:rPr>
            </w:pPr>
            <w:r>
              <w:rPr>
                <w:rFonts w:ascii="宋体" w:hAnsi="宋体" w:eastAsia="Times New Roman"/>
                <w:kern w:val="0"/>
              </w:rPr>
              <w:t>水平弥散系数</w:t>
            </w:r>
            <w:r>
              <w:rPr>
                <w:rFonts w:eastAsia="Times New Roman"/>
                <w:kern w:val="0"/>
              </w:rPr>
              <w:t>/</w:t>
            </w:r>
            <w:r>
              <w:rPr>
                <w:rFonts w:ascii="宋体" w:hAnsi="宋体" w:eastAsia="Times New Roman"/>
                <w:kern w:val="0"/>
              </w:rPr>
              <w:t>纵向弥散系数</w:t>
            </w:r>
          </w:p>
        </w:tc>
        <w:tc>
          <w:tcPr>
            <w:tcW w:w="544" w:type="dxa"/>
            <w:vAlign w:val="center"/>
          </w:tcPr>
          <w:p>
            <w:pPr>
              <w:widowControl/>
              <w:jc w:val="center"/>
              <w:rPr>
                <w:rFonts w:eastAsia="Times New Roman"/>
                <w:kern w:val="0"/>
              </w:rPr>
            </w:pPr>
            <w:r>
              <w:rPr>
                <w:rFonts w:eastAsia="Times New Roman"/>
                <w:kern w:val="0"/>
              </w:rPr>
              <w:t>--</w:t>
            </w:r>
          </w:p>
        </w:tc>
        <w:tc>
          <w:tcPr>
            <w:tcW w:w="5511" w:type="dxa"/>
            <w:vAlign w:val="center"/>
          </w:tcPr>
          <w:p>
            <w:pPr>
              <w:widowControl/>
              <w:jc w:val="center"/>
              <w:rPr>
                <w:rFonts w:eastAsia="Times New Roman"/>
                <w:kern w:val="0"/>
              </w:rPr>
            </w:pPr>
            <w:r>
              <w:rPr>
                <w:rFonts w:eastAsia="Times New Roman"/>
                <w:kern w:val="0"/>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7" w:type="dxa"/>
            <w:vAlign w:val="center"/>
          </w:tcPr>
          <w:p>
            <w:pPr>
              <w:widowControl/>
              <w:jc w:val="center"/>
              <w:rPr>
                <w:rFonts w:eastAsiaTheme="minorEastAsia"/>
                <w:color w:val="FF0000"/>
              </w:rPr>
            </w:pPr>
            <w:r>
              <w:rPr>
                <w:rFonts w:hint="eastAsia" w:ascii="宋体" w:hAnsi="宋体" w:eastAsia="Times New Roman" w:cs="宋体"/>
                <w:color w:val="FF0000"/>
              </w:rPr>
              <w:t>模型垂向模拟深度</w:t>
            </w:r>
          </w:p>
        </w:tc>
        <w:tc>
          <w:tcPr>
            <w:tcW w:w="544" w:type="dxa"/>
            <w:vAlign w:val="center"/>
          </w:tcPr>
          <w:p>
            <w:pPr>
              <w:widowControl/>
              <w:jc w:val="center"/>
              <w:rPr>
                <w:rFonts w:eastAsia="Times New Roman"/>
                <w:color w:val="FF0000"/>
                <w:kern w:val="0"/>
              </w:rPr>
            </w:pPr>
            <w:r>
              <w:rPr>
                <w:rFonts w:hint="eastAsia" w:eastAsia="Times New Roman"/>
                <w:color w:val="FF0000"/>
              </w:rPr>
              <w:t>m</w:t>
            </w:r>
          </w:p>
        </w:tc>
        <w:tc>
          <w:tcPr>
            <w:tcW w:w="5511" w:type="dxa"/>
            <w:vAlign w:val="center"/>
          </w:tcPr>
          <w:p>
            <w:pPr>
              <w:widowControl/>
              <w:jc w:val="center"/>
              <w:rPr>
                <w:rFonts w:eastAsia="Times New Roman"/>
                <w:color w:val="FF0000"/>
                <w:kern w:val="0"/>
              </w:rPr>
            </w:pPr>
            <w:r>
              <w:rPr>
                <w:rFonts w:hint="eastAsia" w:ascii="宋体" w:hAnsi="宋体" w:eastAsia="Times New Roman" w:cs="宋体"/>
                <w:color w:val="FF0000"/>
              </w:rPr>
              <w:t>评价区水位埋深平均</w:t>
            </w:r>
            <w:r>
              <w:rPr>
                <w:rFonts w:hint="eastAsia" w:eastAsia="Times New Roman"/>
                <w:color w:val="FF0000"/>
              </w:rPr>
              <w:t>3.97m</w:t>
            </w:r>
            <w:r>
              <w:rPr>
                <w:rFonts w:hint="eastAsia" w:ascii="宋体" w:hAnsi="宋体" w:eastAsia="Times New Roman" w:cs="宋体"/>
                <w:color w:val="FF0000"/>
              </w:rPr>
              <w:t>，含水层厚度平均</w:t>
            </w:r>
            <w:r>
              <w:rPr>
                <w:rFonts w:hint="eastAsia" w:eastAsia="Times New Roman"/>
                <w:color w:val="FF0000"/>
              </w:rPr>
              <w:t>55m</w:t>
            </w:r>
            <w:r>
              <w:rPr>
                <w:rFonts w:hint="eastAsia" w:ascii="宋体" w:hAnsi="宋体" w:eastAsia="Times New Roman" w:cs="宋体"/>
                <w:color w:val="FF0000"/>
              </w:rPr>
              <w:t>，模拟深度平均为</w:t>
            </w:r>
            <w:r>
              <w:rPr>
                <w:rFonts w:hint="eastAsia" w:eastAsia="Times New Roman"/>
                <w:color w:val="FF0000"/>
              </w:rPr>
              <w:t>58.97m</w:t>
            </w:r>
          </w:p>
        </w:tc>
      </w:tr>
    </w:tbl>
    <w:p>
      <w:pPr>
        <w:spacing w:line="360" w:lineRule="auto"/>
        <w:ind w:firstLine="480" w:firstLineChars="200"/>
        <w:rPr>
          <w:sz w:val="24"/>
        </w:rPr>
      </w:pPr>
      <w:r>
        <w:rPr>
          <w:rFonts w:ascii="宋体" w:hAnsi="宋体"/>
          <w:sz w:val="24"/>
        </w:rPr>
        <w:t>（</w:t>
      </w:r>
      <w:r>
        <w:rPr>
          <w:sz w:val="24"/>
        </w:rPr>
        <w:t>5</w:t>
      </w:r>
      <w:r>
        <w:rPr>
          <w:rFonts w:ascii="宋体" w:hAnsi="宋体"/>
          <w:sz w:val="24"/>
        </w:rPr>
        <w:t>）源汇项处理</w:t>
      </w:r>
    </w:p>
    <w:p>
      <w:pPr>
        <w:spacing w:line="360" w:lineRule="auto"/>
        <w:ind w:firstLine="480" w:firstLineChars="200"/>
        <w:rPr>
          <w:sz w:val="24"/>
        </w:rPr>
      </w:pPr>
      <w:r>
        <w:rPr>
          <w:rFonts w:ascii="宋体" w:hAnsi="宋体"/>
          <w:sz w:val="24"/>
        </w:rPr>
        <w:t>评价区内补给项主要为侧向流入和大气降水入渗补给量，排泄项有侧向流出排泄、蒸发、人工开采。</w:t>
      </w:r>
    </w:p>
    <w:p>
      <w:pPr>
        <w:spacing w:line="360" w:lineRule="auto"/>
        <w:ind w:firstLine="480" w:firstLineChars="200"/>
        <w:rPr>
          <w:sz w:val="24"/>
        </w:rPr>
      </w:pPr>
      <w:r>
        <w:rPr>
          <w:rFonts w:hint="eastAsia" w:ascii="宋体" w:hAnsi="宋体"/>
          <w:sz w:val="24"/>
        </w:rPr>
        <w:t>①</w:t>
      </w:r>
      <w:r>
        <w:rPr>
          <w:rFonts w:ascii="宋体" w:hAnsi="宋体"/>
          <w:sz w:val="24"/>
        </w:rPr>
        <w:t>降水入渗补给量</w:t>
      </w:r>
    </w:p>
    <w:p>
      <w:pPr>
        <w:spacing w:line="360" w:lineRule="auto"/>
        <w:ind w:firstLine="480" w:firstLineChars="200"/>
        <w:rPr>
          <w:sz w:val="24"/>
        </w:rPr>
      </w:pPr>
      <w:r>
        <w:rPr>
          <w:rFonts w:ascii="宋体" w:hAnsi="宋体"/>
          <w:sz w:val="24"/>
        </w:rPr>
        <w:t>大气降水入渗补给地下水是一个复杂的过程，入渗补给量的大小不仅与降水强度、降水在时间上的分配、地形、植被的情况有关，而且与地下水的埋深、包气带岩性以及降水前包气带的含水量等有关。为简化起见，通常采用下式计算：</w:t>
      </w:r>
    </w:p>
    <w:p>
      <w:pPr>
        <w:spacing w:line="360" w:lineRule="auto"/>
        <w:ind w:firstLine="480" w:firstLineChars="200"/>
        <w:rPr>
          <w:sz w:val="24"/>
        </w:rPr>
      </w:pPr>
      <w:r>
        <w:rPr>
          <w:sz w:val="24"/>
        </w:rPr>
        <w:t>Q</w:t>
      </w:r>
      <w:r>
        <w:rPr>
          <w:rFonts w:ascii="宋体" w:hAnsi="宋体"/>
          <w:sz w:val="24"/>
          <w:vertAlign w:val="subscript"/>
        </w:rPr>
        <w:t>降</w:t>
      </w:r>
      <w:r>
        <w:rPr>
          <w:sz w:val="24"/>
        </w:rPr>
        <w:t>=α·F·P</w:t>
      </w:r>
    </w:p>
    <w:p>
      <w:pPr>
        <w:spacing w:line="360" w:lineRule="auto"/>
        <w:ind w:firstLine="480" w:firstLineChars="200"/>
        <w:rPr>
          <w:sz w:val="24"/>
        </w:rPr>
      </w:pPr>
      <w:r>
        <w:rPr>
          <w:rFonts w:ascii="宋体" w:hAnsi="宋体"/>
          <w:sz w:val="24"/>
        </w:rPr>
        <w:t>式中：</w:t>
      </w:r>
      <w:r>
        <w:rPr>
          <w:sz w:val="24"/>
        </w:rPr>
        <w:t>α—</w:t>
      </w:r>
      <w:r>
        <w:rPr>
          <w:rFonts w:ascii="宋体" w:hAnsi="宋体"/>
          <w:sz w:val="24"/>
        </w:rPr>
        <w:t>降水入渗系数（无量纲）；</w:t>
      </w:r>
    </w:p>
    <w:p>
      <w:pPr>
        <w:spacing w:line="360" w:lineRule="auto"/>
        <w:ind w:firstLine="1200" w:firstLineChars="500"/>
        <w:rPr>
          <w:sz w:val="24"/>
        </w:rPr>
      </w:pPr>
      <w:r>
        <w:rPr>
          <w:sz w:val="24"/>
        </w:rPr>
        <w:t>F—</w:t>
      </w:r>
      <w:r>
        <w:rPr>
          <w:rFonts w:ascii="宋体" w:hAnsi="宋体"/>
          <w:sz w:val="24"/>
        </w:rPr>
        <w:t>接受降水入渗的地表面积（</w:t>
      </w:r>
      <w:r>
        <w:rPr>
          <w:sz w:val="24"/>
        </w:rPr>
        <w:t>m</w:t>
      </w:r>
      <w:r>
        <w:rPr>
          <w:sz w:val="24"/>
          <w:vertAlign w:val="superscript"/>
        </w:rPr>
        <w:t>2</w:t>
      </w:r>
      <w:r>
        <w:rPr>
          <w:rFonts w:ascii="宋体" w:hAnsi="宋体"/>
          <w:sz w:val="24"/>
        </w:rPr>
        <w:t>）；</w:t>
      </w:r>
    </w:p>
    <w:p>
      <w:pPr>
        <w:spacing w:line="360" w:lineRule="auto"/>
        <w:ind w:firstLine="1200" w:firstLineChars="500"/>
        <w:rPr>
          <w:sz w:val="24"/>
        </w:rPr>
      </w:pPr>
      <w:r>
        <w:rPr>
          <w:sz w:val="24"/>
        </w:rPr>
        <w:t>P—</w:t>
      </w:r>
      <w:r>
        <w:rPr>
          <w:rFonts w:ascii="宋体" w:hAnsi="宋体"/>
          <w:sz w:val="24"/>
        </w:rPr>
        <w:t>年平均降水量（降水深）（</w:t>
      </w:r>
      <w:r>
        <w:rPr>
          <w:sz w:val="24"/>
        </w:rPr>
        <w:t>m</w:t>
      </w:r>
      <w:r>
        <w:rPr>
          <w:rFonts w:ascii="宋体" w:hAnsi="宋体"/>
          <w:sz w:val="24"/>
        </w:rPr>
        <w:t>）；</w:t>
      </w:r>
    </w:p>
    <w:p>
      <w:pPr>
        <w:spacing w:line="360" w:lineRule="auto"/>
        <w:ind w:firstLine="480" w:firstLineChars="200"/>
        <w:rPr>
          <w:sz w:val="24"/>
        </w:rPr>
      </w:pPr>
      <w:r>
        <w:rPr>
          <w:rFonts w:hint="eastAsia" w:ascii="宋体" w:hAnsi="宋体"/>
          <w:sz w:val="24"/>
        </w:rPr>
        <w:t>②</w:t>
      </w:r>
      <w:r>
        <w:rPr>
          <w:rFonts w:ascii="宋体" w:hAnsi="宋体"/>
          <w:sz w:val="24"/>
        </w:rPr>
        <w:t>人工开采量</w:t>
      </w:r>
    </w:p>
    <w:p>
      <w:pPr>
        <w:spacing w:line="360" w:lineRule="auto"/>
        <w:ind w:firstLine="480" w:firstLineChars="200"/>
        <w:rPr>
          <w:sz w:val="24"/>
        </w:rPr>
      </w:pPr>
      <w:r>
        <w:rPr>
          <w:rFonts w:ascii="宋体" w:hAnsi="宋体"/>
          <w:sz w:val="24"/>
        </w:rPr>
        <w:t>人工开采量为主要为区内生活用水开采量。将调查得到评价区的开采量直接赋予模型中的</w:t>
      </w:r>
      <w:r>
        <w:rPr>
          <w:sz w:val="24"/>
        </w:rPr>
        <w:t>“pumping well”</w:t>
      </w:r>
      <w:r>
        <w:rPr>
          <w:rFonts w:ascii="宋体" w:hAnsi="宋体"/>
          <w:sz w:val="24"/>
        </w:rPr>
        <w:t>模块。</w:t>
      </w:r>
    </w:p>
    <w:p>
      <w:pPr>
        <w:spacing w:line="360" w:lineRule="auto"/>
        <w:ind w:firstLine="480" w:firstLineChars="200"/>
        <w:rPr>
          <w:sz w:val="24"/>
        </w:rPr>
      </w:pPr>
      <w:r>
        <w:rPr>
          <w:rFonts w:hint="eastAsia" w:ascii="宋体" w:hAnsi="宋体"/>
          <w:sz w:val="24"/>
        </w:rPr>
        <w:t>③</w:t>
      </w:r>
      <w:r>
        <w:rPr>
          <w:rFonts w:ascii="宋体" w:hAnsi="宋体"/>
          <w:sz w:val="24"/>
        </w:rPr>
        <w:t>侧向流入流出量</w:t>
      </w:r>
    </w:p>
    <w:p>
      <w:pPr>
        <w:spacing w:line="360" w:lineRule="auto"/>
        <w:ind w:firstLine="480" w:firstLineChars="200"/>
        <w:rPr>
          <w:sz w:val="24"/>
        </w:rPr>
      </w:pPr>
      <w:r>
        <w:rPr>
          <w:rFonts w:ascii="宋体" w:hAnsi="宋体"/>
          <w:sz w:val="24"/>
        </w:rPr>
        <w:t>评价区南部为流入边界，北部为流出边界，流入流出量根据边界附近含水层厚度、渗透系数和水力梯度、边界长度采用达西定律进行计算。在数值模型中，模型可以根据边界附近的含水层厚度、渗透系数、根据达西定律自动计算边界流入流出量。</w:t>
      </w:r>
    </w:p>
    <w:p>
      <w:pPr>
        <w:spacing w:line="360" w:lineRule="auto"/>
        <w:ind w:firstLine="480" w:firstLineChars="200"/>
        <w:rPr>
          <w:sz w:val="24"/>
        </w:rPr>
      </w:pPr>
      <w:r>
        <w:rPr>
          <w:rFonts w:hint="eastAsia" w:ascii="宋体" w:hAnsi="宋体"/>
          <w:sz w:val="24"/>
        </w:rPr>
        <w:t>④</w:t>
      </w:r>
      <w:r>
        <w:rPr>
          <w:rFonts w:ascii="宋体" w:hAnsi="宋体"/>
          <w:sz w:val="24"/>
        </w:rPr>
        <w:t>蒸发</w:t>
      </w:r>
    </w:p>
    <w:p>
      <w:pPr>
        <w:spacing w:line="360" w:lineRule="auto"/>
        <w:ind w:firstLine="480" w:firstLineChars="200"/>
        <w:rPr>
          <w:sz w:val="24"/>
        </w:rPr>
      </w:pPr>
      <w:r>
        <w:rPr>
          <w:rFonts w:ascii="宋体" w:hAnsi="宋体"/>
          <w:sz w:val="24"/>
        </w:rPr>
        <w:t>蒸发强度采用阿维里扬诺夫公式计算，计算公式如下：</w:t>
      </w:r>
    </w:p>
    <w:p>
      <w:pPr>
        <w:spacing w:line="360" w:lineRule="auto"/>
        <w:ind w:firstLine="420" w:firstLineChars="200"/>
        <w:rPr>
          <w:sz w:val="24"/>
        </w:rPr>
      </w:pPr>
      <w:r>
        <w:rPr>
          <w:rFonts w:hint="eastAsia"/>
        </w:rPr>
        <w:drawing>
          <wp:inline distT="0" distB="0" distL="0" distR="0">
            <wp:extent cx="2266950" cy="847725"/>
            <wp:effectExtent l="0" t="0" r="0" b="9525"/>
            <wp:docPr id="284" name="图片 284" descr="C:\Users\众成环境\AppData\Local\Temp\ksohtml24568\wp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C:\Users\众成环境\AppData\Local\Temp\ksohtml24568\wps2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266950" cy="847725"/>
                    </a:xfrm>
                    <a:prstGeom prst="rect">
                      <a:avLst/>
                    </a:prstGeom>
                    <a:noFill/>
                    <a:ln>
                      <a:noFill/>
                    </a:ln>
                  </pic:spPr>
                </pic:pic>
              </a:graphicData>
            </a:graphic>
          </wp:inline>
        </w:drawing>
      </w:r>
      <w:r>
        <w:rPr>
          <w:sz w:val="24"/>
        </w:rPr>
        <w:t xml:space="preserve"> </w:t>
      </w:r>
    </w:p>
    <w:p>
      <w:pPr>
        <w:spacing w:line="360" w:lineRule="auto"/>
        <w:ind w:firstLine="480" w:firstLineChars="200"/>
        <w:rPr>
          <w:sz w:val="24"/>
        </w:rPr>
      </w:pPr>
      <w:r>
        <w:rPr>
          <w:rFonts w:ascii="宋体" w:hAnsi="宋体"/>
          <w:sz w:val="24"/>
        </w:rPr>
        <w:t>式中：</w:t>
      </w:r>
      <w:r>
        <w:rPr>
          <w:sz w:val="24"/>
        </w:rPr>
        <w:t>Eg—</w:t>
      </w:r>
      <w:r>
        <w:rPr>
          <w:rFonts w:ascii="宋体" w:hAnsi="宋体"/>
          <w:sz w:val="24"/>
        </w:rPr>
        <w:t>潜水蒸发强度（</w:t>
      </w:r>
      <w:r>
        <w:rPr>
          <w:sz w:val="24"/>
        </w:rPr>
        <w:t>m/d</w:t>
      </w:r>
      <w:r>
        <w:rPr>
          <w:rFonts w:ascii="宋体" w:hAnsi="宋体"/>
          <w:sz w:val="24"/>
        </w:rPr>
        <w:t>）；</w:t>
      </w:r>
    </w:p>
    <w:p>
      <w:pPr>
        <w:spacing w:line="360" w:lineRule="auto"/>
        <w:ind w:firstLine="480" w:firstLineChars="200"/>
        <w:rPr>
          <w:sz w:val="24"/>
        </w:rPr>
      </w:pPr>
      <w:r>
        <w:rPr>
          <w:sz w:val="24"/>
        </w:rPr>
        <w:t>E</w:t>
      </w:r>
      <w:r>
        <w:rPr>
          <w:sz w:val="24"/>
          <w:vertAlign w:val="subscript"/>
        </w:rPr>
        <w:t>0</w:t>
      </w:r>
      <w:r>
        <w:rPr>
          <w:sz w:val="24"/>
        </w:rPr>
        <w:t>—</w:t>
      </w:r>
      <w:r>
        <w:rPr>
          <w:rFonts w:ascii="宋体" w:hAnsi="宋体"/>
          <w:sz w:val="24"/>
        </w:rPr>
        <w:t>水面蒸发强度（</w:t>
      </w:r>
      <w:r>
        <w:rPr>
          <w:sz w:val="24"/>
        </w:rPr>
        <w:t>m/d</w:t>
      </w:r>
      <w:r>
        <w:rPr>
          <w:rFonts w:ascii="宋体" w:hAnsi="宋体"/>
          <w:sz w:val="24"/>
        </w:rPr>
        <w:t>），取评价区多年平均蒸发强度</w:t>
      </w:r>
      <w:r>
        <w:rPr>
          <w:sz w:val="24"/>
        </w:rPr>
        <w:t>1598.6mm</w:t>
      </w:r>
      <w:r>
        <w:rPr>
          <w:rFonts w:ascii="宋体" w:hAnsi="宋体"/>
          <w:sz w:val="24"/>
        </w:rPr>
        <w:t>；</w:t>
      </w:r>
    </w:p>
    <w:p>
      <w:pPr>
        <w:spacing w:line="360" w:lineRule="auto"/>
        <w:ind w:firstLine="480" w:firstLineChars="200"/>
        <w:rPr>
          <w:sz w:val="24"/>
        </w:rPr>
      </w:pPr>
      <w:r>
        <w:rPr>
          <w:sz w:val="24"/>
        </w:rPr>
        <w:t>Δ—</w:t>
      </w:r>
      <w:r>
        <w:rPr>
          <w:rFonts w:ascii="宋体" w:hAnsi="宋体"/>
          <w:sz w:val="24"/>
        </w:rPr>
        <w:t>水位埋深（</w:t>
      </w:r>
      <w:r>
        <w:rPr>
          <w:sz w:val="24"/>
        </w:rPr>
        <w:t>m</w:t>
      </w:r>
      <w:r>
        <w:rPr>
          <w:rFonts w:ascii="宋体" w:hAnsi="宋体"/>
          <w:sz w:val="24"/>
        </w:rPr>
        <w:t>）；</w:t>
      </w:r>
    </w:p>
    <w:p>
      <w:pPr>
        <w:spacing w:line="360" w:lineRule="auto"/>
        <w:ind w:firstLine="480" w:firstLineChars="200"/>
        <w:rPr>
          <w:sz w:val="24"/>
        </w:rPr>
      </w:pPr>
      <w:r>
        <w:rPr>
          <w:sz w:val="24"/>
        </w:rPr>
        <w:t>Δ</w:t>
      </w:r>
      <w:r>
        <w:rPr>
          <w:sz w:val="24"/>
          <w:vertAlign w:val="subscript"/>
        </w:rPr>
        <w:t>0</w:t>
      </w:r>
      <w:r>
        <w:rPr>
          <w:sz w:val="24"/>
        </w:rPr>
        <w:t>—</w:t>
      </w:r>
      <w:r>
        <w:rPr>
          <w:rFonts w:ascii="宋体" w:hAnsi="宋体"/>
          <w:sz w:val="24"/>
        </w:rPr>
        <w:t>潜水蒸发极限埋深，取</w:t>
      </w:r>
      <w:r>
        <w:rPr>
          <w:sz w:val="24"/>
        </w:rPr>
        <w:t>5m</w:t>
      </w:r>
      <w:r>
        <w:rPr>
          <w:rFonts w:ascii="宋体" w:hAnsi="宋体"/>
          <w:sz w:val="24"/>
        </w:rPr>
        <w:t>；</w:t>
      </w:r>
    </w:p>
    <w:p>
      <w:pPr>
        <w:spacing w:line="360" w:lineRule="auto"/>
        <w:ind w:firstLine="480" w:firstLineChars="200"/>
        <w:rPr>
          <w:sz w:val="24"/>
        </w:rPr>
      </w:pPr>
      <w:r>
        <w:rPr>
          <w:sz w:val="24"/>
        </w:rPr>
        <w:t>n—</w:t>
      </w:r>
      <w:r>
        <w:rPr>
          <w:rFonts w:ascii="宋体" w:hAnsi="宋体"/>
          <w:sz w:val="24"/>
        </w:rPr>
        <w:t>与包气带土质、气候有关的蒸发指数，本次计算取</w:t>
      </w:r>
      <w:r>
        <w:rPr>
          <w:sz w:val="24"/>
        </w:rPr>
        <w:t>1</w:t>
      </w:r>
      <w:r>
        <w:rPr>
          <w:rFonts w:ascii="宋体" w:hAnsi="宋体"/>
          <w:sz w:val="24"/>
        </w:rPr>
        <w:t>。</w:t>
      </w:r>
    </w:p>
    <w:p>
      <w:pPr>
        <w:spacing w:line="360" w:lineRule="auto"/>
        <w:ind w:firstLine="480" w:firstLineChars="200"/>
        <w:rPr>
          <w:sz w:val="24"/>
        </w:rPr>
      </w:pPr>
      <w:r>
        <w:rPr>
          <w:rFonts w:ascii="宋体" w:hAnsi="宋体"/>
          <w:sz w:val="24"/>
        </w:rPr>
        <w:t>（</w:t>
      </w:r>
      <w:r>
        <w:rPr>
          <w:sz w:val="24"/>
        </w:rPr>
        <w:t>6</w:t>
      </w:r>
      <w:r>
        <w:rPr>
          <w:rFonts w:ascii="宋体" w:hAnsi="宋体"/>
          <w:sz w:val="24"/>
        </w:rPr>
        <w:t>）模型的识别和验证</w:t>
      </w:r>
    </w:p>
    <w:p>
      <w:pPr>
        <w:spacing w:line="360" w:lineRule="auto"/>
        <w:ind w:firstLine="480" w:firstLineChars="200"/>
        <w:rPr>
          <w:sz w:val="24"/>
        </w:rPr>
      </w:pPr>
      <w:r>
        <w:rPr>
          <w:rFonts w:ascii="宋体" w:hAnsi="宋体"/>
          <w:sz w:val="24"/>
        </w:rPr>
        <w:t>模型的识别与验证过程是整个模拟中极为重要的一步工作，通常要在反复修改参数和调整某些源汇项输入的基础上，才能达到较为理想的拟合结果。此模型的识别与检验过程采用的方法称为试估</w:t>
      </w:r>
      <w:r>
        <w:rPr>
          <w:sz w:val="24"/>
        </w:rPr>
        <w:t>—</w:t>
      </w:r>
      <w:r>
        <w:rPr>
          <w:rFonts w:ascii="宋体" w:hAnsi="宋体"/>
          <w:sz w:val="24"/>
        </w:rPr>
        <w:t>校正法，属于反求参数的间接方法之一。</w:t>
      </w:r>
    </w:p>
    <w:p>
      <w:pPr>
        <w:spacing w:line="360" w:lineRule="auto"/>
        <w:ind w:firstLine="480" w:firstLineChars="200"/>
        <w:rPr>
          <w:sz w:val="24"/>
        </w:rPr>
      </w:pPr>
      <w:r>
        <w:rPr>
          <w:rFonts w:ascii="宋体" w:hAnsi="宋体"/>
          <w:sz w:val="24"/>
        </w:rPr>
        <w:t>稳定流模型识别和验证主要遵循以下原则：</w:t>
      </w:r>
    </w:p>
    <w:p>
      <w:pPr>
        <w:adjustRightInd w:val="0"/>
        <w:snapToGrid w:val="0"/>
        <w:spacing w:line="360" w:lineRule="auto"/>
        <w:ind w:firstLine="480" w:firstLineChars="200"/>
        <w:rPr>
          <w:sz w:val="24"/>
        </w:rPr>
      </w:pPr>
      <w:r>
        <w:rPr>
          <w:rFonts w:hint="eastAsia" w:ascii="宋体" w:hAnsi="宋体"/>
          <w:sz w:val="24"/>
        </w:rPr>
        <w:t>①</w:t>
      </w:r>
      <w:r>
        <w:rPr>
          <w:rFonts w:ascii="宋体" w:hAnsi="宋体"/>
          <w:sz w:val="24"/>
        </w:rPr>
        <w:t>模拟的地下水流场要与实际地下水流场基本一致，即要求地下水模拟等值线与实测地下水位等值线形状相似；</w:t>
      </w:r>
    </w:p>
    <w:p>
      <w:pPr>
        <w:adjustRightInd w:val="0"/>
        <w:snapToGrid w:val="0"/>
        <w:spacing w:line="360" w:lineRule="auto"/>
        <w:ind w:firstLine="480" w:firstLineChars="200"/>
        <w:rPr>
          <w:sz w:val="24"/>
        </w:rPr>
      </w:pPr>
      <w:r>
        <w:rPr>
          <w:rFonts w:hint="eastAsia" w:ascii="宋体" w:hAnsi="宋体"/>
          <w:sz w:val="24"/>
        </w:rPr>
        <w:t>②</w:t>
      </w:r>
      <w:r>
        <w:rPr>
          <w:rFonts w:ascii="宋体" w:hAnsi="宋体"/>
          <w:sz w:val="24"/>
        </w:rPr>
        <w:t>水位监测点监测数据要与模拟值接近，参加拟合的水位监测点至少有</w:t>
      </w:r>
      <w:r>
        <w:rPr>
          <w:sz w:val="24"/>
        </w:rPr>
        <w:t>75%</w:t>
      </w:r>
      <w:r>
        <w:rPr>
          <w:rFonts w:ascii="宋体" w:hAnsi="宋体"/>
          <w:sz w:val="24"/>
        </w:rPr>
        <w:t>的点水位模拟值与计算值的偏差在</w:t>
      </w:r>
      <w:r>
        <w:rPr>
          <w:sz w:val="24"/>
        </w:rPr>
        <w:t>0.5m</w:t>
      </w:r>
      <w:r>
        <w:rPr>
          <w:rFonts w:ascii="宋体" w:hAnsi="宋体"/>
          <w:sz w:val="24"/>
        </w:rPr>
        <w:t>以内；</w:t>
      </w:r>
    </w:p>
    <w:p>
      <w:pPr>
        <w:adjustRightInd w:val="0"/>
        <w:snapToGrid w:val="0"/>
        <w:spacing w:line="360" w:lineRule="auto"/>
        <w:ind w:firstLine="480" w:firstLineChars="200"/>
        <w:rPr>
          <w:sz w:val="24"/>
        </w:rPr>
      </w:pPr>
      <w:r>
        <w:rPr>
          <w:rFonts w:hint="eastAsia" w:ascii="宋体" w:hAnsi="宋体"/>
          <w:sz w:val="24"/>
        </w:rPr>
        <w:t>③</w:t>
      </w:r>
      <w:r>
        <w:rPr>
          <w:rFonts w:ascii="宋体" w:hAnsi="宋体"/>
          <w:sz w:val="24"/>
        </w:rPr>
        <w:t>稳定流模型源之总和与汇之总和相对误差在</w:t>
      </w:r>
      <w:r>
        <w:rPr>
          <w:sz w:val="24"/>
        </w:rPr>
        <w:t>5%</w:t>
      </w:r>
      <w:r>
        <w:rPr>
          <w:rFonts w:ascii="宋体" w:hAnsi="宋体"/>
          <w:sz w:val="24"/>
        </w:rPr>
        <w:t>以内；</w:t>
      </w:r>
    </w:p>
    <w:p>
      <w:pPr>
        <w:adjustRightInd w:val="0"/>
        <w:snapToGrid w:val="0"/>
        <w:spacing w:line="360" w:lineRule="auto"/>
        <w:ind w:firstLine="480" w:firstLineChars="200"/>
        <w:rPr>
          <w:sz w:val="24"/>
        </w:rPr>
      </w:pPr>
      <w:r>
        <w:rPr>
          <w:rFonts w:hint="eastAsia" w:ascii="宋体" w:hAnsi="宋体"/>
          <w:sz w:val="24"/>
        </w:rPr>
        <w:t>④</w:t>
      </w:r>
      <w:r>
        <w:rPr>
          <w:rFonts w:ascii="宋体" w:hAnsi="宋体"/>
          <w:sz w:val="24"/>
        </w:rPr>
        <w:t>识别的水文地质参数要符合实际水文地质条件。</w:t>
      </w:r>
    </w:p>
    <w:p>
      <w:pPr>
        <w:spacing w:line="360" w:lineRule="auto"/>
        <w:ind w:firstLine="480" w:firstLineChars="200"/>
        <w:rPr>
          <w:sz w:val="24"/>
        </w:rPr>
      </w:pPr>
      <w:r>
        <w:rPr>
          <w:rFonts w:ascii="宋体" w:hAnsi="宋体"/>
          <w:sz w:val="24"/>
        </w:rPr>
        <w:t>根据以上原则，对模拟区地下水系统进行了识别和验证，通过反复调整参数和均衡量，识别水文地质条件，确定了模型结构、参数和均衡要素。</w:t>
      </w:r>
    </w:p>
    <w:p>
      <w:pPr>
        <w:spacing w:line="360" w:lineRule="auto"/>
        <w:ind w:firstLine="480" w:firstLineChars="200"/>
        <w:rPr>
          <w:sz w:val="24"/>
        </w:rPr>
      </w:pPr>
      <w:r>
        <w:rPr>
          <w:rFonts w:ascii="宋体" w:hAnsi="宋体"/>
          <w:sz w:val="24"/>
        </w:rPr>
        <w:t>由模拟可知：评价区观测孔实测水位与模拟水位拟合较好，参与计算的</w:t>
      </w:r>
      <w:r>
        <w:rPr>
          <w:sz w:val="24"/>
        </w:rPr>
        <w:t>10</w:t>
      </w:r>
      <w:r>
        <w:rPr>
          <w:rFonts w:ascii="宋体" w:hAnsi="宋体"/>
          <w:sz w:val="24"/>
        </w:rPr>
        <w:t>个点中，模拟水位与实测水位差在</w:t>
      </w:r>
      <w:r>
        <w:rPr>
          <w:sz w:val="24"/>
        </w:rPr>
        <w:t>0.5m</w:t>
      </w:r>
      <w:r>
        <w:rPr>
          <w:rFonts w:ascii="宋体" w:hAnsi="宋体"/>
          <w:sz w:val="24"/>
        </w:rPr>
        <w:t>以内的监测点有</w:t>
      </w:r>
      <w:r>
        <w:rPr>
          <w:sz w:val="24"/>
        </w:rPr>
        <w:t>10</w:t>
      </w:r>
      <w:r>
        <w:rPr>
          <w:rFonts w:ascii="宋体" w:hAnsi="宋体"/>
          <w:sz w:val="24"/>
        </w:rPr>
        <w:t>个，占总点数的</w:t>
      </w:r>
      <w:r>
        <w:rPr>
          <w:sz w:val="24"/>
        </w:rPr>
        <w:t>100%</w:t>
      </w:r>
      <w:r>
        <w:rPr>
          <w:rFonts w:ascii="宋体" w:hAnsi="宋体"/>
          <w:sz w:val="24"/>
        </w:rPr>
        <w:t>，水位观测点拟合较好；由下水流数值模型流场拟合结果图可知：经识别后实测流场（图中绿色线）和模拟流场（图中蓝色线）拟合较好；由模型水均衡计算结果可知，模型水均衡项源和汇相对误差在</w:t>
      </w:r>
      <w:r>
        <w:rPr>
          <w:sz w:val="24"/>
        </w:rPr>
        <w:t>5%</w:t>
      </w:r>
      <w:r>
        <w:rPr>
          <w:rFonts w:ascii="宋体" w:hAnsi="宋体"/>
          <w:sz w:val="24"/>
        </w:rPr>
        <w:t>以内。经过识别后含水层有关参数符合评价区水文地质条件。</w:t>
      </w:r>
    </w:p>
    <w:p>
      <w:pPr>
        <w:spacing w:line="360" w:lineRule="auto"/>
        <w:ind w:firstLine="480" w:firstLineChars="200"/>
        <w:rPr>
          <w:sz w:val="24"/>
        </w:rPr>
      </w:pPr>
      <w:r>
        <w:rPr>
          <w:rFonts w:ascii="宋体" w:hAnsi="宋体"/>
          <w:sz w:val="24"/>
        </w:rPr>
        <w:t>综上，所建立的模拟模型可以达到精度要求，符合水文地质条件，能够真实地反映地下水系统的水文特征，建立的模型可以用来进行溶质运移模拟。</w:t>
      </w:r>
    </w:p>
    <w:p>
      <w:pPr>
        <w:widowControl/>
        <w:adjustRightInd w:val="0"/>
        <w:snapToGrid w:val="0"/>
        <w:ind w:firstLine="482" w:firstLineChars="200"/>
        <w:jc w:val="center"/>
        <w:rPr>
          <w:b/>
          <w:bCs/>
          <w:sz w:val="24"/>
        </w:rPr>
      </w:pPr>
      <w:r>
        <w:rPr>
          <w:b/>
          <w:bCs/>
          <w:sz w:val="24"/>
        </w:rPr>
        <w:t>表6.2-5   水位观测点拟合结果一览表  单位：m</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2184"/>
        <w:gridCol w:w="2328"/>
        <w:gridCol w:w="22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12" w:space="0"/>
              <w:left w:val="single" w:color="auto" w:sz="12" w:space="0"/>
              <w:bottom w:val="single" w:color="auto" w:sz="4" w:space="0"/>
              <w:right w:val="single" w:color="auto" w:sz="4" w:space="0"/>
            </w:tcBorders>
            <w:vAlign w:val="center"/>
          </w:tcPr>
          <w:p>
            <w:pPr>
              <w:adjustRightInd w:val="0"/>
              <w:snapToGrid w:val="0"/>
              <w:jc w:val="center"/>
              <w:rPr>
                <w:color w:val="0000FF"/>
                <w:kern w:val="21"/>
                <w:szCs w:val="21"/>
              </w:rPr>
            </w:pPr>
            <w:r>
              <w:rPr>
                <w:color w:val="0000FF"/>
                <w:kern w:val="21"/>
                <w:szCs w:val="21"/>
              </w:rPr>
              <w:t>Well/Point Name</w:t>
            </w:r>
          </w:p>
        </w:tc>
        <w:tc>
          <w:tcPr>
            <w:tcW w:w="2183" w:type="dxa"/>
            <w:tcBorders>
              <w:top w:val="single" w:color="auto" w:sz="12"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color w:val="0000FF"/>
                <w:kern w:val="21"/>
                <w:szCs w:val="21"/>
              </w:rPr>
              <w:t>Obs.</w:t>
            </w:r>
          </w:p>
        </w:tc>
        <w:tc>
          <w:tcPr>
            <w:tcW w:w="2327" w:type="dxa"/>
            <w:tcBorders>
              <w:top w:val="single" w:color="auto" w:sz="12"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color w:val="0000FF"/>
                <w:kern w:val="21"/>
                <w:szCs w:val="21"/>
              </w:rPr>
              <w:t>Calc.</w:t>
            </w:r>
          </w:p>
        </w:tc>
        <w:tc>
          <w:tcPr>
            <w:tcW w:w="2270" w:type="dxa"/>
            <w:tcBorders>
              <w:top w:val="single" w:color="auto" w:sz="12"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Calc.-Obs.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widowControl/>
              <w:adjustRightInd w:val="0"/>
              <w:snapToGrid w:val="0"/>
              <w:jc w:val="center"/>
              <w:rPr>
                <w:color w:val="0000FF"/>
                <w:szCs w:val="21"/>
              </w:rPr>
            </w:pPr>
            <w:r>
              <w:rPr>
                <w:color w:val="0000FF"/>
                <w:szCs w:val="21"/>
              </w:rPr>
              <w:t>D1</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1026.27</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1026.27</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0000FF"/>
                <w:szCs w:val="21"/>
              </w:rPr>
            </w:pPr>
            <w:r>
              <w:rPr>
                <w:color w:val="0000FF"/>
                <w:szCs w:val="21"/>
              </w:rPr>
              <w:t>D2</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1026.25</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1026.244</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0000FF"/>
                <w:szCs w:val="21"/>
              </w:rPr>
            </w:pPr>
            <w:r>
              <w:rPr>
                <w:color w:val="0000FF"/>
                <w:szCs w:val="21"/>
              </w:rPr>
              <w:t>D3</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1026.18</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1026.182</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0000FF"/>
                <w:szCs w:val="21"/>
              </w:rPr>
            </w:pPr>
            <w:r>
              <w:rPr>
                <w:color w:val="0000FF"/>
                <w:szCs w:val="21"/>
              </w:rPr>
              <w:t>D4</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1026.11</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1026.108</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0000FF"/>
                <w:szCs w:val="21"/>
              </w:rPr>
            </w:pPr>
            <w:r>
              <w:rPr>
                <w:color w:val="0000FF"/>
                <w:szCs w:val="21"/>
              </w:rPr>
              <w:t>D5</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1026.21</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1026.188</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-0.0215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0000FF"/>
                <w:szCs w:val="21"/>
              </w:rPr>
            </w:pPr>
            <w:r>
              <w:rPr>
                <w:color w:val="0000FF"/>
                <w:szCs w:val="21"/>
              </w:rPr>
              <w:t>D6</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1026.13</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1026.126</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0000FF"/>
                <w:szCs w:val="21"/>
              </w:rPr>
            </w:pPr>
            <w:r>
              <w:rPr>
                <w:color w:val="0000FF"/>
                <w:szCs w:val="21"/>
              </w:rPr>
              <w:t>D7</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1025.92</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1025.978</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0.0577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0000FF"/>
                <w:szCs w:val="21"/>
              </w:rPr>
            </w:pPr>
            <w:r>
              <w:rPr>
                <w:color w:val="0000FF"/>
                <w:szCs w:val="21"/>
              </w:rPr>
              <w:t>D8</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1025.45</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1025.443</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-0.0071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0000FF"/>
                <w:szCs w:val="21"/>
              </w:rPr>
            </w:pPr>
            <w:r>
              <w:rPr>
                <w:color w:val="0000FF"/>
                <w:szCs w:val="21"/>
              </w:rPr>
              <w:t>D9</w:t>
            </w:r>
          </w:p>
        </w:tc>
        <w:tc>
          <w:tcPr>
            <w:tcW w:w="2183"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1025.79</w:t>
            </w:r>
          </w:p>
        </w:tc>
        <w:tc>
          <w:tcPr>
            <w:tcW w:w="2327" w:type="dxa"/>
            <w:tcBorders>
              <w:top w:val="single" w:color="auto" w:sz="4" w:space="0"/>
              <w:left w:val="single" w:color="auto" w:sz="4" w:space="0"/>
              <w:bottom w:val="single" w:color="auto" w:sz="4"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1025.784</w:t>
            </w:r>
          </w:p>
        </w:tc>
        <w:tc>
          <w:tcPr>
            <w:tcW w:w="2270" w:type="dxa"/>
            <w:tcBorders>
              <w:top w:val="single" w:color="auto" w:sz="4" w:space="0"/>
              <w:left w:val="single" w:color="auto" w:sz="4" w:space="0"/>
              <w:bottom w:val="single" w:color="auto" w:sz="4"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-0.0062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42" w:type="dxa"/>
            <w:tcBorders>
              <w:top w:val="single" w:color="auto" w:sz="4" w:space="0"/>
              <w:left w:val="single" w:color="auto" w:sz="12" w:space="0"/>
              <w:bottom w:val="single" w:color="auto" w:sz="12" w:space="0"/>
              <w:right w:val="single" w:color="auto" w:sz="4" w:space="0"/>
            </w:tcBorders>
            <w:vAlign w:val="center"/>
          </w:tcPr>
          <w:p>
            <w:pPr>
              <w:adjustRightInd w:val="0"/>
              <w:snapToGrid w:val="0"/>
              <w:jc w:val="center"/>
              <w:rPr>
                <w:color w:val="0000FF"/>
                <w:szCs w:val="21"/>
              </w:rPr>
            </w:pPr>
            <w:r>
              <w:rPr>
                <w:color w:val="0000FF"/>
                <w:szCs w:val="21"/>
              </w:rPr>
              <w:t>D10</w:t>
            </w:r>
          </w:p>
        </w:tc>
        <w:tc>
          <w:tcPr>
            <w:tcW w:w="2183" w:type="dxa"/>
            <w:tcBorders>
              <w:top w:val="single" w:color="auto" w:sz="4" w:space="0"/>
              <w:left w:val="single" w:color="auto" w:sz="4" w:space="0"/>
              <w:bottom w:val="single" w:color="auto" w:sz="12"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1026.48</w:t>
            </w:r>
          </w:p>
        </w:tc>
        <w:tc>
          <w:tcPr>
            <w:tcW w:w="2327" w:type="dxa"/>
            <w:tcBorders>
              <w:top w:val="single" w:color="auto" w:sz="4" w:space="0"/>
              <w:left w:val="single" w:color="auto" w:sz="4" w:space="0"/>
              <w:bottom w:val="single" w:color="auto" w:sz="12" w:space="0"/>
              <w:right w:val="single" w:color="auto" w:sz="4" w:space="0"/>
            </w:tcBorders>
            <w:vAlign w:val="center"/>
          </w:tcPr>
          <w:p>
            <w:pPr>
              <w:keepLines/>
              <w:adjustRightInd w:val="0"/>
              <w:snapToGrid w:val="0"/>
              <w:jc w:val="center"/>
              <w:rPr>
                <w:color w:val="0000FF"/>
                <w:kern w:val="21"/>
                <w:szCs w:val="21"/>
              </w:rPr>
            </w:pPr>
            <w:r>
              <w:rPr>
                <w:rFonts w:hint="eastAsia"/>
                <w:color w:val="0000FF"/>
                <w:kern w:val="21"/>
                <w:szCs w:val="21"/>
              </w:rPr>
              <w:t>1026.491</w:t>
            </w:r>
          </w:p>
        </w:tc>
        <w:tc>
          <w:tcPr>
            <w:tcW w:w="2270" w:type="dxa"/>
            <w:tcBorders>
              <w:top w:val="single" w:color="auto" w:sz="4" w:space="0"/>
              <w:left w:val="single" w:color="auto" w:sz="4" w:space="0"/>
              <w:bottom w:val="single" w:color="auto" w:sz="12" w:space="0"/>
              <w:right w:val="single" w:color="auto" w:sz="12" w:space="0"/>
            </w:tcBorders>
            <w:vAlign w:val="center"/>
          </w:tcPr>
          <w:p>
            <w:pPr>
              <w:keepLines/>
              <w:adjustRightInd w:val="0"/>
              <w:snapToGrid w:val="0"/>
              <w:jc w:val="center"/>
              <w:rPr>
                <w:color w:val="0000FF"/>
                <w:kern w:val="21"/>
                <w:szCs w:val="21"/>
              </w:rPr>
            </w:pPr>
            <w:r>
              <w:rPr>
                <w:color w:val="0000FF"/>
                <w:kern w:val="21"/>
                <w:szCs w:val="21"/>
              </w:rPr>
              <w:t>0.0106</w:t>
            </w:r>
          </w:p>
        </w:tc>
      </w:tr>
    </w:tbl>
    <w:p>
      <w:pPr>
        <w:widowControl/>
        <w:adjustRightInd w:val="0"/>
        <w:snapToGrid w:val="0"/>
        <w:ind w:firstLine="482" w:firstLineChars="200"/>
        <w:jc w:val="center"/>
        <w:rPr>
          <w:b/>
          <w:bCs/>
          <w:sz w:val="24"/>
        </w:rPr>
      </w:pPr>
    </w:p>
    <w:p>
      <w:pPr>
        <w:widowControl/>
        <w:adjustRightInd w:val="0"/>
        <w:snapToGrid w:val="0"/>
        <w:ind w:firstLine="482" w:firstLineChars="200"/>
        <w:jc w:val="center"/>
        <w:rPr>
          <w:b/>
          <w:bCs/>
          <w:sz w:val="24"/>
        </w:rPr>
      </w:pPr>
      <w:r>
        <w:rPr>
          <w:b/>
          <w:bCs/>
          <w:sz w:val="24"/>
        </w:rPr>
        <w:t>表</w:t>
      </w:r>
      <w:r>
        <w:rPr>
          <w:rFonts w:hint="eastAsia"/>
          <w:b/>
          <w:bCs/>
          <w:sz w:val="24"/>
        </w:rPr>
        <w:t>6.2-</w:t>
      </w:r>
      <w:r>
        <w:rPr>
          <w:b/>
          <w:bCs/>
          <w:sz w:val="24"/>
        </w:rPr>
        <w:t>6</w:t>
      </w:r>
      <w:r>
        <w:rPr>
          <w:rFonts w:hint="eastAsia"/>
          <w:b/>
          <w:bCs/>
          <w:sz w:val="24"/>
        </w:rPr>
        <w:t xml:space="preserve"> </w:t>
      </w:r>
      <w:r>
        <w:rPr>
          <w:b/>
          <w:bCs/>
          <w:sz w:val="24"/>
        </w:rPr>
        <w:t xml:space="preserve">  模型水均衡计算结果一览表</w:t>
      </w:r>
    </w:p>
    <w:tbl>
      <w:tblPr>
        <w:tblStyle w:val="8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0"/>
        <w:gridCol w:w="4221"/>
        <w:gridCol w:w="3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044" w:type="pct"/>
            <w:gridSpan w:val="2"/>
            <w:tcBorders>
              <w:top w:val="single" w:color="auto" w:sz="12" w:space="0"/>
              <w:left w:val="single" w:color="auto" w:sz="12" w:space="0"/>
              <w:bottom w:val="single" w:color="auto" w:sz="4" w:space="0"/>
              <w:right w:val="single" w:color="auto" w:sz="4" w:space="0"/>
            </w:tcBorders>
            <w:vAlign w:val="center"/>
          </w:tcPr>
          <w:p>
            <w:pPr>
              <w:jc w:val="center"/>
            </w:pPr>
            <w:r>
              <w:rPr>
                <w:rFonts w:ascii="宋体" w:hAnsi="宋体"/>
              </w:rPr>
              <w:t>均衡项</w:t>
            </w:r>
          </w:p>
        </w:tc>
        <w:tc>
          <w:tcPr>
            <w:tcW w:w="1956" w:type="pct"/>
            <w:tcBorders>
              <w:top w:val="single" w:color="auto" w:sz="12" w:space="0"/>
              <w:left w:val="single" w:color="auto" w:sz="4" w:space="0"/>
              <w:bottom w:val="single" w:color="auto" w:sz="4" w:space="0"/>
              <w:right w:val="single" w:color="auto" w:sz="12" w:space="0"/>
            </w:tcBorders>
            <w:vAlign w:val="center"/>
          </w:tcPr>
          <w:p>
            <w:pPr>
              <w:keepLines/>
              <w:jc w:val="center"/>
            </w:pPr>
            <w:r>
              <w:rPr>
                <w:rFonts w:ascii="宋体" w:hAnsi="宋体"/>
              </w:rPr>
              <w:t>数值（</w:t>
            </w:r>
            <w:r>
              <w:t>10</w:t>
            </w:r>
            <w:r>
              <w:rPr>
                <w:vertAlign w:val="superscript"/>
              </w:rPr>
              <w:t>3</w:t>
            </w:r>
            <w:r>
              <w:t>m</w:t>
            </w:r>
            <w:r>
              <w:rPr>
                <w:vertAlign w:val="superscript"/>
              </w:rPr>
              <w:t>3</w:t>
            </w:r>
            <w:r>
              <w:t>/a</w:t>
            </w:r>
            <w:r>
              <w:rPr>
                <w:rFonts w:ascii="宋体" w:hAnsi="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9" w:type="pct"/>
            <w:vMerge w:val="restart"/>
            <w:tcBorders>
              <w:top w:val="nil"/>
              <w:left w:val="single" w:color="auto" w:sz="12" w:space="0"/>
              <w:bottom w:val="single" w:color="auto" w:sz="4" w:space="0"/>
              <w:right w:val="single" w:color="auto" w:sz="4" w:space="0"/>
            </w:tcBorders>
            <w:vAlign w:val="center"/>
          </w:tcPr>
          <w:p>
            <w:pPr>
              <w:jc w:val="center"/>
            </w:pPr>
            <w:r>
              <w:rPr>
                <w:rFonts w:ascii="宋体" w:hAnsi="宋体"/>
              </w:rPr>
              <w:t>源</w:t>
            </w:r>
          </w:p>
        </w:tc>
        <w:tc>
          <w:tcPr>
            <w:tcW w:w="2475" w:type="pct"/>
            <w:tcBorders>
              <w:top w:val="single" w:color="auto" w:sz="4" w:space="0"/>
              <w:left w:val="single" w:color="auto" w:sz="4" w:space="0"/>
              <w:bottom w:val="single" w:color="auto" w:sz="4" w:space="0"/>
              <w:right w:val="single" w:color="auto" w:sz="4" w:space="0"/>
            </w:tcBorders>
            <w:vAlign w:val="center"/>
          </w:tcPr>
          <w:p>
            <w:pPr>
              <w:jc w:val="center"/>
            </w:pPr>
            <w:r>
              <w:rPr>
                <w:rFonts w:ascii="宋体" w:hAnsi="宋体"/>
              </w:rPr>
              <w:t>侧向径流补给量</w:t>
            </w:r>
          </w:p>
        </w:tc>
        <w:tc>
          <w:tcPr>
            <w:tcW w:w="1956" w:type="pct"/>
            <w:tcBorders>
              <w:top w:val="single" w:color="auto" w:sz="4" w:space="0"/>
              <w:left w:val="single" w:color="auto" w:sz="4" w:space="0"/>
              <w:bottom w:val="single" w:color="auto" w:sz="4" w:space="0"/>
              <w:right w:val="single" w:color="auto" w:sz="12" w:space="0"/>
            </w:tcBorders>
            <w:vAlign w:val="center"/>
          </w:tcPr>
          <w:p>
            <w:pPr>
              <w:widowControl/>
              <w:jc w:val="center"/>
              <w:textAlignment w:val="center"/>
            </w:pPr>
            <w:r>
              <w:t>27.89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tcBorders>
              <w:top w:val="nil"/>
              <w:left w:val="single" w:color="auto" w:sz="12" w:space="0"/>
              <w:bottom w:val="single" w:color="auto" w:sz="4" w:space="0"/>
              <w:right w:val="single" w:color="auto" w:sz="4" w:space="0"/>
            </w:tcBorders>
            <w:vAlign w:val="center"/>
          </w:tcPr>
          <w:p>
            <w:pPr>
              <w:widowControl/>
              <w:jc w:val="left"/>
              <w:rPr>
                <w:szCs w:val="21"/>
              </w:rPr>
            </w:pPr>
          </w:p>
        </w:tc>
        <w:tc>
          <w:tcPr>
            <w:tcW w:w="2475" w:type="pct"/>
            <w:tcBorders>
              <w:top w:val="single" w:color="auto" w:sz="4" w:space="0"/>
              <w:left w:val="single" w:color="auto" w:sz="4" w:space="0"/>
              <w:bottom w:val="single" w:color="auto" w:sz="4" w:space="0"/>
              <w:right w:val="single" w:color="auto" w:sz="4" w:space="0"/>
            </w:tcBorders>
            <w:vAlign w:val="center"/>
          </w:tcPr>
          <w:p>
            <w:pPr>
              <w:keepLines/>
              <w:jc w:val="center"/>
            </w:pPr>
            <w:r>
              <w:rPr>
                <w:rFonts w:ascii="宋体" w:hAnsi="宋体"/>
              </w:rPr>
              <w:t>大气降水入渗补给量</w:t>
            </w:r>
          </w:p>
        </w:tc>
        <w:tc>
          <w:tcPr>
            <w:tcW w:w="1956" w:type="pct"/>
            <w:tcBorders>
              <w:top w:val="single" w:color="auto" w:sz="4" w:space="0"/>
              <w:left w:val="single" w:color="auto" w:sz="4" w:space="0"/>
              <w:bottom w:val="single" w:color="auto" w:sz="4" w:space="0"/>
              <w:right w:val="single" w:color="auto" w:sz="12" w:space="0"/>
            </w:tcBorders>
            <w:vAlign w:val="center"/>
          </w:tcPr>
          <w:p>
            <w:pPr>
              <w:widowControl/>
              <w:jc w:val="center"/>
              <w:textAlignment w:val="center"/>
            </w:pPr>
            <w:r>
              <w:t>107.78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tcBorders>
              <w:top w:val="nil"/>
              <w:left w:val="single" w:color="auto" w:sz="12" w:space="0"/>
              <w:bottom w:val="single" w:color="auto" w:sz="4" w:space="0"/>
              <w:right w:val="single" w:color="auto" w:sz="4" w:space="0"/>
            </w:tcBorders>
            <w:vAlign w:val="center"/>
          </w:tcPr>
          <w:p>
            <w:pPr>
              <w:widowControl/>
              <w:jc w:val="left"/>
              <w:rPr>
                <w:szCs w:val="21"/>
              </w:rPr>
            </w:pPr>
          </w:p>
        </w:tc>
        <w:tc>
          <w:tcPr>
            <w:tcW w:w="2475" w:type="pct"/>
            <w:tcBorders>
              <w:top w:val="single" w:color="auto" w:sz="4" w:space="0"/>
              <w:left w:val="single" w:color="auto" w:sz="4" w:space="0"/>
              <w:bottom w:val="single" w:color="auto" w:sz="4" w:space="0"/>
              <w:right w:val="single" w:color="auto" w:sz="4" w:space="0"/>
            </w:tcBorders>
            <w:vAlign w:val="center"/>
          </w:tcPr>
          <w:p>
            <w:pPr>
              <w:keepLines/>
              <w:jc w:val="center"/>
            </w:pPr>
            <w:r>
              <w:rPr>
                <w:rFonts w:ascii="宋体" w:hAnsi="宋体"/>
              </w:rPr>
              <w:t>小计</w:t>
            </w:r>
          </w:p>
        </w:tc>
        <w:tc>
          <w:tcPr>
            <w:tcW w:w="1956" w:type="pct"/>
            <w:tcBorders>
              <w:top w:val="single" w:color="auto" w:sz="4" w:space="0"/>
              <w:left w:val="single" w:color="auto" w:sz="4" w:space="0"/>
              <w:bottom w:val="single" w:color="auto" w:sz="4" w:space="0"/>
              <w:right w:val="single" w:color="auto" w:sz="12" w:space="0"/>
            </w:tcBorders>
            <w:vAlign w:val="center"/>
          </w:tcPr>
          <w:p>
            <w:pPr>
              <w:widowControl/>
              <w:jc w:val="center"/>
              <w:textAlignment w:val="center"/>
            </w:pPr>
            <w:r>
              <w:t>135.67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69" w:type="pct"/>
            <w:vMerge w:val="restart"/>
            <w:tcBorders>
              <w:top w:val="nil"/>
              <w:left w:val="single" w:color="auto" w:sz="12" w:space="0"/>
              <w:bottom w:val="single" w:color="auto" w:sz="4" w:space="0"/>
              <w:right w:val="single" w:color="auto" w:sz="4" w:space="0"/>
            </w:tcBorders>
            <w:vAlign w:val="center"/>
          </w:tcPr>
          <w:p>
            <w:pPr>
              <w:jc w:val="center"/>
            </w:pPr>
            <w:r>
              <w:rPr>
                <w:rFonts w:ascii="宋体" w:hAnsi="宋体"/>
              </w:rPr>
              <w:t>汇</w:t>
            </w:r>
          </w:p>
        </w:tc>
        <w:tc>
          <w:tcPr>
            <w:tcW w:w="2475" w:type="pct"/>
            <w:tcBorders>
              <w:top w:val="single" w:color="auto" w:sz="4" w:space="0"/>
              <w:left w:val="single" w:color="auto" w:sz="4" w:space="0"/>
              <w:bottom w:val="single" w:color="auto" w:sz="4" w:space="0"/>
              <w:right w:val="single" w:color="auto" w:sz="4" w:space="0"/>
            </w:tcBorders>
            <w:vAlign w:val="center"/>
          </w:tcPr>
          <w:p>
            <w:pPr>
              <w:jc w:val="center"/>
            </w:pPr>
            <w:r>
              <w:rPr>
                <w:rFonts w:ascii="宋体" w:hAnsi="宋体"/>
              </w:rPr>
              <w:t>侧向径流排泄量</w:t>
            </w:r>
          </w:p>
        </w:tc>
        <w:tc>
          <w:tcPr>
            <w:tcW w:w="1956" w:type="pct"/>
            <w:tcBorders>
              <w:top w:val="single" w:color="auto" w:sz="4" w:space="0"/>
              <w:left w:val="single" w:color="auto" w:sz="4" w:space="0"/>
              <w:bottom w:val="single" w:color="auto" w:sz="4" w:space="0"/>
              <w:right w:val="single" w:color="auto" w:sz="12" w:space="0"/>
            </w:tcBorders>
            <w:vAlign w:val="center"/>
          </w:tcPr>
          <w:p>
            <w:pPr>
              <w:widowControl/>
              <w:jc w:val="center"/>
              <w:textAlignment w:val="center"/>
            </w:pPr>
            <w:r>
              <w:t>19.16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tcBorders>
              <w:top w:val="nil"/>
              <w:left w:val="single" w:color="auto" w:sz="12" w:space="0"/>
              <w:bottom w:val="single" w:color="auto" w:sz="4" w:space="0"/>
              <w:right w:val="single" w:color="auto" w:sz="4" w:space="0"/>
            </w:tcBorders>
            <w:vAlign w:val="center"/>
          </w:tcPr>
          <w:p>
            <w:pPr>
              <w:widowControl/>
              <w:jc w:val="left"/>
              <w:rPr>
                <w:szCs w:val="21"/>
              </w:rPr>
            </w:pPr>
          </w:p>
        </w:tc>
        <w:tc>
          <w:tcPr>
            <w:tcW w:w="2475" w:type="pct"/>
            <w:tcBorders>
              <w:top w:val="single" w:color="auto" w:sz="4" w:space="0"/>
              <w:left w:val="single" w:color="auto" w:sz="4" w:space="0"/>
              <w:bottom w:val="single" w:color="auto" w:sz="4" w:space="0"/>
              <w:right w:val="single" w:color="auto" w:sz="4" w:space="0"/>
            </w:tcBorders>
            <w:vAlign w:val="center"/>
          </w:tcPr>
          <w:p>
            <w:pPr>
              <w:jc w:val="center"/>
            </w:pPr>
            <w:r>
              <w:rPr>
                <w:rFonts w:ascii="宋体" w:hAnsi="宋体"/>
              </w:rPr>
              <w:t>蒸发排泄量</w:t>
            </w:r>
          </w:p>
        </w:tc>
        <w:tc>
          <w:tcPr>
            <w:tcW w:w="1956" w:type="pct"/>
            <w:tcBorders>
              <w:top w:val="single" w:color="auto" w:sz="4" w:space="0"/>
              <w:left w:val="single" w:color="auto" w:sz="4" w:space="0"/>
              <w:bottom w:val="single" w:color="auto" w:sz="4" w:space="0"/>
              <w:right w:val="single" w:color="auto" w:sz="12" w:space="0"/>
            </w:tcBorders>
            <w:vAlign w:val="center"/>
          </w:tcPr>
          <w:p>
            <w:pPr>
              <w:widowControl/>
              <w:jc w:val="center"/>
              <w:textAlignment w:val="center"/>
            </w:pPr>
            <w:r>
              <w:t>77.18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tcBorders>
              <w:top w:val="nil"/>
              <w:left w:val="single" w:color="auto" w:sz="12" w:space="0"/>
              <w:bottom w:val="single" w:color="auto" w:sz="4" w:space="0"/>
              <w:right w:val="single" w:color="auto" w:sz="4" w:space="0"/>
            </w:tcBorders>
            <w:vAlign w:val="center"/>
          </w:tcPr>
          <w:p>
            <w:pPr>
              <w:widowControl/>
              <w:jc w:val="left"/>
              <w:rPr>
                <w:szCs w:val="21"/>
              </w:rPr>
            </w:pPr>
          </w:p>
        </w:tc>
        <w:tc>
          <w:tcPr>
            <w:tcW w:w="2475" w:type="pct"/>
            <w:tcBorders>
              <w:top w:val="single" w:color="auto" w:sz="4" w:space="0"/>
              <w:left w:val="single" w:color="auto" w:sz="4" w:space="0"/>
              <w:bottom w:val="single" w:color="auto" w:sz="4" w:space="0"/>
              <w:right w:val="single" w:color="auto" w:sz="4" w:space="0"/>
            </w:tcBorders>
            <w:vAlign w:val="center"/>
          </w:tcPr>
          <w:p>
            <w:pPr>
              <w:keepLines/>
              <w:jc w:val="center"/>
            </w:pPr>
            <w:r>
              <w:rPr>
                <w:rFonts w:ascii="宋体" w:hAnsi="宋体"/>
              </w:rPr>
              <w:t>人工开采量</w:t>
            </w:r>
          </w:p>
        </w:tc>
        <w:tc>
          <w:tcPr>
            <w:tcW w:w="1956" w:type="pct"/>
            <w:tcBorders>
              <w:top w:val="single" w:color="auto" w:sz="4" w:space="0"/>
              <w:left w:val="single" w:color="auto" w:sz="4" w:space="0"/>
              <w:bottom w:val="single" w:color="auto" w:sz="4" w:space="0"/>
              <w:right w:val="single" w:color="auto" w:sz="12" w:space="0"/>
            </w:tcBorders>
            <w:vAlign w:val="center"/>
          </w:tcPr>
          <w:p>
            <w:pPr>
              <w:widowControl/>
              <w:jc w:val="center"/>
              <w:textAlignment w:val="center"/>
            </w:pPr>
            <w:r>
              <w:t>39.42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tcBorders>
              <w:top w:val="nil"/>
              <w:left w:val="single" w:color="auto" w:sz="12" w:space="0"/>
              <w:bottom w:val="single" w:color="auto" w:sz="4" w:space="0"/>
              <w:right w:val="single" w:color="auto" w:sz="4" w:space="0"/>
            </w:tcBorders>
            <w:vAlign w:val="center"/>
          </w:tcPr>
          <w:p>
            <w:pPr>
              <w:widowControl/>
              <w:jc w:val="left"/>
              <w:rPr>
                <w:szCs w:val="21"/>
              </w:rPr>
            </w:pPr>
          </w:p>
        </w:tc>
        <w:tc>
          <w:tcPr>
            <w:tcW w:w="2475" w:type="pct"/>
            <w:tcBorders>
              <w:top w:val="single" w:color="auto" w:sz="4" w:space="0"/>
              <w:left w:val="single" w:color="auto" w:sz="4" w:space="0"/>
              <w:bottom w:val="single" w:color="auto" w:sz="4" w:space="0"/>
              <w:right w:val="single" w:color="auto" w:sz="4" w:space="0"/>
            </w:tcBorders>
            <w:vAlign w:val="center"/>
          </w:tcPr>
          <w:p>
            <w:pPr>
              <w:keepLines/>
              <w:jc w:val="center"/>
            </w:pPr>
            <w:r>
              <w:rPr>
                <w:rFonts w:ascii="宋体" w:hAnsi="宋体"/>
              </w:rPr>
              <w:t>小计</w:t>
            </w:r>
          </w:p>
        </w:tc>
        <w:tc>
          <w:tcPr>
            <w:tcW w:w="1956" w:type="pct"/>
            <w:tcBorders>
              <w:top w:val="single" w:color="auto" w:sz="4" w:space="0"/>
              <w:left w:val="single" w:color="auto" w:sz="4" w:space="0"/>
              <w:bottom w:val="single" w:color="auto" w:sz="4" w:space="0"/>
              <w:right w:val="single" w:color="auto" w:sz="12" w:space="0"/>
            </w:tcBorders>
            <w:vAlign w:val="center"/>
          </w:tcPr>
          <w:p>
            <w:pPr>
              <w:widowControl/>
              <w:jc w:val="center"/>
              <w:textAlignment w:val="center"/>
            </w:pPr>
            <w:r>
              <w:t>135.76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044" w:type="pct"/>
            <w:gridSpan w:val="2"/>
            <w:tcBorders>
              <w:top w:val="single" w:color="auto" w:sz="4" w:space="0"/>
              <w:left w:val="single" w:color="auto" w:sz="12" w:space="0"/>
              <w:bottom w:val="single" w:color="auto" w:sz="12" w:space="0"/>
              <w:right w:val="single" w:color="auto" w:sz="4" w:space="0"/>
            </w:tcBorders>
            <w:vAlign w:val="center"/>
          </w:tcPr>
          <w:p>
            <w:pPr>
              <w:jc w:val="center"/>
            </w:pPr>
            <w:r>
              <w:rPr>
                <w:rFonts w:ascii="宋体" w:hAnsi="宋体"/>
              </w:rPr>
              <w:t>源</w:t>
            </w:r>
            <w:r>
              <w:t>-</w:t>
            </w:r>
            <w:r>
              <w:rPr>
                <w:rFonts w:ascii="宋体" w:hAnsi="宋体"/>
              </w:rPr>
              <w:t>汇相对误差（</w:t>
            </w:r>
            <w:r>
              <w:t>%</w:t>
            </w:r>
            <w:r>
              <w:rPr>
                <w:rFonts w:ascii="宋体" w:hAnsi="宋体"/>
              </w:rPr>
              <w:t>）</w:t>
            </w:r>
          </w:p>
        </w:tc>
        <w:tc>
          <w:tcPr>
            <w:tcW w:w="1956" w:type="pct"/>
            <w:tcBorders>
              <w:top w:val="single" w:color="auto" w:sz="4" w:space="0"/>
              <w:left w:val="single" w:color="auto" w:sz="4" w:space="0"/>
              <w:bottom w:val="single" w:color="auto" w:sz="12" w:space="0"/>
              <w:right w:val="single" w:color="auto" w:sz="12" w:space="0"/>
            </w:tcBorders>
            <w:vAlign w:val="center"/>
          </w:tcPr>
          <w:p>
            <w:pPr>
              <w:jc w:val="center"/>
            </w:pPr>
            <w:r>
              <w:t>-0.07</w:t>
            </w:r>
          </w:p>
        </w:tc>
      </w:tr>
    </w:tbl>
    <w:p>
      <w:pPr>
        <w:widowControl/>
        <w:adjustRightInd w:val="0"/>
        <w:snapToGrid w:val="0"/>
        <w:spacing w:line="360" w:lineRule="auto"/>
        <w:jc w:val="center"/>
        <w:rPr>
          <w:b/>
          <w:bCs/>
          <w:sz w:val="24"/>
        </w:rPr>
      </w:pPr>
      <w:r>
        <w:rPr>
          <w:b/>
          <w:bCs/>
          <w:sz w:val="24"/>
        </w:rPr>
        <w:t xml:space="preserve"> </w:t>
      </w:r>
      <w:r>
        <w:drawing>
          <wp:inline distT="0" distB="0" distL="0" distR="0">
            <wp:extent cx="4552950" cy="3871595"/>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80"/>
                    <a:stretch>
                      <a:fillRect/>
                    </a:stretch>
                  </pic:blipFill>
                  <pic:spPr>
                    <a:xfrm>
                      <a:off x="0" y="0"/>
                      <a:ext cx="4552950" cy="3871595"/>
                    </a:xfrm>
                    <a:prstGeom prst="rect">
                      <a:avLst/>
                    </a:prstGeom>
                  </pic:spPr>
                </pic:pic>
              </a:graphicData>
            </a:graphic>
          </wp:inline>
        </w:drawing>
      </w:r>
    </w:p>
    <w:p>
      <w:pPr>
        <w:widowControl/>
        <w:adjustRightInd w:val="0"/>
        <w:snapToGrid w:val="0"/>
        <w:spacing w:line="360" w:lineRule="auto"/>
        <w:ind w:firstLine="482" w:firstLineChars="200"/>
        <w:jc w:val="center"/>
        <w:rPr>
          <w:b/>
          <w:bCs/>
          <w:color w:val="FF0000"/>
          <w:sz w:val="24"/>
        </w:rPr>
      </w:pPr>
      <w:r>
        <w:rPr>
          <w:b/>
          <w:bCs/>
          <w:color w:val="FF0000"/>
          <w:kern w:val="0"/>
          <w:sz w:val="24"/>
        </w:rPr>
        <w:t>图6.2-8  水位观测点拟合图</w:t>
      </w:r>
    </w:p>
    <w:p>
      <w:pPr>
        <w:widowControl/>
        <w:adjustRightInd w:val="0"/>
        <w:snapToGrid w:val="0"/>
        <w:spacing w:line="360" w:lineRule="auto"/>
        <w:jc w:val="center"/>
        <w:rPr>
          <w:kern w:val="0"/>
          <w:sz w:val="24"/>
        </w:rPr>
      </w:pPr>
      <w:r>
        <w:drawing>
          <wp:inline distT="0" distB="0" distL="0" distR="0">
            <wp:extent cx="4742815" cy="4289425"/>
            <wp:effectExtent l="0" t="0" r="635"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81"/>
                    <a:stretch>
                      <a:fillRect/>
                    </a:stretch>
                  </pic:blipFill>
                  <pic:spPr>
                    <a:xfrm>
                      <a:off x="0" y="0"/>
                      <a:ext cx="4742815" cy="4289425"/>
                    </a:xfrm>
                    <a:prstGeom prst="rect">
                      <a:avLst/>
                    </a:prstGeom>
                  </pic:spPr>
                </pic:pic>
              </a:graphicData>
            </a:graphic>
          </wp:inline>
        </w:drawing>
      </w:r>
    </w:p>
    <w:p>
      <w:pPr>
        <w:adjustRightInd w:val="0"/>
        <w:snapToGrid w:val="0"/>
        <w:spacing w:line="360" w:lineRule="auto"/>
        <w:ind w:firstLine="422" w:firstLineChars="200"/>
        <w:jc w:val="center"/>
        <w:rPr>
          <w:color w:val="FF0000"/>
          <w:sz w:val="24"/>
        </w:rPr>
      </w:pPr>
      <w:r>
        <w:rPr>
          <w:b/>
          <w:bCs/>
          <w:color w:val="FF0000"/>
          <w:kern w:val="0"/>
        </w:rPr>
        <w:t>图</w:t>
      </w:r>
      <w:r>
        <w:rPr>
          <w:b/>
          <w:color w:val="FF0000"/>
          <w:sz w:val="24"/>
        </w:rPr>
        <w:t>6.2-9</w:t>
      </w:r>
      <w:r>
        <w:rPr>
          <w:b/>
          <w:bCs/>
          <w:color w:val="FF0000"/>
          <w:kern w:val="0"/>
        </w:rPr>
        <w:t xml:space="preserve">  地下水流场拟合图</w:t>
      </w:r>
    </w:p>
    <w:p>
      <w:pPr>
        <w:keepNext/>
        <w:keepLines/>
        <w:adjustRightInd w:val="0"/>
        <w:snapToGrid w:val="0"/>
        <w:spacing w:line="360" w:lineRule="auto"/>
        <w:jc w:val="left"/>
        <w:outlineLvl w:val="3"/>
        <w:rPr>
          <w:b/>
          <w:sz w:val="28"/>
          <w:szCs w:val="28"/>
        </w:rPr>
      </w:pPr>
      <w:r>
        <w:rPr>
          <w:b/>
          <w:sz w:val="28"/>
          <w:szCs w:val="28"/>
        </w:rPr>
        <w:t>6.2.2.2污染物迁移模型</w:t>
      </w:r>
    </w:p>
    <w:p>
      <w:pPr>
        <w:spacing w:line="360" w:lineRule="auto"/>
        <w:ind w:firstLine="480" w:firstLineChars="200"/>
        <w:rPr>
          <w:sz w:val="24"/>
        </w:rPr>
      </w:pPr>
      <w:r>
        <w:rPr>
          <w:rFonts w:ascii="宋体" w:hAnsi="宋体"/>
          <w:sz w:val="24"/>
        </w:rPr>
        <w:t>（</w:t>
      </w:r>
      <w:r>
        <w:rPr>
          <w:sz w:val="24"/>
        </w:rPr>
        <w:t>1</w:t>
      </w:r>
      <w:r>
        <w:rPr>
          <w:rFonts w:ascii="宋体" w:hAnsi="宋体"/>
          <w:sz w:val="24"/>
        </w:rPr>
        <w:t>）预测原则</w:t>
      </w:r>
    </w:p>
    <w:p>
      <w:pPr>
        <w:spacing w:line="360" w:lineRule="auto"/>
        <w:ind w:firstLine="480" w:firstLineChars="200"/>
        <w:rPr>
          <w:sz w:val="24"/>
        </w:rPr>
      </w:pPr>
      <w:r>
        <w:rPr>
          <w:rFonts w:ascii="宋体" w:hAnsi="宋体"/>
          <w:sz w:val="24"/>
        </w:rPr>
        <w:t>本次地下水污染预测评价遵循如下原则：</w:t>
      </w:r>
      <w:r>
        <w:rPr>
          <w:rFonts w:hint="eastAsia" w:ascii="宋体" w:hAnsi="宋体"/>
          <w:sz w:val="24"/>
        </w:rPr>
        <w:t>①</w:t>
      </w:r>
      <w:r>
        <w:rPr>
          <w:rFonts w:ascii="宋体" w:hAnsi="宋体"/>
          <w:sz w:val="24"/>
        </w:rPr>
        <w:t>选择《地下水质量标准》（</w:t>
      </w:r>
      <w:r>
        <w:rPr>
          <w:sz w:val="24"/>
        </w:rPr>
        <w:t>GB/T14848-2017</w:t>
      </w:r>
      <w:r>
        <w:rPr>
          <w:rFonts w:ascii="宋体" w:hAnsi="宋体"/>
          <w:sz w:val="24"/>
        </w:rPr>
        <w:t>）或《地表水环境质量标准》（</w:t>
      </w:r>
      <w:r>
        <w:rPr>
          <w:sz w:val="24"/>
        </w:rPr>
        <w:t>GB3838-2002</w:t>
      </w:r>
      <w:r>
        <w:rPr>
          <w:rFonts w:ascii="宋体" w:hAnsi="宋体"/>
          <w:sz w:val="24"/>
        </w:rPr>
        <w:t>）有标准的污染因子进行预测。</w:t>
      </w:r>
      <w:r>
        <w:rPr>
          <w:rFonts w:hint="eastAsia" w:ascii="宋体" w:hAnsi="宋体"/>
          <w:sz w:val="24"/>
        </w:rPr>
        <w:t>②</w:t>
      </w:r>
      <w:r>
        <w:rPr>
          <w:rFonts w:ascii="宋体" w:hAnsi="宋体"/>
          <w:sz w:val="24"/>
        </w:rPr>
        <w:t>由于污染物在地下水中的运移非常复杂，影响因素除对流、弥散作用以外，还存在物理、化学、微生物等作用，这些作用常常会使污染浓度衰减。目前国际上对这些作用参数的准确获取还存在着困难，因此，从最不利角度考虑，预测时只考虑污染物在地下水中的对流和弥散租用，不考虑吸附、生物降解、挥发、沉淀等其他的物理化学和生物化学作用；选择预测因子时，将各项因子采用标准指数法进行排序，取所有因子中的标准指数最大的因子作为预测因子，其结果能代表同等泄漏强度下所有污染因子在地下水中迁移和污染的最大范围。</w:t>
      </w:r>
      <w:r>
        <w:rPr>
          <w:rFonts w:hint="eastAsia" w:ascii="宋体" w:hAnsi="宋体"/>
          <w:sz w:val="24"/>
        </w:rPr>
        <w:t>③</w:t>
      </w:r>
      <w:r>
        <w:rPr>
          <w:rFonts w:ascii="宋体" w:hAnsi="宋体"/>
          <w:sz w:val="24"/>
        </w:rPr>
        <w:t>为了考虑最不利状况，模型预测时将不考虑包气带对污染物的截留作用，假设污染物可以直接通过包气带进入地下水体，最大限度地考虑污染物对评价区水体的影响。</w:t>
      </w:r>
    </w:p>
    <w:p>
      <w:pPr>
        <w:spacing w:line="360" w:lineRule="auto"/>
        <w:ind w:firstLine="480" w:firstLineChars="200"/>
        <w:rPr>
          <w:sz w:val="24"/>
        </w:rPr>
      </w:pPr>
      <w:r>
        <w:rPr>
          <w:rFonts w:ascii="宋体" w:hAnsi="宋体"/>
          <w:sz w:val="24"/>
        </w:rPr>
        <w:t>（</w:t>
      </w:r>
      <w:r>
        <w:rPr>
          <w:sz w:val="24"/>
        </w:rPr>
        <w:t>2</w:t>
      </w:r>
      <w:r>
        <w:rPr>
          <w:rFonts w:ascii="宋体" w:hAnsi="宋体"/>
          <w:sz w:val="24"/>
        </w:rPr>
        <w:t>）数学模型</w:t>
      </w:r>
    </w:p>
    <w:p>
      <w:pPr>
        <w:spacing w:line="360" w:lineRule="auto"/>
        <w:ind w:firstLine="480" w:firstLineChars="200"/>
        <w:rPr>
          <w:sz w:val="24"/>
        </w:rPr>
      </w:pPr>
      <w:r>
        <w:rPr>
          <w:rFonts w:ascii="宋体" w:hAnsi="宋体"/>
          <w:sz w:val="24"/>
        </w:rPr>
        <w:t>地下水中溶质运移的数学模型可表示为：</w:t>
      </w:r>
    </w:p>
    <w:tbl>
      <w:tblPr>
        <w:tblStyle w:val="87"/>
        <w:tblW w:w="0" w:type="auto"/>
        <w:jc w:val="center"/>
        <w:tblCellSpacing w:w="0" w:type="dxa"/>
        <w:tblLayout w:type="autofit"/>
        <w:tblCellMar>
          <w:top w:w="0" w:type="dxa"/>
          <w:left w:w="0" w:type="dxa"/>
          <w:bottom w:w="0" w:type="dxa"/>
          <w:right w:w="0" w:type="dxa"/>
        </w:tblCellMar>
      </w:tblPr>
      <w:tblGrid>
        <w:gridCol w:w="3840"/>
        <w:gridCol w:w="6"/>
      </w:tblGrid>
      <w:tr>
        <w:tblPrEx>
          <w:tblCellMar>
            <w:top w:w="0" w:type="dxa"/>
            <w:left w:w="0" w:type="dxa"/>
            <w:bottom w:w="0" w:type="dxa"/>
            <w:right w:w="0" w:type="dxa"/>
          </w:tblCellMar>
        </w:tblPrEx>
        <w:trPr>
          <w:gridAfter w:val="1"/>
          <w:wAfter w:w="6" w:type="dxa"/>
          <w:tblCellSpacing w:w="0" w:type="dxa"/>
          <w:jc w:val="center"/>
        </w:trPr>
        <w:tc>
          <w:tcPr>
            <w:tcW w:w="3840" w:type="dxa"/>
            <w:vAlign w:val="center"/>
          </w:tcPr>
          <w:p>
            <w:pPr>
              <w:rPr>
                <w:sz w:val="24"/>
              </w:rPr>
            </w:pPr>
          </w:p>
        </w:tc>
      </w:tr>
      <w:tr>
        <w:tblPrEx>
          <w:tblCellMar>
            <w:top w:w="0" w:type="dxa"/>
            <w:left w:w="0" w:type="dxa"/>
            <w:bottom w:w="0" w:type="dxa"/>
            <w:right w:w="0" w:type="dxa"/>
          </w:tblCellMar>
        </w:tblPrEx>
        <w:trPr>
          <w:tblCellSpacing w:w="0" w:type="dxa"/>
          <w:jc w:val="center"/>
        </w:trPr>
        <w:tc>
          <w:tcPr>
            <w:tcW w:w="0" w:type="auto"/>
            <w:vAlign w:val="center"/>
          </w:tcPr>
          <w:p>
            <w:pPr>
              <w:widowControl/>
              <w:jc w:val="left"/>
              <w:rPr>
                <w:rFonts w:eastAsia="Times New Roman"/>
                <w:kern w:val="0"/>
                <w:sz w:val="20"/>
                <w:szCs w:val="20"/>
              </w:rPr>
            </w:pPr>
            <w:r>
              <w:rPr>
                <w:rFonts w:ascii="宋体" w:hAnsi="宋体" w:cs="宋体"/>
                <w:kern w:val="0"/>
                <w:sz w:val="24"/>
              </w:rPr>
              <w:drawing>
                <wp:inline distT="0" distB="0" distL="0" distR="0">
                  <wp:extent cx="952500" cy="400050"/>
                  <wp:effectExtent l="0" t="0" r="0" b="0"/>
                  <wp:docPr id="281" name="图片 281" descr="C:\Users\众成环境\AppData\Local\Temp\ksohtml24568\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C:\Users\众成环境\AppData\Local\Temp\ksohtml24568\wps2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952500" cy="400050"/>
                          </a:xfrm>
                          <a:prstGeom prst="rect">
                            <a:avLst/>
                          </a:prstGeom>
                          <a:noFill/>
                          <a:ln>
                            <a:noFill/>
                          </a:ln>
                        </pic:spPr>
                      </pic:pic>
                    </a:graphicData>
                  </a:graphic>
                </wp:inline>
              </w:drawing>
            </w:r>
          </w:p>
        </w:tc>
        <w:tc>
          <w:tcPr>
            <w:tcW w:w="0" w:type="auto"/>
            <w:vAlign w:val="center"/>
          </w:tcPr>
          <w:p>
            <w:pPr>
              <w:widowControl/>
              <w:jc w:val="left"/>
              <w:rPr>
                <w:rFonts w:ascii="宋体" w:hAnsi="宋体" w:cs="宋体"/>
                <w:kern w:val="0"/>
                <w:sz w:val="24"/>
              </w:rPr>
            </w:pPr>
          </w:p>
        </w:tc>
      </w:tr>
    </w:tbl>
    <w:p>
      <w:pPr>
        <w:spacing w:line="360" w:lineRule="auto"/>
        <w:ind w:firstLine="420" w:firstLineChars="200"/>
        <w:jc w:val="center"/>
        <w:rPr>
          <w:sz w:val="24"/>
        </w:rPr>
      </w:pPr>
      <w:r>
        <w:rPr>
          <w:rFonts w:hint="eastAsia"/>
        </w:rPr>
        <w:drawing>
          <wp:inline distT="0" distB="0" distL="0" distR="0">
            <wp:extent cx="2562225" cy="457200"/>
            <wp:effectExtent l="0" t="0" r="9525" b="0"/>
            <wp:docPr id="280" name="图片 280" descr="C:\Users\众成环境\AppData\Local\Temp\ksohtml24568\wp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C:\Users\众成环境\AppData\Local\Temp\ksohtml24568\wps2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2562225" cy="457200"/>
                    </a:xfrm>
                    <a:prstGeom prst="rect">
                      <a:avLst/>
                    </a:prstGeom>
                    <a:noFill/>
                    <a:ln>
                      <a:noFill/>
                    </a:ln>
                  </pic:spPr>
                </pic:pic>
              </a:graphicData>
            </a:graphic>
          </wp:inline>
        </w:drawing>
      </w:r>
    </w:p>
    <w:p>
      <w:pPr>
        <w:spacing w:line="360" w:lineRule="auto"/>
        <w:ind w:firstLine="480" w:firstLineChars="200"/>
        <w:rPr>
          <w:sz w:val="24"/>
        </w:rPr>
      </w:pPr>
      <w:r>
        <w:rPr>
          <w:rFonts w:ascii="宋体" w:hAnsi="宋体"/>
          <w:sz w:val="24"/>
        </w:rPr>
        <w:t>其中：</w:t>
      </w:r>
      <w:r>
        <w:rPr>
          <w:sz w:val="24"/>
        </w:rPr>
        <w:t>α</w:t>
      </w:r>
      <w:r>
        <w:rPr>
          <w:sz w:val="24"/>
          <w:vertAlign w:val="subscript"/>
        </w:rPr>
        <w:t>ijmn</w:t>
      </w:r>
      <w:r>
        <w:rPr>
          <w:sz w:val="24"/>
        </w:rPr>
        <w:t>—</w:t>
      </w:r>
      <w:r>
        <w:rPr>
          <w:rFonts w:ascii="宋体" w:hAnsi="宋体"/>
          <w:sz w:val="24"/>
        </w:rPr>
        <w:t>含水层的弥散度；</w:t>
      </w:r>
    </w:p>
    <w:p>
      <w:pPr>
        <w:spacing w:line="360" w:lineRule="auto"/>
        <w:ind w:firstLine="480" w:firstLineChars="200"/>
        <w:rPr>
          <w:sz w:val="24"/>
        </w:rPr>
      </w:pPr>
      <w:r>
        <w:rPr>
          <w:sz w:val="24"/>
        </w:rPr>
        <w:t>V</w:t>
      </w:r>
      <w:r>
        <w:rPr>
          <w:sz w:val="24"/>
          <w:vertAlign w:val="subscript"/>
        </w:rPr>
        <w:t>m</w:t>
      </w:r>
      <w:r>
        <w:rPr>
          <w:rFonts w:ascii="宋体" w:hAnsi="宋体"/>
          <w:sz w:val="24"/>
        </w:rPr>
        <w:t>，</w:t>
      </w:r>
      <w:r>
        <w:rPr>
          <w:sz w:val="24"/>
        </w:rPr>
        <w:t>V</w:t>
      </w:r>
      <w:r>
        <w:rPr>
          <w:sz w:val="24"/>
          <w:vertAlign w:val="subscript"/>
        </w:rPr>
        <w:t>n</w:t>
      </w:r>
      <w:r>
        <w:rPr>
          <w:sz w:val="24"/>
        </w:rPr>
        <w:t>—</w:t>
      </w:r>
      <w:r>
        <w:rPr>
          <w:rFonts w:ascii="宋体" w:hAnsi="宋体"/>
          <w:sz w:val="24"/>
        </w:rPr>
        <w:t>分别为</w:t>
      </w:r>
      <w:r>
        <w:rPr>
          <w:sz w:val="24"/>
        </w:rPr>
        <w:t>m</w:t>
      </w:r>
      <w:r>
        <w:rPr>
          <w:rFonts w:ascii="宋体" w:hAnsi="宋体"/>
          <w:sz w:val="24"/>
        </w:rPr>
        <w:t>和</w:t>
      </w:r>
      <w:r>
        <w:rPr>
          <w:sz w:val="24"/>
        </w:rPr>
        <w:t>n</w:t>
      </w:r>
      <w:r>
        <w:rPr>
          <w:rFonts w:ascii="宋体" w:hAnsi="宋体"/>
          <w:sz w:val="24"/>
        </w:rPr>
        <w:t>方向上的速度分量；</w:t>
      </w:r>
    </w:p>
    <w:p>
      <w:pPr>
        <w:spacing w:line="360" w:lineRule="auto"/>
        <w:ind w:firstLine="480" w:firstLineChars="200"/>
        <w:rPr>
          <w:sz w:val="24"/>
        </w:rPr>
      </w:pPr>
      <w:r>
        <w:rPr>
          <w:rFonts w:hint="eastAsia" w:ascii="宋体" w:hAnsi="宋体"/>
          <w:sz w:val="24"/>
        </w:rPr>
        <w:t>∣</w:t>
      </w:r>
      <w:r>
        <w:rPr>
          <w:sz w:val="24"/>
        </w:rPr>
        <w:t>v</w:t>
      </w:r>
      <w:r>
        <w:rPr>
          <w:rFonts w:hint="eastAsia" w:ascii="宋体" w:hAnsi="宋体"/>
          <w:sz w:val="24"/>
        </w:rPr>
        <w:t>∣</w:t>
      </w:r>
      <w:r>
        <w:rPr>
          <w:sz w:val="24"/>
        </w:rPr>
        <w:t>—</w:t>
      </w:r>
      <w:r>
        <w:rPr>
          <w:rFonts w:ascii="宋体" w:hAnsi="宋体"/>
          <w:sz w:val="24"/>
        </w:rPr>
        <w:t>速度模；</w:t>
      </w:r>
    </w:p>
    <w:p>
      <w:pPr>
        <w:spacing w:line="360" w:lineRule="auto"/>
        <w:ind w:firstLine="480" w:firstLineChars="200"/>
        <w:rPr>
          <w:sz w:val="24"/>
        </w:rPr>
      </w:pPr>
      <w:r>
        <w:rPr>
          <w:sz w:val="24"/>
        </w:rPr>
        <w:t>C—</w:t>
      </w:r>
      <w:r>
        <w:rPr>
          <w:rFonts w:ascii="宋体" w:hAnsi="宋体"/>
          <w:sz w:val="24"/>
        </w:rPr>
        <w:t>模拟污染质的浓度（</w:t>
      </w:r>
      <w:r>
        <w:rPr>
          <w:sz w:val="24"/>
        </w:rPr>
        <w:t>mg/L</w:t>
      </w:r>
      <w:r>
        <w:rPr>
          <w:rFonts w:ascii="宋体" w:hAnsi="宋体"/>
          <w:sz w:val="24"/>
        </w:rPr>
        <w:t>）；</w:t>
      </w:r>
    </w:p>
    <w:p>
      <w:pPr>
        <w:spacing w:line="360" w:lineRule="auto"/>
        <w:ind w:firstLine="480" w:firstLineChars="200"/>
        <w:rPr>
          <w:sz w:val="24"/>
        </w:rPr>
      </w:pPr>
      <w:r>
        <w:rPr>
          <w:sz w:val="24"/>
        </w:rPr>
        <w:t>n</w:t>
      </w:r>
      <w:r>
        <w:rPr>
          <w:sz w:val="24"/>
          <w:vertAlign w:val="subscript"/>
        </w:rPr>
        <w:t>e</w:t>
      </w:r>
      <w:r>
        <w:rPr>
          <w:sz w:val="24"/>
        </w:rPr>
        <w:t>—</w:t>
      </w:r>
      <w:r>
        <w:rPr>
          <w:rFonts w:ascii="宋体" w:hAnsi="宋体"/>
          <w:sz w:val="24"/>
        </w:rPr>
        <w:t>有效孔隙度；</w:t>
      </w:r>
    </w:p>
    <w:p>
      <w:pPr>
        <w:spacing w:line="360" w:lineRule="auto"/>
        <w:ind w:firstLine="480" w:firstLineChars="200"/>
        <w:rPr>
          <w:sz w:val="24"/>
        </w:rPr>
      </w:pPr>
      <w:r>
        <w:rPr>
          <w:sz w:val="24"/>
        </w:rPr>
        <w:t>Cˊ—</w:t>
      </w:r>
      <w:r>
        <w:rPr>
          <w:rFonts w:ascii="宋体" w:hAnsi="宋体"/>
          <w:sz w:val="24"/>
        </w:rPr>
        <w:t>模拟污染质的源汇浓度（</w:t>
      </w:r>
      <w:r>
        <w:rPr>
          <w:sz w:val="24"/>
        </w:rPr>
        <w:t>mg/L</w:t>
      </w:r>
      <w:r>
        <w:rPr>
          <w:rFonts w:ascii="宋体" w:hAnsi="宋体"/>
          <w:sz w:val="24"/>
        </w:rPr>
        <w:t>）；</w:t>
      </w:r>
    </w:p>
    <w:p>
      <w:pPr>
        <w:spacing w:line="360" w:lineRule="auto"/>
        <w:ind w:firstLine="480" w:firstLineChars="200"/>
        <w:rPr>
          <w:sz w:val="24"/>
        </w:rPr>
      </w:pPr>
      <w:r>
        <w:rPr>
          <w:sz w:val="24"/>
        </w:rPr>
        <w:t>W—</w:t>
      </w:r>
      <w:r>
        <w:rPr>
          <w:rFonts w:ascii="宋体" w:hAnsi="宋体"/>
          <w:sz w:val="24"/>
        </w:rPr>
        <w:t>源汇单位面积上的通量；</w:t>
      </w:r>
    </w:p>
    <w:p>
      <w:pPr>
        <w:spacing w:line="360" w:lineRule="auto"/>
        <w:ind w:firstLine="480" w:firstLineChars="200"/>
        <w:rPr>
          <w:sz w:val="24"/>
        </w:rPr>
      </w:pPr>
      <w:r>
        <w:rPr>
          <w:sz w:val="24"/>
        </w:rPr>
        <w:t>V</w:t>
      </w:r>
      <w:r>
        <w:rPr>
          <w:sz w:val="24"/>
          <w:vertAlign w:val="subscript"/>
        </w:rPr>
        <w:t>i</w:t>
      </w:r>
      <w:r>
        <w:rPr>
          <w:sz w:val="24"/>
        </w:rPr>
        <w:t>—</w:t>
      </w:r>
      <w:r>
        <w:rPr>
          <w:rFonts w:ascii="宋体" w:hAnsi="宋体"/>
          <w:sz w:val="24"/>
        </w:rPr>
        <w:t>渗流速度（</w:t>
      </w:r>
      <w:r>
        <w:rPr>
          <w:sz w:val="24"/>
        </w:rPr>
        <w:t>m/d</w:t>
      </w:r>
      <w:r>
        <w:rPr>
          <w:rFonts w:ascii="宋体" w:hAnsi="宋体"/>
          <w:sz w:val="24"/>
        </w:rPr>
        <w:t>）；</w:t>
      </w:r>
    </w:p>
    <w:p>
      <w:pPr>
        <w:spacing w:line="360" w:lineRule="auto"/>
        <w:ind w:firstLine="480" w:firstLineChars="200"/>
        <w:rPr>
          <w:sz w:val="24"/>
        </w:rPr>
      </w:pPr>
      <w:r>
        <w:rPr>
          <w:sz w:val="24"/>
        </w:rPr>
        <w:t>C</w:t>
      </w:r>
      <w:r>
        <w:rPr>
          <w:rFonts w:ascii="宋体" w:hAnsi="宋体"/>
          <w:sz w:val="24"/>
        </w:rPr>
        <w:t>＇</w:t>
      </w:r>
      <w:r>
        <w:rPr>
          <w:sz w:val="24"/>
        </w:rPr>
        <w:t>—</w:t>
      </w:r>
      <w:r>
        <w:rPr>
          <w:rFonts w:ascii="宋体" w:hAnsi="宋体"/>
          <w:sz w:val="24"/>
        </w:rPr>
        <w:t>源汇的污染质浓度（</w:t>
      </w:r>
      <w:r>
        <w:rPr>
          <w:sz w:val="24"/>
        </w:rPr>
        <w:t>mg/L</w:t>
      </w:r>
      <w:r>
        <w:rPr>
          <w:rFonts w:ascii="宋体" w:hAnsi="宋体"/>
          <w:sz w:val="24"/>
        </w:rPr>
        <w:t>）。</w:t>
      </w:r>
    </w:p>
    <w:p>
      <w:pPr>
        <w:adjustRightInd w:val="0"/>
        <w:snapToGrid w:val="0"/>
        <w:spacing w:line="360" w:lineRule="auto"/>
        <w:ind w:firstLine="480" w:firstLineChars="200"/>
        <w:rPr>
          <w:sz w:val="24"/>
        </w:rPr>
      </w:pPr>
      <w:r>
        <w:rPr>
          <w:rFonts w:ascii="宋体" w:hAnsi="宋体"/>
          <w:sz w:val="24"/>
        </w:rPr>
        <w:t>联合求解水流方程和溶质运移方程就可得到污染质的空间分布。</w:t>
      </w:r>
    </w:p>
    <w:p>
      <w:pPr>
        <w:keepNext/>
        <w:keepLines/>
        <w:adjustRightInd w:val="0"/>
        <w:snapToGrid w:val="0"/>
        <w:spacing w:line="360" w:lineRule="auto"/>
        <w:jc w:val="left"/>
        <w:outlineLvl w:val="3"/>
        <w:rPr>
          <w:b/>
          <w:sz w:val="28"/>
          <w:szCs w:val="28"/>
        </w:rPr>
      </w:pPr>
      <w:r>
        <w:rPr>
          <w:b/>
          <w:sz w:val="28"/>
          <w:szCs w:val="28"/>
        </w:rPr>
        <w:t>6.2.2.3地下水污染预测情景及源强设定</w:t>
      </w:r>
    </w:p>
    <w:p>
      <w:pPr>
        <w:adjustRightInd w:val="0"/>
        <w:snapToGrid w:val="0"/>
        <w:spacing w:line="360" w:lineRule="auto"/>
        <w:ind w:firstLine="480" w:firstLineChars="200"/>
        <w:rPr>
          <w:sz w:val="24"/>
        </w:rPr>
      </w:pPr>
      <w:r>
        <w:rPr>
          <w:rFonts w:ascii="宋体" w:hAnsi="宋体"/>
          <w:sz w:val="24"/>
        </w:rPr>
        <w:t>（</w:t>
      </w:r>
      <w:r>
        <w:rPr>
          <w:sz w:val="24"/>
        </w:rPr>
        <w:t>1</w:t>
      </w:r>
      <w:r>
        <w:rPr>
          <w:rFonts w:ascii="宋体" w:hAnsi="宋体"/>
          <w:sz w:val="24"/>
        </w:rPr>
        <w:t>）地下水污染风险识别和情景设定</w:t>
      </w:r>
    </w:p>
    <w:p>
      <w:pPr>
        <w:adjustRightInd w:val="0"/>
        <w:snapToGrid w:val="0"/>
        <w:spacing w:line="360" w:lineRule="auto"/>
        <w:ind w:firstLine="480" w:firstLineChars="200"/>
        <w:rPr>
          <w:sz w:val="24"/>
        </w:rPr>
      </w:pPr>
      <w:r>
        <w:rPr>
          <w:rFonts w:ascii="宋体" w:hAnsi="宋体"/>
          <w:sz w:val="24"/>
        </w:rPr>
        <w:t>根据本项目工程分析，项目对地下水污染风险较大的单元为渗滤液调节池，虽然调节池底部及池壁按照重点防渗区进行防渗，但防渗层破损引起的渗滤液下渗具有隐蔽性，不易被发现，对地下水污染风险较大。</w:t>
      </w:r>
    </w:p>
    <w:p>
      <w:pPr>
        <w:adjustRightInd w:val="0"/>
        <w:snapToGrid w:val="0"/>
        <w:spacing w:line="360" w:lineRule="auto"/>
        <w:ind w:firstLine="480" w:firstLineChars="200"/>
        <w:rPr>
          <w:sz w:val="24"/>
        </w:rPr>
      </w:pPr>
      <w:r>
        <w:rPr>
          <w:rFonts w:ascii="宋体" w:hAnsi="宋体"/>
          <w:sz w:val="24"/>
        </w:rPr>
        <w:t>（</w:t>
      </w:r>
      <w:r>
        <w:rPr>
          <w:sz w:val="24"/>
        </w:rPr>
        <w:t>2</w:t>
      </w:r>
      <w:r>
        <w:rPr>
          <w:rFonts w:ascii="宋体" w:hAnsi="宋体"/>
          <w:sz w:val="24"/>
        </w:rPr>
        <w:t>）预测源强设定</w:t>
      </w:r>
    </w:p>
    <w:p>
      <w:pPr>
        <w:autoSpaceDE w:val="0"/>
        <w:autoSpaceDN w:val="0"/>
        <w:adjustRightInd w:val="0"/>
        <w:snapToGrid w:val="0"/>
        <w:spacing w:line="360" w:lineRule="auto"/>
        <w:ind w:firstLine="440" w:firstLineChars="200"/>
        <w:rPr>
          <w:color w:val="FF0000"/>
          <w:spacing w:val="-10"/>
          <w:kern w:val="0"/>
          <w:sz w:val="24"/>
        </w:rPr>
      </w:pPr>
      <w:r>
        <w:rPr>
          <w:rFonts w:hint="eastAsia"/>
          <w:color w:val="FF0000"/>
          <w:spacing w:val="-10"/>
          <w:kern w:val="0"/>
          <w:sz w:val="24"/>
        </w:rPr>
        <w:t>1</w:t>
      </w:r>
      <w:r>
        <w:rPr>
          <w:rFonts w:hint="eastAsia" w:ascii="宋体" w:hAnsi="宋体"/>
          <w:color w:val="FF0000"/>
          <w:spacing w:val="-10"/>
          <w:kern w:val="0"/>
          <w:sz w:val="24"/>
        </w:rPr>
        <w:t>）填埋单元破损泄露</w:t>
      </w:r>
    </w:p>
    <w:p>
      <w:pPr>
        <w:kinsoku w:val="0"/>
        <w:overflowPunct w:val="0"/>
        <w:autoSpaceDE w:val="0"/>
        <w:autoSpaceDN w:val="0"/>
        <w:adjustRightInd w:val="0"/>
        <w:snapToGrid w:val="0"/>
        <w:spacing w:line="360" w:lineRule="auto"/>
        <w:ind w:firstLine="480" w:firstLineChars="200"/>
        <w:rPr>
          <w:color w:val="FF0000"/>
          <w:kern w:val="0"/>
          <w:sz w:val="24"/>
        </w:rPr>
      </w:pPr>
      <w:r>
        <w:rPr>
          <w:rFonts w:ascii="宋体" w:hAnsi="宋体"/>
          <w:color w:val="FF0000"/>
          <w:sz w:val="24"/>
        </w:rPr>
        <w:t>类比同类型项目，填埋单元底部渗滤液汇集平均厚度约为</w:t>
      </w:r>
      <w:r>
        <w:rPr>
          <w:rFonts w:hint="eastAsia"/>
          <w:color w:val="FF0000"/>
          <w:sz w:val="24"/>
        </w:rPr>
        <w:t>0</w:t>
      </w:r>
      <w:r>
        <w:rPr>
          <w:color w:val="FF0000"/>
          <w:sz w:val="24"/>
        </w:rPr>
        <w:t>.5m</w:t>
      </w:r>
      <w:r>
        <w:rPr>
          <w:rFonts w:ascii="宋体" w:hAnsi="宋体"/>
          <w:color w:val="FF0000"/>
          <w:sz w:val="24"/>
        </w:rPr>
        <w:t>。正常状况下填埋单元防渗层完好，</w:t>
      </w:r>
      <w:r>
        <w:rPr>
          <w:color w:val="FF0000"/>
          <w:sz w:val="24"/>
        </w:rPr>
        <w:t>HDPE</w:t>
      </w:r>
      <w:r>
        <w:rPr>
          <w:rFonts w:ascii="宋体" w:hAnsi="宋体"/>
          <w:color w:val="FF0000"/>
          <w:sz w:val="24"/>
        </w:rPr>
        <w:t>膜渗透系数</w:t>
      </w:r>
      <w:r>
        <w:rPr>
          <w:color w:val="FF0000"/>
          <w:sz w:val="24"/>
        </w:rPr>
        <w:t>≤10</w:t>
      </w:r>
      <w:r>
        <w:rPr>
          <w:color w:val="FF0000"/>
          <w:sz w:val="24"/>
          <w:vertAlign w:val="superscript"/>
        </w:rPr>
        <w:t>-10</w:t>
      </w:r>
      <w:r>
        <w:rPr>
          <w:color w:val="FF0000"/>
          <w:sz w:val="24"/>
        </w:rPr>
        <w:t>cm/s</w:t>
      </w:r>
      <w:r>
        <w:rPr>
          <w:rFonts w:ascii="宋体" w:hAnsi="宋体"/>
          <w:color w:val="FF0000"/>
          <w:sz w:val="24"/>
        </w:rPr>
        <w:t>，在</w:t>
      </w:r>
      <w:r>
        <w:rPr>
          <w:color w:val="FF0000"/>
          <w:sz w:val="24"/>
        </w:rPr>
        <w:t>HDPE</w:t>
      </w:r>
      <w:r>
        <w:rPr>
          <w:rFonts w:ascii="宋体" w:hAnsi="宋体"/>
          <w:color w:val="FF0000"/>
          <w:sz w:val="24"/>
        </w:rPr>
        <w:t>膜的防护下，废液下渗量可以忽略不计。假设非正常状况下底部防渗层出现</w:t>
      </w:r>
      <w:r>
        <w:rPr>
          <w:rFonts w:hint="eastAsia"/>
          <w:color w:val="FF0000"/>
          <w:sz w:val="24"/>
        </w:rPr>
        <w:t>5m</w:t>
      </w:r>
      <w:r>
        <w:rPr>
          <w:color w:val="FF0000"/>
          <w:kern w:val="0"/>
          <w:sz w:val="24"/>
        </w:rPr>
        <w:t>×5m</w:t>
      </w:r>
      <w:r>
        <w:rPr>
          <w:rFonts w:ascii="宋体" w:hAnsi="宋体"/>
          <w:color w:val="FF0000"/>
          <w:sz w:val="24"/>
        </w:rPr>
        <w:t>的区域彻底失效，则失效面积为</w:t>
      </w:r>
      <w:r>
        <w:rPr>
          <w:rFonts w:hint="eastAsia"/>
          <w:color w:val="FF0000"/>
          <w:sz w:val="24"/>
        </w:rPr>
        <w:t>2</w:t>
      </w:r>
      <w:r>
        <w:rPr>
          <w:color w:val="FF0000"/>
          <w:sz w:val="24"/>
        </w:rPr>
        <w:t>5m</w:t>
      </w:r>
      <w:r>
        <w:rPr>
          <w:color w:val="FF0000"/>
          <w:sz w:val="24"/>
          <w:vertAlign w:val="superscript"/>
        </w:rPr>
        <w:t>2</w:t>
      </w:r>
      <w:r>
        <w:rPr>
          <w:rFonts w:ascii="宋体" w:hAnsi="宋体"/>
          <w:color w:val="FF0000"/>
          <w:sz w:val="24"/>
        </w:rPr>
        <w:t>，</w:t>
      </w:r>
      <w:r>
        <w:rPr>
          <w:rFonts w:ascii="宋体" w:hAnsi="宋体"/>
          <w:color w:val="FF0000"/>
          <w:kern w:val="0"/>
          <w:sz w:val="24"/>
        </w:rPr>
        <w:t>渗滤液直接经包气带往下入渗，包气带渗透系数取</w:t>
      </w:r>
      <w:r>
        <w:rPr>
          <w:color w:val="FF0000"/>
          <w:kern w:val="0"/>
          <w:sz w:val="24"/>
        </w:rPr>
        <w:t>0.0518m/d</w:t>
      </w:r>
      <w:r>
        <w:rPr>
          <w:rFonts w:ascii="宋体" w:hAnsi="宋体"/>
          <w:color w:val="FF0000"/>
          <w:kern w:val="0"/>
          <w:sz w:val="24"/>
        </w:rPr>
        <w:t>（</w:t>
      </w:r>
      <w:r>
        <w:rPr>
          <w:color w:val="FF0000"/>
          <w:kern w:val="0"/>
          <w:sz w:val="24"/>
        </w:rPr>
        <w:t>6.0×10</w:t>
      </w:r>
      <w:r>
        <w:rPr>
          <w:color w:val="FF0000"/>
          <w:kern w:val="0"/>
          <w:sz w:val="24"/>
          <w:vertAlign w:val="superscript"/>
        </w:rPr>
        <w:t>-5</w:t>
      </w:r>
      <w:r>
        <w:rPr>
          <w:color w:val="FF0000"/>
          <w:kern w:val="0"/>
          <w:sz w:val="24"/>
        </w:rPr>
        <w:t>cm/s</w:t>
      </w:r>
      <w:r>
        <w:rPr>
          <w:rFonts w:ascii="宋体" w:hAnsi="宋体"/>
          <w:color w:val="FF0000"/>
          <w:kern w:val="0"/>
          <w:sz w:val="24"/>
        </w:rPr>
        <w:t>）。在此情景下，非正常工况废水渗漏源强由下式进行计算：</w:t>
      </w:r>
    </w:p>
    <w:p>
      <w:pPr>
        <w:kinsoku w:val="0"/>
        <w:overflowPunct w:val="0"/>
        <w:autoSpaceDE w:val="0"/>
        <w:autoSpaceDN w:val="0"/>
        <w:adjustRightInd w:val="0"/>
        <w:snapToGrid w:val="0"/>
        <w:spacing w:line="360" w:lineRule="auto"/>
        <w:ind w:firstLine="480" w:firstLineChars="200"/>
        <w:jc w:val="center"/>
        <w:rPr>
          <w:color w:val="FF0000"/>
          <w:kern w:val="0"/>
          <w:sz w:val="24"/>
        </w:rPr>
      </w:pPr>
      <w:r>
        <w:rPr>
          <w:color w:val="FF0000"/>
          <w:kern w:val="0"/>
          <w:sz w:val="24"/>
        </w:rPr>
        <w:t>Q=K·S·I</w:t>
      </w:r>
    </w:p>
    <w:p>
      <w:pPr>
        <w:kinsoku w:val="0"/>
        <w:overflowPunct w:val="0"/>
        <w:autoSpaceDE w:val="0"/>
        <w:autoSpaceDN w:val="0"/>
        <w:adjustRightInd w:val="0"/>
        <w:snapToGrid w:val="0"/>
        <w:spacing w:line="360" w:lineRule="auto"/>
        <w:ind w:firstLine="480" w:firstLineChars="200"/>
        <w:rPr>
          <w:color w:val="FF0000"/>
          <w:kern w:val="0"/>
          <w:sz w:val="24"/>
        </w:rPr>
      </w:pPr>
      <w:r>
        <w:rPr>
          <w:rFonts w:ascii="宋体" w:hAnsi="宋体"/>
          <w:color w:val="FF0000"/>
          <w:kern w:val="0"/>
          <w:sz w:val="24"/>
        </w:rPr>
        <w:t>其中：</w:t>
      </w:r>
      <w:r>
        <w:rPr>
          <w:color w:val="FF0000"/>
          <w:kern w:val="0"/>
          <w:sz w:val="24"/>
        </w:rPr>
        <w:t>Q—</w:t>
      </w:r>
      <w:r>
        <w:rPr>
          <w:rFonts w:ascii="宋体" w:hAnsi="宋体"/>
          <w:color w:val="FF0000"/>
          <w:kern w:val="0"/>
          <w:sz w:val="24"/>
        </w:rPr>
        <w:t>入渗源强（</w:t>
      </w:r>
      <w:r>
        <w:rPr>
          <w:color w:val="FF0000"/>
          <w:kern w:val="0"/>
          <w:sz w:val="24"/>
        </w:rPr>
        <w:t>m</w:t>
      </w:r>
      <w:r>
        <w:rPr>
          <w:color w:val="FF0000"/>
          <w:kern w:val="0"/>
          <w:sz w:val="24"/>
          <w:vertAlign w:val="superscript"/>
        </w:rPr>
        <w:t>3</w:t>
      </w:r>
      <w:r>
        <w:rPr>
          <w:color w:val="FF0000"/>
          <w:kern w:val="0"/>
          <w:sz w:val="24"/>
        </w:rPr>
        <w:t>/d</w:t>
      </w:r>
      <w:r>
        <w:rPr>
          <w:rFonts w:ascii="宋体" w:hAnsi="宋体"/>
          <w:color w:val="FF0000"/>
          <w:kern w:val="0"/>
          <w:sz w:val="24"/>
        </w:rPr>
        <w:t>）；</w:t>
      </w:r>
    </w:p>
    <w:p>
      <w:pPr>
        <w:kinsoku w:val="0"/>
        <w:overflowPunct w:val="0"/>
        <w:autoSpaceDE w:val="0"/>
        <w:autoSpaceDN w:val="0"/>
        <w:adjustRightInd w:val="0"/>
        <w:snapToGrid w:val="0"/>
        <w:spacing w:line="360" w:lineRule="auto"/>
        <w:ind w:firstLine="1200" w:firstLineChars="500"/>
        <w:rPr>
          <w:color w:val="FF0000"/>
          <w:kern w:val="0"/>
          <w:sz w:val="24"/>
        </w:rPr>
      </w:pPr>
      <w:r>
        <w:rPr>
          <w:color w:val="FF0000"/>
          <w:kern w:val="0"/>
          <w:sz w:val="24"/>
        </w:rPr>
        <w:t>S—</w:t>
      </w:r>
      <w:r>
        <w:rPr>
          <w:rFonts w:ascii="宋体" w:hAnsi="宋体"/>
          <w:color w:val="FF0000"/>
          <w:kern w:val="0"/>
          <w:sz w:val="24"/>
        </w:rPr>
        <w:t>渗漏面积（</w:t>
      </w:r>
      <w:r>
        <w:rPr>
          <w:color w:val="FF0000"/>
          <w:kern w:val="0"/>
          <w:sz w:val="24"/>
        </w:rPr>
        <w:t>m</w:t>
      </w:r>
      <w:r>
        <w:rPr>
          <w:color w:val="FF0000"/>
          <w:kern w:val="0"/>
          <w:sz w:val="24"/>
          <w:vertAlign w:val="superscript"/>
        </w:rPr>
        <w:t>2</w:t>
      </w:r>
      <w:r>
        <w:rPr>
          <w:rFonts w:ascii="宋体" w:hAnsi="宋体"/>
          <w:color w:val="FF0000"/>
          <w:kern w:val="0"/>
          <w:sz w:val="24"/>
        </w:rPr>
        <w:t>），取</w:t>
      </w:r>
      <w:r>
        <w:rPr>
          <w:rFonts w:hint="eastAsia" w:ascii="宋体" w:hAnsi="宋体"/>
          <w:color w:val="FF0000"/>
          <w:kern w:val="0"/>
          <w:sz w:val="24"/>
        </w:rPr>
        <w:t>防渗层</w:t>
      </w:r>
      <w:r>
        <w:rPr>
          <w:rFonts w:ascii="宋体" w:hAnsi="宋体"/>
          <w:color w:val="FF0000"/>
          <w:kern w:val="0"/>
          <w:sz w:val="24"/>
        </w:rPr>
        <w:t>失效面积</w:t>
      </w:r>
      <w:r>
        <w:rPr>
          <w:color w:val="FF0000"/>
          <w:kern w:val="0"/>
          <w:sz w:val="24"/>
        </w:rPr>
        <w:t>m</w:t>
      </w:r>
      <w:r>
        <w:rPr>
          <w:color w:val="FF0000"/>
          <w:kern w:val="0"/>
          <w:sz w:val="24"/>
          <w:vertAlign w:val="superscript"/>
        </w:rPr>
        <w:t>2</w:t>
      </w:r>
      <w:r>
        <w:rPr>
          <w:rFonts w:ascii="宋体" w:hAnsi="宋体"/>
          <w:color w:val="FF0000"/>
          <w:kern w:val="0"/>
          <w:sz w:val="24"/>
        </w:rPr>
        <w:t>；</w:t>
      </w:r>
    </w:p>
    <w:p>
      <w:pPr>
        <w:kinsoku w:val="0"/>
        <w:overflowPunct w:val="0"/>
        <w:autoSpaceDE w:val="0"/>
        <w:autoSpaceDN w:val="0"/>
        <w:adjustRightInd w:val="0"/>
        <w:snapToGrid w:val="0"/>
        <w:spacing w:line="360" w:lineRule="auto"/>
        <w:ind w:firstLine="1200" w:firstLineChars="500"/>
        <w:rPr>
          <w:color w:val="FF0000"/>
          <w:kern w:val="0"/>
          <w:sz w:val="24"/>
        </w:rPr>
      </w:pPr>
      <w:r>
        <w:rPr>
          <w:color w:val="FF0000"/>
          <w:kern w:val="0"/>
          <w:sz w:val="24"/>
        </w:rPr>
        <w:t>I—</w:t>
      </w:r>
      <w:r>
        <w:rPr>
          <w:rFonts w:ascii="宋体" w:hAnsi="宋体"/>
          <w:color w:val="FF0000"/>
          <w:kern w:val="0"/>
          <w:sz w:val="24"/>
        </w:rPr>
        <w:t>水力梯度，厂区包气带厚约</w:t>
      </w:r>
      <w:r>
        <w:rPr>
          <w:color w:val="FF0000"/>
          <w:kern w:val="0"/>
          <w:sz w:val="24"/>
        </w:rPr>
        <w:t>4.24m</w:t>
      </w:r>
      <w:r>
        <w:rPr>
          <w:rFonts w:ascii="宋体" w:hAnsi="宋体"/>
          <w:color w:val="FF0000"/>
          <w:kern w:val="0"/>
          <w:sz w:val="24"/>
        </w:rPr>
        <w:t>，液位高度取</w:t>
      </w:r>
      <w:r>
        <w:rPr>
          <w:color w:val="FF0000"/>
          <w:kern w:val="0"/>
          <w:sz w:val="24"/>
        </w:rPr>
        <w:t>0.5m</w:t>
      </w:r>
      <w:r>
        <w:rPr>
          <w:rFonts w:ascii="宋体" w:hAnsi="宋体"/>
          <w:color w:val="FF0000"/>
          <w:kern w:val="0"/>
          <w:sz w:val="24"/>
        </w:rPr>
        <w:t>，</w:t>
      </w:r>
      <w:r>
        <w:rPr>
          <w:color w:val="FF0000"/>
          <w:kern w:val="0"/>
          <w:sz w:val="24"/>
        </w:rPr>
        <w:t>I=</w:t>
      </w:r>
      <w:r>
        <w:rPr>
          <w:rFonts w:ascii="宋体" w:hAnsi="宋体"/>
          <w:color w:val="FF0000"/>
          <w:kern w:val="0"/>
          <w:sz w:val="24"/>
        </w:rPr>
        <w:t>（</w:t>
      </w:r>
      <w:r>
        <w:rPr>
          <w:color w:val="FF0000"/>
          <w:kern w:val="0"/>
          <w:sz w:val="24"/>
        </w:rPr>
        <w:t>0.5+4.24</w:t>
      </w:r>
      <w:r>
        <w:rPr>
          <w:rFonts w:ascii="宋体" w:hAnsi="宋体"/>
          <w:color w:val="FF0000"/>
          <w:kern w:val="0"/>
          <w:sz w:val="24"/>
        </w:rPr>
        <w:t>）</w:t>
      </w:r>
      <w:r>
        <w:rPr>
          <w:color w:val="FF0000"/>
          <w:kern w:val="0"/>
          <w:sz w:val="24"/>
        </w:rPr>
        <w:t>/</w:t>
      </w:r>
      <w:r>
        <w:rPr>
          <w:rFonts w:ascii="宋体" w:hAnsi="宋体"/>
          <w:color w:val="FF0000"/>
          <w:kern w:val="0"/>
          <w:sz w:val="24"/>
        </w:rPr>
        <w:t>（</w:t>
      </w:r>
      <w:r>
        <w:rPr>
          <w:color w:val="FF0000"/>
          <w:kern w:val="0"/>
          <w:sz w:val="24"/>
        </w:rPr>
        <w:t>4.24</w:t>
      </w:r>
      <w:r>
        <w:rPr>
          <w:rFonts w:ascii="宋体" w:hAnsi="宋体"/>
          <w:color w:val="FF0000"/>
          <w:kern w:val="0"/>
          <w:sz w:val="24"/>
        </w:rPr>
        <w:t>）</w:t>
      </w:r>
      <w:r>
        <w:rPr>
          <w:color w:val="FF0000"/>
          <w:kern w:val="0"/>
          <w:sz w:val="24"/>
        </w:rPr>
        <w:t>=1.12</w:t>
      </w:r>
      <w:r>
        <w:rPr>
          <w:rFonts w:ascii="宋体" w:hAnsi="宋体"/>
          <w:color w:val="FF0000"/>
          <w:kern w:val="0"/>
          <w:sz w:val="24"/>
        </w:rPr>
        <w:t>。</w:t>
      </w:r>
    </w:p>
    <w:p>
      <w:pPr>
        <w:kinsoku w:val="0"/>
        <w:overflowPunct w:val="0"/>
        <w:autoSpaceDE w:val="0"/>
        <w:autoSpaceDN w:val="0"/>
        <w:adjustRightInd w:val="0"/>
        <w:snapToGrid w:val="0"/>
        <w:spacing w:line="360" w:lineRule="auto"/>
        <w:ind w:firstLine="496" w:firstLineChars="200"/>
        <w:rPr>
          <w:color w:val="FF0000"/>
          <w:kern w:val="0"/>
          <w:sz w:val="24"/>
        </w:rPr>
      </w:pPr>
      <w:r>
        <w:rPr>
          <w:rFonts w:ascii="宋体" w:hAnsi="宋体"/>
          <w:color w:val="FF0000"/>
          <w:spacing w:val="4"/>
          <w:kern w:val="0"/>
          <w:sz w:val="24"/>
        </w:rPr>
        <w:t>计算得渗漏量为</w:t>
      </w:r>
      <w:r>
        <w:rPr>
          <w:color w:val="FF0000"/>
          <w:spacing w:val="4"/>
          <w:kern w:val="0"/>
          <w:sz w:val="24"/>
        </w:rPr>
        <w:t>1.4504m</w:t>
      </w:r>
      <w:r>
        <w:rPr>
          <w:color w:val="FF0000"/>
          <w:spacing w:val="4"/>
          <w:kern w:val="0"/>
          <w:sz w:val="24"/>
          <w:vertAlign w:val="superscript"/>
        </w:rPr>
        <w:t>3</w:t>
      </w:r>
      <w:r>
        <w:rPr>
          <w:color w:val="FF0000"/>
          <w:spacing w:val="4"/>
          <w:kern w:val="0"/>
          <w:sz w:val="24"/>
        </w:rPr>
        <w:t>/d</w:t>
      </w:r>
      <w:r>
        <w:rPr>
          <w:rFonts w:ascii="宋体" w:hAnsi="宋体"/>
          <w:color w:val="FF0000"/>
          <w:spacing w:val="4"/>
          <w:kern w:val="0"/>
          <w:sz w:val="24"/>
        </w:rPr>
        <w:t>。</w:t>
      </w:r>
      <w:r>
        <w:rPr>
          <w:rFonts w:ascii="宋体" w:hAnsi="宋体"/>
          <w:color w:val="FF0000"/>
          <w:kern w:val="0"/>
          <w:sz w:val="24"/>
        </w:rPr>
        <w:t>预测时</w:t>
      </w:r>
      <w:r>
        <w:rPr>
          <w:rFonts w:ascii="宋体" w:hAnsi="宋体"/>
          <w:color w:val="FF0000"/>
          <w:sz w:val="24"/>
        </w:rPr>
        <w:t>将源强</w:t>
      </w:r>
      <w:r>
        <w:rPr>
          <w:rFonts w:ascii="宋体" w:hAnsi="宋体"/>
          <w:color w:val="FF0000"/>
          <w:spacing w:val="4"/>
          <w:sz w:val="24"/>
        </w:rPr>
        <w:t>直接</w:t>
      </w:r>
      <w:r>
        <w:rPr>
          <w:rFonts w:ascii="宋体" w:hAnsi="宋体"/>
          <w:color w:val="FF0000"/>
          <w:sz w:val="24"/>
        </w:rPr>
        <w:t>赋予模型中的</w:t>
      </w:r>
      <w:r>
        <w:rPr>
          <w:color w:val="FF0000"/>
          <w:sz w:val="24"/>
        </w:rPr>
        <w:t>“Recharge(RCH)”</w:t>
      </w:r>
      <w:r>
        <w:rPr>
          <w:rFonts w:ascii="宋体" w:hAnsi="宋体"/>
          <w:color w:val="FF0000"/>
          <w:sz w:val="24"/>
        </w:rPr>
        <w:t>模块，折算入渗量为</w:t>
      </w:r>
      <w:r>
        <w:rPr>
          <w:color w:val="FF0000"/>
          <w:sz w:val="24"/>
        </w:rPr>
        <w:t>58.016mm/d</w:t>
      </w:r>
      <w:r>
        <w:rPr>
          <w:rFonts w:ascii="宋体" w:hAnsi="宋体"/>
          <w:color w:val="FF0000"/>
          <w:sz w:val="24"/>
        </w:rPr>
        <w:t>。</w:t>
      </w:r>
    </w:p>
    <w:p>
      <w:pPr>
        <w:autoSpaceDE w:val="0"/>
        <w:autoSpaceDN w:val="0"/>
        <w:adjustRightInd w:val="0"/>
        <w:snapToGrid w:val="0"/>
        <w:spacing w:line="360" w:lineRule="auto"/>
        <w:ind w:firstLine="440" w:firstLineChars="200"/>
        <w:rPr>
          <w:spacing w:val="-10"/>
          <w:kern w:val="0"/>
          <w:sz w:val="24"/>
        </w:rPr>
      </w:pPr>
      <w:r>
        <w:rPr>
          <w:rFonts w:hint="eastAsia"/>
          <w:spacing w:val="-10"/>
          <w:kern w:val="0"/>
          <w:sz w:val="24"/>
        </w:rPr>
        <w:t>2</w:t>
      </w:r>
      <w:r>
        <w:rPr>
          <w:rFonts w:ascii="宋体" w:hAnsi="宋体"/>
          <w:spacing w:val="-10"/>
          <w:kern w:val="0"/>
          <w:sz w:val="24"/>
        </w:rPr>
        <w:t>）</w:t>
      </w:r>
      <w:r>
        <w:rPr>
          <w:rFonts w:hint="eastAsia" w:ascii="宋体" w:hAnsi="宋体"/>
          <w:spacing w:val="-10"/>
          <w:kern w:val="0"/>
          <w:sz w:val="24"/>
        </w:rPr>
        <w:t>调节池</w:t>
      </w:r>
      <w:r>
        <w:rPr>
          <w:rFonts w:ascii="宋体" w:hAnsi="宋体"/>
          <w:spacing w:val="-10"/>
          <w:kern w:val="0"/>
          <w:sz w:val="24"/>
        </w:rPr>
        <w:t>破损泄露</w:t>
      </w:r>
    </w:p>
    <w:p>
      <w:pPr>
        <w:adjustRightInd w:val="0"/>
        <w:snapToGrid w:val="0"/>
        <w:spacing w:line="360" w:lineRule="auto"/>
        <w:ind w:firstLine="480" w:firstLineChars="200"/>
        <w:rPr>
          <w:kern w:val="0"/>
          <w:sz w:val="24"/>
        </w:rPr>
      </w:pPr>
      <w:r>
        <w:rPr>
          <w:rFonts w:ascii="宋体" w:hAnsi="宋体"/>
          <w:kern w:val="0"/>
          <w:sz w:val="24"/>
        </w:rPr>
        <w:t>本项目</w:t>
      </w:r>
      <w:r>
        <w:rPr>
          <w:rFonts w:ascii="宋体" w:hAnsi="宋体"/>
          <w:sz w:val="24"/>
        </w:rPr>
        <w:t>渗滤液调节池</w:t>
      </w:r>
      <w:r>
        <w:rPr>
          <w:rFonts w:ascii="宋体" w:hAnsi="宋体"/>
          <w:kern w:val="0"/>
          <w:sz w:val="24"/>
        </w:rPr>
        <w:t>采用混凝土结构，假设调节池底部非正常状况下出现一条尺寸为</w:t>
      </w:r>
      <w:r>
        <w:rPr>
          <w:kern w:val="0"/>
          <w:sz w:val="24"/>
        </w:rPr>
        <w:t>0.5m×0.05m</w:t>
      </w:r>
      <w:r>
        <w:rPr>
          <w:rFonts w:ascii="宋体" w:hAnsi="宋体"/>
          <w:kern w:val="0"/>
          <w:sz w:val="24"/>
        </w:rPr>
        <w:t>的裂缝，则破损面积为</w:t>
      </w:r>
      <w:r>
        <w:rPr>
          <w:kern w:val="0"/>
          <w:sz w:val="24"/>
        </w:rPr>
        <w:t>0.025m</w:t>
      </w:r>
      <w:r>
        <w:rPr>
          <w:kern w:val="0"/>
          <w:sz w:val="24"/>
          <w:vertAlign w:val="superscript"/>
        </w:rPr>
        <w:t>2</w:t>
      </w:r>
      <w:r>
        <w:rPr>
          <w:rFonts w:ascii="宋体" w:hAnsi="宋体"/>
          <w:kern w:val="0"/>
          <w:sz w:val="24"/>
        </w:rPr>
        <w:t>，渗滤液顺着破损的缝隙经包气带往下入渗，包气带渗透系数取</w:t>
      </w:r>
      <w:r>
        <w:rPr>
          <w:kern w:val="0"/>
          <w:sz w:val="24"/>
        </w:rPr>
        <w:t>0.0518m/d</w:t>
      </w:r>
      <w:r>
        <w:rPr>
          <w:rFonts w:ascii="宋体" w:hAnsi="宋体"/>
          <w:kern w:val="0"/>
          <w:sz w:val="24"/>
        </w:rPr>
        <w:t>（</w:t>
      </w:r>
      <w:r>
        <w:rPr>
          <w:kern w:val="0"/>
          <w:sz w:val="24"/>
        </w:rPr>
        <w:t>6.0×10</w:t>
      </w:r>
      <w:r>
        <w:rPr>
          <w:kern w:val="0"/>
          <w:sz w:val="24"/>
          <w:vertAlign w:val="superscript"/>
        </w:rPr>
        <w:t>-5</w:t>
      </w:r>
      <w:r>
        <w:rPr>
          <w:kern w:val="0"/>
          <w:sz w:val="24"/>
        </w:rPr>
        <w:t>cm/s</w:t>
      </w:r>
      <w:r>
        <w:rPr>
          <w:rFonts w:ascii="宋体" w:hAnsi="宋体"/>
          <w:kern w:val="0"/>
          <w:sz w:val="24"/>
        </w:rPr>
        <w:t>）。在此情景下，非正常工况废水渗漏源强由下式进行计算：</w:t>
      </w:r>
    </w:p>
    <w:p>
      <w:pPr>
        <w:adjustRightInd w:val="0"/>
        <w:snapToGrid w:val="0"/>
        <w:spacing w:line="360" w:lineRule="auto"/>
        <w:ind w:firstLine="480" w:firstLineChars="200"/>
        <w:jc w:val="center"/>
        <w:rPr>
          <w:kern w:val="0"/>
          <w:sz w:val="24"/>
        </w:rPr>
      </w:pPr>
      <w:r>
        <w:rPr>
          <w:kern w:val="0"/>
          <w:sz w:val="24"/>
        </w:rPr>
        <w:t>Q=K·S·I</w:t>
      </w:r>
    </w:p>
    <w:p>
      <w:pPr>
        <w:adjustRightInd w:val="0"/>
        <w:snapToGrid w:val="0"/>
        <w:spacing w:line="360" w:lineRule="auto"/>
        <w:ind w:firstLine="480" w:firstLineChars="200"/>
        <w:rPr>
          <w:kern w:val="0"/>
          <w:sz w:val="24"/>
        </w:rPr>
      </w:pPr>
      <w:r>
        <w:rPr>
          <w:rFonts w:ascii="宋体" w:hAnsi="宋体"/>
          <w:kern w:val="0"/>
          <w:sz w:val="24"/>
        </w:rPr>
        <w:t>其中：</w:t>
      </w:r>
      <w:r>
        <w:rPr>
          <w:kern w:val="0"/>
          <w:sz w:val="24"/>
        </w:rPr>
        <w:t>Q—</w:t>
      </w:r>
      <w:r>
        <w:rPr>
          <w:rFonts w:ascii="宋体" w:hAnsi="宋体"/>
          <w:kern w:val="0"/>
          <w:sz w:val="24"/>
        </w:rPr>
        <w:t>入渗源强（</w:t>
      </w:r>
      <w:r>
        <w:rPr>
          <w:kern w:val="0"/>
          <w:sz w:val="24"/>
        </w:rPr>
        <w:t>m</w:t>
      </w:r>
      <w:r>
        <w:rPr>
          <w:kern w:val="0"/>
          <w:sz w:val="24"/>
          <w:vertAlign w:val="superscript"/>
        </w:rPr>
        <w:t>3</w:t>
      </w:r>
      <w:r>
        <w:rPr>
          <w:kern w:val="0"/>
          <w:sz w:val="24"/>
        </w:rPr>
        <w:t>/d</w:t>
      </w:r>
      <w:r>
        <w:rPr>
          <w:rFonts w:ascii="宋体" w:hAnsi="宋体"/>
          <w:kern w:val="0"/>
          <w:sz w:val="24"/>
        </w:rPr>
        <w:t>）；</w:t>
      </w:r>
    </w:p>
    <w:p>
      <w:pPr>
        <w:adjustRightInd w:val="0"/>
        <w:snapToGrid w:val="0"/>
        <w:spacing w:line="360" w:lineRule="auto"/>
        <w:ind w:firstLine="1200" w:firstLineChars="500"/>
        <w:rPr>
          <w:kern w:val="0"/>
          <w:sz w:val="24"/>
        </w:rPr>
      </w:pPr>
      <w:r>
        <w:rPr>
          <w:kern w:val="0"/>
          <w:sz w:val="24"/>
        </w:rPr>
        <w:t>S—</w:t>
      </w:r>
      <w:r>
        <w:rPr>
          <w:rFonts w:ascii="宋体" w:hAnsi="宋体"/>
          <w:kern w:val="0"/>
          <w:sz w:val="24"/>
        </w:rPr>
        <w:t>渗漏面积（</w:t>
      </w:r>
      <w:r>
        <w:rPr>
          <w:kern w:val="0"/>
          <w:sz w:val="24"/>
        </w:rPr>
        <w:t>m</w:t>
      </w:r>
      <w:r>
        <w:rPr>
          <w:kern w:val="0"/>
          <w:sz w:val="24"/>
          <w:vertAlign w:val="superscript"/>
        </w:rPr>
        <w:t>2</w:t>
      </w:r>
      <w:r>
        <w:rPr>
          <w:rFonts w:ascii="宋体" w:hAnsi="宋体"/>
          <w:kern w:val="0"/>
          <w:sz w:val="24"/>
        </w:rPr>
        <w:t>）；</w:t>
      </w:r>
    </w:p>
    <w:p>
      <w:pPr>
        <w:adjustRightInd w:val="0"/>
        <w:snapToGrid w:val="0"/>
        <w:spacing w:line="360" w:lineRule="auto"/>
        <w:ind w:firstLine="1200" w:firstLineChars="500"/>
        <w:rPr>
          <w:color w:val="FF0000"/>
          <w:kern w:val="0"/>
          <w:sz w:val="24"/>
        </w:rPr>
      </w:pPr>
      <w:r>
        <w:rPr>
          <w:color w:val="FF0000"/>
          <w:kern w:val="0"/>
          <w:sz w:val="24"/>
        </w:rPr>
        <w:t>I—</w:t>
      </w:r>
      <w:r>
        <w:rPr>
          <w:rFonts w:ascii="宋体" w:hAnsi="宋体"/>
          <w:color w:val="FF0000"/>
          <w:kern w:val="0"/>
          <w:sz w:val="24"/>
        </w:rPr>
        <w:t>水力梯度，厂区包气带厚约</w:t>
      </w:r>
      <w:r>
        <w:rPr>
          <w:color w:val="FF0000"/>
          <w:kern w:val="0"/>
          <w:sz w:val="24"/>
        </w:rPr>
        <w:t>4.24m</w:t>
      </w:r>
      <w:r>
        <w:rPr>
          <w:rFonts w:ascii="宋体" w:hAnsi="宋体"/>
          <w:color w:val="FF0000"/>
          <w:kern w:val="0"/>
          <w:sz w:val="24"/>
        </w:rPr>
        <w:t>，液位高度取</w:t>
      </w:r>
      <w:r>
        <w:rPr>
          <w:color w:val="FF0000"/>
          <w:kern w:val="0"/>
          <w:sz w:val="24"/>
        </w:rPr>
        <w:t>1.5m</w:t>
      </w:r>
      <w:r>
        <w:rPr>
          <w:rFonts w:ascii="宋体" w:hAnsi="宋体"/>
          <w:color w:val="FF0000"/>
          <w:kern w:val="0"/>
          <w:sz w:val="24"/>
        </w:rPr>
        <w:t>，</w:t>
      </w:r>
      <w:r>
        <w:rPr>
          <w:color w:val="FF0000"/>
          <w:kern w:val="0"/>
          <w:sz w:val="24"/>
        </w:rPr>
        <w:t>I=</w:t>
      </w:r>
      <w:r>
        <w:rPr>
          <w:rFonts w:ascii="宋体" w:hAnsi="宋体"/>
          <w:color w:val="FF0000"/>
          <w:kern w:val="0"/>
          <w:sz w:val="24"/>
        </w:rPr>
        <w:t>（</w:t>
      </w:r>
      <w:r>
        <w:rPr>
          <w:color w:val="FF0000"/>
          <w:kern w:val="0"/>
          <w:sz w:val="24"/>
        </w:rPr>
        <w:t>1.5+4.24</w:t>
      </w:r>
      <w:r>
        <w:rPr>
          <w:rFonts w:ascii="宋体" w:hAnsi="宋体"/>
          <w:color w:val="FF0000"/>
          <w:kern w:val="0"/>
          <w:sz w:val="24"/>
        </w:rPr>
        <w:t>）</w:t>
      </w:r>
      <w:r>
        <w:rPr>
          <w:color w:val="FF0000"/>
          <w:kern w:val="0"/>
          <w:sz w:val="24"/>
        </w:rPr>
        <w:t>/</w:t>
      </w:r>
      <w:r>
        <w:rPr>
          <w:rFonts w:ascii="宋体" w:hAnsi="宋体"/>
          <w:color w:val="FF0000"/>
          <w:kern w:val="0"/>
          <w:sz w:val="24"/>
        </w:rPr>
        <w:t>（</w:t>
      </w:r>
      <w:r>
        <w:rPr>
          <w:color w:val="FF0000"/>
          <w:kern w:val="0"/>
          <w:sz w:val="24"/>
        </w:rPr>
        <w:t>4.24</w:t>
      </w:r>
      <w:r>
        <w:rPr>
          <w:rFonts w:ascii="宋体" w:hAnsi="宋体"/>
          <w:color w:val="FF0000"/>
          <w:kern w:val="0"/>
          <w:sz w:val="24"/>
        </w:rPr>
        <w:t>）</w:t>
      </w:r>
      <w:r>
        <w:rPr>
          <w:color w:val="FF0000"/>
          <w:kern w:val="0"/>
          <w:sz w:val="24"/>
        </w:rPr>
        <w:t>=1.35</w:t>
      </w:r>
      <w:r>
        <w:rPr>
          <w:rFonts w:ascii="宋体" w:hAnsi="宋体"/>
          <w:color w:val="FF0000"/>
          <w:kern w:val="0"/>
          <w:sz w:val="24"/>
        </w:rPr>
        <w:t>。</w:t>
      </w:r>
    </w:p>
    <w:p>
      <w:pPr>
        <w:adjustRightInd w:val="0"/>
        <w:snapToGrid w:val="0"/>
        <w:spacing w:line="360" w:lineRule="auto"/>
        <w:ind w:firstLine="496" w:firstLineChars="200"/>
        <w:rPr>
          <w:color w:val="FF0000"/>
          <w:kern w:val="0"/>
          <w:sz w:val="24"/>
        </w:rPr>
      </w:pPr>
      <w:r>
        <w:rPr>
          <w:rFonts w:ascii="宋体" w:hAnsi="宋体"/>
          <w:color w:val="FF0000"/>
          <w:spacing w:val="4"/>
          <w:kern w:val="0"/>
          <w:sz w:val="24"/>
        </w:rPr>
        <w:t>计算得渗漏量为</w:t>
      </w:r>
      <w:r>
        <w:rPr>
          <w:color w:val="FF0000"/>
          <w:spacing w:val="4"/>
          <w:kern w:val="0"/>
          <w:sz w:val="24"/>
        </w:rPr>
        <w:t>0.0017m</w:t>
      </w:r>
      <w:r>
        <w:rPr>
          <w:color w:val="FF0000"/>
          <w:spacing w:val="4"/>
          <w:kern w:val="0"/>
          <w:sz w:val="24"/>
          <w:vertAlign w:val="superscript"/>
        </w:rPr>
        <w:t>3</w:t>
      </w:r>
      <w:r>
        <w:rPr>
          <w:color w:val="FF0000"/>
          <w:spacing w:val="4"/>
          <w:kern w:val="0"/>
          <w:sz w:val="24"/>
        </w:rPr>
        <w:t>/d</w:t>
      </w:r>
      <w:r>
        <w:rPr>
          <w:rFonts w:ascii="宋体" w:hAnsi="宋体"/>
          <w:color w:val="FF0000"/>
          <w:spacing w:val="4"/>
          <w:kern w:val="0"/>
          <w:sz w:val="24"/>
        </w:rPr>
        <w:t>。</w:t>
      </w:r>
      <w:r>
        <w:rPr>
          <w:rFonts w:ascii="宋体" w:hAnsi="宋体"/>
          <w:color w:val="FF0000"/>
          <w:kern w:val="0"/>
          <w:sz w:val="24"/>
        </w:rPr>
        <w:t>预测时</w:t>
      </w:r>
      <w:r>
        <w:rPr>
          <w:rFonts w:ascii="宋体" w:hAnsi="宋体"/>
          <w:color w:val="FF0000"/>
          <w:sz w:val="24"/>
        </w:rPr>
        <w:t>将源强</w:t>
      </w:r>
      <w:r>
        <w:rPr>
          <w:rFonts w:ascii="宋体" w:hAnsi="宋体"/>
          <w:color w:val="FF0000"/>
          <w:spacing w:val="4"/>
          <w:sz w:val="24"/>
        </w:rPr>
        <w:t>直接</w:t>
      </w:r>
      <w:r>
        <w:rPr>
          <w:rFonts w:ascii="宋体" w:hAnsi="宋体"/>
          <w:color w:val="FF0000"/>
          <w:sz w:val="24"/>
        </w:rPr>
        <w:t>赋予模型中的</w:t>
      </w:r>
      <w:r>
        <w:rPr>
          <w:color w:val="FF0000"/>
          <w:sz w:val="24"/>
        </w:rPr>
        <w:t>“Recharge(RCH)”</w:t>
      </w:r>
      <w:r>
        <w:rPr>
          <w:rFonts w:ascii="宋体" w:hAnsi="宋体"/>
          <w:color w:val="FF0000"/>
          <w:sz w:val="24"/>
        </w:rPr>
        <w:t>模块，折算入渗量为</w:t>
      </w:r>
      <w:r>
        <w:rPr>
          <w:color w:val="FF0000"/>
          <w:sz w:val="24"/>
        </w:rPr>
        <w:t>68mm/d</w:t>
      </w:r>
      <w:r>
        <w:rPr>
          <w:rFonts w:ascii="宋体" w:hAnsi="宋体"/>
          <w:color w:val="FF0000"/>
          <w:sz w:val="24"/>
        </w:rPr>
        <w:t>。</w:t>
      </w:r>
    </w:p>
    <w:p>
      <w:pPr>
        <w:autoSpaceDE w:val="0"/>
        <w:autoSpaceDN w:val="0"/>
        <w:adjustRightInd w:val="0"/>
        <w:snapToGrid w:val="0"/>
        <w:spacing w:line="360" w:lineRule="auto"/>
        <w:ind w:firstLine="480" w:firstLineChars="200"/>
        <w:rPr>
          <w:rFonts w:ascii="宋体" w:hAnsi="宋体"/>
          <w:sz w:val="24"/>
        </w:rPr>
      </w:pPr>
      <w:r>
        <w:rPr>
          <w:rFonts w:ascii="宋体" w:hAnsi="宋体"/>
          <w:sz w:val="24"/>
        </w:rPr>
        <w:t>2）泄漏时间</w:t>
      </w:r>
    </w:p>
    <w:p>
      <w:pPr>
        <w:autoSpaceDE w:val="0"/>
        <w:autoSpaceDN w:val="0"/>
        <w:adjustRightInd w:val="0"/>
        <w:snapToGrid w:val="0"/>
        <w:spacing w:line="360" w:lineRule="auto"/>
        <w:ind w:firstLine="480" w:firstLineChars="200"/>
        <w:rPr>
          <w:spacing w:val="-10"/>
          <w:kern w:val="0"/>
          <w:sz w:val="32"/>
          <w:szCs w:val="32"/>
        </w:rPr>
      </w:pPr>
      <w:r>
        <w:rPr>
          <w:rFonts w:ascii="宋体" w:hAnsi="宋体"/>
          <w:sz w:val="24"/>
        </w:rPr>
        <w:t>建设单位日常应加强对厂区各单元防渗层完整性和有效性的检查，同时加强对地下水污染跟踪监测井的跟踪监测，发现泄漏后及时切断泄漏源。跟踪监测井监测周期为</w:t>
      </w:r>
      <w:r>
        <w:rPr>
          <w:sz w:val="24"/>
        </w:rPr>
        <w:t>2</w:t>
      </w:r>
      <w:r>
        <w:rPr>
          <w:rFonts w:ascii="宋体" w:hAnsi="宋体"/>
          <w:sz w:val="24"/>
        </w:rPr>
        <w:t>周</w:t>
      </w:r>
      <w:r>
        <w:rPr>
          <w:sz w:val="24"/>
        </w:rPr>
        <w:t>1</w:t>
      </w:r>
      <w:r>
        <w:rPr>
          <w:rFonts w:ascii="宋体" w:hAnsi="宋体"/>
          <w:sz w:val="24"/>
        </w:rPr>
        <w:t>次（</w:t>
      </w:r>
      <w:r>
        <w:rPr>
          <w:sz w:val="24"/>
        </w:rPr>
        <w:t>14d</w:t>
      </w:r>
      <w:r>
        <w:rPr>
          <w:rFonts w:ascii="宋体" w:hAnsi="宋体"/>
          <w:sz w:val="24"/>
        </w:rPr>
        <w:t>），同时根据预测结果，泄漏</w:t>
      </w:r>
      <w:r>
        <w:rPr>
          <w:sz w:val="24"/>
        </w:rPr>
        <w:t>14d</w:t>
      </w:r>
      <w:r>
        <w:rPr>
          <w:rFonts w:ascii="宋体" w:hAnsi="宋体"/>
          <w:sz w:val="24"/>
        </w:rPr>
        <w:t>时污染监控井可明显发现泄漏情况，发现泄漏后企业在</w:t>
      </w:r>
      <w:r>
        <w:rPr>
          <w:sz w:val="24"/>
        </w:rPr>
        <w:t>10d</w:t>
      </w:r>
      <w:r>
        <w:rPr>
          <w:rFonts w:ascii="宋体" w:hAnsi="宋体"/>
          <w:sz w:val="24"/>
        </w:rPr>
        <w:t>内采取措施制止，则假定泄漏时间为</w:t>
      </w:r>
      <w:r>
        <w:rPr>
          <w:sz w:val="24"/>
        </w:rPr>
        <w:t>24d</w:t>
      </w:r>
      <w:r>
        <w:rPr>
          <w:rFonts w:ascii="宋体" w:hAnsi="宋体"/>
          <w:sz w:val="24"/>
        </w:rPr>
        <w:t>。</w:t>
      </w:r>
    </w:p>
    <w:p>
      <w:pPr>
        <w:autoSpaceDE w:val="0"/>
        <w:autoSpaceDN w:val="0"/>
        <w:spacing w:line="360" w:lineRule="auto"/>
        <w:ind w:firstLine="480" w:firstLineChars="200"/>
        <w:rPr>
          <w:sz w:val="24"/>
        </w:rPr>
      </w:pPr>
      <w:r>
        <w:rPr>
          <w:sz w:val="24"/>
        </w:rPr>
        <w:t>3</w:t>
      </w:r>
      <w:r>
        <w:rPr>
          <w:rFonts w:ascii="宋体" w:hAnsi="宋体"/>
          <w:sz w:val="24"/>
        </w:rPr>
        <w:t>）预测因子</w:t>
      </w:r>
    </w:p>
    <w:p>
      <w:pPr>
        <w:autoSpaceDE w:val="0"/>
        <w:autoSpaceDN w:val="0"/>
        <w:spacing w:line="360" w:lineRule="auto"/>
        <w:ind w:firstLine="480" w:firstLineChars="200"/>
        <w:rPr>
          <w:sz w:val="24"/>
        </w:rPr>
      </w:pPr>
      <w:r>
        <w:rPr>
          <w:rFonts w:ascii="宋体" w:hAnsi="宋体"/>
          <w:sz w:val="24"/>
        </w:rPr>
        <w:t>根据本次建设单位委托内蒙古航峰检测技术有限公司于</w:t>
      </w:r>
      <w:r>
        <w:rPr>
          <w:sz w:val="24"/>
        </w:rPr>
        <w:t>2023</w:t>
      </w:r>
      <w:r>
        <w:rPr>
          <w:rFonts w:ascii="宋体" w:hAnsi="宋体"/>
          <w:sz w:val="24"/>
        </w:rPr>
        <w:t>年</w:t>
      </w:r>
      <w:r>
        <w:rPr>
          <w:sz w:val="24"/>
        </w:rPr>
        <w:t>3</w:t>
      </w:r>
      <w:r>
        <w:rPr>
          <w:rFonts w:ascii="宋体" w:hAnsi="宋体"/>
          <w:sz w:val="24"/>
        </w:rPr>
        <w:t>月</w:t>
      </w:r>
      <w:r>
        <w:rPr>
          <w:sz w:val="24"/>
        </w:rPr>
        <w:t>31</w:t>
      </w:r>
      <w:r>
        <w:rPr>
          <w:rFonts w:ascii="宋体" w:hAnsi="宋体"/>
          <w:sz w:val="24"/>
        </w:rPr>
        <w:t>日对本项目渗滤液检测结果，渗滤液中主要污染成分、浓度、标准指数及排序详见下表。</w:t>
      </w:r>
    </w:p>
    <w:p>
      <w:pPr>
        <w:widowControl/>
        <w:spacing w:line="360" w:lineRule="auto"/>
        <w:jc w:val="center"/>
        <w:rPr>
          <w:b/>
          <w:kern w:val="0"/>
          <w:sz w:val="24"/>
        </w:rPr>
      </w:pPr>
      <w:r>
        <w:rPr>
          <w:b/>
          <w:kern w:val="0"/>
          <w:sz w:val="24"/>
        </w:rPr>
        <w:t>表6.2-7  渗滤液主要污染物浓度及其标准指数</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564"/>
        <w:gridCol w:w="1425"/>
        <w:gridCol w:w="1283"/>
        <w:gridCol w:w="1704"/>
        <w:gridCol w:w="1283"/>
        <w:gridCol w:w="10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pPr>
              <w:widowControl/>
              <w:jc w:val="center"/>
              <w:rPr>
                <w:kern w:val="0"/>
              </w:rPr>
            </w:pPr>
            <w:r>
              <w:rPr>
                <w:rFonts w:ascii="宋体" w:hAnsi="宋体"/>
                <w:kern w:val="0"/>
              </w:rPr>
              <w:t>污染物</w:t>
            </w:r>
          </w:p>
        </w:tc>
        <w:tc>
          <w:tcPr>
            <w:tcW w:w="1417" w:type="dxa"/>
            <w:noWrap/>
            <w:vAlign w:val="center"/>
          </w:tcPr>
          <w:p>
            <w:pPr>
              <w:widowControl/>
              <w:jc w:val="center"/>
              <w:rPr>
                <w:kern w:val="0"/>
              </w:rPr>
            </w:pPr>
            <w:r>
              <w:rPr>
                <w:rFonts w:ascii="宋体" w:hAnsi="宋体"/>
                <w:kern w:val="0"/>
              </w:rPr>
              <w:t>最大浓度（</w:t>
            </w:r>
            <w:r>
              <w:rPr>
                <w:kern w:val="0"/>
              </w:rPr>
              <w:t>mg/L</w:t>
            </w:r>
            <w:r>
              <w:rPr>
                <w:rFonts w:ascii="宋体" w:hAnsi="宋体"/>
                <w:kern w:val="0"/>
              </w:rPr>
              <w:t>）</w:t>
            </w:r>
          </w:p>
        </w:tc>
        <w:tc>
          <w:tcPr>
            <w:tcW w:w="1276" w:type="dxa"/>
            <w:noWrap/>
            <w:vAlign w:val="center"/>
          </w:tcPr>
          <w:p>
            <w:pPr>
              <w:widowControl/>
              <w:jc w:val="center"/>
              <w:rPr>
                <w:kern w:val="0"/>
              </w:rPr>
            </w:pPr>
            <w:r>
              <w:rPr>
                <w:rFonts w:ascii="宋体" w:hAnsi="宋体"/>
                <w:kern w:val="0"/>
              </w:rPr>
              <w:t>标准限值（</w:t>
            </w:r>
            <w:r>
              <w:rPr>
                <w:kern w:val="0"/>
              </w:rPr>
              <w:t>mg/L</w:t>
            </w:r>
            <w:r>
              <w:rPr>
                <w:rFonts w:ascii="宋体" w:hAnsi="宋体"/>
                <w:kern w:val="0"/>
              </w:rPr>
              <w:t>）</w:t>
            </w:r>
          </w:p>
        </w:tc>
        <w:tc>
          <w:tcPr>
            <w:tcW w:w="1695" w:type="dxa"/>
            <w:vAlign w:val="center"/>
          </w:tcPr>
          <w:p>
            <w:pPr>
              <w:widowControl/>
              <w:jc w:val="center"/>
              <w:rPr>
                <w:kern w:val="0"/>
              </w:rPr>
            </w:pPr>
            <w:r>
              <w:rPr>
                <w:rFonts w:ascii="宋体" w:hAnsi="宋体"/>
                <w:kern w:val="0"/>
              </w:rPr>
              <w:t>标准来源</w:t>
            </w:r>
          </w:p>
        </w:tc>
        <w:tc>
          <w:tcPr>
            <w:tcW w:w="1276" w:type="dxa"/>
            <w:noWrap/>
            <w:vAlign w:val="center"/>
          </w:tcPr>
          <w:p>
            <w:pPr>
              <w:widowControl/>
              <w:jc w:val="center"/>
              <w:rPr>
                <w:kern w:val="0"/>
              </w:rPr>
            </w:pPr>
            <w:r>
              <w:rPr>
                <w:rFonts w:ascii="宋体" w:hAnsi="宋体"/>
                <w:kern w:val="0"/>
              </w:rPr>
              <w:t>标准指数</w:t>
            </w:r>
          </w:p>
        </w:tc>
        <w:tc>
          <w:tcPr>
            <w:tcW w:w="1077" w:type="dxa"/>
            <w:noWrap/>
            <w:vAlign w:val="center"/>
          </w:tcPr>
          <w:p>
            <w:pPr>
              <w:widowControl/>
              <w:jc w:val="center"/>
              <w:rPr>
                <w:kern w:val="0"/>
              </w:rPr>
            </w:pPr>
            <w:r>
              <w:rPr>
                <w:rFonts w:ascii="宋体" w:hAnsi="宋体"/>
                <w:kern w:val="0"/>
              </w:rPr>
              <w:t>指数排序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t>pH</w:t>
            </w:r>
            <w:r>
              <w:rPr>
                <w:rFonts w:ascii="宋体" w:hAnsi="宋体"/>
              </w:rPr>
              <w:t>（无量纲）</w:t>
            </w:r>
          </w:p>
        </w:tc>
        <w:tc>
          <w:tcPr>
            <w:tcW w:w="1417" w:type="dxa"/>
            <w:noWrap/>
            <w:vAlign w:val="center"/>
          </w:tcPr>
          <w:p>
            <w:r>
              <w:t>8.3</w:t>
            </w:r>
          </w:p>
        </w:tc>
        <w:tc>
          <w:tcPr>
            <w:tcW w:w="1276" w:type="dxa"/>
            <w:noWrap/>
            <w:vAlign w:val="center"/>
          </w:tcPr>
          <w:p>
            <w:pPr>
              <w:widowControl/>
              <w:jc w:val="center"/>
              <w:rPr>
                <w:kern w:val="0"/>
              </w:rPr>
            </w:pPr>
            <w:r>
              <w:rPr>
                <w:kern w:val="0"/>
              </w:rPr>
              <w:t>6.5-8.5</w:t>
            </w:r>
          </w:p>
        </w:tc>
        <w:tc>
          <w:tcPr>
            <w:tcW w:w="1695" w:type="dxa"/>
            <w:vAlign w:val="center"/>
          </w:tcPr>
          <w:p>
            <w:r>
              <w:t>GB/T14848-2017</w:t>
            </w:r>
          </w:p>
        </w:tc>
        <w:tc>
          <w:tcPr>
            <w:tcW w:w="1276" w:type="dxa"/>
            <w:noWrap/>
            <w:vAlign w:val="center"/>
          </w:tcPr>
          <w:p>
            <w:pPr>
              <w:widowControl/>
              <w:jc w:val="center"/>
              <w:rPr>
                <w:kern w:val="0"/>
              </w:rPr>
            </w:pPr>
            <w:r>
              <w:rPr>
                <w:kern w:val="0"/>
              </w:rPr>
              <w:t>0.87</w:t>
            </w:r>
          </w:p>
        </w:tc>
        <w:tc>
          <w:tcPr>
            <w:tcW w:w="1077" w:type="dxa"/>
            <w:noWrap/>
            <w:vAlign w:val="center"/>
          </w:tcPr>
          <w:p>
            <w:pPr>
              <w:widowControl/>
              <w:jc w:val="center"/>
              <w:rPr>
                <w:kern w:val="0"/>
              </w:rPr>
            </w:pPr>
            <w:r>
              <w:rPr>
                <w:kern w:val="0"/>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t>COD</w:t>
            </w:r>
          </w:p>
        </w:tc>
        <w:tc>
          <w:tcPr>
            <w:tcW w:w="1417" w:type="dxa"/>
            <w:noWrap/>
            <w:vAlign w:val="center"/>
          </w:tcPr>
          <w:p>
            <w:r>
              <w:t>2034</w:t>
            </w:r>
          </w:p>
        </w:tc>
        <w:tc>
          <w:tcPr>
            <w:tcW w:w="1276" w:type="dxa"/>
            <w:noWrap/>
            <w:vAlign w:val="center"/>
          </w:tcPr>
          <w:p>
            <w:pPr>
              <w:widowControl/>
              <w:jc w:val="center"/>
              <w:rPr>
                <w:kern w:val="0"/>
              </w:rPr>
            </w:pPr>
            <w:r>
              <w:rPr>
                <w:kern w:val="0"/>
              </w:rPr>
              <w:t>3.0</w:t>
            </w:r>
          </w:p>
        </w:tc>
        <w:tc>
          <w:tcPr>
            <w:tcW w:w="1695" w:type="dxa"/>
            <w:vAlign w:val="center"/>
          </w:tcPr>
          <w:p>
            <w:r>
              <w:t>GB/T14848-2017</w:t>
            </w:r>
          </w:p>
        </w:tc>
        <w:tc>
          <w:tcPr>
            <w:tcW w:w="1276" w:type="dxa"/>
            <w:noWrap/>
            <w:vAlign w:val="center"/>
          </w:tcPr>
          <w:p>
            <w:pPr>
              <w:widowControl/>
              <w:jc w:val="center"/>
              <w:rPr>
                <w:kern w:val="0"/>
              </w:rPr>
            </w:pPr>
            <w:r>
              <w:rPr>
                <w:kern w:val="0"/>
              </w:rPr>
              <w:t>678</w:t>
            </w:r>
          </w:p>
        </w:tc>
        <w:tc>
          <w:tcPr>
            <w:tcW w:w="1077" w:type="dxa"/>
            <w:noWrap/>
            <w:vAlign w:val="center"/>
          </w:tcPr>
          <w:p>
            <w:pPr>
              <w:widowControl/>
              <w:jc w:val="center"/>
              <w:rPr>
                <w:kern w:val="0"/>
              </w:rPr>
            </w:pPr>
            <w:r>
              <w:rPr>
                <w:kern w:val="0"/>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t>BOD</w:t>
            </w:r>
            <w:r>
              <w:rPr>
                <w:vertAlign w:val="subscript"/>
              </w:rPr>
              <w:t>5</w:t>
            </w:r>
          </w:p>
        </w:tc>
        <w:tc>
          <w:tcPr>
            <w:tcW w:w="1417" w:type="dxa"/>
            <w:noWrap/>
            <w:vAlign w:val="center"/>
          </w:tcPr>
          <w:p>
            <w:r>
              <w:t>610</w:t>
            </w:r>
          </w:p>
        </w:tc>
        <w:tc>
          <w:tcPr>
            <w:tcW w:w="1276" w:type="dxa"/>
            <w:noWrap/>
            <w:vAlign w:val="center"/>
          </w:tcPr>
          <w:p>
            <w:pPr>
              <w:widowControl/>
              <w:jc w:val="center"/>
              <w:rPr>
                <w:kern w:val="0"/>
              </w:rPr>
            </w:pPr>
            <w:r>
              <w:rPr>
                <w:kern w:val="0"/>
              </w:rPr>
              <w:t>4</w:t>
            </w:r>
          </w:p>
        </w:tc>
        <w:tc>
          <w:tcPr>
            <w:tcW w:w="1695" w:type="dxa"/>
            <w:vAlign w:val="center"/>
          </w:tcPr>
          <w:p>
            <w:r>
              <w:t>GB3838-2002</w:t>
            </w:r>
          </w:p>
        </w:tc>
        <w:tc>
          <w:tcPr>
            <w:tcW w:w="1276" w:type="dxa"/>
            <w:noWrap/>
            <w:vAlign w:val="center"/>
          </w:tcPr>
          <w:p>
            <w:pPr>
              <w:widowControl/>
              <w:jc w:val="center"/>
              <w:rPr>
                <w:kern w:val="0"/>
              </w:rPr>
            </w:pPr>
            <w:r>
              <w:rPr>
                <w:kern w:val="0"/>
              </w:rPr>
              <w:t>152.5</w:t>
            </w:r>
          </w:p>
        </w:tc>
        <w:tc>
          <w:tcPr>
            <w:tcW w:w="1077" w:type="dxa"/>
            <w:noWrap/>
            <w:vAlign w:val="center"/>
          </w:tcPr>
          <w:p>
            <w:pPr>
              <w:widowControl/>
              <w:jc w:val="center"/>
              <w:rPr>
                <w:kern w:val="0"/>
              </w:rPr>
            </w:pPr>
            <w:r>
              <w:rPr>
                <w:kern w:val="0"/>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t>SS</w:t>
            </w:r>
          </w:p>
        </w:tc>
        <w:tc>
          <w:tcPr>
            <w:tcW w:w="1417" w:type="dxa"/>
            <w:noWrap/>
            <w:vAlign w:val="center"/>
          </w:tcPr>
          <w:p>
            <w:r>
              <w:t>338</w:t>
            </w:r>
          </w:p>
        </w:tc>
        <w:tc>
          <w:tcPr>
            <w:tcW w:w="1276" w:type="dxa"/>
            <w:noWrap/>
            <w:vAlign w:val="center"/>
          </w:tcPr>
          <w:p>
            <w:pPr>
              <w:widowControl/>
              <w:jc w:val="center"/>
              <w:rPr>
                <w:kern w:val="0"/>
              </w:rPr>
            </w:pPr>
            <w:r>
              <w:rPr>
                <w:kern w:val="0"/>
              </w:rPr>
              <w:t>--</w:t>
            </w:r>
          </w:p>
        </w:tc>
        <w:tc>
          <w:tcPr>
            <w:tcW w:w="1695" w:type="dxa"/>
            <w:vAlign w:val="center"/>
          </w:tcPr>
          <w:p>
            <w:r>
              <w:t>--</w:t>
            </w:r>
          </w:p>
        </w:tc>
        <w:tc>
          <w:tcPr>
            <w:tcW w:w="1276" w:type="dxa"/>
            <w:noWrap/>
            <w:vAlign w:val="center"/>
          </w:tcPr>
          <w:p>
            <w:pPr>
              <w:widowControl/>
              <w:jc w:val="center"/>
              <w:rPr>
                <w:kern w:val="0"/>
              </w:rPr>
            </w:pPr>
            <w:r>
              <w:rPr>
                <w:kern w:val="0"/>
              </w:rPr>
              <w:t>--</w:t>
            </w:r>
          </w:p>
        </w:tc>
        <w:tc>
          <w:tcPr>
            <w:tcW w:w="1077" w:type="dxa"/>
            <w:noWrap/>
            <w:vAlign w:val="center"/>
          </w:tcPr>
          <w:p>
            <w:pPr>
              <w:widowControl/>
              <w:jc w:val="center"/>
              <w:rPr>
                <w:kern w:val="0"/>
              </w:rPr>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氨氮</w:t>
            </w:r>
          </w:p>
        </w:tc>
        <w:tc>
          <w:tcPr>
            <w:tcW w:w="1417" w:type="dxa"/>
            <w:noWrap/>
            <w:vAlign w:val="center"/>
          </w:tcPr>
          <w:p>
            <w:r>
              <w:t>470</w:t>
            </w:r>
          </w:p>
        </w:tc>
        <w:tc>
          <w:tcPr>
            <w:tcW w:w="1276" w:type="dxa"/>
            <w:noWrap/>
            <w:vAlign w:val="center"/>
          </w:tcPr>
          <w:p>
            <w:pPr>
              <w:widowControl/>
              <w:jc w:val="center"/>
              <w:rPr>
                <w:kern w:val="0"/>
              </w:rPr>
            </w:pPr>
            <w:r>
              <w:rPr>
                <w:kern w:val="0"/>
              </w:rPr>
              <w:t>0.5</w:t>
            </w:r>
          </w:p>
        </w:tc>
        <w:tc>
          <w:tcPr>
            <w:tcW w:w="1695" w:type="dxa"/>
            <w:vAlign w:val="center"/>
          </w:tcPr>
          <w:p>
            <w:r>
              <w:t>GB/T14848-2017</w:t>
            </w:r>
          </w:p>
        </w:tc>
        <w:tc>
          <w:tcPr>
            <w:tcW w:w="1276" w:type="dxa"/>
            <w:noWrap/>
            <w:vAlign w:val="center"/>
          </w:tcPr>
          <w:p>
            <w:pPr>
              <w:widowControl/>
              <w:jc w:val="center"/>
              <w:rPr>
                <w:kern w:val="0"/>
              </w:rPr>
            </w:pPr>
            <w:r>
              <w:rPr>
                <w:kern w:val="0"/>
              </w:rPr>
              <w:t>940</w:t>
            </w:r>
          </w:p>
        </w:tc>
        <w:tc>
          <w:tcPr>
            <w:tcW w:w="1077" w:type="dxa"/>
            <w:shd w:val="clear" w:color="auto" w:fill="F7CAAC"/>
            <w:noWrap/>
            <w:vAlign w:val="center"/>
          </w:tcPr>
          <w:p>
            <w:pPr>
              <w:widowControl/>
              <w:jc w:val="center"/>
              <w:rPr>
                <w:kern w:val="0"/>
              </w:rPr>
            </w:pPr>
            <w:r>
              <w:rPr>
                <w:kern w:val="0"/>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总磷</w:t>
            </w:r>
          </w:p>
        </w:tc>
        <w:tc>
          <w:tcPr>
            <w:tcW w:w="1417" w:type="dxa"/>
            <w:noWrap/>
            <w:vAlign w:val="center"/>
          </w:tcPr>
          <w:p>
            <w:r>
              <w:t>5.14</w:t>
            </w:r>
          </w:p>
        </w:tc>
        <w:tc>
          <w:tcPr>
            <w:tcW w:w="1276" w:type="dxa"/>
            <w:noWrap/>
            <w:vAlign w:val="center"/>
          </w:tcPr>
          <w:p>
            <w:pPr>
              <w:widowControl/>
              <w:jc w:val="center"/>
              <w:rPr>
                <w:kern w:val="0"/>
              </w:rPr>
            </w:pPr>
            <w:r>
              <w:rPr>
                <w:kern w:val="0"/>
              </w:rPr>
              <w:t>0.2</w:t>
            </w:r>
          </w:p>
        </w:tc>
        <w:tc>
          <w:tcPr>
            <w:tcW w:w="1695" w:type="dxa"/>
            <w:vAlign w:val="center"/>
          </w:tcPr>
          <w:p>
            <w:r>
              <w:t>GB3838-2002</w:t>
            </w:r>
          </w:p>
        </w:tc>
        <w:tc>
          <w:tcPr>
            <w:tcW w:w="1276" w:type="dxa"/>
            <w:noWrap/>
            <w:vAlign w:val="center"/>
          </w:tcPr>
          <w:p>
            <w:pPr>
              <w:widowControl/>
              <w:jc w:val="center"/>
              <w:rPr>
                <w:kern w:val="0"/>
              </w:rPr>
            </w:pPr>
            <w:r>
              <w:rPr>
                <w:kern w:val="0"/>
              </w:rPr>
              <w:t>25.7</w:t>
            </w:r>
          </w:p>
        </w:tc>
        <w:tc>
          <w:tcPr>
            <w:tcW w:w="1077" w:type="dxa"/>
            <w:noWrap/>
            <w:vAlign w:val="center"/>
          </w:tcPr>
          <w:p>
            <w:pPr>
              <w:widowControl/>
              <w:jc w:val="center"/>
              <w:rPr>
                <w:kern w:val="0"/>
              </w:rPr>
            </w:pPr>
            <w:r>
              <w:rPr>
                <w:kern w:val="0"/>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总氮</w:t>
            </w:r>
          </w:p>
        </w:tc>
        <w:tc>
          <w:tcPr>
            <w:tcW w:w="1417" w:type="dxa"/>
            <w:noWrap/>
            <w:vAlign w:val="center"/>
          </w:tcPr>
          <w:p>
            <w:r>
              <w:t>652</w:t>
            </w:r>
          </w:p>
        </w:tc>
        <w:tc>
          <w:tcPr>
            <w:tcW w:w="1276" w:type="dxa"/>
            <w:noWrap/>
            <w:vAlign w:val="center"/>
          </w:tcPr>
          <w:p>
            <w:pPr>
              <w:widowControl/>
              <w:jc w:val="center"/>
              <w:rPr>
                <w:kern w:val="0"/>
              </w:rPr>
            </w:pPr>
            <w:r>
              <w:rPr>
                <w:kern w:val="0"/>
              </w:rPr>
              <w:t>1.0</w:t>
            </w:r>
          </w:p>
        </w:tc>
        <w:tc>
          <w:tcPr>
            <w:tcW w:w="1695" w:type="dxa"/>
            <w:vAlign w:val="center"/>
          </w:tcPr>
          <w:p>
            <w:r>
              <w:t>GB3838-2002</w:t>
            </w:r>
          </w:p>
        </w:tc>
        <w:tc>
          <w:tcPr>
            <w:tcW w:w="1276" w:type="dxa"/>
            <w:noWrap/>
            <w:vAlign w:val="center"/>
          </w:tcPr>
          <w:p>
            <w:pPr>
              <w:widowControl/>
              <w:jc w:val="center"/>
              <w:rPr>
                <w:kern w:val="0"/>
              </w:rPr>
            </w:pPr>
            <w:r>
              <w:rPr>
                <w:kern w:val="0"/>
              </w:rPr>
              <w:t>652</w:t>
            </w:r>
          </w:p>
        </w:tc>
        <w:tc>
          <w:tcPr>
            <w:tcW w:w="1077" w:type="dxa"/>
            <w:noWrap/>
            <w:vAlign w:val="center"/>
          </w:tcPr>
          <w:p>
            <w:pPr>
              <w:widowControl/>
              <w:jc w:val="center"/>
              <w:rPr>
                <w:kern w:val="0"/>
              </w:rPr>
            </w:pPr>
            <w:r>
              <w:rPr>
                <w:kern w:val="0"/>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汞</w:t>
            </w:r>
          </w:p>
        </w:tc>
        <w:tc>
          <w:tcPr>
            <w:tcW w:w="1417" w:type="dxa"/>
            <w:noWrap/>
            <w:vAlign w:val="center"/>
          </w:tcPr>
          <w:p>
            <w:r>
              <w:t>4×10</w:t>
            </w:r>
            <w:r>
              <w:rPr>
                <w:vertAlign w:val="superscript"/>
              </w:rPr>
              <w:t>-5</w:t>
            </w:r>
            <w:r>
              <w:t>L</w:t>
            </w:r>
          </w:p>
        </w:tc>
        <w:tc>
          <w:tcPr>
            <w:tcW w:w="1276" w:type="dxa"/>
            <w:noWrap/>
            <w:vAlign w:val="center"/>
          </w:tcPr>
          <w:p>
            <w:pPr>
              <w:widowControl/>
              <w:jc w:val="center"/>
              <w:rPr>
                <w:kern w:val="0"/>
              </w:rPr>
            </w:pPr>
            <w:r>
              <w:rPr>
                <w:kern w:val="0"/>
              </w:rPr>
              <w:t>0.001</w:t>
            </w:r>
          </w:p>
        </w:tc>
        <w:tc>
          <w:tcPr>
            <w:tcW w:w="1695" w:type="dxa"/>
          </w:tcPr>
          <w:p>
            <w:r>
              <w:t>GB/T14848-2017</w:t>
            </w:r>
          </w:p>
        </w:tc>
        <w:tc>
          <w:tcPr>
            <w:tcW w:w="1276" w:type="dxa"/>
            <w:noWrap/>
            <w:vAlign w:val="center"/>
          </w:tcPr>
          <w:p>
            <w:pPr>
              <w:widowControl/>
              <w:jc w:val="center"/>
              <w:rPr>
                <w:kern w:val="0"/>
              </w:rPr>
            </w:pPr>
            <w:r>
              <w:rPr>
                <w:kern w:val="0"/>
              </w:rPr>
              <w:t>--</w:t>
            </w:r>
          </w:p>
        </w:tc>
        <w:tc>
          <w:tcPr>
            <w:tcW w:w="1077" w:type="dxa"/>
            <w:noWrap/>
            <w:vAlign w:val="center"/>
          </w:tcPr>
          <w:p>
            <w:pPr>
              <w:widowControl/>
              <w:jc w:val="center"/>
              <w:rPr>
                <w:kern w:val="0"/>
              </w:rPr>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镉</w:t>
            </w:r>
          </w:p>
        </w:tc>
        <w:tc>
          <w:tcPr>
            <w:tcW w:w="1417" w:type="dxa"/>
            <w:noWrap/>
            <w:vAlign w:val="center"/>
          </w:tcPr>
          <w:p>
            <w:r>
              <w:t>0.001L</w:t>
            </w:r>
          </w:p>
        </w:tc>
        <w:tc>
          <w:tcPr>
            <w:tcW w:w="1276" w:type="dxa"/>
            <w:noWrap/>
            <w:vAlign w:val="center"/>
          </w:tcPr>
          <w:p>
            <w:pPr>
              <w:widowControl/>
              <w:jc w:val="center"/>
              <w:rPr>
                <w:kern w:val="0"/>
              </w:rPr>
            </w:pPr>
            <w:r>
              <w:rPr>
                <w:kern w:val="0"/>
              </w:rPr>
              <w:t>0.005</w:t>
            </w:r>
          </w:p>
        </w:tc>
        <w:tc>
          <w:tcPr>
            <w:tcW w:w="1695" w:type="dxa"/>
          </w:tcPr>
          <w:p>
            <w:r>
              <w:t>GB/T14848-2017</w:t>
            </w:r>
          </w:p>
        </w:tc>
        <w:tc>
          <w:tcPr>
            <w:tcW w:w="1276" w:type="dxa"/>
            <w:noWrap/>
            <w:vAlign w:val="center"/>
          </w:tcPr>
          <w:p>
            <w:pPr>
              <w:widowControl/>
              <w:jc w:val="center"/>
              <w:rPr>
                <w:kern w:val="0"/>
              </w:rPr>
            </w:pPr>
            <w:r>
              <w:rPr>
                <w:kern w:val="0"/>
              </w:rPr>
              <w:t>--</w:t>
            </w:r>
          </w:p>
        </w:tc>
        <w:tc>
          <w:tcPr>
            <w:tcW w:w="1077" w:type="dxa"/>
            <w:noWrap/>
            <w:vAlign w:val="center"/>
          </w:tcPr>
          <w:p>
            <w:pPr>
              <w:widowControl/>
              <w:jc w:val="center"/>
              <w:rPr>
                <w:kern w:val="0"/>
              </w:rPr>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总铬</w:t>
            </w:r>
          </w:p>
        </w:tc>
        <w:tc>
          <w:tcPr>
            <w:tcW w:w="1417" w:type="dxa"/>
            <w:noWrap/>
            <w:vAlign w:val="center"/>
          </w:tcPr>
          <w:p>
            <w:r>
              <w:t>0.03L</w:t>
            </w:r>
          </w:p>
        </w:tc>
        <w:tc>
          <w:tcPr>
            <w:tcW w:w="1276" w:type="dxa"/>
            <w:noWrap/>
            <w:vAlign w:val="center"/>
          </w:tcPr>
          <w:p>
            <w:pPr>
              <w:widowControl/>
              <w:jc w:val="center"/>
              <w:rPr>
                <w:kern w:val="0"/>
              </w:rPr>
            </w:pPr>
            <w:r>
              <w:rPr>
                <w:kern w:val="0"/>
              </w:rPr>
              <w:t>--</w:t>
            </w:r>
          </w:p>
        </w:tc>
        <w:tc>
          <w:tcPr>
            <w:tcW w:w="1695" w:type="dxa"/>
            <w:vAlign w:val="center"/>
          </w:tcPr>
          <w:p>
            <w:r>
              <w:t>--</w:t>
            </w:r>
          </w:p>
        </w:tc>
        <w:tc>
          <w:tcPr>
            <w:tcW w:w="1276" w:type="dxa"/>
            <w:noWrap/>
            <w:vAlign w:val="center"/>
          </w:tcPr>
          <w:p>
            <w:pPr>
              <w:widowControl/>
              <w:jc w:val="center"/>
              <w:rPr>
                <w:kern w:val="0"/>
              </w:rPr>
            </w:pPr>
            <w:r>
              <w:rPr>
                <w:kern w:val="0"/>
              </w:rPr>
              <w:t>--</w:t>
            </w:r>
          </w:p>
        </w:tc>
        <w:tc>
          <w:tcPr>
            <w:tcW w:w="1077" w:type="dxa"/>
            <w:noWrap/>
            <w:vAlign w:val="center"/>
          </w:tcPr>
          <w:p>
            <w:pPr>
              <w:widowControl/>
              <w:jc w:val="center"/>
              <w:rPr>
                <w:kern w:val="0"/>
              </w:rPr>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六价铬</w:t>
            </w:r>
          </w:p>
        </w:tc>
        <w:tc>
          <w:tcPr>
            <w:tcW w:w="1417" w:type="dxa"/>
            <w:noWrap/>
            <w:vAlign w:val="center"/>
          </w:tcPr>
          <w:p>
            <w:r>
              <w:t>0.004L</w:t>
            </w:r>
          </w:p>
        </w:tc>
        <w:tc>
          <w:tcPr>
            <w:tcW w:w="1276" w:type="dxa"/>
            <w:noWrap/>
            <w:vAlign w:val="center"/>
          </w:tcPr>
          <w:p>
            <w:pPr>
              <w:widowControl/>
              <w:jc w:val="center"/>
              <w:rPr>
                <w:kern w:val="0"/>
              </w:rPr>
            </w:pPr>
            <w:r>
              <w:rPr>
                <w:kern w:val="0"/>
              </w:rPr>
              <w:t>0.05</w:t>
            </w:r>
          </w:p>
        </w:tc>
        <w:tc>
          <w:tcPr>
            <w:tcW w:w="1695" w:type="dxa"/>
          </w:tcPr>
          <w:p>
            <w:r>
              <w:t>GB/T14848-2017</w:t>
            </w:r>
          </w:p>
        </w:tc>
        <w:tc>
          <w:tcPr>
            <w:tcW w:w="1276" w:type="dxa"/>
            <w:noWrap/>
            <w:vAlign w:val="center"/>
          </w:tcPr>
          <w:p>
            <w:pPr>
              <w:widowControl/>
              <w:jc w:val="center"/>
              <w:rPr>
                <w:kern w:val="0"/>
              </w:rPr>
            </w:pPr>
            <w:r>
              <w:rPr>
                <w:kern w:val="0"/>
              </w:rPr>
              <w:t>--</w:t>
            </w:r>
          </w:p>
        </w:tc>
        <w:tc>
          <w:tcPr>
            <w:tcW w:w="1077" w:type="dxa"/>
            <w:noWrap/>
            <w:vAlign w:val="center"/>
          </w:tcPr>
          <w:p>
            <w:pPr>
              <w:widowControl/>
              <w:jc w:val="center"/>
              <w:rPr>
                <w:kern w:val="0"/>
              </w:rPr>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砷</w:t>
            </w:r>
          </w:p>
        </w:tc>
        <w:tc>
          <w:tcPr>
            <w:tcW w:w="1417" w:type="dxa"/>
            <w:noWrap/>
            <w:vAlign w:val="center"/>
          </w:tcPr>
          <w:p>
            <w:r>
              <w:t>1.6×10</w:t>
            </w:r>
            <w:r>
              <w:rPr>
                <w:vertAlign w:val="superscript"/>
              </w:rPr>
              <w:t>-3</w:t>
            </w:r>
          </w:p>
        </w:tc>
        <w:tc>
          <w:tcPr>
            <w:tcW w:w="1276" w:type="dxa"/>
            <w:noWrap/>
            <w:vAlign w:val="center"/>
          </w:tcPr>
          <w:p>
            <w:pPr>
              <w:widowControl/>
              <w:jc w:val="center"/>
              <w:rPr>
                <w:kern w:val="0"/>
              </w:rPr>
            </w:pPr>
            <w:r>
              <w:rPr>
                <w:kern w:val="0"/>
              </w:rPr>
              <w:t>0.01</w:t>
            </w:r>
          </w:p>
        </w:tc>
        <w:tc>
          <w:tcPr>
            <w:tcW w:w="1695" w:type="dxa"/>
          </w:tcPr>
          <w:p>
            <w:r>
              <w:t>GB/T14848-2017</w:t>
            </w:r>
          </w:p>
        </w:tc>
        <w:tc>
          <w:tcPr>
            <w:tcW w:w="1276" w:type="dxa"/>
            <w:noWrap/>
            <w:vAlign w:val="center"/>
          </w:tcPr>
          <w:p>
            <w:pPr>
              <w:widowControl/>
              <w:jc w:val="center"/>
              <w:rPr>
                <w:kern w:val="0"/>
              </w:rPr>
            </w:pPr>
            <w:r>
              <w:rPr>
                <w:kern w:val="0"/>
              </w:rPr>
              <w:t>0.16</w:t>
            </w:r>
          </w:p>
        </w:tc>
        <w:tc>
          <w:tcPr>
            <w:tcW w:w="1077" w:type="dxa"/>
            <w:noWrap/>
            <w:vAlign w:val="center"/>
          </w:tcPr>
          <w:p>
            <w:pPr>
              <w:widowControl/>
              <w:jc w:val="center"/>
              <w:rPr>
                <w:kern w:val="0"/>
              </w:rPr>
            </w:pPr>
            <w:r>
              <w:rPr>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555" w:type="dxa"/>
            <w:noWrap/>
            <w:vAlign w:val="center"/>
          </w:tcPr>
          <w:p>
            <w:r>
              <w:rPr>
                <w:rFonts w:ascii="宋体" w:hAnsi="宋体"/>
              </w:rPr>
              <w:t>铅</w:t>
            </w:r>
          </w:p>
        </w:tc>
        <w:tc>
          <w:tcPr>
            <w:tcW w:w="1417" w:type="dxa"/>
            <w:noWrap/>
            <w:vAlign w:val="center"/>
          </w:tcPr>
          <w:p>
            <w:r>
              <w:t>0.01L</w:t>
            </w:r>
          </w:p>
        </w:tc>
        <w:tc>
          <w:tcPr>
            <w:tcW w:w="1276" w:type="dxa"/>
            <w:noWrap/>
            <w:vAlign w:val="center"/>
          </w:tcPr>
          <w:p>
            <w:pPr>
              <w:widowControl/>
              <w:jc w:val="center"/>
              <w:rPr>
                <w:kern w:val="0"/>
              </w:rPr>
            </w:pPr>
            <w:r>
              <w:rPr>
                <w:kern w:val="0"/>
              </w:rPr>
              <w:t>0.01</w:t>
            </w:r>
          </w:p>
        </w:tc>
        <w:tc>
          <w:tcPr>
            <w:tcW w:w="1695" w:type="dxa"/>
          </w:tcPr>
          <w:p>
            <w:r>
              <w:t>GB/T14848-2017</w:t>
            </w:r>
          </w:p>
        </w:tc>
        <w:tc>
          <w:tcPr>
            <w:tcW w:w="1276" w:type="dxa"/>
            <w:noWrap/>
            <w:vAlign w:val="center"/>
          </w:tcPr>
          <w:p>
            <w:pPr>
              <w:widowControl/>
              <w:jc w:val="center"/>
              <w:rPr>
                <w:kern w:val="0"/>
              </w:rPr>
            </w:pPr>
            <w:r>
              <w:rPr>
                <w:kern w:val="0"/>
              </w:rPr>
              <w:t>--</w:t>
            </w:r>
          </w:p>
        </w:tc>
        <w:tc>
          <w:tcPr>
            <w:tcW w:w="1077" w:type="dxa"/>
            <w:noWrap/>
            <w:vAlign w:val="center"/>
          </w:tcPr>
          <w:p>
            <w:pPr>
              <w:widowControl/>
              <w:jc w:val="center"/>
              <w:rPr>
                <w:kern w:val="0"/>
              </w:rPr>
            </w:pPr>
            <w:r>
              <w:t>--</w:t>
            </w:r>
          </w:p>
        </w:tc>
      </w:tr>
    </w:tbl>
    <w:p>
      <w:pPr>
        <w:autoSpaceDE w:val="0"/>
        <w:autoSpaceDN w:val="0"/>
        <w:spacing w:line="360" w:lineRule="auto"/>
        <w:ind w:firstLine="480" w:firstLineChars="200"/>
        <w:rPr>
          <w:rFonts w:ascii="宋体" w:hAnsi="宋体"/>
          <w:kern w:val="0"/>
          <w:sz w:val="24"/>
        </w:rPr>
      </w:pPr>
      <w:r>
        <w:rPr>
          <w:rFonts w:ascii="宋体" w:hAnsi="宋体"/>
          <w:kern w:val="0"/>
          <w:sz w:val="24"/>
        </w:rPr>
        <w:t>综上分析，本次评价选取氨氮作为预测评价因子。</w:t>
      </w:r>
    </w:p>
    <w:p>
      <w:pPr>
        <w:autoSpaceDE w:val="0"/>
        <w:autoSpaceDN w:val="0"/>
        <w:adjustRightInd w:val="0"/>
        <w:snapToGrid w:val="0"/>
        <w:spacing w:line="360" w:lineRule="auto"/>
        <w:ind w:firstLine="480"/>
        <w:rPr>
          <w:kern w:val="0"/>
          <w:sz w:val="24"/>
        </w:rPr>
      </w:pPr>
      <w:r>
        <w:rPr>
          <w:rFonts w:ascii="宋体" w:hAnsi="宋体"/>
          <w:kern w:val="0"/>
          <w:sz w:val="24"/>
        </w:rPr>
        <w:t>（</w:t>
      </w:r>
      <w:r>
        <w:rPr>
          <w:kern w:val="0"/>
          <w:sz w:val="24"/>
        </w:rPr>
        <w:t>3</w:t>
      </w:r>
      <w:r>
        <w:rPr>
          <w:rFonts w:ascii="宋体" w:hAnsi="宋体"/>
          <w:kern w:val="0"/>
          <w:sz w:val="24"/>
        </w:rPr>
        <w:t>）执行标准</w:t>
      </w:r>
    </w:p>
    <w:p>
      <w:pPr>
        <w:autoSpaceDE w:val="0"/>
        <w:autoSpaceDN w:val="0"/>
        <w:adjustRightInd w:val="0"/>
        <w:snapToGrid w:val="0"/>
        <w:spacing w:line="360" w:lineRule="auto"/>
        <w:ind w:firstLine="480" w:firstLineChars="200"/>
        <w:rPr>
          <w:bCs/>
          <w:kern w:val="0"/>
          <w:sz w:val="24"/>
        </w:rPr>
      </w:pPr>
      <w:r>
        <w:rPr>
          <w:rFonts w:ascii="宋体" w:hAnsi="宋体"/>
          <w:kern w:val="0"/>
          <w:sz w:val="24"/>
        </w:rPr>
        <w:t>地下水中氨氮执行《地下水质量标准》（</w:t>
      </w:r>
      <w:r>
        <w:rPr>
          <w:kern w:val="0"/>
          <w:sz w:val="24"/>
        </w:rPr>
        <w:t>GB/T14848-2017</w:t>
      </w:r>
      <w:r>
        <w:rPr>
          <w:rFonts w:ascii="宋体" w:hAnsi="宋体"/>
          <w:kern w:val="0"/>
          <w:sz w:val="24"/>
        </w:rPr>
        <w:t>）中</w:t>
      </w:r>
      <w:r>
        <w:rPr>
          <w:kern w:val="0"/>
          <w:sz w:val="24"/>
        </w:rPr>
        <w:t>III</w:t>
      </w:r>
      <w:r>
        <w:rPr>
          <w:rFonts w:ascii="宋体" w:hAnsi="宋体"/>
          <w:kern w:val="0"/>
          <w:sz w:val="24"/>
        </w:rPr>
        <w:t>类标准，检出限按检出方法确定。</w:t>
      </w:r>
    </w:p>
    <w:p>
      <w:pPr>
        <w:widowControl/>
        <w:adjustRightInd w:val="0"/>
        <w:snapToGrid w:val="0"/>
        <w:jc w:val="center"/>
        <w:rPr>
          <w:b/>
          <w:kern w:val="0"/>
          <w:sz w:val="24"/>
        </w:rPr>
      </w:pPr>
      <w:r>
        <w:rPr>
          <w:b/>
          <w:kern w:val="0"/>
          <w:sz w:val="24"/>
        </w:rPr>
        <w:t>表6.2-8  预测污染物环境质量标准及检出限一览表</w:t>
      </w:r>
    </w:p>
    <w:tbl>
      <w:tblPr>
        <w:tblStyle w:val="22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2"/>
        <w:gridCol w:w="2132"/>
        <w:gridCol w:w="21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9" w:type="dxa"/>
            <w:vAlign w:val="center"/>
          </w:tcPr>
          <w:p>
            <w:pPr>
              <w:autoSpaceDE w:val="0"/>
              <w:autoSpaceDN w:val="0"/>
              <w:adjustRightInd w:val="0"/>
              <w:snapToGrid w:val="0"/>
              <w:jc w:val="center"/>
              <w:rPr>
                <w:rFonts w:eastAsia="Times New Roman"/>
                <w:bCs/>
                <w:kern w:val="0"/>
              </w:rPr>
            </w:pPr>
            <w:r>
              <w:rPr>
                <w:rFonts w:ascii="宋体" w:hAnsi="宋体" w:eastAsia="Times New Roman"/>
                <w:bCs/>
                <w:kern w:val="0"/>
              </w:rPr>
              <w:t>污染物</w:t>
            </w:r>
          </w:p>
        </w:tc>
        <w:tc>
          <w:tcPr>
            <w:tcW w:w="2069" w:type="dxa"/>
            <w:vAlign w:val="center"/>
          </w:tcPr>
          <w:p>
            <w:pPr>
              <w:autoSpaceDE w:val="0"/>
              <w:autoSpaceDN w:val="0"/>
              <w:adjustRightInd w:val="0"/>
              <w:snapToGrid w:val="0"/>
              <w:jc w:val="center"/>
              <w:rPr>
                <w:rFonts w:eastAsia="Times New Roman"/>
                <w:bCs/>
                <w:kern w:val="0"/>
              </w:rPr>
            </w:pPr>
            <w:r>
              <w:rPr>
                <w:rFonts w:ascii="宋体" w:hAnsi="宋体" w:eastAsia="Times New Roman"/>
                <w:bCs/>
                <w:kern w:val="0"/>
              </w:rPr>
              <w:t>单位</w:t>
            </w:r>
          </w:p>
        </w:tc>
        <w:tc>
          <w:tcPr>
            <w:tcW w:w="2069" w:type="dxa"/>
            <w:vAlign w:val="center"/>
          </w:tcPr>
          <w:p>
            <w:pPr>
              <w:autoSpaceDE w:val="0"/>
              <w:autoSpaceDN w:val="0"/>
              <w:adjustRightInd w:val="0"/>
              <w:snapToGrid w:val="0"/>
              <w:jc w:val="center"/>
              <w:rPr>
                <w:rFonts w:eastAsia="Times New Roman"/>
                <w:bCs/>
                <w:kern w:val="0"/>
              </w:rPr>
            </w:pPr>
            <w:r>
              <w:rPr>
                <w:rFonts w:ascii="宋体" w:hAnsi="宋体" w:eastAsia="Times New Roman"/>
                <w:bCs/>
                <w:kern w:val="0"/>
              </w:rPr>
              <w:t>环境质量标准限值</w:t>
            </w:r>
          </w:p>
        </w:tc>
        <w:tc>
          <w:tcPr>
            <w:tcW w:w="2069" w:type="dxa"/>
            <w:vAlign w:val="center"/>
          </w:tcPr>
          <w:p>
            <w:pPr>
              <w:autoSpaceDE w:val="0"/>
              <w:autoSpaceDN w:val="0"/>
              <w:adjustRightInd w:val="0"/>
              <w:snapToGrid w:val="0"/>
              <w:jc w:val="center"/>
              <w:rPr>
                <w:rFonts w:eastAsia="Times New Roman"/>
                <w:bCs/>
                <w:kern w:val="0"/>
              </w:rPr>
            </w:pPr>
            <w:r>
              <w:rPr>
                <w:rFonts w:ascii="宋体" w:hAnsi="宋体" w:eastAsia="Times New Roman"/>
                <w:bCs/>
                <w:kern w:val="0"/>
              </w:rPr>
              <w:t>检出限值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9" w:type="dxa"/>
            <w:vAlign w:val="center"/>
          </w:tcPr>
          <w:p>
            <w:pPr>
              <w:autoSpaceDE w:val="0"/>
              <w:autoSpaceDN w:val="0"/>
              <w:adjustRightInd w:val="0"/>
              <w:snapToGrid w:val="0"/>
              <w:jc w:val="center"/>
              <w:rPr>
                <w:rFonts w:eastAsia="Times New Roman"/>
                <w:bCs/>
                <w:kern w:val="0"/>
              </w:rPr>
            </w:pPr>
            <w:r>
              <w:rPr>
                <w:rFonts w:ascii="宋体" w:hAnsi="宋体" w:eastAsia="Times New Roman"/>
                <w:kern w:val="0"/>
                <w:sz w:val="24"/>
              </w:rPr>
              <w:t>氨氮</w:t>
            </w:r>
          </w:p>
        </w:tc>
        <w:tc>
          <w:tcPr>
            <w:tcW w:w="2069" w:type="dxa"/>
            <w:vAlign w:val="center"/>
          </w:tcPr>
          <w:p>
            <w:pPr>
              <w:autoSpaceDE w:val="0"/>
              <w:autoSpaceDN w:val="0"/>
              <w:adjustRightInd w:val="0"/>
              <w:snapToGrid w:val="0"/>
              <w:jc w:val="center"/>
              <w:rPr>
                <w:rFonts w:eastAsia="Times New Roman"/>
                <w:bCs/>
                <w:kern w:val="0"/>
              </w:rPr>
            </w:pPr>
            <w:r>
              <w:rPr>
                <w:rFonts w:eastAsia="Times New Roman"/>
                <w:bCs/>
                <w:kern w:val="0"/>
              </w:rPr>
              <w:t>mg/L</w:t>
            </w:r>
          </w:p>
        </w:tc>
        <w:tc>
          <w:tcPr>
            <w:tcW w:w="2069" w:type="dxa"/>
            <w:vAlign w:val="center"/>
          </w:tcPr>
          <w:p>
            <w:pPr>
              <w:autoSpaceDE w:val="0"/>
              <w:autoSpaceDN w:val="0"/>
              <w:adjustRightInd w:val="0"/>
              <w:snapToGrid w:val="0"/>
              <w:jc w:val="center"/>
              <w:rPr>
                <w:rFonts w:eastAsia="Times New Roman"/>
                <w:bCs/>
                <w:kern w:val="0"/>
              </w:rPr>
            </w:pPr>
            <w:r>
              <w:rPr>
                <w:rFonts w:eastAsia="Times New Roman"/>
                <w:bCs/>
                <w:kern w:val="0"/>
              </w:rPr>
              <w:t>0.5</w:t>
            </w:r>
          </w:p>
        </w:tc>
        <w:tc>
          <w:tcPr>
            <w:tcW w:w="2069" w:type="dxa"/>
            <w:vAlign w:val="center"/>
          </w:tcPr>
          <w:p>
            <w:pPr>
              <w:autoSpaceDE w:val="0"/>
              <w:autoSpaceDN w:val="0"/>
              <w:adjustRightInd w:val="0"/>
              <w:snapToGrid w:val="0"/>
              <w:jc w:val="center"/>
              <w:rPr>
                <w:rFonts w:eastAsia="Times New Roman"/>
                <w:bCs/>
                <w:kern w:val="0"/>
              </w:rPr>
            </w:pPr>
            <w:r>
              <w:rPr>
                <w:rFonts w:eastAsia="Times New Roman"/>
                <w:bCs/>
                <w:kern w:val="0"/>
              </w:rPr>
              <w:t>0.02</w:t>
            </w:r>
          </w:p>
        </w:tc>
      </w:tr>
    </w:tbl>
    <w:p>
      <w:pPr>
        <w:keepNext/>
        <w:keepLines/>
        <w:adjustRightInd w:val="0"/>
        <w:snapToGrid w:val="0"/>
        <w:spacing w:line="360" w:lineRule="auto"/>
        <w:jc w:val="left"/>
        <w:outlineLvl w:val="3"/>
        <w:rPr>
          <w:b/>
          <w:sz w:val="28"/>
          <w:szCs w:val="28"/>
        </w:rPr>
      </w:pPr>
      <w:r>
        <w:rPr>
          <w:b/>
          <w:sz w:val="28"/>
          <w:szCs w:val="28"/>
        </w:rPr>
        <w:t>6.2.2.4预测结果及评价</w:t>
      </w:r>
    </w:p>
    <w:p>
      <w:pPr>
        <w:spacing w:line="360" w:lineRule="auto"/>
        <w:ind w:firstLine="480" w:firstLineChars="200"/>
        <w:rPr>
          <w:color w:val="FF0000"/>
          <w:sz w:val="24"/>
        </w:rPr>
      </w:pPr>
      <w:r>
        <w:rPr>
          <w:rFonts w:hint="eastAsia"/>
          <w:color w:val="FF0000"/>
          <w:sz w:val="24"/>
        </w:rPr>
        <w:t>1</w:t>
      </w:r>
      <w:r>
        <w:rPr>
          <w:rFonts w:ascii="宋体" w:hAnsi="宋体"/>
          <w:color w:val="FF0000"/>
          <w:sz w:val="24"/>
        </w:rPr>
        <w:t>）</w:t>
      </w:r>
      <w:r>
        <w:rPr>
          <w:rFonts w:hint="eastAsia" w:ascii="宋体" w:hAnsi="宋体"/>
          <w:color w:val="FF0000"/>
          <w:spacing w:val="-10"/>
          <w:kern w:val="0"/>
          <w:sz w:val="24"/>
        </w:rPr>
        <w:t>填埋单元破损泄露</w:t>
      </w:r>
    </w:p>
    <w:p>
      <w:pPr>
        <w:spacing w:line="360" w:lineRule="auto"/>
        <w:ind w:firstLine="480" w:firstLineChars="200"/>
        <w:rPr>
          <w:color w:val="FF0000"/>
          <w:sz w:val="24"/>
        </w:rPr>
      </w:pPr>
      <w:r>
        <w:rPr>
          <w:rFonts w:ascii="宋体" w:hAnsi="宋体"/>
          <w:color w:val="FF0000"/>
          <w:sz w:val="24"/>
        </w:rPr>
        <w:t>连续泄漏</w:t>
      </w:r>
      <w:r>
        <w:rPr>
          <w:color w:val="FF0000"/>
          <w:sz w:val="24"/>
        </w:rPr>
        <w:t>24d</w:t>
      </w:r>
      <w:r>
        <w:rPr>
          <w:rFonts w:ascii="宋体" w:hAnsi="宋体"/>
          <w:color w:val="FF0000"/>
          <w:sz w:val="24"/>
        </w:rPr>
        <w:t>后停止，第</w:t>
      </w:r>
      <w:r>
        <w:rPr>
          <w:color w:val="FF0000"/>
          <w:sz w:val="24"/>
        </w:rPr>
        <w:t>100d</w:t>
      </w:r>
      <w:r>
        <w:rPr>
          <w:rFonts w:ascii="宋体" w:hAnsi="宋体"/>
          <w:color w:val="FF0000"/>
          <w:sz w:val="24"/>
        </w:rPr>
        <w:t>时中心点浓度最大</w:t>
      </w:r>
      <w:r>
        <w:rPr>
          <w:color w:val="FF0000"/>
          <w:sz w:val="24"/>
        </w:rPr>
        <w:t>18.0mg/L</w:t>
      </w:r>
      <w:r>
        <w:rPr>
          <w:rFonts w:ascii="宋体" w:hAnsi="宋体"/>
          <w:color w:val="FF0000"/>
          <w:sz w:val="24"/>
        </w:rPr>
        <w:t>，超标面积</w:t>
      </w:r>
      <w:r>
        <w:rPr>
          <w:color w:val="FF0000"/>
          <w:sz w:val="24"/>
        </w:rPr>
        <w:t>673.6m</w:t>
      </w:r>
      <w:r>
        <w:rPr>
          <w:color w:val="FF0000"/>
          <w:sz w:val="24"/>
          <w:vertAlign w:val="superscript"/>
        </w:rPr>
        <w:t>2</w:t>
      </w:r>
      <w:r>
        <w:rPr>
          <w:rFonts w:ascii="宋体" w:hAnsi="宋体"/>
          <w:color w:val="FF0000"/>
          <w:sz w:val="24"/>
        </w:rPr>
        <w:t>；第</w:t>
      </w:r>
      <w:r>
        <w:rPr>
          <w:color w:val="FF0000"/>
          <w:sz w:val="24"/>
        </w:rPr>
        <w:t>1000d</w:t>
      </w:r>
      <w:r>
        <w:rPr>
          <w:rFonts w:ascii="宋体" w:hAnsi="宋体"/>
          <w:color w:val="FF0000"/>
          <w:sz w:val="24"/>
        </w:rPr>
        <w:t>时中心点浓度最大</w:t>
      </w:r>
      <w:r>
        <w:rPr>
          <w:color w:val="FF0000"/>
          <w:sz w:val="24"/>
        </w:rPr>
        <w:t>2.2mg/L</w:t>
      </w:r>
      <w:r>
        <w:rPr>
          <w:rFonts w:ascii="宋体" w:hAnsi="宋体"/>
          <w:color w:val="FF0000"/>
          <w:sz w:val="24"/>
        </w:rPr>
        <w:t>，超标面积</w:t>
      </w:r>
      <w:r>
        <w:rPr>
          <w:color w:val="FF0000"/>
          <w:sz w:val="24"/>
        </w:rPr>
        <w:t>1280.9m</w:t>
      </w:r>
      <w:r>
        <w:rPr>
          <w:color w:val="FF0000"/>
          <w:sz w:val="24"/>
          <w:vertAlign w:val="superscript"/>
        </w:rPr>
        <w:t>2</w:t>
      </w:r>
      <w:r>
        <w:rPr>
          <w:rFonts w:ascii="宋体" w:hAnsi="宋体"/>
          <w:color w:val="FF0000"/>
          <w:sz w:val="24"/>
        </w:rPr>
        <w:t>；第</w:t>
      </w:r>
      <w:r>
        <w:rPr>
          <w:color w:val="FF0000"/>
          <w:sz w:val="24"/>
        </w:rPr>
        <w:t>3000d</w:t>
      </w:r>
      <w:r>
        <w:rPr>
          <w:rFonts w:ascii="宋体" w:hAnsi="宋体"/>
          <w:color w:val="FF0000"/>
          <w:sz w:val="24"/>
        </w:rPr>
        <w:t>时中心点浓度最大</w:t>
      </w:r>
      <w:r>
        <w:rPr>
          <w:color w:val="FF0000"/>
          <w:sz w:val="24"/>
        </w:rPr>
        <w:t>0.8mg/L</w:t>
      </w:r>
      <w:r>
        <w:rPr>
          <w:rFonts w:ascii="宋体" w:hAnsi="宋体"/>
          <w:color w:val="FF0000"/>
          <w:sz w:val="24"/>
        </w:rPr>
        <w:t>，超标面积</w:t>
      </w:r>
      <w:r>
        <w:rPr>
          <w:color w:val="FF0000"/>
          <w:sz w:val="24"/>
        </w:rPr>
        <w:t>1032.2m</w:t>
      </w:r>
      <w:r>
        <w:rPr>
          <w:color w:val="FF0000"/>
          <w:sz w:val="24"/>
          <w:vertAlign w:val="superscript"/>
        </w:rPr>
        <w:t>2</w:t>
      </w:r>
      <w:r>
        <w:rPr>
          <w:rFonts w:ascii="宋体" w:hAnsi="宋体"/>
          <w:color w:val="FF0000"/>
          <w:sz w:val="24"/>
        </w:rPr>
        <w:t>；第</w:t>
      </w:r>
      <w:r>
        <w:rPr>
          <w:color w:val="FF0000"/>
          <w:sz w:val="24"/>
        </w:rPr>
        <w:t>4000d</w:t>
      </w:r>
      <w:r>
        <w:rPr>
          <w:rFonts w:ascii="宋体" w:hAnsi="宋体"/>
          <w:color w:val="FF0000"/>
          <w:sz w:val="24"/>
        </w:rPr>
        <w:t>时中心点浓度最大</w:t>
      </w:r>
      <w:r>
        <w:rPr>
          <w:color w:val="FF0000"/>
          <w:sz w:val="24"/>
        </w:rPr>
        <w:t>0.6mg/L</w:t>
      </w:r>
      <w:r>
        <w:rPr>
          <w:rFonts w:ascii="宋体" w:hAnsi="宋体"/>
          <w:color w:val="FF0000"/>
          <w:sz w:val="24"/>
        </w:rPr>
        <w:t>，超标面积</w:t>
      </w:r>
      <w:r>
        <w:rPr>
          <w:color w:val="FF0000"/>
          <w:sz w:val="24"/>
        </w:rPr>
        <w:t>414.0m</w:t>
      </w:r>
      <w:r>
        <w:rPr>
          <w:color w:val="FF0000"/>
          <w:sz w:val="24"/>
          <w:vertAlign w:val="superscript"/>
        </w:rPr>
        <w:t>2</w:t>
      </w:r>
      <w:r>
        <w:rPr>
          <w:rFonts w:ascii="宋体" w:hAnsi="宋体"/>
          <w:color w:val="FF0000"/>
          <w:sz w:val="24"/>
        </w:rPr>
        <w:t>；第</w:t>
      </w:r>
      <w:r>
        <w:rPr>
          <w:color w:val="FF0000"/>
          <w:sz w:val="24"/>
        </w:rPr>
        <w:t>5000d</w:t>
      </w:r>
      <w:r>
        <w:rPr>
          <w:rFonts w:ascii="宋体" w:hAnsi="宋体"/>
          <w:color w:val="FF0000"/>
          <w:sz w:val="24"/>
        </w:rPr>
        <w:t>时中心点浓度最大</w:t>
      </w:r>
      <w:r>
        <w:rPr>
          <w:color w:val="FF0000"/>
          <w:sz w:val="24"/>
        </w:rPr>
        <w:t>0.48mg/L</w:t>
      </w:r>
      <w:r>
        <w:rPr>
          <w:rFonts w:ascii="宋体" w:hAnsi="宋体"/>
          <w:color w:val="FF0000"/>
          <w:sz w:val="24"/>
        </w:rPr>
        <w:t>，浓度低于标准限值，污染晕消失；此后第</w:t>
      </w:r>
      <w:r>
        <w:rPr>
          <w:color w:val="FF0000"/>
          <w:sz w:val="24"/>
        </w:rPr>
        <w:t>7300d</w:t>
      </w:r>
      <w:r>
        <w:rPr>
          <w:rFonts w:ascii="宋体" w:hAnsi="宋体"/>
          <w:color w:val="FF0000"/>
          <w:sz w:val="24"/>
        </w:rPr>
        <w:t>时中心点浓度最大值进一步降低为</w:t>
      </w:r>
      <w:r>
        <w:rPr>
          <w:color w:val="FF0000"/>
          <w:sz w:val="24"/>
        </w:rPr>
        <w:t>0.31mg/L</w:t>
      </w:r>
      <w:r>
        <w:rPr>
          <w:rFonts w:ascii="宋体" w:hAnsi="宋体"/>
          <w:color w:val="FF0000"/>
          <w:sz w:val="24"/>
        </w:rPr>
        <w:t>。</w:t>
      </w:r>
    </w:p>
    <w:p>
      <w:pPr>
        <w:spacing w:line="360" w:lineRule="auto"/>
        <w:ind w:firstLine="480" w:firstLineChars="200"/>
        <w:rPr>
          <w:color w:val="FF0000"/>
          <w:sz w:val="24"/>
        </w:rPr>
      </w:pPr>
      <w:r>
        <w:rPr>
          <w:rFonts w:ascii="宋体" w:hAnsi="宋体"/>
          <w:color w:val="FF0000"/>
          <w:sz w:val="24"/>
        </w:rPr>
        <w:t>根据预测结果分析，一旦填埋单元发生渗漏，将会对场地地下水产生一定的不利影响，最不利情况下影响范围发生在场地及场地下游小范围内，对周边分散式饮用水取水井（预测下游最大超标距离</w:t>
      </w:r>
      <w:r>
        <w:rPr>
          <w:color w:val="FF0000"/>
          <w:sz w:val="24"/>
        </w:rPr>
        <w:t>134.1m</w:t>
      </w:r>
      <w:r>
        <w:rPr>
          <w:rFonts w:ascii="宋体" w:hAnsi="宋体"/>
          <w:color w:val="FF0000"/>
          <w:sz w:val="24"/>
        </w:rPr>
        <w:t>，下游距离最近的水井位于下游</w:t>
      </w:r>
      <w:r>
        <w:rPr>
          <w:color w:val="FF0000"/>
          <w:sz w:val="24"/>
        </w:rPr>
        <w:t>580m</w:t>
      </w:r>
      <w:r>
        <w:rPr>
          <w:rFonts w:ascii="宋体" w:hAnsi="宋体"/>
          <w:color w:val="FF0000"/>
          <w:sz w:val="24"/>
        </w:rPr>
        <w:t>处）则不会产生影响。</w:t>
      </w:r>
    </w:p>
    <w:p>
      <w:pPr>
        <w:spacing w:line="360" w:lineRule="auto"/>
        <w:ind w:firstLine="480" w:firstLineChars="200"/>
        <w:rPr>
          <w:color w:val="FF0000"/>
          <w:sz w:val="24"/>
        </w:rPr>
      </w:pPr>
      <w:r>
        <w:rPr>
          <w:rFonts w:ascii="宋体" w:hAnsi="宋体"/>
          <w:color w:val="FF0000"/>
          <w:sz w:val="24"/>
        </w:rPr>
        <w:t>建设单位应严格建设填埋场防渗层，避免填埋单元发生泄露情况。</w:t>
      </w:r>
    </w:p>
    <w:p>
      <w:pPr>
        <w:widowControl/>
        <w:adjustRightInd w:val="0"/>
        <w:snapToGrid w:val="0"/>
        <w:jc w:val="center"/>
        <w:rPr>
          <w:b/>
          <w:color w:val="FF0000"/>
          <w:kern w:val="0"/>
          <w:sz w:val="24"/>
        </w:rPr>
      </w:pPr>
      <w:r>
        <w:rPr>
          <w:rFonts w:ascii="宋体" w:hAnsi="宋体"/>
          <w:b/>
          <w:color w:val="FF0000"/>
          <w:kern w:val="0"/>
          <w:sz w:val="24"/>
        </w:rPr>
        <w:t>表</w:t>
      </w:r>
      <w:r>
        <w:rPr>
          <w:b/>
          <w:color w:val="FF0000"/>
          <w:kern w:val="0"/>
          <w:sz w:val="24"/>
        </w:rPr>
        <w:t xml:space="preserve">6.2-9   </w:t>
      </w:r>
      <w:r>
        <w:rPr>
          <w:rFonts w:ascii="宋体" w:hAnsi="宋体"/>
          <w:b/>
          <w:color w:val="FF0000"/>
          <w:kern w:val="0"/>
          <w:sz w:val="24"/>
        </w:rPr>
        <w:t>氨氮在含水层中运移情况</w:t>
      </w:r>
    </w:p>
    <w:tbl>
      <w:tblPr>
        <w:tblStyle w:val="87"/>
        <w:tblW w:w="5000" w:type="pct"/>
        <w:tblInd w:w="216"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26"/>
        <w:gridCol w:w="1989"/>
        <w:gridCol w:w="1706"/>
        <w:gridCol w:w="32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855" w:type="pct"/>
            <w:tcBorders>
              <w:top w:val="single" w:color="auto" w:sz="12" w:space="0"/>
              <w:left w:val="single" w:color="auto" w:sz="12" w:space="0"/>
              <w:bottom w:val="single" w:color="auto" w:sz="4" w:space="0"/>
              <w:right w:val="single" w:color="auto" w:sz="4" w:space="0"/>
            </w:tcBorders>
            <w:vAlign w:val="center"/>
          </w:tcPr>
          <w:p>
            <w:pPr>
              <w:adjustRightInd w:val="0"/>
              <w:snapToGrid w:val="0"/>
              <w:jc w:val="center"/>
              <w:rPr>
                <w:color w:val="FF0000"/>
                <w:szCs w:val="21"/>
              </w:rPr>
            </w:pPr>
            <w:r>
              <w:rPr>
                <w:rFonts w:ascii="宋体" w:hAnsi="宋体"/>
                <w:color w:val="FF0000"/>
                <w:szCs w:val="21"/>
              </w:rPr>
              <w:t>时间</w:t>
            </w:r>
          </w:p>
        </w:tc>
        <w:tc>
          <w:tcPr>
            <w:tcW w:w="1192"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ascii="宋体" w:hAnsi="宋体"/>
                <w:color w:val="FF0000"/>
                <w:szCs w:val="21"/>
              </w:rPr>
              <w:t>中心点浓度（</w:t>
            </w:r>
            <w:r>
              <w:rPr>
                <w:color w:val="FF0000"/>
                <w:szCs w:val="21"/>
              </w:rPr>
              <w:t>mg/L</w:t>
            </w:r>
            <w:r>
              <w:rPr>
                <w:rFonts w:ascii="宋体" w:hAnsi="宋体"/>
                <w:color w:val="FF0000"/>
                <w:szCs w:val="21"/>
              </w:rPr>
              <w:t>）</w:t>
            </w:r>
          </w:p>
        </w:tc>
        <w:tc>
          <w:tcPr>
            <w:tcW w:w="1022"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ascii="宋体" w:hAnsi="宋体"/>
                <w:color w:val="FF0000"/>
                <w:szCs w:val="21"/>
              </w:rPr>
              <w:t>超标面积（</w:t>
            </w:r>
            <w:r>
              <w:rPr>
                <w:color w:val="FF0000"/>
                <w:szCs w:val="21"/>
              </w:rPr>
              <w:t>m</w:t>
            </w:r>
            <w:r>
              <w:rPr>
                <w:color w:val="FF0000"/>
                <w:szCs w:val="21"/>
                <w:vertAlign w:val="superscript"/>
              </w:rPr>
              <w:t>2</w:t>
            </w:r>
            <w:r>
              <w:rPr>
                <w:rFonts w:ascii="宋体" w:hAnsi="宋体"/>
                <w:color w:val="FF0000"/>
                <w:szCs w:val="21"/>
              </w:rPr>
              <w:t>）</w:t>
            </w:r>
          </w:p>
        </w:tc>
        <w:tc>
          <w:tcPr>
            <w:tcW w:w="1930" w:type="pct"/>
            <w:tcBorders>
              <w:top w:val="single" w:color="auto" w:sz="12" w:space="0"/>
              <w:left w:val="single" w:color="auto" w:sz="4" w:space="0"/>
              <w:bottom w:val="single" w:color="auto" w:sz="4" w:space="0"/>
              <w:right w:val="single" w:color="auto" w:sz="12" w:space="0"/>
            </w:tcBorders>
            <w:vAlign w:val="center"/>
          </w:tcPr>
          <w:p>
            <w:pPr>
              <w:adjustRightInd w:val="0"/>
              <w:snapToGrid w:val="0"/>
              <w:jc w:val="center"/>
              <w:rPr>
                <w:color w:val="FF0000"/>
                <w:szCs w:val="21"/>
              </w:rPr>
            </w:pPr>
            <w:r>
              <w:rPr>
                <w:rFonts w:ascii="宋体" w:hAnsi="宋体"/>
                <w:color w:val="FF0000"/>
                <w:szCs w:val="21"/>
              </w:rPr>
              <w:t>下游最大超标距离（</w:t>
            </w:r>
            <w:r>
              <w:rPr>
                <w:color w:val="FF0000"/>
                <w:szCs w:val="21"/>
              </w:rPr>
              <w:t>m</w:t>
            </w:r>
            <w:r>
              <w:rPr>
                <w:rFonts w:ascii="宋体" w:hAnsi="宋体"/>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855"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FF0000"/>
                <w:szCs w:val="21"/>
              </w:rPr>
            </w:pPr>
            <w:r>
              <w:rPr>
                <w:color w:val="FF0000"/>
                <w:szCs w:val="21"/>
              </w:rPr>
              <w:t>100d</w:t>
            </w:r>
          </w:p>
        </w:tc>
        <w:tc>
          <w:tcPr>
            <w:tcW w:w="119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1</w:t>
            </w:r>
            <w:r>
              <w:rPr>
                <w:color w:val="FF0000"/>
                <w:szCs w:val="21"/>
              </w:rPr>
              <w:t>8.0</w:t>
            </w:r>
          </w:p>
        </w:tc>
        <w:tc>
          <w:tcPr>
            <w:tcW w:w="102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6</w:t>
            </w:r>
            <w:r>
              <w:rPr>
                <w:color w:val="FF0000"/>
                <w:szCs w:val="21"/>
              </w:rPr>
              <w:t>73.6</w:t>
            </w:r>
          </w:p>
        </w:tc>
        <w:tc>
          <w:tcPr>
            <w:tcW w:w="1930"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color w:val="FF0000"/>
                <w:szCs w:val="21"/>
              </w:rPr>
            </w:pPr>
            <w:r>
              <w:rPr>
                <w:rFonts w:hint="eastAsia"/>
                <w:color w:val="FF0000"/>
                <w:szCs w:val="21"/>
              </w:rPr>
              <w:t>3</w:t>
            </w:r>
            <w:r>
              <w:rPr>
                <w:color w:val="FF0000"/>
                <w:szCs w:val="21"/>
              </w:rPr>
              <w:t>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855"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FF0000"/>
                <w:szCs w:val="21"/>
              </w:rPr>
            </w:pPr>
            <w:r>
              <w:rPr>
                <w:color w:val="FF0000"/>
                <w:szCs w:val="21"/>
              </w:rPr>
              <w:t>1000d</w:t>
            </w:r>
          </w:p>
        </w:tc>
        <w:tc>
          <w:tcPr>
            <w:tcW w:w="119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2</w:t>
            </w:r>
            <w:r>
              <w:rPr>
                <w:color w:val="FF0000"/>
                <w:szCs w:val="21"/>
              </w:rPr>
              <w:t>.2</w:t>
            </w:r>
          </w:p>
        </w:tc>
        <w:tc>
          <w:tcPr>
            <w:tcW w:w="102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1</w:t>
            </w:r>
            <w:r>
              <w:rPr>
                <w:color w:val="FF0000"/>
                <w:szCs w:val="21"/>
              </w:rPr>
              <w:t>280.9</w:t>
            </w:r>
          </w:p>
        </w:tc>
        <w:tc>
          <w:tcPr>
            <w:tcW w:w="1930"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color w:val="FF0000"/>
                <w:szCs w:val="21"/>
              </w:rPr>
            </w:pPr>
            <w:r>
              <w:rPr>
                <w:rFonts w:hint="eastAsia"/>
                <w:color w:val="FF0000"/>
                <w:szCs w:val="21"/>
              </w:rPr>
              <w:t>7</w:t>
            </w:r>
            <w:r>
              <w:rPr>
                <w:color w:val="FF0000"/>
                <w:szCs w:val="21"/>
              </w:rPr>
              <w:t>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855"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3</w:t>
            </w:r>
            <w:r>
              <w:rPr>
                <w:color w:val="FF0000"/>
                <w:szCs w:val="21"/>
              </w:rPr>
              <w:t>000d</w:t>
            </w:r>
          </w:p>
        </w:tc>
        <w:tc>
          <w:tcPr>
            <w:tcW w:w="119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0</w:t>
            </w:r>
            <w:r>
              <w:rPr>
                <w:color w:val="FF0000"/>
                <w:szCs w:val="21"/>
              </w:rPr>
              <w:t>.8</w:t>
            </w:r>
          </w:p>
        </w:tc>
        <w:tc>
          <w:tcPr>
            <w:tcW w:w="102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1</w:t>
            </w:r>
            <w:r>
              <w:rPr>
                <w:color w:val="FF0000"/>
                <w:szCs w:val="21"/>
              </w:rPr>
              <w:t>032.2</w:t>
            </w:r>
          </w:p>
        </w:tc>
        <w:tc>
          <w:tcPr>
            <w:tcW w:w="1930"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color w:val="FF0000"/>
                <w:szCs w:val="21"/>
              </w:rPr>
            </w:pPr>
            <w:r>
              <w:rPr>
                <w:rFonts w:hint="eastAsia"/>
                <w:color w:val="FF0000"/>
                <w:szCs w:val="21"/>
              </w:rPr>
              <w:t>1</w:t>
            </w:r>
            <w:r>
              <w:rPr>
                <w:color w:val="FF0000"/>
                <w:szCs w:val="21"/>
              </w:rPr>
              <w:t>21.7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855"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4</w:t>
            </w:r>
            <w:r>
              <w:rPr>
                <w:color w:val="FF0000"/>
                <w:szCs w:val="21"/>
              </w:rPr>
              <w:t>000d</w:t>
            </w:r>
          </w:p>
        </w:tc>
        <w:tc>
          <w:tcPr>
            <w:tcW w:w="119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0</w:t>
            </w:r>
            <w:r>
              <w:rPr>
                <w:color w:val="FF0000"/>
                <w:szCs w:val="21"/>
              </w:rPr>
              <w:t>.6</w:t>
            </w:r>
          </w:p>
        </w:tc>
        <w:tc>
          <w:tcPr>
            <w:tcW w:w="102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4</w:t>
            </w:r>
            <w:r>
              <w:rPr>
                <w:color w:val="FF0000"/>
                <w:szCs w:val="21"/>
              </w:rPr>
              <w:t>14.0</w:t>
            </w:r>
          </w:p>
        </w:tc>
        <w:tc>
          <w:tcPr>
            <w:tcW w:w="1930"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color w:val="FF0000"/>
                <w:szCs w:val="21"/>
              </w:rPr>
            </w:pPr>
            <w:r>
              <w:rPr>
                <w:rFonts w:hint="eastAsia"/>
                <w:color w:val="FF0000"/>
                <w:szCs w:val="21"/>
              </w:rPr>
              <w:t>1</w:t>
            </w:r>
            <w:r>
              <w:rPr>
                <w:color w:val="FF0000"/>
                <w:szCs w:val="21"/>
              </w:rPr>
              <w:t>34.1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855"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5</w:t>
            </w:r>
            <w:r>
              <w:rPr>
                <w:color w:val="FF0000"/>
                <w:szCs w:val="21"/>
              </w:rPr>
              <w:t>000d</w:t>
            </w:r>
          </w:p>
        </w:tc>
        <w:tc>
          <w:tcPr>
            <w:tcW w:w="119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0</w:t>
            </w:r>
            <w:r>
              <w:rPr>
                <w:color w:val="FF0000"/>
                <w:szCs w:val="21"/>
              </w:rPr>
              <w:t>.48</w:t>
            </w:r>
          </w:p>
        </w:tc>
        <w:tc>
          <w:tcPr>
            <w:tcW w:w="102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FF0000"/>
                <w:szCs w:val="21"/>
              </w:rPr>
            </w:pPr>
            <w:r>
              <w:rPr>
                <w:rFonts w:hint="eastAsia"/>
                <w:color w:val="FF0000"/>
                <w:szCs w:val="21"/>
              </w:rPr>
              <w:t>-</w:t>
            </w:r>
            <w:r>
              <w:rPr>
                <w:color w:val="FF0000"/>
                <w:szCs w:val="21"/>
              </w:rPr>
              <w:t>-</w:t>
            </w:r>
          </w:p>
        </w:tc>
        <w:tc>
          <w:tcPr>
            <w:tcW w:w="1930"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color w:val="FF0000"/>
                <w:szCs w:val="21"/>
              </w:rPr>
            </w:pPr>
            <w:r>
              <w:rPr>
                <w:rFonts w:hint="eastAsia"/>
                <w:color w:val="FF0000"/>
                <w:szCs w:val="21"/>
              </w:rPr>
              <w:t>-</w:t>
            </w:r>
            <w:r>
              <w:rPr>
                <w:color w:val="FF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855" w:type="pct"/>
            <w:tcBorders>
              <w:top w:val="single" w:color="auto" w:sz="4" w:space="0"/>
              <w:left w:val="single" w:color="auto" w:sz="12" w:space="0"/>
              <w:bottom w:val="single" w:color="auto" w:sz="12" w:space="0"/>
              <w:right w:val="single" w:color="auto" w:sz="4" w:space="0"/>
            </w:tcBorders>
            <w:vAlign w:val="center"/>
          </w:tcPr>
          <w:p>
            <w:pPr>
              <w:adjustRightInd w:val="0"/>
              <w:snapToGrid w:val="0"/>
              <w:jc w:val="center"/>
              <w:rPr>
                <w:color w:val="FF0000"/>
                <w:szCs w:val="21"/>
              </w:rPr>
            </w:pPr>
            <w:r>
              <w:rPr>
                <w:rFonts w:hint="eastAsia"/>
                <w:color w:val="FF0000"/>
                <w:szCs w:val="21"/>
              </w:rPr>
              <w:t>7</w:t>
            </w:r>
            <w:r>
              <w:rPr>
                <w:color w:val="FF0000"/>
                <w:szCs w:val="21"/>
              </w:rPr>
              <w:t>300d</w:t>
            </w:r>
          </w:p>
        </w:tc>
        <w:tc>
          <w:tcPr>
            <w:tcW w:w="1192"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color w:val="FF0000"/>
                <w:szCs w:val="21"/>
              </w:rPr>
            </w:pPr>
            <w:r>
              <w:rPr>
                <w:rFonts w:hint="eastAsia"/>
                <w:color w:val="FF0000"/>
                <w:szCs w:val="21"/>
              </w:rPr>
              <w:t>0</w:t>
            </w:r>
            <w:r>
              <w:rPr>
                <w:color w:val="FF0000"/>
                <w:szCs w:val="21"/>
              </w:rPr>
              <w:t>.31</w:t>
            </w:r>
          </w:p>
        </w:tc>
        <w:tc>
          <w:tcPr>
            <w:tcW w:w="1022"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color w:val="FF0000"/>
                <w:szCs w:val="21"/>
              </w:rPr>
            </w:pPr>
            <w:r>
              <w:rPr>
                <w:rFonts w:hint="eastAsia"/>
                <w:color w:val="FF0000"/>
                <w:szCs w:val="21"/>
              </w:rPr>
              <w:t>-</w:t>
            </w:r>
            <w:r>
              <w:rPr>
                <w:color w:val="FF0000"/>
                <w:szCs w:val="21"/>
              </w:rPr>
              <w:t>-</w:t>
            </w:r>
          </w:p>
        </w:tc>
        <w:tc>
          <w:tcPr>
            <w:tcW w:w="1930" w:type="pct"/>
            <w:tcBorders>
              <w:top w:val="single" w:color="auto" w:sz="4" w:space="0"/>
              <w:left w:val="single" w:color="auto" w:sz="4" w:space="0"/>
              <w:bottom w:val="single" w:color="auto" w:sz="12" w:space="0"/>
              <w:right w:val="single" w:color="auto" w:sz="12" w:space="0"/>
            </w:tcBorders>
            <w:vAlign w:val="center"/>
          </w:tcPr>
          <w:p>
            <w:pPr>
              <w:adjustRightInd w:val="0"/>
              <w:snapToGrid w:val="0"/>
              <w:jc w:val="center"/>
              <w:rPr>
                <w:color w:val="FF0000"/>
                <w:szCs w:val="21"/>
              </w:rPr>
            </w:pPr>
            <w:r>
              <w:rPr>
                <w:rFonts w:hint="eastAsia"/>
                <w:color w:val="FF0000"/>
                <w:szCs w:val="21"/>
              </w:rPr>
              <w:t>-</w:t>
            </w:r>
            <w:r>
              <w:rPr>
                <w:color w:val="FF0000"/>
                <w:szCs w:val="21"/>
              </w:rPr>
              <w:t>-</w:t>
            </w:r>
          </w:p>
        </w:tc>
      </w:tr>
    </w:tbl>
    <w:p>
      <w:pPr>
        <w:adjustRightInd w:val="0"/>
        <w:snapToGrid w:val="0"/>
        <w:jc w:val="center"/>
        <w:rPr>
          <w:color w:val="FF0000"/>
          <w:szCs w:val="21"/>
        </w:rPr>
      </w:pPr>
      <w:r>
        <w:rPr>
          <w:rFonts w:hint="eastAsia"/>
          <w:color w:val="FF0000"/>
          <w:szCs w:val="21"/>
        </w:rPr>
        <w:drawing>
          <wp:inline distT="0" distB="0" distL="0" distR="0">
            <wp:extent cx="4835525" cy="5374640"/>
            <wp:effectExtent l="0" t="0" r="3175" b="0"/>
            <wp:docPr id="318" name="图片 1" descr="C:\Users\众成环境\AppData\Local\Temp\ksohtml12676\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 descr="C:\Users\众成环境\AppData\Local\Temp\ksohtml12676\wps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846287" cy="5386641"/>
                    </a:xfrm>
                    <a:prstGeom prst="rect">
                      <a:avLst/>
                    </a:prstGeom>
                    <a:noFill/>
                    <a:ln>
                      <a:noFill/>
                    </a:ln>
                  </pic:spPr>
                </pic:pic>
              </a:graphicData>
            </a:graphic>
          </wp:inline>
        </w:drawing>
      </w:r>
      <w:r>
        <w:rPr>
          <w:color w:val="FF0000"/>
          <w:szCs w:val="21"/>
        </w:rPr>
        <w:t xml:space="preserve"> </w:t>
      </w:r>
    </w:p>
    <w:p>
      <w:pPr>
        <w:adjustRightInd w:val="0"/>
        <w:snapToGrid w:val="0"/>
        <w:jc w:val="center"/>
        <w:rPr>
          <w:color w:val="FF0000"/>
          <w:szCs w:val="21"/>
        </w:rPr>
      </w:pPr>
      <w:r>
        <w:rPr>
          <w:b/>
          <w:color w:val="FF0000"/>
          <w:sz w:val="24"/>
        </w:rPr>
        <w:t>a.</w:t>
      </w:r>
      <w:r>
        <w:rPr>
          <w:rFonts w:ascii="宋体" w:hAnsi="宋体"/>
          <w:b/>
          <w:color w:val="FF0000"/>
          <w:sz w:val="24"/>
        </w:rPr>
        <w:t>泄漏</w:t>
      </w:r>
      <w:r>
        <w:rPr>
          <w:b/>
          <w:color w:val="FF0000"/>
          <w:sz w:val="24"/>
        </w:rPr>
        <w:t>24</w:t>
      </w:r>
      <w:r>
        <w:rPr>
          <w:rFonts w:ascii="宋体" w:hAnsi="宋体"/>
          <w:b/>
          <w:color w:val="FF0000"/>
          <w:sz w:val="24"/>
        </w:rPr>
        <w:t>天后停止，第</w:t>
      </w:r>
      <w:r>
        <w:rPr>
          <w:b/>
          <w:color w:val="FF0000"/>
          <w:sz w:val="24"/>
        </w:rPr>
        <w:t>100</w:t>
      </w:r>
      <w:r>
        <w:rPr>
          <w:rFonts w:ascii="宋体" w:hAnsi="宋体"/>
          <w:b/>
          <w:color w:val="FF0000"/>
          <w:sz w:val="24"/>
        </w:rPr>
        <w:t>天</w:t>
      </w:r>
      <w:r>
        <w:rPr>
          <w:rFonts w:ascii="宋体" w:hAnsi="宋体"/>
          <w:b/>
          <w:color w:val="FF0000"/>
          <w:kern w:val="0"/>
          <w:sz w:val="24"/>
        </w:rPr>
        <w:t>氨氮</w:t>
      </w:r>
      <w:r>
        <w:rPr>
          <w:rFonts w:ascii="宋体" w:hAnsi="宋体"/>
          <w:b/>
          <w:color w:val="FF0000"/>
          <w:sz w:val="24"/>
        </w:rPr>
        <w:t>污染羽运移情况</w:t>
      </w:r>
    </w:p>
    <w:p>
      <w:pPr>
        <w:adjustRightInd w:val="0"/>
        <w:snapToGrid w:val="0"/>
        <w:jc w:val="center"/>
        <w:rPr>
          <w:color w:val="FF0000"/>
          <w:szCs w:val="21"/>
        </w:rPr>
      </w:pPr>
      <w:r>
        <w:rPr>
          <w:rFonts w:hint="eastAsia"/>
          <w:color w:val="FF0000"/>
          <w:szCs w:val="21"/>
        </w:rPr>
        <w:drawing>
          <wp:inline distT="0" distB="0" distL="0" distR="0">
            <wp:extent cx="4914265" cy="5462270"/>
            <wp:effectExtent l="0" t="0" r="635" b="5080"/>
            <wp:docPr id="319" name="图片 319" descr="C:\Users\众成环境\AppData\Local\Temp\ksohtml12676\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C:\Users\众成环境\AppData\Local\Temp\ksohtml12676\wps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918055" cy="5466412"/>
                    </a:xfrm>
                    <a:prstGeom prst="rect">
                      <a:avLst/>
                    </a:prstGeom>
                    <a:noFill/>
                    <a:ln>
                      <a:noFill/>
                    </a:ln>
                  </pic:spPr>
                </pic:pic>
              </a:graphicData>
            </a:graphic>
          </wp:inline>
        </w:drawing>
      </w:r>
      <w:r>
        <w:rPr>
          <w:color w:val="FF0000"/>
          <w:szCs w:val="21"/>
        </w:rPr>
        <w:t xml:space="preserve"> </w:t>
      </w:r>
    </w:p>
    <w:p>
      <w:pPr>
        <w:adjustRightInd w:val="0"/>
        <w:snapToGrid w:val="0"/>
        <w:jc w:val="center"/>
        <w:rPr>
          <w:b/>
          <w:color w:val="FF0000"/>
          <w:sz w:val="24"/>
        </w:rPr>
      </w:pPr>
      <w:r>
        <w:rPr>
          <w:b/>
          <w:color w:val="FF0000"/>
          <w:sz w:val="24"/>
        </w:rPr>
        <w:t>b.</w:t>
      </w:r>
      <w:r>
        <w:rPr>
          <w:rFonts w:ascii="宋体" w:hAnsi="宋体"/>
          <w:b/>
          <w:color w:val="FF0000"/>
          <w:sz w:val="24"/>
        </w:rPr>
        <w:t>泄漏</w:t>
      </w:r>
      <w:r>
        <w:rPr>
          <w:b/>
          <w:color w:val="FF0000"/>
          <w:sz w:val="24"/>
        </w:rPr>
        <w:t>24</w:t>
      </w:r>
      <w:r>
        <w:rPr>
          <w:rFonts w:ascii="宋体" w:hAnsi="宋体"/>
          <w:b/>
          <w:color w:val="FF0000"/>
          <w:sz w:val="24"/>
        </w:rPr>
        <w:t>天后停止，第</w:t>
      </w:r>
      <w:r>
        <w:rPr>
          <w:b/>
          <w:color w:val="FF0000"/>
          <w:sz w:val="24"/>
        </w:rPr>
        <w:t>1000</w:t>
      </w:r>
      <w:r>
        <w:rPr>
          <w:rFonts w:ascii="宋体" w:hAnsi="宋体"/>
          <w:b/>
          <w:color w:val="FF0000"/>
          <w:sz w:val="24"/>
        </w:rPr>
        <w:t>天</w:t>
      </w:r>
      <w:r>
        <w:rPr>
          <w:rFonts w:ascii="宋体" w:hAnsi="宋体"/>
          <w:b/>
          <w:color w:val="FF0000"/>
          <w:kern w:val="0"/>
          <w:sz w:val="24"/>
        </w:rPr>
        <w:t>氨氮</w:t>
      </w:r>
      <w:r>
        <w:rPr>
          <w:rFonts w:ascii="宋体" w:hAnsi="宋体"/>
          <w:b/>
          <w:color w:val="FF0000"/>
          <w:sz w:val="24"/>
        </w:rPr>
        <w:t>污染羽运移情况</w:t>
      </w:r>
    </w:p>
    <w:p>
      <w:pPr>
        <w:adjustRightInd w:val="0"/>
        <w:snapToGrid w:val="0"/>
        <w:jc w:val="center"/>
        <w:rPr>
          <w:color w:val="FF0000"/>
          <w:szCs w:val="21"/>
        </w:rPr>
      </w:pPr>
      <w:r>
        <w:rPr>
          <w:rFonts w:hint="eastAsia"/>
          <w:color w:val="FF0000"/>
          <w:szCs w:val="21"/>
        </w:rPr>
        <w:drawing>
          <wp:inline distT="0" distB="0" distL="0" distR="0">
            <wp:extent cx="5279390" cy="5868035"/>
            <wp:effectExtent l="0" t="0" r="0" b="0"/>
            <wp:docPr id="320" name="图片 320" descr="C:\Users\众成环境\AppData\Local\Temp\ksohtml12676\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C:\Users\众成环境\AppData\Local\Temp\ksohtml12676\wps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79390" cy="5868035"/>
                    </a:xfrm>
                    <a:prstGeom prst="rect">
                      <a:avLst/>
                    </a:prstGeom>
                    <a:noFill/>
                    <a:ln>
                      <a:noFill/>
                    </a:ln>
                  </pic:spPr>
                </pic:pic>
              </a:graphicData>
            </a:graphic>
          </wp:inline>
        </w:drawing>
      </w:r>
      <w:r>
        <w:rPr>
          <w:color w:val="FF0000"/>
          <w:szCs w:val="21"/>
        </w:rPr>
        <w:t xml:space="preserve"> </w:t>
      </w:r>
    </w:p>
    <w:p>
      <w:pPr>
        <w:adjustRightInd w:val="0"/>
        <w:snapToGrid w:val="0"/>
        <w:jc w:val="center"/>
        <w:rPr>
          <w:b/>
          <w:color w:val="FF0000"/>
          <w:sz w:val="24"/>
        </w:rPr>
      </w:pPr>
      <w:r>
        <w:rPr>
          <w:b/>
          <w:color w:val="FF0000"/>
          <w:sz w:val="24"/>
        </w:rPr>
        <w:t>c.</w:t>
      </w:r>
      <w:r>
        <w:rPr>
          <w:rFonts w:ascii="宋体" w:hAnsi="宋体"/>
          <w:b/>
          <w:color w:val="FF0000"/>
          <w:sz w:val="24"/>
        </w:rPr>
        <w:t>泄漏</w:t>
      </w:r>
      <w:r>
        <w:rPr>
          <w:b/>
          <w:color w:val="FF0000"/>
          <w:sz w:val="24"/>
        </w:rPr>
        <w:t>24</w:t>
      </w:r>
      <w:r>
        <w:rPr>
          <w:rFonts w:ascii="宋体" w:hAnsi="宋体"/>
          <w:b/>
          <w:color w:val="FF0000"/>
          <w:sz w:val="24"/>
        </w:rPr>
        <w:t>天后停止，第</w:t>
      </w:r>
      <w:r>
        <w:rPr>
          <w:b/>
          <w:color w:val="FF0000"/>
          <w:sz w:val="24"/>
        </w:rPr>
        <w:t>3000</w:t>
      </w:r>
      <w:r>
        <w:rPr>
          <w:rFonts w:ascii="宋体" w:hAnsi="宋体"/>
          <w:b/>
          <w:color w:val="FF0000"/>
          <w:sz w:val="24"/>
        </w:rPr>
        <w:t>天</w:t>
      </w:r>
      <w:r>
        <w:rPr>
          <w:rFonts w:ascii="宋体" w:hAnsi="宋体"/>
          <w:b/>
          <w:color w:val="FF0000"/>
          <w:kern w:val="0"/>
          <w:sz w:val="24"/>
        </w:rPr>
        <w:t>氨氮</w:t>
      </w:r>
      <w:r>
        <w:rPr>
          <w:rFonts w:ascii="宋体" w:hAnsi="宋体"/>
          <w:b/>
          <w:color w:val="FF0000"/>
          <w:sz w:val="24"/>
        </w:rPr>
        <w:t>污染羽运移情况</w:t>
      </w:r>
    </w:p>
    <w:p>
      <w:pPr>
        <w:adjustRightInd w:val="0"/>
        <w:snapToGrid w:val="0"/>
        <w:jc w:val="center"/>
        <w:rPr>
          <w:color w:val="FF0000"/>
          <w:szCs w:val="21"/>
        </w:rPr>
      </w:pPr>
      <w:r>
        <w:rPr>
          <w:rFonts w:hint="eastAsia"/>
          <w:color w:val="FF0000"/>
          <w:szCs w:val="21"/>
        </w:rPr>
        <w:drawing>
          <wp:inline distT="0" distB="0" distL="0" distR="0">
            <wp:extent cx="5279390" cy="5868035"/>
            <wp:effectExtent l="0" t="0" r="0" b="0"/>
            <wp:docPr id="321" name="图片 321" descr="C:\Users\众成环境\AppData\Local\Temp\ksohtml1267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C:\Users\众成环境\AppData\Local\Temp\ksohtml12676\wps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79390" cy="5868035"/>
                    </a:xfrm>
                    <a:prstGeom prst="rect">
                      <a:avLst/>
                    </a:prstGeom>
                    <a:noFill/>
                    <a:ln>
                      <a:noFill/>
                    </a:ln>
                  </pic:spPr>
                </pic:pic>
              </a:graphicData>
            </a:graphic>
          </wp:inline>
        </w:drawing>
      </w:r>
      <w:r>
        <w:rPr>
          <w:color w:val="FF0000"/>
          <w:szCs w:val="21"/>
        </w:rPr>
        <w:t xml:space="preserve"> </w:t>
      </w:r>
    </w:p>
    <w:p>
      <w:pPr>
        <w:adjustRightInd w:val="0"/>
        <w:snapToGrid w:val="0"/>
        <w:jc w:val="center"/>
        <w:rPr>
          <w:b/>
          <w:color w:val="FF0000"/>
          <w:sz w:val="24"/>
        </w:rPr>
      </w:pPr>
      <w:r>
        <w:rPr>
          <w:b/>
          <w:color w:val="FF0000"/>
          <w:sz w:val="24"/>
        </w:rPr>
        <w:t>d.</w:t>
      </w:r>
      <w:r>
        <w:rPr>
          <w:rFonts w:ascii="宋体" w:hAnsi="宋体"/>
          <w:b/>
          <w:color w:val="FF0000"/>
          <w:sz w:val="24"/>
        </w:rPr>
        <w:t>泄漏</w:t>
      </w:r>
      <w:r>
        <w:rPr>
          <w:b/>
          <w:color w:val="FF0000"/>
          <w:sz w:val="24"/>
        </w:rPr>
        <w:t>24</w:t>
      </w:r>
      <w:r>
        <w:rPr>
          <w:rFonts w:ascii="宋体" w:hAnsi="宋体"/>
          <w:b/>
          <w:color w:val="FF0000"/>
          <w:sz w:val="24"/>
        </w:rPr>
        <w:t>天后停止，第</w:t>
      </w:r>
      <w:r>
        <w:rPr>
          <w:rFonts w:hint="eastAsia"/>
          <w:b/>
          <w:color w:val="FF0000"/>
          <w:sz w:val="24"/>
        </w:rPr>
        <w:t>4</w:t>
      </w:r>
      <w:r>
        <w:rPr>
          <w:b/>
          <w:color w:val="FF0000"/>
          <w:sz w:val="24"/>
        </w:rPr>
        <w:t>000</w:t>
      </w:r>
      <w:r>
        <w:rPr>
          <w:rFonts w:ascii="宋体" w:hAnsi="宋体"/>
          <w:b/>
          <w:color w:val="FF0000"/>
          <w:sz w:val="24"/>
        </w:rPr>
        <w:t>天</w:t>
      </w:r>
      <w:r>
        <w:rPr>
          <w:rFonts w:ascii="宋体" w:hAnsi="宋体"/>
          <w:b/>
          <w:color w:val="FF0000"/>
          <w:kern w:val="0"/>
          <w:sz w:val="24"/>
        </w:rPr>
        <w:t>氨氮</w:t>
      </w:r>
      <w:r>
        <w:rPr>
          <w:rFonts w:ascii="宋体" w:hAnsi="宋体"/>
          <w:b/>
          <w:color w:val="FF0000"/>
          <w:sz w:val="24"/>
        </w:rPr>
        <w:t>污染羽运移情况</w:t>
      </w:r>
    </w:p>
    <w:p>
      <w:pPr>
        <w:adjustRightInd w:val="0"/>
        <w:snapToGrid w:val="0"/>
        <w:jc w:val="center"/>
        <w:rPr>
          <w:color w:val="FF0000"/>
          <w:szCs w:val="21"/>
        </w:rPr>
      </w:pPr>
      <w:r>
        <w:rPr>
          <w:rFonts w:hint="eastAsia"/>
          <w:color w:val="FF0000"/>
          <w:szCs w:val="21"/>
        </w:rPr>
        <w:drawing>
          <wp:inline distT="0" distB="0" distL="0" distR="0">
            <wp:extent cx="5279390" cy="5868035"/>
            <wp:effectExtent l="0" t="0" r="0" b="0"/>
            <wp:docPr id="322" name="图片 322" descr="C:\Users\众成环境\AppData\Local\Temp\ksohtml12676\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C:\Users\众成环境\AppData\Local\Temp\ksohtml12676\wps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279390" cy="5868035"/>
                    </a:xfrm>
                    <a:prstGeom prst="rect">
                      <a:avLst/>
                    </a:prstGeom>
                    <a:noFill/>
                    <a:ln>
                      <a:noFill/>
                    </a:ln>
                  </pic:spPr>
                </pic:pic>
              </a:graphicData>
            </a:graphic>
          </wp:inline>
        </w:drawing>
      </w:r>
      <w:r>
        <w:rPr>
          <w:color w:val="FF0000"/>
          <w:szCs w:val="21"/>
        </w:rPr>
        <w:t xml:space="preserve"> </w:t>
      </w:r>
    </w:p>
    <w:p>
      <w:pPr>
        <w:adjustRightInd w:val="0"/>
        <w:snapToGrid w:val="0"/>
        <w:jc w:val="center"/>
        <w:rPr>
          <w:b/>
          <w:color w:val="FF0000"/>
          <w:sz w:val="24"/>
        </w:rPr>
      </w:pPr>
      <w:r>
        <w:rPr>
          <w:b/>
          <w:color w:val="FF0000"/>
          <w:sz w:val="24"/>
        </w:rPr>
        <w:t>e.</w:t>
      </w:r>
      <w:r>
        <w:rPr>
          <w:rFonts w:ascii="宋体" w:hAnsi="宋体"/>
          <w:b/>
          <w:color w:val="FF0000"/>
          <w:sz w:val="24"/>
        </w:rPr>
        <w:t>泄漏</w:t>
      </w:r>
      <w:r>
        <w:rPr>
          <w:b/>
          <w:color w:val="FF0000"/>
          <w:sz w:val="24"/>
        </w:rPr>
        <w:t>24</w:t>
      </w:r>
      <w:r>
        <w:rPr>
          <w:rFonts w:ascii="宋体" w:hAnsi="宋体"/>
          <w:b/>
          <w:color w:val="FF0000"/>
          <w:sz w:val="24"/>
        </w:rPr>
        <w:t>天后停止，第</w:t>
      </w:r>
      <w:r>
        <w:rPr>
          <w:rFonts w:hint="eastAsia"/>
          <w:b/>
          <w:color w:val="FF0000"/>
          <w:sz w:val="24"/>
        </w:rPr>
        <w:t>5</w:t>
      </w:r>
      <w:r>
        <w:rPr>
          <w:b/>
          <w:color w:val="FF0000"/>
          <w:sz w:val="24"/>
        </w:rPr>
        <w:t>000</w:t>
      </w:r>
      <w:r>
        <w:rPr>
          <w:rFonts w:ascii="宋体" w:hAnsi="宋体"/>
          <w:b/>
          <w:color w:val="FF0000"/>
          <w:sz w:val="24"/>
        </w:rPr>
        <w:t>天</w:t>
      </w:r>
      <w:r>
        <w:rPr>
          <w:rFonts w:ascii="宋体" w:hAnsi="宋体"/>
          <w:b/>
          <w:color w:val="FF0000"/>
          <w:kern w:val="0"/>
          <w:sz w:val="24"/>
        </w:rPr>
        <w:t>氨氮</w:t>
      </w:r>
      <w:r>
        <w:rPr>
          <w:rFonts w:ascii="宋体" w:hAnsi="宋体"/>
          <w:b/>
          <w:color w:val="FF0000"/>
          <w:sz w:val="24"/>
        </w:rPr>
        <w:t>污染羽运移情况</w:t>
      </w:r>
    </w:p>
    <w:p>
      <w:pPr>
        <w:adjustRightInd w:val="0"/>
        <w:snapToGrid w:val="0"/>
        <w:jc w:val="center"/>
        <w:rPr>
          <w:color w:val="FF0000"/>
          <w:szCs w:val="21"/>
        </w:rPr>
      </w:pPr>
      <w:r>
        <w:rPr>
          <w:rFonts w:hint="eastAsia"/>
          <w:color w:val="FF0000"/>
          <w:szCs w:val="21"/>
        </w:rPr>
        <w:drawing>
          <wp:inline distT="0" distB="0" distL="0" distR="0">
            <wp:extent cx="5279390" cy="5868035"/>
            <wp:effectExtent l="0" t="0" r="0" b="0"/>
            <wp:docPr id="323" name="图片 323" descr="C:\Users\众成环境\AppData\Local\Temp\ksohtml12676\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C:\Users\众成环境\AppData\Local\Temp\ksohtml12676\wps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279390" cy="5868035"/>
                    </a:xfrm>
                    <a:prstGeom prst="rect">
                      <a:avLst/>
                    </a:prstGeom>
                    <a:noFill/>
                    <a:ln>
                      <a:noFill/>
                    </a:ln>
                  </pic:spPr>
                </pic:pic>
              </a:graphicData>
            </a:graphic>
          </wp:inline>
        </w:drawing>
      </w:r>
      <w:r>
        <w:rPr>
          <w:color w:val="FF0000"/>
          <w:szCs w:val="21"/>
        </w:rPr>
        <w:t xml:space="preserve"> </w:t>
      </w:r>
    </w:p>
    <w:p>
      <w:pPr>
        <w:adjustRightInd w:val="0"/>
        <w:snapToGrid w:val="0"/>
        <w:spacing w:line="360" w:lineRule="auto"/>
        <w:jc w:val="center"/>
        <w:rPr>
          <w:b/>
          <w:color w:val="FF0000"/>
          <w:sz w:val="24"/>
        </w:rPr>
      </w:pPr>
      <w:r>
        <w:rPr>
          <w:b/>
          <w:color w:val="FF0000"/>
          <w:sz w:val="24"/>
        </w:rPr>
        <w:t>f.</w:t>
      </w:r>
      <w:r>
        <w:rPr>
          <w:rFonts w:ascii="宋体" w:hAnsi="宋体"/>
          <w:b/>
          <w:color w:val="FF0000"/>
          <w:sz w:val="24"/>
        </w:rPr>
        <w:t>泄漏</w:t>
      </w:r>
      <w:r>
        <w:rPr>
          <w:b/>
          <w:color w:val="FF0000"/>
          <w:sz w:val="24"/>
        </w:rPr>
        <w:t>24</w:t>
      </w:r>
      <w:r>
        <w:rPr>
          <w:rFonts w:ascii="宋体" w:hAnsi="宋体"/>
          <w:b/>
          <w:color w:val="FF0000"/>
          <w:sz w:val="24"/>
        </w:rPr>
        <w:t>天后停止，第</w:t>
      </w:r>
      <w:r>
        <w:rPr>
          <w:b/>
          <w:color w:val="FF0000"/>
          <w:sz w:val="24"/>
        </w:rPr>
        <w:t>7300</w:t>
      </w:r>
      <w:r>
        <w:rPr>
          <w:rFonts w:ascii="宋体" w:hAnsi="宋体"/>
          <w:b/>
          <w:color w:val="FF0000"/>
          <w:sz w:val="24"/>
        </w:rPr>
        <w:t>天</w:t>
      </w:r>
      <w:r>
        <w:rPr>
          <w:rFonts w:ascii="宋体" w:hAnsi="宋体"/>
          <w:b/>
          <w:color w:val="FF0000"/>
          <w:kern w:val="0"/>
          <w:sz w:val="24"/>
        </w:rPr>
        <w:t>氨氮</w:t>
      </w:r>
      <w:r>
        <w:rPr>
          <w:rFonts w:ascii="宋体" w:hAnsi="宋体"/>
          <w:b/>
          <w:color w:val="FF0000"/>
          <w:sz w:val="24"/>
        </w:rPr>
        <w:t>污染羽运移情况</w:t>
      </w:r>
    </w:p>
    <w:p>
      <w:pPr>
        <w:adjustRightInd w:val="0"/>
        <w:snapToGrid w:val="0"/>
        <w:spacing w:line="360" w:lineRule="auto"/>
        <w:jc w:val="center"/>
        <w:rPr>
          <w:color w:val="FF0000"/>
          <w:szCs w:val="21"/>
        </w:rPr>
      </w:pPr>
      <w:r>
        <w:rPr>
          <w:rFonts w:ascii="宋体" w:hAnsi="宋体"/>
          <w:color w:val="FF0000"/>
          <w:szCs w:val="21"/>
        </w:rPr>
        <w:t>（注：图中红色区域为超过标准限值范围，绿色区域为超过检出限值范围）</w:t>
      </w:r>
    </w:p>
    <w:p>
      <w:pPr>
        <w:adjustRightInd w:val="0"/>
        <w:snapToGrid w:val="0"/>
        <w:spacing w:line="360" w:lineRule="auto"/>
        <w:jc w:val="center"/>
        <w:rPr>
          <w:color w:val="FF0000"/>
          <w:szCs w:val="21"/>
        </w:rPr>
      </w:pPr>
      <w:r>
        <w:rPr>
          <w:rFonts w:ascii="宋体" w:hAnsi="宋体"/>
          <w:b/>
          <w:color w:val="FF0000"/>
          <w:sz w:val="24"/>
        </w:rPr>
        <w:t>图</w:t>
      </w:r>
      <w:r>
        <w:rPr>
          <w:b/>
          <w:color w:val="FF0000"/>
          <w:sz w:val="24"/>
        </w:rPr>
        <w:t xml:space="preserve">6.2-10  </w:t>
      </w:r>
      <w:r>
        <w:rPr>
          <w:rFonts w:ascii="宋体" w:hAnsi="宋体"/>
          <w:b/>
          <w:color w:val="FF0000"/>
          <w:kern w:val="0"/>
          <w:sz w:val="24"/>
        </w:rPr>
        <w:t>氨氮在含水层中运移情况平面图</w:t>
      </w:r>
    </w:p>
    <w:p>
      <w:pPr>
        <w:spacing w:line="360" w:lineRule="auto"/>
        <w:ind w:firstLine="480" w:firstLineChars="200"/>
        <w:rPr>
          <w:sz w:val="24"/>
        </w:rPr>
      </w:pPr>
      <w:r>
        <w:rPr>
          <w:rFonts w:hint="eastAsia"/>
          <w:sz w:val="24"/>
        </w:rPr>
        <w:t>2</w:t>
      </w:r>
      <w:r>
        <w:rPr>
          <w:rFonts w:hint="eastAsia" w:ascii="宋体" w:hAnsi="宋体"/>
          <w:sz w:val="24"/>
        </w:rPr>
        <w:t>）调节池破损泄露</w:t>
      </w:r>
    </w:p>
    <w:p>
      <w:pPr>
        <w:spacing w:line="360" w:lineRule="auto"/>
        <w:ind w:firstLine="480" w:firstLineChars="200"/>
        <w:rPr>
          <w:sz w:val="24"/>
        </w:rPr>
      </w:pPr>
      <w:r>
        <w:rPr>
          <w:rFonts w:ascii="宋体" w:hAnsi="宋体"/>
          <w:sz w:val="24"/>
        </w:rPr>
        <w:t>连续泄漏</w:t>
      </w:r>
      <w:r>
        <w:rPr>
          <w:sz w:val="24"/>
        </w:rPr>
        <w:t>24d</w:t>
      </w:r>
      <w:r>
        <w:rPr>
          <w:rFonts w:ascii="宋体" w:hAnsi="宋体"/>
          <w:sz w:val="24"/>
        </w:rPr>
        <w:t>后停止，第</w:t>
      </w:r>
      <w:r>
        <w:rPr>
          <w:sz w:val="24"/>
        </w:rPr>
        <w:t>30d</w:t>
      </w:r>
      <w:r>
        <w:rPr>
          <w:rFonts w:ascii="宋体" w:hAnsi="宋体"/>
          <w:sz w:val="24"/>
        </w:rPr>
        <w:t>时中心点浓度最大</w:t>
      </w:r>
      <w:r>
        <w:rPr>
          <w:sz w:val="24"/>
        </w:rPr>
        <w:t>16.0mg/L</w:t>
      </w:r>
      <w:r>
        <w:rPr>
          <w:rFonts w:ascii="宋体" w:hAnsi="宋体"/>
          <w:sz w:val="24"/>
        </w:rPr>
        <w:t>，超标面积</w:t>
      </w:r>
      <w:r>
        <w:rPr>
          <w:sz w:val="24"/>
        </w:rPr>
        <w:t>2.38m</w:t>
      </w:r>
      <w:r>
        <w:rPr>
          <w:sz w:val="24"/>
          <w:vertAlign w:val="superscript"/>
        </w:rPr>
        <w:t>2</w:t>
      </w:r>
      <w:r>
        <w:rPr>
          <w:rFonts w:ascii="宋体" w:hAnsi="宋体"/>
          <w:sz w:val="24"/>
        </w:rPr>
        <w:t>；第</w:t>
      </w:r>
      <w:r>
        <w:rPr>
          <w:sz w:val="24"/>
        </w:rPr>
        <w:t>100d</w:t>
      </w:r>
      <w:r>
        <w:rPr>
          <w:rFonts w:ascii="宋体" w:hAnsi="宋体"/>
          <w:sz w:val="24"/>
        </w:rPr>
        <w:t>时中心点浓度最大</w:t>
      </w:r>
      <w:r>
        <w:rPr>
          <w:sz w:val="24"/>
        </w:rPr>
        <w:t>1.78mg/L</w:t>
      </w:r>
      <w:r>
        <w:rPr>
          <w:rFonts w:ascii="宋体" w:hAnsi="宋体"/>
          <w:sz w:val="24"/>
        </w:rPr>
        <w:t>，超标面积</w:t>
      </w:r>
      <w:r>
        <w:rPr>
          <w:sz w:val="24"/>
        </w:rPr>
        <w:t>0.79m</w:t>
      </w:r>
      <w:r>
        <w:rPr>
          <w:sz w:val="24"/>
          <w:vertAlign w:val="superscript"/>
        </w:rPr>
        <w:t>2</w:t>
      </w:r>
      <w:r>
        <w:rPr>
          <w:rFonts w:ascii="宋体" w:hAnsi="宋体"/>
          <w:sz w:val="24"/>
        </w:rPr>
        <w:t>；第</w:t>
      </w:r>
      <w:r>
        <w:rPr>
          <w:sz w:val="24"/>
        </w:rPr>
        <w:t>500d</w:t>
      </w:r>
      <w:r>
        <w:rPr>
          <w:rFonts w:ascii="宋体" w:hAnsi="宋体"/>
          <w:sz w:val="24"/>
        </w:rPr>
        <w:t>时中心点浓度最大</w:t>
      </w:r>
      <w:r>
        <w:rPr>
          <w:sz w:val="24"/>
        </w:rPr>
        <w:t>0.035mg/L</w:t>
      </w:r>
      <w:r>
        <w:rPr>
          <w:rFonts w:ascii="宋体" w:hAnsi="宋体"/>
          <w:sz w:val="24"/>
        </w:rPr>
        <w:t>，浓度低于标准限值，污染晕消失；此后第</w:t>
      </w:r>
      <w:r>
        <w:rPr>
          <w:sz w:val="24"/>
        </w:rPr>
        <w:t>1000d</w:t>
      </w:r>
      <w:r>
        <w:rPr>
          <w:rFonts w:ascii="宋体" w:hAnsi="宋体"/>
          <w:sz w:val="24"/>
        </w:rPr>
        <w:t>时中心点浓度最大值进一步降低为</w:t>
      </w:r>
      <w:r>
        <w:rPr>
          <w:sz w:val="24"/>
        </w:rPr>
        <w:t>0.005mg/L</w:t>
      </w:r>
      <w:r>
        <w:rPr>
          <w:rFonts w:ascii="宋体" w:hAnsi="宋体"/>
          <w:sz w:val="24"/>
        </w:rPr>
        <w:t>。</w:t>
      </w:r>
    </w:p>
    <w:p>
      <w:pPr>
        <w:spacing w:line="360" w:lineRule="auto"/>
        <w:ind w:firstLine="480" w:firstLineChars="200"/>
        <w:rPr>
          <w:sz w:val="24"/>
        </w:rPr>
      </w:pPr>
      <w:r>
        <w:rPr>
          <w:rFonts w:ascii="宋体" w:hAnsi="宋体"/>
          <w:sz w:val="24"/>
        </w:rPr>
        <w:t>根据预测结果分析，一旦渗滤液调节池发生渗漏，将会对场地地下水产生一定的不利影响，最不利情况下影响范围发生在场地及场地下游小范围内，对周边分散式饮用水取水井（预</w:t>
      </w:r>
      <w:r>
        <w:rPr>
          <w:sz w:val="24"/>
        </w:rPr>
        <w:t>测下游最大超标距离</w:t>
      </w:r>
      <w:r>
        <w:rPr>
          <w:color w:val="FF0000"/>
          <w:sz w:val="24"/>
        </w:rPr>
        <w:t>2.07m</w:t>
      </w:r>
      <w:r>
        <w:rPr>
          <w:sz w:val="24"/>
        </w:rPr>
        <w:t>，下游距离最近的水井位于下游</w:t>
      </w:r>
      <w:r>
        <w:rPr>
          <w:color w:val="FF0000"/>
          <w:sz w:val="24"/>
        </w:rPr>
        <w:t>580m</w:t>
      </w:r>
      <w:r>
        <w:rPr>
          <w:sz w:val="24"/>
        </w:rPr>
        <w:t>处）则不会产生影响。</w:t>
      </w:r>
    </w:p>
    <w:p>
      <w:pPr>
        <w:spacing w:line="360" w:lineRule="auto"/>
        <w:ind w:firstLine="480" w:firstLineChars="200"/>
        <w:rPr>
          <w:sz w:val="24"/>
        </w:rPr>
      </w:pPr>
      <w:r>
        <w:rPr>
          <w:sz w:val="24"/>
        </w:rPr>
        <w:t>需要说明的是，预测考虑的为各种条件下的最不利情况，正常情况下在防渗层的保护下渗滤液进入含水层的污染物很少，对地下水环境的影响更小。</w:t>
      </w:r>
    </w:p>
    <w:p>
      <w:pPr>
        <w:widowControl/>
        <w:adjustRightInd w:val="0"/>
        <w:snapToGrid w:val="0"/>
        <w:jc w:val="center"/>
        <w:rPr>
          <w:b/>
          <w:kern w:val="0"/>
          <w:sz w:val="24"/>
        </w:rPr>
      </w:pPr>
      <w:r>
        <w:rPr>
          <w:b/>
          <w:kern w:val="0"/>
          <w:sz w:val="24"/>
        </w:rPr>
        <w:t>表6.2-9   氨氮在含水层中运移情况</w:t>
      </w:r>
    </w:p>
    <w:tbl>
      <w:tblPr>
        <w:tblStyle w:val="87"/>
        <w:tblW w:w="5000" w:type="pct"/>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28"/>
        <w:gridCol w:w="1989"/>
        <w:gridCol w:w="1705"/>
        <w:gridCol w:w="32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856" w:type="pct"/>
            <w:vAlign w:val="center"/>
          </w:tcPr>
          <w:p>
            <w:pPr>
              <w:adjustRightInd w:val="0"/>
              <w:snapToGrid w:val="0"/>
              <w:jc w:val="center"/>
            </w:pPr>
            <w:r>
              <w:rPr>
                <w:rFonts w:ascii="宋体" w:hAnsi="宋体"/>
              </w:rPr>
              <w:t>时间</w:t>
            </w:r>
          </w:p>
        </w:tc>
        <w:tc>
          <w:tcPr>
            <w:tcW w:w="1192" w:type="pct"/>
            <w:vAlign w:val="center"/>
          </w:tcPr>
          <w:p>
            <w:pPr>
              <w:adjustRightInd w:val="0"/>
              <w:snapToGrid w:val="0"/>
              <w:jc w:val="center"/>
            </w:pPr>
            <w:r>
              <w:rPr>
                <w:rFonts w:ascii="宋体" w:hAnsi="宋体"/>
              </w:rPr>
              <w:t>中心点浓度（</w:t>
            </w:r>
            <w:r>
              <w:t>mg/L</w:t>
            </w:r>
            <w:r>
              <w:rPr>
                <w:rFonts w:ascii="宋体" w:hAnsi="宋体"/>
              </w:rPr>
              <w:t>）</w:t>
            </w:r>
          </w:p>
        </w:tc>
        <w:tc>
          <w:tcPr>
            <w:tcW w:w="1022" w:type="pct"/>
            <w:vAlign w:val="center"/>
          </w:tcPr>
          <w:p>
            <w:pPr>
              <w:adjustRightInd w:val="0"/>
              <w:snapToGrid w:val="0"/>
              <w:jc w:val="center"/>
            </w:pPr>
            <w:r>
              <w:rPr>
                <w:rFonts w:ascii="宋体" w:hAnsi="宋体"/>
              </w:rPr>
              <w:t>超标面积（</w:t>
            </w:r>
            <w:r>
              <w:t>m</w:t>
            </w:r>
            <w:r>
              <w:rPr>
                <w:vertAlign w:val="superscript"/>
              </w:rPr>
              <w:t>2</w:t>
            </w:r>
            <w:r>
              <w:rPr>
                <w:rFonts w:ascii="宋体" w:hAnsi="宋体"/>
              </w:rPr>
              <w:t>）</w:t>
            </w:r>
          </w:p>
        </w:tc>
        <w:tc>
          <w:tcPr>
            <w:tcW w:w="1930" w:type="pct"/>
            <w:vAlign w:val="center"/>
          </w:tcPr>
          <w:p>
            <w:pPr>
              <w:adjustRightInd w:val="0"/>
              <w:snapToGrid w:val="0"/>
              <w:jc w:val="center"/>
            </w:pPr>
            <w:r>
              <w:rPr>
                <w:rFonts w:ascii="宋体" w:hAnsi="宋体"/>
              </w:rPr>
              <w:t>下游最大超标距离（</w:t>
            </w:r>
            <w:r>
              <w:t>m</w:t>
            </w:r>
            <w:r>
              <w:rPr>
                <w:rFonts w:ascii="宋体" w:hAnsi="宋体"/>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856" w:type="pct"/>
            <w:vAlign w:val="center"/>
          </w:tcPr>
          <w:p>
            <w:pPr>
              <w:adjustRightInd w:val="0"/>
              <w:snapToGrid w:val="0"/>
              <w:jc w:val="center"/>
            </w:pPr>
            <w:r>
              <w:t>30d</w:t>
            </w:r>
          </w:p>
        </w:tc>
        <w:tc>
          <w:tcPr>
            <w:tcW w:w="1192" w:type="pct"/>
            <w:vAlign w:val="center"/>
          </w:tcPr>
          <w:p>
            <w:pPr>
              <w:adjustRightInd w:val="0"/>
              <w:snapToGrid w:val="0"/>
              <w:jc w:val="center"/>
            </w:pPr>
            <w:r>
              <w:t>16.0</w:t>
            </w:r>
          </w:p>
        </w:tc>
        <w:tc>
          <w:tcPr>
            <w:tcW w:w="1022" w:type="pct"/>
            <w:vAlign w:val="center"/>
          </w:tcPr>
          <w:p>
            <w:pPr>
              <w:adjustRightInd w:val="0"/>
              <w:snapToGrid w:val="0"/>
              <w:jc w:val="center"/>
            </w:pPr>
            <w:r>
              <w:t>2.38</w:t>
            </w:r>
          </w:p>
        </w:tc>
        <w:tc>
          <w:tcPr>
            <w:tcW w:w="1930" w:type="pct"/>
            <w:vAlign w:val="center"/>
          </w:tcPr>
          <w:p>
            <w:pPr>
              <w:adjustRightInd w:val="0"/>
              <w:snapToGrid w:val="0"/>
              <w:jc w:val="center"/>
            </w:pPr>
            <w:r>
              <w:t>2.07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856" w:type="pct"/>
            <w:vAlign w:val="center"/>
          </w:tcPr>
          <w:p>
            <w:pPr>
              <w:adjustRightInd w:val="0"/>
              <w:snapToGrid w:val="0"/>
              <w:jc w:val="center"/>
            </w:pPr>
            <w:r>
              <w:t>100d</w:t>
            </w:r>
          </w:p>
        </w:tc>
        <w:tc>
          <w:tcPr>
            <w:tcW w:w="1192" w:type="pct"/>
            <w:vAlign w:val="center"/>
          </w:tcPr>
          <w:p>
            <w:pPr>
              <w:adjustRightInd w:val="0"/>
              <w:snapToGrid w:val="0"/>
              <w:jc w:val="center"/>
            </w:pPr>
            <w:r>
              <w:t>1.78</w:t>
            </w:r>
          </w:p>
        </w:tc>
        <w:tc>
          <w:tcPr>
            <w:tcW w:w="1022" w:type="pct"/>
            <w:vAlign w:val="center"/>
          </w:tcPr>
          <w:p>
            <w:pPr>
              <w:adjustRightInd w:val="0"/>
              <w:snapToGrid w:val="0"/>
              <w:jc w:val="center"/>
            </w:pPr>
            <w:r>
              <w:t>0.79</w:t>
            </w:r>
          </w:p>
        </w:tc>
        <w:tc>
          <w:tcPr>
            <w:tcW w:w="1930" w:type="pct"/>
            <w:vAlign w:val="center"/>
          </w:tcPr>
          <w:p>
            <w:pPr>
              <w:adjustRightInd w:val="0"/>
              <w:snapToGrid w:val="0"/>
              <w:jc w:val="center"/>
            </w:pPr>
            <w:r>
              <w:t>1.41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856" w:type="pct"/>
            <w:vAlign w:val="center"/>
          </w:tcPr>
          <w:p>
            <w:pPr>
              <w:adjustRightInd w:val="0"/>
              <w:snapToGrid w:val="0"/>
              <w:jc w:val="center"/>
            </w:pPr>
            <w:r>
              <w:t>500d</w:t>
            </w:r>
          </w:p>
        </w:tc>
        <w:tc>
          <w:tcPr>
            <w:tcW w:w="1192" w:type="pct"/>
            <w:vAlign w:val="center"/>
          </w:tcPr>
          <w:p>
            <w:pPr>
              <w:adjustRightInd w:val="0"/>
              <w:snapToGrid w:val="0"/>
              <w:jc w:val="center"/>
            </w:pPr>
            <w:r>
              <w:t>0.035</w:t>
            </w:r>
          </w:p>
        </w:tc>
        <w:tc>
          <w:tcPr>
            <w:tcW w:w="1022" w:type="pct"/>
            <w:vAlign w:val="center"/>
          </w:tcPr>
          <w:p>
            <w:pPr>
              <w:adjustRightInd w:val="0"/>
              <w:snapToGrid w:val="0"/>
              <w:jc w:val="center"/>
            </w:pPr>
            <w:r>
              <w:t>--</w:t>
            </w:r>
          </w:p>
        </w:tc>
        <w:tc>
          <w:tcPr>
            <w:tcW w:w="1930" w:type="pct"/>
            <w:vAlign w:val="center"/>
          </w:tcPr>
          <w:p>
            <w:pPr>
              <w:adjustRightInd w:val="0"/>
              <w:snapToGrid w:val="0"/>
              <w:jc w:val="center"/>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856" w:type="pct"/>
            <w:vAlign w:val="center"/>
          </w:tcPr>
          <w:p>
            <w:pPr>
              <w:adjustRightInd w:val="0"/>
              <w:snapToGrid w:val="0"/>
              <w:jc w:val="center"/>
            </w:pPr>
            <w:r>
              <w:t>1000d</w:t>
            </w:r>
          </w:p>
        </w:tc>
        <w:tc>
          <w:tcPr>
            <w:tcW w:w="1192" w:type="pct"/>
            <w:vAlign w:val="center"/>
          </w:tcPr>
          <w:p>
            <w:pPr>
              <w:adjustRightInd w:val="0"/>
              <w:snapToGrid w:val="0"/>
              <w:jc w:val="center"/>
            </w:pPr>
            <w:r>
              <w:t>0.005</w:t>
            </w:r>
          </w:p>
        </w:tc>
        <w:tc>
          <w:tcPr>
            <w:tcW w:w="1022" w:type="pct"/>
            <w:vAlign w:val="center"/>
          </w:tcPr>
          <w:p>
            <w:pPr>
              <w:adjustRightInd w:val="0"/>
              <w:snapToGrid w:val="0"/>
              <w:jc w:val="center"/>
            </w:pPr>
            <w:r>
              <w:t>--</w:t>
            </w:r>
          </w:p>
        </w:tc>
        <w:tc>
          <w:tcPr>
            <w:tcW w:w="1930" w:type="pct"/>
            <w:vAlign w:val="center"/>
          </w:tcPr>
          <w:p>
            <w:pPr>
              <w:adjustRightInd w:val="0"/>
              <w:snapToGrid w:val="0"/>
              <w:jc w:val="center"/>
            </w:pPr>
            <w:r>
              <w:t>--</w:t>
            </w:r>
          </w:p>
        </w:tc>
      </w:tr>
    </w:tbl>
    <w:p>
      <w:pPr>
        <w:adjustRightInd w:val="0"/>
        <w:snapToGrid w:val="0"/>
        <w:jc w:val="center"/>
        <w:rPr>
          <w:szCs w:val="21"/>
        </w:rPr>
      </w:pPr>
      <w:r>
        <w:rPr>
          <w:rFonts w:hint="eastAsia"/>
        </w:rPr>
        <w:drawing>
          <wp:inline distT="0" distB="0" distL="0" distR="0">
            <wp:extent cx="5276850" cy="5838825"/>
            <wp:effectExtent l="0" t="0" r="0" b="9525"/>
            <wp:docPr id="279" name="图片 279" descr="C:\Users\众成环境\AppData\Local\Temp\ksohtml24568\wp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C:\Users\众成环境\AppData\Local\Temp\ksohtml24568\wps2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276850" cy="5838825"/>
                    </a:xfrm>
                    <a:prstGeom prst="rect">
                      <a:avLst/>
                    </a:prstGeom>
                    <a:noFill/>
                    <a:ln>
                      <a:noFill/>
                    </a:ln>
                  </pic:spPr>
                </pic:pic>
              </a:graphicData>
            </a:graphic>
          </wp:inline>
        </w:drawing>
      </w:r>
      <w:r>
        <w:t xml:space="preserve"> </w:t>
      </w:r>
    </w:p>
    <w:p>
      <w:pPr>
        <w:adjustRightInd w:val="0"/>
        <w:snapToGrid w:val="0"/>
        <w:jc w:val="center"/>
        <w:rPr>
          <w:b/>
          <w:sz w:val="24"/>
        </w:rPr>
      </w:pPr>
      <w:r>
        <w:rPr>
          <w:b/>
          <w:sz w:val="24"/>
        </w:rPr>
        <w:t>a.</w:t>
      </w:r>
      <w:r>
        <w:rPr>
          <w:rFonts w:ascii="宋体" w:hAnsi="宋体"/>
          <w:b/>
          <w:sz w:val="24"/>
        </w:rPr>
        <w:t>泄漏</w:t>
      </w:r>
      <w:r>
        <w:rPr>
          <w:b/>
          <w:sz w:val="24"/>
        </w:rPr>
        <w:t>24</w:t>
      </w:r>
      <w:r>
        <w:rPr>
          <w:rFonts w:ascii="宋体" w:hAnsi="宋体"/>
          <w:b/>
          <w:sz w:val="24"/>
        </w:rPr>
        <w:t>天后停止，第</w:t>
      </w:r>
      <w:r>
        <w:rPr>
          <w:b/>
          <w:sz w:val="24"/>
        </w:rPr>
        <w:t>30</w:t>
      </w:r>
      <w:r>
        <w:rPr>
          <w:rFonts w:ascii="宋体" w:hAnsi="宋体"/>
          <w:b/>
          <w:sz w:val="24"/>
        </w:rPr>
        <w:t>天</w:t>
      </w:r>
      <w:r>
        <w:rPr>
          <w:rFonts w:ascii="宋体" w:hAnsi="宋体"/>
          <w:b/>
          <w:kern w:val="0"/>
          <w:sz w:val="24"/>
        </w:rPr>
        <w:t>氨氮</w:t>
      </w:r>
      <w:r>
        <w:rPr>
          <w:rFonts w:ascii="宋体" w:hAnsi="宋体"/>
          <w:b/>
          <w:sz w:val="24"/>
        </w:rPr>
        <w:t>污染羽运移情况</w:t>
      </w:r>
    </w:p>
    <w:p>
      <w:pPr>
        <w:adjustRightInd w:val="0"/>
        <w:snapToGrid w:val="0"/>
        <w:jc w:val="center"/>
      </w:pPr>
      <w:r>
        <w:rPr>
          <w:rFonts w:hint="eastAsia"/>
        </w:rPr>
        <w:drawing>
          <wp:inline distT="0" distB="0" distL="0" distR="0">
            <wp:extent cx="5276850" cy="5838825"/>
            <wp:effectExtent l="0" t="0" r="0" b="9525"/>
            <wp:docPr id="278" name="图片 278" descr="C:\Users\众成环境\AppData\Local\Temp\ksohtml24568\wp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C:\Users\众成环境\AppData\Local\Temp\ksohtml24568\wps2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276850" cy="5838825"/>
                    </a:xfrm>
                    <a:prstGeom prst="rect">
                      <a:avLst/>
                    </a:prstGeom>
                    <a:noFill/>
                    <a:ln>
                      <a:noFill/>
                    </a:ln>
                  </pic:spPr>
                </pic:pic>
              </a:graphicData>
            </a:graphic>
          </wp:inline>
        </w:drawing>
      </w:r>
      <w:r>
        <w:t xml:space="preserve"> </w:t>
      </w:r>
    </w:p>
    <w:p>
      <w:pPr>
        <w:adjustRightInd w:val="0"/>
        <w:snapToGrid w:val="0"/>
        <w:jc w:val="center"/>
        <w:rPr>
          <w:b/>
          <w:sz w:val="24"/>
        </w:rPr>
      </w:pPr>
      <w:r>
        <w:rPr>
          <w:b/>
          <w:sz w:val="24"/>
        </w:rPr>
        <w:t>b.</w:t>
      </w:r>
      <w:r>
        <w:rPr>
          <w:rFonts w:ascii="宋体" w:hAnsi="宋体"/>
          <w:b/>
          <w:sz w:val="24"/>
        </w:rPr>
        <w:t>泄漏</w:t>
      </w:r>
      <w:r>
        <w:rPr>
          <w:b/>
          <w:sz w:val="24"/>
        </w:rPr>
        <w:t>24</w:t>
      </w:r>
      <w:r>
        <w:rPr>
          <w:rFonts w:ascii="宋体" w:hAnsi="宋体"/>
          <w:b/>
          <w:sz w:val="24"/>
        </w:rPr>
        <w:t>天后停止，第</w:t>
      </w:r>
      <w:r>
        <w:rPr>
          <w:b/>
          <w:sz w:val="24"/>
        </w:rPr>
        <w:t>100</w:t>
      </w:r>
      <w:r>
        <w:rPr>
          <w:rFonts w:ascii="宋体" w:hAnsi="宋体"/>
          <w:b/>
          <w:sz w:val="24"/>
        </w:rPr>
        <w:t>天</w:t>
      </w:r>
      <w:r>
        <w:rPr>
          <w:rFonts w:ascii="宋体" w:hAnsi="宋体"/>
          <w:b/>
          <w:kern w:val="0"/>
          <w:sz w:val="24"/>
        </w:rPr>
        <w:t>氨氮</w:t>
      </w:r>
      <w:r>
        <w:rPr>
          <w:rFonts w:ascii="宋体" w:hAnsi="宋体"/>
          <w:b/>
          <w:sz w:val="24"/>
        </w:rPr>
        <w:t>污染羽运移情况</w:t>
      </w:r>
    </w:p>
    <w:p>
      <w:pPr>
        <w:adjustRightInd w:val="0"/>
        <w:snapToGrid w:val="0"/>
        <w:jc w:val="center"/>
      </w:pPr>
      <w:r>
        <w:rPr>
          <w:rFonts w:hint="eastAsia"/>
        </w:rPr>
        <w:drawing>
          <wp:inline distT="0" distB="0" distL="0" distR="0">
            <wp:extent cx="5276850" cy="5162550"/>
            <wp:effectExtent l="0" t="0" r="0" b="0"/>
            <wp:docPr id="277" name="图片 277" descr="C:\Users\众成环境\AppData\Local\Temp\ksohtml24568\wp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C:\Users\众成环境\AppData\Local\Temp\ksohtml24568\wps28.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276850" cy="5162550"/>
                    </a:xfrm>
                    <a:prstGeom prst="rect">
                      <a:avLst/>
                    </a:prstGeom>
                    <a:noFill/>
                    <a:ln>
                      <a:noFill/>
                    </a:ln>
                  </pic:spPr>
                </pic:pic>
              </a:graphicData>
            </a:graphic>
          </wp:inline>
        </w:drawing>
      </w:r>
      <w:r>
        <w:t xml:space="preserve"> </w:t>
      </w:r>
    </w:p>
    <w:p>
      <w:pPr>
        <w:adjustRightInd w:val="0"/>
        <w:snapToGrid w:val="0"/>
        <w:jc w:val="center"/>
        <w:rPr>
          <w:b/>
          <w:sz w:val="24"/>
        </w:rPr>
      </w:pPr>
      <w:r>
        <w:rPr>
          <w:b/>
          <w:sz w:val="24"/>
        </w:rPr>
        <w:t>c.</w:t>
      </w:r>
      <w:r>
        <w:rPr>
          <w:rFonts w:ascii="宋体" w:hAnsi="宋体"/>
          <w:b/>
          <w:sz w:val="24"/>
        </w:rPr>
        <w:t>泄漏</w:t>
      </w:r>
      <w:r>
        <w:rPr>
          <w:b/>
          <w:sz w:val="24"/>
        </w:rPr>
        <w:t>24</w:t>
      </w:r>
      <w:r>
        <w:rPr>
          <w:rFonts w:ascii="宋体" w:hAnsi="宋体"/>
          <w:b/>
          <w:sz w:val="24"/>
        </w:rPr>
        <w:t>天后停止，第</w:t>
      </w:r>
      <w:r>
        <w:rPr>
          <w:b/>
          <w:sz w:val="24"/>
        </w:rPr>
        <w:t>500</w:t>
      </w:r>
      <w:r>
        <w:rPr>
          <w:rFonts w:ascii="宋体" w:hAnsi="宋体"/>
          <w:b/>
          <w:sz w:val="24"/>
        </w:rPr>
        <w:t>天</w:t>
      </w:r>
      <w:r>
        <w:rPr>
          <w:rFonts w:ascii="宋体" w:hAnsi="宋体"/>
          <w:b/>
          <w:kern w:val="0"/>
          <w:sz w:val="24"/>
        </w:rPr>
        <w:t>氨氮</w:t>
      </w:r>
      <w:r>
        <w:rPr>
          <w:rFonts w:ascii="宋体" w:hAnsi="宋体"/>
          <w:b/>
          <w:sz w:val="24"/>
        </w:rPr>
        <w:t>污染羽运移情况</w:t>
      </w:r>
    </w:p>
    <w:p>
      <w:pPr>
        <w:adjustRightInd w:val="0"/>
        <w:snapToGrid w:val="0"/>
        <w:jc w:val="center"/>
      </w:pPr>
      <w:r>
        <w:rPr>
          <w:rFonts w:hint="eastAsia"/>
        </w:rPr>
        <w:drawing>
          <wp:inline distT="0" distB="0" distL="0" distR="0">
            <wp:extent cx="5276850" cy="5162550"/>
            <wp:effectExtent l="0" t="0" r="0" b="0"/>
            <wp:docPr id="276" name="图片 276" descr="C:\Users\众成环境\AppData\Local\Temp\ksohtml24568\wp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C:\Users\众成环境\AppData\Local\Temp\ksohtml24568\wps29.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276850" cy="5162550"/>
                    </a:xfrm>
                    <a:prstGeom prst="rect">
                      <a:avLst/>
                    </a:prstGeom>
                    <a:noFill/>
                    <a:ln>
                      <a:noFill/>
                    </a:ln>
                  </pic:spPr>
                </pic:pic>
              </a:graphicData>
            </a:graphic>
          </wp:inline>
        </w:drawing>
      </w:r>
      <w:r>
        <w:t xml:space="preserve"> </w:t>
      </w:r>
    </w:p>
    <w:p>
      <w:pPr>
        <w:adjustRightInd w:val="0"/>
        <w:snapToGrid w:val="0"/>
        <w:spacing w:line="360" w:lineRule="auto"/>
        <w:jc w:val="center"/>
        <w:rPr>
          <w:b/>
          <w:sz w:val="24"/>
        </w:rPr>
      </w:pPr>
      <w:r>
        <w:rPr>
          <w:b/>
          <w:sz w:val="24"/>
        </w:rPr>
        <w:t>d.</w:t>
      </w:r>
      <w:r>
        <w:rPr>
          <w:rFonts w:ascii="宋体" w:hAnsi="宋体"/>
          <w:b/>
          <w:sz w:val="24"/>
        </w:rPr>
        <w:t>泄漏</w:t>
      </w:r>
      <w:r>
        <w:rPr>
          <w:b/>
          <w:sz w:val="24"/>
        </w:rPr>
        <w:t>24</w:t>
      </w:r>
      <w:r>
        <w:rPr>
          <w:rFonts w:ascii="宋体" w:hAnsi="宋体"/>
          <w:b/>
          <w:sz w:val="24"/>
        </w:rPr>
        <w:t>天后停止，第</w:t>
      </w:r>
      <w:r>
        <w:rPr>
          <w:b/>
          <w:sz w:val="24"/>
        </w:rPr>
        <w:t>1000</w:t>
      </w:r>
      <w:r>
        <w:rPr>
          <w:rFonts w:ascii="宋体" w:hAnsi="宋体"/>
          <w:b/>
          <w:sz w:val="24"/>
        </w:rPr>
        <w:t>天</w:t>
      </w:r>
      <w:r>
        <w:rPr>
          <w:rFonts w:ascii="宋体" w:hAnsi="宋体"/>
          <w:b/>
          <w:kern w:val="0"/>
          <w:sz w:val="24"/>
        </w:rPr>
        <w:t>氨氮</w:t>
      </w:r>
      <w:r>
        <w:rPr>
          <w:rFonts w:ascii="宋体" w:hAnsi="宋体"/>
          <w:b/>
          <w:sz w:val="24"/>
        </w:rPr>
        <w:t>污染羽运移情况</w:t>
      </w:r>
    </w:p>
    <w:p>
      <w:pPr>
        <w:adjustRightInd w:val="0"/>
        <w:snapToGrid w:val="0"/>
        <w:spacing w:line="360" w:lineRule="auto"/>
        <w:jc w:val="center"/>
      </w:pPr>
      <w:r>
        <w:t xml:space="preserve"> </w:t>
      </w:r>
      <w:r>
        <w:rPr>
          <w:rFonts w:ascii="宋体" w:hAnsi="宋体"/>
        </w:rPr>
        <w:t>（注：图中红色区域为超过标准限值范围，绿色区域为超过检出限值范围）</w:t>
      </w:r>
    </w:p>
    <w:p>
      <w:pPr>
        <w:adjustRightInd w:val="0"/>
        <w:snapToGrid w:val="0"/>
        <w:spacing w:line="360" w:lineRule="auto"/>
        <w:jc w:val="center"/>
        <w:rPr>
          <w:b/>
          <w:kern w:val="0"/>
          <w:sz w:val="24"/>
        </w:rPr>
      </w:pPr>
      <w:r>
        <w:rPr>
          <w:b/>
          <w:sz w:val="24"/>
        </w:rPr>
        <w:t xml:space="preserve">图6.2-10  </w:t>
      </w:r>
      <w:r>
        <w:rPr>
          <w:b/>
          <w:kern w:val="0"/>
          <w:sz w:val="24"/>
        </w:rPr>
        <w:t>氨氮在含水层中运移情况平面图</w:t>
      </w:r>
    </w:p>
    <w:p>
      <w:pPr>
        <w:pStyle w:val="193"/>
        <w:spacing w:line="360" w:lineRule="auto"/>
        <w:ind w:firstLine="0" w:firstLineChars="0"/>
        <w:outlineLvl w:val="2"/>
        <w:rPr>
          <w:rFonts w:ascii="Times New Roman" w:hAnsi="Times New Roman"/>
          <w:b/>
          <w:bCs/>
          <w:kern w:val="0"/>
          <w:sz w:val="28"/>
          <w:szCs w:val="20"/>
        </w:rPr>
      </w:pPr>
      <w:bookmarkStart w:id="420" w:name="_Toc143762345"/>
      <w:r>
        <w:rPr>
          <w:rFonts w:ascii="Times New Roman" w:hAnsi="Times New Roman"/>
          <w:b/>
          <w:bCs/>
          <w:kern w:val="0"/>
          <w:sz w:val="28"/>
          <w:szCs w:val="20"/>
        </w:rPr>
        <w:t>6.2.3地下水环境影响回顾性分析</w:t>
      </w:r>
      <w:bookmarkEnd w:id="420"/>
    </w:p>
    <w:p>
      <w:pPr>
        <w:autoSpaceDE w:val="0"/>
        <w:autoSpaceDN w:val="0"/>
        <w:adjustRightInd w:val="0"/>
        <w:snapToGrid w:val="0"/>
        <w:spacing w:before="156" w:beforeLines="50" w:line="360" w:lineRule="auto"/>
        <w:ind w:firstLine="480" w:firstLineChars="200"/>
        <w:rPr>
          <w:color w:val="FF0000"/>
          <w:kern w:val="0"/>
          <w:sz w:val="24"/>
        </w:rPr>
      </w:pPr>
      <w:r>
        <w:rPr>
          <w:bCs/>
          <w:sz w:val="24"/>
          <w:lang w:val="de-DE"/>
        </w:rPr>
        <w:t>项目2019年投入运行，</w:t>
      </w:r>
      <w:r>
        <w:rPr>
          <w:bCs/>
          <w:color w:val="FF0000"/>
          <w:sz w:val="24"/>
          <w:lang w:val="de-DE"/>
        </w:rPr>
        <w:t xml:space="preserve"> </w:t>
      </w:r>
      <w:r>
        <w:rPr>
          <w:rFonts w:hint="eastAsia"/>
          <w:bCs/>
          <w:sz w:val="24"/>
          <w:lang w:val="de-DE"/>
        </w:rPr>
        <w:t>通过</w:t>
      </w:r>
      <w:r>
        <w:rPr>
          <w:bCs/>
          <w:sz w:val="24"/>
          <w:lang w:val="de-DE"/>
        </w:rPr>
        <w:t>2021年10月、2022年4月巴彦淖尔市洁华环境</w:t>
      </w:r>
      <w:r>
        <w:rPr>
          <w:rFonts w:hint="eastAsia"/>
          <w:bCs/>
          <w:sz w:val="24"/>
          <w:lang w:val="de-DE"/>
        </w:rPr>
        <w:t>检测</w:t>
      </w:r>
      <w:r>
        <w:rPr>
          <w:bCs/>
          <w:sz w:val="24"/>
          <w:lang w:val="de-DE"/>
        </w:rPr>
        <w:t>有限公司</w:t>
      </w:r>
      <w:r>
        <w:rPr>
          <w:bCs/>
          <w:sz w:val="24"/>
        </w:rPr>
        <w:t>对</w:t>
      </w:r>
      <w:r>
        <w:rPr>
          <w:rFonts w:hint="eastAsia"/>
          <w:bCs/>
          <w:sz w:val="24"/>
        </w:rPr>
        <w:t>填埋场周边水井</w:t>
      </w:r>
      <w:r>
        <w:rPr>
          <w:bCs/>
          <w:sz w:val="24"/>
        </w:rPr>
        <w:t>例行监测数据</w:t>
      </w:r>
      <w:r>
        <w:rPr>
          <w:rFonts w:hint="eastAsia"/>
          <w:bCs/>
          <w:sz w:val="24"/>
        </w:rPr>
        <w:t>及本次评价对项目区地下水监测数据对比，主要特征因子总汞、总镉、总铬、六价铬、总砷、总铅、氨氮无明显变化趋势，</w:t>
      </w:r>
      <w:r>
        <w:rPr>
          <w:color w:val="FF0000"/>
          <w:kern w:val="0"/>
          <w:sz w:val="24"/>
        </w:rPr>
        <w:t>表明项目的建设没有对地下水环境产生污染影响</w:t>
      </w:r>
      <w:r>
        <w:rPr>
          <w:rFonts w:hint="eastAsia"/>
          <w:color w:val="FF0000"/>
          <w:kern w:val="0"/>
          <w:sz w:val="24"/>
        </w:rPr>
        <w:t>，项目防渗措施有效</w:t>
      </w:r>
      <w:r>
        <w:rPr>
          <w:color w:val="FF0000"/>
          <w:kern w:val="0"/>
          <w:sz w:val="24"/>
        </w:rPr>
        <w:t>。</w:t>
      </w:r>
    </w:p>
    <w:p>
      <w:pPr>
        <w:pStyle w:val="193"/>
        <w:adjustRightInd w:val="0"/>
        <w:snapToGrid w:val="0"/>
        <w:spacing w:line="360" w:lineRule="auto"/>
        <w:rPr>
          <w:rFonts w:ascii="Times New Roman" w:hAnsi="Times New Roman"/>
          <w:bCs/>
        </w:rPr>
      </w:pPr>
    </w:p>
    <w:p>
      <w:pPr>
        <w:pStyle w:val="193"/>
        <w:ind w:firstLine="0" w:firstLineChars="0"/>
        <w:rPr>
          <w:rFonts w:ascii="Times New Roman" w:hAnsi="Times New Roman"/>
          <w:bCs/>
        </w:rPr>
      </w:pPr>
    </w:p>
    <w:p>
      <w:pPr>
        <w:pStyle w:val="193"/>
        <w:ind w:firstLine="0" w:firstLineChars="0"/>
        <w:rPr>
          <w:rFonts w:ascii="Times New Roman" w:hAnsi="Times New Roman"/>
          <w:bCs/>
        </w:rPr>
        <w:sectPr>
          <w:pgSz w:w="11906" w:h="16838"/>
          <w:pgMar w:top="1440" w:right="1797" w:bottom="1440" w:left="1797" w:header="851" w:footer="992" w:gutter="0"/>
          <w:cols w:space="425" w:num="1"/>
          <w:docGrid w:type="lines" w:linePitch="312" w:charSpace="0"/>
        </w:sectPr>
      </w:pPr>
    </w:p>
    <w:p>
      <w:pPr>
        <w:pStyle w:val="193"/>
        <w:ind w:firstLine="0" w:firstLineChars="0"/>
        <w:jc w:val="center"/>
        <w:rPr>
          <w:rFonts w:ascii="Times New Roman" w:hAnsi="Times New Roman"/>
          <w:b/>
          <w:bCs/>
        </w:rPr>
      </w:pPr>
      <w:r>
        <w:rPr>
          <w:rFonts w:hint="eastAsia" w:ascii="Times New Roman" w:hAnsi="Times New Roman"/>
          <w:b/>
          <w:bCs/>
        </w:rPr>
        <w:t>表6.2-</w:t>
      </w:r>
      <w:r>
        <w:rPr>
          <w:rFonts w:ascii="Times New Roman" w:hAnsi="Times New Roman"/>
          <w:b/>
          <w:bCs/>
        </w:rPr>
        <w:t>10</w:t>
      </w:r>
      <w:r>
        <w:rPr>
          <w:rFonts w:hint="eastAsia" w:ascii="Times New Roman" w:hAnsi="Times New Roman"/>
          <w:b/>
          <w:bCs/>
        </w:rPr>
        <w:t xml:space="preserve">   地下水水质监测对比</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10"/>
        <w:gridCol w:w="864"/>
        <w:gridCol w:w="1343"/>
        <w:gridCol w:w="1259"/>
        <w:gridCol w:w="825"/>
        <w:gridCol w:w="1306"/>
        <w:gridCol w:w="1259"/>
        <w:gridCol w:w="1080"/>
        <w:gridCol w:w="1032"/>
        <w:gridCol w:w="1189"/>
        <w:gridCol w:w="1211"/>
        <w:gridCol w:w="12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9" w:hRule="atLeast"/>
          <w:jc w:val="center"/>
        </w:trPr>
        <w:tc>
          <w:tcPr>
            <w:tcW w:w="504" w:type="pct"/>
            <w:vMerge w:val="restart"/>
            <w:tcBorders>
              <w:bottom w:val="single" w:color="auto" w:sz="4" w:space="0"/>
            </w:tcBorders>
            <w:vAlign w:val="center"/>
          </w:tcPr>
          <w:p>
            <w:pPr>
              <w:jc w:val="center"/>
              <w:rPr>
                <w:color w:val="FF0000"/>
                <w:szCs w:val="21"/>
              </w:rPr>
            </w:pPr>
            <w:r>
              <w:rPr>
                <w:color w:val="FF0000"/>
                <w:szCs w:val="21"/>
              </w:rPr>
              <w:t>监测项目</w:t>
            </w:r>
          </w:p>
        </w:tc>
        <w:tc>
          <w:tcPr>
            <w:tcW w:w="309" w:type="pct"/>
            <w:vMerge w:val="restart"/>
            <w:tcBorders>
              <w:bottom w:val="single" w:color="auto" w:sz="4" w:space="0"/>
            </w:tcBorders>
            <w:vAlign w:val="center"/>
          </w:tcPr>
          <w:p>
            <w:pPr>
              <w:keepLines/>
              <w:jc w:val="center"/>
              <w:rPr>
                <w:color w:val="FF0000"/>
                <w:szCs w:val="21"/>
              </w:rPr>
            </w:pPr>
            <w:r>
              <w:rPr>
                <w:color w:val="FF0000"/>
                <w:szCs w:val="21"/>
              </w:rPr>
              <w:t>单位</w:t>
            </w:r>
          </w:p>
        </w:tc>
        <w:tc>
          <w:tcPr>
            <w:tcW w:w="930" w:type="pct"/>
            <w:gridSpan w:val="2"/>
            <w:tcBorders>
              <w:bottom w:val="single" w:color="auto" w:sz="4" w:space="0"/>
            </w:tcBorders>
            <w:vAlign w:val="center"/>
          </w:tcPr>
          <w:p>
            <w:pPr>
              <w:keepLines/>
              <w:jc w:val="center"/>
              <w:rPr>
                <w:color w:val="FF0000"/>
                <w:szCs w:val="21"/>
              </w:rPr>
            </w:pPr>
            <w:r>
              <w:rPr>
                <w:color w:val="FF0000"/>
                <w:szCs w:val="21"/>
              </w:rPr>
              <w:t>李建国家水井</w:t>
            </w:r>
          </w:p>
        </w:tc>
        <w:tc>
          <w:tcPr>
            <w:tcW w:w="295" w:type="pct"/>
            <w:vMerge w:val="restart"/>
            <w:tcBorders>
              <w:bottom w:val="single" w:color="auto" w:sz="4" w:space="0"/>
            </w:tcBorders>
            <w:vAlign w:val="center"/>
          </w:tcPr>
          <w:p>
            <w:pPr>
              <w:keepLines/>
              <w:jc w:val="center"/>
              <w:rPr>
                <w:color w:val="FF0000"/>
                <w:szCs w:val="21"/>
              </w:rPr>
            </w:pPr>
            <w:r>
              <w:rPr>
                <w:color w:val="FF0000"/>
                <w:szCs w:val="21"/>
              </w:rPr>
              <w:t>变化趋势</w:t>
            </w:r>
          </w:p>
        </w:tc>
        <w:tc>
          <w:tcPr>
            <w:tcW w:w="917" w:type="pct"/>
            <w:gridSpan w:val="2"/>
            <w:tcBorders>
              <w:bottom w:val="single" w:color="auto" w:sz="4" w:space="0"/>
            </w:tcBorders>
            <w:vAlign w:val="center"/>
          </w:tcPr>
          <w:p>
            <w:pPr>
              <w:keepLines/>
              <w:jc w:val="center"/>
              <w:rPr>
                <w:color w:val="FF0000"/>
                <w:szCs w:val="21"/>
              </w:rPr>
            </w:pPr>
            <w:r>
              <w:rPr>
                <w:rFonts w:hint="eastAsia"/>
                <w:color w:val="FF0000"/>
                <w:szCs w:val="21"/>
              </w:rPr>
              <w:t>侧向监测井</w:t>
            </w:r>
          </w:p>
        </w:tc>
        <w:tc>
          <w:tcPr>
            <w:tcW w:w="386" w:type="pct"/>
            <w:vMerge w:val="restart"/>
            <w:tcBorders>
              <w:bottom w:val="single" w:color="auto" w:sz="4" w:space="0"/>
            </w:tcBorders>
            <w:vAlign w:val="center"/>
          </w:tcPr>
          <w:p>
            <w:pPr>
              <w:keepLines/>
              <w:jc w:val="center"/>
              <w:rPr>
                <w:color w:val="FF0000"/>
                <w:szCs w:val="21"/>
              </w:rPr>
            </w:pPr>
            <w:r>
              <w:rPr>
                <w:color w:val="FF0000"/>
                <w:szCs w:val="21"/>
              </w:rPr>
              <w:t>变化趋势</w:t>
            </w:r>
          </w:p>
        </w:tc>
        <w:tc>
          <w:tcPr>
            <w:tcW w:w="794" w:type="pct"/>
            <w:gridSpan w:val="2"/>
            <w:tcBorders>
              <w:bottom w:val="single" w:color="auto" w:sz="4" w:space="0"/>
            </w:tcBorders>
            <w:vAlign w:val="center"/>
          </w:tcPr>
          <w:p>
            <w:pPr>
              <w:keepLines/>
              <w:jc w:val="center"/>
              <w:rPr>
                <w:color w:val="FF0000"/>
                <w:szCs w:val="21"/>
              </w:rPr>
            </w:pPr>
            <w:r>
              <w:rPr>
                <w:rFonts w:hint="eastAsia"/>
                <w:color w:val="FF0000"/>
                <w:szCs w:val="21"/>
              </w:rPr>
              <w:t>下游监测井</w:t>
            </w:r>
          </w:p>
        </w:tc>
        <w:tc>
          <w:tcPr>
            <w:tcW w:w="433" w:type="pct"/>
            <w:vMerge w:val="restart"/>
            <w:tcBorders>
              <w:bottom w:val="single" w:color="auto" w:sz="4" w:space="0"/>
            </w:tcBorders>
            <w:vAlign w:val="center"/>
          </w:tcPr>
          <w:p>
            <w:pPr>
              <w:keepLines/>
              <w:jc w:val="center"/>
              <w:rPr>
                <w:color w:val="FF0000"/>
                <w:szCs w:val="21"/>
              </w:rPr>
            </w:pPr>
            <w:r>
              <w:rPr>
                <w:color w:val="FF0000"/>
                <w:szCs w:val="21"/>
              </w:rPr>
              <w:t>变化趋势</w:t>
            </w:r>
          </w:p>
        </w:tc>
        <w:tc>
          <w:tcPr>
            <w:tcW w:w="432" w:type="pct"/>
            <w:vMerge w:val="restart"/>
            <w:tcBorders>
              <w:bottom w:val="single" w:color="auto" w:sz="4" w:space="0"/>
            </w:tcBorders>
            <w:vAlign w:val="center"/>
          </w:tcPr>
          <w:p>
            <w:pPr>
              <w:keepLines/>
              <w:jc w:val="center"/>
              <w:rPr>
                <w:color w:val="FF0000"/>
                <w:szCs w:val="21"/>
              </w:rPr>
            </w:pPr>
            <w:r>
              <w:rPr>
                <w:color w:val="FF0000"/>
                <w:szCs w:val="21"/>
              </w:rPr>
              <w:t>评价</w:t>
            </w:r>
          </w:p>
          <w:p>
            <w:pPr>
              <w:keepLines/>
              <w:jc w:val="center"/>
              <w:rPr>
                <w:color w:val="FF0000"/>
                <w:szCs w:val="21"/>
              </w:rPr>
            </w:pPr>
            <w:r>
              <w:rPr>
                <w:color w:val="FF0000"/>
                <w:szCs w:val="21"/>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Merge w:val="continue"/>
            <w:vAlign w:val="center"/>
          </w:tcPr>
          <w:p>
            <w:pPr>
              <w:widowControl/>
              <w:jc w:val="center"/>
              <w:rPr>
                <w:color w:val="FF0000"/>
                <w:szCs w:val="21"/>
              </w:rPr>
            </w:pPr>
          </w:p>
        </w:tc>
        <w:tc>
          <w:tcPr>
            <w:tcW w:w="309" w:type="pct"/>
            <w:vMerge w:val="continue"/>
            <w:vAlign w:val="center"/>
          </w:tcPr>
          <w:p>
            <w:pPr>
              <w:widowControl/>
              <w:jc w:val="center"/>
              <w:rPr>
                <w:color w:val="FF0000"/>
                <w:szCs w:val="21"/>
              </w:rPr>
            </w:pPr>
          </w:p>
        </w:tc>
        <w:tc>
          <w:tcPr>
            <w:tcW w:w="480" w:type="pct"/>
            <w:vAlign w:val="center"/>
          </w:tcPr>
          <w:p>
            <w:pPr>
              <w:keepLines/>
              <w:jc w:val="center"/>
              <w:rPr>
                <w:color w:val="FF0000"/>
                <w:szCs w:val="21"/>
              </w:rPr>
            </w:pPr>
            <w:r>
              <w:rPr>
                <w:color w:val="FF0000"/>
                <w:szCs w:val="21"/>
              </w:rPr>
              <w:t>2021年10月</w:t>
            </w:r>
          </w:p>
        </w:tc>
        <w:tc>
          <w:tcPr>
            <w:tcW w:w="450" w:type="pct"/>
            <w:vAlign w:val="center"/>
          </w:tcPr>
          <w:p>
            <w:pPr>
              <w:keepLines/>
              <w:jc w:val="center"/>
              <w:rPr>
                <w:color w:val="FF0000"/>
                <w:szCs w:val="21"/>
              </w:rPr>
            </w:pPr>
            <w:r>
              <w:rPr>
                <w:color w:val="FF0000"/>
                <w:szCs w:val="21"/>
              </w:rPr>
              <w:t>2023年3月</w:t>
            </w:r>
          </w:p>
        </w:tc>
        <w:tc>
          <w:tcPr>
            <w:tcW w:w="295" w:type="pct"/>
            <w:vMerge w:val="continue"/>
            <w:vAlign w:val="center"/>
          </w:tcPr>
          <w:p>
            <w:pPr>
              <w:keepLines/>
              <w:jc w:val="center"/>
              <w:rPr>
                <w:color w:val="FF0000"/>
                <w:szCs w:val="21"/>
              </w:rPr>
            </w:pPr>
          </w:p>
        </w:tc>
        <w:tc>
          <w:tcPr>
            <w:tcW w:w="467" w:type="pct"/>
            <w:vAlign w:val="center"/>
          </w:tcPr>
          <w:p>
            <w:pPr>
              <w:keepLines/>
              <w:jc w:val="center"/>
              <w:rPr>
                <w:color w:val="FF0000"/>
                <w:szCs w:val="21"/>
              </w:rPr>
            </w:pPr>
            <w:r>
              <w:rPr>
                <w:color w:val="FF0000"/>
                <w:szCs w:val="21"/>
              </w:rPr>
              <w:t>2022年4月</w:t>
            </w:r>
          </w:p>
        </w:tc>
        <w:tc>
          <w:tcPr>
            <w:tcW w:w="450" w:type="pct"/>
            <w:vAlign w:val="center"/>
          </w:tcPr>
          <w:p>
            <w:pPr>
              <w:keepLines/>
              <w:jc w:val="center"/>
              <w:rPr>
                <w:color w:val="FF0000"/>
                <w:szCs w:val="21"/>
              </w:rPr>
            </w:pPr>
            <w:r>
              <w:rPr>
                <w:color w:val="FF0000"/>
                <w:szCs w:val="21"/>
              </w:rPr>
              <w:t>2023年3月</w:t>
            </w:r>
          </w:p>
        </w:tc>
        <w:tc>
          <w:tcPr>
            <w:tcW w:w="386" w:type="pct"/>
            <w:vMerge w:val="continue"/>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2022年4月</w:t>
            </w:r>
          </w:p>
        </w:tc>
        <w:tc>
          <w:tcPr>
            <w:tcW w:w="425" w:type="pct"/>
            <w:vAlign w:val="center"/>
          </w:tcPr>
          <w:p>
            <w:pPr>
              <w:keepLines/>
              <w:jc w:val="center"/>
              <w:rPr>
                <w:color w:val="FF0000"/>
                <w:szCs w:val="21"/>
              </w:rPr>
            </w:pPr>
            <w:r>
              <w:rPr>
                <w:color w:val="FF0000"/>
                <w:szCs w:val="21"/>
              </w:rPr>
              <w:t>2023年3月</w:t>
            </w:r>
          </w:p>
        </w:tc>
        <w:tc>
          <w:tcPr>
            <w:tcW w:w="433" w:type="pct"/>
            <w:vMerge w:val="continue"/>
            <w:vAlign w:val="center"/>
          </w:tcPr>
          <w:p>
            <w:pPr>
              <w:widowControl/>
              <w:jc w:val="center"/>
              <w:rPr>
                <w:color w:val="FF0000"/>
                <w:szCs w:val="21"/>
              </w:rPr>
            </w:pPr>
          </w:p>
        </w:tc>
        <w:tc>
          <w:tcPr>
            <w:tcW w:w="432" w:type="pct"/>
            <w:vMerge w:val="continue"/>
            <w:vAlign w:val="center"/>
          </w:tcPr>
          <w:p>
            <w:pPr>
              <w:widowControl/>
              <w:jc w:val="center"/>
              <w:rPr>
                <w:color w:val="FF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pH</w:t>
            </w:r>
          </w:p>
        </w:tc>
        <w:tc>
          <w:tcPr>
            <w:tcW w:w="309" w:type="pct"/>
            <w:vAlign w:val="center"/>
          </w:tcPr>
          <w:p>
            <w:pPr>
              <w:keepLines/>
              <w:jc w:val="center"/>
              <w:rPr>
                <w:color w:val="FF0000"/>
                <w:szCs w:val="21"/>
              </w:rPr>
            </w:pPr>
            <w:r>
              <w:rPr>
                <w:color w:val="FF0000"/>
                <w:szCs w:val="21"/>
              </w:rPr>
              <w:t>无量纲</w:t>
            </w:r>
          </w:p>
        </w:tc>
        <w:tc>
          <w:tcPr>
            <w:tcW w:w="480" w:type="pct"/>
            <w:vAlign w:val="center"/>
          </w:tcPr>
          <w:p>
            <w:pPr>
              <w:keepLines/>
              <w:jc w:val="center"/>
              <w:rPr>
                <w:color w:val="FF0000"/>
                <w:szCs w:val="21"/>
              </w:rPr>
            </w:pPr>
            <w:r>
              <w:rPr>
                <w:color w:val="FF0000"/>
                <w:szCs w:val="21"/>
              </w:rPr>
              <w:t>6.85-6.90</w:t>
            </w:r>
          </w:p>
        </w:tc>
        <w:tc>
          <w:tcPr>
            <w:tcW w:w="450" w:type="pct"/>
            <w:vAlign w:val="center"/>
          </w:tcPr>
          <w:p>
            <w:pPr>
              <w:keepLines/>
              <w:jc w:val="center"/>
              <w:rPr>
                <w:color w:val="FF0000"/>
                <w:szCs w:val="21"/>
              </w:rPr>
            </w:pPr>
            <w:r>
              <w:rPr>
                <w:color w:val="FF0000"/>
                <w:szCs w:val="21"/>
              </w:rPr>
              <w:t>8.2</w:t>
            </w:r>
          </w:p>
        </w:tc>
        <w:tc>
          <w:tcPr>
            <w:tcW w:w="295" w:type="pct"/>
            <w:vAlign w:val="center"/>
          </w:tcPr>
          <w:p>
            <w:pPr>
              <w:keepLines/>
              <w:jc w:val="center"/>
              <w:rPr>
                <w:color w:val="FF0000"/>
                <w:szCs w:val="21"/>
              </w:rPr>
            </w:pPr>
          </w:p>
        </w:tc>
        <w:tc>
          <w:tcPr>
            <w:tcW w:w="467" w:type="pct"/>
            <w:vAlign w:val="center"/>
          </w:tcPr>
          <w:p>
            <w:pPr>
              <w:keepLines/>
              <w:jc w:val="center"/>
              <w:rPr>
                <w:color w:val="FF0000"/>
                <w:szCs w:val="21"/>
              </w:rPr>
            </w:pPr>
            <w:r>
              <w:rPr>
                <w:color w:val="FF0000"/>
                <w:szCs w:val="21"/>
              </w:rPr>
              <w:t>7.0</w:t>
            </w:r>
          </w:p>
        </w:tc>
        <w:tc>
          <w:tcPr>
            <w:tcW w:w="450" w:type="pct"/>
            <w:vAlign w:val="center"/>
          </w:tcPr>
          <w:p>
            <w:pPr>
              <w:keepLines/>
              <w:jc w:val="center"/>
              <w:rPr>
                <w:color w:val="FF0000"/>
                <w:szCs w:val="21"/>
              </w:rPr>
            </w:pPr>
            <w:r>
              <w:rPr>
                <w:color w:val="FF0000"/>
                <w:szCs w:val="21"/>
              </w:rPr>
              <w:t>8.2</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6.9</w:t>
            </w:r>
          </w:p>
        </w:tc>
        <w:tc>
          <w:tcPr>
            <w:tcW w:w="425" w:type="pct"/>
            <w:vAlign w:val="center"/>
          </w:tcPr>
          <w:p>
            <w:pPr>
              <w:keepLines/>
              <w:jc w:val="center"/>
              <w:rPr>
                <w:color w:val="FF0000"/>
                <w:szCs w:val="21"/>
              </w:rPr>
            </w:pPr>
            <w:r>
              <w:rPr>
                <w:color w:val="FF0000"/>
                <w:szCs w:val="21"/>
              </w:rPr>
              <w:t>8.2</w:t>
            </w:r>
          </w:p>
        </w:tc>
        <w:tc>
          <w:tcPr>
            <w:tcW w:w="433" w:type="pct"/>
            <w:vAlign w:val="center"/>
          </w:tcPr>
          <w:p>
            <w:pPr>
              <w:keepLines/>
              <w:jc w:val="center"/>
              <w:rPr>
                <w:color w:val="FF0000"/>
                <w:szCs w:val="21"/>
              </w:rPr>
            </w:pPr>
          </w:p>
        </w:tc>
        <w:tc>
          <w:tcPr>
            <w:tcW w:w="432" w:type="pct"/>
            <w:vAlign w:val="center"/>
          </w:tcPr>
          <w:p>
            <w:pPr>
              <w:keepLines/>
              <w:jc w:val="center"/>
              <w:rPr>
                <w:color w:val="FF0000"/>
                <w:szCs w:val="21"/>
              </w:rPr>
            </w:pPr>
            <w:r>
              <w:rPr>
                <w:color w:val="FF0000"/>
                <w:szCs w:val="21"/>
              </w:rPr>
              <w:t>6.5-8.5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氨氮</w:t>
            </w:r>
          </w:p>
        </w:tc>
        <w:tc>
          <w:tcPr>
            <w:tcW w:w="309" w:type="pct"/>
            <w:vAlign w:val="center"/>
          </w:tcPr>
          <w:p>
            <w:pPr>
              <w:keepLines/>
              <w:jc w:val="center"/>
              <w:rPr>
                <w:b/>
                <w:color w:val="FF0000"/>
                <w:szCs w:val="21"/>
              </w:rPr>
            </w:pPr>
            <w:r>
              <w:rPr>
                <w:b/>
                <w:color w:val="FF0000"/>
                <w:szCs w:val="21"/>
              </w:rPr>
              <w:t>mg/L</w:t>
            </w:r>
          </w:p>
        </w:tc>
        <w:tc>
          <w:tcPr>
            <w:tcW w:w="480" w:type="pct"/>
            <w:vAlign w:val="center"/>
          </w:tcPr>
          <w:p>
            <w:pPr>
              <w:keepLines/>
              <w:jc w:val="center"/>
              <w:rPr>
                <w:b/>
                <w:color w:val="FF0000"/>
                <w:szCs w:val="21"/>
              </w:rPr>
            </w:pPr>
            <w:r>
              <w:rPr>
                <w:b/>
                <w:color w:val="FF0000"/>
                <w:szCs w:val="21"/>
              </w:rPr>
              <w:t>0.953</w:t>
            </w:r>
          </w:p>
        </w:tc>
        <w:tc>
          <w:tcPr>
            <w:tcW w:w="450" w:type="pct"/>
            <w:vAlign w:val="center"/>
          </w:tcPr>
          <w:p>
            <w:pPr>
              <w:keepLines/>
              <w:jc w:val="center"/>
              <w:rPr>
                <w:b/>
                <w:color w:val="FF0000"/>
                <w:szCs w:val="21"/>
              </w:rPr>
            </w:pPr>
            <w:r>
              <w:rPr>
                <w:color w:val="FF0000"/>
                <w:szCs w:val="21"/>
              </w:rPr>
              <w:t>0.88</w:t>
            </w:r>
          </w:p>
        </w:tc>
        <w:tc>
          <w:tcPr>
            <w:tcW w:w="295" w:type="pct"/>
            <w:vAlign w:val="center"/>
          </w:tcPr>
          <w:p>
            <w:pPr>
              <w:keepLines/>
              <w:jc w:val="center"/>
              <w:rPr>
                <w:color w:val="FF0000"/>
                <w:szCs w:val="21"/>
              </w:rPr>
            </w:pPr>
          </w:p>
        </w:tc>
        <w:tc>
          <w:tcPr>
            <w:tcW w:w="467" w:type="pct"/>
            <w:vAlign w:val="center"/>
          </w:tcPr>
          <w:p>
            <w:pPr>
              <w:keepLines/>
              <w:jc w:val="center"/>
              <w:rPr>
                <w:color w:val="FF0000"/>
                <w:szCs w:val="21"/>
              </w:rPr>
            </w:pPr>
            <w:r>
              <w:rPr>
                <w:color w:val="FF0000"/>
                <w:szCs w:val="21"/>
              </w:rPr>
              <w:t>0.054</w:t>
            </w:r>
          </w:p>
        </w:tc>
        <w:tc>
          <w:tcPr>
            <w:tcW w:w="450" w:type="pct"/>
            <w:vAlign w:val="center"/>
          </w:tcPr>
          <w:p>
            <w:pPr>
              <w:keepLines/>
              <w:jc w:val="center"/>
              <w:rPr>
                <w:color w:val="FF0000"/>
                <w:szCs w:val="21"/>
              </w:rPr>
            </w:pPr>
            <w:r>
              <w:rPr>
                <w:color w:val="FF0000"/>
                <w:szCs w:val="21"/>
              </w:rPr>
              <w:t>0.29</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0.176</w:t>
            </w:r>
          </w:p>
        </w:tc>
        <w:tc>
          <w:tcPr>
            <w:tcW w:w="425" w:type="pct"/>
            <w:vAlign w:val="center"/>
          </w:tcPr>
          <w:p>
            <w:pPr>
              <w:keepLines/>
              <w:jc w:val="center"/>
              <w:rPr>
                <w:color w:val="FF0000"/>
                <w:szCs w:val="21"/>
              </w:rPr>
            </w:pPr>
            <w:r>
              <w:rPr>
                <w:color w:val="FF0000"/>
                <w:szCs w:val="21"/>
              </w:rPr>
              <w:t>0.18</w:t>
            </w:r>
          </w:p>
        </w:tc>
        <w:tc>
          <w:tcPr>
            <w:tcW w:w="433" w:type="pct"/>
            <w:vAlign w:val="center"/>
          </w:tcPr>
          <w:p>
            <w:pPr>
              <w:keepLines/>
              <w:jc w:val="center"/>
              <w:rPr>
                <w:color w:val="FF0000"/>
                <w:szCs w:val="21"/>
              </w:rPr>
            </w:pPr>
          </w:p>
        </w:tc>
        <w:tc>
          <w:tcPr>
            <w:tcW w:w="432" w:type="pct"/>
            <w:vAlign w:val="center"/>
          </w:tcPr>
          <w:p>
            <w:pPr>
              <w:keepLines/>
              <w:jc w:val="center"/>
              <w:rPr>
                <w:color w:val="FF0000"/>
                <w:szCs w:val="21"/>
              </w:rPr>
            </w:pPr>
            <w:r>
              <w:rPr>
                <w:color w:val="FF0000"/>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硝酸盐氮</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0.92</w:t>
            </w:r>
          </w:p>
        </w:tc>
        <w:tc>
          <w:tcPr>
            <w:tcW w:w="450" w:type="pct"/>
            <w:vAlign w:val="center"/>
          </w:tcPr>
          <w:p>
            <w:pPr>
              <w:keepLines/>
              <w:jc w:val="center"/>
              <w:rPr>
                <w:color w:val="FF0000"/>
                <w:szCs w:val="21"/>
              </w:rPr>
            </w:pPr>
            <w:r>
              <w:rPr>
                <w:color w:val="FF0000"/>
                <w:szCs w:val="21"/>
              </w:rPr>
              <w:t>0.016L</w:t>
            </w:r>
          </w:p>
        </w:tc>
        <w:tc>
          <w:tcPr>
            <w:tcW w:w="295" w:type="pct"/>
            <w:vAlign w:val="center"/>
          </w:tcPr>
          <w:p>
            <w:pPr>
              <w:keepLines/>
              <w:jc w:val="center"/>
              <w:rPr>
                <w:color w:val="FF0000"/>
                <w:szCs w:val="21"/>
              </w:rPr>
            </w:pPr>
          </w:p>
        </w:tc>
        <w:tc>
          <w:tcPr>
            <w:tcW w:w="467" w:type="pct"/>
            <w:vAlign w:val="center"/>
          </w:tcPr>
          <w:p>
            <w:pPr>
              <w:keepLines/>
              <w:jc w:val="center"/>
              <w:rPr>
                <w:color w:val="FF0000"/>
                <w:szCs w:val="21"/>
              </w:rPr>
            </w:pPr>
            <w:r>
              <w:rPr>
                <w:color w:val="FF0000"/>
                <w:szCs w:val="21"/>
              </w:rPr>
              <w:t>0.3</w:t>
            </w:r>
          </w:p>
        </w:tc>
        <w:tc>
          <w:tcPr>
            <w:tcW w:w="450" w:type="pct"/>
            <w:vAlign w:val="center"/>
          </w:tcPr>
          <w:p>
            <w:pPr>
              <w:keepLines/>
              <w:jc w:val="center"/>
              <w:rPr>
                <w:color w:val="FF0000"/>
                <w:szCs w:val="21"/>
              </w:rPr>
            </w:pPr>
            <w:r>
              <w:rPr>
                <w:color w:val="FF0000"/>
                <w:szCs w:val="21"/>
              </w:rPr>
              <w:t>1.73</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1.56</w:t>
            </w:r>
          </w:p>
        </w:tc>
        <w:tc>
          <w:tcPr>
            <w:tcW w:w="425" w:type="pct"/>
            <w:vAlign w:val="center"/>
          </w:tcPr>
          <w:p>
            <w:pPr>
              <w:keepLines/>
              <w:jc w:val="center"/>
              <w:rPr>
                <w:color w:val="FF0000"/>
                <w:szCs w:val="21"/>
              </w:rPr>
            </w:pPr>
            <w:r>
              <w:rPr>
                <w:color w:val="FF0000"/>
                <w:szCs w:val="21"/>
              </w:rPr>
              <w:t>1.73</w:t>
            </w:r>
          </w:p>
        </w:tc>
        <w:tc>
          <w:tcPr>
            <w:tcW w:w="433" w:type="pct"/>
            <w:vAlign w:val="center"/>
          </w:tcPr>
          <w:p>
            <w:pPr>
              <w:keepLines/>
              <w:jc w:val="center"/>
              <w:rPr>
                <w:color w:val="FF0000"/>
                <w:szCs w:val="21"/>
              </w:rPr>
            </w:pPr>
          </w:p>
        </w:tc>
        <w:tc>
          <w:tcPr>
            <w:tcW w:w="432" w:type="pct"/>
            <w:vAlign w:val="center"/>
          </w:tcPr>
          <w:p>
            <w:pPr>
              <w:keepLines/>
              <w:jc w:val="center"/>
              <w:rPr>
                <w:color w:val="FF0000"/>
                <w:szCs w:val="21"/>
              </w:rPr>
            </w:pPr>
            <w:r>
              <w:rPr>
                <w:color w:val="FF0000"/>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亚硝酸盐氮</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0.003L</w:t>
            </w:r>
          </w:p>
        </w:tc>
        <w:tc>
          <w:tcPr>
            <w:tcW w:w="450" w:type="pct"/>
            <w:vAlign w:val="center"/>
          </w:tcPr>
          <w:p>
            <w:pPr>
              <w:keepLines/>
              <w:jc w:val="center"/>
              <w:rPr>
                <w:color w:val="FF0000"/>
                <w:szCs w:val="21"/>
              </w:rPr>
            </w:pPr>
            <w:r>
              <w:rPr>
                <w:color w:val="FF0000"/>
                <w:szCs w:val="21"/>
              </w:rPr>
              <w:t>0.016</w:t>
            </w:r>
          </w:p>
        </w:tc>
        <w:tc>
          <w:tcPr>
            <w:tcW w:w="295" w:type="pct"/>
            <w:vAlign w:val="center"/>
          </w:tcPr>
          <w:p>
            <w:pPr>
              <w:keepLines/>
              <w:jc w:val="center"/>
              <w:rPr>
                <w:color w:val="FF0000"/>
                <w:szCs w:val="21"/>
              </w:rPr>
            </w:pPr>
          </w:p>
        </w:tc>
        <w:tc>
          <w:tcPr>
            <w:tcW w:w="467" w:type="pct"/>
            <w:vAlign w:val="center"/>
          </w:tcPr>
          <w:p>
            <w:pPr>
              <w:keepLines/>
              <w:jc w:val="center"/>
              <w:rPr>
                <w:color w:val="FF0000"/>
                <w:szCs w:val="21"/>
              </w:rPr>
            </w:pPr>
            <w:r>
              <w:rPr>
                <w:color w:val="FF0000"/>
                <w:szCs w:val="21"/>
              </w:rPr>
              <w:t>0.261</w:t>
            </w:r>
          </w:p>
        </w:tc>
        <w:tc>
          <w:tcPr>
            <w:tcW w:w="450" w:type="pct"/>
            <w:vAlign w:val="center"/>
          </w:tcPr>
          <w:p>
            <w:pPr>
              <w:keepLines/>
              <w:jc w:val="center"/>
              <w:rPr>
                <w:color w:val="FF0000"/>
                <w:szCs w:val="21"/>
              </w:rPr>
            </w:pPr>
            <w:r>
              <w:rPr>
                <w:color w:val="FF0000"/>
                <w:szCs w:val="21"/>
              </w:rPr>
              <w:t>0.003</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0.004</w:t>
            </w:r>
          </w:p>
        </w:tc>
        <w:tc>
          <w:tcPr>
            <w:tcW w:w="425" w:type="pct"/>
            <w:vAlign w:val="center"/>
          </w:tcPr>
          <w:p>
            <w:pPr>
              <w:keepLines/>
              <w:jc w:val="center"/>
              <w:rPr>
                <w:color w:val="FF0000"/>
                <w:szCs w:val="21"/>
              </w:rPr>
            </w:pPr>
            <w:r>
              <w:rPr>
                <w:color w:val="FF0000"/>
                <w:szCs w:val="21"/>
              </w:rPr>
              <w:t>0.003</w:t>
            </w:r>
          </w:p>
        </w:tc>
        <w:tc>
          <w:tcPr>
            <w:tcW w:w="433" w:type="pct"/>
            <w:vAlign w:val="center"/>
          </w:tcPr>
          <w:p>
            <w:pPr>
              <w:keepLines/>
              <w:jc w:val="center"/>
              <w:rPr>
                <w:color w:val="FF0000"/>
                <w:szCs w:val="21"/>
              </w:rPr>
            </w:pPr>
          </w:p>
        </w:tc>
        <w:tc>
          <w:tcPr>
            <w:tcW w:w="432" w:type="pct"/>
            <w:vAlign w:val="center"/>
          </w:tcPr>
          <w:p>
            <w:pPr>
              <w:keepLines/>
              <w:jc w:val="center"/>
              <w:rPr>
                <w:color w:val="FF0000"/>
                <w:szCs w:val="21"/>
              </w:rPr>
            </w:pPr>
            <w:r>
              <w:rPr>
                <w:color w:val="FF000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氰化物</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0.001L</w:t>
            </w:r>
          </w:p>
        </w:tc>
        <w:tc>
          <w:tcPr>
            <w:tcW w:w="450" w:type="pct"/>
            <w:vAlign w:val="center"/>
          </w:tcPr>
          <w:p>
            <w:pPr>
              <w:keepLines/>
              <w:jc w:val="center"/>
              <w:rPr>
                <w:color w:val="FF0000"/>
                <w:szCs w:val="21"/>
              </w:rPr>
            </w:pPr>
            <w:r>
              <w:rPr>
                <w:color w:val="FF0000"/>
                <w:szCs w:val="21"/>
              </w:rPr>
              <w:t>0.002L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0.001L</w:t>
            </w:r>
          </w:p>
        </w:tc>
        <w:tc>
          <w:tcPr>
            <w:tcW w:w="450" w:type="pct"/>
            <w:vAlign w:val="center"/>
          </w:tcPr>
          <w:p>
            <w:pPr>
              <w:keepLines/>
              <w:jc w:val="center"/>
              <w:rPr>
                <w:color w:val="FF0000"/>
                <w:szCs w:val="21"/>
              </w:rPr>
            </w:pPr>
            <w:r>
              <w:rPr>
                <w:color w:val="FF0000"/>
                <w:szCs w:val="21"/>
              </w:rPr>
              <w:t>0.002L</w:t>
            </w:r>
          </w:p>
        </w:tc>
        <w:tc>
          <w:tcPr>
            <w:tcW w:w="386" w:type="pct"/>
            <w:vAlign w:val="center"/>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0.001L</w:t>
            </w:r>
          </w:p>
        </w:tc>
        <w:tc>
          <w:tcPr>
            <w:tcW w:w="425" w:type="pct"/>
            <w:vAlign w:val="center"/>
          </w:tcPr>
          <w:p>
            <w:pPr>
              <w:keepLines/>
              <w:jc w:val="center"/>
              <w:rPr>
                <w:color w:val="FF0000"/>
                <w:szCs w:val="21"/>
              </w:rPr>
            </w:pPr>
            <w:r>
              <w:rPr>
                <w:color w:val="FF0000"/>
                <w:szCs w:val="21"/>
              </w:rPr>
              <w:t>0.002L</w:t>
            </w:r>
          </w:p>
        </w:tc>
        <w:tc>
          <w:tcPr>
            <w:tcW w:w="433" w:type="pct"/>
            <w:vAlign w:val="center"/>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汞</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0.00024</w:t>
            </w:r>
          </w:p>
        </w:tc>
        <w:tc>
          <w:tcPr>
            <w:tcW w:w="450"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0.00004L</w:t>
            </w:r>
          </w:p>
        </w:tc>
        <w:tc>
          <w:tcPr>
            <w:tcW w:w="450"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386" w:type="pct"/>
            <w:vAlign w:val="center"/>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0.0001</w:t>
            </w:r>
          </w:p>
        </w:tc>
        <w:tc>
          <w:tcPr>
            <w:tcW w:w="425"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433" w:type="pct"/>
            <w:vAlign w:val="center"/>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砷</w:t>
            </w:r>
          </w:p>
        </w:tc>
        <w:tc>
          <w:tcPr>
            <w:tcW w:w="309" w:type="pct"/>
            <w:vAlign w:val="center"/>
          </w:tcPr>
          <w:p>
            <w:pPr>
              <w:keepLines/>
              <w:jc w:val="center"/>
              <w:rPr>
                <w:b/>
                <w:color w:val="FF0000"/>
                <w:szCs w:val="21"/>
              </w:rPr>
            </w:pPr>
            <w:r>
              <w:rPr>
                <w:b/>
                <w:color w:val="FF0000"/>
                <w:szCs w:val="21"/>
              </w:rPr>
              <w:t>mg/L</w:t>
            </w:r>
          </w:p>
        </w:tc>
        <w:tc>
          <w:tcPr>
            <w:tcW w:w="480" w:type="pct"/>
            <w:vAlign w:val="center"/>
          </w:tcPr>
          <w:p>
            <w:pPr>
              <w:keepLines/>
              <w:jc w:val="center"/>
              <w:rPr>
                <w:b/>
                <w:color w:val="FF0000"/>
                <w:szCs w:val="21"/>
              </w:rPr>
            </w:pPr>
            <w:r>
              <w:rPr>
                <w:b/>
                <w:color w:val="FF0000"/>
                <w:szCs w:val="21"/>
              </w:rPr>
              <w:t>0.0403</w:t>
            </w:r>
          </w:p>
        </w:tc>
        <w:tc>
          <w:tcPr>
            <w:tcW w:w="450" w:type="pct"/>
            <w:vAlign w:val="center"/>
          </w:tcPr>
          <w:p>
            <w:pPr>
              <w:keepLines/>
              <w:jc w:val="center"/>
              <w:rPr>
                <w:color w:val="FF0000"/>
                <w:szCs w:val="21"/>
              </w:rPr>
            </w:pPr>
            <w:r>
              <w:rPr>
                <w:color w:val="FF0000"/>
                <w:szCs w:val="21"/>
              </w:rPr>
              <w:t>3.2×10</w:t>
            </w:r>
            <w:r>
              <w:rPr>
                <w:color w:val="FF0000"/>
                <w:szCs w:val="21"/>
                <w:vertAlign w:val="superscript"/>
              </w:rPr>
              <w:t>-3</w:t>
            </w:r>
          </w:p>
        </w:tc>
        <w:tc>
          <w:tcPr>
            <w:tcW w:w="295" w:type="pct"/>
            <w:vAlign w:val="center"/>
          </w:tcPr>
          <w:p>
            <w:pPr>
              <w:keepLines/>
              <w:jc w:val="center"/>
              <w:rPr>
                <w:color w:val="FF0000"/>
                <w:szCs w:val="21"/>
              </w:rPr>
            </w:pPr>
          </w:p>
        </w:tc>
        <w:tc>
          <w:tcPr>
            <w:tcW w:w="467" w:type="pct"/>
            <w:vAlign w:val="center"/>
          </w:tcPr>
          <w:p>
            <w:pPr>
              <w:keepLines/>
              <w:jc w:val="center"/>
              <w:rPr>
                <w:color w:val="FF0000"/>
                <w:szCs w:val="21"/>
              </w:rPr>
            </w:pPr>
            <w:r>
              <w:rPr>
                <w:color w:val="FF0000"/>
                <w:szCs w:val="21"/>
              </w:rPr>
              <w:t>0.0023</w:t>
            </w:r>
          </w:p>
        </w:tc>
        <w:tc>
          <w:tcPr>
            <w:tcW w:w="450" w:type="pct"/>
            <w:vAlign w:val="center"/>
          </w:tcPr>
          <w:p>
            <w:pPr>
              <w:keepLines/>
              <w:jc w:val="center"/>
              <w:rPr>
                <w:color w:val="FF0000"/>
                <w:szCs w:val="21"/>
              </w:rPr>
            </w:pPr>
            <w:r>
              <w:rPr>
                <w:color w:val="FF0000"/>
                <w:szCs w:val="21"/>
              </w:rPr>
              <w:t>1.8×10</w:t>
            </w:r>
            <w:r>
              <w:rPr>
                <w:color w:val="FF0000"/>
                <w:szCs w:val="21"/>
                <w:vertAlign w:val="superscript"/>
              </w:rPr>
              <w:t>-3</w:t>
            </w:r>
          </w:p>
        </w:tc>
        <w:tc>
          <w:tcPr>
            <w:tcW w:w="386" w:type="pct"/>
            <w:vAlign w:val="center"/>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0.0003</w:t>
            </w:r>
          </w:p>
        </w:tc>
        <w:tc>
          <w:tcPr>
            <w:tcW w:w="425" w:type="pct"/>
            <w:vAlign w:val="center"/>
          </w:tcPr>
          <w:p>
            <w:pPr>
              <w:keepLines/>
              <w:jc w:val="center"/>
              <w:rPr>
                <w:color w:val="FF0000"/>
                <w:szCs w:val="21"/>
              </w:rPr>
            </w:pPr>
            <w:r>
              <w:rPr>
                <w:color w:val="FF0000"/>
                <w:szCs w:val="21"/>
              </w:rPr>
              <w:t>3.2×10</w:t>
            </w:r>
            <w:r>
              <w:rPr>
                <w:color w:val="FF0000"/>
                <w:szCs w:val="21"/>
                <w:vertAlign w:val="superscript"/>
              </w:rPr>
              <w:t>-3</w:t>
            </w:r>
          </w:p>
        </w:tc>
        <w:tc>
          <w:tcPr>
            <w:tcW w:w="433" w:type="pct"/>
            <w:vAlign w:val="center"/>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六价铬</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0.004L</w:t>
            </w:r>
          </w:p>
        </w:tc>
        <w:tc>
          <w:tcPr>
            <w:tcW w:w="450" w:type="pct"/>
            <w:vAlign w:val="center"/>
          </w:tcPr>
          <w:p>
            <w:pPr>
              <w:keepLines/>
              <w:jc w:val="center"/>
              <w:rPr>
                <w:color w:val="FF0000"/>
                <w:szCs w:val="21"/>
              </w:rPr>
            </w:pPr>
            <w:r>
              <w:rPr>
                <w:color w:val="FF0000"/>
                <w:szCs w:val="21"/>
              </w:rPr>
              <w:t>0.004L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0.007</w:t>
            </w:r>
          </w:p>
        </w:tc>
        <w:tc>
          <w:tcPr>
            <w:tcW w:w="450" w:type="pct"/>
            <w:vAlign w:val="center"/>
          </w:tcPr>
          <w:p>
            <w:pPr>
              <w:keepLines/>
              <w:jc w:val="center"/>
              <w:rPr>
                <w:color w:val="FF0000"/>
                <w:szCs w:val="21"/>
              </w:rPr>
            </w:pPr>
            <w:r>
              <w:rPr>
                <w:color w:val="FF0000"/>
                <w:szCs w:val="21"/>
              </w:rPr>
              <w:t>0.004L</w:t>
            </w:r>
          </w:p>
        </w:tc>
        <w:tc>
          <w:tcPr>
            <w:tcW w:w="386" w:type="pct"/>
            <w:vAlign w:val="center"/>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0.014</w:t>
            </w:r>
          </w:p>
        </w:tc>
        <w:tc>
          <w:tcPr>
            <w:tcW w:w="425" w:type="pct"/>
            <w:vAlign w:val="center"/>
          </w:tcPr>
          <w:p>
            <w:pPr>
              <w:keepLines/>
              <w:jc w:val="center"/>
              <w:rPr>
                <w:color w:val="FF0000"/>
                <w:szCs w:val="21"/>
              </w:rPr>
            </w:pPr>
            <w:r>
              <w:rPr>
                <w:color w:val="FF0000"/>
                <w:szCs w:val="21"/>
              </w:rPr>
              <w:t>0.004L</w:t>
            </w:r>
          </w:p>
        </w:tc>
        <w:tc>
          <w:tcPr>
            <w:tcW w:w="433" w:type="pct"/>
            <w:vAlign w:val="center"/>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总硬度</w:t>
            </w:r>
          </w:p>
        </w:tc>
        <w:tc>
          <w:tcPr>
            <w:tcW w:w="309" w:type="pct"/>
            <w:vAlign w:val="center"/>
          </w:tcPr>
          <w:p>
            <w:pPr>
              <w:keepLines/>
              <w:jc w:val="center"/>
              <w:rPr>
                <w:b/>
                <w:color w:val="FF0000"/>
                <w:szCs w:val="21"/>
              </w:rPr>
            </w:pPr>
            <w:r>
              <w:rPr>
                <w:b/>
                <w:color w:val="FF0000"/>
                <w:szCs w:val="21"/>
              </w:rPr>
              <w:t>mg/L</w:t>
            </w:r>
          </w:p>
        </w:tc>
        <w:tc>
          <w:tcPr>
            <w:tcW w:w="480" w:type="pct"/>
            <w:vAlign w:val="center"/>
          </w:tcPr>
          <w:p>
            <w:pPr>
              <w:keepLines/>
              <w:jc w:val="center"/>
              <w:rPr>
                <w:b/>
                <w:color w:val="FF0000"/>
                <w:szCs w:val="21"/>
              </w:rPr>
            </w:pPr>
            <w:r>
              <w:rPr>
                <w:b/>
                <w:color w:val="FF0000"/>
                <w:szCs w:val="21"/>
              </w:rPr>
              <w:t>512</w:t>
            </w:r>
          </w:p>
        </w:tc>
        <w:tc>
          <w:tcPr>
            <w:tcW w:w="450" w:type="pct"/>
            <w:vAlign w:val="center"/>
          </w:tcPr>
          <w:p>
            <w:pPr>
              <w:keepLines/>
              <w:jc w:val="center"/>
              <w:rPr>
                <w:b/>
                <w:color w:val="FF0000"/>
                <w:szCs w:val="21"/>
              </w:rPr>
            </w:pPr>
            <w:r>
              <w:rPr>
                <w:color w:val="FF0000"/>
                <w:szCs w:val="21"/>
              </w:rPr>
              <w:t>504</w:t>
            </w:r>
          </w:p>
        </w:tc>
        <w:tc>
          <w:tcPr>
            <w:tcW w:w="295" w:type="pct"/>
            <w:vAlign w:val="center"/>
          </w:tcPr>
          <w:p>
            <w:pPr>
              <w:keepLines/>
              <w:jc w:val="center"/>
              <w:rPr>
                <w:color w:val="FF0000"/>
                <w:szCs w:val="21"/>
              </w:rPr>
            </w:pPr>
          </w:p>
        </w:tc>
        <w:tc>
          <w:tcPr>
            <w:tcW w:w="467" w:type="pct"/>
            <w:vAlign w:val="center"/>
          </w:tcPr>
          <w:p>
            <w:pPr>
              <w:keepLines/>
              <w:jc w:val="center"/>
              <w:rPr>
                <w:color w:val="FF0000"/>
                <w:szCs w:val="21"/>
              </w:rPr>
            </w:pPr>
            <w:r>
              <w:rPr>
                <w:color w:val="FF0000"/>
                <w:szCs w:val="21"/>
              </w:rPr>
              <w:t>443</w:t>
            </w:r>
          </w:p>
        </w:tc>
        <w:tc>
          <w:tcPr>
            <w:tcW w:w="450" w:type="pct"/>
            <w:vAlign w:val="center"/>
          </w:tcPr>
          <w:p>
            <w:pPr>
              <w:keepLines/>
              <w:jc w:val="center"/>
              <w:rPr>
                <w:color w:val="FF0000"/>
                <w:szCs w:val="21"/>
              </w:rPr>
            </w:pPr>
            <w:r>
              <w:rPr>
                <w:color w:val="FF0000"/>
                <w:szCs w:val="21"/>
              </w:rPr>
              <w:t>386</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299</w:t>
            </w:r>
          </w:p>
        </w:tc>
        <w:tc>
          <w:tcPr>
            <w:tcW w:w="425" w:type="pct"/>
            <w:vAlign w:val="center"/>
          </w:tcPr>
          <w:p>
            <w:pPr>
              <w:keepLines/>
              <w:jc w:val="center"/>
              <w:rPr>
                <w:color w:val="FF0000"/>
                <w:szCs w:val="21"/>
              </w:rPr>
            </w:pPr>
            <w:r>
              <w:rPr>
                <w:color w:val="FF0000"/>
                <w:szCs w:val="21"/>
              </w:rPr>
              <w:t>367</w:t>
            </w:r>
          </w:p>
        </w:tc>
        <w:tc>
          <w:tcPr>
            <w:tcW w:w="433" w:type="pct"/>
            <w:vAlign w:val="center"/>
          </w:tcPr>
          <w:p>
            <w:pPr>
              <w:keepLines/>
              <w:jc w:val="center"/>
              <w:rPr>
                <w:color w:val="FF0000"/>
                <w:szCs w:val="21"/>
              </w:rPr>
            </w:pPr>
          </w:p>
        </w:tc>
        <w:tc>
          <w:tcPr>
            <w:tcW w:w="432" w:type="pct"/>
            <w:vAlign w:val="center"/>
          </w:tcPr>
          <w:p>
            <w:pPr>
              <w:keepLines/>
              <w:jc w:val="center"/>
              <w:rPr>
                <w:color w:val="FF0000"/>
                <w:szCs w:val="21"/>
              </w:rPr>
            </w:pPr>
            <w:r>
              <w:rPr>
                <w:color w:val="FF0000"/>
                <w:szCs w:val="21"/>
              </w:rP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铅</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0.0072</w:t>
            </w:r>
          </w:p>
        </w:tc>
        <w:tc>
          <w:tcPr>
            <w:tcW w:w="450" w:type="pct"/>
            <w:vAlign w:val="center"/>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0.004</w:t>
            </w:r>
          </w:p>
        </w:tc>
        <w:tc>
          <w:tcPr>
            <w:tcW w:w="450" w:type="pct"/>
            <w:vAlign w:val="center"/>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0.002</w:t>
            </w:r>
          </w:p>
        </w:tc>
        <w:tc>
          <w:tcPr>
            <w:tcW w:w="425" w:type="pct"/>
            <w:vAlign w:val="center"/>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433" w:type="pct"/>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氟化物</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0.74</w:t>
            </w:r>
          </w:p>
        </w:tc>
        <w:tc>
          <w:tcPr>
            <w:tcW w:w="450" w:type="pct"/>
            <w:vAlign w:val="center"/>
          </w:tcPr>
          <w:p>
            <w:pPr>
              <w:keepLines/>
              <w:jc w:val="center"/>
              <w:rPr>
                <w:color w:val="FF0000"/>
                <w:szCs w:val="21"/>
              </w:rPr>
            </w:pPr>
            <w:r>
              <w:rPr>
                <w:color w:val="FF0000"/>
                <w:szCs w:val="21"/>
              </w:rPr>
              <w:t>0.806</w:t>
            </w:r>
          </w:p>
        </w:tc>
        <w:tc>
          <w:tcPr>
            <w:tcW w:w="295" w:type="pct"/>
            <w:vAlign w:val="center"/>
          </w:tcPr>
          <w:p>
            <w:pPr>
              <w:keepLines/>
              <w:jc w:val="center"/>
              <w:rPr>
                <w:color w:val="FF0000"/>
                <w:szCs w:val="21"/>
              </w:rPr>
            </w:pPr>
          </w:p>
        </w:tc>
        <w:tc>
          <w:tcPr>
            <w:tcW w:w="467" w:type="pct"/>
            <w:vAlign w:val="center"/>
          </w:tcPr>
          <w:p>
            <w:pPr>
              <w:keepLines/>
              <w:jc w:val="center"/>
              <w:rPr>
                <w:color w:val="FF0000"/>
                <w:szCs w:val="21"/>
              </w:rPr>
            </w:pPr>
            <w:r>
              <w:rPr>
                <w:color w:val="FF0000"/>
                <w:szCs w:val="21"/>
              </w:rPr>
              <w:t>0.37</w:t>
            </w:r>
          </w:p>
        </w:tc>
        <w:tc>
          <w:tcPr>
            <w:tcW w:w="450" w:type="pct"/>
            <w:vAlign w:val="center"/>
          </w:tcPr>
          <w:p>
            <w:pPr>
              <w:keepLines/>
              <w:jc w:val="center"/>
              <w:rPr>
                <w:color w:val="FF0000"/>
                <w:szCs w:val="21"/>
              </w:rPr>
            </w:pPr>
            <w:r>
              <w:rPr>
                <w:color w:val="FF0000"/>
                <w:szCs w:val="21"/>
              </w:rPr>
              <w:t>0.863</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0.26</w:t>
            </w:r>
          </w:p>
        </w:tc>
        <w:tc>
          <w:tcPr>
            <w:tcW w:w="425" w:type="pct"/>
            <w:vAlign w:val="center"/>
          </w:tcPr>
          <w:p>
            <w:pPr>
              <w:keepLines/>
              <w:jc w:val="center"/>
              <w:rPr>
                <w:color w:val="FF0000"/>
                <w:szCs w:val="21"/>
              </w:rPr>
            </w:pPr>
            <w:r>
              <w:rPr>
                <w:color w:val="FF0000"/>
                <w:szCs w:val="21"/>
              </w:rPr>
              <w:t>0.811</w:t>
            </w:r>
          </w:p>
        </w:tc>
        <w:tc>
          <w:tcPr>
            <w:tcW w:w="433" w:type="pct"/>
          </w:tcPr>
          <w:p>
            <w:pPr>
              <w:keepLines/>
              <w:jc w:val="center"/>
              <w:rPr>
                <w:color w:val="FF0000"/>
                <w:szCs w:val="21"/>
              </w:rPr>
            </w:pPr>
          </w:p>
        </w:tc>
        <w:tc>
          <w:tcPr>
            <w:tcW w:w="432" w:type="pct"/>
            <w:vAlign w:val="center"/>
          </w:tcPr>
          <w:p>
            <w:pPr>
              <w:keepLines/>
              <w:jc w:val="center"/>
              <w:rPr>
                <w:color w:val="FF0000"/>
                <w:szCs w:val="21"/>
              </w:rPr>
            </w:pPr>
            <w:r>
              <w:rPr>
                <w:color w:val="FF000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镉</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0.0024</w:t>
            </w:r>
          </w:p>
        </w:tc>
        <w:tc>
          <w:tcPr>
            <w:tcW w:w="450" w:type="pct"/>
            <w:vAlign w:val="center"/>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0.0015</w:t>
            </w:r>
          </w:p>
        </w:tc>
        <w:tc>
          <w:tcPr>
            <w:tcW w:w="450" w:type="pct"/>
            <w:vAlign w:val="center"/>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0.0003</w:t>
            </w:r>
          </w:p>
        </w:tc>
        <w:tc>
          <w:tcPr>
            <w:tcW w:w="425" w:type="pct"/>
            <w:vAlign w:val="center"/>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433" w:type="pct"/>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锌</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0.05L</w:t>
            </w:r>
          </w:p>
        </w:tc>
        <w:tc>
          <w:tcPr>
            <w:tcW w:w="450" w:type="pct"/>
            <w:vAlign w:val="center"/>
          </w:tcPr>
          <w:p>
            <w:pPr>
              <w:keepLines/>
              <w:jc w:val="center"/>
              <w:rPr>
                <w:color w:val="FF0000"/>
                <w:szCs w:val="21"/>
              </w:rPr>
            </w:pPr>
            <w:r>
              <w:rPr>
                <w:color w:val="FF0000"/>
                <w:szCs w:val="21"/>
              </w:rPr>
              <w:t>0.05L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0.05L</w:t>
            </w:r>
          </w:p>
        </w:tc>
        <w:tc>
          <w:tcPr>
            <w:tcW w:w="450" w:type="pct"/>
            <w:vAlign w:val="center"/>
          </w:tcPr>
          <w:p>
            <w:pPr>
              <w:keepLines/>
              <w:jc w:val="center"/>
              <w:rPr>
                <w:color w:val="FF0000"/>
                <w:szCs w:val="21"/>
              </w:rPr>
            </w:pPr>
            <w:r>
              <w:rPr>
                <w:color w:val="FF0000"/>
                <w:szCs w:val="21"/>
              </w:rPr>
              <w:t>0.05L</w:t>
            </w:r>
          </w:p>
        </w:tc>
        <w:tc>
          <w:tcPr>
            <w:tcW w:w="386" w:type="pct"/>
            <w:vAlign w:val="center"/>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0.05L</w:t>
            </w:r>
          </w:p>
        </w:tc>
        <w:tc>
          <w:tcPr>
            <w:tcW w:w="425" w:type="pct"/>
            <w:vAlign w:val="center"/>
          </w:tcPr>
          <w:p>
            <w:pPr>
              <w:keepLines/>
              <w:jc w:val="center"/>
              <w:rPr>
                <w:color w:val="FF0000"/>
                <w:szCs w:val="21"/>
              </w:rPr>
            </w:pPr>
            <w:r>
              <w:rPr>
                <w:color w:val="FF0000"/>
                <w:szCs w:val="21"/>
              </w:rPr>
              <w:t>0.05L</w:t>
            </w:r>
          </w:p>
        </w:tc>
        <w:tc>
          <w:tcPr>
            <w:tcW w:w="433" w:type="pct"/>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铁</w:t>
            </w:r>
          </w:p>
        </w:tc>
        <w:tc>
          <w:tcPr>
            <w:tcW w:w="309" w:type="pct"/>
            <w:vAlign w:val="center"/>
          </w:tcPr>
          <w:p>
            <w:pPr>
              <w:keepLines/>
              <w:jc w:val="center"/>
              <w:rPr>
                <w:b/>
                <w:color w:val="FF0000"/>
                <w:szCs w:val="21"/>
              </w:rPr>
            </w:pPr>
            <w:r>
              <w:rPr>
                <w:b/>
                <w:color w:val="FF0000"/>
                <w:szCs w:val="21"/>
              </w:rPr>
              <w:t>mg/L</w:t>
            </w:r>
          </w:p>
        </w:tc>
        <w:tc>
          <w:tcPr>
            <w:tcW w:w="480" w:type="pct"/>
            <w:vAlign w:val="center"/>
          </w:tcPr>
          <w:p>
            <w:pPr>
              <w:keepLines/>
              <w:jc w:val="center"/>
              <w:rPr>
                <w:b/>
                <w:color w:val="FF0000"/>
                <w:szCs w:val="21"/>
              </w:rPr>
            </w:pPr>
            <w:r>
              <w:rPr>
                <w:b/>
                <w:color w:val="FF0000"/>
                <w:szCs w:val="21"/>
              </w:rPr>
              <w:t>0.54</w:t>
            </w:r>
          </w:p>
        </w:tc>
        <w:tc>
          <w:tcPr>
            <w:tcW w:w="450" w:type="pct"/>
            <w:vAlign w:val="center"/>
          </w:tcPr>
          <w:p>
            <w:pPr>
              <w:keepLines/>
              <w:jc w:val="center"/>
              <w:rPr>
                <w:color w:val="FF0000"/>
                <w:szCs w:val="21"/>
              </w:rPr>
            </w:pPr>
            <w:r>
              <w:rPr>
                <w:color w:val="FF0000"/>
                <w:szCs w:val="21"/>
              </w:rPr>
              <w:t>0.03L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0.03L</w:t>
            </w:r>
          </w:p>
        </w:tc>
        <w:tc>
          <w:tcPr>
            <w:tcW w:w="450" w:type="pct"/>
            <w:vAlign w:val="center"/>
          </w:tcPr>
          <w:p>
            <w:pPr>
              <w:keepLines/>
              <w:jc w:val="center"/>
              <w:rPr>
                <w:color w:val="FF0000"/>
                <w:szCs w:val="21"/>
              </w:rPr>
            </w:pPr>
            <w:r>
              <w:rPr>
                <w:color w:val="FF0000"/>
                <w:szCs w:val="21"/>
              </w:rPr>
              <w:t>0.03L</w:t>
            </w:r>
          </w:p>
        </w:tc>
        <w:tc>
          <w:tcPr>
            <w:tcW w:w="386" w:type="pct"/>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0.03L</w:t>
            </w:r>
          </w:p>
        </w:tc>
        <w:tc>
          <w:tcPr>
            <w:tcW w:w="425" w:type="pct"/>
            <w:vAlign w:val="center"/>
          </w:tcPr>
          <w:p>
            <w:pPr>
              <w:keepLines/>
              <w:jc w:val="center"/>
              <w:rPr>
                <w:color w:val="FF0000"/>
                <w:szCs w:val="21"/>
              </w:rPr>
            </w:pPr>
            <w:r>
              <w:rPr>
                <w:color w:val="FF0000"/>
                <w:szCs w:val="21"/>
              </w:rPr>
              <w:t>0.03L</w:t>
            </w:r>
          </w:p>
        </w:tc>
        <w:tc>
          <w:tcPr>
            <w:tcW w:w="433" w:type="pct"/>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锰</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0.07</w:t>
            </w:r>
          </w:p>
        </w:tc>
        <w:tc>
          <w:tcPr>
            <w:tcW w:w="450" w:type="pct"/>
            <w:vAlign w:val="center"/>
          </w:tcPr>
          <w:p>
            <w:pPr>
              <w:keepLines/>
              <w:jc w:val="center"/>
              <w:rPr>
                <w:color w:val="FF0000"/>
                <w:szCs w:val="21"/>
              </w:rPr>
            </w:pPr>
            <w:r>
              <w:rPr>
                <w:color w:val="FF0000"/>
                <w:szCs w:val="21"/>
              </w:rPr>
              <w:t>0.01L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0.01L</w:t>
            </w:r>
          </w:p>
        </w:tc>
        <w:tc>
          <w:tcPr>
            <w:tcW w:w="450" w:type="pct"/>
            <w:vAlign w:val="center"/>
          </w:tcPr>
          <w:p>
            <w:pPr>
              <w:keepLines/>
              <w:jc w:val="center"/>
              <w:rPr>
                <w:color w:val="FF0000"/>
                <w:szCs w:val="21"/>
              </w:rPr>
            </w:pPr>
            <w:r>
              <w:rPr>
                <w:color w:val="FF0000"/>
                <w:szCs w:val="21"/>
              </w:rPr>
              <w:t>0.01L</w:t>
            </w:r>
          </w:p>
        </w:tc>
        <w:tc>
          <w:tcPr>
            <w:tcW w:w="386" w:type="pct"/>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0.01L</w:t>
            </w:r>
          </w:p>
        </w:tc>
        <w:tc>
          <w:tcPr>
            <w:tcW w:w="425" w:type="pct"/>
            <w:vAlign w:val="center"/>
          </w:tcPr>
          <w:p>
            <w:pPr>
              <w:keepLines/>
              <w:jc w:val="center"/>
              <w:rPr>
                <w:color w:val="FF0000"/>
                <w:szCs w:val="21"/>
              </w:rPr>
            </w:pPr>
            <w:r>
              <w:rPr>
                <w:color w:val="FF0000"/>
                <w:szCs w:val="21"/>
              </w:rPr>
              <w:t>0.01L</w:t>
            </w:r>
          </w:p>
        </w:tc>
        <w:tc>
          <w:tcPr>
            <w:tcW w:w="433" w:type="pct"/>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铜</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0.015</w:t>
            </w:r>
          </w:p>
        </w:tc>
        <w:tc>
          <w:tcPr>
            <w:tcW w:w="450" w:type="pct"/>
            <w:vAlign w:val="center"/>
          </w:tcPr>
          <w:p>
            <w:pPr>
              <w:keepLines/>
              <w:jc w:val="center"/>
              <w:rPr>
                <w:color w:val="FF0000"/>
                <w:szCs w:val="21"/>
              </w:rPr>
            </w:pPr>
            <w:r>
              <w:rPr>
                <w:color w:val="FF0000"/>
                <w:szCs w:val="21"/>
              </w:rPr>
              <w:t>0.05L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0.01</w:t>
            </w:r>
          </w:p>
        </w:tc>
        <w:tc>
          <w:tcPr>
            <w:tcW w:w="450" w:type="pct"/>
            <w:vAlign w:val="center"/>
          </w:tcPr>
          <w:p>
            <w:pPr>
              <w:keepLines/>
              <w:jc w:val="center"/>
              <w:rPr>
                <w:color w:val="FF0000"/>
                <w:szCs w:val="21"/>
              </w:rPr>
            </w:pPr>
            <w:r>
              <w:rPr>
                <w:color w:val="FF0000"/>
                <w:szCs w:val="21"/>
              </w:rPr>
              <w:t>0.05L</w:t>
            </w:r>
          </w:p>
        </w:tc>
        <w:tc>
          <w:tcPr>
            <w:tcW w:w="386" w:type="pct"/>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0.001L</w:t>
            </w:r>
          </w:p>
        </w:tc>
        <w:tc>
          <w:tcPr>
            <w:tcW w:w="425" w:type="pct"/>
            <w:vAlign w:val="center"/>
          </w:tcPr>
          <w:p>
            <w:pPr>
              <w:keepLines/>
              <w:jc w:val="center"/>
              <w:rPr>
                <w:color w:val="FF0000"/>
                <w:szCs w:val="21"/>
              </w:rPr>
            </w:pPr>
            <w:r>
              <w:rPr>
                <w:color w:val="FF0000"/>
                <w:szCs w:val="21"/>
              </w:rPr>
              <w:t>0.05L</w:t>
            </w:r>
          </w:p>
        </w:tc>
        <w:tc>
          <w:tcPr>
            <w:tcW w:w="433" w:type="pct"/>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b/>
                <w:color w:val="FF0000"/>
                <w:szCs w:val="21"/>
              </w:rPr>
            </w:pPr>
            <w:r>
              <w:rPr>
                <w:b/>
                <w:color w:val="FF0000"/>
                <w:szCs w:val="21"/>
              </w:rPr>
              <w:t>溶解性总固体</w:t>
            </w:r>
          </w:p>
        </w:tc>
        <w:tc>
          <w:tcPr>
            <w:tcW w:w="309" w:type="pct"/>
            <w:vAlign w:val="center"/>
          </w:tcPr>
          <w:p>
            <w:pPr>
              <w:keepLines/>
              <w:jc w:val="center"/>
              <w:rPr>
                <w:b/>
                <w:color w:val="FF0000"/>
                <w:szCs w:val="21"/>
              </w:rPr>
            </w:pPr>
            <w:r>
              <w:rPr>
                <w:b/>
                <w:color w:val="FF0000"/>
                <w:szCs w:val="21"/>
              </w:rPr>
              <w:t>mg/L</w:t>
            </w:r>
          </w:p>
        </w:tc>
        <w:tc>
          <w:tcPr>
            <w:tcW w:w="480" w:type="pct"/>
            <w:vAlign w:val="center"/>
          </w:tcPr>
          <w:p>
            <w:pPr>
              <w:keepLines/>
              <w:jc w:val="center"/>
              <w:rPr>
                <w:b/>
                <w:color w:val="FF0000"/>
                <w:szCs w:val="21"/>
              </w:rPr>
            </w:pPr>
            <w:r>
              <w:rPr>
                <w:b/>
                <w:color w:val="FF0000"/>
                <w:szCs w:val="21"/>
              </w:rPr>
              <w:t>1735</w:t>
            </w:r>
          </w:p>
        </w:tc>
        <w:tc>
          <w:tcPr>
            <w:tcW w:w="450" w:type="pct"/>
            <w:vAlign w:val="center"/>
          </w:tcPr>
          <w:p>
            <w:pPr>
              <w:keepLines/>
              <w:jc w:val="center"/>
              <w:rPr>
                <w:b/>
                <w:color w:val="FF0000"/>
                <w:szCs w:val="21"/>
              </w:rPr>
            </w:pPr>
            <w:r>
              <w:rPr>
                <w:color w:val="FF0000"/>
                <w:szCs w:val="21"/>
              </w:rPr>
              <w:t>1021</w:t>
            </w:r>
          </w:p>
        </w:tc>
        <w:tc>
          <w:tcPr>
            <w:tcW w:w="295" w:type="pct"/>
            <w:vAlign w:val="center"/>
          </w:tcPr>
          <w:p>
            <w:pPr>
              <w:keepLines/>
              <w:jc w:val="center"/>
              <w:rPr>
                <w:b/>
                <w:color w:val="FF0000"/>
                <w:szCs w:val="21"/>
              </w:rPr>
            </w:pPr>
          </w:p>
        </w:tc>
        <w:tc>
          <w:tcPr>
            <w:tcW w:w="467" w:type="pct"/>
            <w:vAlign w:val="center"/>
          </w:tcPr>
          <w:p>
            <w:pPr>
              <w:keepLines/>
              <w:jc w:val="center"/>
              <w:rPr>
                <w:b/>
                <w:color w:val="FF0000"/>
                <w:szCs w:val="21"/>
              </w:rPr>
            </w:pPr>
            <w:r>
              <w:rPr>
                <w:b/>
                <w:color w:val="FF0000"/>
                <w:szCs w:val="21"/>
              </w:rPr>
              <w:t>1459</w:t>
            </w:r>
          </w:p>
        </w:tc>
        <w:tc>
          <w:tcPr>
            <w:tcW w:w="450" w:type="pct"/>
            <w:vAlign w:val="center"/>
          </w:tcPr>
          <w:p>
            <w:pPr>
              <w:keepLines/>
              <w:jc w:val="center"/>
              <w:rPr>
                <w:color w:val="FF0000"/>
                <w:szCs w:val="21"/>
              </w:rPr>
            </w:pPr>
            <w:r>
              <w:rPr>
                <w:color w:val="FF0000"/>
                <w:szCs w:val="21"/>
              </w:rPr>
              <w:t>710</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571</w:t>
            </w:r>
          </w:p>
        </w:tc>
        <w:tc>
          <w:tcPr>
            <w:tcW w:w="425" w:type="pct"/>
            <w:vAlign w:val="center"/>
          </w:tcPr>
          <w:p>
            <w:pPr>
              <w:keepLines/>
              <w:jc w:val="center"/>
              <w:rPr>
                <w:color w:val="FF0000"/>
                <w:szCs w:val="21"/>
              </w:rPr>
            </w:pPr>
            <w:r>
              <w:rPr>
                <w:color w:val="FF0000"/>
                <w:szCs w:val="21"/>
              </w:rPr>
              <w:t>725</w:t>
            </w:r>
          </w:p>
        </w:tc>
        <w:tc>
          <w:tcPr>
            <w:tcW w:w="433" w:type="pct"/>
            <w:vAlign w:val="center"/>
          </w:tcPr>
          <w:p>
            <w:pPr>
              <w:keepLines/>
              <w:jc w:val="center"/>
              <w:rPr>
                <w:color w:val="FF0000"/>
                <w:szCs w:val="21"/>
              </w:rPr>
            </w:pPr>
          </w:p>
        </w:tc>
        <w:tc>
          <w:tcPr>
            <w:tcW w:w="432" w:type="pct"/>
            <w:vAlign w:val="center"/>
          </w:tcPr>
          <w:p>
            <w:pPr>
              <w:keepLines/>
              <w:jc w:val="center"/>
              <w:rPr>
                <w:color w:val="FF0000"/>
                <w:szCs w:val="21"/>
              </w:rPr>
            </w:pPr>
            <w:r>
              <w:rPr>
                <w:color w:val="FF0000"/>
                <w:szCs w:val="21"/>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耗氧量</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2.88</w:t>
            </w:r>
          </w:p>
        </w:tc>
        <w:tc>
          <w:tcPr>
            <w:tcW w:w="450" w:type="pct"/>
            <w:vAlign w:val="center"/>
          </w:tcPr>
          <w:p>
            <w:pPr>
              <w:keepLines/>
              <w:jc w:val="center"/>
              <w:rPr>
                <w:color w:val="FF0000"/>
                <w:szCs w:val="21"/>
              </w:rPr>
            </w:pPr>
            <w:r>
              <w:rPr>
                <w:color w:val="FF0000"/>
                <w:szCs w:val="21"/>
              </w:rPr>
              <w:t>2.91</w:t>
            </w:r>
          </w:p>
        </w:tc>
        <w:tc>
          <w:tcPr>
            <w:tcW w:w="295" w:type="pct"/>
            <w:vAlign w:val="center"/>
          </w:tcPr>
          <w:p>
            <w:pPr>
              <w:keepLines/>
              <w:jc w:val="center"/>
              <w:rPr>
                <w:b/>
                <w:color w:val="FF0000"/>
                <w:szCs w:val="21"/>
              </w:rPr>
            </w:pPr>
          </w:p>
        </w:tc>
        <w:tc>
          <w:tcPr>
            <w:tcW w:w="467" w:type="pct"/>
            <w:vAlign w:val="center"/>
          </w:tcPr>
          <w:p>
            <w:pPr>
              <w:keepLines/>
              <w:jc w:val="center"/>
              <w:rPr>
                <w:b/>
                <w:color w:val="FF0000"/>
                <w:szCs w:val="21"/>
              </w:rPr>
            </w:pPr>
            <w:r>
              <w:rPr>
                <w:b/>
                <w:color w:val="FF0000"/>
                <w:szCs w:val="21"/>
              </w:rPr>
              <w:t>3.64</w:t>
            </w:r>
          </w:p>
        </w:tc>
        <w:tc>
          <w:tcPr>
            <w:tcW w:w="450" w:type="pct"/>
            <w:vAlign w:val="center"/>
          </w:tcPr>
          <w:p>
            <w:pPr>
              <w:keepLines/>
              <w:jc w:val="center"/>
              <w:rPr>
                <w:color w:val="FF0000"/>
                <w:szCs w:val="21"/>
              </w:rPr>
            </w:pPr>
            <w:r>
              <w:rPr>
                <w:color w:val="FF0000"/>
                <w:szCs w:val="21"/>
              </w:rPr>
              <w:t>1.3</w:t>
            </w:r>
          </w:p>
        </w:tc>
        <w:tc>
          <w:tcPr>
            <w:tcW w:w="386" w:type="pct"/>
            <w:vAlign w:val="center"/>
          </w:tcPr>
          <w:p>
            <w:pPr>
              <w:keepLines/>
              <w:jc w:val="center"/>
              <w:rPr>
                <w:color w:val="FF0000"/>
                <w:szCs w:val="21"/>
              </w:rPr>
            </w:pPr>
          </w:p>
        </w:tc>
        <w:tc>
          <w:tcPr>
            <w:tcW w:w="369" w:type="pct"/>
            <w:vAlign w:val="center"/>
          </w:tcPr>
          <w:p>
            <w:pPr>
              <w:keepLines/>
              <w:jc w:val="center"/>
              <w:rPr>
                <w:color w:val="FF0000"/>
                <w:szCs w:val="21"/>
              </w:rPr>
            </w:pPr>
            <w:r>
              <w:rPr>
                <w:color w:val="FF0000"/>
                <w:szCs w:val="21"/>
              </w:rPr>
              <w:t>2.31</w:t>
            </w:r>
          </w:p>
        </w:tc>
        <w:tc>
          <w:tcPr>
            <w:tcW w:w="425" w:type="pct"/>
            <w:vAlign w:val="center"/>
          </w:tcPr>
          <w:p>
            <w:pPr>
              <w:keepLines/>
              <w:jc w:val="center"/>
              <w:rPr>
                <w:color w:val="FF0000"/>
                <w:szCs w:val="21"/>
              </w:rPr>
            </w:pPr>
            <w:r>
              <w:rPr>
                <w:color w:val="FF0000"/>
                <w:szCs w:val="21"/>
              </w:rPr>
              <w:t>1.01</w:t>
            </w:r>
          </w:p>
        </w:tc>
        <w:tc>
          <w:tcPr>
            <w:tcW w:w="433" w:type="pct"/>
            <w:vAlign w:val="center"/>
          </w:tcPr>
          <w:p>
            <w:pPr>
              <w:keepLines/>
              <w:jc w:val="center"/>
              <w:rPr>
                <w:color w:val="FF0000"/>
                <w:szCs w:val="21"/>
              </w:rPr>
            </w:pPr>
          </w:p>
        </w:tc>
        <w:tc>
          <w:tcPr>
            <w:tcW w:w="432" w:type="pct"/>
            <w:vAlign w:val="center"/>
          </w:tcPr>
          <w:p>
            <w:pPr>
              <w:keepLines/>
              <w:jc w:val="center"/>
              <w:rPr>
                <w:color w:val="FF0000"/>
                <w:szCs w:val="21"/>
              </w:rPr>
            </w:pPr>
            <w:r>
              <w:rPr>
                <w:color w:val="FF0000"/>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总大肠菌群</w:t>
            </w:r>
          </w:p>
        </w:tc>
        <w:tc>
          <w:tcPr>
            <w:tcW w:w="309" w:type="pct"/>
            <w:vAlign w:val="center"/>
          </w:tcPr>
          <w:p>
            <w:pPr>
              <w:keepLines/>
              <w:jc w:val="center"/>
              <w:rPr>
                <w:color w:val="FF0000"/>
                <w:szCs w:val="21"/>
              </w:rPr>
            </w:pPr>
            <w:r>
              <w:rPr>
                <w:color w:val="FF0000"/>
                <w:szCs w:val="21"/>
              </w:rPr>
              <w:t>MPN/mL</w:t>
            </w:r>
          </w:p>
        </w:tc>
        <w:tc>
          <w:tcPr>
            <w:tcW w:w="480" w:type="pct"/>
            <w:vAlign w:val="center"/>
          </w:tcPr>
          <w:p>
            <w:pPr>
              <w:keepLines/>
              <w:jc w:val="center"/>
              <w:rPr>
                <w:color w:val="FF0000"/>
                <w:szCs w:val="21"/>
              </w:rPr>
            </w:pPr>
            <w:r>
              <w:rPr>
                <w:color w:val="FF0000"/>
                <w:szCs w:val="21"/>
              </w:rPr>
              <w:t>＜2</w:t>
            </w:r>
          </w:p>
        </w:tc>
        <w:tc>
          <w:tcPr>
            <w:tcW w:w="450" w:type="pct"/>
            <w:vAlign w:val="center"/>
          </w:tcPr>
          <w:p>
            <w:pPr>
              <w:keepLines/>
              <w:jc w:val="center"/>
              <w:rPr>
                <w:color w:val="FF0000"/>
                <w:szCs w:val="21"/>
              </w:rPr>
            </w:pPr>
            <w:r>
              <w:rPr>
                <w:color w:val="FF0000"/>
                <w:szCs w:val="21"/>
              </w:rPr>
              <w:t>未检出</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＜2</w:t>
            </w:r>
          </w:p>
        </w:tc>
        <w:tc>
          <w:tcPr>
            <w:tcW w:w="450" w:type="pct"/>
            <w:vAlign w:val="center"/>
          </w:tcPr>
          <w:p>
            <w:pPr>
              <w:keepLines/>
              <w:jc w:val="center"/>
              <w:rPr>
                <w:color w:val="FF0000"/>
                <w:szCs w:val="21"/>
              </w:rPr>
            </w:pPr>
            <w:r>
              <w:rPr>
                <w:color w:val="FF0000"/>
                <w:szCs w:val="21"/>
              </w:rPr>
              <w:t>未检出</w:t>
            </w:r>
          </w:p>
        </w:tc>
        <w:tc>
          <w:tcPr>
            <w:tcW w:w="386" w:type="pct"/>
            <w:vAlign w:val="center"/>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＜2</w:t>
            </w:r>
          </w:p>
        </w:tc>
        <w:tc>
          <w:tcPr>
            <w:tcW w:w="425" w:type="pct"/>
            <w:vAlign w:val="center"/>
          </w:tcPr>
          <w:p>
            <w:pPr>
              <w:keepLines/>
              <w:jc w:val="center"/>
              <w:rPr>
                <w:color w:val="FF0000"/>
                <w:szCs w:val="21"/>
              </w:rPr>
            </w:pPr>
            <w:r>
              <w:rPr>
                <w:color w:val="FF0000"/>
                <w:szCs w:val="21"/>
              </w:rPr>
              <w:t>未检出</w:t>
            </w:r>
          </w:p>
        </w:tc>
        <w:tc>
          <w:tcPr>
            <w:tcW w:w="433" w:type="pct"/>
            <w:vAlign w:val="center"/>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04" w:type="pct"/>
            <w:vAlign w:val="center"/>
          </w:tcPr>
          <w:p>
            <w:pPr>
              <w:keepLines/>
              <w:jc w:val="center"/>
              <w:rPr>
                <w:color w:val="FF0000"/>
                <w:szCs w:val="21"/>
              </w:rPr>
            </w:pPr>
            <w:r>
              <w:rPr>
                <w:color w:val="FF0000"/>
                <w:szCs w:val="21"/>
              </w:rPr>
              <w:t>挥发酚</w:t>
            </w:r>
          </w:p>
        </w:tc>
        <w:tc>
          <w:tcPr>
            <w:tcW w:w="309" w:type="pct"/>
            <w:vAlign w:val="center"/>
          </w:tcPr>
          <w:p>
            <w:pPr>
              <w:keepLines/>
              <w:jc w:val="center"/>
              <w:rPr>
                <w:color w:val="FF0000"/>
                <w:szCs w:val="21"/>
              </w:rPr>
            </w:pPr>
            <w:r>
              <w:rPr>
                <w:color w:val="FF0000"/>
                <w:szCs w:val="21"/>
              </w:rPr>
              <w:t>mg/L</w:t>
            </w:r>
          </w:p>
        </w:tc>
        <w:tc>
          <w:tcPr>
            <w:tcW w:w="480" w:type="pct"/>
            <w:vAlign w:val="center"/>
          </w:tcPr>
          <w:p>
            <w:pPr>
              <w:keepLines/>
              <w:jc w:val="center"/>
              <w:rPr>
                <w:color w:val="FF0000"/>
                <w:szCs w:val="21"/>
              </w:rPr>
            </w:pPr>
            <w:r>
              <w:rPr>
                <w:color w:val="FF0000"/>
                <w:szCs w:val="21"/>
              </w:rPr>
              <w:t>/</w:t>
            </w:r>
          </w:p>
        </w:tc>
        <w:tc>
          <w:tcPr>
            <w:tcW w:w="450" w:type="pct"/>
            <w:vAlign w:val="center"/>
          </w:tcPr>
          <w:p>
            <w:pPr>
              <w:keepLines/>
              <w:jc w:val="center"/>
              <w:rPr>
                <w:color w:val="FF0000"/>
                <w:szCs w:val="21"/>
              </w:rPr>
            </w:pPr>
            <w:r>
              <w:rPr>
                <w:color w:val="FF0000"/>
                <w:szCs w:val="21"/>
              </w:rPr>
              <w:t>0.0003L</w:t>
            </w:r>
          </w:p>
        </w:tc>
        <w:tc>
          <w:tcPr>
            <w:tcW w:w="295" w:type="pct"/>
            <w:vAlign w:val="center"/>
          </w:tcPr>
          <w:p>
            <w:pPr>
              <w:keepLines/>
              <w:jc w:val="center"/>
              <w:rPr>
                <w:color w:val="FF0000"/>
                <w:szCs w:val="21"/>
              </w:rPr>
            </w:pPr>
            <w:r>
              <w:rPr>
                <w:rFonts w:hint="eastAsia"/>
                <w:color w:val="FF0000"/>
                <w:szCs w:val="21"/>
              </w:rPr>
              <w:t>/</w:t>
            </w:r>
          </w:p>
        </w:tc>
        <w:tc>
          <w:tcPr>
            <w:tcW w:w="467" w:type="pct"/>
            <w:vAlign w:val="center"/>
          </w:tcPr>
          <w:p>
            <w:pPr>
              <w:keepLines/>
              <w:jc w:val="center"/>
              <w:rPr>
                <w:color w:val="FF0000"/>
                <w:szCs w:val="21"/>
              </w:rPr>
            </w:pPr>
            <w:r>
              <w:rPr>
                <w:color w:val="FF0000"/>
                <w:szCs w:val="21"/>
              </w:rPr>
              <w:t>0.0003L</w:t>
            </w:r>
          </w:p>
        </w:tc>
        <w:tc>
          <w:tcPr>
            <w:tcW w:w="450" w:type="pct"/>
            <w:vAlign w:val="center"/>
          </w:tcPr>
          <w:p>
            <w:pPr>
              <w:keepLines/>
              <w:jc w:val="center"/>
              <w:rPr>
                <w:color w:val="FF0000"/>
                <w:szCs w:val="21"/>
              </w:rPr>
            </w:pPr>
            <w:r>
              <w:rPr>
                <w:color w:val="FF0000"/>
                <w:szCs w:val="21"/>
              </w:rPr>
              <w:t>0.0003L</w:t>
            </w:r>
          </w:p>
        </w:tc>
        <w:tc>
          <w:tcPr>
            <w:tcW w:w="386" w:type="pct"/>
            <w:vAlign w:val="center"/>
          </w:tcPr>
          <w:p>
            <w:pPr>
              <w:keepLines/>
              <w:jc w:val="center"/>
              <w:rPr>
                <w:color w:val="FF0000"/>
                <w:szCs w:val="21"/>
              </w:rPr>
            </w:pPr>
            <w:r>
              <w:rPr>
                <w:rFonts w:hint="eastAsia"/>
                <w:color w:val="FF0000"/>
                <w:szCs w:val="21"/>
              </w:rPr>
              <w:t>/</w:t>
            </w:r>
          </w:p>
        </w:tc>
        <w:tc>
          <w:tcPr>
            <w:tcW w:w="369" w:type="pct"/>
            <w:vAlign w:val="center"/>
          </w:tcPr>
          <w:p>
            <w:pPr>
              <w:keepLines/>
              <w:jc w:val="center"/>
              <w:rPr>
                <w:color w:val="FF0000"/>
                <w:szCs w:val="21"/>
              </w:rPr>
            </w:pPr>
            <w:r>
              <w:rPr>
                <w:color w:val="FF0000"/>
                <w:szCs w:val="21"/>
              </w:rPr>
              <w:t>0.0003L</w:t>
            </w:r>
          </w:p>
        </w:tc>
        <w:tc>
          <w:tcPr>
            <w:tcW w:w="425" w:type="pct"/>
            <w:vAlign w:val="center"/>
          </w:tcPr>
          <w:p>
            <w:pPr>
              <w:keepLines/>
              <w:jc w:val="center"/>
              <w:rPr>
                <w:color w:val="FF0000"/>
                <w:szCs w:val="21"/>
              </w:rPr>
            </w:pPr>
            <w:r>
              <w:rPr>
                <w:color w:val="FF0000"/>
                <w:szCs w:val="21"/>
              </w:rPr>
              <w:t>0.0003L</w:t>
            </w:r>
          </w:p>
        </w:tc>
        <w:tc>
          <w:tcPr>
            <w:tcW w:w="433" w:type="pct"/>
            <w:vAlign w:val="center"/>
          </w:tcPr>
          <w:p>
            <w:pPr>
              <w:keepLines/>
              <w:jc w:val="center"/>
              <w:rPr>
                <w:color w:val="FF0000"/>
                <w:szCs w:val="21"/>
              </w:rPr>
            </w:pPr>
            <w:r>
              <w:rPr>
                <w:rFonts w:hint="eastAsia"/>
                <w:color w:val="FF0000"/>
                <w:szCs w:val="21"/>
              </w:rPr>
              <w:t>/</w:t>
            </w:r>
          </w:p>
        </w:tc>
        <w:tc>
          <w:tcPr>
            <w:tcW w:w="432" w:type="pct"/>
            <w:vAlign w:val="center"/>
          </w:tcPr>
          <w:p>
            <w:pPr>
              <w:keepLines/>
              <w:jc w:val="center"/>
              <w:rPr>
                <w:color w:val="FF0000"/>
                <w:szCs w:val="21"/>
              </w:rPr>
            </w:pPr>
            <w:r>
              <w:rPr>
                <w:color w:val="FF0000"/>
                <w:szCs w:val="21"/>
              </w:rPr>
              <w:t>0.002</w:t>
            </w:r>
          </w:p>
        </w:tc>
      </w:tr>
    </w:tbl>
    <w:p>
      <w:pPr>
        <w:pStyle w:val="193"/>
        <w:ind w:firstLine="0" w:firstLineChars="0"/>
        <w:jc w:val="center"/>
        <w:rPr>
          <w:rFonts w:ascii="Times New Roman" w:hAnsi="Times New Roman"/>
          <w:b/>
          <w:bCs/>
        </w:rPr>
      </w:pPr>
      <w:r>
        <w:rPr>
          <w:bCs/>
        </w:rPr>
        <w:tab/>
      </w:r>
      <w:bookmarkStart w:id="421" w:name="_Hlk122291825"/>
      <w:r>
        <w:rPr>
          <w:rFonts w:hint="eastAsia" w:ascii="Times New Roman" w:hAnsi="Times New Roman"/>
          <w:b/>
          <w:bCs/>
        </w:rPr>
        <w:t>表6.2-</w:t>
      </w:r>
      <w:r>
        <w:rPr>
          <w:rFonts w:ascii="Times New Roman" w:hAnsi="Times New Roman"/>
          <w:b/>
          <w:bCs/>
        </w:rPr>
        <w:t>10</w:t>
      </w:r>
      <w:r>
        <w:rPr>
          <w:rFonts w:hint="eastAsia" w:ascii="Times New Roman" w:hAnsi="Times New Roman"/>
          <w:b/>
          <w:bCs/>
        </w:rPr>
        <w:t xml:space="preserve">   地下水水质监测对比</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504"/>
        <w:gridCol w:w="956"/>
        <w:gridCol w:w="1304"/>
        <w:gridCol w:w="1304"/>
        <w:gridCol w:w="996"/>
        <w:gridCol w:w="1304"/>
        <w:gridCol w:w="1304"/>
        <w:gridCol w:w="996"/>
        <w:gridCol w:w="1304"/>
        <w:gridCol w:w="1304"/>
        <w:gridCol w:w="996"/>
        <w:gridCol w:w="7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9" w:hRule="atLeast"/>
          <w:jc w:val="center"/>
        </w:trPr>
        <w:tc>
          <w:tcPr>
            <w:tcW w:w="538" w:type="pct"/>
            <w:vMerge w:val="restart"/>
            <w:tcBorders>
              <w:bottom w:val="single" w:color="auto" w:sz="4" w:space="0"/>
            </w:tcBorders>
            <w:vAlign w:val="center"/>
          </w:tcPr>
          <w:p>
            <w:pPr>
              <w:jc w:val="center"/>
              <w:rPr>
                <w:rFonts w:ascii="宋体" w:hAnsi="宋体"/>
                <w:color w:val="FF0000"/>
                <w:szCs w:val="21"/>
              </w:rPr>
            </w:pPr>
            <w:r>
              <w:rPr>
                <w:rFonts w:ascii="宋体" w:hAnsi="宋体"/>
                <w:color w:val="FF0000"/>
                <w:szCs w:val="21"/>
              </w:rPr>
              <w:t>监测项目</w:t>
            </w:r>
          </w:p>
        </w:tc>
        <w:tc>
          <w:tcPr>
            <w:tcW w:w="342" w:type="pct"/>
            <w:vMerge w:val="restart"/>
            <w:tcBorders>
              <w:bottom w:val="single" w:color="auto" w:sz="4" w:space="0"/>
            </w:tcBorders>
            <w:vAlign w:val="center"/>
          </w:tcPr>
          <w:p>
            <w:pPr>
              <w:keepLines/>
              <w:jc w:val="center"/>
              <w:rPr>
                <w:rFonts w:ascii="宋体" w:hAnsi="宋体"/>
                <w:color w:val="FF0000"/>
                <w:szCs w:val="21"/>
              </w:rPr>
            </w:pPr>
            <w:r>
              <w:rPr>
                <w:rFonts w:ascii="宋体" w:hAnsi="宋体"/>
                <w:color w:val="FF0000"/>
                <w:szCs w:val="21"/>
              </w:rPr>
              <w:t>单位</w:t>
            </w:r>
          </w:p>
        </w:tc>
        <w:tc>
          <w:tcPr>
            <w:tcW w:w="932" w:type="pct"/>
            <w:gridSpan w:val="2"/>
            <w:tcBorders>
              <w:bottom w:val="single" w:color="auto" w:sz="4" w:space="0"/>
            </w:tcBorders>
            <w:vAlign w:val="center"/>
          </w:tcPr>
          <w:p>
            <w:pPr>
              <w:keepLines/>
              <w:jc w:val="center"/>
              <w:rPr>
                <w:color w:val="FF0000"/>
                <w:szCs w:val="21"/>
              </w:rPr>
            </w:pPr>
            <w:r>
              <w:rPr>
                <w:rFonts w:hint="eastAsia"/>
                <w:color w:val="FF0000"/>
                <w:szCs w:val="21"/>
              </w:rPr>
              <w:t>侧向监测井</w:t>
            </w:r>
          </w:p>
        </w:tc>
        <w:tc>
          <w:tcPr>
            <w:tcW w:w="356" w:type="pct"/>
            <w:vMerge w:val="restart"/>
            <w:tcBorders>
              <w:bottom w:val="single" w:color="auto" w:sz="4" w:space="0"/>
            </w:tcBorders>
            <w:vAlign w:val="center"/>
          </w:tcPr>
          <w:p>
            <w:pPr>
              <w:keepLines/>
              <w:jc w:val="center"/>
              <w:rPr>
                <w:color w:val="FF0000"/>
                <w:szCs w:val="21"/>
              </w:rPr>
            </w:pPr>
            <w:r>
              <w:rPr>
                <w:rFonts w:hint="eastAsia"/>
                <w:color w:val="FF0000"/>
                <w:szCs w:val="21"/>
              </w:rPr>
              <w:t>变化趋势</w:t>
            </w:r>
          </w:p>
        </w:tc>
        <w:tc>
          <w:tcPr>
            <w:tcW w:w="932" w:type="pct"/>
            <w:gridSpan w:val="2"/>
            <w:tcBorders>
              <w:bottom w:val="single" w:color="auto" w:sz="4" w:space="0"/>
            </w:tcBorders>
            <w:vAlign w:val="center"/>
          </w:tcPr>
          <w:p>
            <w:pPr>
              <w:keepLines/>
              <w:jc w:val="center"/>
              <w:rPr>
                <w:color w:val="FF0000"/>
                <w:szCs w:val="21"/>
              </w:rPr>
            </w:pPr>
            <w:r>
              <w:rPr>
                <w:rFonts w:hint="eastAsia"/>
                <w:color w:val="FF0000"/>
                <w:szCs w:val="21"/>
              </w:rPr>
              <w:t>侧向监测井</w:t>
            </w:r>
          </w:p>
        </w:tc>
        <w:tc>
          <w:tcPr>
            <w:tcW w:w="356" w:type="pct"/>
            <w:vMerge w:val="restart"/>
            <w:tcBorders>
              <w:bottom w:val="single" w:color="auto" w:sz="4" w:space="0"/>
            </w:tcBorders>
            <w:vAlign w:val="center"/>
          </w:tcPr>
          <w:p>
            <w:pPr>
              <w:keepLines/>
              <w:jc w:val="center"/>
              <w:rPr>
                <w:color w:val="FF0000"/>
                <w:szCs w:val="21"/>
              </w:rPr>
            </w:pPr>
            <w:r>
              <w:rPr>
                <w:rFonts w:hint="eastAsia"/>
                <w:color w:val="FF0000"/>
                <w:szCs w:val="21"/>
              </w:rPr>
              <w:t>变化趋势</w:t>
            </w:r>
          </w:p>
        </w:tc>
        <w:tc>
          <w:tcPr>
            <w:tcW w:w="932" w:type="pct"/>
            <w:gridSpan w:val="2"/>
            <w:tcBorders>
              <w:bottom w:val="single" w:color="auto" w:sz="4" w:space="0"/>
            </w:tcBorders>
            <w:vAlign w:val="center"/>
          </w:tcPr>
          <w:p>
            <w:pPr>
              <w:keepLines/>
              <w:jc w:val="center"/>
              <w:rPr>
                <w:color w:val="FF0000"/>
                <w:szCs w:val="21"/>
              </w:rPr>
            </w:pPr>
            <w:r>
              <w:rPr>
                <w:rFonts w:hint="eastAsia"/>
                <w:color w:val="FF0000"/>
                <w:szCs w:val="21"/>
              </w:rPr>
              <w:t>上游监测井</w:t>
            </w:r>
          </w:p>
        </w:tc>
        <w:tc>
          <w:tcPr>
            <w:tcW w:w="356" w:type="pct"/>
            <w:vMerge w:val="restart"/>
            <w:tcBorders>
              <w:bottom w:val="single" w:color="auto" w:sz="4" w:space="0"/>
            </w:tcBorders>
            <w:vAlign w:val="center"/>
          </w:tcPr>
          <w:p>
            <w:pPr>
              <w:jc w:val="center"/>
              <w:rPr>
                <w:rFonts w:ascii="宋体" w:hAnsi="宋体"/>
                <w:color w:val="FF0000"/>
                <w:szCs w:val="21"/>
              </w:rPr>
            </w:pPr>
            <w:r>
              <w:rPr>
                <w:rFonts w:hint="eastAsia"/>
                <w:color w:val="FF0000"/>
                <w:szCs w:val="21"/>
              </w:rPr>
              <w:t>变化趋势</w:t>
            </w:r>
          </w:p>
        </w:tc>
        <w:tc>
          <w:tcPr>
            <w:tcW w:w="256" w:type="pct"/>
            <w:vMerge w:val="restart"/>
            <w:tcBorders>
              <w:bottom w:val="single" w:color="auto" w:sz="4" w:space="0"/>
            </w:tcBorders>
            <w:vAlign w:val="center"/>
          </w:tcPr>
          <w:p>
            <w:pPr>
              <w:keepLines/>
              <w:jc w:val="center"/>
              <w:rPr>
                <w:color w:val="FF0000"/>
                <w:szCs w:val="21"/>
              </w:rPr>
            </w:pPr>
            <w:r>
              <w:rPr>
                <w:rFonts w:ascii="宋体" w:hAnsi="宋体"/>
                <w:color w:val="FF0000"/>
                <w:szCs w:val="21"/>
              </w:rPr>
              <w:t>评价</w:t>
            </w:r>
          </w:p>
          <w:p>
            <w:pPr>
              <w:keepLines/>
              <w:jc w:val="center"/>
              <w:rPr>
                <w:rFonts w:ascii="宋体" w:hAnsi="宋体"/>
                <w:color w:val="FF0000"/>
                <w:szCs w:val="21"/>
              </w:rPr>
            </w:pPr>
            <w:r>
              <w:rPr>
                <w:rFonts w:ascii="宋体" w:hAnsi="宋体"/>
                <w:color w:val="FF0000"/>
                <w:szCs w:val="21"/>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Merge w:val="continue"/>
            <w:vAlign w:val="center"/>
          </w:tcPr>
          <w:p>
            <w:pPr>
              <w:widowControl/>
              <w:jc w:val="center"/>
              <w:rPr>
                <w:color w:val="FF0000"/>
                <w:szCs w:val="21"/>
              </w:rPr>
            </w:pPr>
          </w:p>
        </w:tc>
        <w:tc>
          <w:tcPr>
            <w:tcW w:w="342" w:type="pct"/>
            <w:vMerge w:val="continue"/>
            <w:vAlign w:val="center"/>
          </w:tcPr>
          <w:p>
            <w:pPr>
              <w:widowControl/>
              <w:jc w:val="center"/>
              <w:rPr>
                <w:color w:val="FF0000"/>
                <w:szCs w:val="21"/>
              </w:rPr>
            </w:pPr>
          </w:p>
        </w:tc>
        <w:tc>
          <w:tcPr>
            <w:tcW w:w="466" w:type="pct"/>
            <w:vAlign w:val="center"/>
          </w:tcPr>
          <w:p>
            <w:pPr>
              <w:keepLines/>
              <w:jc w:val="center"/>
              <w:rPr>
                <w:color w:val="FF0000"/>
                <w:szCs w:val="21"/>
              </w:rPr>
            </w:pPr>
            <w:r>
              <w:rPr>
                <w:rFonts w:hint="eastAsia"/>
                <w:color w:val="FF0000"/>
                <w:szCs w:val="21"/>
              </w:rPr>
              <w:t>2</w:t>
            </w:r>
            <w:r>
              <w:rPr>
                <w:color w:val="FF0000"/>
                <w:szCs w:val="21"/>
              </w:rPr>
              <w:t>022</w:t>
            </w:r>
            <w:r>
              <w:rPr>
                <w:rFonts w:hint="eastAsia"/>
                <w:color w:val="FF0000"/>
                <w:szCs w:val="21"/>
              </w:rPr>
              <w:t>年4月</w:t>
            </w:r>
          </w:p>
        </w:tc>
        <w:tc>
          <w:tcPr>
            <w:tcW w:w="466" w:type="pct"/>
            <w:vAlign w:val="center"/>
          </w:tcPr>
          <w:p>
            <w:pPr>
              <w:keepLines/>
              <w:jc w:val="center"/>
              <w:rPr>
                <w:color w:val="FF0000"/>
                <w:szCs w:val="21"/>
              </w:rPr>
            </w:pPr>
            <w:r>
              <w:rPr>
                <w:rFonts w:hint="eastAsia"/>
                <w:color w:val="FF0000"/>
                <w:szCs w:val="21"/>
              </w:rPr>
              <w:t>2023年3月</w:t>
            </w:r>
          </w:p>
        </w:tc>
        <w:tc>
          <w:tcPr>
            <w:tcW w:w="356" w:type="pct"/>
            <w:vMerge w:val="continue"/>
            <w:vAlign w:val="center"/>
          </w:tcPr>
          <w:p>
            <w:pPr>
              <w:keepLines/>
              <w:jc w:val="center"/>
              <w:rPr>
                <w:color w:val="FF0000"/>
                <w:szCs w:val="21"/>
              </w:rPr>
            </w:pPr>
          </w:p>
        </w:tc>
        <w:tc>
          <w:tcPr>
            <w:tcW w:w="466" w:type="pct"/>
            <w:vAlign w:val="center"/>
          </w:tcPr>
          <w:p>
            <w:pPr>
              <w:keepLines/>
              <w:jc w:val="center"/>
              <w:rPr>
                <w:color w:val="FF0000"/>
                <w:szCs w:val="21"/>
              </w:rPr>
            </w:pPr>
            <w:r>
              <w:rPr>
                <w:rFonts w:hint="eastAsia"/>
                <w:color w:val="FF0000"/>
                <w:szCs w:val="21"/>
              </w:rPr>
              <w:t>2</w:t>
            </w:r>
            <w:r>
              <w:rPr>
                <w:color w:val="FF0000"/>
                <w:szCs w:val="21"/>
              </w:rPr>
              <w:t>022</w:t>
            </w:r>
            <w:r>
              <w:rPr>
                <w:rFonts w:hint="eastAsia"/>
                <w:color w:val="FF0000"/>
                <w:szCs w:val="21"/>
              </w:rPr>
              <w:t>年4月</w:t>
            </w:r>
          </w:p>
        </w:tc>
        <w:tc>
          <w:tcPr>
            <w:tcW w:w="466" w:type="pct"/>
            <w:vAlign w:val="center"/>
          </w:tcPr>
          <w:p>
            <w:pPr>
              <w:keepLines/>
              <w:jc w:val="center"/>
              <w:rPr>
                <w:color w:val="FF0000"/>
                <w:szCs w:val="21"/>
              </w:rPr>
            </w:pPr>
            <w:r>
              <w:rPr>
                <w:rFonts w:hint="eastAsia"/>
                <w:color w:val="FF0000"/>
                <w:szCs w:val="21"/>
              </w:rPr>
              <w:t>2023年3月</w:t>
            </w:r>
          </w:p>
        </w:tc>
        <w:tc>
          <w:tcPr>
            <w:tcW w:w="356" w:type="pct"/>
            <w:vMerge w:val="continue"/>
            <w:vAlign w:val="center"/>
          </w:tcPr>
          <w:p>
            <w:pPr>
              <w:keepLines/>
              <w:jc w:val="center"/>
              <w:rPr>
                <w:color w:val="FF0000"/>
                <w:szCs w:val="21"/>
              </w:rPr>
            </w:pPr>
          </w:p>
        </w:tc>
        <w:tc>
          <w:tcPr>
            <w:tcW w:w="466" w:type="pct"/>
            <w:vAlign w:val="center"/>
          </w:tcPr>
          <w:p>
            <w:pPr>
              <w:keepLines/>
              <w:jc w:val="center"/>
              <w:rPr>
                <w:color w:val="FF0000"/>
                <w:szCs w:val="21"/>
              </w:rPr>
            </w:pPr>
            <w:r>
              <w:rPr>
                <w:rFonts w:hint="eastAsia"/>
                <w:color w:val="FF0000"/>
                <w:szCs w:val="21"/>
              </w:rPr>
              <w:t>2022年4月</w:t>
            </w:r>
          </w:p>
        </w:tc>
        <w:tc>
          <w:tcPr>
            <w:tcW w:w="466" w:type="pct"/>
            <w:vAlign w:val="center"/>
          </w:tcPr>
          <w:p>
            <w:pPr>
              <w:keepLines/>
              <w:jc w:val="center"/>
              <w:rPr>
                <w:color w:val="FF0000"/>
                <w:szCs w:val="21"/>
              </w:rPr>
            </w:pPr>
            <w:r>
              <w:rPr>
                <w:rFonts w:hint="eastAsia"/>
                <w:color w:val="FF0000"/>
                <w:szCs w:val="21"/>
              </w:rPr>
              <w:t>2023年3月</w:t>
            </w:r>
          </w:p>
        </w:tc>
        <w:tc>
          <w:tcPr>
            <w:tcW w:w="356" w:type="pct"/>
            <w:vMerge w:val="continue"/>
            <w:vAlign w:val="center"/>
          </w:tcPr>
          <w:p>
            <w:pPr>
              <w:widowControl/>
              <w:jc w:val="center"/>
              <w:rPr>
                <w:color w:val="FF0000"/>
                <w:szCs w:val="21"/>
              </w:rPr>
            </w:pPr>
          </w:p>
        </w:tc>
        <w:tc>
          <w:tcPr>
            <w:tcW w:w="256" w:type="pct"/>
            <w:vMerge w:val="continue"/>
            <w:vAlign w:val="center"/>
          </w:tcPr>
          <w:p>
            <w:pPr>
              <w:widowControl/>
              <w:jc w:val="center"/>
              <w:rPr>
                <w:color w:val="FF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color w:val="FF0000"/>
                <w:szCs w:val="21"/>
              </w:rPr>
              <w:t>pH</w:t>
            </w:r>
          </w:p>
        </w:tc>
        <w:tc>
          <w:tcPr>
            <w:tcW w:w="342" w:type="pct"/>
            <w:vAlign w:val="center"/>
          </w:tcPr>
          <w:p>
            <w:pPr>
              <w:keepLines/>
              <w:jc w:val="center"/>
              <w:rPr>
                <w:color w:val="FF0000"/>
                <w:szCs w:val="21"/>
              </w:rPr>
            </w:pPr>
            <w:r>
              <w:rPr>
                <w:rFonts w:ascii="宋体" w:hAnsi="宋体"/>
                <w:color w:val="FF0000"/>
                <w:szCs w:val="21"/>
              </w:rPr>
              <w:t>无量纲</w:t>
            </w:r>
          </w:p>
        </w:tc>
        <w:tc>
          <w:tcPr>
            <w:tcW w:w="466" w:type="pct"/>
            <w:vAlign w:val="center"/>
          </w:tcPr>
          <w:p>
            <w:pPr>
              <w:keepLines/>
              <w:jc w:val="center"/>
              <w:rPr>
                <w:color w:val="FF0000"/>
                <w:szCs w:val="21"/>
              </w:rPr>
            </w:pPr>
            <w:r>
              <w:rPr>
                <w:color w:val="FF0000"/>
                <w:szCs w:val="21"/>
              </w:rPr>
              <w:t>6.9</w:t>
            </w:r>
          </w:p>
        </w:tc>
        <w:tc>
          <w:tcPr>
            <w:tcW w:w="466" w:type="pct"/>
            <w:vAlign w:val="center"/>
          </w:tcPr>
          <w:p>
            <w:pPr>
              <w:keepLines/>
              <w:jc w:val="center"/>
              <w:rPr>
                <w:color w:val="FF0000"/>
                <w:szCs w:val="21"/>
              </w:rPr>
            </w:pPr>
            <w:r>
              <w:rPr>
                <w:color w:val="FF0000"/>
                <w:szCs w:val="21"/>
              </w:rPr>
              <w:t>8.3</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6.8</w:t>
            </w:r>
          </w:p>
        </w:tc>
        <w:tc>
          <w:tcPr>
            <w:tcW w:w="466" w:type="pct"/>
            <w:vAlign w:val="center"/>
          </w:tcPr>
          <w:p>
            <w:pPr>
              <w:keepLines/>
              <w:jc w:val="center"/>
              <w:rPr>
                <w:color w:val="FF0000"/>
                <w:szCs w:val="21"/>
              </w:rPr>
            </w:pPr>
            <w:r>
              <w:rPr>
                <w:color w:val="FF0000"/>
                <w:szCs w:val="21"/>
              </w:rPr>
              <w:t>8.3</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6.0-6.9</w:t>
            </w:r>
          </w:p>
        </w:tc>
        <w:tc>
          <w:tcPr>
            <w:tcW w:w="466" w:type="pct"/>
            <w:vAlign w:val="center"/>
          </w:tcPr>
          <w:p>
            <w:pPr>
              <w:keepLines/>
              <w:jc w:val="center"/>
              <w:rPr>
                <w:color w:val="FF0000"/>
                <w:szCs w:val="21"/>
              </w:rPr>
            </w:pPr>
            <w:r>
              <w:rPr>
                <w:color w:val="FF0000"/>
                <w:szCs w:val="21"/>
              </w:rPr>
              <w:t>8.1</w:t>
            </w:r>
          </w:p>
        </w:tc>
        <w:tc>
          <w:tcPr>
            <w:tcW w:w="356" w:type="pct"/>
            <w:vAlign w:val="center"/>
          </w:tcPr>
          <w:p>
            <w:pPr>
              <w:keepLines/>
              <w:jc w:val="center"/>
              <w:rPr>
                <w:color w:val="FF0000"/>
                <w:szCs w:val="21"/>
              </w:rPr>
            </w:pPr>
          </w:p>
        </w:tc>
        <w:tc>
          <w:tcPr>
            <w:tcW w:w="256" w:type="pct"/>
            <w:vAlign w:val="center"/>
          </w:tcPr>
          <w:p>
            <w:pPr>
              <w:keepLines/>
              <w:jc w:val="center"/>
              <w:rPr>
                <w:color w:val="FF0000"/>
                <w:szCs w:val="21"/>
              </w:rPr>
            </w:pPr>
            <w:r>
              <w:rPr>
                <w:color w:val="FF0000"/>
                <w:szCs w:val="21"/>
              </w:rPr>
              <w:t>6.5-8.5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氨氮</w:t>
            </w:r>
          </w:p>
        </w:tc>
        <w:tc>
          <w:tcPr>
            <w:tcW w:w="342" w:type="pct"/>
            <w:vAlign w:val="center"/>
          </w:tcPr>
          <w:p>
            <w:pPr>
              <w:keepLines/>
              <w:jc w:val="center"/>
              <w:rPr>
                <w:b/>
                <w:color w:val="FF0000"/>
                <w:szCs w:val="21"/>
              </w:rPr>
            </w:pPr>
            <w:r>
              <w:rPr>
                <w:b/>
                <w:color w:val="FF0000"/>
                <w:szCs w:val="21"/>
              </w:rPr>
              <w:t>mg/L</w:t>
            </w:r>
          </w:p>
        </w:tc>
        <w:tc>
          <w:tcPr>
            <w:tcW w:w="466" w:type="pct"/>
            <w:vAlign w:val="center"/>
          </w:tcPr>
          <w:p>
            <w:pPr>
              <w:keepLines/>
              <w:jc w:val="center"/>
              <w:rPr>
                <w:color w:val="FF0000"/>
                <w:szCs w:val="21"/>
              </w:rPr>
            </w:pPr>
            <w:r>
              <w:rPr>
                <w:color w:val="FF0000"/>
                <w:szCs w:val="21"/>
              </w:rPr>
              <w:t>0.304</w:t>
            </w:r>
          </w:p>
        </w:tc>
        <w:tc>
          <w:tcPr>
            <w:tcW w:w="466" w:type="pct"/>
            <w:vAlign w:val="center"/>
          </w:tcPr>
          <w:p>
            <w:pPr>
              <w:keepLines/>
              <w:jc w:val="center"/>
              <w:rPr>
                <w:color w:val="FF0000"/>
                <w:szCs w:val="21"/>
              </w:rPr>
            </w:pPr>
            <w:r>
              <w:rPr>
                <w:color w:val="FF0000"/>
                <w:szCs w:val="21"/>
              </w:rPr>
              <w:t>0.25</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0.272</w:t>
            </w:r>
          </w:p>
        </w:tc>
        <w:tc>
          <w:tcPr>
            <w:tcW w:w="466" w:type="pct"/>
            <w:vAlign w:val="center"/>
          </w:tcPr>
          <w:p>
            <w:pPr>
              <w:keepLines/>
              <w:jc w:val="center"/>
              <w:rPr>
                <w:color w:val="FF0000"/>
                <w:szCs w:val="21"/>
              </w:rPr>
            </w:pPr>
            <w:r>
              <w:rPr>
                <w:color w:val="FF0000"/>
                <w:szCs w:val="21"/>
              </w:rPr>
              <w:t>1.03</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rFonts w:hint="eastAsia"/>
                <w:color w:val="FF0000"/>
                <w:szCs w:val="21"/>
              </w:rPr>
              <w:t>0</w:t>
            </w:r>
            <w:r>
              <w:rPr>
                <w:color w:val="FF0000"/>
                <w:szCs w:val="21"/>
              </w:rPr>
              <w:t>.159</w:t>
            </w:r>
          </w:p>
        </w:tc>
        <w:tc>
          <w:tcPr>
            <w:tcW w:w="466" w:type="pct"/>
            <w:vAlign w:val="center"/>
          </w:tcPr>
          <w:p>
            <w:pPr>
              <w:keepLines/>
              <w:jc w:val="center"/>
              <w:rPr>
                <w:color w:val="FF0000"/>
                <w:szCs w:val="21"/>
              </w:rPr>
            </w:pPr>
            <w:r>
              <w:rPr>
                <w:color w:val="FF0000"/>
                <w:szCs w:val="21"/>
              </w:rPr>
              <w:t>0.16</w:t>
            </w:r>
          </w:p>
        </w:tc>
        <w:tc>
          <w:tcPr>
            <w:tcW w:w="356" w:type="pct"/>
            <w:vAlign w:val="center"/>
          </w:tcPr>
          <w:p>
            <w:pPr>
              <w:keepLines/>
              <w:jc w:val="center"/>
              <w:rPr>
                <w:color w:val="FF0000"/>
                <w:szCs w:val="21"/>
              </w:rPr>
            </w:pPr>
          </w:p>
        </w:tc>
        <w:tc>
          <w:tcPr>
            <w:tcW w:w="256" w:type="pct"/>
            <w:vAlign w:val="center"/>
          </w:tcPr>
          <w:p>
            <w:pPr>
              <w:keepLines/>
              <w:jc w:val="center"/>
              <w:rPr>
                <w:color w:val="FF0000"/>
                <w:szCs w:val="21"/>
              </w:rPr>
            </w:pPr>
            <w:r>
              <w:rPr>
                <w:color w:val="FF0000"/>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rFonts w:ascii="宋体" w:hAnsi="宋体"/>
                <w:color w:val="FF0000"/>
                <w:szCs w:val="21"/>
              </w:rPr>
              <w:t>硝酸盐氮</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0.41</w:t>
            </w:r>
          </w:p>
        </w:tc>
        <w:tc>
          <w:tcPr>
            <w:tcW w:w="466" w:type="pct"/>
            <w:vAlign w:val="center"/>
          </w:tcPr>
          <w:p>
            <w:pPr>
              <w:keepLines/>
              <w:jc w:val="center"/>
              <w:rPr>
                <w:color w:val="FF0000"/>
                <w:szCs w:val="21"/>
              </w:rPr>
            </w:pPr>
            <w:r>
              <w:rPr>
                <w:color w:val="FF0000"/>
                <w:szCs w:val="21"/>
              </w:rPr>
              <w:t>0.016L</w:t>
            </w:r>
          </w:p>
        </w:tc>
        <w:tc>
          <w:tcPr>
            <w:tcW w:w="356" w:type="pct"/>
            <w:vAlign w:val="center"/>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0.48</w:t>
            </w:r>
          </w:p>
        </w:tc>
        <w:tc>
          <w:tcPr>
            <w:tcW w:w="466" w:type="pct"/>
            <w:vAlign w:val="center"/>
          </w:tcPr>
          <w:p>
            <w:pPr>
              <w:keepLines/>
              <w:jc w:val="center"/>
              <w:rPr>
                <w:color w:val="FF0000"/>
                <w:szCs w:val="21"/>
              </w:rPr>
            </w:pPr>
            <w:r>
              <w:rPr>
                <w:color w:val="FF0000"/>
                <w:szCs w:val="21"/>
              </w:rPr>
              <w:t>0.016L</w:t>
            </w:r>
          </w:p>
        </w:tc>
        <w:tc>
          <w:tcPr>
            <w:tcW w:w="356" w:type="pct"/>
            <w:vAlign w:val="center"/>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rFonts w:hint="eastAsia"/>
                <w:color w:val="FF0000"/>
                <w:szCs w:val="21"/>
              </w:rPr>
              <w:t>0</w:t>
            </w:r>
            <w:r>
              <w:rPr>
                <w:color w:val="FF0000"/>
                <w:szCs w:val="21"/>
              </w:rPr>
              <w:t>.46</w:t>
            </w:r>
          </w:p>
        </w:tc>
        <w:tc>
          <w:tcPr>
            <w:tcW w:w="466" w:type="pct"/>
            <w:vAlign w:val="center"/>
          </w:tcPr>
          <w:p>
            <w:pPr>
              <w:keepLines/>
              <w:jc w:val="center"/>
              <w:rPr>
                <w:color w:val="FF0000"/>
                <w:szCs w:val="21"/>
              </w:rPr>
            </w:pPr>
            <w:r>
              <w:rPr>
                <w:color w:val="FF0000"/>
                <w:szCs w:val="21"/>
              </w:rPr>
              <w:t>0.283</w:t>
            </w:r>
          </w:p>
        </w:tc>
        <w:tc>
          <w:tcPr>
            <w:tcW w:w="356" w:type="pct"/>
            <w:vAlign w:val="center"/>
          </w:tcPr>
          <w:p>
            <w:pPr>
              <w:keepLines/>
              <w:jc w:val="center"/>
              <w:rPr>
                <w:color w:val="FF0000"/>
                <w:szCs w:val="21"/>
              </w:rPr>
            </w:pPr>
          </w:p>
        </w:tc>
        <w:tc>
          <w:tcPr>
            <w:tcW w:w="256" w:type="pct"/>
            <w:vAlign w:val="center"/>
          </w:tcPr>
          <w:p>
            <w:pPr>
              <w:keepLines/>
              <w:jc w:val="center"/>
              <w:rPr>
                <w:color w:val="FF0000"/>
                <w:szCs w:val="21"/>
              </w:rPr>
            </w:pPr>
            <w:r>
              <w:rPr>
                <w:color w:val="FF0000"/>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rFonts w:ascii="宋体" w:hAnsi="宋体"/>
                <w:color w:val="FF0000"/>
                <w:szCs w:val="21"/>
              </w:rPr>
              <w:t>亚硝酸盐氮</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0.003L</w:t>
            </w:r>
          </w:p>
        </w:tc>
        <w:tc>
          <w:tcPr>
            <w:tcW w:w="466" w:type="pct"/>
            <w:vAlign w:val="center"/>
          </w:tcPr>
          <w:p>
            <w:pPr>
              <w:keepLines/>
              <w:jc w:val="center"/>
              <w:rPr>
                <w:color w:val="FF0000"/>
                <w:szCs w:val="21"/>
              </w:rPr>
            </w:pPr>
            <w:r>
              <w:rPr>
                <w:color w:val="FF0000"/>
                <w:szCs w:val="21"/>
              </w:rPr>
              <w:t>0.001L</w:t>
            </w:r>
          </w:p>
        </w:tc>
        <w:tc>
          <w:tcPr>
            <w:tcW w:w="356" w:type="pct"/>
            <w:vAlign w:val="center"/>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0.008</w:t>
            </w:r>
          </w:p>
        </w:tc>
        <w:tc>
          <w:tcPr>
            <w:tcW w:w="466" w:type="pct"/>
            <w:vAlign w:val="center"/>
          </w:tcPr>
          <w:p>
            <w:pPr>
              <w:keepLines/>
              <w:jc w:val="center"/>
              <w:rPr>
                <w:color w:val="FF0000"/>
                <w:szCs w:val="21"/>
              </w:rPr>
            </w:pPr>
            <w:r>
              <w:rPr>
                <w:color w:val="FF0000"/>
                <w:szCs w:val="21"/>
              </w:rPr>
              <w:t>0.005</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0.004</w:t>
            </w:r>
          </w:p>
        </w:tc>
        <w:tc>
          <w:tcPr>
            <w:tcW w:w="466" w:type="pct"/>
            <w:vAlign w:val="center"/>
          </w:tcPr>
          <w:p>
            <w:pPr>
              <w:keepLines/>
              <w:jc w:val="center"/>
              <w:rPr>
                <w:color w:val="FF0000"/>
                <w:szCs w:val="21"/>
              </w:rPr>
            </w:pPr>
            <w:r>
              <w:rPr>
                <w:color w:val="FF0000"/>
                <w:szCs w:val="21"/>
              </w:rPr>
              <w:t>0.008</w:t>
            </w:r>
          </w:p>
        </w:tc>
        <w:tc>
          <w:tcPr>
            <w:tcW w:w="356" w:type="pct"/>
            <w:vAlign w:val="center"/>
          </w:tcPr>
          <w:p>
            <w:pPr>
              <w:keepLines/>
              <w:jc w:val="center"/>
              <w:rPr>
                <w:color w:val="FF0000"/>
                <w:szCs w:val="21"/>
              </w:rPr>
            </w:pPr>
          </w:p>
        </w:tc>
        <w:tc>
          <w:tcPr>
            <w:tcW w:w="256" w:type="pct"/>
            <w:vAlign w:val="center"/>
          </w:tcPr>
          <w:p>
            <w:pPr>
              <w:keepLines/>
              <w:jc w:val="center"/>
              <w:rPr>
                <w:color w:val="FF0000"/>
                <w:szCs w:val="21"/>
              </w:rPr>
            </w:pPr>
            <w:r>
              <w:rPr>
                <w:color w:val="FF000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rFonts w:ascii="宋体" w:hAnsi="宋体"/>
                <w:color w:val="FF0000"/>
                <w:szCs w:val="21"/>
              </w:rPr>
              <w:t>氰化物</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0.001L</w:t>
            </w:r>
          </w:p>
        </w:tc>
        <w:tc>
          <w:tcPr>
            <w:tcW w:w="466" w:type="pct"/>
            <w:vAlign w:val="center"/>
          </w:tcPr>
          <w:p>
            <w:pPr>
              <w:keepLines/>
              <w:jc w:val="center"/>
              <w:rPr>
                <w:color w:val="FF0000"/>
                <w:szCs w:val="21"/>
              </w:rPr>
            </w:pPr>
            <w:r>
              <w:rPr>
                <w:color w:val="FF0000"/>
                <w:szCs w:val="21"/>
              </w:rPr>
              <w:t>0.002L</w:t>
            </w:r>
          </w:p>
        </w:tc>
        <w:tc>
          <w:tcPr>
            <w:tcW w:w="356" w:type="pct"/>
            <w:vAlign w:val="center"/>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0.001L</w:t>
            </w:r>
          </w:p>
        </w:tc>
        <w:tc>
          <w:tcPr>
            <w:tcW w:w="466" w:type="pct"/>
            <w:vAlign w:val="center"/>
          </w:tcPr>
          <w:p>
            <w:pPr>
              <w:keepLines/>
              <w:jc w:val="center"/>
              <w:rPr>
                <w:color w:val="FF0000"/>
                <w:szCs w:val="21"/>
              </w:rPr>
            </w:pPr>
            <w:r>
              <w:rPr>
                <w:color w:val="FF0000"/>
                <w:szCs w:val="21"/>
              </w:rPr>
              <w:t>0.002L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0.001L</w:t>
            </w:r>
          </w:p>
        </w:tc>
        <w:tc>
          <w:tcPr>
            <w:tcW w:w="466" w:type="pct"/>
            <w:vAlign w:val="center"/>
          </w:tcPr>
          <w:p>
            <w:pPr>
              <w:keepLines/>
              <w:jc w:val="center"/>
              <w:rPr>
                <w:color w:val="FF0000"/>
                <w:szCs w:val="21"/>
              </w:rPr>
            </w:pPr>
            <w:r>
              <w:rPr>
                <w:color w:val="FF0000"/>
                <w:szCs w:val="21"/>
              </w:rPr>
              <w:t>0.002L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汞</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0.00004L</w:t>
            </w:r>
          </w:p>
        </w:tc>
        <w:tc>
          <w:tcPr>
            <w:tcW w:w="466" w:type="pct"/>
            <w:vAlign w:val="center"/>
          </w:tcPr>
          <w:p>
            <w:pPr>
              <w:keepLines/>
              <w:jc w:val="center"/>
              <w:rPr>
                <w:color w:val="FF0000"/>
                <w:szCs w:val="21"/>
              </w:rPr>
            </w:pPr>
            <w:r>
              <w:rPr>
                <w:color w:val="FF0000"/>
                <w:szCs w:val="21"/>
              </w:rPr>
              <w:t>8×10</w:t>
            </w:r>
            <w:r>
              <w:rPr>
                <w:color w:val="FF0000"/>
                <w:szCs w:val="21"/>
                <w:vertAlign w:val="superscript"/>
              </w:rPr>
              <w:t>-5</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0.00004L</w:t>
            </w:r>
          </w:p>
        </w:tc>
        <w:tc>
          <w:tcPr>
            <w:tcW w:w="466" w:type="pct"/>
            <w:vAlign w:val="center"/>
          </w:tcPr>
          <w:p>
            <w:pPr>
              <w:keepLines/>
              <w:jc w:val="center"/>
              <w:rPr>
                <w:color w:val="FF0000"/>
                <w:szCs w:val="21"/>
              </w:rPr>
            </w:pPr>
            <w:r>
              <w:rPr>
                <w:color w:val="FF0000"/>
                <w:szCs w:val="21"/>
              </w:rPr>
              <w:t>5×10</w:t>
            </w:r>
            <w:r>
              <w:rPr>
                <w:color w:val="FF0000"/>
                <w:szCs w:val="21"/>
                <w:vertAlign w:val="superscript"/>
              </w:rPr>
              <w:t>-5</w:t>
            </w:r>
          </w:p>
        </w:tc>
        <w:tc>
          <w:tcPr>
            <w:tcW w:w="356" w:type="pct"/>
          </w:tcPr>
          <w:p>
            <w:pPr>
              <w:keepLines/>
              <w:jc w:val="center"/>
              <w:rPr>
                <w:color w:val="FF0000"/>
                <w:szCs w:val="21"/>
              </w:rPr>
            </w:pPr>
          </w:p>
        </w:tc>
        <w:tc>
          <w:tcPr>
            <w:tcW w:w="466" w:type="pct"/>
            <w:vAlign w:val="center"/>
          </w:tcPr>
          <w:p>
            <w:pPr>
              <w:keepLines/>
              <w:jc w:val="center"/>
              <w:rPr>
                <w:color w:val="FF0000"/>
                <w:szCs w:val="21"/>
              </w:rPr>
            </w:pPr>
            <w:r>
              <w:rPr>
                <w:color w:val="FF0000"/>
                <w:szCs w:val="21"/>
              </w:rPr>
              <w:t>0.00004L</w:t>
            </w:r>
          </w:p>
        </w:tc>
        <w:tc>
          <w:tcPr>
            <w:tcW w:w="466" w:type="pct"/>
            <w:vAlign w:val="center"/>
          </w:tcPr>
          <w:p>
            <w:pPr>
              <w:keepLines/>
              <w:jc w:val="center"/>
              <w:rPr>
                <w:color w:val="FF0000"/>
                <w:szCs w:val="21"/>
              </w:rPr>
            </w:pPr>
            <w:r>
              <w:rPr>
                <w:color w:val="FF0000"/>
                <w:szCs w:val="21"/>
              </w:rPr>
              <w:t>4×10</w:t>
            </w:r>
            <w:r>
              <w:rPr>
                <w:color w:val="FF0000"/>
                <w:szCs w:val="21"/>
                <w:vertAlign w:val="superscript"/>
              </w:rPr>
              <w:t>-5</w:t>
            </w:r>
            <w:r>
              <w:rPr>
                <w:color w:val="FF0000"/>
                <w:szCs w:val="21"/>
              </w:rPr>
              <w:t>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砷</w:t>
            </w:r>
          </w:p>
        </w:tc>
        <w:tc>
          <w:tcPr>
            <w:tcW w:w="342" w:type="pct"/>
            <w:vAlign w:val="center"/>
          </w:tcPr>
          <w:p>
            <w:pPr>
              <w:keepLines/>
              <w:jc w:val="center"/>
              <w:rPr>
                <w:b/>
                <w:color w:val="FF0000"/>
                <w:szCs w:val="21"/>
              </w:rPr>
            </w:pPr>
            <w:r>
              <w:rPr>
                <w:b/>
                <w:color w:val="FF0000"/>
                <w:szCs w:val="21"/>
              </w:rPr>
              <w:t>mg/L</w:t>
            </w:r>
          </w:p>
        </w:tc>
        <w:tc>
          <w:tcPr>
            <w:tcW w:w="466" w:type="pct"/>
            <w:vAlign w:val="center"/>
          </w:tcPr>
          <w:p>
            <w:pPr>
              <w:keepLines/>
              <w:jc w:val="center"/>
              <w:rPr>
                <w:color w:val="FF0000"/>
                <w:szCs w:val="21"/>
              </w:rPr>
            </w:pPr>
            <w:r>
              <w:rPr>
                <w:color w:val="FF0000"/>
                <w:szCs w:val="21"/>
              </w:rPr>
              <w:t>0.0027</w:t>
            </w:r>
          </w:p>
        </w:tc>
        <w:tc>
          <w:tcPr>
            <w:tcW w:w="466" w:type="pct"/>
            <w:vAlign w:val="center"/>
          </w:tcPr>
          <w:p>
            <w:pPr>
              <w:keepLines/>
              <w:jc w:val="center"/>
              <w:rPr>
                <w:color w:val="FF0000"/>
                <w:szCs w:val="21"/>
              </w:rPr>
            </w:pPr>
            <w:r>
              <w:rPr>
                <w:color w:val="FF0000"/>
                <w:szCs w:val="21"/>
              </w:rPr>
              <w:t>2.6×10</w:t>
            </w:r>
            <w:r>
              <w:rPr>
                <w:color w:val="FF0000"/>
                <w:szCs w:val="21"/>
                <w:vertAlign w:val="superscript"/>
              </w:rPr>
              <w:t>-3</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0.0031</w:t>
            </w:r>
          </w:p>
        </w:tc>
        <w:tc>
          <w:tcPr>
            <w:tcW w:w="466" w:type="pct"/>
            <w:vAlign w:val="center"/>
          </w:tcPr>
          <w:p>
            <w:pPr>
              <w:keepLines/>
              <w:jc w:val="center"/>
              <w:rPr>
                <w:color w:val="FF0000"/>
                <w:szCs w:val="21"/>
              </w:rPr>
            </w:pPr>
            <w:r>
              <w:rPr>
                <w:color w:val="FF0000"/>
                <w:szCs w:val="21"/>
              </w:rPr>
              <w:t>2.3×10</w:t>
            </w:r>
            <w:r>
              <w:rPr>
                <w:color w:val="FF0000"/>
                <w:szCs w:val="21"/>
                <w:vertAlign w:val="superscript"/>
              </w:rPr>
              <w:t>-3</w:t>
            </w:r>
          </w:p>
        </w:tc>
        <w:tc>
          <w:tcPr>
            <w:tcW w:w="356" w:type="pct"/>
          </w:tcPr>
          <w:p>
            <w:pPr>
              <w:keepLines/>
              <w:jc w:val="center"/>
              <w:rPr>
                <w:color w:val="FF0000"/>
                <w:szCs w:val="21"/>
              </w:rPr>
            </w:pPr>
          </w:p>
        </w:tc>
        <w:tc>
          <w:tcPr>
            <w:tcW w:w="466" w:type="pct"/>
            <w:vAlign w:val="center"/>
          </w:tcPr>
          <w:p>
            <w:pPr>
              <w:keepLines/>
              <w:jc w:val="center"/>
              <w:rPr>
                <w:color w:val="FF0000"/>
                <w:szCs w:val="21"/>
              </w:rPr>
            </w:pPr>
            <w:r>
              <w:rPr>
                <w:rFonts w:hint="eastAsia"/>
                <w:color w:val="FF0000"/>
                <w:szCs w:val="21"/>
              </w:rPr>
              <w:t>0</w:t>
            </w:r>
            <w:r>
              <w:rPr>
                <w:color w:val="FF0000"/>
                <w:szCs w:val="21"/>
              </w:rPr>
              <w:t>.0025</w:t>
            </w:r>
          </w:p>
        </w:tc>
        <w:tc>
          <w:tcPr>
            <w:tcW w:w="466" w:type="pct"/>
            <w:vAlign w:val="center"/>
          </w:tcPr>
          <w:p>
            <w:pPr>
              <w:keepLines/>
              <w:jc w:val="center"/>
              <w:rPr>
                <w:color w:val="FF0000"/>
                <w:szCs w:val="21"/>
              </w:rPr>
            </w:pPr>
            <w:r>
              <w:rPr>
                <w:color w:val="FF0000"/>
                <w:szCs w:val="21"/>
              </w:rPr>
              <w:t>2.5×10</w:t>
            </w:r>
            <w:r>
              <w:rPr>
                <w:color w:val="FF0000"/>
                <w:szCs w:val="21"/>
                <w:vertAlign w:val="superscript"/>
              </w:rPr>
              <w:t>-3</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六价铬</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0.008</w:t>
            </w:r>
          </w:p>
        </w:tc>
        <w:tc>
          <w:tcPr>
            <w:tcW w:w="466" w:type="pct"/>
            <w:vAlign w:val="center"/>
          </w:tcPr>
          <w:p>
            <w:pPr>
              <w:keepLines/>
              <w:jc w:val="center"/>
              <w:rPr>
                <w:color w:val="FF0000"/>
                <w:szCs w:val="21"/>
              </w:rPr>
            </w:pPr>
            <w:r>
              <w:rPr>
                <w:color w:val="FF0000"/>
                <w:szCs w:val="21"/>
              </w:rPr>
              <w:t>0.004L</w:t>
            </w:r>
          </w:p>
        </w:tc>
        <w:tc>
          <w:tcPr>
            <w:tcW w:w="356" w:type="pct"/>
            <w:vAlign w:val="center"/>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0.027</w:t>
            </w:r>
          </w:p>
        </w:tc>
        <w:tc>
          <w:tcPr>
            <w:tcW w:w="466" w:type="pct"/>
            <w:vAlign w:val="center"/>
          </w:tcPr>
          <w:p>
            <w:pPr>
              <w:keepLines/>
              <w:jc w:val="center"/>
              <w:rPr>
                <w:color w:val="FF0000"/>
                <w:szCs w:val="21"/>
              </w:rPr>
            </w:pPr>
            <w:r>
              <w:rPr>
                <w:color w:val="FF0000"/>
                <w:szCs w:val="21"/>
              </w:rPr>
              <w:t>0.004L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rFonts w:hint="eastAsia"/>
                <w:color w:val="FF0000"/>
                <w:szCs w:val="21"/>
              </w:rPr>
              <w:t>0</w:t>
            </w:r>
            <w:r>
              <w:rPr>
                <w:color w:val="FF0000"/>
                <w:szCs w:val="21"/>
              </w:rPr>
              <w:t>.011</w:t>
            </w:r>
          </w:p>
        </w:tc>
        <w:tc>
          <w:tcPr>
            <w:tcW w:w="466" w:type="pct"/>
            <w:vAlign w:val="center"/>
          </w:tcPr>
          <w:p>
            <w:pPr>
              <w:keepLines/>
              <w:jc w:val="center"/>
              <w:rPr>
                <w:color w:val="FF0000"/>
                <w:szCs w:val="21"/>
              </w:rPr>
            </w:pPr>
            <w:r>
              <w:rPr>
                <w:color w:val="FF0000"/>
                <w:szCs w:val="21"/>
              </w:rPr>
              <w:t>0.004L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总硬度</w:t>
            </w:r>
          </w:p>
        </w:tc>
        <w:tc>
          <w:tcPr>
            <w:tcW w:w="342" w:type="pct"/>
            <w:vAlign w:val="center"/>
          </w:tcPr>
          <w:p>
            <w:pPr>
              <w:keepLines/>
              <w:jc w:val="center"/>
              <w:rPr>
                <w:b/>
                <w:color w:val="FF0000"/>
                <w:szCs w:val="21"/>
              </w:rPr>
            </w:pPr>
            <w:r>
              <w:rPr>
                <w:b/>
                <w:color w:val="FF0000"/>
                <w:szCs w:val="21"/>
              </w:rPr>
              <w:t>mg/L</w:t>
            </w:r>
          </w:p>
        </w:tc>
        <w:tc>
          <w:tcPr>
            <w:tcW w:w="466" w:type="pct"/>
            <w:vAlign w:val="center"/>
          </w:tcPr>
          <w:p>
            <w:pPr>
              <w:keepLines/>
              <w:jc w:val="center"/>
              <w:rPr>
                <w:color w:val="FF0000"/>
                <w:szCs w:val="21"/>
              </w:rPr>
            </w:pPr>
            <w:r>
              <w:rPr>
                <w:color w:val="FF0000"/>
                <w:szCs w:val="21"/>
              </w:rPr>
              <w:t>349</w:t>
            </w:r>
          </w:p>
        </w:tc>
        <w:tc>
          <w:tcPr>
            <w:tcW w:w="466" w:type="pct"/>
            <w:vAlign w:val="center"/>
          </w:tcPr>
          <w:p>
            <w:pPr>
              <w:keepLines/>
              <w:jc w:val="center"/>
              <w:rPr>
                <w:color w:val="FF0000"/>
                <w:szCs w:val="21"/>
              </w:rPr>
            </w:pPr>
            <w:r>
              <w:rPr>
                <w:color w:val="FF0000"/>
                <w:szCs w:val="21"/>
              </w:rPr>
              <w:t>358</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332</w:t>
            </w:r>
          </w:p>
        </w:tc>
        <w:tc>
          <w:tcPr>
            <w:tcW w:w="466" w:type="pct"/>
            <w:vAlign w:val="center"/>
          </w:tcPr>
          <w:p>
            <w:pPr>
              <w:keepLines/>
              <w:jc w:val="center"/>
              <w:rPr>
                <w:color w:val="FF0000"/>
                <w:szCs w:val="21"/>
              </w:rPr>
            </w:pPr>
            <w:r>
              <w:rPr>
                <w:color w:val="FF0000"/>
                <w:szCs w:val="21"/>
              </w:rPr>
              <w:t>440</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rFonts w:hint="eastAsia"/>
                <w:color w:val="FF0000"/>
                <w:szCs w:val="21"/>
              </w:rPr>
              <w:t>3</w:t>
            </w:r>
            <w:r>
              <w:rPr>
                <w:color w:val="FF0000"/>
                <w:szCs w:val="21"/>
              </w:rPr>
              <w:t>31</w:t>
            </w:r>
          </w:p>
        </w:tc>
        <w:tc>
          <w:tcPr>
            <w:tcW w:w="466" w:type="pct"/>
            <w:vAlign w:val="center"/>
          </w:tcPr>
          <w:p>
            <w:pPr>
              <w:keepLines/>
              <w:jc w:val="center"/>
              <w:rPr>
                <w:color w:val="FF0000"/>
                <w:szCs w:val="21"/>
              </w:rPr>
            </w:pPr>
            <w:r>
              <w:rPr>
                <w:color w:val="FF0000"/>
                <w:szCs w:val="21"/>
              </w:rPr>
              <w:t>281</w:t>
            </w:r>
          </w:p>
        </w:tc>
        <w:tc>
          <w:tcPr>
            <w:tcW w:w="356" w:type="pct"/>
            <w:vAlign w:val="center"/>
          </w:tcPr>
          <w:p>
            <w:pPr>
              <w:keepLines/>
              <w:jc w:val="center"/>
              <w:rPr>
                <w:color w:val="FF0000"/>
                <w:szCs w:val="21"/>
              </w:rPr>
            </w:pPr>
          </w:p>
        </w:tc>
        <w:tc>
          <w:tcPr>
            <w:tcW w:w="256" w:type="pct"/>
            <w:vAlign w:val="center"/>
          </w:tcPr>
          <w:p>
            <w:pPr>
              <w:keepLines/>
              <w:jc w:val="center"/>
              <w:rPr>
                <w:color w:val="FF0000"/>
                <w:szCs w:val="21"/>
              </w:rPr>
            </w:pPr>
            <w:r>
              <w:rPr>
                <w:color w:val="FF0000"/>
                <w:szCs w:val="21"/>
              </w:rP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铅</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0.001L</w:t>
            </w:r>
          </w:p>
        </w:tc>
        <w:tc>
          <w:tcPr>
            <w:tcW w:w="466" w:type="pct"/>
            <w:vAlign w:val="center"/>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56" w:type="pct"/>
            <w:vAlign w:val="center"/>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0.001</w:t>
            </w:r>
          </w:p>
        </w:tc>
        <w:tc>
          <w:tcPr>
            <w:tcW w:w="466" w:type="pct"/>
            <w:vAlign w:val="center"/>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56" w:type="pct"/>
            <w:vAlign w:val="center"/>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0.001</w:t>
            </w:r>
          </w:p>
        </w:tc>
        <w:tc>
          <w:tcPr>
            <w:tcW w:w="466" w:type="pct"/>
            <w:vAlign w:val="center"/>
          </w:tcPr>
          <w:p>
            <w:pPr>
              <w:keepLines/>
              <w:jc w:val="center"/>
              <w:rPr>
                <w:color w:val="FF0000"/>
                <w:szCs w:val="21"/>
              </w:rPr>
            </w:pPr>
            <w:r>
              <w:rPr>
                <w:color w:val="FF0000"/>
                <w:szCs w:val="21"/>
              </w:rPr>
              <w:t>1×10</w:t>
            </w:r>
            <w:r>
              <w:rPr>
                <w:color w:val="FF0000"/>
                <w:szCs w:val="21"/>
                <w:vertAlign w:val="superscript"/>
              </w:rPr>
              <w:t>-3</w:t>
            </w:r>
            <w:r>
              <w:rPr>
                <w:color w:val="FF0000"/>
                <w:szCs w:val="21"/>
              </w:rPr>
              <w:t>L</w:t>
            </w:r>
          </w:p>
        </w:tc>
        <w:tc>
          <w:tcPr>
            <w:tcW w:w="356" w:type="pct"/>
            <w:vAlign w:val="center"/>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rFonts w:ascii="宋体" w:hAnsi="宋体"/>
                <w:color w:val="FF0000"/>
                <w:szCs w:val="21"/>
              </w:rPr>
              <w:t>氟化物</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0.33</w:t>
            </w:r>
          </w:p>
        </w:tc>
        <w:tc>
          <w:tcPr>
            <w:tcW w:w="466" w:type="pct"/>
            <w:vAlign w:val="center"/>
          </w:tcPr>
          <w:p>
            <w:pPr>
              <w:keepLines/>
              <w:jc w:val="center"/>
              <w:rPr>
                <w:color w:val="FF0000"/>
                <w:szCs w:val="21"/>
              </w:rPr>
            </w:pPr>
            <w:r>
              <w:rPr>
                <w:color w:val="FF0000"/>
                <w:szCs w:val="21"/>
              </w:rPr>
              <w:t>0.806</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0.36</w:t>
            </w:r>
          </w:p>
        </w:tc>
        <w:tc>
          <w:tcPr>
            <w:tcW w:w="466" w:type="pct"/>
            <w:vAlign w:val="center"/>
          </w:tcPr>
          <w:p>
            <w:pPr>
              <w:keepLines/>
              <w:jc w:val="center"/>
              <w:rPr>
                <w:color w:val="FF0000"/>
                <w:szCs w:val="21"/>
              </w:rPr>
            </w:pPr>
            <w:r>
              <w:rPr>
                <w:color w:val="FF0000"/>
                <w:szCs w:val="21"/>
              </w:rPr>
              <w:t>0.816</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rFonts w:hint="eastAsia"/>
                <w:color w:val="FF0000"/>
                <w:szCs w:val="21"/>
              </w:rPr>
              <w:t>0</w:t>
            </w:r>
            <w:r>
              <w:rPr>
                <w:color w:val="FF0000"/>
                <w:szCs w:val="21"/>
              </w:rPr>
              <w:t>.34</w:t>
            </w:r>
          </w:p>
        </w:tc>
        <w:tc>
          <w:tcPr>
            <w:tcW w:w="466" w:type="pct"/>
            <w:vAlign w:val="center"/>
          </w:tcPr>
          <w:p>
            <w:pPr>
              <w:keepLines/>
              <w:jc w:val="center"/>
              <w:rPr>
                <w:color w:val="FF0000"/>
                <w:szCs w:val="21"/>
              </w:rPr>
            </w:pPr>
            <w:r>
              <w:rPr>
                <w:color w:val="FF0000"/>
                <w:szCs w:val="21"/>
              </w:rPr>
              <w:t>0.874</w:t>
            </w:r>
          </w:p>
        </w:tc>
        <w:tc>
          <w:tcPr>
            <w:tcW w:w="356" w:type="pct"/>
            <w:vAlign w:val="center"/>
          </w:tcPr>
          <w:p>
            <w:pPr>
              <w:keepLines/>
              <w:jc w:val="center"/>
              <w:rPr>
                <w:color w:val="FF0000"/>
                <w:szCs w:val="21"/>
              </w:rPr>
            </w:pPr>
          </w:p>
        </w:tc>
        <w:tc>
          <w:tcPr>
            <w:tcW w:w="256" w:type="pct"/>
            <w:vAlign w:val="center"/>
          </w:tcPr>
          <w:p>
            <w:pPr>
              <w:keepLines/>
              <w:jc w:val="center"/>
              <w:rPr>
                <w:color w:val="FF0000"/>
                <w:szCs w:val="21"/>
              </w:rPr>
            </w:pPr>
            <w:r>
              <w:rPr>
                <w:color w:val="FF000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镉</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0.0005</w:t>
            </w:r>
          </w:p>
        </w:tc>
        <w:tc>
          <w:tcPr>
            <w:tcW w:w="466" w:type="pct"/>
            <w:vAlign w:val="center"/>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0.0009</w:t>
            </w:r>
          </w:p>
        </w:tc>
        <w:tc>
          <w:tcPr>
            <w:tcW w:w="466" w:type="pct"/>
            <w:vAlign w:val="center"/>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0.0006</w:t>
            </w:r>
          </w:p>
        </w:tc>
        <w:tc>
          <w:tcPr>
            <w:tcW w:w="466" w:type="pct"/>
            <w:vAlign w:val="center"/>
          </w:tcPr>
          <w:p>
            <w:pPr>
              <w:keepLines/>
              <w:jc w:val="center"/>
              <w:rPr>
                <w:color w:val="FF0000"/>
                <w:szCs w:val="21"/>
              </w:rPr>
            </w:pPr>
            <w:r>
              <w:rPr>
                <w:color w:val="FF0000"/>
                <w:szCs w:val="21"/>
              </w:rPr>
              <w:t>1×10</w:t>
            </w:r>
            <w:r>
              <w:rPr>
                <w:color w:val="FF0000"/>
                <w:szCs w:val="21"/>
                <w:vertAlign w:val="superscript"/>
              </w:rPr>
              <w:t>-4</w:t>
            </w:r>
            <w:r>
              <w:rPr>
                <w:color w:val="FF0000"/>
                <w:szCs w:val="21"/>
              </w:rPr>
              <w:t>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rFonts w:ascii="宋体" w:hAnsi="宋体"/>
                <w:color w:val="FF0000"/>
                <w:szCs w:val="21"/>
              </w:rPr>
              <w:t>锌</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0.05L</w:t>
            </w:r>
          </w:p>
        </w:tc>
        <w:tc>
          <w:tcPr>
            <w:tcW w:w="466" w:type="pct"/>
            <w:vAlign w:val="center"/>
          </w:tcPr>
          <w:p>
            <w:pPr>
              <w:keepLines/>
              <w:jc w:val="center"/>
              <w:rPr>
                <w:color w:val="FF0000"/>
                <w:szCs w:val="21"/>
              </w:rPr>
            </w:pPr>
            <w:r>
              <w:rPr>
                <w:color w:val="FF0000"/>
                <w:szCs w:val="21"/>
              </w:rPr>
              <w:t>0.05L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0.05L</w:t>
            </w:r>
          </w:p>
        </w:tc>
        <w:tc>
          <w:tcPr>
            <w:tcW w:w="466" w:type="pct"/>
            <w:vAlign w:val="center"/>
          </w:tcPr>
          <w:p>
            <w:pPr>
              <w:keepLines/>
              <w:jc w:val="center"/>
              <w:rPr>
                <w:color w:val="FF0000"/>
                <w:szCs w:val="21"/>
              </w:rPr>
            </w:pPr>
            <w:r>
              <w:rPr>
                <w:color w:val="FF0000"/>
                <w:szCs w:val="21"/>
              </w:rPr>
              <w:t>0.05L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0.05L</w:t>
            </w:r>
          </w:p>
        </w:tc>
        <w:tc>
          <w:tcPr>
            <w:tcW w:w="466" w:type="pct"/>
            <w:vAlign w:val="center"/>
          </w:tcPr>
          <w:p>
            <w:pPr>
              <w:keepLines/>
              <w:jc w:val="center"/>
              <w:rPr>
                <w:color w:val="FF0000"/>
                <w:szCs w:val="21"/>
              </w:rPr>
            </w:pPr>
            <w:r>
              <w:rPr>
                <w:color w:val="FF0000"/>
                <w:szCs w:val="21"/>
              </w:rPr>
              <w:t>0.05L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铁</w:t>
            </w:r>
          </w:p>
        </w:tc>
        <w:tc>
          <w:tcPr>
            <w:tcW w:w="342" w:type="pct"/>
            <w:vAlign w:val="center"/>
          </w:tcPr>
          <w:p>
            <w:pPr>
              <w:keepLines/>
              <w:jc w:val="center"/>
              <w:rPr>
                <w:b/>
                <w:color w:val="FF0000"/>
                <w:szCs w:val="21"/>
              </w:rPr>
            </w:pPr>
            <w:r>
              <w:rPr>
                <w:b/>
                <w:color w:val="FF0000"/>
                <w:szCs w:val="21"/>
              </w:rPr>
              <w:t>mg/L</w:t>
            </w:r>
          </w:p>
        </w:tc>
        <w:tc>
          <w:tcPr>
            <w:tcW w:w="466" w:type="pct"/>
            <w:vAlign w:val="center"/>
          </w:tcPr>
          <w:p>
            <w:pPr>
              <w:keepLines/>
              <w:jc w:val="center"/>
              <w:rPr>
                <w:color w:val="FF0000"/>
                <w:szCs w:val="21"/>
              </w:rPr>
            </w:pPr>
            <w:r>
              <w:rPr>
                <w:color w:val="FF0000"/>
                <w:szCs w:val="21"/>
              </w:rPr>
              <w:t>0.03L</w:t>
            </w:r>
          </w:p>
        </w:tc>
        <w:tc>
          <w:tcPr>
            <w:tcW w:w="466" w:type="pct"/>
            <w:vAlign w:val="center"/>
          </w:tcPr>
          <w:p>
            <w:pPr>
              <w:keepLines/>
              <w:jc w:val="center"/>
              <w:rPr>
                <w:color w:val="FF0000"/>
                <w:szCs w:val="21"/>
              </w:rPr>
            </w:pPr>
            <w:r>
              <w:rPr>
                <w:color w:val="FF0000"/>
                <w:szCs w:val="21"/>
              </w:rPr>
              <w:t>0.03L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0.17</w:t>
            </w:r>
          </w:p>
        </w:tc>
        <w:tc>
          <w:tcPr>
            <w:tcW w:w="466" w:type="pct"/>
            <w:vAlign w:val="center"/>
          </w:tcPr>
          <w:p>
            <w:pPr>
              <w:keepLines/>
              <w:jc w:val="center"/>
              <w:rPr>
                <w:color w:val="FF0000"/>
                <w:szCs w:val="21"/>
              </w:rPr>
            </w:pPr>
            <w:r>
              <w:rPr>
                <w:color w:val="FF0000"/>
                <w:szCs w:val="21"/>
              </w:rPr>
              <w:t>0.03L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0.05</w:t>
            </w:r>
          </w:p>
        </w:tc>
        <w:tc>
          <w:tcPr>
            <w:tcW w:w="466" w:type="pct"/>
            <w:vAlign w:val="center"/>
          </w:tcPr>
          <w:p>
            <w:pPr>
              <w:keepLines/>
              <w:jc w:val="center"/>
              <w:rPr>
                <w:color w:val="FF0000"/>
                <w:szCs w:val="21"/>
              </w:rPr>
            </w:pPr>
            <w:r>
              <w:rPr>
                <w:color w:val="FF0000"/>
                <w:szCs w:val="21"/>
              </w:rPr>
              <w:t>0.03L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rFonts w:ascii="宋体" w:hAnsi="宋体"/>
                <w:color w:val="FF0000"/>
                <w:szCs w:val="21"/>
              </w:rPr>
              <w:t>锰</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0.01L</w:t>
            </w:r>
          </w:p>
        </w:tc>
        <w:tc>
          <w:tcPr>
            <w:tcW w:w="466" w:type="pct"/>
            <w:vAlign w:val="center"/>
          </w:tcPr>
          <w:p>
            <w:pPr>
              <w:keepLines/>
              <w:jc w:val="center"/>
              <w:rPr>
                <w:color w:val="FF0000"/>
                <w:szCs w:val="21"/>
              </w:rPr>
            </w:pPr>
            <w:r>
              <w:rPr>
                <w:color w:val="FF0000"/>
                <w:szCs w:val="21"/>
              </w:rPr>
              <w:t>0.01L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0.02</w:t>
            </w:r>
          </w:p>
        </w:tc>
        <w:tc>
          <w:tcPr>
            <w:tcW w:w="466" w:type="pct"/>
            <w:vAlign w:val="center"/>
          </w:tcPr>
          <w:p>
            <w:pPr>
              <w:keepLines/>
              <w:jc w:val="center"/>
              <w:rPr>
                <w:color w:val="FF0000"/>
                <w:szCs w:val="21"/>
              </w:rPr>
            </w:pPr>
            <w:r>
              <w:rPr>
                <w:color w:val="FF0000"/>
                <w:szCs w:val="21"/>
              </w:rPr>
              <w:t>0.01L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0.01L</w:t>
            </w:r>
          </w:p>
        </w:tc>
        <w:tc>
          <w:tcPr>
            <w:tcW w:w="466" w:type="pct"/>
            <w:vAlign w:val="center"/>
          </w:tcPr>
          <w:p>
            <w:pPr>
              <w:keepLines/>
              <w:jc w:val="center"/>
              <w:rPr>
                <w:color w:val="FF0000"/>
                <w:szCs w:val="21"/>
              </w:rPr>
            </w:pPr>
            <w:r>
              <w:rPr>
                <w:color w:val="FF0000"/>
                <w:szCs w:val="21"/>
              </w:rPr>
              <w:t>0.01L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rFonts w:ascii="宋体" w:hAnsi="宋体"/>
                <w:color w:val="FF0000"/>
                <w:szCs w:val="21"/>
              </w:rPr>
              <w:t>铜</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0.003</w:t>
            </w:r>
          </w:p>
        </w:tc>
        <w:tc>
          <w:tcPr>
            <w:tcW w:w="466" w:type="pct"/>
            <w:vAlign w:val="center"/>
          </w:tcPr>
          <w:p>
            <w:pPr>
              <w:keepLines/>
              <w:jc w:val="center"/>
              <w:rPr>
                <w:color w:val="FF0000"/>
                <w:szCs w:val="21"/>
              </w:rPr>
            </w:pPr>
            <w:r>
              <w:rPr>
                <w:color w:val="FF0000"/>
                <w:szCs w:val="21"/>
              </w:rPr>
              <w:t>0.05L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0.001</w:t>
            </w:r>
          </w:p>
        </w:tc>
        <w:tc>
          <w:tcPr>
            <w:tcW w:w="466" w:type="pct"/>
            <w:vAlign w:val="center"/>
          </w:tcPr>
          <w:p>
            <w:pPr>
              <w:keepLines/>
              <w:jc w:val="center"/>
              <w:rPr>
                <w:color w:val="FF0000"/>
                <w:szCs w:val="21"/>
              </w:rPr>
            </w:pPr>
            <w:r>
              <w:rPr>
                <w:color w:val="FF0000"/>
                <w:szCs w:val="21"/>
              </w:rPr>
              <w:t>0.05L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0.001</w:t>
            </w:r>
          </w:p>
        </w:tc>
        <w:tc>
          <w:tcPr>
            <w:tcW w:w="466" w:type="pct"/>
            <w:vAlign w:val="center"/>
          </w:tcPr>
          <w:p>
            <w:pPr>
              <w:keepLines/>
              <w:jc w:val="center"/>
              <w:rPr>
                <w:color w:val="FF0000"/>
                <w:szCs w:val="21"/>
              </w:rPr>
            </w:pPr>
            <w:r>
              <w:rPr>
                <w:color w:val="FF0000"/>
                <w:szCs w:val="21"/>
              </w:rPr>
              <w:t>0.05L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b/>
                <w:color w:val="FF0000"/>
                <w:szCs w:val="21"/>
              </w:rPr>
            </w:pPr>
            <w:r>
              <w:rPr>
                <w:rFonts w:ascii="宋体" w:hAnsi="宋体"/>
                <w:b/>
                <w:color w:val="FF0000"/>
                <w:szCs w:val="21"/>
              </w:rPr>
              <w:t>溶解性总固体</w:t>
            </w:r>
          </w:p>
        </w:tc>
        <w:tc>
          <w:tcPr>
            <w:tcW w:w="342" w:type="pct"/>
            <w:vAlign w:val="center"/>
          </w:tcPr>
          <w:p>
            <w:pPr>
              <w:keepLines/>
              <w:jc w:val="center"/>
              <w:rPr>
                <w:b/>
                <w:color w:val="FF0000"/>
                <w:szCs w:val="21"/>
              </w:rPr>
            </w:pPr>
            <w:r>
              <w:rPr>
                <w:b/>
                <w:color w:val="FF0000"/>
                <w:szCs w:val="21"/>
              </w:rPr>
              <w:t>mg/L</w:t>
            </w:r>
          </w:p>
        </w:tc>
        <w:tc>
          <w:tcPr>
            <w:tcW w:w="466" w:type="pct"/>
            <w:vAlign w:val="center"/>
          </w:tcPr>
          <w:p>
            <w:pPr>
              <w:keepLines/>
              <w:jc w:val="center"/>
              <w:rPr>
                <w:color w:val="FF0000"/>
                <w:szCs w:val="21"/>
              </w:rPr>
            </w:pPr>
            <w:r>
              <w:rPr>
                <w:color w:val="FF0000"/>
                <w:szCs w:val="21"/>
              </w:rPr>
              <w:t>673</w:t>
            </w:r>
          </w:p>
        </w:tc>
        <w:tc>
          <w:tcPr>
            <w:tcW w:w="466" w:type="pct"/>
            <w:vAlign w:val="center"/>
          </w:tcPr>
          <w:p>
            <w:pPr>
              <w:keepLines/>
              <w:jc w:val="center"/>
              <w:rPr>
                <w:color w:val="FF0000"/>
                <w:szCs w:val="21"/>
              </w:rPr>
            </w:pPr>
            <w:r>
              <w:rPr>
                <w:color w:val="FF0000"/>
                <w:szCs w:val="21"/>
              </w:rPr>
              <w:t>702</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883</w:t>
            </w:r>
          </w:p>
        </w:tc>
        <w:tc>
          <w:tcPr>
            <w:tcW w:w="466" w:type="pct"/>
            <w:vAlign w:val="center"/>
          </w:tcPr>
          <w:p>
            <w:pPr>
              <w:keepLines/>
              <w:jc w:val="center"/>
              <w:rPr>
                <w:color w:val="FF0000"/>
                <w:szCs w:val="21"/>
              </w:rPr>
            </w:pPr>
            <w:r>
              <w:rPr>
                <w:color w:val="FF0000"/>
                <w:szCs w:val="21"/>
              </w:rPr>
              <w:t>750</w:t>
            </w:r>
          </w:p>
        </w:tc>
        <w:tc>
          <w:tcPr>
            <w:tcW w:w="356" w:type="pct"/>
          </w:tcPr>
          <w:p>
            <w:pPr>
              <w:keepLines/>
              <w:jc w:val="center"/>
              <w:rPr>
                <w:color w:val="FF0000"/>
                <w:szCs w:val="21"/>
              </w:rPr>
            </w:pPr>
          </w:p>
        </w:tc>
        <w:tc>
          <w:tcPr>
            <w:tcW w:w="466" w:type="pct"/>
            <w:vAlign w:val="center"/>
          </w:tcPr>
          <w:p>
            <w:pPr>
              <w:keepLines/>
              <w:jc w:val="center"/>
              <w:rPr>
                <w:color w:val="FF0000"/>
                <w:szCs w:val="21"/>
              </w:rPr>
            </w:pPr>
            <w:r>
              <w:rPr>
                <w:rFonts w:hint="eastAsia"/>
                <w:color w:val="FF0000"/>
                <w:szCs w:val="21"/>
              </w:rPr>
              <w:t>8</w:t>
            </w:r>
            <w:r>
              <w:rPr>
                <w:color w:val="FF0000"/>
                <w:szCs w:val="21"/>
              </w:rPr>
              <w:t>12</w:t>
            </w:r>
          </w:p>
        </w:tc>
        <w:tc>
          <w:tcPr>
            <w:tcW w:w="466" w:type="pct"/>
            <w:vAlign w:val="center"/>
          </w:tcPr>
          <w:p>
            <w:pPr>
              <w:keepLines/>
              <w:jc w:val="center"/>
              <w:rPr>
                <w:color w:val="FF0000"/>
                <w:szCs w:val="21"/>
              </w:rPr>
            </w:pPr>
            <w:r>
              <w:rPr>
                <w:color w:val="FF0000"/>
                <w:szCs w:val="21"/>
              </w:rPr>
              <w:t>638</w:t>
            </w:r>
          </w:p>
        </w:tc>
        <w:tc>
          <w:tcPr>
            <w:tcW w:w="356" w:type="pct"/>
          </w:tcPr>
          <w:p>
            <w:pPr>
              <w:keepLines/>
              <w:jc w:val="center"/>
              <w:rPr>
                <w:color w:val="FF0000"/>
                <w:szCs w:val="21"/>
              </w:rPr>
            </w:pPr>
          </w:p>
        </w:tc>
        <w:tc>
          <w:tcPr>
            <w:tcW w:w="256" w:type="pct"/>
            <w:vAlign w:val="center"/>
          </w:tcPr>
          <w:p>
            <w:pPr>
              <w:keepLines/>
              <w:jc w:val="center"/>
              <w:rPr>
                <w:color w:val="FF0000"/>
                <w:szCs w:val="21"/>
              </w:rPr>
            </w:pPr>
            <w:r>
              <w:rPr>
                <w:color w:val="FF0000"/>
                <w:szCs w:val="21"/>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rFonts w:ascii="宋体" w:hAnsi="宋体"/>
                <w:color w:val="FF0000"/>
                <w:szCs w:val="21"/>
              </w:rPr>
              <w:t>耗氧量</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1.93</w:t>
            </w:r>
          </w:p>
        </w:tc>
        <w:tc>
          <w:tcPr>
            <w:tcW w:w="466" w:type="pct"/>
            <w:vAlign w:val="center"/>
          </w:tcPr>
          <w:p>
            <w:pPr>
              <w:keepLines/>
              <w:jc w:val="center"/>
              <w:rPr>
                <w:color w:val="FF0000"/>
                <w:szCs w:val="21"/>
              </w:rPr>
            </w:pPr>
            <w:r>
              <w:rPr>
                <w:color w:val="FF0000"/>
                <w:szCs w:val="21"/>
              </w:rPr>
              <w:t>1.20</w:t>
            </w:r>
          </w:p>
        </w:tc>
        <w:tc>
          <w:tcPr>
            <w:tcW w:w="356" w:type="pct"/>
            <w:vAlign w:val="center"/>
          </w:tcPr>
          <w:p>
            <w:pPr>
              <w:keepLines/>
              <w:jc w:val="center"/>
              <w:rPr>
                <w:color w:val="FF0000"/>
                <w:szCs w:val="21"/>
              </w:rPr>
            </w:pPr>
          </w:p>
        </w:tc>
        <w:tc>
          <w:tcPr>
            <w:tcW w:w="466" w:type="pct"/>
            <w:vAlign w:val="center"/>
          </w:tcPr>
          <w:p>
            <w:pPr>
              <w:keepLines/>
              <w:jc w:val="center"/>
              <w:rPr>
                <w:color w:val="FF0000"/>
                <w:szCs w:val="21"/>
              </w:rPr>
            </w:pPr>
            <w:r>
              <w:rPr>
                <w:color w:val="FF0000"/>
                <w:szCs w:val="21"/>
              </w:rPr>
              <w:t>2.35</w:t>
            </w:r>
          </w:p>
        </w:tc>
        <w:tc>
          <w:tcPr>
            <w:tcW w:w="466" w:type="pct"/>
            <w:vAlign w:val="center"/>
          </w:tcPr>
          <w:p>
            <w:pPr>
              <w:keepLines/>
              <w:jc w:val="center"/>
              <w:rPr>
                <w:color w:val="FF0000"/>
                <w:szCs w:val="21"/>
              </w:rPr>
            </w:pPr>
            <w:r>
              <w:rPr>
                <w:color w:val="FF0000"/>
                <w:szCs w:val="21"/>
              </w:rPr>
              <w:t>1.87</w:t>
            </w:r>
          </w:p>
        </w:tc>
        <w:tc>
          <w:tcPr>
            <w:tcW w:w="356" w:type="pct"/>
          </w:tcPr>
          <w:p>
            <w:pPr>
              <w:keepLines/>
              <w:jc w:val="center"/>
              <w:rPr>
                <w:color w:val="FF0000"/>
                <w:szCs w:val="21"/>
              </w:rPr>
            </w:pPr>
          </w:p>
        </w:tc>
        <w:tc>
          <w:tcPr>
            <w:tcW w:w="466" w:type="pct"/>
            <w:vAlign w:val="center"/>
          </w:tcPr>
          <w:p>
            <w:pPr>
              <w:keepLines/>
              <w:jc w:val="center"/>
              <w:rPr>
                <w:color w:val="FF0000"/>
                <w:szCs w:val="21"/>
              </w:rPr>
            </w:pPr>
            <w:r>
              <w:rPr>
                <w:rFonts w:hint="eastAsia"/>
                <w:color w:val="FF0000"/>
                <w:szCs w:val="21"/>
              </w:rPr>
              <w:t>1</w:t>
            </w:r>
            <w:r>
              <w:rPr>
                <w:color w:val="FF0000"/>
                <w:szCs w:val="21"/>
              </w:rPr>
              <w:t>.5</w:t>
            </w:r>
          </w:p>
        </w:tc>
        <w:tc>
          <w:tcPr>
            <w:tcW w:w="466" w:type="pct"/>
            <w:vAlign w:val="center"/>
          </w:tcPr>
          <w:p>
            <w:pPr>
              <w:keepLines/>
              <w:jc w:val="center"/>
              <w:rPr>
                <w:color w:val="FF0000"/>
                <w:szCs w:val="21"/>
              </w:rPr>
            </w:pPr>
            <w:r>
              <w:rPr>
                <w:color w:val="FF0000"/>
                <w:szCs w:val="21"/>
              </w:rPr>
              <w:t>1.66</w:t>
            </w:r>
          </w:p>
        </w:tc>
        <w:tc>
          <w:tcPr>
            <w:tcW w:w="356" w:type="pct"/>
          </w:tcPr>
          <w:p>
            <w:pPr>
              <w:keepLines/>
              <w:jc w:val="center"/>
              <w:rPr>
                <w:color w:val="FF0000"/>
                <w:szCs w:val="21"/>
              </w:rPr>
            </w:pPr>
          </w:p>
        </w:tc>
        <w:tc>
          <w:tcPr>
            <w:tcW w:w="256" w:type="pct"/>
            <w:vAlign w:val="center"/>
          </w:tcPr>
          <w:p>
            <w:pPr>
              <w:keepLines/>
              <w:jc w:val="center"/>
              <w:rPr>
                <w:color w:val="FF0000"/>
                <w:szCs w:val="21"/>
              </w:rPr>
            </w:pPr>
            <w:r>
              <w:rPr>
                <w:color w:val="FF0000"/>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color w:val="FF0000"/>
                <w:szCs w:val="21"/>
              </w:rPr>
              <w:t>总大肠菌群</w:t>
            </w:r>
          </w:p>
        </w:tc>
        <w:tc>
          <w:tcPr>
            <w:tcW w:w="342" w:type="pct"/>
            <w:vAlign w:val="center"/>
          </w:tcPr>
          <w:p>
            <w:pPr>
              <w:keepLines/>
              <w:jc w:val="center"/>
              <w:rPr>
                <w:color w:val="FF0000"/>
                <w:szCs w:val="21"/>
              </w:rPr>
            </w:pPr>
            <w:r>
              <w:rPr>
                <w:color w:val="FF0000"/>
                <w:szCs w:val="21"/>
              </w:rPr>
              <w:t>MPN/mL</w:t>
            </w:r>
          </w:p>
        </w:tc>
        <w:tc>
          <w:tcPr>
            <w:tcW w:w="466" w:type="pct"/>
            <w:vAlign w:val="center"/>
          </w:tcPr>
          <w:p>
            <w:pPr>
              <w:keepLines/>
              <w:jc w:val="center"/>
              <w:rPr>
                <w:color w:val="FF0000"/>
                <w:szCs w:val="21"/>
              </w:rPr>
            </w:pPr>
            <w:r>
              <w:rPr>
                <w:color w:val="FF0000"/>
                <w:szCs w:val="21"/>
              </w:rPr>
              <w:t>＜2</w:t>
            </w:r>
          </w:p>
        </w:tc>
        <w:tc>
          <w:tcPr>
            <w:tcW w:w="466" w:type="pct"/>
            <w:vAlign w:val="center"/>
          </w:tcPr>
          <w:p>
            <w:pPr>
              <w:keepLines/>
              <w:jc w:val="center"/>
              <w:rPr>
                <w:color w:val="FF0000"/>
                <w:szCs w:val="21"/>
              </w:rPr>
            </w:pPr>
            <w:r>
              <w:rPr>
                <w:rFonts w:ascii="宋体" w:hAnsi="宋体"/>
                <w:color w:val="FF0000"/>
                <w:szCs w:val="21"/>
              </w:rPr>
              <w:t>未检出</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＜2</w:t>
            </w:r>
          </w:p>
        </w:tc>
        <w:tc>
          <w:tcPr>
            <w:tcW w:w="466" w:type="pct"/>
            <w:vAlign w:val="center"/>
          </w:tcPr>
          <w:p>
            <w:pPr>
              <w:keepLines/>
              <w:jc w:val="center"/>
              <w:rPr>
                <w:color w:val="FF0000"/>
                <w:szCs w:val="21"/>
              </w:rPr>
            </w:pPr>
            <w:r>
              <w:rPr>
                <w:rFonts w:ascii="宋体" w:hAnsi="宋体"/>
                <w:color w:val="FF0000"/>
                <w:szCs w:val="21"/>
              </w:rPr>
              <w:t>未检出</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rFonts w:ascii="宋体" w:hAnsi="宋体"/>
                <w:color w:val="FF0000"/>
                <w:szCs w:val="21"/>
              </w:rPr>
            </w:pPr>
            <w:r>
              <w:rPr>
                <w:color w:val="FF0000"/>
                <w:szCs w:val="21"/>
              </w:rPr>
              <w:t>＜2</w:t>
            </w:r>
          </w:p>
        </w:tc>
        <w:tc>
          <w:tcPr>
            <w:tcW w:w="466" w:type="pct"/>
            <w:vAlign w:val="center"/>
          </w:tcPr>
          <w:p>
            <w:pPr>
              <w:keepLines/>
              <w:jc w:val="center"/>
              <w:rPr>
                <w:color w:val="FF0000"/>
                <w:szCs w:val="21"/>
              </w:rPr>
            </w:pPr>
            <w:r>
              <w:rPr>
                <w:rFonts w:ascii="宋体" w:hAnsi="宋体"/>
                <w:color w:val="FF0000"/>
                <w:szCs w:val="21"/>
              </w:rPr>
              <w:t>未检出</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538" w:type="pct"/>
            <w:vAlign w:val="center"/>
          </w:tcPr>
          <w:p>
            <w:pPr>
              <w:keepLines/>
              <w:jc w:val="center"/>
              <w:rPr>
                <w:color w:val="FF0000"/>
                <w:szCs w:val="21"/>
              </w:rPr>
            </w:pPr>
            <w:r>
              <w:rPr>
                <w:color w:val="FF0000"/>
                <w:szCs w:val="21"/>
              </w:rPr>
              <w:t>挥发酚</w:t>
            </w:r>
          </w:p>
        </w:tc>
        <w:tc>
          <w:tcPr>
            <w:tcW w:w="342" w:type="pct"/>
            <w:vAlign w:val="center"/>
          </w:tcPr>
          <w:p>
            <w:pPr>
              <w:keepLines/>
              <w:jc w:val="center"/>
              <w:rPr>
                <w:color w:val="FF0000"/>
                <w:szCs w:val="21"/>
              </w:rPr>
            </w:pPr>
            <w:r>
              <w:rPr>
                <w:color w:val="FF0000"/>
                <w:szCs w:val="21"/>
              </w:rPr>
              <w:t>mg/L</w:t>
            </w:r>
          </w:p>
        </w:tc>
        <w:tc>
          <w:tcPr>
            <w:tcW w:w="466" w:type="pct"/>
            <w:vAlign w:val="center"/>
          </w:tcPr>
          <w:p>
            <w:pPr>
              <w:keepLines/>
              <w:jc w:val="center"/>
              <w:rPr>
                <w:color w:val="FF0000"/>
                <w:szCs w:val="21"/>
              </w:rPr>
            </w:pPr>
            <w:r>
              <w:rPr>
                <w:color w:val="FF0000"/>
                <w:szCs w:val="21"/>
              </w:rPr>
              <w:t>0.0003L</w:t>
            </w:r>
          </w:p>
        </w:tc>
        <w:tc>
          <w:tcPr>
            <w:tcW w:w="466" w:type="pct"/>
            <w:vAlign w:val="center"/>
          </w:tcPr>
          <w:p>
            <w:pPr>
              <w:keepLines/>
              <w:jc w:val="center"/>
              <w:rPr>
                <w:color w:val="FF0000"/>
                <w:szCs w:val="21"/>
              </w:rPr>
            </w:pPr>
            <w:r>
              <w:rPr>
                <w:color w:val="FF0000"/>
                <w:szCs w:val="21"/>
              </w:rPr>
              <w:t>0.0003L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0.0003L</w:t>
            </w:r>
          </w:p>
        </w:tc>
        <w:tc>
          <w:tcPr>
            <w:tcW w:w="466" w:type="pct"/>
            <w:vAlign w:val="center"/>
          </w:tcPr>
          <w:p>
            <w:pPr>
              <w:keepLines/>
              <w:jc w:val="center"/>
              <w:rPr>
                <w:color w:val="FF0000"/>
                <w:szCs w:val="21"/>
              </w:rPr>
            </w:pPr>
            <w:r>
              <w:rPr>
                <w:color w:val="FF0000"/>
                <w:szCs w:val="21"/>
              </w:rPr>
              <w:t>0.0003L</w:t>
            </w:r>
          </w:p>
        </w:tc>
        <w:tc>
          <w:tcPr>
            <w:tcW w:w="356" w:type="pct"/>
          </w:tcPr>
          <w:p>
            <w:pPr>
              <w:keepLines/>
              <w:jc w:val="center"/>
              <w:rPr>
                <w:color w:val="FF0000"/>
                <w:szCs w:val="21"/>
              </w:rPr>
            </w:pPr>
            <w:r>
              <w:rPr>
                <w:rFonts w:hint="eastAsia"/>
                <w:color w:val="FF0000"/>
                <w:szCs w:val="21"/>
              </w:rPr>
              <w:t>/</w:t>
            </w:r>
          </w:p>
        </w:tc>
        <w:tc>
          <w:tcPr>
            <w:tcW w:w="466" w:type="pct"/>
            <w:vAlign w:val="center"/>
          </w:tcPr>
          <w:p>
            <w:pPr>
              <w:keepLines/>
              <w:jc w:val="center"/>
              <w:rPr>
                <w:color w:val="FF0000"/>
                <w:szCs w:val="21"/>
              </w:rPr>
            </w:pPr>
            <w:r>
              <w:rPr>
                <w:color w:val="FF0000"/>
                <w:szCs w:val="21"/>
              </w:rPr>
              <w:t>0.0003L</w:t>
            </w:r>
          </w:p>
        </w:tc>
        <w:tc>
          <w:tcPr>
            <w:tcW w:w="466" w:type="pct"/>
            <w:vAlign w:val="center"/>
          </w:tcPr>
          <w:p>
            <w:pPr>
              <w:keepLines/>
              <w:jc w:val="center"/>
              <w:rPr>
                <w:color w:val="FF0000"/>
                <w:szCs w:val="21"/>
              </w:rPr>
            </w:pPr>
            <w:r>
              <w:rPr>
                <w:color w:val="FF0000"/>
                <w:szCs w:val="21"/>
              </w:rPr>
              <w:t>0.0003L</w:t>
            </w:r>
          </w:p>
        </w:tc>
        <w:tc>
          <w:tcPr>
            <w:tcW w:w="356" w:type="pct"/>
          </w:tcPr>
          <w:p>
            <w:pPr>
              <w:keepLines/>
              <w:jc w:val="center"/>
              <w:rPr>
                <w:color w:val="FF0000"/>
                <w:szCs w:val="21"/>
              </w:rPr>
            </w:pPr>
            <w:r>
              <w:rPr>
                <w:rFonts w:hint="eastAsia"/>
                <w:color w:val="FF0000"/>
                <w:szCs w:val="21"/>
              </w:rPr>
              <w:t>/</w:t>
            </w:r>
          </w:p>
        </w:tc>
        <w:tc>
          <w:tcPr>
            <w:tcW w:w="256" w:type="pct"/>
            <w:vAlign w:val="center"/>
          </w:tcPr>
          <w:p>
            <w:pPr>
              <w:keepLines/>
              <w:jc w:val="center"/>
              <w:rPr>
                <w:color w:val="FF0000"/>
                <w:szCs w:val="21"/>
              </w:rPr>
            </w:pPr>
            <w:r>
              <w:rPr>
                <w:color w:val="FF0000"/>
                <w:szCs w:val="21"/>
              </w:rPr>
              <w:t>0.002</w:t>
            </w:r>
          </w:p>
        </w:tc>
      </w:tr>
    </w:tbl>
    <w:p>
      <w:pPr>
        <w:autoSpaceDE w:val="0"/>
        <w:autoSpaceDN w:val="0"/>
        <w:adjustRightInd w:val="0"/>
        <w:snapToGrid w:val="0"/>
        <w:spacing w:before="156" w:beforeLines="50" w:line="360" w:lineRule="auto"/>
        <w:ind w:firstLine="420" w:firstLineChars="200"/>
        <w:rPr>
          <w:bCs/>
        </w:rPr>
      </w:pPr>
    </w:p>
    <w:bookmarkEnd w:id="421"/>
    <w:p>
      <w:pPr>
        <w:tabs>
          <w:tab w:val="left" w:pos="734"/>
        </w:tabs>
        <w:sectPr>
          <w:pgSz w:w="16838" w:h="11906" w:orient="landscape"/>
          <w:pgMar w:top="1797" w:right="1440" w:bottom="1797" w:left="1440" w:header="851" w:footer="992" w:gutter="0"/>
          <w:cols w:space="425" w:num="1"/>
          <w:docGrid w:type="lines" w:linePitch="312" w:charSpace="0"/>
        </w:sectPr>
      </w:pPr>
    </w:p>
    <w:p>
      <w:pPr>
        <w:pStyle w:val="347"/>
        <w:keepNext w:val="0"/>
        <w:topLinePunct w:val="0"/>
        <w:spacing w:beforeLines="50" w:afterLines="50" w:line="360" w:lineRule="auto"/>
        <w:rPr>
          <w:rFonts w:cs="Times New Roman"/>
        </w:rPr>
      </w:pPr>
      <w:bookmarkStart w:id="422" w:name="_Toc489433100"/>
      <w:bookmarkStart w:id="423" w:name="_Toc424484700"/>
      <w:bookmarkStart w:id="424" w:name="_Toc143762346"/>
      <w:bookmarkStart w:id="425" w:name="_Toc84951667"/>
      <w:bookmarkStart w:id="426" w:name="_Toc84847165"/>
      <w:bookmarkStart w:id="427" w:name="_Toc139878957"/>
      <w:bookmarkStart w:id="428" w:name="_Toc90036352"/>
      <w:bookmarkStart w:id="429" w:name="_Toc128061086"/>
      <w:bookmarkStart w:id="430" w:name="_Toc144027353"/>
      <w:bookmarkStart w:id="431" w:name="_Toc196468590"/>
      <w:bookmarkStart w:id="432" w:name="_Toc136179131"/>
      <w:r>
        <w:rPr>
          <w:rFonts w:cs="Times New Roman"/>
        </w:rPr>
        <w:t>6.3运营期噪声环境影响分析</w:t>
      </w:r>
      <w:bookmarkEnd w:id="422"/>
      <w:bookmarkEnd w:id="423"/>
      <w:bookmarkEnd w:id="424"/>
    </w:p>
    <w:p>
      <w:pPr>
        <w:keepNext/>
        <w:keepLines/>
        <w:adjustRightInd w:val="0"/>
        <w:snapToGrid w:val="0"/>
        <w:spacing w:line="360" w:lineRule="auto"/>
        <w:jc w:val="left"/>
        <w:outlineLvl w:val="2"/>
        <w:rPr>
          <w:b/>
          <w:sz w:val="28"/>
          <w:szCs w:val="28"/>
        </w:rPr>
      </w:pPr>
      <w:bookmarkStart w:id="433" w:name="_Toc143762347"/>
      <w:r>
        <w:rPr>
          <w:b/>
          <w:sz w:val="28"/>
          <w:szCs w:val="28"/>
        </w:rPr>
        <w:t>6.3.1</w:t>
      </w:r>
      <w:r>
        <w:rPr>
          <w:rFonts w:hint="eastAsia"/>
          <w:b/>
          <w:sz w:val="28"/>
          <w:szCs w:val="28"/>
        </w:rPr>
        <w:t>声环境影响回顾性分析</w:t>
      </w:r>
      <w:bookmarkEnd w:id="433"/>
    </w:p>
    <w:p>
      <w:pPr>
        <w:spacing w:line="360" w:lineRule="auto"/>
        <w:ind w:firstLine="480" w:firstLineChars="200"/>
        <w:rPr>
          <w:kern w:val="0"/>
          <w:sz w:val="24"/>
        </w:rPr>
      </w:pPr>
      <w:r>
        <w:rPr>
          <w:rFonts w:hint="eastAsia" w:ascii="宋体" w:hAnsi="宋体"/>
          <w:kern w:val="0"/>
          <w:sz w:val="24"/>
        </w:rPr>
        <w:t>根据</w:t>
      </w:r>
      <w:r>
        <w:rPr>
          <w:kern w:val="0"/>
          <w:sz w:val="24"/>
        </w:rPr>
        <w:t>2021</w:t>
      </w:r>
      <w:r>
        <w:rPr>
          <w:rFonts w:ascii="宋体" w:hAnsi="宋体"/>
          <w:kern w:val="0"/>
          <w:sz w:val="24"/>
        </w:rPr>
        <w:t>年</w:t>
      </w:r>
      <w:r>
        <w:rPr>
          <w:kern w:val="0"/>
          <w:sz w:val="24"/>
        </w:rPr>
        <w:t>10</w:t>
      </w:r>
      <w:r>
        <w:rPr>
          <w:rFonts w:ascii="宋体" w:hAnsi="宋体"/>
          <w:kern w:val="0"/>
          <w:sz w:val="24"/>
        </w:rPr>
        <w:t>月</w:t>
      </w:r>
      <w:r>
        <w:rPr>
          <w:rFonts w:hint="eastAsia" w:ascii="宋体" w:hAnsi="宋体"/>
          <w:kern w:val="0"/>
          <w:sz w:val="24"/>
        </w:rPr>
        <w:t>、</w:t>
      </w:r>
      <w:r>
        <w:rPr>
          <w:rFonts w:hint="eastAsia"/>
          <w:kern w:val="0"/>
          <w:sz w:val="24"/>
        </w:rPr>
        <w:t>2</w:t>
      </w:r>
      <w:r>
        <w:rPr>
          <w:kern w:val="0"/>
          <w:sz w:val="24"/>
        </w:rPr>
        <w:t>022</w:t>
      </w:r>
      <w:r>
        <w:rPr>
          <w:rFonts w:hint="eastAsia" w:ascii="宋体" w:hAnsi="宋体"/>
          <w:kern w:val="0"/>
          <w:sz w:val="24"/>
        </w:rPr>
        <w:t>年</w:t>
      </w:r>
      <w:r>
        <w:rPr>
          <w:rFonts w:hint="eastAsia"/>
          <w:kern w:val="0"/>
          <w:sz w:val="24"/>
        </w:rPr>
        <w:t>4</w:t>
      </w:r>
      <w:r>
        <w:rPr>
          <w:rFonts w:hint="eastAsia" w:ascii="宋体" w:hAnsi="宋体"/>
          <w:kern w:val="0"/>
          <w:sz w:val="24"/>
        </w:rPr>
        <w:t>月巴彦淖尔市洁华环境监测有限公司</w:t>
      </w:r>
      <w:r>
        <w:rPr>
          <w:rFonts w:ascii="宋体" w:hAnsi="宋体"/>
          <w:kern w:val="0"/>
          <w:sz w:val="24"/>
        </w:rPr>
        <w:t>对</w:t>
      </w:r>
      <w:r>
        <w:rPr>
          <w:rFonts w:hint="eastAsia" w:ascii="宋体" w:hAnsi="宋体"/>
          <w:kern w:val="0"/>
          <w:sz w:val="24"/>
        </w:rPr>
        <w:t>厂界噪声例行监测数据，</w:t>
      </w:r>
      <w:r>
        <w:rPr>
          <w:rFonts w:ascii="宋体" w:hAnsi="宋体"/>
          <w:kern w:val="0"/>
          <w:sz w:val="24"/>
        </w:rPr>
        <w:t>监测结果表明，</w:t>
      </w:r>
      <w:r>
        <w:rPr>
          <w:rFonts w:hint="eastAsia" w:ascii="宋体" w:hAnsi="宋体"/>
          <w:kern w:val="0"/>
          <w:sz w:val="24"/>
        </w:rPr>
        <w:t>填埋场厂界四周</w:t>
      </w:r>
      <w:r>
        <w:rPr>
          <w:rFonts w:ascii="宋体" w:hAnsi="宋体"/>
          <w:kern w:val="0"/>
          <w:sz w:val="24"/>
        </w:rPr>
        <w:t>噪声</w:t>
      </w:r>
      <w:r>
        <w:rPr>
          <w:rFonts w:hint="eastAsia" w:ascii="宋体" w:hAnsi="宋体"/>
          <w:kern w:val="0"/>
          <w:sz w:val="24"/>
        </w:rPr>
        <w:t>排放满足</w:t>
      </w:r>
      <w:r>
        <w:rPr>
          <w:rFonts w:ascii="宋体" w:hAnsi="宋体"/>
          <w:kern w:val="0"/>
          <w:sz w:val="24"/>
        </w:rPr>
        <w:t>《工业企业厂界环境噪声排放标准》</w:t>
      </w:r>
      <w:r>
        <w:rPr>
          <w:kern w:val="0"/>
          <w:sz w:val="24"/>
        </w:rPr>
        <w:t>(GB12348-2008) 2</w:t>
      </w:r>
      <w:r>
        <w:rPr>
          <w:rFonts w:ascii="宋体" w:hAnsi="宋体"/>
          <w:kern w:val="0"/>
          <w:sz w:val="24"/>
        </w:rPr>
        <w:t>类声功能区限值。</w:t>
      </w:r>
    </w:p>
    <w:p>
      <w:pPr>
        <w:adjustRightInd w:val="0"/>
        <w:snapToGrid w:val="0"/>
        <w:ind w:firstLine="361" w:firstLineChars="150"/>
        <w:jc w:val="center"/>
        <w:rPr>
          <w:b/>
          <w:sz w:val="24"/>
        </w:rPr>
      </w:pPr>
      <w:r>
        <w:rPr>
          <w:rFonts w:ascii="宋体" w:hAnsi="宋体"/>
          <w:b/>
          <w:sz w:val="24"/>
        </w:rPr>
        <w:t>表</w:t>
      </w:r>
      <w:r>
        <w:rPr>
          <w:b/>
          <w:sz w:val="24"/>
        </w:rPr>
        <w:t xml:space="preserve">6.3-1  </w:t>
      </w:r>
      <w:r>
        <w:rPr>
          <w:rFonts w:hint="eastAsia" w:ascii="宋体" w:hAnsi="宋体"/>
          <w:b/>
          <w:sz w:val="24"/>
        </w:rPr>
        <w:t>厂界噪声</w:t>
      </w:r>
      <w:r>
        <w:rPr>
          <w:rFonts w:ascii="宋体" w:hAnsi="宋体"/>
          <w:b/>
          <w:sz w:val="24"/>
        </w:rPr>
        <w:t>监测结果统计表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5"/>
        <w:gridCol w:w="1571"/>
        <w:gridCol w:w="1728"/>
        <w:gridCol w:w="1956"/>
        <w:gridCol w:w="13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04" w:type="pct"/>
            <w:vMerge w:val="restart"/>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szCs w:val="21"/>
              </w:rPr>
            </w:pPr>
            <w:r>
              <w:rPr>
                <w:rFonts w:ascii="宋体" w:hAnsi="宋体"/>
                <w:szCs w:val="21"/>
              </w:rPr>
              <w:t>监测点位</w:t>
            </w:r>
          </w:p>
        </w:tc>
        <w:tc>
          <w:tcPr>
            <w:tcW w:w="3896" w:type="pct"/>
            <w:gridSpan w:val="4"/>
            <w:tcBorders>
              <w:top w:val="single" w:color="auto" w:sz="12" w:space="0"/>
              <w:left w:val="single" w:color="auto" w:sz="6" w:space="0"/>
              <w:bottom w:val="single" w:color="auto" w:sz="6" w:space="0"/>
              <w:right w:val="single" w:color="auto" w:sz="12" w:space="0"/>
            </w:tcBorders>
            <w:vAlign w:val="center"/>
          </w:tcPr>
          <w:p>
            <w:pPr>
              <w:adjustRightInd w:val="0"/>
              <w:snapToGrid w:val="0"/>
              <w:ind w:right="876" w:rightChars="417"/>
              <w:jc w:val="center"/>
              <w:rPr>
                <w:szCs w:val="21"/>
              </w:rPr>
            </w:pPr>
            <w:r>
              <w:rPr>
                <w:rFonts w:ascii="宋体" w:hAnsi="宋体"/>
                <w:szCs w:val="21"/>
              </w:rPr>
              <w:t>监测结果</w:t>
            </w:r>
            <w:r>
              <w:rPr>
                <w:szCs w:val="21"/>
              </w:rPr>
              <w:t>[Leq 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Merge w:val="continue"/>
            <w:tcBorders>
              <w:top w:val="single" w:color="auto" w:sz="12" w:space="0"/>
              <w:left w:val="single" w:color="auto" w:sz="12" w:space="0"/>
              <w:bottom w:val="single" w:color="auto" w:sz="6" w:space="0"/>
              <w:right w:val="single" w:color="auto" w:sz="6" w:space="0"/>
            </w:tcBorders>
            <w:vAlign w:val="center"/>
          </w:tcPr>
          <w:p>
            <w:pPr>
              <w:widowControl/>
              <w:jc w:val="left"/>
              <w:rPr>
                <w:szCs w:val="21"/>
              </w:rPr>
            </w:pPr>
          </w:p>
        </w:tc>
        <w:tc>
          <w:tcPr>
            <w:tcW w:w="1932" w:type="pct"/>
            <w:gridSpan w:val="2"/>
            <w:tcBorders>
              <w:top w:val="single" w:color="auto" w:sz="6" w:space="0"/>
              <w:left w:val="single" w:color="auto" w:sz="6" w:space="0"/>
              <w:bottom w:val="single" w:color="auto" w:sz="6" w:space="0"/>
              <w:right w:val="single" w:color="auto" w:sz="6" w:space="0"/>
            </w:tcBorders>
            <w:vAlign w:val="center"/>
          </w:tcPr>
          <w:p>
            <w:pPr>
              <w:jc w:val="center"/>
              <w:rPr>
                <w:szCs w:val="21"/>
              </w:rPr>
            </w:pPr>
            <w:r>
              <w:rPr>
                <w:rFonts w:hint="eastAsia"/>
                <w:szCs w:val="21"/>
              </w:rPr>
              <w:t>2</w:t>
            </w:r>
            <w:r>
              <w:rPr>
                <w:szCs w:val="21"/>
              </w:rPr>
              <w:t>021</w:t>
            </w:r>
            <w:r>
              <w:rPr>
                <w:rFonts w:hint="eastAsia" w:ascii="宋体" w:hAnsi="宋体"/>
                <w:szCs w:val="21"/>
              </w:rPr>
              <w:t>年</w:t>
            </w:r>
            <w:r>
              <w:rPr>
                <w:rFonts w:hint="eastAsia"/>
                <w:szCs w:val="21"/>
              </w:rPr>
              <w:t>1</w:t>
            </w:r>
            <w:r>
              <w:rPr>
                <w:szCs w:val="21"/>
              </w:rPr>
              <w:t>0</w:t>
            </w:r>
            <w:r>
              <w:rPr>
                <w:rFonts w:hint="eastAsia" w:ascii="宋体" w:hAnsi="宋体"/>
                <w:szCs w:val="21"/>
              </w:rPr>
              <w:t>月</w:t>
            </w:r>
            <w:r>
              <w:rPr>
                <w:rFonts w:hint="eastAsia"/>
                <w:szCs w:val="21"/>
              </w:rPr>
              <w:t>1</w:t>
            </w:r>
            <w:r>
              <w:rPr>
                <w:szCs w:val="21"/>
              </w:rPr>
              <w:t>4</w:t>
            </w:r>
            <w:r>
              <w:rPr>
                <w:rFonts w:hint="eastAsia" w:ascii="宋体" w:hAnsi="宋体"/>
                <w:szCs w:val="21"/>
              </w:rPr>
              <w:t>日</w:t>
            </w:r>
          </w:p>
        </w:tc>
        <w:tc>
          <w:tcPr>
            <w:tcW w:w="1964" w:type="pct"/>
            <w:gridSpan w:val="2"/>
            <w:tcBorders>
              <w:top w:val="single" w:color="auto" w:sz="6" w:space="0"/>
              <w:left w:val="single" w:color="auto" w:sz="6" w:space="0"/>
              <w:bottom w:val="single" w:color="auto" w:sz="6" w:space="0"/>
              <w:right w:val="single" w:color="auto" w:sz="12" w:space="0"/>
            </w:tcBorders>
            <w:vAlign w:val="center"/>
          </w:tcPr>
          <w:p>
            <w:pPr>
              <w:jc w:val="center"/>
              <w:rPr>
                <w:szCs w:val="21"/>
              </w:rPr>
            </w:pPr>
            <w:r>
              <w:rPr>
                <w:rFonts w:hint="eastAsia"/>
                <w:szCs w:val="21"/>
              </w:rPr>
              <w:t>2</w:t>
            </w:r>
            <w:r>
              <w:rPr>
                <w:szCs w:val="21"/>
              </w:rPr>
              <w:t>022</w:t>
            </w:r>
            <w:r>
              <w:rPr>
                <w:rFonts w:hint="eastAsia" w:ascii="宋体" w:hAnsi="宋体"/>
                <w:szCs w:val="21"/>
              </w:rPr>
              <w:t>年</w:t>
            </w:r>
            <w:r>
              <w:rPr>
                <w:szCs w:val="21"/>
              </w:rPr>
              <w:t>4</w:t>
            </w:r>
            <w:r>
              <w:rPr>
                <w:rFonts w:hint="eastAsia" w:ascii="宋体" w:hAnsi="宋体"/>
                <w:szCs w:val="21"/>
              </w:rPr>
              <w:t>月</w:t>
            </w:r>
            <w:r>
              <w:rPr>
                <w:szCs w:val="21"/>
              </w:rPr>
              <w:t>26</w:t>
            </w:r>
            <w:r>
              <w:rPr>
                <w:rFonts w:hint="eastAsia" w:ascii="宋体" w:hAnsi="宋体"/>
                <w:szCs w:val="21"/>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vMerge w:val="continue"/>
            <w:tcBorders>
              <w:top w:val="single" w:color="auto" w:sz="12" w:space="0"/>
              <w:left w:val="single" w:color="auto" w:sz="12" w:space="0"/>
              <w:bottom w:val="single" w:color="auto" w:sz="6" w:space="0"/>
              <w:right w:val="single" w:color="auto" w:sz="6" w:space="0"/>
            </w:tcBorders>
            <w:vAlign w:val="center"/>
          </w:tcPr>
          <w:p>
            <w:pPr>
              <w:widowControl/>
              <w:jc w:val="left"/>
              <w:rPr>
                <w:szCs w:val="21"/>
              </w:rPr>
            </w:pPr>
          </w:p>
        </w:tc>
        <w:tc>
          <w:tcPr>
            <w:tcW w:w="920" w:type="pct"/>
            <w:tcBorders>
              <w:top w:val="single" w:color="auto" w:sz="6" w:space="0"/>
              <w:left w:val="single" w:color="auto" w:sz="6" w:space="0"/>
              <w:bottom w:val="single" w:color="auto" w:sz="6" w:space="0"/>
              <w:right w:val="single" w:color="auto" w:sz="6" w:space="0"/>
            </w:tcBorders>
            <w:vAlign w:val="center"/>
          </w:tcPr>
          <w:p>
            <w:pPr>
              <w:jc w:val="center"/>
              <w:rPr>
                <w:szCs w:val="21"/>
              </w:rPr>
            </w:pPr>
            <w:r>
              <w:rPr>
                <w:rFonts w:ascii="宋体" w:hAnsi="宋体"/>
                <w:szCs w:val="21"/>
              </w:rPr>
              <w:t>昼间</w:t>
            </w:r>
          </w:p>
        </w:tc>
        <w:tc>
          <w:tcPr>
            <w:tcW w:w="1012" w:type="pct"/>
            <w:tcBorders>
              <w:top w:val="single" w:color="auto" w:sz="6" w:space="0"/>
              <w:left w:val="single" w:color="auto" w:sz="6" w:space="0"/>
              <w:bottom w:val="single" w:color="auto" w:sz="6" w:space="0"/>
              <w:right w:val="single" w:color="auto" w:sz="6" w:space="0"/>
            </w:tcBorders>
            <w:vAlign w:val="center"/>
          </w:tcPr>
          <w:p>
            <w:pPr>
              <w:jc w:val="center"/>
              <w:rPr>
                <w:szCs w:val="21"/>
              </w:rPr>
            </w:pPr>
            <w:r>
              <w:rPr>
                <w:rFonts w:ascii="宋体" w:hAnsi="宋体"/>
                <w:szCs w:val="21"/>
              </w:rPr>
              <w:t>夜间</w:t>
            </w:r>
          </w:p>
        </w:tc>
        <w:tc>
          <w:tcPr>
            <w:tcW w:w="1146" w:type="pct"/>
            <w:tcBorders>
              <w:top w:val="single" w:color="auto" w:sz="6" w:space="0"/>
              <w:left w:val="single" w:color="auto" w:sz="6" w:space="0"/>
              <w:bottom w:val="single" w:color="auto" w:sz="6" w:space="0"/>
              <w:right w:val="single" w:color="auto" w:sz="6" w:space="0"/>
            </w:tcBorders>
            <w:vAlign w:val="center"/>
          </w:tcPr>
          <w:p>
            <w:pPr>
              <w:jc w:val="center"/>
              <w:rPr>
                <w:szCs w:val="21"/>
              </w:rPr>
            </w:pPr>
            <w:r>
              <w:rPr>
                <w:rFonts w:ascii="宋体" w:hAnsi="宋体"/>
                <w:szCs w:val="21"/>
              </w:rPr>
              <w:t>昼间</w:t>
            </w:r>
          </w:p>
        </w:tc>
        <w:tc>
          <w:tcPr>
            <w:tcW w:w="818" w:type="pct"/>
            <w:tcBorders>
              <w:top w:val="single" w:color="auto" w:sz="6" w:space="0"/>
              <w:left w:val="single" w:color="auto" w:sz="6" w:space="0"/>
              <w:bottom w:val="single" w:color="auto" w:sz="6" w:space="0"/>
              <w:right w:val="single" w:color="auto" w:sz="12" w:space="0"/>
            </w:tcBorders>
            <w:vAlign w:val="center"/>
          </w:tcPr>
          <w:p>
            <w:pPr>
              <w:jc w:val="center"/>
              <w:rPr>
                <w:szCs w:val="21"/>
              </w:rPr>
            </w:pPr>
            <w:r>
              <w:rPr>
                <w:rFonts w:ascii="宋体" w:hAnsi="宋体"/>
                <w:szCs w:val="21"/>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04" w:type="pct"/>
            <w:tcBorders>
              <w:top w:val="single" w:color="auto" w:sz="6" w:space="0"/>
              <w:left w:val="single" w:color="auto" w:sz="12" w:space="0"/>
              <w:bottom w:val="single" w:color="auto" w:sz="6" w:space="0"/>
              <w:right w:val="single" w:color="auto" w:sz="6" w:space="0"/>
            </w:tcBorders>
            <w:vAlign w:val="center"/>
          </w:tcPr>
          <w:p>
            <w:pPr>
              <w:widowControl/>
              <w:jc w:val="center"/>
              <w:rPr>
                <w:kern w:val="0"/>
                <w:szCs w:val="21"/>
              </w:rPr>
            </w:pPr>
            <w:r>
              <w:rPr>
                <w:rFonts w:hint="eastAsia" w:ascii="宋体" w:hAnsi="宋体"/>
                <w:kern w:val="0"/>
                <w:szCs w:val="21"/>
              </w:rPr>
              <w:t>厂界东</w:t>
            </w:r>
          </w:p>
        </w:tc>
        <w:tc>
          <w:tcPr>
            <w:tcW w:w="920"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kern w:val="0"/>
                <w:szCs w:val="21"/>
              </w:rPr>
              <w:t>52.0</w:t>
            </w:r>
          </w:p>
        </w:tc>
        <w:tc>
          <w:tcPr>
            <w:tcW w:w="1012"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kern w:val="0"/>
                <w:szCs w:val="21"/>
              </w:rPr>
              <w:t>47.6</w:t>
            </w:r>
          </w:p>
        </w:tc>
        <w:tc>
          <w:tcPr>
            <w:tcW w:w="1146"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rFonts w:hint="eastAsia"/>
                <w:kern w:val="0"/>
                <w:szCs w:val="21"/>
              </w:rPr>
              <w:t>5</w:t>
            </w:r>
            <w:r>
              <w:rPr>
                <w:kern w:val="0"/>
                <w:szCs w:val="21"/>
              </w:rPr>
              <w:t>2.6</w:t>
            </w:r>
          </w:p>
        </w:tc>
        <w:tc>
          <w:tcPr>
            <w:tcW w:w="818" w:type="pct"/>
            <w:tcBorders>
              <w:top w:val="single" w:color="auto" w:sz="6" w:space="0"/>
              <w:left w:val="single" w:color="auto" w:sz="6" w:space="0"/>
              <w:bottom w:val="single" w:color="auto" w:sz="6" w:space="0"/>
              <w:right w:val="single" w:color="auto" w:sz="12" w:space="0"/>
            </w:tcBorders>
            <w:vAlign w:val="center"/>
          </w:tcPr>
          <w:p>
            <w:pPr>
              <w:widowControl/>
              <w:jc w:val="center"/>
              <w:rPr>
                <w:kern w:val="0"/>
                <w:szCs w:val="21"/>
              </w:rPr>
            </w:pPr>
            <w:r>
              <w:rPr>
                <w:rFonts w:hint="eastAsia"/>
                <w:kern w:val="0"/>
                <w:szCs w:val="21"/>
              </w:rPr>
              <w:t>4</w:t>
            </w:r>
            <w:r>
              <w:rPr>
                <w:kern w:val="0"/>
                <w:szCs w:val="21"/>
              </w:rPr>
              <w:t>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04" w:type="pct"/>
            <w:tcBorders>
              <w:top w:val="single" w:color="auto" w:sz="6" w:space="0"/>
              <w:left w:val="single" w:color="auto" w:sz="12" w:space="0"/>
              <w:bottom w:val="single" w:color="auto" w:sz="6" w:space="0"/>
              <w:right w:val="single" w:color="auto" w:sz="6" w:space="0"/>
            </w:tcBorders>
          </w:tcPr>
          <w:p>
            <w:pPr>
              <w:jc w:val="center"/>
              <w:rPr>
                <w:szCs w:val="21"/>
              </w:rPr>
            </w:pPr>
            <w:r>
              <w:rPr>
                <w:rFonts w:hint="eastAsia" w:ascii="宋体" w:hAnsi="宋体"/>
                <w:szCs w:val="21"/>
              </w:rPr>
              <w:t>厂界南</w:t>
            </w:r>
          </w:p>
        </w:tc>
        <w:tc>
          <w:tcPr>
            <w:tcW w:w="920"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rFonts w:hint="eastAsia"/>
                <w:kern w:val="0"/>
                <w:szCs w:val="21"/>
              </w:rPr>
              <w:t>4</w:t>
            </w:r>
            <w:r>
              <w:rPr>
                <w:kern w:val="0"/>
                <w:szCs w:val="21"/>
              </w:rPr>
              <w:t>7.4</w:t>
            </w:r>
          </w:p>
        </w:tc>
        <w:tc>
          <w:tcPr>
            <w:tcW w:w="1012"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rFonts w:hint="eastAsia"/>
                <w:kern w:val="0"/>
                <w:szCs w:val="21"/>
              </w:rPr>
              <w:t>4</w:t>
            </w:r>
            <w:r>
              <w:rPr>
                <w:kern w:val="0"/>
                <w:szCs w:val="21"/>
              </w:rPr>
              <w:t>3.3</w:t>
            </w:r>
          </w:p>
        </w:tc>
        <w:tc>
          <w:tcPr>
            <w:tcW w:w="1146"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rFonts w:hint="eastAsia"/>
                <w:kern w:val="0"/>
                <w:szCs w:val="21"/>
              </w:rPr>
              <w:t>5</w:t>
            </w:r>
            <w:r>
              <w:rPr>
                <w:kern w:val="0"/>
                <w:szCs w:val="21"/>
              </w:rPr>
              <w:t>2.4</w:t>
            </w:r>
          </w:p>
        </w:tc>
        <w:tc>
          <w:tcPr>
            <w:tcW w:w="818" w:type="pct"/>
            <w:tcBorders>
              <w:top w:val="single" w:color="auto" w:sz="6" w:space="0"/>
              <w:left w:val="single" w:color="auto" w:sz="6" w:space="0"/>
              <w:bottom w:val="single" w:color="auto" w:sz="6" w:space="0"/>
              <w:right w:val="single" w:color="auto" w:sz="12" w:space="0"/>
            </w:tcBorders>
            <w:vAlign w:val="center"/>
          </w:tcPr>
          <w:p>
            <w:pPr>
              <w:widowControl/>
              <w:jc w:val="center"/>
              <w:rPr>
                <w:kern w:val="0"/>
                <w:szCs w:val="21"/>
              </w:rPr>
            </w:pPr>
            <w:r>
              <w:rPr>
                <w:rFonts w:hint="eastAsia"/>
                <w:kern w:val="0"/>
                <w:szCs w:val="21"/>
              </w:rPr>
              <w:t>4</w:t>
            </w:r>
            <w:r>
              <w:rPr>
                <w:kern w:val="0"/>
                <w:szCs w:val="21"/>
              </w:rPr>
              <w:t>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04" w:type="pct"/>
            <w:tcBorders>
              <w:top w:val="single" w:color="auto" w:sz="6" w:space="0"/>
              <w:left w:val="single" w:color="auto" w:sz="12" w:space="0"/>
              <w:bottom w:val="single" w:color="auto" w:sz="6" w:space="0"/>
              <w:right w:val="single" w:color="auto" w:sz="6" w:space="0"/>
            </w:tcBorders>
          </w:tcPr>
          <w:p>
            <w:pPr>
              <w:jc w:val="center"/>
              <w:rPr>
                <w:szCs w:val="21"/>
              </w:rPr>
            </w:pPr>
            <w:r>
              <w:rPr>
                <w:rFonts w:hint="eastAsia" w:ascii="宋体" w:hAnsi="宋体"/>
                <w:szCs w:val="21"/>
              </w:rPr>
              <w:t>厂界西</w:t>
            </w:r>
          </w:p>
        </w:tc>
        <w:tc>
          <w:tcPr>
            <w:tcW w:w="920"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rFonts w:hint="eastAsia"/>
                <w:kern w:val="0"/>
                <w:szCs w:val="21"/>
              </w:rPr>
              <w:t>4</w:t>
            </w:r>
            <w:r>
              <w:rPr>
                <w:kern w:val="0"/>
                <w:szCs w:val="21"/>
              </w:rPr>
              <w:t>8.1</w:t>
            </w:r>
          </w:p>
        </w:tc>
        <w:tc>
          <w:tcPr>
            <w:tcW w:w="1012"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rFonts w:hint="eastAsia"/>
                <w:kern w:val="0"/>
                <w:szCs w:val="21"/>
              </w:rPr>
              <w:t>4</w:t>
            </w:r>
            <w:r>
              <w:rPr>
                <w:kern w:val="0"/>
                <w:szCs w:val="21"/>
              </w:rPr>
              <w:t>3.9</w:t>
            </w:r>
          </w:p>
        </w:tc>
        <w:tc>
          <w:tcPr>
            <w:tcW w:w="1146" w:type="pct"/>
            <w:tcBorders>
              <w:top w:val="single" w:color="auto" w:sz="6" w:space="0"/>
              <w:left w:val="single" w:color="auto" w:sz="6" w:space="0"/>
              <w:bottom w:val="single" w:color="auto" w:sz="6" w:space="0"/>
              <w:right w:val="single" w:color="auto" w:sz="6" w:space="0"/>
            </w:tcBorders>
            <w:vAlign w:val="center"/>
          </w:tcPr>
          <w:p>
            <w:pPr>
              <w:widowControl/>
              <w:jc w:val="center"/>
              <w:rPr>
                <w:kern w:val="0"/>
                <w:szCs w:val="21"/>
              </w:rPr>
            </w:pPr>
            <w:r>
              <w:rPr>
                <w:rFonts w:hint="eastAsia"/>
                <w:kern w:val="0"/>
                <w:szCs w:val="21"/>
              </w:rPr>
              <w:t>5</w:t>
            </w:r>
            <w:r>
              <w:rPr>
                <w:kern w:val="0"/>
                <w:szCs w:val="21"/>
              </w:rPr>
              <w:t>4.1</w:t>
            </w:r>
          </w:p>
        </w:tc>
        <w:tc>
          <w:tcPr>
            <w:tcW w:w="818" w:type="pct"/>
            <w:tcBorders>
              <w:top w:val="single" w:color="auto" w:sz="6" w:space="0"/>
              <w:left w:val="single" w:color="auto" w:sz="6" w:space="0"/>
              <w:bottom w:val="single" w:color="auto" w:sz="6" w:space="0"/>
              <w:right w:val="single" w:color="auto" w:sz="12" w:space="0"/>
            </w:tcBorders>
            <w:vAlign w:val="center"/>
          </w:tcPr>
          <w:p>
            <w:pPr>
              <w:widowControl/>
              <w:jc w:val="center"/>
              <w:rPr>
                <w:kern w:val="0"/>
                <w:szCs w:val="21"/>
              </w:rPr>
            </w:pPr>
            <w:r>
              <w:rPr>
                <w:rFonts w:hint="eastAsia"/>
                <w:kern w:val="0"/>
                <w:szCs w:val="21"/>
              </w:rPr>
              <w:t>4</w:t>
            </w:r>
            <w:r>
              <w:rPr>
                <w:kern w:val="0"/>
                <w:szCs w:val="21"/>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04" w:type="pct"/>
            <w:tcBorders>
              <w:top w:val="single" w:color="auto" w:sz="6" w:space="0"/>
              <w:left w:val="single" w:color="auto" w:sz="12" w:space="0"/>
              <w:bottom w:val="single" w:color="auto" w:sz="12" w:space="0"/>
              <w:right w:val="single" w:color="auto" w:sz="6" w:space="0"/>
            </w:tcBorders>
          </w:tcPr>
          <w:p>
            <w:pPr>
              <w:jc w:val="center"/>
              <w:rPr>
                <w:szCs w:val="21"/>
              </w:rPr>
            </w:pPr>
            <w:r>
              <w:rPr>
                <w:rFonts w:hint="eastAsia" w:ascii="宋体" w:hAnsi="宋体"/>
                <w:szCs w:val="21"/>
              </w:rPr>
              <w:t>厂界北</w:t>
            </w:r>
          </w:p>
        </w:tc>
        <w:tc>
          <w:tcPr>
            <w:tcW w:w="920" w:type="pct"/>
            <w:tcBorders>
              <w:top w:val="single" w:color="auto" w:sz="6" w:space="0"/>
              <w:left w:val="single" w:color="auto" w:sz="6" w:space="0"/>
              <w:bottom w:val="single" w:color="auto" w:sz="12" w:space="0"/>
              <w:right w:val="single" w:color="auto" w:sz="6" w:space="0"/>
            </w:tcBorders>
            <w:vAlign w:val="center"/>
          </w:tcPr>
          <w:p>
            <w:pPr>
              <w:widowControl/>
              <w:jc w:val="center"/>
              <w:rPr>
                <w:kern w:val="0"/>
                <w:szCs w:val="21"/>
              </w:rPr>
            </w:pPr>
            <w:r>
              <w:rPr>
                <w:rFonts w:hint="eastAsia"/>
                <w:kern w:val="0"/>
                <w:szCs w:val="21"/>
              </w:rPr>
              <w:t>4</w:t>
            </w:r>
            <w:r>
              <w:rPr>
                <w:kern w:val="0"/>
                <w:szCs w:val="21"/>
              </w:rPr>
              <w:t>5.5</w:t>
            </w:r>
          </w:p>
        </w:tc>
        <w:tc>
          <w:tcPr>
            <w:tcW w:w="1012" w:type="pct"/>
            <w:tcBorders>
              <w:top w:val="single" w:color="auto" w:sz="6" w:space="0"/>
              <w:left w:val="single" w:color="auto" w:sz="6" w:space="0"/>
              <w:bottom w:val="single" w:color="auto" w:sz="12" w:space="0"/>
              <w:right w:val="single" w:color="auto" w:sz="6" w:space="0"/>
            </w:tcBorders>
            <w:vAlign w:val="center"/>
          </w:tcPr>
          <w:p>
            <w:pPr>
              <w:widowControl/>
              <w:jc w:val="center"/>
              <w:rPr>
                <w:kern w:val="0"/>
                <w:szCs w:val="21"/>
              </w:rPr>
            </w:pPr>
            <w:r>
              <w:rPr>
                <w:rFonts w:hint="eastAsia"/>
                <w:kern w:val="0"/>
                <w:szCs w:val="21"/>
              </w:rPr>
              <w:t>4</w:t>
            </w:r>
            <w:r>
              <w:rPr>
                <w:kern w:val="0"/>
                <w:szCs w:val="21"/>
              </w:rPr>
              <w:t>4.8</w:t>
            </w:r>
          </w:p>
        </w:tc>
        <w:tc>
          <w:tcPr>
            <w:tcW w:w="1146" w:type="pct"/>
            <w:tcBorders>
              <w:top w:val="single" w:color="auto" w:sz="6" w:space="0"/>
              <w:left w:val="single" w:color="auto" w:sz="6" w:space="0"/>
              <w:bottom w:val="single" w:color="auto" w:sz="12" w:space="0"/>
              <w:right w:val="single" w:color="auto" w:sz="6" w:space="0"/>
            </w:tcBorders>
            <w:vAlign w:val="center"/>
          </w:tcPr>
          <w:p>
            <w:pPr>
              <w:widowControl/>
              <w:jc w:val="center"/>
              <w:rPr>
                <w:kern w:val="0"/>
                <w:szCs w:val="21"/>
              </w:rPr>
            </w:pPr>
            <w:r>
              <w:rPr>
                <w:rFonts w:hint="eastAsia"/>
                <w:kern w:val="0"/>
                <w:szCs w:val="21"/>
              </w:rPr>
              <w:t>5</w:t>
            </w:r>
            <w:r>
              <w:rPr>
                <w:kern w:val="0"/>
                <w:szCs w:val="21"/>
              </w:rPr>
              <w:t>1.3</w:t>
            </w:r>
          </w:p>
        </w:tc>
        <w:tc>
          <w:tcPr>
            <w:tcW w:w="818" w:type="pct"/>
            <w:tcBorders>
              <w:top w:val="single" w:color="auto" w:sz="6" w:space="0"/>
              <w:left w:val="single" w:color="auto" w:sz="6" w:space="0"/>
              <w:bottom w:val="single" w:color="auto" w:sz="12" w:space="0"/>
              <w:right w:val="single" w:color="auto" w:sz="12" w:space="0"/>
            </w:tcBorders>
            <w:vAlign w:val="center"/>
          </w:tcPr>
          <w:p>
            <w:pPr>
              <w:widowControl/>
              <w:jc w:val="center"/>
              <w:rPr>
                <w:kern w:val="0"/>
                <w:szCs w:val="21"/>
              </w:rPr>
            </w:pPr>
            <w:r>
              <w:rPr>
                <w:rFonts w:hint="eastAsia"/>
                <w:kern w:val="0"/>
                <w:szCs w:val="21"/>
              </w:rPr>
              <w:t>4</w:t>
            </w:r>
            <w:r>
              <w:rPr>
                <w:kern w:val="0"/>
                <w:szCs w:val="21"/>
              </w:rPr>
              <w:t>1.3</w:t>
            </w:r>
          </w:p>
        </w:tc>
      </w:tr>
    </w:tbl>
    <w:p>
      <w:pPr>
        <w:keepNext/>
        <w:keepLines/>
        <w:adjustRightInd w:val="0"/>
        <w:snapToGrid w:val="0"/>
        <w:spacing w:before="120" w:beforeLines="50" w:line="360" w:lineRule="auto"/>
        <w:jc w:val="left"/>
        <w:outlineLvl w:val="2"/>
        <w:rPr>
          <w:b/>
          <w:sz w:val="28"/>
          <w:szCs w:val="28"/>
        </w:rPr>
      </w:pPr>
      <w:bookmarkStart w:id="434" w:name="_Toc143762348"/>
      <w:r>
        <w:rPr>
          <w:b/>
          <w:sz w:val="28"/>
          <w:szCs w:val="28"/>
        </w:rPr>
        <w:t>6.3.2</w:t>
      </w:r>
      <w:r>
        <w:rPr>
          <w:rFonts w:hint="eastAsia"/>
          <w:b/>
          <w:sz w:val="28"/>
          <w:szCs w:val="28"/>
        </w:rPr>
        <w:t>声环境影响预测</w:t>
      </w:r>
      <w:bookmarkEnd w:id="434"/>
    </w:p>
    <w:p>
      <w:pPr>
        <w:adjustRightInd w:val="0"/>
        <w:snapToGrid w:val="0"/>
        <w:spacing w:line="360" w:lineRule="auto"/>
        <w:ind w:firstLine="480" w:firstLineChars="200"/>
        <w:rPr>
          <w:kern w:val="0"/>
          <w:sz w:val="24"/>
        </w:rPr>
      </w:pPr>
      <w:bookmarkStart w:id="435" w:name="_Toc489433104"/>
      <w:bookmarkStart w:id="436" w:name="_Toc424484708"/>
      <w:bookmarkStart w:id="437" w:name="_Toc423602340"/>
      <w:r>
        <w:rPr>
          <w:rFonts w:ascii="宋体" w:hAnsi="宋体"/>
          <w:kern w:val="0"/>
          <w:sz w:val="24"/>
        </w:rPr>
        <w:t>（</w:t>
      </w:r>
      <w:r>
        <w:rPr>
          <w:kern w:val="0"/>
          <w:sz w:val="24"/>
        </w:rPr>
        <w:t>1</w:t>
      </w:r>
      <w:r>
        <w:rPr>
          <w:rFonts w:ascii="宋体" w:hAnsi="宋体"/>
          <w:kern w:val="0"/>
          <w:sz w:val="24"/>
        </w:rPr>
        <w:t>）噪声源</w:t>
      </w:r>
    </w:p>
    <w:p>
      <w:pPr>
        <w:autoSpaceDE w:val="0"/>
        <w:autoSpaceDN w:val="0"/>
        <w:adjustRightInd w:val="0"/>
        <w:snapToGrid w:val="0"/>
        <w:spacing w:line="360" w:lineRule="auto"/>
        <w:ind w:firstLine="480" w:firstLineChars="200"/>
        <w:jc w:val="left"/>
        <w:rPr>
          <w:bCs/>
          <w:sz w:val="24"/>
        </w:rPr>
      </w:pPr>
      <w:r>
        <w:rPr>
          <w:rFonts w:hint="eastAsia"/>
          <w:bCs/>
          <w:sz w:val="24"/>
        </w:rPr>
        <w:t>项目运行期主要噪声源为推土机、挖掘机、压实机、</w:t>
      </w:r>
      <w:r>
        <w:rPr>
          <w:bCs/>
          <w:sz w:val="24"/>
        </w:rPr>
        <w:t>自卸汽车</w:t>
      </w:r>
      <w:r>
        <w:rPr>
          <w:rFonts w:hint="eastAsia"/>
          <w:bCs/>
          <w:sz w:val="24"/>
        </w:rPr>
        <w:t>、洒药车、洒水车等设备使用过程中产生的机械噪声。项目各主要噪声源强见</w:t>
      </w:r>
      <w:r>
        <w:fldChar w:fldCharType="begin"/>
      </w:r>
      <w:r>
        <w:instrText xml:space="preserve"> HYPERLINK "file:///D:\\项目\\五原生活垃圾填埋场\\参考报告垃圾场.docx" \l "_bookmark159" </w:instrText>
      </w:r>
      <w:r>
        <w:fldChar w:fldCharType="separate"/>
      </w:r>
      <w:r>
        <w:rPr>
          <w:rFonts w:hint="eastAsia"/>
          <w:bCs/>
          <w:sz w:val="24"/>
        </w:rPr>
        <w:t>表</w:t>
      </w:r>
      <w:r>
        <w:rPr>
          <w:bCs/>
          <w:sz w:val="24"/>
        </w:rPr>
        <w:t>3.2-15</w:t>
      </w:r>
      <w:r>
        <w:rPr>
          <w:bCs/>
          <w:sz w:val="24"/>
        </w:rPr>
        <w:fldChar w:fldCharType="end"/>
      </w:r>
      <w:r>
        <w:rPr>
          <w:rFonts w:hint="eastAsia"/>
          <w:bCs/>
          <w:sz w:val="24"/>
        </w:rPr>
        <w:t>。</w:t>
      </w:r>
    </w:p>
    <w:p>
      <w:pPr>
        <w:spacing w:line="360" w:lineRule="auto"/>
        <w:ind w:firstLine="480"/>
        <w:rPr>
          <w:sz w:val="24"/>
        </w:rPr>
      </w:pPr>
      <w:r>
        <w:rPr>
          <w:rFonts w:ascii="宋体" w:hAnsi="宋体"/>
          <w:sz w:val="24"/>
        </w:rPr>
        <w:t>（</w:t>
      </w:r>
      <w:r>
        <w:rPr>
          <w:sz w:val="24"/>
        </w:rPr>
        <w:t>2</w:t>
      </w:r>
      <w:r>
        <w:rPr>
          <w:rFonts w:ascii="宋体" w:hAnsi="宋体"/>
          <w:sz w:val="24"/>
        </w:rPr>
        <w:t>）预测模式</w:t>
      </w:r>
    </w:p>
    <w:p>
      <w:pPr>
        <w:spacing w:line="360" w:lineRule="auto"/>
        <w:ind w:firstLine="480"/>
        <w:rPr>
          <w:sz w:val="24"/>
        </w:rPr>
      </w:pPr>
      <w:r>
        <w:rPr>
          <w:rFonts w:ascii="宋体" w:hAnsi="宋体"/>
          <w:sz w:val="24"/>
        </w:rPr>
        <w:t>预测模式采用《环境影响评价技术导则声环境》</w:t>
      </w:r>
      <w:r>
        <w:rPr>
          <w:sz w:val="24"/>
        </w:rPr>
        <w:t>(HJ2.4-2021)</w:t>
      </w:r>
      <w:r>
        <w:rPr>
          <w:rFonts w:ascii="宋体" w:hAnsi="宋体"/>
          <w:sz w:val="24"/>
        </w:rPr>
        <w:t>中推荐的模型。噪声在传播过程中受到多种因素的干扰，使其产生衰减，根据建设项目噪声源和环境特征，本次评价预测模式采用点声源只考虑几何发散、地面效应衰减的模式。</w:t>
      </w:r>
    </w:p>
    <w:p>
      <w:pPr>
        <w:spacing w:line="360" w:lineRule="auto"/>
        <w:ind w:firstLine="480"/>
        <w:rPr>
          <w:sz w:val="24"/>
        </w:rPr>
      </w:pPr>
      <w:r>
        <w:rPr>
          <w:rFonts w:ascii="宋体" w:hAnsi="宋体"/>
          <w:sz w:val="24"/>
        </w:rPr>
        <w:t>噪声随距离增加引起的衰减公式：</w:t>
      </w:r>
      <w:r>
        <w:rPr>
          <w:i/>
          <w:sz w:val="24"/>
        </w:rPr>
        <w:t>L</w:t>
      </w:r>
      <w:r>
        <w:rPr>
          <w:i/>
          <w:sz w:val="24"/>
          <w:vertAlign w:val="subscript"/>
        </w:rPr>
        <w:t>i</w:t>
      </w:r>
      <w:r>
        <w:rPr>
          <w:i/>
          <w:sz w:val="24"/>
        </w:rPr>
        <w:t>= L</w:t>
      </w:r>
      <w:r>
        <w:rPr>
          <w:i/>
          <w:sz w:val="24"/>
          <w:vertAlign w:val="subscript"/>
        </w:rPr>
        <w:t>w</w:t>
      </w:r>
      <w:r>
        <w:rPr>
          <w:i/>
          <w:sz w:val="24"/>
        </w:rPr>
        <w:t>-</w:t>
      </w:r>
      <w:r>
        <w:rPr>
          <w:sz w:val="24"/>
        </w:rPr>
        <w:t>20</w:t>
      </w:r>
      <w:r>
        <w:rPr>
          <w:i/>
          <w:sz w:val="24"/>
        </w:rPr>
        <w:t>lgr</w:t>
      </w:r>
      <w:r>
        <w:rPr>
          <w:sz w:val="24"/>
        </w:rPr>
        <w:t>-11</w:t>
      </w:r>
    </w:p>
    <w:p>
      <w:pPr>
        <w:spacing w:line="360" w:lineRule="auto"/>
        <w:ind w:firstLine="480"/>
        <w:rPr>
          <w:sz w:val="24"/>
        </w:rPr>
      </w:pPr>
      <w:r>
        <w:rPr>
          <w:rFonts w:ascii="宋体" w:hAnsi="宋体"/>
          <w:sz w:val="24"/>
        </w:rPr>
        <w:t>式中：</w:t>
      </w:r>
      <w:r>
        <w:rPr>
          <w:i/>
          <w:sz w:val="24"/>
        </w:rPr>
        <w:t>L</w:t>
      </w:r>
      <w:r>
        <w:rPr>
          <w:i/>
          <w:sz w:val="24"/>
          <w:vertAlign w:val="subscript"/>
        </w:rPr>
        <w:t>i</w:t>
      </w:r>
      <w:r>
        <w:rPr>
          <w:i/>
          <w:sz w:val="24"/>
        </w:rPr>
        <w:t>—</w:t>
      </w:r>
      <w:r>
        <w:rPr>
          <w:rFonts w:ascii="宋体" w:hAnsi="宋体"/>
          <w:sz w:val="24"/>
        </w:rPr>
        <w:t>第</w:t>
      </w:r>
      <w:r>
        <w:rPr>
          <w:sz w:val="24"/>
        </w:rPr>
        <w:t>i</w:t>
      </w:r>
      <w:r>
        <w:rPr>
          <w:rFonts w:ascii="宋体" w:hAnsi="宋体"/>
          <w:sz w:val="24"/>
        </w:rPr>
        <w:t>噪声源在预测点噪声值，</w:t>
      </w:r>
      <w:r>
        <w:rPr>
          <w:sz w:val="24"/>
        </w:rPr>
        <w:t>dB</w:t>
      </w:r>
      <w:r>
        <w:rPr>
          <w:rFonts w:ascii="宋体" w:hAnsi="宋体"/>
          <w:sz w:val="24"/>
        </w:rPr>
        <w:t>（</w:t>
      </w:r>
      <w:r>
        <w:rPr>
          <w:sz w:val="24"/>
        </w:rPr>
        <w:t>A</w:t>
      </w:r>
      <w:r>
        <w:rPr>
          <w:rFonts w:ascii="宋体" w:hAnsi="宋体"/>
          <w:sz w:val="24"/>
        </w:rPr>
        <w:t>）</w:t>
      </w:r>
    </w:p>
    <w:p>
      <w:pPr>
        <w:spacing w:line="360" w:lineRule="auto"/>
        <w:ind w:firstLine="480"/>
        <w:rPr>
          <w:sz w:val="24"/>
        </w:rPr>
      </w:pPr>
      <w:r>
        <w:rPr>
          <w:i/>
          <w:sz w:val="24"/>
        </w:rPr>
        <w:t>L</w:t>
      </w:r>
      <w:r>
        <w:rPr>
          <w:i/>
          <w:sz w:val="24"/>
          <w:vertAlign w:val="subscript"/>
        </w:rPr>
        <w:t>w</w:t>
      </w:r>
      <w:r>
        <w:rPr>
          <w:i/>
          <w:sz w:val="24"/>
        </w:rPr>
        <w:t>—</w:t>
      </w:r>
      <w:r>
        <w:rPr>
          <w:rFonts w:ascii="宋体" w:hAnsi="宋体"/>
          <w:sz w:val="24"/>
        </w:rPr>
        <w:t>噪声源强，</w:t>
      </w:r>
      <w:r>
        <w:rPr>
          <w:sz w:val="24"/>
        </w:rPr>
        <w:t>dB</w:t>
      </w:r>
      <w:r>
        <w:rPr>
          <w:rFonts w:ascii="宋体" w:hAnsi="宋体"/>
          <w:sz w:val="24"/>
        </w:rPr>
        <w:t>（</w:t>
      </w:r>
      <w:r>
        <w:rPr>
          <w:sz w:val="24"/>
        </w:rPr>
        <w:t>A</w:t>
      </w:r>
      <w:r>
        <w:rPr>
          <w:rFonts w:ascii="宋体" w:hAnsi="宋体"/>
          <w:sz w:val="24"/>
        </w:rPr>
        <w:t>）</w:t>
      </w:r>
    </w:p>
    <w:p>
      <w:pPr>
        <w:spacing w:line="360" w:lineRule="auto"/>
        <w:ind w:firstLine="480"/>
        <w:rPr>
          <w:sz w:val="24"/>
        </w:rPr>
      </w:pPr>
      <w:r>
        <w:rPr>
          <w:sz w:val="24"/>
        </w:rPr>
        <w:t>r—</w:t>
      </w:r>
      <w:r>
        <w:rPr>
          <w:rFonts w:ascii="宋体" w:hAnsi="宋体"/>
          <w:sz w:val="24"/>
        </w:rPr>
        <w:t>预测点距噪声源的距离，</w:t>
      </w:r>
      <w:r>
        <w:rPr>
          <w:sz w:val="24"/>
        </w:rPr>
        <w:t>m</w:t>
      </w:r>
    </w:p>
    <w:p>
      <w:pPr>
        <w:spacing w:line="360" w:lineRule="auto"/>
        <w:ind w:firstLine="480"/>
        <w:rPr>
          <w:iCs/>
          <w:sz w:val="24"/>
        </w:rPr>
      </w:pPr>
      <w:r>
        <w:rPr>
          <w:rFonts w:ascii="宋体" w:hAnsi="宋体"/>
          <w:sz w:val="24"/>
        </w:rPr>
        <w:t>地面效应引起的衰减：</w:t>
      </w:r>
      <w:r>
        <w:rPr>
          <w:i/>
          <w:sz w:val="24"/>
        </w:rPr>
        <w:t>Agr=</w:t>
      </w:r>
      <w:r>
        <w:rPr>
          <w:iCs/>
          <w:sz w:val="24"/>
        </w:rPr>
        <w:t>4.8- (2h</w:t>
      </w:r>
      <w:r>
        <w:rPr>
          <w:iCs/>
          <w:sz w:val="24"/>
          <w:vertAlign w:val="subscript"/>
        </w:rPr>
        <w:t>m</w:t>
      </w:r>
      <w:r>
        <w:rPr>
          <w:iCs/>
          <w:sz w:val="24"/>
        </w:rPr>
        <w:t>/r)(17+300/r)</w:t>
      </w:r>
    </w:p>
    <w:p>
      <w:pPr>
        <w:spacing w:line="360" w:lineRule="auto"/>
        <w:ind w:firstLine="480"/>
        <w:rPr>
          <w:sz w:val="24"/>
        </w:rPr>
      </w:pPr>
      <w:r>
        <w:rPr>
          <w:rFonts w:ascii="宋体" w:hAnsi="宋体"/>
          <w:sz w:val="24"/>
        </w:rPr>
        <w:t>式中：</w:t>
      </w:r>
      <w:r>
        <w:rPr>
          <w:i/>
          <w:sz w:val="24"/>
        </w:rPr>
        <w:t>Agr—</w:t>
      </w:r>
      <w:r>
        <w:rPr>
          <w:rFonts w:ascii="宋体" w:hAnsi="宋体"/>
          <w:sz w:val="24"/>
        </w:rPr>
        <w:t>地面效应引起的衰减，</w:t>
      </w:r>
      <w:r>
        <w:rPr>
          <w:sz w:val="24"/>
        </w:rPr>
        <w:t>dB</w:t>
      </w:r>
    </w:p>
    <w:p>
      <w:pPr>
        <w:spacing w:line="360" w:lineRule="auto"/>
        <w:ind w:firstLine="480"/>
        <w:rPr>
          <w:sz w:val="24"/>
        </w:rPr>
      </w:pPr>
      <w:r>
        <w:rPr>
          <w:iCs/>
          <w:sz w:val="24"/>
        </w:rPr>
        <w:t>h</w:t>
      </w:r>
      <w:r>
        <w:rPr>
          <w:iCs/>
          <w:sz w:val="24"/>
          <w:vertAlign w:val="subscript"/>
        </w:rPr>
        <w:t>m</w:t>
      </w:r>
      <w:r>
        <w:rPr>
          <w:sz w:val="24"/>
        </w:rPr>
        <w:t>—</w:t>
      </w:r>
      <w:r>
        <w:rPr>
          <w:rFonts w:ascii="宋体" w:hAnsi="宋体"/>
          <w:sz w:val="24"/>
        </w:rPr>
        <w:t>传播路径的平均离地高度，</w:t>
      </w:r>
      <w:r>
        <w:rPr>
          <w:sz w:val="24"/>
        </w:rPr>
        <w:t>m</w:t>
      </w:r>
    </w:p>
    <w:p>
      <w:pPr>
        <w:spacing w:line="360" w:lineRule="auto"/>
        <w:ind w:firstLine="480"/>
        <w:rPr>
          <w:sz w:val="24"/>
        </w:rPr>
      </w:pPr>
      <w:r>
        <w:rPr>
          <w:sz w:val="24"/>
        </w:rPr>
        <w:t>N</w:t>
      </w:r>
      <w:r>
        <w:rPr>
          <w:rFonts w:ascii="宋体" w:hAnsi="宋体"/>
          <w:sz w:val="24"/>
        </w:rPr>
        <w:t>个噪声源叠加公式：</w:t>
      </w:r>
      <w:r>
        <w:rPr>
          <w:sz w:val="24"/>
        </w:rPr>
        <w:t>L=lg</w:t>
      </w:r>
      <w:r>
        <w:rPr>
          <w:rFonts w:ascii="宋体" w:hAnsi="宋体"/>
          <w:sz w:val="24"/>
        </w:rPr>
        <w:t>（</w:t>
      </w:r>
      <w:r>
        <w:rPr>
          <w:sz w:val="24"/>
        </w:rPr>
        <w:t>10</w:t>
      </w:r>
      <w:r>
        <w:rPr>
          <w:sz w:val="24"/>
          <w:vertAlign w:val="superscript"/>
        </w:rPr>
        <w:t>L1/10</w:t>
      </w:r>
      <w:r>
        <w:rPr>
          <w:sz w:val="24"/>
        </w:rPr>
        <w:t>+10</w:t>
      </w:r>
      <w:r>
        <w:rPr>
          <w:sz w:val="24"/>
          <w:vertAlign w:val="superscript"/>
        </w:rPr>
        <w:t xml:space="preserve"> L2/10</w:t>
      </w:r>
      <w:r>
        <w:rPr>
          <w:sz w:val="24"/>
        </w:rPr>
        <w:t>+10</w:t>
      </w:r>
      <w:r>
        <w:rPr>
          <w:sz w:val="24"/>
          <w:vertAlign w:val="superscript"/>
        </w:rPr>
        <w:t xml:space="preserve"> L3/10</w:t>
      </w:r>
      <w:r>
        <w:rPr>
          <w:sz w:val="24"/>
        </w:rPr>
        <w:t>+…+10</w:t>
      </w:r>
      <w:r>
        <w:rPr>
          <w:sz w:val="24"/>
          <w:vertAlign w:val="superscript"/>
        </w:rPr>
        <w:t xml:space="preserve"> Ln/10</w:t>
      </w:r>
      <w:r>
        <w:rPr>
          <w:rFonts w:ascii="宋体" w:hAnsi="宋体"/>
          <w:sz w:val="24"/>
        </w:rPr>
        <w:t>）</w:t>
      </w:r>
    </w:p>
    <w:p>
      <w:pPr>
        <w:spacing w:line="360" w:lineRule="auto"/>
        <w:ind w:firstLine="480"/>
        <w:rPr>
          <w:sz w:val="24"/>
        </w:rPr>
      </w:pPr>
      <w:r>
        <w:rPr>
          <w:rFonts w:ascii="宋体" w:hAnsi="宋体"/>
          <w:sz w:val="24"/>
        </w:rPr>
        <w:t>式中：</w:t>
      </w:r>
      <w:r>
        <w:rPr>
          <w:sz w:val="24"/>
        </w:rPr>
        <w:t>L—</w:t>
      </w:r>
      <w:r>
        <w:rPr>
          <w:rFonts w:ascii="宋体" w:hAnsi="宋体"/>
          <w:sz w:val="24"/>
        </w:rPr>
        <w:t>总等效声级，</w:t>
      </w:r>
      <w:r>
        <w:rPr>
          <w:sz w:val="24"/>
        </w:rPr>
        <w:t>dB</w:t>
      </w:r>
      <w:r>
        <w:rPr>
          <w:rFonts w:ascii="宋体" w:hAnsi="宋体"/>
          <w:sz w:val="24"/>
        </w:rPr>
        <w:t>（</w:t>
      </w:r>
      <w:r>
        <w:rPr>
          <w:sz w:val="24"/>
        </w:rPr>
        <w:t>A</w:t>
      </w:r>
      <w:r>
        <w:rPr>
          <w:rFonts w:ascii="宋体" w:hAnsi="宋体"/>
          <w:sz w:val="24"/>
        </w:rPr>
        <w:t>）</w:t>
      </w:r>
    </w:p>
    <w:p>
      <w:pPr>
        <w:spacing w:line="360" w:lineRule="auto"/>
        <w:ind w:firstLine="480"/>
        <w:rPr>
          <w:sz w:val="24"/>
        </w:rPr>
      </w:pPr>
      <w:r>
        <w:rPr>
          <w:sz w:val="24"/>
        </w:rPr>
        <w:t>L1</w:t>
      </w:r>
      <w:r>
        <w:rPr>
          <w:rFonts w:ascii="宋体" w:hAnsi="宋体"/>
          <w:sz w:val="24"/>
        </w:rPr>
        <w:t>、</w:t>
      </w:r>
      <w:r>
        <w:rPr>
          <w:sz w:val="24"/>
        </w:rPr>
        <w:t>L2</w:t>
      </w:r>
      <w:r>
        <w:rPr>
          <w:rFonts w:ascii="宋体" w:hAnsi="宋体"/>
          <w:sz w:val="24"/>
        </w:rPr>
        <w:t>、</w:t>
      </w:r>
      <w:r>
        <w:rPr>
          <w:sz w:val="24"/>
        </w:rPr>
        <w:t>L3</w:t>
      </w:r>
      <w:r>
        <w:rPr>
          <w:rFonts w:ascii="宋体" w:hAnsi="宋体"/>
          <w:sz w:val="24"/>
        </w:rPr>
        <w:t>、</w:t>
      </w:r>
      <w:r>
        <w:rPr>
          <w:sz w:val="24"/>
        </w:rPr>
        <w:t>Ln</w:t>
      </w:r>
      <w:r>
        <w:rPr>
          <w:rFonts w:ascii="宋体" w:hAnsi="宋体"/>
          <w:sz w:val="24"/>
        </w:rPr>
        <w:t>分别为</w:t>
      </w:r>
      <w:r>
        <w:rPr>
          <w:sz w:val="24"/>
        </w:rPr>
        <w:t>N</w:t>
      </w:r>
      <w:r>
        <w:rPr>
          <w:rFonts w:ascii="宋体" w:hAnsi="宋体"/>
          <w:sz w:val="24"/>
        </w:rPr>
        <w:t>个噪声源的等效声级，</w:t>
      </w:r>
      <w:r>
        <w:rPr>
          <w:sz w:val="24"/>
        </w:rPr>
        <w:t>dB</w:t>
      </w:r>
      <w:r>
        <w:rPr>
          <w:rFonts w:ascii="宋体" w:hAnsi="宋体"/>
          <w:sz w:val="24"/>
        </w:rPr>
        <w:t>（</w:t>
      </w:r>
      <w:r>
        <w:rPr>
          <w:sz w:val="24"/>
        </w:rPr>
        <w:t>A</w:t>
      </w:r>
      <w:r>
        <w:rPr>
          <w:rFonts w:ascii="宋体" w:hAnsi="宋体"/>
          <w:sz w:val="24"/>
        </w:rPr>
        <w:t>）</w:t>
      </w:r>
    </w:p>
    <w:p>
      <w:pPr>
        <w:spacing w:line="360" w:lineRule="auto"/>
        <w:ind w:firstLine="480"/>
        <w:rPr>
          <w:color w:val="FF0000"/>
          <w:sz w:val="24"/>
        </w:rPr>
      </w:pPr>
      <w:r>
        <w:rPr>
          <w:rFonts w:ascii="宋体" w:hAnsi="宋体"/>
          <w:color w:val="FF0000"/>
          <w:sz w:val="24"/>
        </w:rPr>
        <w:t>（</w:t>
      </w:r>
      <w:r>
        <w:rPr>
          <w:color w:val="FF0000"/>
          <w:sz w:val="24"/>
        </w:rPr>
        <w:t>3</w:t>
      </w:r>
      <w:r>
        <w:rPr>
          <w:rFonts w:ascii="宋体" w:hAnsi="宋体"/>
          <w:color w:val="FF0000"/>
          <w:sz w:val="24"/>
        </w:rPr>
        <w:t>）预测结果</w:t>
      </w:r>
    </w:p>
    <w:p>
      <w:pPr>
        <w:spacing w:line="360" w:lineRule="auto"/>
        <w:ind w:firstLine="480"/>
        <w:rPr>
          <w:color w:val="FF0000"/>
          <w:sz w:val="24"/>
        </w:rPr>
      </w:pPr>
      <w:r>
        <w:rPr>
          <w:rFonts w:ascii="宋体" w:hAnsi="宋体"/>
          <w:color w:val="FF0000"/>
          <w:sz w:val="24"/>
        </w:rPr>
        <w:t>由于本项目夜间不生产，因此，仅预测昼间噪声。考虑在多个噪声即推土机、</w:t>
      </w:r>
      <w:r>
        <w:rPr>
          <w:rFonts w:hint="eastAsia" w:ascii="宋体" w:hAnsi="宋体"/>
          <w:color w:val="FF0000"/>
          <w:sz w:val="24"/>
        </w:rPr>
        <w:t>挖掘机</w:t>
      </w:r>
      <w:r>
        <w:rPr>
          <w:rFonts w:ascii="宋体" w:hAnsi="宋体"/>
          <w:color w:val="FF0000"/>
          <w:sz w:val="24"/>
        </w:rPr>
        <w:t>、</w:t>
      </w:r>
      <w:r>
        <w:rPr>
          <w:rFonts w:hint="eastAsia" w:ascii="宋体" w:hAnsi="宋体"/>
          <w:color w:val="FF0000"/>
          <w:sz w:val="24"/>
        </w:rPr>
        <w:t>压实机等</w:t>
      </w:r>
      <w:r>
        <w:rPr>
          <w:rFonts w:ascii="宋体" w:hAnsi="宋体"/>
          <w:color w:val="FF0000"/>
          <w:sz w:val="24"/>
        </w:rPr>
        <w:t>联合作业产生影响，按以上噪声源叠加预测出厂界昼间噪声值见表</w:t>
      </w:r>
      <w:r>
        <w:rPr>
          <w:color w:val="FF0000"/>
          <w:sz w:val="24"/>
        </w:rPr>
        <w:t>6.3-1</w:t>
      </w:r>
      <w:r>
        <w:rPr>
          <w:rFonts w:ascii="宋体" w:hAnsi="宋体"/>
          <w:color w:val="FF0000"/>
          <w:sz w:val="24"/>
        </w:rPr>
        <w:t>。</w:t>
      </w:r>
    </w:p>
    <w:p>
      <w:pPr>
        <w:pStyle w:val="2246"/>
        <w:widowControl w:val="0"/>
        <w:ind w:firstLine="482"/>
        <w:jc w:val="center"/>
        <w:rPr>
          <w:b/>
          <w:color w:val="FF0000"/>
          <w:kern w:val="0"/>
          <w:sz w:val="24"/>
          <w:szCs w:val="24"/>
        </w:rPr>
      </w:pPr>
      <w:r>
        <w:rPr>
          <w:rFonts w:ascii="宋体" w:hAnsi="宋体"/>
          <w:b/>
          <w:color w:val="FF0000"/>
          <w:kern w:val="0"/>
          <w:sz w:val="24"/>
          <w:szCs w:val="24"/>
        </w:rPr>
        <w:t>表</w:t>
      </w:r>
      <w:r>
        <w:rPr>
          <w:b/>
          <w:color w:val="FF0000"/>
          <w:kern w:val="0"/>
          <w:sz w:val="24"/>
          <w:szCs w:val="24"/>
        </w:rPr>
        <w:t xml:space="preserve">6.3-1  </w:t>
      </w:r>
      <w:r>
        <w:rPr>
          <w:rFonts w:ascii="宋体" w:hAnsi="宋体"/>
          <w:b/>
          <w:color w:val="FF0000"/>
          <w:kern w:val="0"/>
          <w:sz w:val="24"/>
          <w:szCs w:val="24"/>
        </w:rPr>
        <w:t>厂界昼间噪声预测结果 单位</w:t>
      </w:r>
      <w:r>
        <w:rPr>
          <w:b/>
          <w:color w:val="FF0000"/>
          <w:kern w:val="0"/>
          <w:sz w:val="24"/>
          <w:szCs w:val="24"/>
        </w:rPr>
        <w:t>dB</w:t>
      </w:r>
      <w:r>
        <w:rPr>
          <w:rFonts w:ascii="宋体" w:hAnsi="宋体"/>
          <w:b/>
          <w:color w:val="FF0000"/>
          <w:kern w:val="0"/>
          <w:sz w:val="24"/>
          <w:szCs w:val="24"/>
        </w:rPr>
        <w:t>（</w:t>
      </w:r>
      <w:r>
        <w:rPr>
          <w:b/>
          <w:color w:val="FF0000"/>
          <w:kern w:val="0"/>
          <w:sz w:val="24"/>
          <w:szCs w:val="24"/>
        </w:rPr>
        <w:t>A</w:t>
      </w:r>
      <w:r>
        <w:rPr>
          <w:rFonts w:ascii="宋体" w:hAnsi="宋体"/>
          <w:b/>
          <w:color w:val="FF0000"/>
          <w:kern w:val="0"/>
          <w:sz w:val="24"/>
          <w:szCs w:val="24"/>
        </w:rPr>
        <w:t>）</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3"/>
        <w:gridCol w:w="1424"/>
        <w:gridCol w:w="1424"/>
        <w:gridCol w:w="1424"/>
        <w:gridCol w:w="1422"/>
        <w:gridCol w:w="14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pPr>
              <w:jc w:val="center"/>
              <w:rPr>
                <w:color w:val="FF0000"/>
                <w:szCs w:val="21"/>
              </w:rPr>
            </w:pPr>
            <w:r>
              <w:rPr>
                <w:rFonts w:ascii="宋体" w:hAnsi="宋体"/>
                <w:color w:val="FF0000"/>
              </w:rPr>
              <w:t>厂界</w:t>
            </w:r>
          </w:p>
        </w:tc>
        <w:tc>
          <w:tcPr>
            <w:tcW w:w="834" w:type="pct"/>
          </w:tcPr>
          <w:p>
            <w:pPr>
              <w:jc w:val="center"/>
              <w:rPr>
                <w:rFonts w:ascii="宋体" w:hAnsi="宋体"/>
                <w:color w:val="FF0000"/>
              </w:rPr>
            </w:pPr>
            <w:r>
              <w:rPr>
                <w:rFonts w:hint="eastAsia" w:ascii="宋体" w:hAnsi="宋体"/>
                <w:color w:val="FF0000"/>
              </w:rPr>
              <w:t>昼间背景值</w:t>
            </w:r>
          </w:p>
        </w:tc>
        <w:tc>
          <w:tcPr>
            <w:tcW w:w="834" w:type="pct"/>
            <w:vAlign w:val="center"/>
          </w:tcPr>
          <w:p>
            <w:pPr>
              <w:jc w:val="center"/>
              <w:rPr>
                <w:color w:val="FF0000"/>
              </w:rPr>
            </w:pPr>
            <w:r>
              <w:rPr>
                <w:rFonts w:ascii="宋体" w:hAnsi="宋体"/>
                <w:color w:val="FF0000"/>
              </w:rPr>
              <w:t>昼间</w:t>
            </w:r>
            <w:r>
              <w:rPr>
                <w:rFonts w:hint="eastAsia" w:ascii="宋体" w:hAnsi="宋体"/>
                <w:color w:val="FF0000"/>
              </w:rPr>
              <w:t>贡献值</w:t>
            </w:r>
          </w:p>
        </w:tc>
        <w:tc>
          <w:tcPr>
            <w:tcW w:w="834" w:type="pct"/>
            <w:vAlign w:val="center"/>
          </w:tcPr>
          <w:p>
            <w:pPr>
              <w:jc w:val="center"/>
              <w:rPr>
                <w:rFonts w:ascii="宋体" w:hAnsi="宋体"/>
                <w:color w:val="FF0000"/>
              </w:rPr>
            </w:pPr>
            <w:r>
              <w:rPr>
                <w:rFonts w:ascii="宋体" w:hAnsi="宋体"/>
                <w:color w:val="FF0000"/>
              </w:rPr>
              <w:t>昼间</w:t>
            </w:r>
            <w:r>
              <w:rPr>
                <w:rFonts w:hint="eastAsia" w:ascii="宋体" w:hAnsi="宋体"/>
                <w:color w:val="FF0000"/>
              </w:rPr>
              <w:t>叠加值</w:t>
            </w:r>
          </w:p>
        </w:tc>
        <w:tc>
          <w:tcPr>
            <w:tcW w:w="833" w:type="pct"/>
            <w:vAlign w:val="center"/>
          </w:tcPr>
          <w:p>
            <w:pPr>
              <w:jc w:val="center"/>
              <w:rPr>
                <w:color w:val="FF0000"/>
              </w:rPr>
            </w:pPr>
            <w:r>
              <w:rPr>
                <w:rFonts w:ascii="宋体" w:hAnsi="宋体"/>
                <w:color w:val="FF0000"/>
              </w:rPr>
              <w:t>标准值</w:t>
            </w:r>
          </w:p>
        </w:tc>
        <w:tc>
          <w:tcPr>
            <w:tcW w:w="831" w:type="pct"/>
            <w:vAlign w:val="center"/>
          </w:tcPr>
          <w:p>
            <w:pPr>
              <w:jc w:val="center"/>
              <w:rPr>
                <w:color w:val="FF0000"/>
              </w:rPr>
            </w:pPr>
            <w:r>
              <w:rPr>
                <w:rFonts w:ascii="宋体" w:hAnsi="宋体"/>
                <w:color w:val="FF0000"/>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pPr>
              <w:jc w:val="center"/>
              <w:rPr>
                <w:color w:val="FF0000"/>
              </w:rPr>
            </w:pPr>
            <w:r>
              <w:rPr>
                <w:rFonts w:ascii="宋体" w:hAnsi="宋体"/>
                <w:color w:val="FF0000"/>
              </w:rPr>
              <w:t>东侧</w:t>
            </w:r>
          </w:p>
        </w:tc>
        <w:tc>
          <w:tcPr>
            <w:tcW w:w="834" w:type="pct"/>
          </w:tcPr>
          <w:p>
            <w:pPr>
              <w:jc w:val="center"/>
              <w:rPr>
                <w:color w:val="FF0000"/>
              </w:rPr>
            </w:pPr>
            <w:r>
              <w:rPr>
                <w:rFonts w:hint="eastAsia"/>
                <w:color w:val="FF0000"/>
              </w:rPr>
              <w:t>5</w:t>
            </w:r>
            <w:r>
              <w:rPr>
                <w:color w:val="FF0000"/>
              </w:rPr>
              <w:t>4</w:t>
            </w:r>
          </w:p>
        </w:tc>
        <w:tc>
          <w:tcPr>
            <w:tcW w:w="834" w:type="pct"/>
            <w:vAlign w:val="center"/>
          </w:tcPr>
          <w:p>
            <w:pPr>
              <w:jc w:val="center"/>
              <w:rPr>
                <w:color w:val="FF0000"/>
              </w:rPr>
            </w:pPr>
            <w:r>
              <w:rPr>
                <w:color w:val="FF0000"/>
              </w:rPr>
              <w:t>51.1</w:t>
            </w:r>
          </w:p>
        </w:tc>
        <w:tc>
          <w:tcPr>
            <w:tcW w:w="834" w:type="pct"/>
            <w:vAlign w:val="center"/>
          </w:tcPr>
          <w:p>
            <w:pPr>
              <w:jc w:val="center"/>
              <w:rPr>
                <w:color w:val="FF0000"/>
              </w:rPr>
            </w:pPr>
            <w:r>
              <w:rPr>
                <w:rFonts w:hint="eastAsia"/>
                <w:color w:val="FF0000"/>
              </w:rPr>
              <w:t>5</w:t>
            </w:r>
            <w:r>
              <w:rPr>
                <w:color w:val="FF0000"/>
              </w:rPr>
              <w:t>5.30</w:t>
            </w:r>
          </w:p>
        </w:tc>
        <w:tc>
          <w:tcPr>
            <w:tcW w:w="833" w:type="pct"/>
            <w:vMerge w:val="restart"/>
            <w:vAlign w:val="center"/>
          </w:tcPr>
          <w:p>
            <w:pPr>
              <w:jc w:val="center"/>
              <w:rPr>
                <w:color w:val="FF0000"/>
              </w:rPr>
            </w:pPr>
            <w:r>
              <w:rPr>
                <w:color w:val="FF0000"/>
              </w:rPr>
              <w:t>60</w:t>
            </w:r>
          </w:p>
        </w:tc>
        <w:tc>
          <w:tcPr>
            <w:tcW w:w="831" w:type="pct"/>
            <w:vAlign w:val="center"/>
          </w:tcPr>
          <w:p>
            <w:pPr>
              <w:jc w:val="center"/>
              <w:rPr>
                <w:color w:val="FF0000"/>
              </w:rPr>
            </w:pPr>
            <w:r>
              <w:rPr>
                <w:rFonts w:ascii="宋体" w:hAnsi="宋体"/>
                <w:color w:val="FF0000"/>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pPr>
              <w:jc w:val="center"/>
              <w:rPr>
                <w:color w:val="FF0000"/>
              </w:rPr>
            </w:pPr>
            <w:r>
              <w:rPr>
                <w:rFonts w:ascii="宋体" w:hAnsi="宋体"/>
                <w:color w:val="FF0000"/>
              </w:rPr>
              <w:t>南侧</w:t>
            </w:r>
          </w:p>
        </w:tc>
        <w:tc>
          <w:tcPr>
            <w:tcW w:w="834" w:type="pct"/>
          </w:tcPr>
          <w:p>
            <w:pPr>
              <w:jc w:val="center"/>
              <w:rPr>
                <w:color w:val="FF0000"/>
              </w:rPr>
            </w:pPr>
            <w:r>
              <w:rPr>
                <w:rFonts w:hint="eastAsia"/>
                <w:color w:val="FF0000"/>
              </w:rPr>
              <w:t>5</w:t>
            </w:r>
            <w:r>
              <w:rPr>
                <w:color w:val="FF0000"/>
              </w:rPr>
              <w:t>3</w:t>
            </w:r>
          </w:p>
        </w:tc>
        <w:tc>
          <w:tcPr>
            <w:tcW w:w="834" w:type="pct"/>
            <w:vAlign w:val="center"/>
          </w:tcPr>
          <w:p>
            <w:pPr>
              <w:jc w:val="center"/>
              <w:rPr>
                <w:color w:val="FF0000"/>
              </w:rPr>
            </w:pPr>
            <w:r>
              <w:rPr>
                <w:color w:val="FF0000"/>
              </w:rPr>
              <w:t>49.3</w:t>
            </w:r>
          </w:p>
        </w:tc>
        <w:tc>
          <w:tcPr>
            <w:tcW w:w="834" w:type="pct"/>
            <w:vAlign w:val="center"/>
          </w:tcPr>
          <w:p>
            <w:pPr>
              <w:jc w:val="center"/>
              <w:rPr>
                <w:color w:val="FF0000"/>
                <w:szCs w:val="21"/>
              </w:rPr>
            </w:pPr>
            <w:r>
              <w:rPr>
                <w:rFonts w:hint="eastAsia"/>
                <w:color w:val="FF0000"/>
                <w:szCs w:val="21"/>
              </w:rPr>
              <w:t>5</w:t>
            </w:r>
            <w:r>
              <w:rPr>
                <w:color w:val="FF0000"/>
                <w:szCs w:val="21"/>
              </w:rPr>
              <w:t>3.64</w:t>
            </w:r>
          </w:p>
        </w:tc>
        <w:tc>
          <w:tcPr>
            <w:tcW w:w="833" w:type="pct"/>
            <w:vMerge w:val="continue"/>
            <w:vAlign w:val="center"/>
          </w:tcPr>
          <w:p>
            <w:pPr>
              <w:rPr>
                <w:color w:val="FF0000"/>
                <w:szCs w:val="21"/>
              </w:rPr>
            </w:pPr>
          </w:p>
        </w:tc>
        <w:tc>
          <w:tcPr>
            <w:tcW w:w="831" w:type="pct"/>
            <w:vAlign w:val="center"/>
          </w:tcPr>
          <w:p>
            <w:pPr>
              <w:jc w:val="center"/>
              <w:rPr>
                <w:color w:val="FF0000"/>
              </w:rPr>
            </w:pPr>
            <w:r>
              <w:rPr>
                <w:rFonts w:ascii="宋体" w:hAnsi="宋体"/>
                <w:color w:val="FF0000"/>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pPr>
              <w:jc w:val="center"/>
              <w:rPr>
                <w:color w:val="FF0000"/>
              </w:rPr>
            </w:pPr>
            <w:r>
              <w:rPr>
                <w:rFonts w:ascii="宋体" w:hAnsi="宋体"/>
                <w:color w:val="FF0000"/>
              </w:rPr>
              <w:t>西侧</w:t>
            </w:r>
          </w:p>
        </w:tc>
        <w:tc>
          <w:tcPr>
            <w:tcW w:w="834" w:type="pct"/>
          </w:tcPr>
          <w:p>
            <w:pPr>
              <w:jc w:val="center"/>
              <w:rPr>
                <w:color w:val="FF0000"/>
              </w:rPr>
            </w:pPr>
            <w:r>
              <w:rPr>
                <w:rFonts w:hint="eastAsia"/>
                <w:color w:val="FF0000"/>
              </w:rPr>
              <w:t>5</w:t>
            </w:r>
            <w:r>
              <w:rPr>
                <w:color w:val="FF0000"/>
              </w:rPr>
              <w:t>2</w:t>
            </w:r>
          </w:p>
        </w:tc>
        <w:tc>
          <w:tcPr>
            <w:tcW w:w="834" w:type="pct"/>
            <w:vAlign w:val="center"/>
          </w:tcPr>
          <w:p>
            <w:pPr>
              <w:jc w:val="center"/>
              <w:rPr>
                <w:color w:val="FF0000"/>
              </w:rPr>
            </w:pPr>
            <w:r>
              <w:rPr>
                <w:color w:val="FF0000"/>
              </w:rPr>
              <w:t>52.3</w:t>
            </w:r>
          </w:p>
        </w:tc>
        <w:tc>
          <w:tcPr>
            <w:tcW w:w="834" w:type="pct"/>
            <w:vAlign w:val="center"/>
          </w:tcPr>
          <w:p>
            <w:pPr>
              <w:jc w:val="center"/>
              <w:rPr>
                <w:color w:val="FF0000"/>
                <w:szCs w:val="21"/>
              </w:rPr>
            </w:pPr>
            <w:r>
              <w:rPr>
                <w:rFonts w:hint="eastAsia"/>
                <w:color w:val="FF0000"/>
                <w:szCs w:val="21"/>
              </w:rPr>
              <w:t>5</w:t>
            </w:r>
            <w:r>
              <w:rPr>
                <w:color w:val="FF0000"/>
                <w:szCs w:val="21"/>
              </w:rPr>
              <w:t>3.30</w:t>
            </w:r>
          </w:p>
        </w:tc>
        <w:tc>
          <w:tcPr>
            <w:tcW w:w="833" w:type="pct"/>
            <w:vMerge w:val="continue"/>
            <w:vAlign w:val="center"/>
          </w:tcPr>
          <w:p>
            <w:pPr>
              <w:rPr>
                <w:color w:val="FF0000"/>
                <w:szCs w:val="21"/>
              </w:rPr>
            </w:pPr>
          </w:p>
        </w:tc>
        <w:tc>
          <w:tcPr>
            <w:tcW w:w="831" w:type="pct"/>
            <w:vAlign w:val="center"/>
          </w:tcPr>
          <w:p>
            <w:pPr>
              <w:jc w:val="center"/>
              <w:rPr>
                <w:color w:val="FF0000"/>
              </w:rPr>
            </w:pPr>
            <w:r>
              <w:rPr>
                <w:rFonts w:ascii="宋体" w:hAnsi="宋体"/>
                <w:color w:val="FF0000"/>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pPr>
              <w:jc w:val="center"/>
              <w:rPr>
                <w:color w:val="FF0000"/>
              </w:rPr>
            </w:pPr>
            <w:r>
              <w:rPr>
                <w:rFonts w:ascii="宋体" w:hAnsi="宋体"/>
                <w:color w:val="FF0000"/>
              </w:rPr>
              <w:t>北侧</w:t>
            </w:r>
          </w:p>
        </w:tc>
        <w:tc>
          <w:tcPr>
            <w:tcW w:w="834" w:type="pct"/>
          </w:tcPr>
          <w:p>
            <w:pPr>
              <w:jc w:val="center"/>
              <w:rPr>
                <w:color w:val="FF0000"/>
              </w:rPr>
            </w:pPr>
            <w:r>
              <w:rPr>
                <w:rFonts w:hint="eastAsia"/>
                <w:color w:val="FF0000"/>
              </w:rPr>
              <w:t>5</w:t>
            </w:r>
            <w:r>
              <w:rPr>
                <w:color w:val="FF0000"/>
              </w:rPr>
              <w:t>2</w:t>
            </w:r>
          </w:p>
        </w:tc>
        <w:tc>
          <w:tcPr>
            <w:tcW w:w="834" w:type="pct"/>
            <w:vAlign w:val="center"/>
          </w:tcPr>
          <w:p>
            <w:pPr>
              <w:jc w:val="center"/>
              <w:rPr>
                <w:color w:val="FF0000"/>
              </w:rPr>
            </w:pPr>
            <w:r>
              <w:rPr>
                <w:color w:val="FF0000"/>
              </w:rPr>
              <w:t>50.8</w:t>
            </w:r>
          </w:p>
        </w:tc>
        <w:tc>
          <w:tcPr>
            <w:tcW w:w="834" w:type="pct"/>
            <w:vAlign w:val="center"/>
          </w:tcPr>
          <w:p>
            <w:pPr>
              <w:jc w:val="center"/>
              <w:rPr>
                <w:color w:val="FF0000"/>
                <w:szCs w:val="21"/>
              </w:rPr>
            </w:pPr>
            <w:r>
              <w:rPr>
                <w:rFonts w:hint="eastAsia"/>
                <w:color w:val="FF0000"/>
                <w:szCs w:val="21"/>
              </w:rPr>
              <w:t>5</w:t>
            </w:r>
            <w:r>
              <w:rPr>
                <w:color w:val="FF0000"/>
                <w:szCs w:val="21"/>
              </w:rPr>
              <w:t>5.62</w:t>
            </w:r>
          </w:p>
        </w:tc>
        <w:tc>
          <w:tcPr>
            <w:tcW w:w="833" w:type="pct"/>
            <w:vMerge w:val="continue"/>
            <w:vAlign w:val="center"/>
          </w:tcPr>
          <w:p>
            <w:pPr>
              <w:rPr>
                <w:color w:val="FF0000"/>
                <w:szCs w:val="21"/>
              </w:rPr>
            </w:pPr>
          </w:p>
        </w:tc>
        <w:tc>
          <w:tcPr>
            <w:tcW w:w="831" w:type="pct"/>
            <w:vAlign w:val="center"/>
          </w:tcPr>
          <w:p>
            <w:pPr>
              <w:jc w:val="center"/>
              <w:rPr>
                <w:color w:val="FF0000"/>
              </w:rPr>
            </w:pPr>
            <w:r>
              <w:rPr>
                <w:rFonts w:ascii="宋体" w:hAnsi="宋体"/>
                <w:color w:val="FF0000"/>
              </w:rPr>
              <w:t>达标</w:t>
            </w:r>
          </w:p>
        </w:tc>
      </w:tr>
    </w:tbl>
    <w:p>
      <w:pPr>
        <w:spacing w:before="120" w:beforeLines="50" w:line="360" w:lineRule="auto"/>
        <w:rPr>
          <w:rFonts w:ascii="宋体" w:hAnsi="宋体"/>
          <w:color w:val="FF0000"/>
          <w:sz w:val="24"/>
        </w:rPr>
      </w:pPr>
      <w:r>
        <w:rPr>
          <w:rFonts w:ascii="宋体" w:hAnsi="宋体"/>
          <w:color w:val="FF0000"/>
          <w:sz w:val="24"/>
        </w:rPr>
        <w:drawing>
          <wp:inline distT="0" distB="0" distL="0" distR="0">
            <wp:extent cx="5283200" cy="5085715"/>
            <wp:effectExtent l="0" t="0" r="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4"/>
                    <a:stretch>
                      <a:fillRect/>
                    </a:stretch>
                  </pic:blipFill>
                  <pic:spPr>
                    <a:xfrm>
                      <a:off x="0" y="0"/>
                      <a:ext cx="5283200" cy="5085715"/>
                    </a:xfrm>
                    <a:prstGeom prst="rect">
                      <a:avLst/>
                    </a:prstGeom>
                  </pic:spPr>
                </pic:pic>
              </a:graphicData>
            </a:graphic>
          </wp:inline>
        </w:drawing>
      </w:r>
    </w:p>
    <w:p>
      <w:pPr>
        <w:spacing w:before="120" w:beforeLines="50" w:line="360" w:lineRule="auto"/>
        <w:jc w:val="center"/>
        <w:rPr>
          <w:b/>
          <w:color w:val="FF0000"/>
          <w:sz w:val="24"/>
        </w:rPr>
      </w:pPr>
      <w:r>
        <w:rPr>
          <w:b/>
          <w:color w:val="FF0000"/>
          <w:sz w:val="24"/>
        </w:rPr>
        <w:t>图6.3-1 噪声等声级线图</w:t>
      </w:r>
    </w:p>
    <w:p>
      <w:pPr>
        <w:spacing w:before="120" w:beforeLines="50" w:line="360" w:lineRule="auto"/>
        <w:ind w:firstLine="482"/>
        <w:rPr>
          <w:rFonts w:ascii="宋体" w:hAnsi="宋体"/>
          <w:color w:val="FF0000"/>
          <w:sz w:val="24"/>
        </w:rPr>
      </w:pPr>
      <w:r>
        <w:rPr>
          <w:rFonts w:ascii="宋体" w:hAnsi="宋体"/>
          <w:color w:val="FF0000"/>
          <w:sz w:val="24"/>
        </w:rPr>
        <w:t>经预测，厂界昼间噪声可达到《工业企业厂界环境噪声排放标准》（</w:t>
      </w:r>
      <w:r>
        <w:rPr>
          <w:color w:val="FF0000"/>
          <w:sz w:val="24"/>
        </w:rPr>
        <w:t>GB12348-2008</w:t>
      </w:r>
      <w:r>
        <w:rPr>
          <w:rFonts w:ascii="宋体" w:hAnsi="宋体"/>
          <w:color w:val="FF0000"/>
          <w:sz w:val="24"/>
        </w:rPr>
        <w:t>）中的</w:t>
      </w:r>
      <w:r>
        <w:rPr>
          <w:color w:val="FF0000"/>
          <w:sz w:val="24"/>
        </w:rPr>
        <w:t>2</w:t>
      </w:r>
      <w:r>
        <w:rPr>
          <w:rFonts w:ascii="宋体" w:hAnsi="宋体"/>
          <w:color w:val="FF0000"/>
          <w:sz w:val="24"/>
        </w:rPr>
        <w:t>类标准要求</w:t>
      </w:r>
      <w:r>
        <w:rPr>
          <w:rFonts w:hint="eastAsia" w:ascii="宋体" w:hAnsi="宋体"/>
          <w:color w:val="FF0000"/>
          <w:sz w:val="24"/>
        </w:rPr>
        <w:t>，对周边环境</w:t>
      </w:r>
      <w:r>
        <w:rPr>
          <w:rFonts w:ascii="宋体" w:hAnsi="宋体"/>
          <w:color w:val="FF0000"/>
          <w:sz w:val="24"/>
        </w:rPr>
        <w:t>环境影响</w:t>
      </w:r>
      <w:r>
        <w:rPr>
          <w:rFonts w:hint="eastAsia" w:ascii="宋体" w:hAnsi="宋体"/>
          <w:color w:val="FF0000"/>
          <w:sz w:val="24"/>
        </w:rPr>
        <w:t>较小</w:t>
      </w:r>
      <w:r>
        <w:rPr>
          <w:rFonts w:ascii="宋体" w:hAnsi="宋体"/>
          <w:color w:val="FF0000"/>
          <w:sz w:val="24"/>
        </w:rPr>
        <w:t>。</w:t>
      </w:r>
    </w:p>
    <w:p>
      <w:pPr>
        <w:keepNext/>
        <w:spacing w:before="156" w:after="156" w:line="360" w:lineRule="auto"/>
        <w:jc w:val="left"/>
        <w:outlineLvl w:val="2"/>
        <w:rPr>
          <w:b/>
          <w:bCs/>
          <w:sz w:val="28"/>
          <w:szCs w:val="28"/>
        </w:rPr>
      </w:pPr>
      <w:bookmarkStart w:id="438" w:name="_Toc143762349"/>
      <w:r>
        <w:rPr>
          <w:b/>
          <w:sz w:val="28"/>
          <w:szCs w:val="28"/>
        </w:rPr>
        <w:t>6.3.3</w:t>
      </w:r>
      <w:r>
        <w:rPr>
          <w:rFonts w:ascii="宋体" w:hAnsi="宋体"/>
          <w:b/>
          <w:bCs/>
          <w:sz w:val="28"/>
          <w:szCs w:val="28"/>
        </w:rPr>
        <w:t>声环境影响评价自查表</w:t>
      </w:r>
      <w:bookmarkEnd w:id="438"/>
    </w:p>
    <w:p>
      <w:pPr>
        <w:widowControl/>
        <w:adjustRightInd w:val="0"/>
        <w:snapToGrid w:val="0"/>
        <w:ind w:firstLine="482"/>
        <w:jc w:val="center"/>
        <w:rPr>
          <w:b/>
          <w:bCs/>
          <w:sz w:val="24"/>
        </w:rPr>
      </w:pPr>
      <w:r>
        <w:rPr>
          <w:rFonts w:ascii="宋体" w:hAnsi="宋体"/>
          <w:b/>
          <w:bCs/>
          <w:sz w:val="24"/>
        </w:rPr>
        <w:t>表</w:t>
      </w:r>
      <w:r>
        <w:rPr>
          <w:b/>
          <w:bCs/>
          <w:sz w:val="24"/>
        </w:rPr>
        <w:t xml:space="preserve">6.3-2  </w:t>
      </w:r>
      <w:r>
        <w:rPr>
          <w:rFonts w:ascii="宋体" w:hAnsi="宋体"/>
          <w:b/>
          <w:bCs/>
          <w:sz w:val="24"/>
        </w:rPr>
        <w:t>声环境影响评价自查表</w:t>
      </w:r>
    </w:p>
    <w:tbl>
      <w:tblPr>
        <w:tblStyle w:val="2247"/>
        <w:tblW w:w="500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93" w:type="dxa"/>
          <w:bottom w:w="0" w:type="dxa"/>
          <w:right w:w="93" w:type="dxa"/>
        </w:tblCellMar>
      </w:tblPr>
      <w:tblGrid>
        <w:gridCol w:w="1577"/>
        <w:gridCol w:w="1866"/>
        <w:gridCol w:w="1142"/>
        <w:gridCol w:w="646"/>
        <w:gridCol w:w="119"/>
        <w:gridCol w:w="430"/>
        <w:gridCol w:w="760"/>
        <w:gridCol w:w="674"/>
        <w:gridCol w:w="378"/>
        <w:gridCol w:w="265"/>
        <w:gridCol w:w="649"/>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2024" w:type="pct"/>
            <w:gridSpan w:val="2"/>
            <w:tcBorders>
              <w:top w:val="single" w:color="auto" w:sz="1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工作内容</w:t>
            </w:r>
          </w:p>
        </w:tc>
        <w:tc>
          <w:tcPr>
            <w:tcW w:w="2976" w:type="pct"/>
            <w:gridSpan w:val="9"/>
            <w:tcBorders>
              <w:top w:val="single" w:color="auto" w:sz="1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自查项目</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restart"/>
            <w:tcBorders>
              <w:top w:val="single" w:color="auto" w:sz="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评价等级与范围</w:t>
            </w: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评价等级</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一级</w:t>
            </w:r>
            <w:r>
              <w:rPr>
                <w:rFonts w:eastAsia="Times New Roman"/>
                <w:kern w:val="0"/>
                <w:szCs w:val="21"/>
              </w:rPr>
              <w:t xml:space="preserve">□            </w:t>
            </w:r>
            <w:r>
              <w:rPr>
                <w:rFonts w:ascii="宋体" w:hAnsi="宋体" w:eastAsia="Times New Roman"/>
                <w:kern w:val="0"/>
                <w:szCs w:val="21"/>
              </w:rPr>
              <w:t>二级</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三级</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评价范围</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textAlignment w:val="center"/>
              <w:rPr>
                <w:rFonts w:eastAsia="Times New Roman"/>
                <w:kern w:val="0"/>
                <w:szCs w:val="21"/>
              </w:rPr>
            </w:pPr>
            <w:r>
              <w:rPr>
                <w:rFonts w:eastAsia="Times New Roman"/>
                <w:kern w:val="0"/>
                <w:szCs w:val="21"/>
              </w:rPr>
              <w:t>200m</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大于</w:t>
            </w:r>
            <w:r>
              <w:rPr>
                <w:rFonts w:eastAsia="Times New Roman"/>
                <w:kern w:val="0"/>
                <w:szCs w:val="21"/>
              </w:rPr>
              <w:t xml:space="preserve">200m□            </w:t>
            </w:r>
            <w:r>
              <w:rPr>
                <w:rFonts w:ascii="宋体" w:hAnsi="宋体" w:eastAsia="Times New Roman"/>
                <w:kern w:val="0"/>
                <w:szCs w:val="21"/>
              </w:rPr>
              <w:t>小于</w:t>
            </w:r>
            <w:r>
              <w:rPr>
                <w:rFonts w:eastAsia="Times New Roman"/>
                <w:kern w:val="0"/>
                <w:szCs w:val="21"/>
              </w:rPr>
              <w:t>200m□</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tcBorders>
              <w:top w:val="single" w:color="auto" w:sz="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评价因子</w:t>
            </w: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评价因子</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textAlignment w:val="center"/>
              <w:rPr>
                <w:rFonts w:eastAsia="Times New Roman"/>
                <w:kern w:val="0"/>
                <w:szCs w:val="21"/>
              </w:rPr>
            </w:pPr>
            <w:r>
              <w:rPr>
                <w:rFonts w:ascii="宋体" w:hAnsi="宋体" w:eastAsia="Times New Roman"/>
                <w:kern w:val="0"/>
                <w:szCs w:val="21"/>
              </w:rPr>
              <w:t>等效连续</w:t>
            </w:r>
            <w:r>
              <w:rPr>
                <w:rFonts w:eastAsia="Times New Roman"/>
                <w:kern w:val="0"/>
                <w:szCs w:val="21"/>
              </w:rPr>
              <w:t>A</w:t>
            </w:r>
            <w:r>
              <w:rPr>
                <w:rFonts w:ascii="宋体" w:hAnsi="宋体" w:eastAsia="Times New Roman"/>
                <w:kern w:val="0"/>
                <w:szCs w:val="21"/>
              </w:rPr>
              <w:t>声级</w:t>
            </w:r>
            <w:r>
              <w:rPr>
                <w:rFonts w:ascii="Wingdings 2" w:hAnsi="Wingdings 2" w:eastAsia="Times New Roman"/>
                <w:kern w:val="0"/>
                <w:szCs w:val="21"/>
              </w:rPr>
              <w:t></w:t>
            </w:r>
            <w:r>
              <w:rPr>
                <w:rFonts w:ascii="宋体" w:hAnsi="宋体" w:eastAsia="Times New Roman"/>
                <w:kern w:val="0"/>
                <w:szCs w:val="21"/>
              </w:rPr>
              <w:t>最大</w:t>
            </w:r>
            <w:r>
              <w:rPr>
                <w:rFonts w:eastAsia="Times New Roman"/>
                <w:kern w:val="0"/>
                <w:szCs w:val="21"/>
              </w:rPr>
              <w:t>A</w:t>
            </w:r>
            <w:r>
              <w:rPr>
                <w:rFonts w:ascii="宋体" w:hAnsi="宋体" w:eastAsia="Times New Roman"/>
                <w:kern w:val="0"/>
                <w:szCs w:val="21"/>
              </w:rPr>
              <w:t>声级</w:t>
            </w:r>
            <w:r>
              <w:rPr>
                <w:rFonts w:eastAsia="Times New Roman"/>
                <w:kern w:val="0"/>
                <w:szCs w:val="21"/>
              </w:rPr>
              <w:t xml:space="preserve">□    </w:t>
            </w:r>
            <w:r>
              <w:rPr>
                <w:rFonts w:ascii="宋体" w:hAnsi="宋体" w:eastAsia="Times New Roman"/>
                <w:kern w:val="0"/>
                <w:szCs w:val="21"/>
              </w:rPr>
              <w:t>计权等效连续感觉噪声级</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tcBorders>
              <w:top w:val="single" w:color="auto" w:sz="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评价标准</w:t>
            </w: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评价标准</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textAlignment w:val="center"/>
              <w:rPr>
                <w:rFonts w:eastAsia="Times New Roman"/>
                <w:kern w:val="0"/>
                <w:szCs w:val="21"/>
              </w:rPr>
            </w:pPr>
            <w:r>
              <w:rPr>
                <w:rFonts w:ascii="宋体" w:hAnsi="宋体" w:eastAsia="Times New Roman"/>
                <w:kern w:val="0"/>
                <w:szCs w:val="21"/>
              </w:rPr>
              <w:t>国家标准</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地方标准</w:t>
            </w:r>
            <w:r>
              <w:rPr>
                <w:rFonts w:eastAsia="Times New Roman"/>
                <w:kern w:val="0"/>
                <w:szCs w:val="21"/>
              </w:rPr>
              <w:t xml:space="preserve">□           </w:t>
            </w:r>
            <w:r>
              <w:rPr>
                <w:rFonts w:ascii="宋体" w:hAnsi="宋体" w:eastAsia="Times New Roman"/>
                <w:kern w:val="0"/>
                <w:szCs w:val="21"/>
              </w:rPr>
              <w:t>国外标准</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restart"/>
            <w:tcBorders>
              <w:top w:val="single" w:color="auto" w:sz="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现状评价</w:t>
            </w: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环境功能区</w:t>
            </w:r>
          </w:p>
        </w:tc>
        <w:tc>
          <w:tcPr>
            <w:tcW w:w="671"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eastAsia="Times New Roman"/>
                <w:kern w:val="0"/>
                <w:szCs w:val="21"/>
              </w:rPr>
              <w:t>0</w:t>
            </w:r>
            <w:r>
              <w:rPr>
                <w:rFonts w:ascii="宋体" w:hAnsi="宋体" w:eastAsia="Times New Roman"/>
                <w:kern w:val="0"/>
                <w:szCs w:val="21"/>
              </w:rPr>
              <w:t>类区</w:t>
            </w:r>
            <w:r>
              <w:rPr>
                <w:rFonts w:eastAsia="Times New Roman"/>
                <w:kern w:val="0"/>
                <w:szCs w:val="21"/>
              </w:rPr>
              <w:t>□</w:t>
            </w:r>
          </w:p>
        </w:tc>
        <w:tc>
          <w:tcPr>
            <w:tcW w:w="703" w:type="pct"/>
            <w:gridSpan w:val="3"/>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eastAsia="Times New Roman"/>
                <w:kern w:val="0"/>
                <w:szCs w:val="21"/>
              </w:rPr>
              <w:t>1</w:t>
            </w:r>
            <w:r>
              <w:rPr>
                <w:rFonts w:ascii="宋体" w:hAnsi="宋体" w:eastAsia="Times New Roman"/>
                <w:kern w:val="0"/>
                <w:szCs w:val="21"/>
              </w:rPr>
              <w:t>类区</w:t>
            </w:r>
            <w:r>
              <w:rPr>
                <w:rFonts w:eastAsia="Times New Roman"/>
                <w:kern w:val="0"/>
                <w:szCs w:val="21"/>
              </w:rPr>
              <w:t>□</w:t>
            </w:r>
          </w:p>
        </w:tc>
        <w:tc>
          <w:tcPr>
            <w:tcW w:w="446"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eastAsia="Times New Roman"/>
                <w:kern w:val="0"/>
                <w:szCs w:val="21"/>
              </w:rPr>
              <w:t>2</w:t>
            </w:r>
            <w:r>
              <w:rPr>
                <w:rFonts w:ascii="宋体" w:hAnsi="宋体" w:eastAsia="Times New Roman"/>
                <w:kern w:val="0"/>
                <w:szCs w:val="21"/>
              </w:rPr>
              <w:t>类区</w:t>
            </w:r>
            <w:r>
              <w:rPr>
                <w:rFonts w:ascii="Wingdings 2" w:hAnsi="Wingdings 2" w:eastAsia="Times New Roman"/>
                <w:kern w:val="0"/>
                <w:szCs w:val="21"/>
              </w:rPr>
              <w:t></w:t>
            </w:r>
          </w:p>
        </w:tc>
        <w:tc>
          <w:tcPr>
            <w:tcW w:w="396"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eastAsia="Times New Roman"/>
                <w:kern w:val="0"/>
                <w:szCs w:val="21"/>
              </w:rPr>
              <w:t>3</w:t>
            </w:r>
            <w:r>
              <w:rPr>
                <w:rFonts w:ascii="宋体" w:hAnsi="宋体" w:eastAsia="Times New Roman"/>
                <w:kern w:val="0"/>
                <w:szCs w:val="21"/>
              </w:rPr>
              <w:t>类区</w:t>
            </w:r>
            <w:r>
              <w:rPr>
                <w:rFonts w:eastAsia="Times New Roman"/>
                <w:kern w:val="0"/>
                <w:szCs w:val="21"/>
              </w:rPr>
              <w:t>□</w:t>
            </w:r>
          </w:p>
        </w:tc>
        <w:tc>
          <w:tcPr>
            <w:tcW w:w="378" w:type="pct"/>
            <w:gridSpan w:val="2"/>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eastAsia="Times New Roman"/>
                <w:kern w:val="0"/>
                <w:szCs w:val="21"/>
              </w:rPr>
              <w:t>4a</w:t>
            </w:r>
            <w:r>
              <w:rPr>
                <w:rFonts w:ascii="宋体" w:hAnsi="宋体" w:eastAsia="Times New Roman"/>
                <w:kern w:val="0"/>
                <w:szCs w:val="21"/>
              </w:rPr>
              <w:t>类区</w:t>
            </w:r>
            <w:r>
              <w:rPr>
                <w:rFonts w:eastAsia="Times New Roman"/>
                <w:kern w:val="0"/>
                <w:szCs w:val="21"/>
              </w:rPr>
              <w:t>□</w:t>
            </w:r>
          </w:p>
        </w:tc>
        <w:tc>
          <w:tcPr>
            <w:tcW w:w="382" w:type="pct"/>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eastAsia="Times New Roman"/>
                <w:kern w:val="0"/>
                <w:szCs w:val="21"/>
              </w:rPr>
              <w:t>4b</w:t>
            </w:r>
            <w:r>
              <w:rPr>
                <w:rFonts w:ascii="宋体" w:hAnsi="宋体" w:eastAsia="Times New Roman"/>
                <w:kern w:val="0"/>
                <w:szCs w:val="21"/>
              </w:rPr>
              <w:t>类区</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评价年度</w:t>
            </w:r>
          </w:p>
        </w:tc>
        <w:tc>
          <w:tcPr>
            <w:tcW w:w="1051" w:type="pct"/>
            <w:gridSpan w:val="2"/>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初期</w:t>
            </w:r>
            <w:r>
              <w:rPr>
                <w:rFonts w:eastAsia="Times New Roman"/>
                <w:kern w:val="0"/>
                <w:szCs w:val="21"/>
              </w:rPr>
              <w:t>□</w:t>
            </w:r>
          </w:p>
        </w:tc>
        <w:tc>
          <w:tcPr>
            <w:tcW w:w="770" w:type="pct"/>
            <w:gridSpan w:val="3"/>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近期</w:t>
            </w:r>
            <w:r>
              <w:rPr>
                <w:rFonts w:ascii="Wingdings 2" w:hAnsi="Wingdings 2" w:eastAsia="Times New Roman"/>
                <w:kern w:val="0"/>
                <w:szCs w:val="21"/>
              </w:rPr>
              <w:t></w:t>
            </w:r>
          </w:p>
        </w:tc>
        <w:tc>
          <w:tcPr>
            <w:tcW w:w="618" w:type="pct"/>
            <w:gridSpan w:val="2"/>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中期</w:t>
            </w:r>
            <w:r>
              <w:rPr>
                <w:rFonts w:eastAsia="Times New Roman"/>
                <w:kern w:val="0"/>
                <w:szCs w:val="21"/>
              </w:rPr>
              <w:t>□</w:t>
            </w:r>
          </w:p>
        </w:tc>
        <w:tc>
          <w:tcPr>
            <w:tcW w:w="538" w:type="pct"/>
            <w:gridSpan w:val="2"/>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远期</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现状调查方法</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textAlignment w:val="center"/>
              <w:rPr>
                <w:rFonts w:eastAsia="Times New Roman"/>
                <w:kern w:val="0"/>
                <w:szCs w:val="21"/>
              </w:rPr>
            </w:pPr>
            <w:r>
              <w:rPr>
                <w:rFonts w:ascii="宋体" w:hAnsi="宋体" w:eastAsia="Times New Roman"/>
                <w:kern w:val="0"/>
                <w:szCs w:val="21"/>
              </w:rPr>
              <w:t>现场实测法</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现场实测加模型计算法</w:t>
            </w:r>
            <w:r>
              <w:rPr>
                <w:rFonts w:eastAsia="Times New Roman"/>
                <w:kern w:val="0"/>
                <w:szCs w:val="21"/>
              </w:rPr>
              <w:t xml:space="preserve">□   </w:t>
            </w:r>
            <w:r>
              <w:rPr>
                <w:rFonts w:ascii="宋体" w:hAnsi="宋体" w:eastAsia="Times New Roman"/>
                <w:kern w:val="0"/>
                <w:szCs w:val="21"/>
              </w:rPr>
              <w:t>收集资料法</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现状评价</w:t>
            </w:r>
          </w:p>
        </w:tc>
        <w:tc>
          <w:tcPr>
            <w:tcW w:w="1121" w:type="pct"/>
            <w:gridSpan w:val="3"/>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达标百分比</w:t>
            </w:r>
          </w:p>
        </w:tc>
        <w:tc>
          <w:tcPr>
            <w:tcW w:w="1855" w:type="pct"/>
            <w:gridSpan w:val="6"/>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eastAsia="Times New Roman"/>
                <w:kern w:val="0"/>
                <w:szCs w:val="21"/>
              </w:rPr>
              <w:t>100%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tcBorders>
              <w:top w:val="single" w:color="auto" w:sz="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噪声源调查</w:t>
            </w: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噪声源调查方法</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现场实测</w:t>
            </w:r>
            <w:r>
              <w:rPr>
                <w:rFonts w:eastAsia="Times New Roman"/>
                <w:kern w:val="0"/>
                <w:szCs w:val="21"/>
              </w:rPr>
              <w:t xml:space="preserve">□      </w:t>
            </w:r>
            <w:r>
              <w:rPr>
                <w:rFonts w:ascii="宋体" w:hAnsi="宋体" w:eastAsia="Times New Roman"/>
                <w:kern w:val="0"/>
                <w:szCs w:val="21"/>
              </w:rPr>
              <w:t>已有资料</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研究成果</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restart"/>
            <w:tcBorders>
              <w:top w:val="single" w:color="auto" w:sz="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声环境影响预测与评价</w:t>
            </w: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预测模型</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导则推荐模型</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其他</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预测范围</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textAlignment w:val="center"/>
              <w:rPr>
                <w:rFonts w:eastAsia="Times New Roman"/>
                <w:kern w:val="0"/>
                <w:szCs w:val="21"/>
              </w:rPr>
            </w:pPr>
            <w:r>
              <w:rPr>
                <w:rFonts w:eastAsia="Times New Roman"/>
                <w:kern w:val="0"/>
                <w:szCs w:val="21"/>
              </w:rPr>
              <w:t>200m</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大于</w:t>
            </w:r>
            <w:r>
              <w:rPr>
                <w:rFonts w:eastAsia="Times New Roman"/>
                <w:kern w:val="0"/>
                <w:szCs w:val="21"/>
              </w:rPr>
              <w:t xml:space="preserve">200m□            </w:t>
            </w:r>
            <w:r>
              <w:rPr>
                <w:rFonts w:ascii="宋体" w:hAnsi="宋体" w:eastAsia="Times New Roman"/>
                <w:kern w:val="0"/>
                <w:szCs w:val="21"/>
              </w:rPr>
              <w:t>小于</w:t>
            </w:r>
            <w:r>
              <w:rPr>
                <w:rFonts w:eastAsia="Times New Roman"/>
                <w:kern w:val="0"/>
                <w:szCs w:val="21"/>
              </w:rPr>
              <w:t>200m□</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预测因子</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等效连续</w:t>
            </w:r>
            <w:r>
              <w:rPr>
                <w:rFonts w:eastAsia="Times New Roman"/>
                <w:kern w:val="0"/>
                <w:szCs w:val="21"/>
              </w:rPr>
              <w:t>A</w:t>
            </w:r>
            <w:r>
              <w:rPr>
                <w:rFonts w:ascii="宋体" w:hAnsi="宋体" w:eastAsia="Times New Roman"/>
                <w:kern w:val="0"/>
                <w:szCs w:val="21"/>
              </w:rPr>
              <w:t>声级</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最大</w:t>
            </w:r>
            <w:r>
              <w:rPr>
                <w:rFonts w:eastAsia="Times New Roman"/>
                <w:kern w:val="0"/>
                <w:szCs w:val="21"/>
              </w:rPr>
              <w:t>A</w:t>
            </w:r>
            <w:r>
              <w:rPr>
                <w:rFonts w:ascii="宋体" w:hAnsi="宋体" w:eastAsia="Times New Roman"/>
                <w:kern w:val="0"/>
                <w:szCs w:val="21"/>
              </w:rPr>
              <w:t>声级</w:t>
            </w:r>
            <w:r>
              <w:rPr>
                <w:rFonts w:eastAsia="Times New Roman"/>
                <w:kern w:val="0"/>
                <w:szCs w:val="21"/>
              </w:rPr>
              <w:t xml:space="preserve">□    </w:t>
            </w:r>
            <w:r>
              <w:rPr>
                <w:rFonts w:ascii="宋体" w:hAnsi="宋体" w:eastAsia="Times New Roman"/>
                <w:kern w:val="0"/>
                <w:szCs w:val="21"/>
              </w:rPr>
              <w:t>计权等效连续感觉噪声级</w:t>
            </w:r>
            <w:r>
              <w:rPr>
                <w:rFonts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厂界噪声贡献值</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达标</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不达标</w:t>
            </w:r>
            <w:r>
              <w:rPr>
                <w:rFonts w:ascii="Wingdings 2" w:hAnsi="Wingdings 2"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声环境保护目标处噪声值</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达标</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不达标</w:t>
            </w:r>
            <w:r>
              <w:rPr>
                <w:rFonts w:ascii="Wingdings 2" w:hAnsi="Wingdings 2"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restart"/>
            <w:tcBorders>
              <w:top w:val="single" w:color="auto" w:sz="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环境监测计划</w:t>
            </w: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排放监测</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厂界监测</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固定位置监测</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自动监测</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手动监测</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无监测</w:t>
            </w:r>
            <w:r>
              <w:rPr>
                <w:rFonts w:ascii="Wingdings 2" w:hAnsi="Wingdings 2"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vMerge w:val="continue"/>
            <w:tcBorders>
              <w:top w:val="single" w:color="auto" w:sz="2" w:space="0"/>
              <w:left w:val="single" w:color="auto" w:sz="12" w:space="0"/>
              <w:bottom w:val="single" w:color="auto" w:sz="2" w:space="0"/>
              <w:right w:val="single" w:color="auto" w:sz="2" w:space="0"/>
            </w:tcBorders>
            <w:vAlign w:val="center"/>
          </w:tcPr>
          <w:p>
            <w:pPr>
              <w:adjustRightInd w:val="0"/>
              <w:snapToGrid w:val="0"/>
              <w:rPr>
                <w:rFonts w:eastAsia="Times New Roman"/>
                <w:kern w:val="0"/>
                <w:szCs w:val="21"/>
              </w:rPr>
            </w:pP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声环境保护目标处噪声监测</w:t>
            </w:r>
          </w:p>
        </w:tc>
        <w:tc>
          <w:tcPr>
            <w:tcW w:w="1374" w:type="pct"/>
            <w:gridSpan w:val="4"/>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监测因子：（</w:t>
            </w:r>
            <w:r>
              <w:rPr>
                <w:rFonts w:eastAsia="Times New Roman"/>
                <w:kern w:val="0"/>
                <w:szCs w:val="21"/>
              </w:rPr>
              <w:t xml:space="preserve"> </w:t>
            </w:r>
            <w:r>
              <w:rPr>
                <w:rFonts w:ascii="宋体" w:hAnsi="宋体" w:eastAsia="Times New Roman"/>
                <w:kern w:val="0"/>
                <w:szCs w:val="21"/>
              </w:rPr>
              <w:t>昼间等效噪声级</w:t>
            </w:r>
            <w:r>
              <w:rPr>
                <w:rFonts w:eastAsia="Times New Roman"/>
                <w:kern w:val="0"/>
                <w:szCs w:val="21"/>
              </w:rPr>
              <w:t xml:space="preserve">  </w:t>
            </w:r>
            <w:r>
              <w:rPr>
                <w:rFonts w:ascii="宋体" w:hAnsi="宋体" w:eastAsia="Times New Roman"/>
                <w:kern w:val="0"/>
                <w:szCs w:val="21"/>
              </w:rPr>
              <w:t>）</w:t>
            </w:r>
          </w:p>
        </w:tc>
        <w:tc>
          <w:tcPr>
            <w:tcW w:w="842" w:type="pct"/>
            <w:gridSpan w:val="2"/>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监测点位数：（</w:t>
            </w:r>
            <w:r>
              <w:rPr>
                <w:rFonts w:eastAsia="Times New Roman"/>
                <w:kern w:val="0"/>
                <w:szCs w:val="21"/>
              </w:rPr>
              <w:t xml:space="preserve"> 4 </w:t>
            </w:r>
            <w:r>
              <w:rPr>
                <w:rFonts w:ascii="宋体" w:hAnsi="宋体" w:eastAsia="Times New Roman"/>
                <w:kern w:val="0"/>
                <w:szCs w:val="21"/>
              </w:rPr>
              <w:t>）</w:t>
            </w:r>
          </w:p>
        </w:tc>
        <w:tc>
          <w:tcPr>
            <w:tcW w:w="760" w:type="pct"/>
            <w:gridSpan w:val="3"/>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无监测</w:t>
            </w:r>
            <w:r>
              <w:rPr>
                <w:rFonts w:ascii="Wingdings 2" w:hAnsi="Wingdings 2"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927" w:type="pct"/>
            <w:tcBorders>
              <w:top w:val="single" w:color="auto" w:sz="2" w:space="0"/>
              <w:left w:val="single" w:color="auto" w:sz="1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评价结论</w:t>
            </w:r>
          </w:p>
        </w:tc>
        <w:tc>
          <w:tcPr>
            <w:tcW w:w="1097" w:type="pct"/>
            <w:tcBorders>
              <w:top w:val="single" w:color="auto" w:sz="2" w:space="0"/>
              <w:left w:val="single" w:color="auto" w:sz="2" w:space="0"/>
              <w:bottom w:val="single" w:color="auto" w:sz="2" w:space="0"/>
              <w:right w:val="single" w:color="auto" w:sz="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环境影响</w:t>
            </w:r>
          </w:p>
        </w:tc>
        <w:tc>
          <w:tcPr>
            <w:tcW w:w="2976" w:type="pct"/>
            <w:gridSpan w:val="9"/>
            <w:tcBorders>
              <w:top w:val="single" w:color="auto" w:sz="2" w:space="0"/>
              <w:left w:val="single" w:color="auto" w:sz="2" w:space="0"/>
              <w:bottom w:val="single" w:color="auto" w:sz="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可行</w:t>
            </w:r>
            <w:r>
              <w:rPr>
                <w:rFonts w:ascii="Wingdings 2" w:hAnsi="Wingdings 2" w:eastAsia="Times New Roman"/>
                <w:kern w:val="0"/>
                <w:szCs w:val="21"/>
              </w:rPr>
              <w:t></w:t>
            </w:r>
            <w:r>
              <w:rPr>
                <w:rFonts w:eastAsia="Times New Roman"/>
                <w:kern w:val="0"/>
                <w:szCs w:val="21"/>
              </w:rPr>
              <w:t xml:space="preserve">                     </w:t>
            </w:r>
            <w:r>
              <w:rPr>
                <w:rFonts w:ascii="宋体" w:hAnsi="宋体" w:eastAsia="Times New Roman"/>
                <w:kern w:val="0"/>
                <w:szCs w:val="21"/>
              </w:rPr>
              <w:t>不可行</w:t>
            </w:r>
            <w:r>
              <w:rPr>
                <w:rFonts w:ascii="Wingdings 2" w:hAnsi="Wingdings 2" w:eastAsia="Times New Roman"/>
                <w:kern w:val="0"/>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93" w:type="dxa"/>
            <w:bottom w:w="0" w:type="dxa"/>
            <w:right w:w="93" w:type="dxa"/>
          </w:tblCellMar>
        </w:tblPrEx>
        <w:trPr>
          <w:trHeight w:val="340" w:hRule="atLeast"/>
          <w:jc w:val="center"/>
        </w:trPr>
        <w:tc>
          <w:tcPr>
            <w:tcW w:w="5000" w:type="pct"/>
            <w:gridSpan w:val="11"/>
            <w:tcBorders>
              <w:top w:val="single" w:color="auto" w:sz="2" w:space="0"/>
              <w:left w:val="single" w:color="auto" w:sz="12" w:space="0"/>
              <w:bottom w:val="single" w:color="auto" w:sz="12" w:space="0"/>
              <w:right w:val="single" w:color="auto" w:sz="12" w:space="0"/>
            </w:tcBorders>
            <w:vAlign w:val="center"/>
          </w:tcPr>
          <w:p>
            <w:pPr>
              <w:overflowPunct w:val="0"/>
              <w:autoSpaceDE w:val="0"/>
              <w:autoSpaceDN w:val="0"/>
              <w:adjustRightInd w:val="0"/>
              <w:snapToGrid w:val="0"/>
              <w:jc w:val="center"/>
              <w:textAlignment w:val="center"/>
              <w:rPr>
                <w:rFonts w:eastAsia="Times New Roman"/>
                <w:kern w:val="0"/>
                <w:szCs w:val="21"/>
              </w:rPr>
            </w:pPr>
            <w:r>
              <w:rPr>
                <w:rFonts w:ascii="宋体" w:hAnsi="宋体" w:eastAsia="Times New Roman"/>
                <w:kern w:val="0"/>
                <w:szCs w:val="21"/>
              </w:rPr>
              <w:t>注：</w:t>
            </w:r>
            <w:r>
              <w:rPr>
                <w:rFonts w:eastAsia="Times New Roman"/>
                <w:kern w:val="0"/>
                <w:szCs w:val="21"/>
              </w:rPr>
              <w:t>“□”</w:t>
            </w:r>
            <w:r>
              <w:rPr>
                <w:rFonts w:ascii="宋体" w:hAnsi="宋体" w:eastAsia="Times New Roman"/>
                <w:kern w:val="0"/>
                <w:szCs w:val="21"/>
              </w:rPr>
              <w:t>为勾选项，可</w:t>
            </w:r>
            <w:r>
              <w:rPr>
                <w:rFonts w:eastAsia="Times New Roman"/>
                <w:kern w:val="0"/>
                <w:szCs w:val="21"/>
              </w:rPr>
              <w:t>√</w:t>
            </w:r>
            <w:r>
              <w:rPr>
                <w:rFonts w:ascii="宋体" w:hAnsi="宋体" w:eastAsia="Times New Roman"/>
                <w:kern w:val="0"/>
                <w:szCs w:val="21"/>
              </w:rPr>
              <w:t>；</w:t>
            </w:r>
            <w:r>
              <w:rPr>
                <w:rFonts w:eastAsia="Times New Roman"/>
                <w:kern w:val="0"/>
                <w:szCs w:val="21"/>
              </w:rPr>
              <w:t>“</w:t>
            </w:r>
            <w:r>
              <w:rPr>
                <w:rFonts w:ascii="宋体" w:hAnsi="宋体" w:eastAsia="Times New Roman"/>
                <w:kern w:val="0"/>
                <w:szCs w:val="21"/>
              </w:rPr>
              <w:t>（）</w:t>
            </w:r>
            <w:r>
              <w:rPr>
                <w:rFonts w:eastAsia="Times New Roman"/>
                <w:kern w:val="0"/>
                <w:szCs w:val="21"/>
              </w:rPr>
              <w:t>”</w:t>
            </w:r>
            <w:r>
              <w:rPr>
                <w:rFonts w:ascii="宋体" w:hAnsi="宋体" w:eastAsia="Times New Roman"/>
                <w:kern w:val="0"/>
                <w:szCs w:val="21"/>
              </w:rPr>
              <w:t>为内容填写项。</w:t>
            </w:r>
          </w:p>
        </w:tc>
      </w:tr>
    </w:tbl>
    <w:p>
      <w:pPr>
        <w:tabs>
          <w:tab w:val="left" w:pos="842"/>
        </w:tabs>
        <w:rPr>
          <w:rFonts w:ascii="宋体" w:hAnsi="宋体" w:cs="宋体"/>
          <w:sz w:val="22"/>
          <w:szCs w:val="22"/>
        </w:rPr>
        <w:sectPr>
          <w:pgSz w:w="11920" w:h="16850"/>
          <w:pgMar w:top="1440" w:right="1800" w:bottom="1440" w:left="1800" w:header="720" w:footer="720" w:gutter="0"/>
          <w:cols w:space="720" w:num="1"/>
          <w:docGrid w:linePitch="286" w:charSpace="0"/>
        </w:sectPr>
      </w:pPr>
    </w:p>
    <w:p>
      <w:pPr>
        <w:pStyle w:val="3"/>
        <w:keepNext w:val="0"/>
        <w:keepLines w:val="0"/>
        <w:spacing w:before="120" w:after="120"/>
        <w:rPr>
          <w:rFonts w:ascii="Times New Roman" w:hAnsi="Times New Roman" w:eastAsia="宋体"/>
        </w:rPr>
      </w:pPr>
      <w:bookmarkStart w:id="439" w:name="_Toc143762350"/>
      <w:r>
        <w:rPr>
          <w:rFonts w:ascii="Times New Roman" w:hAnsi="Times New Roman" w:eastAsia="宋体"/>
        </w:rPr>
        <w:t>6.4运行期固废影响分析</w:t>
      </w:r>
      <w:bookmarkEnd w:id="435"/>
      <w:bookmarkEnd w:id="436"/>
      <w:bookmarkEnd w:id="437"/>
      <w:bookmarkEnd w:id="439"/>
    </w:p>
    <w:p>
      <w:pPr>
        <w:tabs>
          <w:tab w:val="left" w:pos="1320"/>
        </w:tabs>
        <w:spacing w:line="360" w:lineRule="auto"/>
        <w:ind w:firstLine="480"/>
        <w:rPr>
          <w:color w:val="FF0000"/>
          <w:sz w:val="24"/>
        </w:rPr>
      </w:pPr>
      <w:r>
        <w:rPr>
          <w:color w:val="FF0000"/>
          <w:sz w:val="24"/>
        </w:rPr>
        <w:t>固体废弃物为生活垃圾</w:t>
      </w:r>
      <w:r>
        <w:rPr>
          <w:rFonts w:hint="eastAsia"/>
          <w:color w:val="FF0000"/>
          <w:sz w:val="24"/>
        </w:rPr>
        <w:t>、</w:t>
      </w:r>
      <w:r>
        <w:rPr>
          <w:color w:val="FF0000"/>
          <w:sz w:val="24"/>
        </w:rPr>
        <w:t>渗滤液调节池污泥</w:t>
      </w:r>
      <w:r>
        <w:rPr>
          <w:rFonts w:hint="eastAsia"/>
          <w:color w:val="FF0000"/>
          <w:sz w:val="24"/>
        </w:rPr>
        <w:t>及废旧反渗透膜</w:t>
      </w:r>
      <w:r>
        <w:rPr>
          <w:color w:val="FF0000"/>
          <w:sz w:val="24"/>
        </w:rPr>
        <w:t>。生活垃圾产生量0.37t/a（1kg/d）。集中收集后进入垃圾填埋场填埋处理</w:t>
      </w:r>
      <w:r>
        <w:rPr>
          <w:rFonts w:hint="eastAsia"/>
          <w:color w:val="FF0000"/>
          <w:sz w:val="24"/>
        </w:rPr>
        <w:t>；</w:t>
      </w:r>
      <w:r>
        <w:rPr>
          <w:color w:val="FF0000"/>
          <w:sz w:val="24"/>
        </w:rPr>
        <w:t>渗滤液调节池污泥</w:t>
      </w:r>
      <w:r>
        <w:rPr>
          <w:rFonts w:hint="eastAsia"/>
          <w:color w:val="FF0000"/>
          <w:sz w:val="24"/>
        </w:rPr>
        <w:t>产生量约0</w:t>
      </w:r>
      <w:r>
        <w:rPr>
          <w:color w:val="FF0000"/>
          <w:sz w:val="24"/>
        </w:rPr>
        <w:t>.05t/d</w:t>
      </w:r>
      <w:r>
        <w:rPr>
          <w:rFonts w:hint="eastAsia"/>
          <w:color w:val="FF0000"/>
          <w:sz w:val="24"/>
        </w:rPr>
        <w:t>（1</w:t>
      </w:r>
      <w:r>
        <w:rPr>
          <w:color w:val="FF0000"/>
          <w:sz w:val="24"/>
        </w:rPr>
        <w:t>8.25 t/a</w:t>
      </w:r>
      <w:r>
        <w:rPr>
          <w:rFonts w:hint="eastAsia"/>
          <w:color w:val="FF0000"/>
          <w:sz w:val="24"/>
        </w:rPr>
        <w:t>），</w:t>
      </w:r>
      <w:r>
        <w:rPr>
          <w:color w:val="FF0000"/>
          <w:kern w:val="0"/>
          <w:sz w:val="24"/>
        </w:rPr>
        <w:t>泥经压滤机压滤后，含水率＜60%，直接送入本项目生活垃圾填埋场进行填埋处理。</w:t>
      </w:r>
      <w:r>
        <w:rPr>
          <w:rFonts w:hint="eastAsia"/>
          <w:color w:val="FF0000"/>
          <w:sz w:val="24"/>
        </w:rPr>
        <w:t>废旧反渗透膜年产生量约</w:t>
      </w:r>
      <w:r>
        <w:rPr>
          <w:color w:val="FF0000"/>
          <w:sz w:val="24"/>
        </w:rPr>
        <w:t>0.1t/a</w:t>
      </w:r>
      <w:r>
        <w:rPr>
          <w:rFonts w:hint="eastAsia"/>
          <w:color w:val="FF0000"/>
          <w:sz w:val="24"/>
        </w:rPr>
        <w:t>，由厂家定期更换回收，不在项目区存储。</w:t>
      </w:r>
    </w:p>
    <w:p>
      <w:pPr>
        <w:spacing w:line="360" w:lineRule="auto"/>
        <w:ind w:firstLine="480" w:firstLineChars="200"/>
        <w:rPr>
          <w:color w:val="FF0000"/>
          <w:sz w:val="24"/>
        </w:rPr>
      </w:pPr>
      <w:r>
        <w:rPr>
          <w:color w:val="FF0000"/>
          <w:sz w:val="24"/>
        </w:rPr>
        <w:t>因此本项目排放的固体废物基本不会对周围环境产生影响。</w:t>
      </w:r>
    </w:p>
    <w:p>
      <w:pPr>
        <w:pStyle w:val="3"/>
        <w:keepNext w:val="0"/>
        <w:keepLines w:val="0"/>
        <w:spacing w:before="120" w:after="120"/>
        <w:rPr>
          <w:rFonts w:ascii="Times New Roman" w:hAnsi="Times New Roman" w:eastAsia="宋体"/>
        </w:rPr>
      </w:pPr>
      <w:bookmarkStart w:id="440" w:name="_Toc143762351"/>
      <w:r>
        <w:rPr>
          <w:rFonts w:ascii="Times New Roman" w:hAnsi="Times New Roman" w:eastAsia="宋体"/>
        </w:rPr>
        <w:t>6.5运行期</w:t>
      </w:r>
      <w:r>
        <w:rPr>
          <w:rFonts w:hint="eastAsia" w:ascii="Times New Roman" w:hAnsi="Times New Roman" w:eastAsia="宋体"/>
        </w:rPr>
        <w:t>土壤环境</w:t>
      </w:r>
      <w:r>
        <w:rPr>
          <w:rFonts w:ascii="Times New Roman" w:hAnsi="Times New Roman" w:eastAsia="宋体"/>
        </w:rPr>
        <w:t>影响</w:t>
      </w:r>
      <w:r>
        <w:rPr>
          <w:rFonts w:hint="eastAsia" w:ascii="Times New Roman" w:hAnsi="Times New Roman" w:eastAsia="宋体"/>
        </w:rPr>
        <w:t>预测</w:t>
      </w:r>
      <w:r>
        <w:rPr>
          <w:rFonts w:ascii="Times New Roman" w:hAnsi="Times New Roman" w:eastAsia="宋体"/>
        </w:rPr>
        <w:t>分析</w:t>
      </w:r>
      <w:bookmarkEnd w:id="440"/>
    </w:p>
    <w:p>
      <w:pPr>
        <w:keepNext/>
        <w:keepLines/>
        <w:numPr>
          <w:ilvl w:val="2"/>
          <w:numId w:val="0"/>
        </w:numPr>
        <w:spacing w:line="360" w:lineRule="auto"/>
        <w:ind w:left="720" w:hanging="720"/>
        <w:outlineLvl w:val="2"/>
        <w:rPr>
          <w:b/>
          <w:bCs/>
          <w:sz w:val="28"/>
          <w:szCs w:val="32"/>
        </w:rPr>
      </w:pPr>
      <w:bookmarkStart w:id="441" w:name="_Toc143762352"/>
      <w:r>
        <w:rPr>
          <w:b/>
          <w:bCs/>
          <w:sz w:val="28"/>
          <w:szCs w:val="32"/>
        </w:rPr>
        <w:t>6</w:t>
      </w:r>
      <w:r>
        <w:rPr>
          <w:rFonts w:hint="eastAsia"/>
          <w:b/>
          <w:bCs/>
          <w:sz w:val="28"/>
          <w:szCs w:val="32"/>
        </w:rPr>
        <w:t>.</w:t>
      </w:r>
      <w:r>
        <w:rPr>
          <w:b/>
          <w:bCs/>
          <w:sz w:val="28"/>
          <w:szCs w:val="32"/>
        </w:rPr>
        <w:t>5.1</w:t>
      </w:r>
      <w:r>
        <w:rPr>
          <w:rFonts w:hint="eastAsia"/>
          <w:b/>
          <w:bCs/>
          <w:sz w:val="28"/>
          <w:szCs w:val="32"/>
        </w:rPr>
        <w:t>土壤环境影响类型与影响途径</w:t>
      </w:r>
      <w:bookmarkEnd w:id="441"/>
    </w:p>
    <w:p>
      <w:pPr>
        <w:pStyle w:val="972"/>
        <w:snapToGrid w:val="0"/>
        <w:spacing w:line="360" w:lineRule="auto"/>
        <w:ind w:firstLine="480" w:firstLineChars="200"/>
        <w:rPr>
          <w:color w:val="auto"/>
        </w:rPr>
      </w:pPr>
      <w:r>
        <w:rPr>
          <w:rFonts w:hint="eastAsia"/>
          <w:color w:val="auto"/>
        </w:rPr>
        <w:t>本项目为生活垃圾填埋处理工程，项目土壤影响因素主要为各类废水和固废处理不当对土壤环境的污染影响，确定本项目土壤环境影响类型为污染影响型。</w:t>
      </w:r>
    </w:p>
    <w:p>
      <w:pPr>
        <w:pStyle w:val="972"/>
        <w:snapToGrid w:val="0"/>
        <w:spacing w:line="360" w:lineRule="auto"/>
        <w:ind w:firstLine="480" w:firstLineChars="200"/>
        <w:rPr>
          <w:color w:val="auto"/>
        </w:rPr>
      </w:pPr>
      <w:r>
        <w:rPr>
          <w:rFonts w:hint="eastAsia"/>
          <w:color w:val="auto"/>
        </w:rPr>
        <w:t>根据《环境影响评价技术导则土壤环境》（试行）（</w:t>
      </w:r>
      <w:r>
        <w:rPr>
          <w:rFonts w:ascii="Times New Roman" w:cs="Times New Roman"/>
          <w:color w:val="auto"/>
        </w:rPr>
        <w:t>HJ964-2018</w:t>
      </w:r>
      <w:r>
        <w:rPr>
          <w:rFonts w:hint="eastAsia"/>
          <w:color w:val="auto"/>
        </w:rPr>
        <w:t>）污染型土壤影响途径主要可分为大气沉降、地面漫流、垂直入渗等形式。本项目大气污染物主要为作业扰动扬尘和垃圾填埋场废气中的硫化氢、甲烷、氨等，其中填埋场废气中硫化氢、甲烷、氨均不属于沉降类污染物，而作业扰动扬尘为尘土，对土壤基本无影响，因些本项目土壤影响途径主要为地面漫流、垂直入渗影响。根据工程分析，土壤的主要污染途径来自废水泄漏、固废填埋等可能发生入渗或漫流对土壤环境造成的污染影响。</w:t>
      </w:r>
    </w:p>
    <w:p>
      <w:pPr>
        <w:pStyle w:val="2235"/>
        <w:widowControl w:val="0"/>
        <w:ind w:firstLine="480"/>
        <w:jc w:val="both"/>
        <w:rPr>
          <w:szCs w:val="24"/>
        </w:rPr>
      </w:pPr>
      <w:r>
        <w:rPr>
          <w:rFonts w:hint="eastAsia"/>
          <w:szCs w:val="24"/>
        </w:rPr>
        <w:t>正常生产时，项目的填埋区、各污水收集及处理设施等均采取严格防渗措施，正常生产时，不会发生渗漏或漫流影响土壤环境。本评价主要分析项目事故状态的渗漏或漫流。</w:t>
      </w:r>
    </w:p>
    <w:p>
      <w:pPr>
        <w:pStyle w:val="2235"/>
        <w:widowControl w:val="0"/>
        <w:ind w:firstLine="480"/>
        <w:jc w:val="both"/>
        <w:rPr>
          <w:szCs w:val="24"/>
        </w:rPr>
      </w:pPr>
      <w:r>
        <w:rPr>
          <w:rFonts w:hint="eastAsia"/>
          <w:szCs w:val="24"/>
        </w:rPr>
        <w:t>综上分析，本项目土壤环境影响类型与影响途径详见下表：</w:t>
      </w:r>
    </w:p>
    <w:p>
      <w:pPr>
        <w:autoSpaceDE w:val="0"/>
        <w:autoSpaceDN w:val="0"/>
        <w:adjustRightInd w:val="0"/>
        <w:jc w:val="center"/>
        <w:rPr>
          <w:b/>
          <w:kern w:val="0"/>
          <w:sz w:val="24"/>
        </w:rPr>
      </w:pPr>
      <w:r>
        <w:rPr>
          <w:rFonts w:eastAsia="黑体"/>
          <w:b/>
          <w:kern w:val="0"/>
          <w:sz w:val="24"/>
        </w:rPr>
        <w:t>表</w:t>
      </w:r>
      <w:r>
        <w:rPr>
          <w:rFonts w:eastAsia="黑体"/>
          <w:b/>
          <w:bCs/>
          <w:kern w:val="0"/>
          <w:sz w:val="24"/>
        </w:rPr>
        <w:t xml:space="preserve">6.5-1 </w:t>
      </w:r>
      <w:r>
        <w:rPr>
          <w:b/>
          <w:kern w:val="0"/>
          <w:sz w:val="24"/>
        </w:rPr>
        <w:t>土壤环境影响类型与影响途径识别汇总表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1134"/>
        <w:gridCol w:w="1136"/>
        <w:gridCol w:w="1419"/>
        <w:gridCol w:w="709"/>
        <w:gridCol w:w="708"/>
        <w:gridCol w:w="709"/>
        <w:gridCol w:w="711"/>
        <w:gridCol w:w="7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9" w:type="pct"/>
            <w:vMerge w:val="restar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不同时段</w:t>
            </w:r>
          </w:p>
        </w:tc>
        <w:tc>
          <w:tcPr>
            <w:tcW w:w="2579" w:type="pct"/>
            <w:gridSpan w:val="4"/>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污染影响型</w:t>
            </w:r>
          </w:p>
        </w:tc>
        <w:tc>
          <w:tcPr>
            <w:tcW w:w="1692" w:type="pct"/>
            <w:gridSpan w:val="4"/>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生态影响型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9" w:type="pct"/>
            <w:vMerge w:val="continue"/>
            <w:vAlign w:val="center"/>
          </w:tcPr>
          <w:p>
            <w:pPr>
              <w:kinsoku w:val="0"/>
              <w:overflowPunct w:val="0"/>
              <w:autoSpaceDE w:val="0"/>
              <w:autoSpaceDN w:val="0"/>
              <w:adjustRightInd w:val="0"/>
              <w:snapToGrid w:val="0"/>
              <w:jc w:val="center"/>
              <w:rPr>
                <w:rFonts w:ascii="宋体" w:cs="宋体"/>
                <w:kern w:val="0"/>
                <w:szCs w:val="21"/>
              </w:rPr>
            </w:pPr>
          </w:p>
        </w:tc>
        <w:tc>
          <w:tcPr>
            <w:tcW w:w="665"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大气沉降</w:t>
            </w:r>
          </w:p>
        </w:tc>
        <w:tc>
          <w:tcPr>
            <w:tcW w:w="666"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地面漫流</w:t>
            </w:r>
          </w:p>
        </w:tc>
        <w:tc>
          <w:tcPr>
            <w:tcW w:w="832"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垂直入渗</w:t>
            </w:r>
          </w:p>
        </w:tc>
        <w:tc>
          <w:tcPr>
            <w:tcW w:w="416"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其它</w:t>
            </w:r>
          </w:p>
        </w:tc>
        <w:tc>
          <w:tcPr>
            <w:tcW w:w="415"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盐化</w:t>
            </w:r>
          </w:p>
        </w:tc>
        <w:tc>
          <w:tcPr>
            <w:tcW w:w="416"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碱化</w:t>
            </w:r>
          </w:p>
        </w:tc>
        <w:tc>
          <w:tcPr>
            <w:tcW w:w="417"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酸化</w:t>
            </w:r>
          </w:p>
        </w:tc>
        <w:tc>
          <w:tcPr>
            <w:tcW w:w="444"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其它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9"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建设期</w:t>
            </w:r>
          </w:p>
        </w:tc>
        <w:tc>
          <w:tcPr>
            <w:tcW w:w="665" w:type="pct"/>
            <w:vAlign w:val="center"/>
          </w:tcPr>
          <w:p>
            <w:pPr>
              <w:kinsoku w:val="0"/>
              <w:overflowPunct w:val="0"/>
              <w:autoSpaceDE w:val="0"/>
              <w:autoSpaceDN w:val="0"/>
              <w:adjustRightInd w:val="0"/>
              <w:snapToGrid w:val="0"/>
              <w:jc w:val="center"/>
              <w:rPr>
                <w:rFonts w:ascii="宋体" w:cs="宋体"/>
                <w:kern w:val="0"/>
                <w:szCs w:val="21"/>
              </w:rPr>
            </w:pPr>
          </w:p>
        </w:tc>
        <w:tc>
          <w:tcPr>
            <w:tcW w:w="666" w:type="pct"/>
            <w:vAlign w:val="center"/>
          </w:tcPr>
          <w:p>
            <w:pPr>
              <w:kinsoku w:val="0"/>
              <w:overflowPunct w:val="0"/>
              <w:autoSpaceDE w:val="0"/>
              <w:autoSpaceDN w:val="0"/>
              <w:adjustRightInd w:val="0"/>
              <w:snapToGrid w:val="0"/>
              <w:jc w:val="center"/>
              <w:rPr>
                <w:rFonts w:ascii="宋体" w:cs="宋体"/>
                <w:kern w:val="0"/>
                <w:szCs w:val="21"/>
              </w:rPr>
            </w:pPr>
          </w:p>
        </w:tc>
        <w:tc>
          <w:tcPr>
            <w:tcW w:w="832" w:type="pct"/>
            <w:vAlign w:val="center"/>
          </w:tcPr>
          <w:p>
            <w:pPr>
              <w:kinsoku w:val="0"/>
              <w:overflowPunct w:val="0"/>
              <w:autoSpaceDE w:val="0"/>
              <w:autoSpaceDN w:val="0"/>
              <w:adjustRightInd w:val="0"/>
              <w:snapToGrid w:val="0"/>
              <w:jc w:val="center"/>
              <w:rPr>
                <w:rFonts w:eastAsia="黑体"/>
                <w:kern w:val="0"/>
                <w:szCs w:val="21"/>
              </w:rPr>
            </w:pPr>
          </w:p>
        </w:tc>
        <w:tc>
          <w:tcPr>
            <w:tcW w:w="416" w:type="pct"/>
            <w:vAlign w:val="center"/>
          </w:tcPr>
          <w:p>
            <w:pPr>
              <w:kinsoku w:val="0"/>
              <w:overflowPunct w:val="0"/>
              <w:autoSpaceDE w:val="0"/>
              <w:autoSpaceDN w:val="0"/>
              <w:adjustRightInd w:val="0"/>
              <w:snapToGrid w:val="0"/>
              <w:jc w:val="center"/>
              <w:rPr>
                <w:rFonts w:eastAsia="黑体"/>
                <w:kern w:val="0"/>
                <w:szCs w:val="21"/>
              </w:rPr>
            </w:pPr>
          </w:p>
        </w:tc>
        <w:tc>
          <w:tcPr>
            <w:tcW w:w="415" w:type="pct"/>
            <w:vAlign w:val="center"/>
          </w:tcPr>
          <w:p>
            <w:pPr>
              <w:kinsoku w:val="0"/>
              <w:overflowPunct w:val="0"/>
              <w:autoSpaceDE w:val="0"/>
              <w:autoSpaceDN w:val="0"/>
              <w:adjustRightInd w:val="0"/>
              <w:snapToGrid w:val="0"/>
              <w:jc w:val="center"/>
              <w:rPr>
                <w:rFonts w:ascii="宋体" w:cs="宋体"/>
                <w:kern w:val="0"/>
                <w:szCs w:val="21"/>
              </w:rPr>
            </w:pPr>
          </w:p>
        </w:tc>
        <w:tc>
          <w:tcPr>
            <w:tcW w:w="416" w:type="pct"/>
            <w:vAlign w:val="center"/>
          </w:tcPr>
          <w:p>
            <w:pPr>
              <w:kinsoku w:val="0"/>
              <w:overflowPunct w:val="0"/>
              <w:autoSpaceDE w:val="0"/>
              <w:autoSpaceDN w:val="0"/>
              <w:adjustRightInd w:val="0"/>
              <w:snapToGrid w:val="0"/>
              <w:jc w:val="center"/>
              <w:rPr>
                <w:rFonts w:eastAsia="黑体"/>
                <w:kern w:val="0"/>
                <w:szCs w:val="21"/>
              </w:rPr>
            </w:pPr>
          </w:p>
        </w:tc>
        <w:tc>
          <w:tcPr>
            <w:tcW w:w="417" w:type="pct"/>
            <w:vAlign w:val="center"/>
          </w:tcPr>
          <w:p>
            <w:pPr>
              <w:kinsoku w:val="0"/>
              <w:overflowPunct w:val="0"/>
              <w:autoSpaceDE w:val="0"/>
              <w:autoSpaceDN w:val="0"/>
              <w:adjustRightInd w:val="0"/>
              <w:snapToGrid w:val="0"/>
              <w:jc w:val="center"/>
              <w:rPr>
                <w:rFonts w:ascii="宋体" w:cs="宋体"/>
                <w:kern w:val="0"/>
                <w:szCs w:val="21"/>
              </w:rPr>
            </w:pPr>
          </w:p>
        </w:tc>
        <w:tc>
          <w:tcPr>
            <w:tcW w:w="444" w:type="pct"/>
            <w:vAlign w:val="center"/>
          </w:tcPr>
          <w:p>
            <w:pPr>
              <w:kinsoku w:val="0"/>
              <w:overflowPunct w:val="0"/>
              <w:autoSpaceDE w:val="0"/>
              <w:autoSpaceDN w:val="0"/>
              <w:adjustRightInd w:val="0"/>
              <w:snapToGrid w:val="0"/>
              <w:jc w:val="center"/>
              <w:rPr>
                <w:rFonts w:asci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9"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运营期</w:t>
            </w:r>
          </w:p>
        </w:tc>
        <w:tc>
          <w:tcPr>
            <w:tcW w:w="665" w:type="pct"/>
            <w:vAlign w:val="center"/>
          </w:tcPr>
          <w:p>
            <w:pPr>
              <w:kinsoku w:val="0"/>
              <w:overflowPunct w:val="0"/>
              <w:autoSpaceDE w:val="0"/>
              <w:autoSpaceDN w:val="0"/>
              <w:adjustRightInd w:val="0"/>
              <w:snapToGrid w:val="0"/>
              <w:jc w:val="center"/>
              <w:rPr>
                <w:rFonts w:ascii="宋体" w:cs="宋体"/>
                <w:kern w:val="0"/>
                <w:szCs w:val="21"/>
              </w:rPr>
            </w:pPr>
          </w:p>
        </w:tc>
        <w:tc>
          <w:tcPr>
            <w:tcW w:w="666" w:type="pct"/>
            <w:vAlign w:val="center"/>
          </w:tcPr>
          <w:p>
            <w:pPr>
              <w:kinsoku w:val="0"/>
              <w:overflowPunct w:val="0"/>
              <w:autoSpaceDE w:val="0"/>
              <w:autoSpaceDN w:val="0"/>
              <w:adjustRightInd w:val="0"/>
              <w:snapToGrid w:val="0"/>
              <w:jc w:val="center"/>
              <w:rPr>
                <w:rFonts w:ascii="宋体" w:cs="宋体"/>
                <w:kern w:val="0"/>
                <w:szCs w:val="21"/>
              </w:rPr>
            </w:pPr>
            <w:r>
              <w:rPr>
                <w:rFonts w:eastAsia="黑体"/>
                <w:kern w:val="0"/>
                <w:szCs w:val="21"/>
              </w:rPr>
              <w:t>√</w:t>
            </w:r>
          </w:p>
        </w:tc>
        <w:tc>
          <w:tcPr>
            <w:tcW w:w="832" w:type="pct"/>
            <w:vAlign w:val="center"/>
          </w:tcPr>
          <w:p>
            <w:pPr>
              <w:kinsoku w:val="0"/>
              <w:overflowPunct w:val="0"/>
              <w:autoSpaceDE w:val="0"/>
              <w:autoSpaceDN w:val="0"/>
              <w:adjustRightInd w:val="0"/>
              <w:snapToGrid w:val="0"/>
              <w:jc w:val="center"/>
              <w:rPr>
                <w:rFonts w:ascii="宋体" w:cs="宋体"/>
                <w:kern w:val="0"/>
                <w:szCs w:val="21"/>
              </w:rPr>
            </w:pPr>
            <w:r>
              <w:rPr>
                <w:rFonts w:eastAsia="黑体"/>
                <w:kern w:val="0"/>
                <w:szCs w:val="21"/>
              </w:rPr>
              <w:t>√</w:t>
            </w:r>
          </w:p>
        </w:tc>
        <w:tc>
          <w:tcPr>
            <w:tcW w:w="416" w:type="pct"/>
            <w:vAlign w:val="center"/>
          </w:tcPr>
          <w:p>
            <w:pPr>
              <w:kinsoku w:val="0"/>
              <w:overflowPunct w:val="0"/>
              <w:autoSpaceDE w:val="0"/>
              <w:autoSpaceDN w:val="0"/>
              <w:adjustRightInd w:val="0"/>
              <w:snapToGrid w:val="0"/>
              <w:jc w:val="center"/>
              <w:rPr>
                <w:rFonts w:ascii="宋体" w:cs="宋体"/>
                <w:kern w:val="0"/>
                <w:szCs w:val="21"/>
              </w:rPr>
            </w:pPr>
          </w:p>
        </w:tc>
        <w:tc>
          <w:tcPr>
            <w:tcW w:w="415" w:type="pct"/>
            <w:vAlign w:val="center"/>
          </w:tcPr>
          <w:p>
            <w:pPr>
              <w:kinsoku w:val="0"/>
              <w:overflowPunct w:val="0"/>
              <w:autoSpaceDE w:val="0"/>
              <w:autoSpaceDN w:val="0"/>
              <w:adjustRightInd w:val="0"/>
              <w:snapToGrid w:val="0"/>
              <w:jc w:val="center"/>
              <w:rPr>
                <w:rFonts w:ascii="宋体" w:cs="宋体"/>
                <w:kern w:val="0"/>
                <w:szCs w:val="21"/>
              </w:rPr>
            </w:pPr>
          </w:p>
        </w:tc>
        <w:tc>
          <w:tcPr>
            <w:tcW w:w="416" w:type="pct"/>
            <w:vAlign w:val="center"/>
          </w:tcPr>
          <w:p>
            <w:pPr>
              <w:kinsoku w:val="0"/>
              <w:overflowPunct w:val="0"/>
              <w:autoSpaceDE w:val="0"/>
              <w:autoSpaceDN w:val="0"/>
              <w:adjustRightInd w:val="0"/>
              <w:snapToGrid w:val="0"/>
              <w:jc w:val="center"/>
              <w:rPr>
                <w:rFonts w:ascii="宋体" w:cs="宋体"/>
                <w:kern w:val="0"/>
                <w:szCs w:val="21"/>
              </w:rPr>
            </w:pPr>
          </w:p>
        </w:tc>
        <w:tc>
          <w:tcPr>
            <w:tcW w:w="417" w:type="pct"/>
            <w:vAlign w:val="center"/>
          </w:tcPr>
          <w:p>
            <w:pPr>
              <w:kinsoku w:val="0"/>
              <w:overflowPunct w:val="0"/>
              <w:autoSpaceDE w:val="0"/>
              <w:autoSpaceDN w:val="0"/>
              <w:adjustRightInd w:val="0"/>
              <w:snapToGrid w:val="0"/>
              <w:jc w:val="center"/>
              <w:rPr>
                <w:rFonts w:ascii="宋体" w:cs="宋体"/>
                <w:kern w:val="0"/>
                <w:szCs w:val="21"/>
              </w:rPr>
            </w:pPr>
          </w:p>
        </w:tc>
        <w:tc>
          <w:tcPr>
            <w:tcW w:w="444" w:type="pct"/>
            <w:vAlign w:val="center"/>
          </w:tcPr>
          <w:p>
            <w:pPr>
              <w:kinsoku w:val="0"/>
              <w:overflowPunct w:val="0"/>
              <w:autoSpaceDE w:val="0"/>
              <w:autoSpaceDN w:val="0"/>
              <w:adjustRightInd w:val="0"/>
              <w:snapToGrid w:val="0"/>
              <w:jc w:val="center"/>
              <w:rPr>
                <w:rFonts w:asci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9" w:type="pct"/>
            <w:vAlign w:val="center"/>
          </w:tcPr>
          <w:p>
            <w:pPr>
              <w:kinsoku w:val="0"/>
              <w:overflowPunct w:val="0"/>
              <w:autoSpaceDE w:val="0"/>
              <w:autoSpaceDN w:val="0"/>
              <w:adjustRightInd w:val="0"/>
              <w:snapToGrid w:val="0"/>
              <w:jc w:val="center"/>
              <w:rPr>
                <w:rFonts w:ascii="宋体" w:cs="宋体"/>
                <w:kern w:val="0"/>
                <w:szCs w:val="21"/>
              </w:rPr>
            </w:pPr>
            <w:r>
              <w:rPr>
                <w:rFonts w:hint="eastAsia" w:ascii="宋体" w:cs="宋体"/>
                <w:kern w:val="0"/>
                <w:szCs w:val="21"/>
              </w:rPr>
              <w:t>服务期满后</w:t>
            </w:r>
          </w:p>
        </w:tc>
        <w:tc>
          <w:tcPr>
            <w:tcW w:w="665" w:type="pct"/>
            <w:vAlign w:val="center"/>
          </w:tcPr>
          <w:p>
            <w:pPr>
              <w:kinsoku w:val="0"/>
              <w:overflowPunct w:val="0"/>
              <w:autoSpaceDE w:val="0"/>
              <w:autoSpaceDN w:val="0"/>
              <w:adjustRightInd w:val="0"/>
              <w:snapToGrid w:val="0"/>
              <w:jc w:val="center"/>
              <w:rPr>
                <w:rFonts w:ascii="宋体" w:cs="宋体"/>
                <w:kern w:val="0"/>
                <w:szCs w:val="21"/>
              </w:rPr>
            </w:pPr>
          </w:p>
        </w:tc>
        <w:tc>
          <w:tcPr>
            <w:tcW w:w="666" w:type="pct"/>
            <w:vAlign w:val="center"/>
          </w:tcPr>
          <w:p>
            <w:pPr>
              <w:kinsoku w:val="0"/>
              <w:overflowPunct w:val="0"/>
              <w:autoSpaceDE w:val="0"/>
              <w:autoSpaceDN w:val="0"/>
              <w:adjustRightInd w:val="0"/>
              <w:snapToGrid w:val="0"/>
              <w:jc w:val="center"/>
              <w:rPr>
                <w:rFonts w:ascii="宋体" w:cs="宋体"/>
                <w:kern w:val="0"/>
                <w:szCs w:val="21"/>
              </w:rPr>
            </w:pPr>
            <w:r>
              <w:rPr>
                <w:rFonts w:eastAsia="黑体"/>
                <w:kern w:val="0"/>
                <w:szCs w:val="21"/>
              </w:rPr>
              <w:t>√</w:t>
            </w:r>
          </w:p>
        </w:tc>
        <w:tc>
          <w:tcPr>
            <w:tcW w:w="832" w:type="pct"/>
            <w:vAlign w:val="center"/>
          </w:tcPr>
          <w:p>
            <w:pPr>
              <w:kinsoku w:val="0"/>
              <w:overflowPunct w:val="0"/>
              <w:autoSpaceDE w:val="0"/>
              <w:autoSpaceDN w:val="0"/>
              <w:adjustRightInd w:val="0"/>
              <w:snapToGrid w:val="0"/>
              <w:jc w:val="center"/>
              <w:rPr>
                <w:rFonts w:ascii="宋体" w:cs="宋体"/>
                <w:kern w:val="0"/>
                <w:szCs w:val="21"/>
              </w:rPr>
            </w:pPr>
            <w:r>
              <w:rPr>
                <w:rFonts w:eastAsia="黑体"/>
                <w:kern w:val="0"/>
                <w:szCs w:val="21"/>
              </w:rPr>
              <w:t>√</w:t>
            </w:r>
          </w:p>
        </w:tc>
        <w:tc>
          <w:tcPr>
            <w:tcW w:w="416" w:type="pct"/>
            <w:vAlign w:val="center"/>
          </w:tcPr>
          <w:p>
            <w:pPr>
              <w:kinsoku w:val="0"/>
              <w:overflowPunct w:val="0"/>
              <w:autoSpaceDE w:val="0"/>
              <w:autoSpaceDN w:val="0"/>
              <w:adjustRightInd w:val="0"/>
              <w:snapToGrid w:val="0"/>
              <w:jc w:val="center"/>
              <w:rPr>
                <w:rFonts w:ascii="宋体" w:cs="宋体"/>
                <w:kern w:val="0"/>
                <w:szCs w:val="21"/>
              </w:rPr>
            </w:pPr>
          </w:p>
        </w:tc>
        <w:tc>
          <w:tcPr>
            <w:tcW w:w="415" w:type="pct"/>
            <w:vAlign w:val="center"/>
          </w:tcPr>
          <w:p>
            <w:pPr>
              <w:kinsoku w:val="0"/>
              <w:overflowPunct w:val="0"/>
              <w:autoSpaceDE w:val="0"/>
              <w:autoSpaceDN w:val="0"/>
              <w:adjustRightInd w:val="0"/>
              <w:snapToGrid w:val="0"/>
              <w:jc w:val="center"/>
              <w:rPr>
                <w:rFonts w:ascii="宋体" w:cs="宋体"/>
                <w:kern w:val="0"/>
                <w:szCs w:val="21"/>
              </w:rPr>
            </w:pPr>
          </w:p>
        </w:tc>
        <w:tc>
          <w:tcPr>
            <w:tcW w:w="416" w:type="pct"/>
            <w:vAlign w:val="center"/>
          </w:tcPr>
          <w:p>
            <w:pPr>
              <w:kinsoku w:val="0"/>
              <w:overflowPunct w:val="0"/>
              <w:autoSpaceDE w:val="0"/>
              <w:autoSpaceDN w:val="0"/>
              <w:adjustRightInd w:val="0"/>
              <w:snapToGrid w:val="0"/>
              <w:jc w:val="center"/>
              <w:rPr>
                <w:rFonts w:ascii="宋体" w:cs="宋体"/>
                <w:kern w:val="0"/>
                <w:szCs w:val="21"/>
              </w:rPr>
            </w:pPr>
          </w:p>
        </w:tc>
        <w:tc>
          <w:tcPr>
            <w:tcW w:w="417" w:type="pct"/>
            <w:vAlign w:val="center"/>
          </w:tcPr>
          <w:p>
            <w:pPr>
              <w:kinsoku w:val="0"/>
              <w:overflowPunct w:val="0"/>
              <w:autoSpaceDE w:val="0"/>
              <w:autoSpaceDN w:val="0"/>
              <w:adjustRightInd w:val="0"/>
              <w:snapToGrid w:val="0"/>
              <w:jc w:val="center"/>
              <w:rPr>
                <w:rFonts w:ascii="宋体" w:cs="宋体"/>
                <w:kern w:val="0"/>
                <w:szCs w:val="21"/>
              </w:rPr>
            </w:pPr>
          </w:p>
        </w:tc>
        <w:tc>
          <w:tcPr>
            <w:tcW w:w="444" w:type="pct"/>
            <w:vAlign w:val="center"/>
          </w:tcPr>
          <w:p>
            <w:pPr>
              <w:kinsoku w:val="0"/>
              <w:overflowPunct w:val="0"/>
              <w:autoSpaceDE w:val="0"/>
              <w:autoSpaceDN w:val="0"/>
              <w:adjustRightInd w:val="0"/>
              <w:snapToGrid w:val="0"/>
              <w:jc w:val="center"/>
              <w:rPr>
                <w:rFonts w:asci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5000" w:type="pct"/>
            <w:gridSpan w:val="9"/>
            <w:vAlign w:val="center"/>
          </w:tcPr>
          <w:p>
            <w:pPr>
              <w:kinsoku w:val="0"/>
              <w:overflowPunct w:val="0"/>
              <w:autoSpaceDE w:val="0"/>
              <w:autoSpaceDN w:val="0"/>
              <w:adjustRightInd w:val="0"/>
              <w:snapToGrid w:val="0"/>
              <w:jc w:val="left"/>
              <w:rPr>
                <w:kern w:val="0"/>
                <w:szCs w:val="21"/>
              </w:rPr>
            </w:pPr>
            <w:r>
              <w:rPr>
                <w:rFonts w:hint="eastAsia" w:ascii="宋体" w:cs="宋体"/>
                <w:kern w:val="0"/>
                <w:szCs w:val="21"/>
              </w:rPr>
              <w:t>注</w:t>
            </w:r>
            <w:r>
              <w:rPr>
                <w:kern w:val="0"/>
                <w:szCs w:val="21"/>
              </w:rPr>
              <w:t>1</w:t>
            </w:r>
            <w:r>
              <w:rPr>
                <w:rFonts w:hint="eastAsia" w:ascii="宋体" w:cs="宋体"/>
                <w:kern w:val="0"/>
                <w:szCs w:val="21"/>
              </w:rPr>
              <w:t>：在可能产生的土壤环境影响类型处打</w:t>
            </w:r>
            <w:r>
              <w:rPr>
                <w:kern w:val="0"/>
                <w:szCs w:val="21"/>
              </w:rPr>
              <w:t>“√”</w:t>
            </w:r>
          </w:p>
          <w:p>
            <w:pPr>
              <w:kinsoku w:val="0"/>
              <w:overflowPunct w:val="0"/>
              <w:autoSpaceDE w:val="0"/>
              <w:autoSpaceDN w:val="0"/>
              <w:adjustRightInd w:val="0"/>
              <w:snapToGrid w:val="0"/>
              <w:jc w:val="left"/>
              <w:rPr>
                <w:rFonts w:ascii="宋体" w:cs="宋体"/>
                <w:kern w:val="0"/>
                <w:szCs w:val="21"/>
              </w:rPr>
            </w:pPr>
            <w:r>
              <w:rPr>
                <w:rFonts w:hint="eastAsia" w:ascii="宋体" w:cs="宋体"/>
                <w:kern w:val="0"/>
                <w:szCs w:val="21"/>
              </w:rPr>
              <w:t>注</w:t>
            </w:r>
            <w:r>
              <w:rPr>
                <w:kern w:val="0"/>
                <w:szCs w:val="21"/>
              </w:rPr>
              <w:t>2</w:t>
            </w:r>
            <w:r>
              <w:rPr>
                <w:rFonts w:hint="eastAsia" w:ascii="宋体" w:cs="宋体"/>
                <w:kern w:val="0"/>
                <w:szCs w:val="21"/>
              </w:rPr>
              <w:t>：均为事故状态下的土壤污染影响识别</w:t>
            </w:r>
          </w:p>
        </w:tc>
      </w:tr>
    </w:tbl>
    <w:p>
      <w:pPr>
        <w:keepNext/>
        <w:keepLines/>
        <w:numPr>
          <w:ilvl w:val="2"/>
          <w:numId w:val="0"/>
        </w:numPr>
        <w:spacing w:line="360" w:lineRule="auto"/>
        <w:ind w:left="720" w:hanging="720"/>
        <w:outlineLvl w:val="2"/>
        <w:rPr>
          <w:b/>
          <w:bCs/>
          <w:sz w:val="28"/>
          <w:szCs w:val="32"/>
        </w:rPr>
      </w:pPr>
      <w:bookmarkStart w:id="442" w:name="_Toc143762353"/>
      <w:r>
        <w:rPr>
          <w:b/>
          <w:bCs/>
          <w:sz w:val="28"/>
          <w:szCs w:val="32"/>
        </w:rPr>
        <w:t>6</w:t>
      </w:r>
      <w:r>
        <w:rPr>
          <w:rFonts w:hint="eastAsia"/>
          <w:b/>
          <w:bCs/>
          <w:sz w:val="28"/>
          <w:szCs w:val="32"/>
        </w:rPr>
        <w:t>.</w:t>
      </w:r>
      <w:r>
        <w:rPr>
          <w:b/>
          <w:bCs/>
          <w:sz w:val="28"/>
          <w:szCs w:val="32"/>
        </w:rPr>
        <w:t>5.</w:t>
      </w:r>
      <w:r>
        <w:rPr>
          <w:rFonts w:hint="eastAsia"/>
          <w:b/>
          <w:bCs/>
          <w:sz w:val="28"/>
          <w:szCs w:val="32"/>
        </w:rPr>
        <w:t>2土壤环境影响识别</w:t>
      </w:r>
      <w:bookmarkEnd w:id="442"/>
    </w:p>
    <w:p>
      <w:pPr>
        <w:adjustRightInd w:val="0"/>
        <w:snapToGrid w:val="0"/>
        <w:jc w:val="center"/>
        <w:rPr>
          <w:b/>
          <w:sz w:val="24"/>
        </w:rPr>
      </w:pPr>
      <w:r>
        <w:rPr>
          <w:rFonts w:ascii="宋体" w:hAnsi="宋体"/>
          <w:b/>
          <w:sz w:val="24"/>
        </w:rPr>
        <w:t>表</w:t>
      </w:r>
      <w:r>
        <w:rPr>
          <w:b/>
          <w:sz w:val="24"/>
        </w:rPr>
        <w:t xml:space="preserve">6.5-2  </w:t>
      </w:r>
      <w:r>
        <w:rPr>
          <w:rFonts w:ascii="宋体" w:hAnsi="宋体"/>
          <w:b/>
          <w:sz w:val="24"/>
        </w:rPr>
        <w:t>土壤环境影响源及影响因子识别表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80"/>
        <w:gridCol w:w="1462"/>
        <w:gridCol w:w="1418"/>
        <w:gridCol w:w="1987"/>
        <w:gridCol w:w="1560"/>
        <w:gridCol w:w="12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08" w:type="pct"/>
            <w:vAlign w:val="center"/>
          </w:tcPr>
          <w:p>
            <w:pPr>
              <w:adjustRightInd w:val="0"/>
              <w:snapToGrid w:val="0"/>
              <w:jc w:val="center"/>
              <w:textAlignment w:val="center"/>
              <w:rPr>
                <w:szCs w:val="21"/>
              </w:rPr>
            </w:pPr>
            <w:r>
              <w:rPr>
                <w:szCs w:val="21"/>
              </w:rPr>
              <w:t>污染源</w:t>
            </w:r>
          </w:p>
        </w:tc>
        <w:tc>
          <w:tcPr>
            <w:tcW w:w="876" w:type="pct"/>
            <w:vAlign w:val="center"/>
          </w:tcPr>
          <w:p>
            <w:pPr>
              <w:adjustRightInd w:val="0"/>
              <w:snapToGrid w:val="0"/>
              <w:jc w:val="center"/>
              <w:textAlignment w:val="center"/>
              <w:rPr>
                <w:szCs w:val="21"/>
              </w:rPr>
            </w:pPr>
            <w:r>
              <w:rPr>
                <w:szCs w:val="21"/>
              </w:rPr>
              <w:t>工艺流程/节点</w:t>
            </w:r>
          </w:p>
        </w:tc>
        <w:tc>
          <w:tcPr>
            <w:tcW w:w="850" w:type="pct"/>
            <w:vAlign w:val="center"/>
          </w:tcPr>
          <w:p>
            <w:pPr>
              <w:adjustRightInd w:val="0"/>
              <w:snapToGrid w:val="0"/>
              <w:jc w:val="center"/>
              <w:textAlignment w:val="center"/>
              <w:rPr>
                <w:szCs w:val="21"/>
              </w:rPr>
            </w:pPr>
            <w:r>
              <w:rPr>
                <w:szCs w:val="21"/>
              </w:rPr>
              <w:t>污染途径</w:t>
            </w:r>
          </w:p>
        </w:tc>
        <w:tc>
          <w:tcPr>
            <w:tcW w:w="1191" w:type="pct"/>
            <w:vAlign w:val="center"/>
          </w:tcPr>
          <w:p>
            <w:pPr>
              <w:adjustRightInd w:val="0"/>
              <w:snapToGrid w:val="0"/>
              <w:jc w:val="center"/>
              <w:textAlignment w:val="center"/>
              <w:rPr>
                <w:szCs w:val="21"/>
              </w:rPr>
            </w:pPr>
            <w:r>
              <w:rPr>
                <w:szCs w:val="21"/>
              </w:rPr>
              <w:t>全部污染物指标</w:t>
            </w:r>
          </w:p>
        </w:tc>
        <w:tc>
          <w:tcPr>
            <w:tcW w:w="935" w:type="pct"/>
            <w:vAlign w:val="center"/>
          </w:tcPr>
          <w:p>
            <w:pPr>
              <w:adjustRightInd w:val="0"/>
              <w:snapToGrid w:val="0"/>
              <w:jc w:val="center"/>
              <w:textAlignment w:val="center"/>
              <w:rPr>
                <w:szCs w:val="21"/>
              </w:rPr>
            </w:pPr>
            <w:r>
              <w:rPr>
                <w:rFonts w:hint="eastAsia"/>
                <w:szCs w:val="21"/>
              </w:rPr>
              <w:t>特征因子</w:t>
            </w:r>
          </w:p>
        </w:tc>
        <w:tc>
          <w:tcPr>
            <w:tcW w:w="739" w:type="pct"/>
            <w:vAlign w:val="center"/>
          </w:tcPr>
          <w:p>
            <w:pPr>
              <w:adjustRightInd w:val="0"/>
              <w:snapToGrid w:val="0"/>
              <w:jc w:val="center"/>
              <w:textAlignment w:val="center"/>
              <w:rPr>
                <w:szCs w:val="21"/>
              </w:rPr>
            </w:pPr>
            <w:r>
              <w:rPr>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08" w:type="pct"/>
            <w:vAlign w:val="center"/>
          </w:tcPr>
          <w:p>
            <w:pPr>
              <w:adjustRightInd w:val="0"/>
              <w:snapToGrid w:val="0"/>
              <w:jc w:val="center"/>
              <w:textAlignment w:val="center"/>
              <w:rPr>
                <w:szCs w:val="21"/>
              </w:rPr>
            </w:pPr>
            <w:r>
              <w:rPr>
                <w:szCs w:val="21"/>
              </w:rPr>
              <w:t>填埋区</w:t>
            </w:r>
          </w:p>
        </w:tc>
        <w:tc>
          <w:tcPr>
            <w:tcW w:w="876" w:type="pct"/>
            <w:vAlign w:val="center"/>
          </w:tcPr>
          <w:p>
            <w:pPr>
              <w:adjustRightInd w:val="0"/>
              <w:snapToGrid w:val="0"/>
              <w:jc w:val="center"/>
              <w:textAlignment w:val="center"/>
              <w:rPr>
                <w:szCs w:val="21"/>
              </w:rPr>
            </w:pPr>
            <w:r>
              <w:rPr>
                <w:szCs w:val="21"/>
              </w:rPr>
              <w:t>填埋处理工艺</w:t>
            </w:r>
          </w:p>
        </w:tc>
        <w:tc>
          <w:tcPr>
            <w:tcW w:w="850" w:type="pct"/>
            <w:vAlign w:val="center"/>
          </w:tcPr>
          <w:p>
            <w:pPr>
              <w:adjustRightInd w:val="0"/>
              <w:snapToGrid w:val="0"/>
              <w:jc w:val="center"/>
              <w:textAlignment w:val="center"/>
              <w:rPr>
                <w:szCs w:val="21"/>
              </w:rPr>
            </w:pPr>
            <w:r>
              <w:rPr>
                <w:szCs w:val="21"/>
              </w:rPr>
              <w:t>垂直入渗</w:t>
            </w:r>
          </w:p>
        </w:tc>
        <w:tc>
          <w:tcPr>
            <w:tcW w:w="1191" w:type="pct"/>
            <w:vMerge w:val="restart"/>
            <w:vAlign w:val="center"/>
          </w:tcPr>
          <w:p>
            <w:pPr>
              <w:pStyle w:val="972"/>
              <w:jc w:val="center"/>
              <w:rPr>
                <w:rFonts w:ascii="Times New Roman" w:cs="Times New Roman"/>
                <w:color w:val="auto"/>
                <w:sz w:val="21"/>
                <w:szCs w:val="21"/>
              </w:rPr>
            </w:pPr>
            <w:r>
              <w:rPr>
                <w:rFonts w:ascii="Times New Roman" w:cs="Times New Roman"/>
                <w:color w:val="auto"/>
                <w:sz w:val="21"/>
                <w:szCs w:val="21"/>
              </w:rPr>
              <w:t>COD、BOD、SS、TN、NH</w:t>
            </w:r>
            <w:r>
              <w:rPr>
                <w:rFonts w:ascii="Times New Roman" w:cs="Times New Roman"/>
                <w:color w:val="auto"/>
                <w:sz w:val="21"/>
                <w:szCs w:val="21"/>
                <w:vertAlign w:val="subscript"/>
              </w:rPr>
              <w:t>3</w:t>
            </w:r>
            <w:r>
              <w:rPr>
                <w:rFonts w:ascii="Times New Roman" w:cs="Times New Roman"/>
                <w:color w:val="auto"/>
                <w:sz w:val="21"/>
                <w:szCs w:val="21"/>
              </w:rPr>
              <w:t>-N、TP、粪大肠菌群数、总汞、总镉、总铬、六价铬、总砷、总铅</w:t>
            </w:r>
          </w:p>
        </w:tc>
        <w:tc>
          <w:tcPr>
            <w:tcW w:w="935" w:type="pct"/>
            <w:vMerge w:val="restart"/>
            <w:vAlign w:val="center"/>
          </w:tcPr>
          <w:p>
            <w:pPr>
              <w:adjustRightInd w:val="0"/>
              <w:snapToGrid w:val="0"/>
              <w:jc w:val="center"/>
              <w:textAlignment w:val="center"/>
              <w:rPr>
                <w:szCs w:val="21"/>
              </w:rPr>
            </w:pPr>
            <w:r>
              <w:rPr>
                <w:rFonts w:hint="eastAsia"/>
                <w:szCs w:val="21"/>
              </w:rPr>
              <w:t>总汞、总镉、总铬、六价铬、总砷、总铅</w:t>
            </w:r>
          </w:p>
        </w:tc>
        <w:tc>
          <w:tcPr>
            <w:tcW w:w="739" w:type="pct"/>
            <w:vMerge w:val="restart"/>
            <w:vAlign w:val="center"/>
          </w:tcPr>
          <w:p>
            <w:pPr>
              <w:adjustRightInd w:val="0"/>
              <w:snapToGrid w:val="0"/>
              <w:jc w:val="center"/>
              <w:textAlignment w:val="center"/>
              <w:rPr>
                <w:szCs w:val="21"/>
              </w:rPr>
            </w:pPr>
            <w:r>
              <w:rPr>
                <w:rFonts w:hint="eastAsia"/>
                <w:szCs w:val="21"/>
              </w:rPr>
              <w:t>事故状态下防渗设施破裂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30" w:hRule="atLeast"/>
          <w:jc w:val="center"/>
        </w:trPr>
        <w:tc>
          <w:tcPr>
            <w:tcW w:w="408" w:type="pct"/>
            <w:vMerge w:val="restart"/>
            <w:vAlign w:val="center"/>
          </w:tcPr>
          <w:p>
            <w:pPr>
              <w:adjustRightInd w:val="0"/>
              <w:snapToGrid w:val="0"/>
              <w:jc w:val="center"/>
              <w:textAlignment w:val="center"/>
              <w:rPr>
                <w:szCs w:val="21"/>
              </w:rPr>
            </w:pPr>
            <w:r>
              <w:rPr>
                <w:szCs w:val="21"/>
              </w:rPr>
              <w:t>渗滤液调节池</w:t>
            </w:r>
          </w:p>
        </w:tc>
        <w:tc>
          <w:tcPr>
            <w:tcW w:w="876" w:type="pct"/>
            <w:vMerge w:val="restart"/>
            <w:vAlign w:val="center"/>
          </w:tcPr>
          <w:p>
            <w:pPr>
              <w:adjustRightInd w:val="0"/>
              <w:snapToGrid w:val="0"/>
              <w:jc w:val="center"/>
              <w:textAlignment w:val="center"/>
              <w:rPr>
                <w:szCs w:val="21"/>
              </w:rPr>
            </w:pPr>
            <w:r>
              <w:rPr>
                <w:szCs w:val="21"/>
              </w:rPr>
              <w:t>渗滤液收集工艺</w:t>
            </w:r>
          </w:p>
        </w:tc>
        <w:tc>
          <w:tcPr>
            <w:tcW w:w="850" w:type="pct"/>
            <w:vAlign w:val="center"/>
          </w:tcPr>
          <w:p>
            <w:pPr>
              <w:adjustRightInd w:val="0"/>
              <w:snapToGrid w:val="0"/>
              <w:jc w:val="center"/>
              <w:textAlignment w:val="center"/>
              <w:rPr>
                <w:szCs w:val="21"/>
              </w:rPr>
            </w:pPr>
            <w:r>
              <w:rPr>
                <w:szCs w:val="21"/>
              </w:rPr>
              <w:t>垂直入渗</w:t>
            </w:r>
          </w:p>
        </w:tc>
        <w:tc>
          <w:tcPr>
            <w:tcW w:w="1191" w:type="pct"/>
            <w:vMerge w:val="continue"/>
            <w:vAlign w:val="center"/>
          </w:tcPr>
          <w:p>
            <w:pPr>
              <w:adjustRightInd w:val="0"/>
              <w:snapToGrid w:val="0"/>
              <w:jc w:val="center"/>
              <w:textAlignment w:val="center"/>
              <w:rPr>
                <w:szCs w:val="21"/>
              </w:rPr>
            </w:pPr>
          </w:p>
        </w:tc>
        <w:tc>
          <w:tcPr>
            <w:tcW w:w="935" w:type="pct"/>
            <w:vMerge w:val="continue"/>
            <w:vAlign w:val="center"/>
          </w:tcPr>
          <w:p>
            <w:pPr>
              <w:adjustRightInd w:val="0"/>
              <w:snapToGrid w:val="0"/>
              <w:jc w:val="center"/>
              <w:textAlignment w:val="center"/>
              <w:rPr>
                <w:szCs w:val="21"/>
              </w:rPr>
            </w:pPr>
          </w:p>
        </w:tc>
        <w:tc>
          <w:tcPr>
            <w:tcW w:w="739" w:type="pct"/>
            <w:vMerge w:val="continue"/>
            <w:vAlign w:val="center"/>
          </w:tcPr>
          <w:p>
            <w:pPr>
              <w:adjustRightInd w:val="0"/>
              <w:snapToGrid w:val="0"/>
              <w:jc w:val="center"/>
              <w:textAlignment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08" w:type="pct"/>
            <w:vMerge w:val="continue"/>
            <w:vAlign w:val="center"/>
          </w:tcPr>
          <w:p>
            <w:pPr>
              <w:adjustRightInd w:val="0"/>
              <w:snapToGrid w:val="0"/>
              <w:jc w:val="center"/>
              <w:textAlignment w:val="center"/>
              <w:rPr>
                <w:szCs w:val="21"/>
              </w:rPr>
            </w:pPr>
          </w:p>
        </w:tc>
        <w:tc>
          <w:tcPr>
            <w:tcW w:w="876" w:type="pct"/>
            <w:vMerge w:val="continue"/>
            <w:vAlign w:val="center"/>
          </w:tcPr>
          <w:p>
            <w:pPr>
              <w:adjustRightInd w:val="0"/>
              <w:snapToGrid w:val="0"/>
              <w:jc w:val="center"/>
              <w:textAlignment w:val="center"/>
              <w:rPr>
                <w:szCs w:val="21"/>
              </w:rPr>
            </w:pPr>
          </w:p>
        </w:tc>
        <w:tc>
          <w:tcPr>
            <w:tcW w:w="850" w:type="pct"/>
            <w:vAlign w:val="center"/>
          </w:tcPr>
          <w:p>
            <w:pPr>
              <w:adjustRightInd w:val="0"/>
              <w:snapToGrid w:val="0"/>
              <w:jc w:val="center"/>
              <w:textAlignment w:val="center"/>
              <w:rPr>
                <w:szCs w:val="21"/>
              </w:rPr>
            </w:pPr>
            <w:r>
              <w:rPr>
                <w:szCs w:val="21"/>
              </w:rPr>
              <w:t>地面漫流</w:t>
            </w:r>
          </w:p>
        </w:tc>
        <w:tc>
          <w:tcPr>
            <w:tcW w:w="1191" w:type="pct"/>
            <w:vMerge w:val="continue"/>
            <w:vAlign w:val="center"/>
          </w:tcPr>
          <w:p>
            <w:pPr>
              <w:adjustRightInd w:val="0"/>
              <w:snapToGrid w:val="0"/>
              <w:jc w:val="center"/>
              <w:textAlignment w:val="center"/>
              <w:rPr>
                <w:szCs w:val="21"/>
              </w:rPr>
            </w:pPr>
          </w:p>
        </w:tc>
        <w:tc>
          <w:tcPr>
            <w:tcW w:w="935" w:type="pct"/>
            <w:vMerge w:val="continue"/>
            <w:vAlign w:val="center"/>
          </w:tcPr>
          <w:p>
            <w:pPr>
              <w:adjustRightInd w:val="0"/>
              <w:snapToGrid w:val="0"/>
              <w:jc w:val="center"/>
              <w:textAlignment w:val="center"/>
              <w:rPr>
                <w:szCs w:val="21"/>
              </w:rPr>
            </w:pPr>
          </w:p>
        </w:tc>
        <w:tc>
          <w:tcPr>
            <w:tcW w:w="739" w:type="pct"/>
            <w:vMerge w:val="continue"/>
            <w:vAlign w:val="center"/>
          </w:tcPr>
          <w:p>
            <w:pPr>
              <w:adjustRightInd w:val="0"/>
              <w:snapToGrid w:val="0"/>
              <w:jc w:val="center"/>
              <w:textAlignment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08" w:type="pct"/>
            <w:vMerge w:val="restart"/>
            <w:vAlign w:val="center"/>
          </w:tcPr>
          <w:p>
            <w:pPr>
              <w:adjustRightInd w:val="0"/>
              <w:snapToGrid w:val="0"/>
              <w:jc w:val="center"/>
              <w:textAlignment w:val="center"/>
              <w:rPr>
                <w:szCs w:val="21"/>
              </w:rPr>
            </w:pPr>
            <w:r>
              <w:rPr>
                <w:rFonts w:hint="eastAsia"/>
                <w:szCs w:val="21"/>
              </w:rPr>
              <w:t>污水处理站</w:t>
            </w:r>
          </w:p>
        </w:tc>
        <w:tc>
          <w:tcPr>
            <w:tcW w:w="876" w:type="pct"/>
            <w:vMerge w:val="restart"/>
            <w:vAlign w:val="center"/>
          </w:tcPr>
          <w:p>
            <w:pPr>
              <w:adjustRightInd w:val="0"/>
              <w:snapToGrid w:val="0"/>
              <w:jc w:val="center"/>
              <w:textAlignment w:val="center"/>
              <w:rPr>
                <w:szCs w:val="21"/>
              </w:rPr>
            </w:pPr>
            <w:r>
              <w:rPr>
                <w:rFonts w:hint="eastAsia"/>
                <w:szCs w:val="21"/>
              </w:rPr>
              <w:t>污水处理</w:t>
            </w:r>
          </w:p>
        </w:tc>
        <w:tc>
          <w:tcPr>
            <w:tcW w:w="850" w:type="pct"/>
            <w:vAlign w:val="center"/>
          </w:tcPr>
          <w:p>
            <w:pPr>
              <w:adjustRightInd w:val="0"/>
              <w:snapToGrid w:val="0"/>
              <w:jc w:val="center"/>
              <w:textAlignment w:val="center"/>
              <w:rPr>
                <w:szCs w:val="21"/>
              </w:rPr>
            </w:pPr>
            <w:r>
              <w:rPr>
                <w:szCs w:val="21"/>
              </w:rPr>
              <w:t>垂直入渗</w:t>
            </w:r>
          </w:p>
        </w:tc>
        <w:tc>
          <w:tcPr>
            <w:tcW w:w="1191" w:type="pct"/>
            <w:vMerge w:val="continue"/>
            <w:vAlign w:val="center"/>
          </w:tcPr>
          <w:p>
            <w:pPr>
              <w:adjustRightInd w:val="0"/>
              <w:snapToGrid w:val="0"/>
              <w:jc w:val="center"/>
              <w:textAlignment w:val="center"/>
              <w:rPr>
                <w:szCs w:val="21"/>
              </w:rPr>
            </w:pPr>
          </w:p>
        </w:tc>
        <w:tc>
          <w:tcPr>
            <w:tcW w:w="935" w:type="pct"/>
            <w:vMerge w:val="continue"/>
            <w:vAlign w:val="center"/>
          </w:tcPr>
          <w:p>
            <w:pPr>
              <w:adjustRightInd w:val="0"/>
              <w:snapToGrid w:val="0"/>
              <w:jc w:val="center"/>
              <w:textAlignment w:val="center"/>
              <w:rPr>
                <w:szCs w:val="21"/>
              </w:rPr>
            </w:pPr>
          </w:p>
        </w:tc>
        <w:tc>
          <w:tcPr>
            <w:tcW w:w="739" w:type="pct"/>
            <w:vMerge w:val="continue"/>
            <w:vAlign w:val="center"/>
          </w:tcPr>
          <w:p>
            <w:pPr>
              <w:adjustRightInd w:val="0"/>
              <w:snapToGrid w:val="0"/>
              <w:jc w:val="center"/>
              <w:textAlignment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08" w:type="pct"/>
            <w:vMerge w:val="continue"/>
            <w:vAlign w:val="center"/>
          </w:tcPr>
          <w:p>
            <w:pPr>
              <w:adjustRightInd w:val="0"/>
              <w:snapToGrid w:val="0"/>
              <w:jc w:val="center"/>
              <w:textAlignment w:val="center"/>
              <w:rPr>
                <w:szCs w:val="21"/>
              </w:rPr>
            </w:pPr>
          </w:p>
        </w:tc>
        <w:tc>
          <w:tcPr>
            <w:tcW w:w="876" w:type="pct"/>
            <w:vMerge w:val="continue"/>
            <w:vAlign w:val="center"/>
          </w:tcPr>
          <w:p>
            <w:pPr>
              <w:adjustRightInd w:val="0"/>
              <w:snapToGrid w:val="0"/>
              <w:jc w:val="center"/>
              <w:textAlignment w:val="center"/>
              <w:rPr>
                <w:szCs w:val="21"/>
              </w:rPr>
            </w:pPr>
          </w:p>
        </w:tc>
        <w:tc>
          <w:tcPr>
            <w:tcW w:w="850" w:type="pct"/>
            <w:vAlign w:val="center"/>
          </w:tcPr>
          <w:p>
            <w:pPr>
              <w:adjustRightInd w:val="0"/>
              <w:snapToGrid w:val="0"/>
              <w:jc w:val="center"/>
              <w:textAlignment w:val="center"/>
              <w:rPr>
                <w:szCs w:val="21"/>
              </w:rPr>
            </w:pPr>
            <w:r>
              <w:rPr>
                <w:szCs w:val="21"/>
              </w:rPr>
              <w:t>地面漫流</w:t>
            </w:r>
          </w:p>
        </w:tc>
        <w:tc>
          <w:tcPr>
            <w:tcW w:w="1191" w:type="pct"/>
            <w:vMerge w:val="continue"/>
            <w:vAlign w:val="center"/>
          </w:tcPr>
          <w:p>
            <w:pPr>
              <w:adjustRightInd w:val="0"/>
              <w:snapToGrid w:val="0"/>
              <w:jc w:val="center"/>
              <w:textAlignment w:val="center"/>
              <w:rPr>
                <w:szCs w:val="21"/>
              </w:rPr>
            </w:pPr>
          </w:p>
        </w:tc>
        <w:tc>
          <w:tcPr>
            <w:tcW w:w="935" w:type="pct"/>
            <w:vMerge w:val="continue"/>
            <w:vAlign w:val="center"/>
          </w:tcPr>
          <w:p>
            <w:pPr>
              <w:adjustRightInd w:val="0"/>
              <w:snapToGrid w:val="0"/>
              <w:jc w:val="center"/>
              <w:textAlignment w:val="center"/>
              <w:rPr>
                <w:szCs w:val="21"/>
              </w:rPr>
            </w:pPr>
          </w:p>
        </w:tc>
        <w:tc>
          <w:tcPr>
            <w:tcW w:w="739" w:type="pct"/>
            <w:vMerge w:val="continue"/>
            <w:vAlign w:val="center"/>
          </w:tcPr>
          <w:p>
            <w:pPr>
              <w:adjustRightInd w:val="0"/>
              <w:snapToGrid w:val="0"/>
              <w:jc w:val="center"/>
              <w:textAlignment w:val="center"/>
              <w:rPr>
                <w:szCs w:val="21"/>
              </w:rPr>
            </w:pPr>
          </w:p>
        </w:tc>
      </w:tr>
    </w:tbl>
    <w:p>
      <w:pPr>
        <w:keepNext/>
        <w:keepLines/>
        <w:numPr>
          <w:ilvl w:val="2"/>
          <w:numId w:val="0"/>
        </w:numPr>
        <w:spacing w:before="120" w:beforeLines="50" w:line="360" w:lineRule="auto"/>
        <w:ind w:left="720" w:hanging="720"/>
        <w:outlineLvl w:val="2"/>
        <w:rPr>
          <w:b/>
          <w:bCs/>
          <w:sz w:val="28"/>
          <w:szCs w:val="32"/>
        </w:rPr>
      </w:pPr>
      <w:bookmarkStart w:id="443" w:name="_Toc83556734"/>
      <w:bookmarkStart w:id="444" w:name="_Toc39067080"/>
      <w:bookmarkStart w:id="445" w:name="_Toc143762354"/>
      <w:r>
        <w:rPr>
          <w:b/>
          <w:bCs/>
          <w:sz w:val="28"/>
          <w:szCs w:val="32"/>
        </w:rPr>
        <w:t>6</w:t>
      </w:r>
      <w:r>
        <w:rPr>
          <w:rFonts w:hint="eastAsia"/>
          <w:b/>
          <w:bCs/>
          <w:sz w:val="28"/>
          <w:szCs w:val="32"/>
        </w:rPr>
        <w:t>.</w:t>
      </w:r>
      <w:r>
        <w:rPr>
          <w:b/>
          <w:bCs/>
          <w:sz w:val="28"/>
          <w:szCs w:val="32"/>
        </w:rPr>
        <w:t>5.</w:t>
      </w:r>
      <w:bookmarkEnd w:id="443"/>
      <w:bookmarkEnd w:id="444"/>
      <w:r>
        <w:rPr>
          <w:b/>
          <w:bCs/>
          <w:sz w:val="28"/>
          <w:szCs w:val="32"/>
        </w:rPr>
        <w:t>3</w:t>
      </w:r>
      <w:r>
        <w:rPr>
          <w:rFonts w:hint="eastAsia"/>
          <w:b/>
          <w:bCs/>
          <w:sz w:val="28"/>
          <w:szCs w:val="32"/>
        </w:rPr>
        <w:t>土壤影响预测与评价</w:t>
      </w:r>
      <w:bookmarkEnd w:id="445"/>
    </w:p>
    <w:p>
      <w:pPr>
        <w:numPr>
          <w:ilvl w:val="0"/>
          <w:numId w:val="4"/>
        </w:numPr>
        <w:tabs>
          <w:tab w:val="left" w:pos="2666"/>
        </w:tabs>
        <w:adjustRightInd w:val="0"/>
        <w:snapToGrid w:val="0"/>
        <w:spacing w:line="360" w:lineRule="auto"/>
        <w:ind w:firstLine="480" w:firstLineChars="200"/>
        <w:rPr>
          <w:sz w:val="24"/>
        </w:rPr>
      </w:pPr>
      <w:r>
        <w:rPr>
          <w:rFonts w:hint="eastAsia"/>
          <w:sz w:val="24"/>
        </w:rPr>
        <w:t>预测范围、预测时段、预测情景、预测因子</w:t>
      </w:r>
    </w:p>
    <w:p>
      <w:pPr>
        <w:adjustRightInd w:val="0"/>
        <w:snapToGrid w:val="0"/>
        <w:spacing w:line="360" w:lineRule="auto"/>
        <w:ind w:firstLine="480" w:firstLineChars="200"/>
        <w:rPr>
          <w:sz w:val="24"/>
        </w:rPr>
      </w:pPr>
      <w:r>
        <w:rPr>
          <w:rFonts w:hint="eastAsia"/>
          <w:sz w:val="24"/>
        </w:rPr>
        <w:t>预测范围：本次土壤预测范围与土壤现状调查范围一致。</w:t>
      </w:r>
    </w:p>
    <w:p>
      <w:pPr>
        <w:adjustRightInd w:val="0"/>
        <w:snapToGrid w:val="0"/>
        <w:spacing w:line="360" w:lineRule="auto"/>
        <w:ind w:firstLine="480" w:firstLineChars="200"/>
        <w:rPr>
          <w:sz w:val="24"/>
        </w:rPr>
      </w:pPr>
      <w:r>
        <w:rPr>
          <w:rFonts w:hint="eastAsia"/>
          <w:sz w:val="24"/>
        </w:rPr>
        <w:t>预测时段：预测泄露事故后1</w:t>
      </w:r>
      <w:r>
        <w:rPr>
          <w:sz w:val="24"/>
        </w:rPr>
        <w:t>0</w:t>
      </w:r>
      <w:r>
        <w:rPr>
          <w:rFonts w:hint="eastAsia"/>
          <w:sz w:val="24"/>
        </w:rPr>
        <w:t>年、2</w:t>
      </w:r>
      <w:r>
        <w:rPr>
          <w:sz w:val="24"/>
        </w:rPr>
        <w:t>0</w:t>
      </w:r>
      <w:r>
        <w:rPr>
          <w:rFonts w:hint="eastAsia"/>
          <w:sz w:val="24"/>
        </w:rPr>
        <w:t>年、3</w:t>
      </w:r>
      <w:r>
        <w:rPr>
          <w:sz w:val="24"/>
        </w:rPr>
        <w:t>0</w:t>
      </w:r>
      <w:r>
        <w:rPr>
          <w:rFonts w:hint="eastAsia"/>
          <w:sz w:val="24"/>
        </w:rPr>
        <w:t>年内对区域土壤环境的影响。</w:t>
      </w:r>
    </w:p>
    <w:p>
      <w:pPr>
        <w:pStyle w:val="2235"/>
        <w:ind w:firstLine="480"/>
        <w:rPr>
          <w:szCs w:val="24"/>
        </w:rPr>
      </w:pPr>
      <w:r>
        <w:rPr>
          <w:rFonts w:hint="eastAsia"/>
        </w:rPr>
        <w:t>预测情景：事故状态下，</w:t>
      </w:r>
      <w:r>
        <w:rPr>
          <w:rFonts w:hint="eastAsia"/>
          <w:szCs w:val="24"/>
        </w:rPr>
        <w:t>根据项目的土壤环境影响识别结果，本项目对土壤环境的影响主要来源于生活垃圾渗滤液，特别是渗滤液中重金属污染物。本评价重点情景设置为按填埋场防渗层</w:t>
      </w:r>
      <w:r>
        <w:rPr>
          <w:rFonts w:ascii="Times New Roman"/>
          <w:szCs w:val="24"/>
        </w:rPr>
        <w:t>50%</w:t>
      </w:r>
      <w:r>
        <w:rPr>
          <w:rFonts w:hint="eastAsia"/>
          <w:szCs w:val="24"/>
        </w:rPr>
        <w:t>出现破裂至泄漏事故后对区域土壤环境的影响。</w:t>
      </w:r>
    </w:p>
    <w:p>
      <w:pPr>
        <w:adjustRightInd w:val="0"/>
        <w:snapToGrid w:val="0"/>
        <w:spacing w:line="360" w:lineRule="auto"/>
        <w:ind w:firstLine="480" w:firstLineChars="200"/>
        <w:rPr>
          <w:sz w:val="24"/>
        </w:rPr>
      </w:pPr>
      <w:r>
        <w:rPr>
          <w:rFonts w:hint="eastAsia"/>
          <w:sz w:val="24"/>
        </w:rPr>
        <w:t>预测因子：根据工程分析，由于渗滤液重金属除砷外均未检出，说明总汞、总镉、总铬、六价铬、总铅含量极低，因此，本项目预测因子选择重金属砷作为预测因子进行预测。</w:t>
      </w:r>
    </w:p>
    <w:p>
      <w:pPr>
        <w:adjustRightInd w:val="0"/>
        <w:snapToGrid w:val="0"/>
        <w:spacing w:line="360" w:lineRule="auto"/>
        <w:ind w:firstLine="480"/>
        <w:rPr>
          <w:sz w:val="24"/>
        </w:rPr>
      </w:pPr>
      <w:r>
        <w:rPr>
          <w:rFonts w:hint="eastAsia"/>
          <w:sz w:val="24"/>
        </w:rPr>
        <w:t>（2）影响预测方法</w:t>
      </w:r>
    </w:p>
    <w:p>
      <w:pPr>
        <w:pStyle w:val="2235"/>
        <w:ind w:firstLine="480"/>
        <w:rPr>
          <w:szCs w:val="24"/>
        </w:rPr>
      </w:pPr>
      <w:r>
        <w:rPr>
          <w:rFonts w:hint="eastAsia"/>
          <w:szCs w:val="24"/>
        </w:rPr>
        <w:t>预</w:t>
      </w:r>
      <w:r>
        <w:rPr>
          <w:rFonts w:ascii="Times New Roman" w:hAnsi="Times New Roman"/>
          <w:szCs w:val="24"/>
        </w:rPr>
        <w:t>测方法：根据《环境影响评价技术导则-土壤环境》（HJ 964-2018），拟采用附录E中的方法一对土壤污染进行预测评价。</w:t>
      </w:r>
    </w:p>
    <w:p>
      <w:pPr>
        <w:spacing w:line="360" w:lineRule="auto"/>
        <w:ind w:firstLine="480" w:firstLineChars="200"/>
        <w:rPr>
          <w:sz w:val="24"/>
        </w:rPr>
      </w:pPr>
      <w:r>
        <w:rPr>
          <w:rFonts w:hint="eastAsia"/>
          <w:sz w:val="24"/>
        </w:rPr>
        <w:t>a）单位质量土壤中某种物质的增量可用下式计算：</w:t>
      </w:r>
    </w:p>
    <w:p>
      <w:pPr>
        <w:spacing w:line="360" w:lineRule="auto"/>
        <w:jc w:val="center"/>
        <w:rPr>
          <w:sz w:val="24"/>
        </w:rPr>
      </w:pPr>
      <w:r>
        <w:rPr>
          <w:rFonts w:ascii="Cambria Math" w:hAnsi="Cambria Math" w:cs="Cambria Math"/>
          <w:i/>
          <w:iCs/>
          <w:sz w:val="24"/>
        </w:rPr>
        <w:t>△</w:t>
      </w:r>
      <w:r>
        <w:rPr>
          <w:i/>
          <w:iCs/>
          <w:sz w:val="24"/>
        </w:rPr>
        <w:t>S</w:t>
      </w:r>
      <w:r>
        <w:rPr>
          <w:sz w:val="24"/>
        </w:rPr>
        <w:t>=</w:t>
      </w:r>
      <w:r>
        <w:rPr>
          <w:rFonts w:hint="eastAsia"/>
          <w:sz w:val="24"/>
        </w:rPr>
        <w:t xml:space="preserve"> </w:t>
      </w:r>
      <w:r>
        <w:rPr>
          <w:i/>
          <w:iCs/>
          <w:sz w:val="24"/>
        </w:rPr>
        <w:t>n</w:t>
      </w:r>
      <w:r>
        <w:rPr>
          <w:rFonts w:hint="eastAsia"/>
          <w:sz w:val="24"/>
        </w:rPr>
        <w:t>（</w:t>
      </w:r>
      <w:r>
        <w:rPr>
          <w:i/>
          <w:iCs/>
          <w:sz w:val="24"/>
        </w:rPr>
        <w:t>I</w:t>
      </w:r>
      <w:r>
        <w:rPr>
          <w:i/>
          <w:iCs/>
          <w:sz w:val="24"/>
          <w:vertAlign w:val="subscript"/>
        </w:rPr>
        <w:t>s</w:t>
      </w:r>
      <w:r>
        <w:rPr>
          <w:i/>
          <w:iCs/>
          <w:sz w:val="24"/>
        </w:rPr>
        <w:t>-</w:t>
      </w:r>
      <w:r>
        <w:rPr>
          <w:sz w:val="24"/>
        </w:rPr>
        <w:t>L</w:t>
      </w:r>
      <w:r>
        <w:rPr>
          <w:sz w:val="24"/>
          <w:vertAlign w:val="subscript"/>
        </w:rPr>
        <w:t>S</w:t>
      </w:r>
      <w:r>
        <w:rPr>
          <w:sz w:val="24"/>
        </w:rPr>
        <w:t>-R</w:t>
      </w:r>
      <w:r>
        <w:rPr>
          <w:sz w:val="24"/>
          <w:vertAlign w:val="subscript"/>
        </w:rPr>
        <w:t>s</w:t>
      </w:r>
      <w:r>
        <w:rPr>
          <w:rFonts w:hint="eastAsia"/>
          <w:sz w:val="24"/>
        </w:rPr>
        <w:t>）/</w:t>
      </w:r>
      <w:r>
        <w:rPr>
          <w:rFonts w:hint="eastAsia"/>
          <w:i/>
          <w:iCs/>
          <w:sz w:val="24"/>
        </w:rPr>
        <w:t xml:space="preserve"> </w:t>
      </w:r>
      <w:r>
        <w:rPr>
          <w:sz w:val="24"/>
        </w:rPr>
        <w:t xml:space="preserve">( </w:t>
      </w:r>
      <w:r>
        <w:rPr>
          <w:i/>
          <w:iCs/>
          <w:sz w:val="24"/>
        </w:rPr>
        <w:t>ρ</w:t>
      </w:r>
      <w:r>
        <w:rPr>
          <w:i/>
          <w:iCs/>
          <w:sz w:val="24"/>
          <w:vertAlign w:val="subscript"/>
        </w:rPr>
        <w:t>b</w:t>
      </w:r>
      <w:r>
        <w:rPr>
          <w:sz w:val="24"/>
        </w:rPr>
        <w:t>×</w:t>
      </w:r>
      <w:r>
        <w:rPr>
          <w:i/>
          <w:iCs/>
          <w:sz w:val="24"/>
        </w:rPr>
        <w:t>A</w:t>
      </w:r>
      <w:r>
        <w:rPr>
          <w:sz w:val="24"/>
        </w:rPr>
        <w:t>×</w:t>
      </w:r>
      <w:r>
        <w:rPr>
          <w:i/>
          <w:iCs/>
          <w:sz w:val="24"/>
        </w:rPr>
        <w:t>D</w:t>
      </w:r>
      <w:r>
        <w:rPr>
          <w:sz w:val="24"/>
        </w:rPr>
        <w:t>)</w:t>
      </w:r>
    </w:p>
    <w:p>
      <w:pPr>
        <w:spacing w:line="360" w:lineRule="auto"/>
        <w:ind w:firstLine="480" w:firstLineChars="200"/>
        <w:rPr>
          <w:sz w:val="24"/>
        </w:rPr>
      </w:pPr>
      <w:r>
        <w:rPr>
          <w:rFonts w:hint="eastAsia"/>
          <w:sz w:val="24"/>
        </w:rPr>
        <w:t>式中：</w:t>
      </w:r>
      <w:r>
        <w:rPr>
          <w:rFonts w:ascii="Cambria Math" w:hAnsi="Cambria Math" w:cs="Cambria Math"/>
          <w:i/>
          <w:iCs/>
          <w:sz w:val="24"/>
        </w:rPr>
        <w:t>△</w:t>
      </w:r>
      <w:r>
        <w:rPr>
          <w:i/>
          <w:iCs/>
          <w:sz w:val="24"/>
        </w:rPr>
        <w:t>S</w:t>
      </w:r>
      <w:r>
        <w:rPr>
          <w:rFonts w:hint="eastAsia"/>
          <w:i/>
          <w:iCs/>
          <w:sz w:val="24"/>
        </w:rPr>
        <w:t>—</w:t>
      </w:r>
      <w:r>
        <w:rPr>
          <w:rFonts w:hint="eastAsia"/>
          <w:sz w:val="24"/>
        </w:rPr>
        <w:t>单位质量表层土壤中某种物质的增量，g/kg；</w:t>
      </w:r>
    </w:p>
    <w:p>
      <w:pPr>
        <w:spacing w:line="360" w:lineRule="auto"/>
        <w:ind w:firstLine="480" w:firstLineChars="200"/>
        <w:rPr>
          <w:color w:val="FF0000"/>
          <w:sz w:val="24"/>
        </w:rPr>
      </w:pPr>
      <w:r>
        <w:rPr>
          <w:i/>
          <w:iCs/>
          <w:sz w:val="24"/>
        </w:rPr>
        <w:t>I</w:t>
      </w:r>
      <w:r>
        <w:rPr>
          <w:i/>
          <w:iCs/>
          <w:sz w:val="24"/>
          <w:vertAlign w:val="subscript"/>
        </w:rPr>
        <w:t>s</w:t>
      </w:r>
      <w:r>
        <w:rPr>
          <w:rFonts w:hint="eastAsia"/>
          <w:i/>
          <w:iCs/>
          <w:sz w:val="24"/>
        </w:rPr>
        <w:t>—</w:t>
      </w:r>
      <w:r>
        <w:rPr>
          <w:rFonts w:hint="eastAsia"/>
          <w:sz w:val="24"/>
        </w:rPr>
        <w:t>预测评价范围内单位年份表层土壤中某种的输入量，g</w:t>
      </w:r>
      <w:r>
        <w:rPr>
          <w:rFonts w:hint="eastAsia"/>
          <w:color w:val="FF0000"/>
          <w:sz w:val="24"/>
        </w:rPr>
        <w:t>（取填埋场50%出现破裂，一半渗滤液泄露至土壤，渗漏浓度砷1.6×10</w:t>
      </w:r>
      <w:r>
        <w:rPr>
          <w:rFonts w:hint="eastAsia"/>
          <w:color w:val="FF0000"/>
          <w:sz w:val="24"/>
          <w:vertAlign w:val="superscript"/>
        </w:rPr>
        <w:t>-3</w:t>
      </w:r>
      <w:r>
        <w:rPr>
          <w:rFonts w:hint="eastAsia"/>
          <w:color w:val="FF0000"/>
          <w:sz w:val="24"/>
        </w:rPr>
        <w:t xml:space="preserve"> mg/L，渗漏量2</w:t>
      </w:r>
      <w:r>
        <w:rPr>
          <w:color w:val="FF0000"/>
          <w:sz w:val="24"/>
        </w:rPr>
        <w:t>19</w:t>
      </w:r>
      <w:r>
        <w:rPr>
          <w:rFonts w:hint="eastAsia"/>
          <w:color w:val="FF0000"/>
          <w:sz w:val="24"/>
        </w:rPr>
        <w:t xml:space="preserve"> m</w:t>
      </w:r>
      <w:r>
        <w:rPr>
          <w:rFonts w:hint="eastAsia"/>
          <w:color w:val="FF0000"/>
          <w:sz w:val="24"/>
          <w:vertAlign w:val="superscript"/>
        </w:rPr>
        <w:t>3</w:t>
      </w:r>
      <w:r>
        <w:rPr>
          <w:rFonts w:hint="eastAsia"/>
          <w:color w:val="FF0000"/>
          <w:sz w:val="24"/>
        </w:rPr>
        <w:t>）；</w:t>
      </w:r>
    </w:p>
    <w:p>
      <w:pPr>
        <w:spacing w:line="360" w:lineRule="auto"/>
        <w:ind w:firstLine="480" w:firstLineChars="200"/>
        <w:rPr>
          <w:sz w:val="24"/>
        </w:rPr>
      </w:pPr>
      <w:r>
        <w:rPr>
          <w:rFonts w:hint="eastAsia"/>
          <w:sz w:val="24"/>
        </w:rPr>
        <w:t>Ls</w:t>
      </w:r>
      <w:r>
        <w:rPr>
          <w:rFonts w:hint="eastAsia"/>
          <w:i/>
          <w:iCs/>
          <w:sz w:val="24"/>
        </w:rPr>
        <w:t>—</w:t>
      </w:r>
      <w:r>
        <w:rPr>
          <w:rFonts w:hint="eastAsia"/>
          <w:sz w:val="24"/>
        </w:rPr>
        <w:t>预测评价范围内单位年份表层土壤中某种物质经淋溶排出的量，g；本评价从最大影响角度考虑，按照0进行核算。</w:t>
      </w:r>
    </w:p>
    <w:p>
      <w:pPr>
        <w:spacing w:line="360" w:lineRule="auto"/>
        <w:ind w:firstLine="480" w:firstLineChars="200"/>
        <w:rPr>
          <w:sz w:val="24"/>
        </w:rPr>
      </w:pPr>
      <w:r>
        <w:rPr>
          <w:sz w:val="24"/>
        </w:rPr>
        <w:t>R</w:t>
      </w:r>
      <w:r>
        <w:rPr>
          <w:rFonts w:hint="eastAsia"/>
          <w:sz w:val="24"/>
        </w:rPr>
        <w:t>s</w:t>
      </w:r>
      <w:r>
        <w:rPr>
          <w:rFonts w:hint="eastAsia"/>
          <w:i/>
          <w:iCs/>
          <w:sz w:val="24"/>
        </w:rPr>
        <w:t>—</w:t>
      </w:r>
      <w:r>
        <w:rPr>
          <w:rFonts w:hint="eastAsia"/>
          <w:sz w:val="24"/>
        </w:rPr>
        <w:t>预测评价范围内单位年份表层土壤中某种物质经径流排出的量，g；本评价从最大影响角度考虑，按照0进行核算。</w:t>
      </w:r>
    </w:p>
    <w:p>
      <w:pPr>
        <w:spacing w:line="360" w:lineRule="auto"/>
        <w:ind w:firstLine="480" w:firstLineChars="200"/>
        <w:rPr>
          <w:sz w:val="24"/>
        </w:rPr>
      </w:pPr>
      <w:r>
        <w:rPr>
          <w:i/>
          <w:iCs/>
          <w:sz w:val="24"/>
        </w:rPr>
        <w:t>Ρ</w:t>
      </w:r>
      <w:r>
        <w:rPr>
          <w:i/>
          <w:iCs/>
          <w:sz w:val="24"/>
          <w:vertAlign w:val="subscript"/>
        </w:rPr>
        <w:t>b</w:t>
      </w:r>
      <w:r>
        <w:rPr>
          <w:rFonts w:hint="eastAsia"/>
          <w:i/>
          <w:iCs/>
          <w:sz w:val="24"/>
        </w:rPr>
        <w:t>—</w:t>
      </w:r>
      <w:r>
        <w:rPr>
          <w:rFonts w:hint="eastAsia"/>
          <w:sz w:val="24"/>
        </w:rPr>
        <w:t>表层土壤容重，kg/m</w:t>
      </w:r>
      <w:r>
        <w:rPr>
          <w:rFonts w:hint="eastAsia"/>
          <w:sz w:val="24"/>
          <w:vertAlign w:val="superscript"/>
        </w:rPr>
        <w:t>3</w:t>
      </w:r>
      <w:r>
        <w:rPr>
          <w:rFonts w:hint="eastAsia"/>
          <w:sz w:val="24"/>
        </w:rPr>
        <w:t>；根据项目土壤理化特性调查结果，取1</w:t>
      </w:r>
      <w:r>
        <w:rPr>
          <w:sz w:val="24"/>
        </w:rPr>
        <w:t>100</w:t>
      </w:r>
      <w:r>
        <w:rPr>
          <w:rFonts w:hint="eastAsia"/>
          <w:sz w:val="24"/>
        </w:rPr>
        <w:t>kg/m</w:t>
      </w:r>
      <w:r>
        <w:rPr>
          <w:rFonts w:hint="eastAsia"/>
          <w:sz w:val="24"/>
          <w:vertAlign w:val="superscript"/>
        </w:rPr>
        <w:t>3</w:t>
      </w:r>
      <w:r>
        <w:rPr>
          <w:rFonts w:hint="eastAsia"/>
          <w:sz w:val="24"/>
        </w:rPr>
        <w:t>；</w:t>
      </w:r>
    </w:p>
    <w:p>
      <w:pPr>
        <w:spacing w:line="360" w:lineRule="auto"/>
        <w:ind w:firstLine="480" w:firstLineChars="200"/>
        <w:rPr>
          <w:sz w:val="24"/>
        </w:rPr>
      </w:pPr>
      <w:r>
        <w:rPr>
          <w:rFonts w:hint="eastAsia"/>
          <w:sz w:val="24"/>
        </w:rPr>
        <w:t>A—预测评价范围，取填埋场5</w:t>
      </w:r>
      <w:r>
        <w:rPr>
          <w:sz w:val="24"/>
        </w:rPr>
        <w:t>0%</w:t>
      </w:r>
      <w:r>
        <w:rPr>
          <w:rFonts w:hint="eastAsia"/>
          <w:sz w:val="24"/>
        </w:rPr>
        <w:t>出现破裂，以库底面积25477.0m</w:t>
      </w:r>
      <w:r>
        <w:rPr>
          <w:rFonts w:hint="eastAsia"/>
          <w:sz w:val="24"/>
          <w:vertAlign w:val="superscript"/>
        </w:rPr>
        <w:t>2</w:t>
      </w:r>
      <w:r>
        <w:rPr>
          <w:rFonts w:hint="eastAsia"/>
          <w:sz w:val="24"/>
        </w:rPr>
        <w:t>的5</w:t>
      </w:r>
      <w:r>
        <w:rPr>
          <w:sz w:val="24"/>
        </w:rPr>
        <w:t>0%</w:t>
      </w:r>
      <w:r>
        <w:rPr>
          <w:rFonts w:hint="eastAsia"/>
          <w:sz w:val="24"/>
        </w:rPr>
        <w:t>计算，1</w:t>
      </w:r>
      <w:r>
        <w:rPr>
          <w:sz w:val="24"/>
        </w:rPr>
        <w:t>2738.5</w:t>
      </w:r>
      <w:r>
        <w:t xml:space="preserve"> </w:t>
      </w:r>
      <w:r>
        <w:rPr>
          <w:sz w:val="24"/>
        </w:rPr>
        <w:t>m</w:t>
      </w:r>
      <w:r>
        <w:rPr>
          <w:sz w:val="24"/>
          <w:vertAlign w:val="superscript"/>
        </w:rPr>
        <w:t>2</w:t>
      </w:r>
      <w:r>
        <w:rPr>
          <w:rFonts w:hint="eastAsia"/>
          <w:sz w:val="24"/>
        </w:rPr>
        <w:t>；</w:t>
      </w:r>
    </w:p>
    <w:p>
      <w:pPr>
        <w:spacing w:line="360" w:lineRule="auto"/>
        <w:ind w:firstLine="480" w:firstLineChars="200"/>
        <w:rPr>
          <w:sz w:val="24"/>
        </w:rPr>
      </w:pPr>
      <w:r>
        <w:rPr>
          <w:rFonts w:hint="eastAsia"/>
          <w:sz w:val="24"/>
        </w:rPr>
        <w:t>D—表层土壤深度，一般取0.2m；</w:t>
      </w:r>
    </w:p>
    <w:p>
      <w:pPr>
        <w:spacing w:line="360" w:lineRule="auto"/>
        <w:ind w:firstLine="480" w:firstLineChars="200"/>
        <w:rPr>
          <w:i/>
          <w:iCs/>
          <w:sz w:val="24"/>
        </w:rPr>
      </w:pPr>
      <w:r>
        <w:rPr>
          <w:rFonts w:hint="eastAsia"/>
          <w:i/>
          <w:iCs/>
          <w:sz w:val="24"/>
        </w:rPr>
        <w:t>n—</w:t>
      </w:r>
      <w:r>
        <w:rPr>
          <w:rFonts w:hint="eastAsia"/>
          <w:sz w:val="24"/>
        </w:rPr>
        <w:t>持续年份</w:t>
      </w:r>
      <w:r>
        <w:rPr>
          <w:rFonts w:hint="eastAsia"/>
          <w:i/>
          <w:iCs/>
          <w:sz w:val="24"/>
        </w:rPr>
        <w:t>，</w:t>
      </w:r>
      <w:r>
        <w:rPr>
          <w:rFonts w:hint="eastAsia"/>
          <w:sz w:val="24"/>
        </w:rPr>
        <w:t>a</w:t>
      </w:r>
      <w:r>
        <w:rPr>
          <w:rFonts w:hint="eastAsia"/>
          <w:i/>
          <w:iCs/>
          <w:sz w:val="24"/>
        </w:rPr>
        <w:t>。</w:t>
      </w:r>
    </w:p>
    <w:p>
      <w:pPr>
        <w:spacing w:line="360" w:lineRule="auto"/>
        <w:ind w:firstLine="480" w:firstLineChars="200"/>
        <w:rPr>
          <w:sz w:val="24"/>
        </w:rPr>
      </w:pPr>
      <w:r>
        <w:rPr>
          <w:rFonts w:hint="eastAsia"/>
          <w:sz w:val="24"/>
        </w:rPr>
        <w:t>b）单位质量土壤中某种物质的预测值可以根据增量叠加现状值进行计算，见下式：</w:t>
      </w:r>
    </w:p>
    <w:p>
      <w:pPr>
        <w:spacing w:line="360" w:lineRule="auto"/>
        <w:jc w:val="center"/>
        <w:rPr>
          <w:i/>
          <w:iCs/>
          <w:sz w:val="24"/>
        </w:rPr>
      </w:pPr>
      <w:r>
        <w:rPr>
          <w:rFonts w:hint="eastAsia"/>
          <w:i/>
          <w:iCs/>
        </w:rPr>
        <w:t>S = S</w:t>
      </w:r>
      <w:r>
        <w:rPr>
          <w:rFonts w:hint="eastAsia"/>
          <w:i/>
          <w:iCs/>
          <w:vertAlign w:val="subscript"/>
        </w:rPr>
        <w:t>b</w:t>
      </w:r>
      <w:r>
        <w:rPr>
          <w:rFonts w:hint="eastAsia"/>
          <w:i/>
          <w:iCs/>
        </w:rPr>
        <w:t xml:space="preserve">+ </w:t>
      </w:r>
      <w:r>
        <w:rPr>
          <w:rFonts w:ascii="Cambria Math" w:hAnsi="Cambria Math" w:cs="Cambria Math"/>
          <w:i/>
          <w:iCs/>
          <w:sz w:val="24"/>
        </w:rPr>
        <w:t>△</w:t>
      </w:r>
      <w:r>
        <w:rPr>
          <w:i/>
          <w:iCs/>
          <w:sz w:val="24"/>
        </w:rPr>
        <w:t>S</w:t>
      </w:r>
    </w:p>
    <w:p>
      <w:pPr>
        <w:widowControl/>
        <w:spacing w:line="360" w:lineRule="auto"/>
        <w:ind w:firstLine="480" w:firstLineChars="200"/>
        <w:jc w:val="left"/>
        <w:rPr>
          <w:kern w:val="0"/>
          <w:sz w:val="24"/>
        </w:rPr>
      </w:pPr>
      <w:r>
        <w:rPr>
          <w:rFonts w:hint="eastAsia"/>
          <w:kern w:val="0"/>
          <w:sz w:val="24"/>
          <w:szCs w:val="28"/>
        </w:rPr>
        <w:t>式中:</w:t>
      </w:r>
      <w:r>
        <w:rPr>
          <w:rFonts w:hint="eastAsia"/>
          <w:i/>
          <w:iCs/>
          <w:kern w:val="0"/>
          <w:sz w:val="24"/>
          <w:szCs w:val="28"/>
        </w:rPr>
        <w:t>S</w:t>
      </w:r>
      <w:r>
        <w:rPr>
          <w:rFonts w:hint="eastAsia"/>
          <w:i/>
          <w:iCs/>
          <w:kern w:val="0"/>
          <w:sz w:val="24"/>
          <w:szCs w:val="28"/>
          <w:vertAlign w:val="subscript"/>
        </w:rPr>
        <w:t>b</w:t>
      </w:r>
      <w:r>
        <w:rPr>
          <w:rFonts w:hint="eastAsia"/>
          <w:kern w:val="0"/>
          <w:sz w:val="24"/>
          <w:szCs w:val="28"/>
        </w:rPr>
        <w:t>为单位质量土壤中某种物质的现状值，</w:t>
      </w:r>
      <w:r>
        <w:rPr>
          <w:rFonts w:hint="eastAsia"/>
          <w:kern w:val="0"/>
          <w:sz w:val="24"/>
        </w:rPr>
        <w:t>g/kg；本评价取监测本底最大值。</w:t>
      </w:r>
    </w:p>
    <w:p>
      <w:pPr>
        <w:widowControl/>
        <w:adjustRightInd w:val="0"/>
        <w:snapToGrid w:val="0"/>
        <w:spacing w:line="360" w:lineRule="auto"/>
        <w:ind w:firstLine="480" w:firstLineChars="200"/>
        <w:jc w:val="left"/>
        <w:rPr>
          <w:kern w:val="0"/>
          <w:sz w:val="24"/>
        </w:rPr>
      </w:pPr>
      <w:r>
        <w:rPr>
          <w:rFonts w:hint="eastAsia"/>
          <w:kern w:val="0"/>
          <w:sz w:val="24"/>
        </w:rPr>
        <w:t>S为</w:t>
      </w:r>
      <w:r>
        <w:rPr>
          <w:rFonts w:hint="eastAsia"/>
          <w:kern w:val="0"/>
          <w:sz w:val="24"/>
          <w:szCs w:val="28"/>
        </w:rPr>
        <w:t>单位质量土壤中某种物质的预测值</w:t>
      </w:r>
      <w:r>
        <w:rPr>
          <w:rFonts w:hint="eastAsia"/>
          <w:kern w:val="0"/>
          <w:sz w:val="24"/>
        </w:rPr>
        <w:t>g/kg。</w:t>
      </w:r>
    </w:p>
    <w:p>
      <w:pPr>
        <w:adjustRightInd w:val="0"/>
        <w:snapToGrid w:val="0"/>
        <w:spacing w:line="360" w:lineRule="auto"/>
        <w:ind w:firstLine="480"/>
        <w:rPr>
          <w:sz w:val="24"/>
        </w:rPr>
      </w:pPr>
      <w:r>
        <w:rPr>
          <w:rFonts w:hint="eastAsia"/>
          <w:sz w:val="24"/>
        </w:rPr>
        <w:t>（</w:t>
      </w:r>
      <w:r>
        <w:rPr>
          <w:sz w:val="24"/>
        </w:rPr>
        <w:t>3</w:t>
      </w:r>
      <w:r>
        <w:rPr>
          <w:rFonts w:hint="eastAsia"/>
          <w:sz w:val="24"/>
        </w:rPr>
        <w:t>）预测参数及预测结果</w:t>
      </w:r>
    </w:p>
    <w:p>
      <w:pPr>
        <w:jc w:val="center"/>
        <w:rPr>
          <w:b/>
          <w:sz w:val="24"/>
        </w:rPr>
      </w:pPr>
      <w:r>
        <w:rPr>
          <w:rFonts w:hint="eastAsia"/>
          <w:b/>
          <w:sz w:val="24"/>
        </w:rPr>
        <w:t>表</w:t>
      </w:r>
      <w:r>
        <w:rPr>
          <w:b/>
          <w:sz w:val="24"/>
        </w:rPr>
        <w:t>6</w:t>
      </w:r>
      <w:r>
        <w:rPr>
          <w:rFonts w:hint="eastAsia"/>
          <w:b/>
          <w:sz w:val="24"/>
        </w:rPr>
        <w:t>.</w:t>
      </w:r>
      <w:r>
        <w:rPr>
          <w:b/>
          <w:sz w:val="24"/>
        </w:rPr>
        <w:t>5</w:t>
      </w:r>
      <w:r>
        <w:rPr>
          <w:rFonts w:hint="eastAsia"/>
          <w:b/>
          <w:sz w:val="24"/>
        </w:rPr>
        <w:t>-</w:t>
      </w:r>
      <w:r>
        <w:rPr>
          <w:b/>
          <w:sz w:val="24"/>
        </w:rPr>
        <w:t xml:space="preserve">3 </w:t>
      </w:r>
      <w:r>
        <w:rPr>
          <w:rFonts w:hint="eastAsia"/>
          <w:b/>
          <w:sz w:val="24"/>
        </w:rPr>
        <w:t>项目土壤环境影响增量预测结果表</w:t>
      </w:r>
    </w:p>
    <w:tbl>
      <w:tblPr>
        <w:tblStyle w:val="8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567"/>
        <w:gridCol w:w="1134"/>
        <w:gridCol w:w="851"/>
        <w:gridCol w:w="986"/>
        <w:gridCol w:w="772"/>
        <w:gridCol w:w="925"/>
        <w:gridCol w:w="644"/>
        <w:gridCol w:w="603"/>
        <w:gridCol w:w="13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1261" w:type="dxa"/>
            <w:gridSpan w:val="2"/>
            <w:vMerge w:val="restart"/>
            <w:vAlign w:val="center"/>
          </w:tcPr>
          <w:p>
            <w:pPr>
              <w:autoSpaceDE w:val="0"/>
              <w:autoSpaceDN w:val="0"/>
              <w:adjustRightInd w:val="0"/>
              <w:snapToGrid w:val="0"/>
              <w:jc w:val="center"/>
              <w:rPr>
                <w:color w:val="FF0000"/>
                <w:kern w:val="0"/>
                <w:szCs w:val="21"/>
              </w:rPr>
            </w:pPr>
            <w:r>
              <w:rPr>
                <w:color w:val="FF0000"/>
                <w:kern w:val="0"/>
                <w:szCs w:val="21"/>
              </w:rPr>
              <w:t>项目</w:t>
            </w:r>
          </w:p>
        </w:tc>
        <w:tc>
          <w:tcPr>
            <w:tcW w:w="5067" w:type="dxa"/>
            <w:gridSpan w:val="6"/>
            <w:vAlign w:val="center"/>
          </w:tcPr>
          <w:p>
            <w:pPr>
              <w:autoSpaceDE w:val="0"/>
              <w:autoSpaceDN w:val="0"/>
              <w:adjustRightInd w:val="0"/>
              <w:snapToGrid w:val="0"/>
              <w:jc w:val="center"/>
              <w:rPr>
                <w:color w:val="FF0000"/>
                <w:kern w:val="0"/>
                <w:szCs w:val="21"/>
              </w:rPr>
            </w:pPr>
            <w:r>
              <w:rPr>
                <w:color w:val="FF0000"/>
                <w:kern w:val="0"/>
                <w:szCs w:val="21"/>
              </w:rPr>
              <w:t>预测参数</w:t>
            </w:r>
          </w:p>
        </w:tc>
        <w:tc>
          <w:tcPr>
            <w:tcW w:w="1952" w:type="dxa"/>
            <w:gridSpan w:val="2"/>
            <w:vAlign w:val="center"/>
          </w:tcPr>
          <w:p>
            <w:pPr>
              <w:autoSpaceDE w:val="0"/>
              <w:autoSpaceDN w:val="0"/>
              <w:adjustRightInd w:val="0"/>
              <w:snapToGrid w:val="0"/>
              <w:jc w:val="center"/>
              <w:rPr>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1261" w:type="dxa"/>
            <w:gridSpan w:val="2"/>
            <w:vMerge w:val="continue"/>
          </w:tcPr>
          <w:p>
            <w:pPr>
              <w:autoSpaceDE w:val="0"/>
              <w:autoSpaceDN w:val="0"/>
              <w:adjustRightInd w:val="0"/>
              <w:snapToGrid w:val="0"/>
              <w:jc w:val="center"/>
              <w:rPr>
                <w:color w:val="FF0000"/>
                <w:kern w:val="0"/>
                <w:szCs w:val="21"/>
              </w:rPr>
            </w:pPr>
          </w:p>
        </w:tc>
        <w:tc>
          <w:tcPr>
            <w:tcW w:w="1134" w:type="dxa"/>
            <w:vAlign w:val="center"/>
          </w:tcPr>
          <w:p>
            <w:pPr>
              <w:autoSpaceDE w:val="0"/>
              <w:autoSpaceDN w:val="0"/>
              <w:adjustRightInd w:val="0"/>
              <w:snapToGrid w:val="0"/>
              <w:jc w:val="center"/>
              <w:rPr>
                <w:color w:val="FF0000"/>
                <w:kern w:val="0"/>
                <w:szCs w:val="21"/>
              </w:rPr>
            </w:pPr>
            <w:r>
              <w:rPr>
                <w:color w:val="FF0000"/>
                <w:kern w:val="0"/>
                <w:szCs w:val="21"/>
              </w:rPr>
              <w:t>预测评价范围内单位年份表层土壤中某物质输入量</w:t>
            </w:r>
          </w:p>
        </w:tc>
        <w:tc>
          <w:tcPr>
            <w:tcW w:w="851" w:type="dxa"/>
            <w:vAlign w:val="center"/>
          </w:tcPr>
          <w:p>
            <w:pPr>
              <w:autoSpaceDE w:val="0"/>
              <w:autoSpaceDN w:val="0"/>
              <w:adjustRightInd w:val="0"/>
              <w:snapToGrid w:val="0"/>
              <w:jc w:val="center"/>
              <w:rPr>
                <w:color w:val="FF0000"/>
                <w:kern w:val="0"/>
                <w:szCs w:val="21"/>
              </w:rPr>
            </w:pPr>
            <w:r>
              <w:rPr>
                <w:color w:val="FF0000"/>
                <w:kern w:val="0"/>
                <w:szCs w:val="21"/>
              </w:rPr>
              <w:t>单位年份表层土壤中某物质经淋溶的排出量</w:t>
            </w:r>
          </w:p>
        </w:tc>
        <w:tc>
          <w:tcPr>
            <w:tcW w:w="986" w:type="dxa"/>
            <w:vAlign w:val="center"/>
          </w:tcPr>
          <w:p>
            <w:pPr>
              <w:autoSpaceDE w:val="0"/>
              <w:autoSpaceDN w:val="0"/>
              <w:adjustRightInd w:val="0"/>
              <w:snapToGrid w:val="0"/>
              <w:jc w:val="center"/>
              <w:rPr>
                <w:color w:val="FF0000"/>
                <w:kern w:val="0"/>
                <w:szCs w:val="21"/>
              </w:rPr>
            </w:pPr>
            <w:r>
              <w:rPr>
                <w:color w:val="FF0000"/>
                <w:kern w:val="0"/>
                <w:szCs w:val="21"/>
              </w:rPr>
              <w:t>单位年份表层土壤中某物质经径流排出量</w:t>
            </w:r>
          </w:p>
        </w:tc>
        <w:tc>
          <w:tcPr>
            <w:tcW w:w="0" w:type="auto"/>
            <w:vAlign w:val="center"/>
          </w:tcPr>
          <w:p>
            <w:pPr>
              <w:autoSpaceDE w:val="0"/>
              <w:autoSpaceDN w:val="0"/>
              <w:adjustRightInd w:val="0"/>
              <w:snapToGrid w:val="0"/>
              <w:jc w:val="center"/>
              <w:rPr>
                <w:color w:val="FF0000"/>
                <w:kern w:val="0"/>
                <w:szCs w:val="21"/>
              </w:rPr>
            </w:pPr>
            <w:r>
              <w:rPr>
                <w:color w:val="FF0000"/>
                <w:kern w:val="0"/>
                <w:szCs w:val="21"/>
              </w:rPr>
              <w:t>土壤容重</w:t>
            </w:r>
          </w:p>
        </w:tc>
        <w:tc>
          <w:tcPr>
            <w:tcW w:w="0" w:type="auto"/>
            <w:vAlign w:val="center"/>
          </w:tcPr>
          <w:p>
            <w:pPr>
              <w:autoSpaceDE w:val="0"/>
              <w:autoSpaceDN w:val="0"/>
              <w:adjustRightInd w:val="0"/>
              <w:snapToGrid w:val="0"/>
              <w:jc w:val="center"/>
              <w:rPr>
                <w:color w:val="FF0000"/>
                <w:kern w:val="0"/>
                <w:szCs w:val="21"/>
              </w:rPr>
            </w:pPr>
            <w:r>
              <w:rPr>
                <w:color w:val="FF0000"/>
                <w:kern w:val="0"/>
                <w:szCs w:val="21"/>
              </w:rPr>
              <w:t>评价范围</w:t>
            </w:r>
          </w:p>
        </w:tc>
        <w:tc>
          <w:tcPr>
            <w:tcW w:w="0" w:type="auto"/>
            <w:vAlign w:val="center"/>
          </w:tcPr>
          <w:p>
            <w:pPr>
              <w:autoSpaceDE w:val="0"/>
              <w:autoSpaceDN w:val="0"/>
              <w:adjustRightInd w:val="0"/>
              <w:snapToGrid w:val="0"/>
              <w:jc w:val="center"/>
              <w:rPr>
                <w:color w:val="FF0000"/>
                <w:kern w:val="0"/>
                <w:szCs w:val="21"/>
              </w:rPr>
            </w:pPr>
            <w:r>
              <w:rPr>
                <w:color w:val="FF0000"/>
                <w:kern w:val="0"/>
                <w:szCs w:val="21"/>
              </w:rPr>
              <w:t>表层土壤深度</w:t>
            </w:r>
          </w:p>
        </w:tc>
        <w:tc>
          <w:tcPr>
            <w:tcW w:w="603" w:type="dxa"/>
            <w:vAlign w:val="center"/>
          </w:tcPr>
          <w:p>
            <w:pPr>
              <w:autoSpaceDE w:val="0"/>
              <w:autoSpaceDN w:val="0"/>
              <w:adjustRightInd w:val="0"/>
              <w:snapToGrid w:val="0"/>
              <w:jc w:val="center"/>
              <w:rPr>
                <w:color w:val="FF0000"/>
                <w:kern w:val="0"/>
                <w:szCs w:val="21"/>
              </w:rPr>
            </w:pPr>
            <w:r>
              <w:rPr>
                <w:color w:val="FF0000"/>
                <w:kern w:val="0"/>
                <w:szCs w:val="21"/>
              </w:rPr>
              <w:t>持续年份</w:t>
            </w:r>
          </w:p>
        </w:tc>
        <w:tc>
          <w:tcPr>
            <w:tcW w:w="1349" w:type="dxa"/>
            <w:vAlign w:val="center"/>
          </w:tcPr>
          <w:p>
            <w:pPr>
              <w:autoSpaceDE w:val="0"/>
              <w:autoSpaceDN w:val="0"/>
              <w:adjustRightInd w:val="0"/>
              <w:snapToGrid w:val="0"/>
              <w:jc w:val="center"/>
              <w:rPr>
                <w:color w:val="FF0000"/>
                <w:kern w:val="0"/>
                <w:szCs w:val="21"/>
              </w:rPr>
            </w:pPr>
            <w:r>
              <w:rPr>
                <w:color w:val="FF0000"/>
                <w:kern w:val="0"/>
                <w:szCs w:val="21"/>
              </w:rPr>
              <w:t>表层土壤中某种物质浓度增量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1261" w:type="dxa"/>
            <w:gridSpan w:val="2"/>
          </w:tcPr>
          <w:p>
            <w:pPr>
              <w:autoSpaceDE w:val="0"/>
              <w:autoSpaceDN w:val="0"/>
              <w:adjustRightInd w:val="0"/>
              <w:snapToGrid w:val="0"/>
              <w:jc w:val="center"/>
              <w:rPr>
                <w:color w:val="FF0000"/>
                <w:kern w:val="0"/>
                <w:szCs w:val="21"/>
              </w:rPr>
            </w:pPr>
            <w:r>
              <w:rPr>
                <w:color w:val="FF0000"/>
                <w:kern w:val="0"/>
                <w:szCs w:val="21"/>
              </w:rPr>
              <w:t>代码</w:t>
            </w:r>
          </w:p>
        </w:tc>
        <w:tc>
          <w:tcPr>
            <w:tcW w:w="1134"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Is</w:t>
            </w:r>
          </w:p>
        </w:tc>
        <w:tc>
          <w:tcPr>
            <w:tcW w:w="851"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Ls</w:t>
            </w:r>
          </w:p>
        </w:tc>
        <w:tc>
          <w:tcPr>
            <w:tcW w:w="986"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Rs</w:t>
            </w:r>
          </w:p>
        </w:tc>
        <w:tc>
          <w:tcPr>
            <w:tcW w:w="0" w:type="auto"/>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ρb</w:t>
            </w:r>
          </w:p>
        </w:tc>
        <w:tc>
          <w:tcPr>
            <w:tcW w:w="0" w:type="auto"/>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A</w:t>
            </w:r>
          </w:p>
        </w:tc>
        <w:tc>
          <w:tcPr>
            <w:tcW w:w="0" w:type="auto"/>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D</w:t>
            </w:r>
          </w:p>
        </w:tc>
        <w:tc>
          <w:tcPr>
            <w:tcW w:w="603"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n</w:t>
            </w:r>
          </w:p>
        </w:tc>
        <w:tc>
          <w:tcPr>
            <w:tcW w:w="1349"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ΔS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 w:hRule="atLeast"/>
        </w:trPr>
        <w:tc>
          <w:tcPr>
            <w:tcW w:w="1261" w:type="dxa"/>
            <w:gridSpan w:val="2"/>
          </w:tcPr>
          <w:p>
            <w:pPr>
              <w:autoSpaceDE w:val="0"/>
              <w:autoSpaceDN w:val="0"/>
              <w:adjustRightInd w:val="0"/>
              <w:snapToGrid w:val="0"/>
              <w:jc w:val="center"/>
              <w:rPr>
                <w:color w:val="FF0000"/>
                <w:kern w:val="0"/>
                <w:szCs w:val="21"/>
              </w:rPr>
            </w:pPr>
            <w:r>
              <w:rPr>
                <w:color w:val="FF0000"/>
                <w:kern w:val="0"/>
                <w:szCs w:val="21"/>
              </w:rPr>
              <w:t>单位</w:t>
            </w:r>
          </w:p>
        </w:tc>
        <w:tc>
          <w:tcPr>
            <w:tcW w:w="1134"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g/a</w:t>
            </w:r>
          </w:p>
        </w:tc>
        <w:tc>
          <w:tcPr>
            <w:tcW w:w="851"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g/a</w:t>
            </w:r>
          </w:p>
        </w:tc>
        <w:tc>
          <w:tcPr>
            <w:tcW w:w="986"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g/a</w:t>
            </w:r>
          </w:p>
        </w:tc>
        <w:tc>
          <w:tcPr>
            <w:tcW w:w="0" w:type="auto"/>
            <w:vAlign w:val="center"/>
          </w:tcPr>
          <w:p>
            <w:pPr>
              <w:autoSpaceDE w:val="0"/>
              <w:autoSpaceDN w:val="0"/>
              <w:adjustRightInd w:val="0"/>
              <w:snapToGrid w:val="0"/>
              <w:jc w:val="center"/>
              <w:rPr>
                <w:rFonts w:eastAsia="黑体"/>
                <w:color w:val="FF0000"/>
                <w:kern w:val="0"/>
                <w:szCs w:val="21"/>
              </w:rPr>
            </w:pPr>
            <w:r>
              <w:rPr>
                <w:color w:val="FF0000"/>
                <w:szCs w:val="21"/>
              </w:rPr>
              <w:t>kg/m</w:t>
            </w:r>
            <w:r>
              <w:rPr>
                <w:color w:val="FF0000"/>
                <w:szCs w:val="21"/>
                <w:vertAlign w:val="superscript"/>
              </w:rPr>
              <w:t>3</w:t>
            </w:r>
          </w:p>
        </w:tc>
        <w:tc>
          <w:tcPr>
            <w:tcW w:w="0" w:type="auto"/>
            <w:vAlign w:val="center"/>
          </w:tcPr>
          <w:p>
            <w:pPr>
              <w:autoSpaceDE w:val="0"/>
              <w:autoSpaceDN w:val="0"/>
              <w:adjustRightInd w:val="0"/>
              <w:snapToGrid w:val="0"/>
              <w:jc w:val="center"/>
              <w:rPr>
                <w:rFonts w:eastAsia="黑体"/>
                <w:color w:val="FF0000"/>
                <w:kern w:val="0"/>
                <w:szCs w:val="21"/>
              </w:rPr>
            </w:pPr>
            <w:r>
              <w:rPr>
                <w:color w:val="FF0000"/>
                <w:szCs w:val="21"/>
              </w:rPr>
              <w:t>m</w:t>
            </w:r>
            <w:r>
              <w:rPr>
                <w:color w:val="FF0000"/>
                <w:szCs w:val="21"/>
                <w:vertAlign w:val="superscript"/>
              </w:rPr>
              <w:t>2</w:t>
            </w:r>
          </w:p>
        </w:tc>
        <w:tc>
          <w:tcPr>
            <w:tcW w:w="0" w:type="auto"/>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m</w:t>
            </w:r>
          </w:p>
        </w:tc>
        <w:tc>
          <w:tcPr>
            <w:tcW w:w="603"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a</w:t>
            </w:r>
          </w:p>
        </w:tc>
        <w:tc>
          <w:tcPr>
            <w:tcW w:w="1349"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m</w:t>
            </w:r>
            <w:r>
              <w:rPr>
                <w:rFonts w:eastAsia="黑体"/>
                <w:color w:val="FF0000"/>
                <w:kern w:val="0"/>
                <w:szCs w:val="21"/>
              </w:rPr>
              <w:t>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94" w:type="dxa"/>
            <w:vAlign w:val="center"/>
          </w:tcPr>
          <w:p>
            <w:pPr>
              <w:autoSpaceDE w:val="0"/>
              <w:autoSpaceDN w:val="0"/>
              <w:adjustRightInd w:val="0"/>
              <w:snapToGrid w:val="0"/>
              <w:jc w:val="center"/>
              <w:rPr>
                <w:color w:val="FF0000"/>
                <w:szCs w:val="21"/>
              </w:rPr>
            </w:pPr>
            <w:r>
              <w:rPr>
                <w:rFonts w:hint="eastAsia"/>
                <w:color w:val="FF0000"/>
                <w:szCs w:val="21"/>
              </w:rPr>
              <w:t>数值</w:t>
            </w:r>
          </w:p>
        </w:tc>
        <w:tc>
          <w:tcPr>
            <w:tcW w:w="567" w:type="dxa"/>
            <w:vAlign w:val="center"/>
          </w:tcPr>
          <w:p>
            <w:pPr>
              <w:autoSpaceDE w:val="0"/>
              <w:autoSpaceDN w:val="0"/>
              <w:adjustRightInd w:val="0"/>
              <w:snapToGrid w:val="0"/>
              <w:jc w:val="center"/>
              <w:rPr>
                <w:color w:val="FF0000"/>
                <w:kern w:val="0"/>
                <w:szCs w:val="21"/>
              </w:rPr>
            </w:pPr>
            <w:r>
              <w:rPr>
                <w:color w:val="FF0000"/>
                <w:szCs w:val="21"/>
              </w:rPr>
              <w:t>总砷</w:t>
            </w:r>
          </w:p>
        </w:tc>
        <w:tc>
          <w:tcPr>
            <w:tcW w:w="1134"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0.3504</w:t>
            </w:r>
          </w:p>
        </w:tc>
        <w:tc>
          <w:tcPr>
            <w:tcW w:w="851"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p>
        </w:tc>
        <w:tc>
          <w:tcPr>
            <w:tcW w:w="986"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p>
        </w:tc>
        <w:tc>
          <w:tcPr>
            <w:tcW w:w="0" w:type="auto"/>
            <w:vAlign w:val="center"/>
          </w:tcPr>
          <w:p>
            <w:pPr>
              <w:autoSpaceDE w:val="0"/>
              <w:autoSpaceDN w:val="0"/>
              <w:adjustRightInd w:val="0"/>
              <w:snapToGrid w:val="0"/>
              <w:jc w:val="center"/>
              <w:rPr>
                <w:color w:val="FF0000"/>
                <w:szCs w:val="21"/>
              </w:rPr>
            </w:pPr>
            <w:r>
              <w:rPr>
                <w:rFonts w:hint="eastAsia"/>
                <w:color w:val="FF0000"/>
                <w:szCs w:val="21"/>
              </w:rPr>
              <w:t>1</w:t>
            </w:r>
            <w:r>
              <w:rPr>
                <w:color w:val="FF0000"/>
                <w:szCs w:val="21"/>
              </w:rPr>
              <w:t>100</w:t>
            </w:r>
          </w:p>
        </w:tc>
        <w:tc>
          <w:tcPr>
            <w:tcW w:w="0" w:type="auto"/>
            <w:vAlign w:val="center"/>
          </w:tcPr>
          <w:p>
            <w:pPr>
              <w:autoSpaceDE w:val="0"/>
              <w:autoSpaceDN w:val="0"/>
              <w:adjustRightInd w:val="0"/>
              <w:snapToGrid w:val="0"/>
              <w:jc w:val="center"/>
              <w:rPr>
                <w:color w:val="FF0000"/>
                <w:szCs w:val="21"/>
              </w:rPr>
            </w:pPr>
            <w:r>
              <w:rPr>
                <w:color w:val="FF0000"/>
                <w:szCs w:val="21"/>
              </w:rPr>
              <w:t>12738.5</w:t>
            </w:r>
          </w:p>
        </w:tc>
        <w:tc>
          <w:tcPr>
            <w:tcW w:w="0" w:type="auto"/>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r>
              <w:rPr>
                <w:rFonts w:eastAsia="黑体"/>
                <w:color w:val="FF0000"/>
                <w:kern w:val="0"/>
                <w:szCs w:val="21"/>
              </w:rPr>
              <w:t>.2</w:t>
            </w:r>
          </w:p>
        </w:tc>
        <w:tc>
          <w:tcPr>
            <w:tcW w:w="603"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1</w:t>
            </w:r>
            <w:r>
              <w:rPr>
                <w:rFonts w:eastAsia="黑体"/>
                <w:color w:val="FF0000"/>
                <w:kern w:val="0"/>
                <w:szCs w:val="21"/>
              </w:rPr>
              <w:t>0</w:t>
            </w:r>
          </w:p>
        </w:tc>
        <w:tc>
          <w:tcPr>
            <w:tcW w:w="1349" w:type="dxa"/>
            <w:vAlign w:val="center"/>
          </w:tcPr>
          <w:p>
            <w:pPr>
              <w:autoSpaceDE w:val="0"/>
              <w:autoSpaceDN w:val="0"/>
              <w:adjustRightInd w:val="0"/>
              <w:snapToGrid w:val="0"/>
              <w:jc w:val="center"/>
              <w:rPr>
                <w:rFonts w:eastAsia="黑体"/>
                <w:color w:val="FF0000"/>
                <w:kern w:val="0"/>
                <w:szCs w:val="21"/>
              </w:rPr>
            </w:pPr>
            <w:r>
              <w:rPr>
                <w:color w:val="FF0000"/>
              </w:rPr>
              <w:t>1.25033E-06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94" w:type="dxa"/>
            <w:vAlign w:val="center"/>
          </w:tcPr>
          <w:p>
            <w:pPr>
              <w:autoSpaceDE w:val="0"/>
              <w:autoSpaceDN w:val="0"/>
              <w:adjustRightInd w:val="0"/>
              <w:snapToGrid w:val="0"/>
              <w:jc w:val="center"/>
              <w:rPr>
                <w:color w:val="FF0000"/>
                <w:szCs w:val="21"/>
              </w:rPr>
            </w:pPr>
            <w:r>
              <w:rPr>
                <w:rFonts w:hint="eastAsia"/>
                <w:color w:val="FF0000"/>
                <w:szCs w:val="21"/>
              </w:rPr>
              <w:t>数值</w:t>
            </w:r>
          </w:p>
        </w:tc>
        <w:tc>
          <w:tcPr>
            <w:tcW w:w="567" w:type="dxa"/>
            <w:vAlign w:val="center"/>
          </w:tcPr>
          <w:p>
            <w:pPr>
              <w:autoSpaceDE w:val="0"/>
              <w:autoSpaceDN w:val="0"/>
              <w:adjustRightInd w:val="0"/>
              <w:snapToGrid w:val="0"/>
              <w:jc w:val="center"/>
              <w:rPr>
                <w:color w:val="FF0000"/>
                <w:szCs w:val="21"/>
              </w:rPr>
            </w:pPr>
            <w:r>
              <w:rPr>
                <w:color w:val="FF0000"/>
                <w:szCs w:val="21"/>
              </w:rPr>
              <w:t>总砷</w:t>
            </w:r>
          </w:p>
        </w:tc>
        <w:tc>
          <w:tcPr>
            <w:tcW w:w="1134"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0.3504</w:t>
            </w:r>
          </w:p>
        </w:tc>
        <w:tc>
          <w:tcPr>
            <w:tcW w:w="851"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p>
        </w:tc>
        <w:tc>
          <w:tcPr>
            <w:tcW w:w="986"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p>
        </w:tc>
        <w:tc>
          <w:tcPr>
            <w:tcW w:w="0" w:type="auto"/>
            <w:vAlign w:val="center"/>
          </w:tcPr>
          <w:p>
            <w:pPr>
              <w:autoSpaceDE w:val="0"/>
              <w:autoSpaceDN w:val="0"/>
              <w:adjustRightInd w:val="0"/>
              <w:snapToGrid w:val="0"/>
              <w:jc w:val="center"/>
              <w:rPr>
                <w:color w:val="FF0000"/>
                <w:szCs w:val="21"/>
              </w:rPr>
            </w:pPr>
            <w:r>
              <w:rPr>
                <w:rFonts w:hint="eastAsia"/>
                <w:color w:val="FF0000"/>
                <w:szCs w:val="21"/>
              </w:rPr>
              <w:t>1</w:t>
            </w:r>
            <w:r>
              <w:rPr>
                <w:color w:val="FF0000"/>
                <w:szCs w:val="21"/>
              </w:rPr>
              <w:t>100</w:t>
            </w:r>
          </w:p>
        </w:tc>
        <w:tc>
          <w:tcPr>
            <w:tcW w:w="0" w:type="auto"/>
            <w:vAlign w:val="center"/>
          </w:tcPr>
          <w:p>
            <w:pPr>
              <w:autoSpaceDE w:val="0"/>
              <w:autoSpaceDN w:val="0"/>
              <w:adjustRightInd w:val="0"/>
              <w:snapToGrid w:val="0"/>
              <w:jc w:val="center"/>
              <w:rPr>
                <w:color w:val="FF0000"/>
                <w:szCs w:val="21"/>
              </w:rPr>
            </w:pPr>
            <w:r>
              <w:rPr>
                <w:color w:val="FF0000"/>
                <w:szCs w:val="21"/>
              </w:rPr>
              <w:t>12738.5</w:t>
            </w:r>
          </w:p>
        </w:tc>
        <w:tc>
          <w:tcPr>
            <w:tcW w:w="0" w:type="auto"/>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r>
              <w:rPr>
                <w:rFonts w:eastAsia="黑体"/>
                <w:color w:val="FF0000"/>
                <w:kern w:val="0"/>
                <w:szCs w:val="21"/>
              </w:rPr>
              <w:t>.2</w:t>
            </w:r>
          </w:p>
        </w:tc>
        <w:tc>
          <w:tcPr>
            <w:tcW w:w="603"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2</w:t>
            </w:r>
            <w:r>
              <w:rPr>
                <w:rFonts w:eastAsia="黑体"/>
                <w:color w:val="FF0000"/>
                <w:kern w:val="0"/>
                <w:szCs w:val="21"/>
              </w:rPr>
              <w:t>0</w:t>
            </w:r>
          </w:p>
        </w:tc>
        <w:tc>
          <w:tcPr>
            <w:tcW w:w="1349" w:type="dxa"/>
            <w:vAlign w:val="center"/>
          </w:tcPr>
          <w:p>
            <w:pPr>
              <w:autoSpaceDE w:val="0"/>
              <w:autoSpaceDN w:val="0"/>
              <w:adjustRightInd w:val="0"/>
              <w:snapToGrid w:val="0"/>
              <w:jc w:val="center"/>
              <w:rPr>
                <w:rFonts w:eastAsia="黑体"/>
                <w:color w:val="FF0000"/>
                <w:kern w:val="0"/>
                <w:szCs w:val="21"/>
              </w:rPr>
            </w:pPr>
            <w:r>
              <w:rPr>
                <w:color w:val="FF0000"/>
              </w:rPr>
              <w:t>2.50065E-06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94" w:type="dxa"/>
            <w:vAlign w:val="center"/>
          </w:tcPr>
          <w:p>
            <w:pPr>
              <w:autoSpaceDE w:val="0"/>
              <w:autoSpaceDN w:val="0"/>
              <w:adjustRightInd w:val="0"/>
              <w:snapToGrid w:val="0"/>
              <w:jc w:val="center"/>
              <w:rPr>
                <w:color w:val="FF0000"/>
                <w:szCs w:val="21"/>
              </w:rPr>
            </w:pPr>
            <w:r>
              <w:rPr>
                <w:rFonts w:hint="eastAsia"/>
                <w:color w:val="FF0000"/>
                <w:szCs w:val="21"/>
              </w:rPr>
              <w:t>数值</w:t>
            </w:r>
          </w:p>
        </w:tc>
        <w:tc>
          <w:tcPr>
            <w:tcW w:w="567" w:type="dxa"/>
            <w:vAlign w:val="center"/>
          </w:tcPr>
          <w:p>
            <w:pPr>
              <w:autoSpaceDE w:val="0"/>
              <w:autoSpaceDN w:val="0"/>
              <w:adjustRightInd w:val="0"/>
              <w:snapToGrid w:val="0"/>
              <w:jc w:val="center"/>
              <w:rPr>
                <w:color w:val="FF0000"/>
                <w:szCs w:val="21"/>
              </w:rPr>
            </w:pPr>
            <w:r>
              <w:rPr>
                <w:color w:val="FF0000"/>
                <w:szCs w:val="21"/>
              </w:rPr>
              <w:t>总砷</w:t>
            </w:r>
          </w:p>
        </w:tc>
        <w:tc>
          <w:tcPr>
            <w:tcW w:w="1134" w:type="dxa"/>
            <w:vAlign w:val="center"/>
          </w:tcPr>
          <w:p>
            <w:pPr>
              <w:autoSpaceDE w:val="0"/>
              <w:autoSpaceDN w:val="0"/>
              <w:adjustRightInd w:val="0"/>
              <w:snapToGrid w:val="0"/>
              <w:jc w:val="center"/>
              <w:rPr>
                <w:rFonts w:eastAsia="黑体"/>
                <w:color w:val="FF0000"/>
                <w:kern w:val="0"/>
                <w:szCs w:val="21"/>
              </w:rPr>
            </w:pPr>
            <w:r>
              <w:rPr>
                <w:rFonts w:eastAsia="黑体"/>
                <w:color w:val="FF0000"/>
                <w:kern w:val="0"/>
                <w:szCs w:val="21"/>
              </w:rPr>
              <w:t>0.3501</w:t>
            </w:r>
          </w:p>
        </w:tc>
        <w:tc>
          <w:tcPr>
            <w:tcW w:w="851"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p>
        </w:tc>
        <w:tc>
          <w:tcPr>
            <w:tcW w:w="986"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p>
        </w:tc>
        <w:tc>
          <w:tcPr>
            <w:tcW w:w="0" w:type="auto"/>
            <w:vAlign w:val="center"/>
          </w:tcPr>
          <w:p>
            <w:pPr>
              <w:autoSpaceDE w:val="0"/>
              <w:autoSpaceDN w:val="0"/>
              <w:adjustRightInd w:val="0"/>
              <w:snapToGrid w:val="0"/>
              <w:jc w:val="center"/>
              <w:rPr>
                <w:color w:val="FF0000"/>
                <w:szCs w:val="21"/>
              </w:rPr>
            </w:pPr>
            <w:r>
              <w:rPr>
                <w:rFonts w:hint="eastAsia"/>
                <w:color w:val="FF0000"/>
                <w:szCs w:val="21"/>
              </w:rPr>
              <w:t>1</w:t>
            </w:r>
            <w:r>
              <w:rPr>
                <w:color w:val="FF0000"/>
                <w:szCs w:val="21"/>
              </w:rPr>
              <w:t>100</w:t>
            </w:r>
          </w:p>
        </w:tc>
        <w:tc>
          <w:tcPr>
            <w:tcW w:w="0" w:type="auto"/>
            <w:vAlign w:val="center"/>
          </w:tcPr>
          <w:p>
            <w:pPr>
              <w:autoSpaceDE w:val="0"/>
              <w:autoSpaceDN w:val="0"/>
              <w:adjustRightInd w:val="0"/>
              <w:snapToGrid w:val="0"/>
              <w:jc w:val="center"/>
              <w:rPr>
                <w:color w:val="FF0000"/>
                <w:szCs w:val="21"/>
              </w:rPr>
            </w:pPr>
            <w:r>
              <w:rPr>
                <w:color w:val="FF0000"/>
                <w:szCs w:val="21"/>
              </w:rPr>
              <w:t>12738.5</w:t>
            </w:r>
          </w:p>
        </w:tc>
        <w:tc>
          <w:tcPr>
            <w:tcW w:w="0" w:type="auto"/>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0</w:t>
            </w:r>
            <w:r>
              <w:rPr>
                <w:rFonts w:eastAsia="黑体"/>
                <w:color w:val="FF0000"/>
                <w:kern w:val="0"/>
                <w:szCs w:val="21"/>
              </w:rPr>
              <w:t>.2</w:t>
            </w:r>
          </w:p>
        </w:tc>
        <w:tc>
          <w:tcPr>
            <w:tcW w:w="603" w:type="dxa"/>
            <w:vAlign w:val="center"/>
          </w:tcPr>
          <w:p>
            <w:pPr>
              <w:autoSpaceDE w:val="0"/>
              <w:autoSpaceDN w:val="0"/>
              <w:adjustRightInd w:val="0"/>
              <w:snapToGrid w:val="0"/>
              <w:jc w:val="center"/>
              <w:rPr>
                <w:rFonts w:eastAsia="黑体"/>
                <w:color w:val="FF0000"/>
                <w:kern w:val="0"/>
                <w:szCs w:val="21"/>
              </w:rPr>
            </w:pPr>
            <w:r>
              <w:rPr>
                <w:rFonts w:hint="eastAsia" w:eastAsia="黑体"/>
                <w:color w:val="FF0000"/>
                <w:kern w:val="0"/>
                <w:szCs w:val="21"/>
              </w:rPr>
              <w:t>3</w:t>
            </w:r>
            <w:r>
              <w:rPr>
                <w:rFonts w:eastAsia="黑体"/>
                <w:color w:val="FF0000"/>
                <w:kern w:val="0"/>
                <w:szCs w:val="21"/>
              </w:rPr>
              <w:t>0</w:t>
            </w:r>
          </w:p>
        </w:tc>
        <w:tc>
          <w:tcPr>
            <w:tcW w:w="1349" w:type="dxa"/>
            <w:vAlign w:val="center"/>
          </w:tcPr>
          <w:p>
            <w:pPr>
              <w:autoSpaceDE w:val="0"/>
              <w:autoSpaceDN w:val="0"/>
              <w:adjustRightInd w:val="0"/>
              <w:snapToGrid w:val="0"/>
              <w:jc w:val="center"/>
              <w:rPr>
                <w:rFonts w:eastAsia="黑体"/>
                <w:color w:val="FF0000"/>
                <w:kern w:val="0"/>
                <w:szCs w:val="21"/>
              </w:rPr>
            </w:pPr>
            <w:r>
              <w:rPr>
                <w:color w:val="FF0000"/>
              </w:rPr>
              <w:t>3.75098E-06</w:t>
            </w:r>
          </w:p>
        </w:tc>
      </w:tr>
    </w:tbl>
    <w:p>
      <w:pPr>
        <w:pStyle w:val="972"/>
        <w:snapToGrid w:val="0"/>
        <w:spacing w:line="360" w:lineRule="auto"/>
        <w:ind w:firstLine="480" w:firstLineChars="200"/>
        <w:jc w:val="both"/>
        <w:rPr>
          <w:color w:val="auto"/>
        </w:rPr>
      </w:pPr>
    </w:p>
    <w:p>
      <w:pPr>
        <w:autoSpaceDE w:val="0"/>
        <w:autoSpaceDN w:val="0"/>
        <w:adjustRightInd w:val="0"/>
        <w:jc w:val="center"/>
        <w:rPr>
          <w:rFonts w:ascii="宋体" w:cs="宋体"/>
          <w:b/>
          <w:kern w:val="0"/>
          <w:sz w:val="24"/>
        </w:rPr>
      </w:pPr>
      <w:r>
        <w:rPr>
          <w:rFonts w:hint="eastAsia" w:ascii="黑体" w:eastAsia="黑体" w:cs="黑体"/>
          <w:b/>
          <w:kern w:val="0"/>
          <w:sz w:val="24"/>
        </w:rPr>
        <w:t>表</w:t>
      </w:r>
      <w:r>
        <w:rPr>
          <w:b/>
          <w:sz w:val="24"/>
        </w:rPr>
        <w:t>6</w:t>
      </w:r>
      <w:r>
        <w:rPr>
          <w:rFonts w:hint="eastAsia"/>
          <w:b/>
          <w:sz w:val="24"/>
        </w:rPr>
        <w:t>.</w:t>
      </w:r>
      <w:r>
        <w:rPr>
          <w:b/>
          <w:sz w:val="24"/>
        </w:rPr>
        <w:t>5</w:t>
      </w:r>
      <w:r>
        <w:rPr>
          <w:rFonts w:hint="eastAsia"/>
          <w:b/>
          <w:sz w:val="24"/>
        </w:rPr>
        <w:t>-</w:t>
      </w:r>
      <w:r>
        <w:rPr>
          <w:b/>
          <w:sz w:val="24"/>
        </w:rPr>
        <w:t>4</w:t>
      </w:r>
      <w:r>
        <w:rPr>
          <w:rFonts w:eastAsia="黑体"/>
          <w:b/>
          <w:bCs/>
          <w:kern w:val="0"/>
          <w:sz w:val="24"/>
        </w:rPr>
        <w:t xml:space="preserve"> </w:t>
      </w:r>
      <w:r>
        <w:rPr>
          <w:rFonts w:hint="eastAsia" w:ascii="宋体" w:cs="宋体"/>
          <w:b/>
          <w:kern w:val="0"/>
          <w:sz w:val="24"/>
        </w:rPr>
        <w:t>项目用地内单位质量土壤中重金属的预测及分析</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737"/>
        <w:gridCol w:w="1448"/>
        <w:gridCol w:w="1090"/>
        <w:gridCol w:w="1142"/>
        <w:gridCol w:w="895"/>
        <w:gridCol w:w="1327"/>
        <w:gridCol w:w="8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36" w:type="pct"/>
            <w:vMerge w:val="restart"/>
            <w:vAlign w:val="center"/>
          </w:tcPr>
          <w:p>
            <w:pPr>
              <w:kinsoku w:val="0"/>
              <w:overflowPunct w:val="0"/>
              <w:autoSpaceDE w:val="0"/>
              <w:autoSpaceDN w:val="0"/>
              <w:adjustRightInd w:val="0"/>
              <w:snapToGrid w:val="0"/>
              <w:jc w:val="center"/>
              <w:rPr>
                <w:b/>
                <w:color w:val="FF0000"/>
                <w:kern w:val="0"/>
                <w:szCs w:val="21"/>
              </w:rPr>
            </w:pPr>
            <w:r>
              <w:rPr>
                <w:color w:val="FF0000"/>
                <w:kern w:val="0"/>
                <w:szCs w:val="21"/>
              </w:rPr>
              <w:t>持续年份</w:t>
            </w:r>
          </w:p>
        </w:tc>
        <w:tc>
          <w:tcPr>
            <w:tcW w:w="432" w:type="pct"/>
            <w:vMerge w:val="restart"/>
            <w:vAlign w:val="center"/>
          </w:tcPr>
          <w:p>
            <w:pPr>
              <w:kinsoku w:val="0"/>
              <w:overflowPunct w:val="0"/>
              <w:autoSpaceDE w:val="0"/>
              <w:autoSpaceDN w:val="0"/>
              <w:adjustRightInd w:val="0"/>
              <w:snapToGrid w:val="0"/>
              <w:jc w:val="center"/>
              <w:rPr>
                <w:b/>
                <w:color w:val="FF0000"/>
                <w:kern w:val="0"/>
                <w:szCs w:val="21"/>
              </w:rPr>
            </w:pPr>
            <w:r>
              <w:rPr>
                <w:color w:val="FF0000"/>
                <w:kern w:val="0"/>
                <w:szCs w:val="21"/>
              </w:rPr>
              <w:t>项目</w:t>
            </w:r>
          </w:p>
        </w:tc>
        <w:tc>
          <w:tcPr>
            <w:tcW w:w="2158" w:type="pct"/>
            <w:gridSpan w:val="3"/>
            <w:vAlign w:val="center"/>
          </w:tcPr>
          <w:p>
            <w:pPr>
              <w:kinsoku w:val="0"/>
              <w:overflowPunct w:val="0"/>
              <w:autoSpaceDE w:val="0"/>
              <w:autoSpaceDN w:val="0"/>
              <w:adjustRightInd w:val="0"/>
              <w:snapToGrid w:val="0"/>
              <w:jc w:val="center"/>
              <w:rPr>
                <w:b/>
                <w:color w:val="FF0000"/>
                <w:kern w:val="0"/>
                <w:szCs w:val="21"/>
              </w:rPr>
            </w:pPr>
            <w:r>
              <w:rPr>
                <w:color w:val="FF0000"/>
                <w:kern w:val="0"/>
                <w:szCs w:val="21"/>
              </w:rPr>
              <w:t>预测结果</w:t>
            </w:r>
          </w:p>
        </w:tc>
        <w:tc>
          <w:tcPr>
            <w:tcW w:w="1303" w:type="pct"/>
            <w:gridSpan w:val="2"/>
            <w:vMerge w:val="restart"/>
            <w:vAlign w:val="center"/>
          </w:tcPr>
          <w:p>
            <w:pPr>
              <w:kinsoku w:val="0"/>
              <w:overflowPunct w:val="0"/>
              <w:autoSpaceDE w:val="0"/>
              <w:autoSpaceDN w:val="0"/>
              <w:adjustRightInd w:val="0"/>
              <w:snapToGrid w:val="0"/>
              <w:jc w:val="center"/>
              <w:rPr>
                <w:b/>
                <w:color w:val="FF0000"/>
                <w:kern w:val="0"/>
                <w:szCs w:val="21"/>
              </w:rPr>
            </w:pPr>
            <w:r>
              <w:rPr>
                <w:color w:val="FF0000"/>
                <w:kern w:val="0"/>
                <w:szCs w:val="21"/>
              </w:rPr>
              <w:t>评价标准</w:t>
            </w:r>
          </w:p>
        </w:tc>
        <w:tc>
          <w:tcPr>
            <w:tcW w:w="472" w:type="pct"/>
            <w:vMerge w:val="restart"/>
            <w:vAlign w:val="center"/>
          </w:tcPr>
          <w:p>
            <w:pPr>
              <w:kinsoku w:val="0"/>
              <w:overflowPunct w:val="0"/>
              <w:autoSpaceDE w:val="0"/>
              <w:autoSpaceDN w:val="0"/>
              <w:adjustRightInd w:val="0"/>
              <w:snapToGrid w:val="0"/>
              <w:jc w:val="center"/>
              <w:rPr>
                <w:b/>
                <w:color w:val="FF0000"/>
                <w:kern w:val="0"/>
                <w:szCs w:val="21"/>
              </w:rPr>
            </w:pPr>
            <w:r>
              <w:rPr>
                <w:color w:val="FF0000"/>
                <w:kern w:val="0"/>
                <w:szCs w:val="21"/>
              </w:rPr>
              <w:t>评价结果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36" w:type="pct"/>
            <w:vMerge w:val="continue"/>
            <w:vAlign w:val="center"/>
          </w:tcPr>
          <w:p>
            <w:pPr>
              <w:kinsoku w:val="0"/>
              <w:overflowPunct w:val="0"/>
              <w:autoSpaceDE w:val="0"/>
              <w:autoSpaceDN w:val="0"/>
              <w:adjustRightInd w:val="0"/>
              <w:snapToGrid w:val="0"/>
              <w:jc w:val="center"/>
              <w:rPr>
                <w:color w:val="FF0000"/>
                <w:kern w:val="0"/>
                <w:szCs w:val="21"/>
              </w:rPr>
            </w:pPr>
          </w:p>
        </w:tc>
        <w:tc>
          <w:tcPr>
            <w:tcW w:w="432" w:type="pct"/>
            <w:vMerge w:val="continue"/>
            <w:vAlign w:val="center"/>
          </w:tcPr>
          <w:p>
            <w:pPr>
              <w:kinsoku w:val="0"/>
              <w:overflowPunct w:val="0"/>
              <w:autoSpaceDE w:val="0"/>
              <w:autoSpaceDN w:val="0"/>
              <w:adjustRightInd w:val="0"/>
              <w:snapToGrid w:val="0"/>
              <w:jc w:val="center"/>
              <w:rPr>
                <w:color w:val="FF0000"/>
                <w:kern w:val="0"/>
                <w:szCs w:val="21"/>
              </w:rPr>
            </w:pPr>
          </w:p>
        </w:tc>
        <w:tc>
          <w:tcPr>
            <w:tcW w:w="849" w:type="pct"/>
            <w:vAlign w:val="center"/>
          </w:tcPr>
          <w:p>
            <w:pPr>
              <w:kinsoku w:val="0"/>
              <w:overflowPunct w:val="0"/>
              <w:autoSpaceDE w:val="0"/>
              <w:autoSpaceDN w:val="0"/>
              <w:adjustRightInd w:val="0"/>
              <w:snapToGrid w:val="0"/>
              <w:jc w:val="center"/>
              <w:rPr>
                <w:b/>
                <w:color w:val="FF0000"/>
                <w:kern w:val="0"/>
                <w:szCs w:val="21"/>
              </w:rPr>
            </w:pPr>
            <w:r>
              <w:rPr>
                <w:color w:val="FF0000"/>
                <w:kern w:val="0"/>
                <w:szCs w:val="21"/>
              </w:rPr>
              <w:t>表层土壤中某种物质浓度增量</w:t>
            </w:r>
          </w:p>
        </w:tc>
        <w:tc>
          <w:tcPr>
            <w:tcW w:w="639" w:type="pct"/>
            <w:vAlign w:val="center"/>
          </w:tcPr>
          <w:p>
            <w:pPr>
              <w:kinsoku w:val="0"/>
              <w:overflowPunct w:val="0"/>
              <w:autoSpaceDE w:val="0"/>
              <w:autoSpaceDN w:val="0"/>
              <w:adjustRightInd w:val="0"/>
              <w:snapToGrid w:val="0"/>
              <w:jc w:val="center"/>
              <w:rPr>
                <w:b/>
                <w:color w:val="FF0000"/>
                <w:kern w:val="0"/>
                <w:szCs w:val="21"/>
              </w:rPr>
            </w:pPr>
            <w:r>
              <w:rPr>
                <w:color w:val="FF0000"/>
                <w:kern w:val="0"/>
                <w:szCs w:val="21"/>
              </w:rPr>
              <w:t>土壤中某种物质的现状值</w:t>
            </w:r>
          </w:p>
        </w:tc>
        <w:tc>
          <w:tcPr>
            <w:tcW w:w="670" w:type="pct"/>
            <w:vAlign w:val="center"/>
          </w:tcPr>
          <w:p>
            <w:pPr>
              <w:kinsoku w:val="0"/>
              <w:overflowPunct w:val="0"/>
              <w:autoSpaceDE w:val="0"/>
              <w:autoSpaceDN w:val="0"/>
              <w:adjustRightInd w:val="0"/>
              <w:snapToGrid w:val="0"/>
              <w:jc w:val="center"/>
              <w:rPr>
                <w:b/>
                <w:color w:val="FF0000"/>
                <w:kern w:val="0"/>
                <w:szCs w:val="21"/>
              </w:rPr>
            </w:pPr>
            <w:r>
              <w:rPr>
                <w:color w:val="FF0000"/>
                <w:kern w:val="0"/>
                <w:szCs w:val="21"/>
              </w:rPr>
              <w:t>土壤中某种物质的预测值</w:t>
            </w:r>
          </w:p>
        </w:tc>
        <w:tc>
          <w:tcPr>
            <w:tcW w:w="1303" w:type="pct"/>
            <w:gridSpan w:val="2"/>
            <w:vMerge w:val="continue"/>
            <w:vAlign w:val="center"/>
          </w:tcPr>
          <w:p>
            <w:pPr>
              <w:kinsoku w:val="0"/>
              <w:overflowPunct w:val="0"/>
              <w:autoSpaceDE w:val="0"/>
              <w:autoSpaceDN w:val="0"/>
              <w:adjustRightInd w:val="0"/>
              <w:snapToGrid w:val="0"/>
              <w:jc w:val="center"/>
              <w:rPr>
                <w:color w:val="FF0000"/>
                <w:kern w:val="0"/>
                <w:szCs w:val="21"/>
              </w:rPr>
            </w:pPr>
          </w:p>
        </w:tc>
        <w:tc>
          <w:tcPr>
            <w:tcW w:w="472" w:type="pct"/>
            <w:vMerge w:val="continue"/>
            <w:vAlign w:val="center"/>
          </w:tcPr>
          <w:p>
            <w:pPr>
              <w:kinsoku w:val="0"/>
              <w:overflowPunct w:val="0"/>
              <w:autoSpaceDE w:val="0"/>
              <w:autoSpaceDN w:val="0"/>
              <w:adjustRightInd w:val="0"/>
              <w:snapToGrid w:val="0"/>
              <w:jc w:val="center"/>
              <w:rPr>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36" w:type="pct"/>
            <w:vMerge w:val="continue"/>
            <w:vAlign w:val="center"/>
          </w:tcPr>
          <w:p>
            <w:pPr>
              <w:kinsoku w:val="0"/>
              <w:overflowPunct w:val="0"/>
              <w:autoSpaceDE w:val="0"/>
              <w:autoSpaceDN w:val="0"/>
              <w:adjustRightInd w:val="0"/>
              <w:snapToGrid w:val="0"/>
              <w:jc w:val="center"/>
              <w:rPr>
                <w:color w:val="FF0000"/>
                <w:kern w:val="0"/>
                <w:szCs w:val="21"/>
              </w:rPr>
            </w:pPr>
          </w:p>
        </w:tc>
        <w:tc>
          <w:tcPr>
            <w:tcW w:w="432" w:type="pct"/>
            <w:vMerge w:val="continue"/>
            <w:vAlign w:val="center"/>
          </w:tcPr>
          <w:p>
            <w:pPr>
              <w:kinsoku w:val="0"/>
              <w:overflowPunct w:val="0"/>
              <w:autoSpaceDE w:val="0"/>
              <w:autoSpaceDN w:val="0"/>
              <w:adjustRightInd w:val="0"/>
              <w:snapToGrid w:val="0"/>
              <w:jc w:val="center"/>
              <w:rPr>
                <w:color w:val="FF0000"/>
                <w:kern w:val="0"/>
                <w:szCs w:val="21"/>
              </w:rPr>
            </w:pPr>
          </w:p>
        </w:tc>
        <w:tc>
          <w:tcPr>
            <w:tcW w:w="849" w:type="pct"/>
            <w:vAlign w:val="center"/>
          </w:tcPr>
          <w:p>
            <w:pPr>
              <w:kinsoku w:val="0"/>
              <w:overflowPunct w:val="0"/>
              <w:autoSpaceDE w:val="0"/>
              <w:autoSpaceDN w:val="0"/>
              <w:adjustRightInd w:val="0"/>
              <w:snapToGrid w:val="0"/>
              <w:jc w:val="center"/>
              <w:rPr>
                <w:color w:val="FF0000"/>
                <w:kern w:val="0"/>
                <w:szCs w:val="21"/>
              </w:rPr>
            </w:pPr>
            <w:r>
              <w:rPr>
                <w:rFonts w:ascii="Cambria Math" w:hAnsi="Cambria Math" w:cs="Cambria Math"/>
                <w:i/>
                <w:iCs/>
                <w:color w:val="FF0000"/>
                <w:sz w:val="24"/>
              </w:rPr>
              <w:t>△</w:t>
            </w:r>
            <w:r>
              <w:rPr>
                <w:i/>
                <w:iCs/>
                <w:color w:val="FF0000"/>
                <w:sz w:val="24"/>
              </w:rPr>
              <w:t>S</w:t>
            </w:r>
          </w:p>
        </w:tc>
        <w:tc>
          <w:tcPr>
            <w:tcW w:w="639" w:type="pct"/>
            <w:vAlign w:val="center"/>
          </w:tcPr>
          <w:p>
            <w:pPr>
              <w:kinsoku w:val="0"/>
              <w:overflowPunct w:val="0"/>
              <w:autoSpaceDE w:val="0"/>
              <w:autoSpaceDN w:val="0"/>
              <w:adjustRightInd w:val="0"/>
              <w:snapToGrid w:val="0"/>
              <w:jc w:val="center"/>
              <w:rPr>
                <w:color w:val="FF0000"/>
                <w:kern w:val="0"/>
                <w:szCs w:val="21"/>
              </w:rPr>
            </w:pPr>
            <w:r>
              <w:rPr>
                <w:color w:val="FF0000"/>
                <w:kern w:val="0"/>
                <w:szCs w:val="21"/>
              </w:rPr>
              <w:t>Sb</w:t>
            </w:r>
          </w:p>
        </w:tc>
        <w:tc>
          <w:tcPr>
            <w:tcW w:w="670" w:type="pct"/>
            <w:vAlign w:val="center"/>
          </w:tcPr>
          <w:p>
            <w:pPr>
              <w:kinsoku w:val="0"/>
              <w:overflowPunct w:val="0"/>
              <w:autoSpaceDE w:val="0"/>
              <w:autoSpaceDN w:val="0"/>
              <w:adjustRightInd w:val="0"/>
              <w:snapToGrid w:val="0"/>
              <w:jc w:val="center"/>
              <w:rPr>
                <w:color w:val="FF0000"/>
                <w:kern w:val="0"/>
                <w:szCs w:val="21"/>
              </w:rPr>
            </w:pPr>
            <w:r>
              <w:rPr>
                <w:color w:val="FF0000"/>
                <w:kern w:val="0"/>
                <w:szCs w:val="21"/>
              </w:rPr>
              <w:t>S</w:t>
            </w:r>
          </w:p>
        </w:tc>
        <w:tc>
          <w:tcPr>
            <w:tcW w:w="525" w:type="pct"/>
            <w:vAlign w:val="center"/>
          </w:tcPr>
          <w:p>
            <w:pPr>
              <w:kinsoku w:val="0"/>
              <w:overflowPunct w:val="0"/>
              <w:autoSpaceDE w:val="0"/>
              <w:autoSpaceDN w:val="0"/>
              <w:adjustRightInd w:val="0"/>
              <w:snapToGrid w:val="0"/>
              <w:jc w:val="center"/>
              <w:rPr>
                <w:color w:val="FF0000"/>
                <w:kern w:val="0"/>
                <w:szCs w:val="21"/>
              </w:rPr>
            </w:pPr>
            <w:r>
              <w:rPr>
                <w:rFonts w:hint="eastAsia"/>
                <w:color w:val="FF0000"/>
                <w:kern w:val="0"/>
                <w:szCs w:val="21"/>
              </w:rPr>
              <w:t>农用地</w:t>
            </w:r>
          </w:p>
        </w:tc>
        <w:tc>
          <w:tcPr>
            <w:tcW w:w="778" w:type="pct"/>
            <w:vAlign w:val="center"/>
          </w:tcPr>
          <w:p>
            <w:pPr>
              <w:kinsoku w:val="0"/>
              <w:overflowPunct w:val="0"/>
              <w:autoSpaceDE w:val="0"/>
              <w:autoSpaceDN w:val="0"/>
              <w:adjustRightInd w:val="0"/>
              <w:snapToGrid w:val="0"/>
              <w:jc w:val="center"/>
              <w:rPr>
                <w:color w:val="FF0000"/>
                <w:kern w:val="0"/>
                <w:szCs w:val="21"/>
              </w:rPr>
            </w:pPr>
            <w:r>
              <w:rPr>
                <w:rFonts w:hint="eastAsia"/>
                <w:color w:val="FF0000"/>
                <w:kern w:val="0"/>
                <w:szCs w:val="21"/>
              </w:rPr>
              <w:t>建设用地</w:t>
            </w:r>
          </w:p>
        </w:tc>
        <w:tc>
          <w:tcPr>
            <w:tcW w:w="472" w:type="pct"/>
            <w:vMerge w:val="continue"/>
            <w:vAlign w:val="center"/>
          </w:tcPr>
          <w:p>
            <w:pPr>
              <w:kinsoku w:val="0"/>
              <w:overflowPunct w:val="0"/>
              <w:autoSpaceDE w:val="0"/>
              <w:autoSpaceDN w:val="0"/>
              <w:adjustRightInd w:val="0"/>
              <w:snapToGrid w:val="0"/>
              <w:jc w:val="center"/>
              <w:rPr>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36" w:type="pct"/>
            <w:vMerge w:val="continue"/>
            <w:vAlign w:val="center"/>
          </w:tcPr>
          <w:p>
            <w:pPr>
              <w:kinsoku w:val="0"/>
              <w:overflowPunct w:val="0"/>
              <w:autoSpaceDE w:val="0"/>
              <w:autoSpaceDN w:val="0"/>
              <w:adjustRightInd w:val="0"/>
              <w:snapToGrid w:val="0"/>
              <w:jc w:val="center"/>
              <w:rPr>
                <w:color w:val="FF0000"/>
                <w:kern w:val="0"/>
                <w:szCs w:val="21"/>
              </w:rPr>
            </w:pPr>
          </w:p>
        </w:tc>
        <w:tc>
          <w:tcPr>
            <w:tcW w:w="432" w:type="pct"/>
            <w:vMerge w:val="continue"/>
            <w:vAlign w:val="center"/>
          </w:tcPr>
          <w:p>
            <w:pPr>
              <w:kinsoku w:val="0"/>
              <w:overflowPunct w:val="0"/>
              <w:autoSpaceDE w:val="0"/>
              <w:autoSpaceDN w:val="0"/>
              <w:adjustRightInd w:val="0"/>
              <w:snapToGrid w:val="0"/>
              <w:jc w:val="center"/>
              <w:rPr>
                <w:color w:val="FF0000"/>
                <w:kern w:val="0"/>
                <w:szCs w:val="21"/>
              </w:rPr>
            </w:pPr>
          </w:p>
        </w:tc>
        <w:tc>
          <w:tcPr>
            <w:tcW w:w="849" w:type="pct"/>
            <w:vAlign w:val="center"/>
          </w:tcPr>
          <w:p>
            <w:pPr>
              <w:kinsoku w:val="0"/>
              <w:overflowPunct w:val="0"/>
              <w:autoSpaceDE w:val="0"/>
              <w:autoSpaceDN w:val="0"/>
              <w:adjustRightInd w:val="0"/>
              <w:snapToGrid w:val="0"/>
              <w:jc w:val="center"/>
              <w:rPr>
                <w:color w:val="FF0000"/>
                <w:kern w:val="0"/>
                <w:szCs w:val="21"/>
              </w:rPr>
            </w:pPr>
            <w:r>
              <w:rPr>
                <w:rFonts w:eastAsia="黑体"/>
                <w:color w:val="FF0000"/>
                <w:kern w:val="0"/>
                <w:szCs w:val="21"/>
              </w:rPr>
              <w:t>mg/kg</w:t>
            </w:r>
          </w:p>
        </w:tc>
        <w:tc>
          <w:tcPr>
            <w:tcW w:w="639" w:type="pct"/>
          </w:tcPr>
          <w:p>
            <w:pPr>
              <w:kinsoku w:val="0"/>
              <w:overflowPunct w:val="0"/>
              <w:autoSpaceDE w:val="0"/>
              <w:autoSpaceDN w:val="0"/>
              <w:adjustRightInd w:val="0"/>
              <w:snapToGrid w:val="0"/>
              <w:jc w:val="center"/>
              <w:rPr>
                <w:color w:val="FF0000"/>
                <w:kern w:val="0"/>
                <w:szCs w:val="21"/>
              </w:rPr>
            </w:pPr>
            <w:r>
              <w:rPr>
                <w:rFonts w:eastAsia="黑体"/>
                <w:color w:val="FF0000"/>
                <w:kern w:val="0"/>
                <w:szCs w:val="21"/>
              </w:rPr>
              <w:t>mg/kg</w:t>
            </w:r>
          </w:p>
        </w:tc>
        <w:tc>
          <w:tcPr>
            <w:tcW w:w="670" w:type="pct"/>
          </w:tcPr>
          <w:p>
            <w:pPr>
              <w:kinsoku w:val="0"/>
              <w:overflowPunct w:val="0"/>
              <w:autoSpaceDE w:val="0"/>
              <w:autoSpaceDN w:val="0"/>
              <w:adjustRightInd w:val="0"/>
              <w:snapToGrid w:val="0"/>
              <w:jc w:val="center"/>
              <w:rPr>
                <w:color w:val="FF0000"/>
                <w:kern w:val="0"/>
                <w:szCs w:val="21"/>
              </w:rPr>
            </w:pPr>
            <w:r>
              <w:rPr>
                <w:rFonts w:eastAsia="黑体"/>
                <w:color w:val="FF0000"/>
                <w:kern w:val="0"/>
                <w:szCs w:val="21"/>
              </w:rPr>
              <w:t>mg/kg</w:t>
            </w:r>
          </w:p>
        </w:tc>
        <w:tc>
          <w:tcPr>
            <w:tcW w:w="525" w:type="pct"/>
          </w:tcPr>
          <w:p>
            <w:pPr>
              <w:kinsoku w:val="0"/>
              <w:overflowPunct w:val="0"/>
              <w:autoSpaceDE w:val="0"/>
              <w:autoSpaceDN w:val="0"/>
              <w:adjustRightInd w:val="0"/>
              <w:snapToGrid w:val="0"/>
              <w:jc w:val="center"/>
              <w:rPr>
                <w:rFonts w:eastAsia="黑体"/>
                <w:color w:val="FF0000"/>
                <w:kern w:val="0"/>
                <w:szCs w:val="21"/>
              </w:rPr>
            </w:pPr>
            <w:r>
              <w:rPr>
                <w:rFonts w:eastAsia="黑体"/>
                <w:color w:val="FF0000"/>
                <w:kern w:val="0"/>
                <w:szCs w:val="21"/>
              </w:rPr>
              <w:t>mg/kg</w:t>
            </w:r>
          </w:p>
        </w:tc>
        <w:tc>
          <w:tcPr>
            <w:tcW w:w="778" w:type="pct"/>
          </w:tcPr>
          <w:p>
            <w:pPr>
              <w:kinsoku w:val="0"/>
              <w:overflowPunct w:val="0"/>
              <w:autoSpaceDE w:val="0"/>
              <w:autoSpaceDN w:val="0"/>
              <w:adjustRightInd w:val="0"/>
              <w:snapToGrid w:val="0"/>
              <w:jc w:val="center"/>
              <w:rPr>
                <w:color w:val="FF0000"/>
                <w:kern w:val="0"/>
                <w:szCs w:val="21"/>
              </w:rPr>
            </w:pPr>
            <w:r>
              <w:rPr>
                <w:rFonts w:eastAsia="黑体"/>
                <w:color w:val="FF0000"/>
                <w:kern w:val="0"/>
                <w:szCs w:val="21"/>
              </w:rPr>
              <w:t>mg/kg</w:t>
            </w:r>
          </w:p>
        </w:tc>
        <w:tc>
          <w:tcPr>
            <w:tcW w:w="472" w:type="pct"/>
            <w:vAlign w:val="center"/>
          </w:tcPr>
          <w:p>
            <w:pPr>
              <w:kinsoku w:val="0"/>
              <w:overflowPunct w:val="0"/>
              <w:autoSpaceDE w:val="0"/>
              <w:autoSpaceDN w:val="0"/>
              <w:adjustRightInd w:val="0"/>
              <w:snapToGrid w:val="0"/>
              <w:jc w:val="center"/>
              <w:rPr>
                <w:color w:val="FF0000"/>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36" w:type="pct"/>
            <w:vAlign w:val="center"/>
          </w:tcPr>
          <w:p>
            <w:pPr>
              <w:kinsoku w:val="0"/>
              <w:overflowPunct w:val="0"/>
              <w:autoSpaceDE w:val="0"/>
              <w:autoSpaceDN w:val="0"/>
              <w:adjustRightInd w:val="0"/>
              <w:snapToGrid w:val="0"/>
              <w:jc w:val="center"/>
              <w:rPr>
                <w:color w:val="FF0000"/>
                <w:kern w:val="0"/>
                <w:szCs w:val="21"/>
              </w:rPr>
            </w:pPr>
            <w:r>
              <w:rPr>
                <w:color w:val="FF0000"/>
                <w:kern w:val="0"/>
                <w:szCs w:val="21"/>
              </w:rPr>
              <w:t>10</w:t>
            </w:r>
          </w:p>
        </w:tc>
        <w:tc>
          <w:tcPr>
            <w:tcW w:w="432" w:type="pct"/>
            <w:vAlign w:val="center"/>
          </w:tcPr>
          <w:p>
            <w:pPr>
              <w:kinsoku w:val="0"/>
              <w:overflowPunct w:val="0"/>
              <w:autoSpaceDE w:val="0"/>
              <w:autoSpaceDN w:val="0"/>
              <w:adjustRightInd w:val="0"/>
              <w:snapToGrid w:val="0"/>
              <w:jc w:val="center"/>
              <w:rPr>
                <w:color w:val="FF0000"/>
                <w:kern w:val="0"/>
                <w:szCs w:val="21"/>
              </w:rPr>
            </w:pPr>
            <w:r>
              <w:rPr>
                <w:color w:val="FF0000"/>
                <w:szCs w:val="21"/>
              </w:rPr>
              <w:t>总砷</w:t>
            </w:r>
          </w:p>
        </w:tc>
        <w:tc>
          <w:tcPr>
            <w:tcW w:w="849" w:type="pct"/>
          </w:tcPr>
          <w:p>
            <w:pPr>
              <w:kinsoku w:val="0"/>
              <w:overflowPunct w:val="0"/>
              <w:autoSpaceDE w:val="0"/>
              <w:autoSpaceDN w:val="0"/>
              <w:adjustRightInd w:val="0"/>
              <w:snapToGrid w:val="0"/>
              <w:jc w:val="center"/>
              <w:rPr>
                <w:color w:val="FF0000"/>
                <w:kern w:val="0"/>
                <w:szCs w:val="21"/>
              </w:rPr>
            </w:pPr>
            <w:r>
              <w:rPr>
                <w:color w:val="FF0000"/>
              </w:rPr>
              <w:t>1.25033E-06</w:t>
            </w:r>
          </w:p>
        </w:tc>
        <w:tc>
          <w:tcPr>
            <w:tcW w:w="639" w:type="pct"/>
            <w:vAlign w:val="center"/>
          </w:tcPr>
          <w:p>
            <w:pPr>
              <w:kinsoku w:val="0"/>
              <w:overflowPunct w:val="0"/>
              <w:autoSpaceDE w:val="0"/>
              <w:autoSpaceDN w:val="0"/>
              <w:adjustRightInd w:val="0"/>
              <w:snapToGrid w:val="0"/>
              <w:jc w:val="center"/>
              <w:rPr>
                <w:color w:val="FF0000"/>
                <w:kern w:val="0"/>
                <w:szCs w:val="21"/>
              </w:rPr>
            </w:pPr>
            <w:r>
              <w:rPr>
                <w:color w:val="FF0000"/>
                <w:szCs w:val="21"/>
              </w:rPr>
              <w:t>12.7</w:t>
            </w:r>
          </w:p>
        </w:tc>
        <w:tc>
          <w:tcPr>
            <w:tcW w:w="670" w:type="pct"/>
          </w:tcPr>
          <w:p>
            <w:pPr>
              <w:kinsoku w:val="0"/>
              <w:overflowPunct w:val="0"/>
              <w:autoSpaceDE w:val="0"/>
              <w:autoSpaceDN w:val="0"/>
              <w:adjustRightInd w:val="0"/>
              <w:snapToGrid w:val="0"/>
              <w:jc w:val="center"/>
              <w:rPr>
                <w:color w:val="FF0000"/>
                <w:kern w:val="0"/>
                <w:szCs w:val="21"/>
              </w:rPr>
            </w:pPr>
            <w:r>
              <w:rPr>
                <w:color w:val="FF0000"/>
              </w:rPr>
              <w:t>12.700001</w:t>
            </w:r>
          </w:p>
        </w:tc>
        <w:tc>
          <w:tcPr>
            <w:tcW w:w="525" w:type="pct"/>
          </w:tcPr>
          <w:p>
            <w:pPr>
              <w:kinsoku w:val="0"/>
              <w:overflowPunct w:val="0"/>
              <w:autoSpaceDE w:val="0"/>
              <w:autoSpaceDN w:val="0"/>
              <w:adjustRightInd w:val="0"/>
              <w:snapToGrid w:val="0"/>
              <w:jc w:val="center"/>
              <w:rPr>
                <w:color w:val="FF0000"/>
                <w:kern w:val="0"/>
                <w:szCs w:val="21"/>
              </w:rPr>
            </w:pPr>
            <w:r>
              <w:rPr>
                <w:rFonts w:hint="eastAsia"/>
                <w:color w:val="FF0000"/>
                <w:kern w:val="0"/>
                <w:szCs w:val="21"/>
              </w:rPr>
              <w:t>2</w:t>
            </w:r>
            <w:r>
              <w:rPr>
                <w:color w:val="FF0000"/>
                <w:kern w:val="0"/>
                <w:szCs w:val="21"/>
              </w:rPr>
              <w:t>5</w:t>
            </w:r>
          </w:p>
        </w:tc>
        <w:tc>
          <w:tcPr>
            <w:tcW w:w="778" w:type="pct"/>
            <w:vAlign w:val="center"/>
          </w:tcPr>
          <w:p>
            <w:pPr>
              <w:kinsoku w:val="0"/>
              <w:overflowPunct w:val="0"/>
              <w:autoSpaceDE w:val="0"/>
              <w:autoSpaceDN w:val="0"/>
              <w:adjustRightInd w:val="0"/>
              <w:snapToGrid w:val="0"/>
              <w:jc w:val="center"/>
              <w:rPr>
                <w:color w:val="FF0000"/>
                <w:kern w:val="0"/>
                <w:szCs w:val="21"/>
              </w:rPr>
            </w:pPr>
            <w:r>
              <w:rPr>
                <w:color w:val="FF0000"/>
                <w:kern w:val="0"/>
                <w:szCs w:val="21"/>
              </w:rPr>
              <w:t>60</w:t>
            </w:r>
          </w:p>
        </w:tc>
        <w:tc>
          <w:tcPr>
            <w:tcW w:w="472" w:type="pct"/>
            <w:vAlign w:val="center"/>
          </w:tcPr>
          <w:p>
            <w:pPr>
              <w:kinsoku w:val="0"/>
              <w:overflowPunct w:val="0"/>
              <w:autoSpaceDE w:val="0"/>
              <w:autoSpaceDN w:val="0"/>
              <w:adjustRightInd w:val="0"/>
              <w:snapToGrid w:val="0"/>
              <w:jc w:val="center"/>
              <w:rPr>
                <w:color w:val="FF0000"/>
                <w:kern w:val="0"/>
                <w:szCs w:val="21"/>
              </w:rPr>
            </w:pPr>
            <w:r>
              <w:rPr>
                <w:rFonts w:hint="eastAsia"/>
                <w:color w:val="FF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36" w:type="pct"/>
            <w:vAlign w:val="center"/>
          </w:tcPr>
          <w:p>
            <w:pPr>
              <w:kinsoku w:val="0"/>
              <w:overflowPunct w:val="0"/>
              <w:autoSpaceDE w:val="0"/>
              <w:autoSpaceDN w:val="0"/>
              <w:adjustRightInd w:val="0"/>
              <w:snapToGrid w:val="0"/>
              <w:jc w:val="center"/>
              <w:rPr>
                <w:color w:val="FF0000"/>
                <w:kern w:val="0"/>
                <w:szCs w:val="21"/>
              </w:rPr>
            </w:pPr>
            <w:r>
              <w:rPr>
                <w:color w:val="FF0000"/>
                <w:kern w:val="0"/>
                <w:szCs w:val="21"/>
              </w:rPr>
              <w:t>20</w:t>
            </w:r>
          </w:p>
        </w:tc>
        <w:tc>
          <w:tcPr>
            <w:tcW w:w="432" w:type="pct"/>
            <w:vAlign w:val="center"/>
          </w:tcPr>
          <w:p>
            <w:pPr>
              <w:kinsoku w:val="0"/>
              <w:overflowPunct w:val="0"/>
              <w:autoSpaceDE w:val="0"/>
              <w:autoSpaceDN w:val="0"/>
              <w:adjustRightInd w:val="0"/>
              <w:snapToGrid w:val="0"/>
              <w:jc w:val="center"/>
              <w:rPr>
                <w:color w:val="FF0000"/>
                <w:szCs w:val="21"/>
              </w:rPr>
            </w:pPr>
            <w:r>
              <w:rPr>
                <w:color w:val="FF0000"/>
                <w:szCs w:val="21"/>
              </w:rPr>
              <w:t>总砷</w:t>
            </w:r>
          </w:p>
        </w:tc>
        <w:tc>
          <w:tcPr>
            <w:tcW w:w="849" w:type="pct"/>
          </w:tcPr>
          <w:p>
            <w:pPr>
              <w:kinsoku w:val="0"/>
              <w:overflowPunct w:val="0"/>
              <w:autoSpaceDE w:val="0"/>
              <w:autoSpaceDN w:val="0"/>
              <w:adjustRightInd w:val="0"/>
              <w:snapToGrid w:val="0"/>
              <w:jc w:val="center"/>
              <w:rPr>
                <w:color w:val="FF0000"/>
                <w:kern w:val="0"/>
                <w:szCs w:val="21"/>
              </w:rPr>
            </w:pPr>
            <w:r>
              <w:rPr>
                <w:color w:val="FF0000"/>
              </w:rPr>
              <w:t>2.50065E-06</w:t>
            </w:r>
          </w:p>
        </w:tc>
        <w:tc>
          <w:tcPr>
            <w:tcW w:w="639" w:type="pct"/>
            <w:vAlign w:val="center"/>
          </w:tcPr>
          <w:p>
            <w:pPr>
              <w:kinsoku w:val="0"/>
              <w:overflowPunct w:val="0"/>
              <w:autoSpaceDE w:val="0"/>
              <w:autoSpaceDN w:val="0"/>
              <w:adjustRightInd w:val="0"/>
              <w:snapToGrid w:val="0"/>
              <w:jc w:val="center"/>
              <w:rPr>
                <w:color w:val="FF0000"/>
                <w:kern w:val="0"/>
                <w:szCs w:val="21"/>
              </w:rPr>
            </w:pPr>
            <w:r>
              <w:rPr>
                <w:color w:val="FF0000"/>
                <w:szCs w:val="21"/>
              </w:rPr>
              <w:t>12.7</w:t>
            </w:r>
          </w:p>
        </w:tc>
        <w:tc>
          <w:tcPr>
            <w:tcW w:w="670" w:type="pct"/>
          </w:tcPr>
          <w:p>
            <w:pPr>
              <w:kinsoku w:val="0"/>
              <w:overflowPunct w:val="0"/>
              <w:autoSpaceDE w:val="0"/>
              <w:autoSpaceDN w:val="0"/>
              <w:adjustRightInd w:val="0"/>
              <w:snapToGrid w:val="0"/>
              <w:jc w:val="center"/>
              <w:rPr>
                <w:color w:val="FF0000"/>
                <w:kern w:val="0"/>
                <w:szCs w:val="21"/>
              </w:rPr>
            </w:pPr>
            <w:r>
              <w:rPr>
                <w:color w:val="FF0000"/>
              </w:rPr>
              <w:t>12.700003</w:t>
            </w:r>
          </w:p>
        </w:tc>
        <w:tc>
          <w:tcPr>
            <w:tcW w:w="525" w:type="pct"/>
          </w:tcPr>
          <w:p>
            <w:pPr>
              <w:kinsoku w:val="0"/>
              <w:overflowPunct w:val="0"/>
              <w:autoSpaceDE w:val="0"/>
              <w:autoSpaceDN w:val="0"/>
              <w:adjustRightInd w:val="0"/>
              <w:snapToGrid w:val="0"/>
              <w:jc w:val="center"/>
              <w:rPr>
                <w:color w:val="FF0000"/>
                <w:kern w:val="0"/>
                <w:szCs w:val="21"/>
              </w:rPr>
            </w:pPr>
            <w:r>
              <w:rPr>
                <w:rFonts w:hint="eastAsia"/>
                <w:color w:val="FF0000"/>
                <w:kern w:val="0"/>
                <w:szCs w:val="21"/>
              </w:rPr>
              <w:t>2</w:t>
            </w:r>
            <w:r>
              <w:rPr>
                <w:color w:val="FF0000"/>
                <w:kern w:val="0"/>
                <w:szCs w:val="21"/>
              </w:rPr>
              <w:t>5</w:t>
            </w:r>
          </w:p>
        </w:tc>
        <w:tc>
          <w:tcPr>
            <w:tcW w:w="778" w:type="pct"/>
            <w:vAlign w:val="center"/>
          </w:tcPr>
          <w:p>
            <w:pPr>
              <w:kinsoku w:val="0"/>
              <w:overflowPunct w:val="0"/>
              <w:autoSpaceDE w:val="0"/>
              <w:autoSpaceDN w:val="0"/>
              <w:adjustRightInd w:val="0"/>
              <w:snapToGrid w:val="0"/>
              <w:jc w:val="center"/>
              <w:rPr>
                <w:color w:val="FF0000"/>
                <w:kern w:val="0"/>
                <w:szCs w:val="21"/>
              </w:rPr>
            </w:pPr>
            <w:r>
              <w:rPr>
                <w:color w:val="FF0000"/>
                <w:kern w:val="0"/>
                <w:szCs w:val="21"/>
              </w:rPr>
              <w:t>60</w:t>
            </w:r>
          </w:p>
        </w:tc>
        <w:tc>
          <w:tcPr>
            <w:tcW w:w="472" w:type="pct"/>
          </w:tcPr>
          <w:p>
            <w:pPr>
              <w:kinsoku w:val="0"/>
              <w:overflowPunct w:val="0"/>
              <w:autoSpaceDE w:val="0"/>
              <w:autoSpaceDN w:val="0"/>
              <w:adjustRightInd w:val="0"/>
              <w:snapToGrid w:val="0"/>
              <w:jc w:val="center"/>
              <w:rPr>
                <w:color w:val="FF0000"/>
                <w:kern w:val="0"/>
                <w:szCs w:val="21"/>
              </w:rPr>
            </w:pPr>
            <w:r>
              <w:rPr>
                <w:rFonts w:hint="eastAsia"/>
                <w:color w:val="FF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36" w:type="pct"/>
            <w:vAlign w:val="center"/>
          </w:tcPr>
          <w:p>
            <w:pPr>
              <w:kinsoku w:val="0"/>
              <w:overflowPunct w:val="0"/>
              <w:autoSpaceDE w:val="0"/>
              <w:autoSpaceDN w:val="0"/>
              <w:adjustRightInd w:val="0"/>
              <w:snapToGrid w:val="0"/>
              <w:jc w:val="center"/>
              <w:rPr>
                <w:color w:val="FF0000"/>
                <w:kern w:val="0"/>
                <w:szCs w:val="21"/>
              </w:rPr>
            </w:pPr>
            <w:r>
              <w:rPr>
                <w:color w:val="FF0000"/>
                <w:kern w:val="0"/>
                <w:szCs w:val="21"/>
              </w:rPr>
              <w:t>30</w:t>
            </w:r>
          </w:p>
        </w:tc>
        <w:tc>
          <w:tcPr>
            <w:tcW w:w="432" w:type="pct"/>
            <w:vAlign w:val="center"/>
          </w:tcPr>
          <w:p>
            <w:pPr>
              <w:kinsoku w:val="0"/>
              <w:overflowPunct w:val="0"/>
              <w:autoSpaceDE w:val="0"/>
              <w:autoSpaceDN w:val="0"/>
              <w:adjustRightInd w:val="0"/>
              <w:snapToGrid w:val="0"/>
              <w:jc w:val="center"/>
              <w:rPr>
                <w:color w:val="FF0000"/>
                <w:szCs w:val="21"/>
              </w:rPr>
            </w:pPr>
            <w:r>
              <w:rPr>
                <w:color w:val="FF0000"/>
                <w:szCs w:val="21"/>
              </w:rPr>
              <w:t>总砷</w:t>
            </w:r>
          </w:p>
        </w:tc>
        <w:tc>
          <w:tcPr>
            <w:tcW w:w="849" w:type="pct"/>
          </w:tcPr>
          <w:p>
            <w:pPr>
              <w:kinsoku w:val="0"/>
              <w:overflowPunct w:val="0"/>
              <w:autoSpaceDE w:val="0"/>
              <w:autoSpaceDN w:val="0"/>
              <w:adjustRightInd w:val="0"/>
              <w:snapToGrid w:val="0"/>
              <w:jc w:val="center"/>
              <w:rPr>
                <w:color w:val="FF0000"/>
                <w:kern w:val="0"/>
                <w:szCs w:val="21"/>
              </w:rPr>
            </w:pPr>
            <w:r>
              <w:rPr>
                <w:color w:val="FF0000"/>
              </w:rPr>
              <w:t>3.75098E-06</w:t>
            </w:r>
          </w:p>
        </w:tc>
        <w:tc>
          <w:tcPr>
            <w:tcW w:w="639" w:type="pct"/>
            <w:vAlign w:val="center"/>
          </w:tcPr>
          <w:p>
            <w:pPr>
              <w:kinsoku w:val="0"/>
              <w:overflowPunct w:val="0"/>
              <w:autoSpaceDE w:val="0"/>
              <w:autoSpaceDN w:val="0"/>
              <w:adjustRightInd w:val="0"/>
              <w:snapToGrid w:val="0"/>
              <w:jc w:val="center"/>
              <w:rPr>
                <w:color w:val="FF0000"/>
                <w:kern w:val="0"/>
                <w:szCs w:val="21"/>
              </w:rPr>
            </w:pPr>
            <w:r>
              <w:rPr>
                <w:color w:val="FF0000"/>
                <w:szCs w:val="21"/>
              </w:rPr>
              <w:t>12.7</w:t>
            </w:r>
          </w:p>
        </w:tc>
        <w:tc>
          <w:tcPr>
            <w:tcW w:w="670" w:type="pct"/>
          </w:tcPr>
          <w:p>
            <w:pPr>
              <w:kinsoku w:val="0"/>
              <w:overflowPunct w:val="0"/>
              <w:autoSpaceDE w:val="0"/>
              <w:autoSpaceDN w:val="0"/>
              <w:adjustRightInd w:val="0"/>
              <w:snapToGrid w:val="0"/>
              <w:jc w:val="center"/>
              <w:rPr>
                <w:color w:val="FF0000"/>
                <w:kern w:val="0"/>
                <w:szCs w:val="21"/>
              </w:rPr>
            </w:pPr>
            <w:r>
              <w:rPr>
                <w:color w:val="FF0000"/>
              </w:rPr>
              <w:t>12.700004</w:t>
            </w:r>
          </w:p>
        </w:tc>
        <w:tc>
          <w:tcPr>
            <w:tcW w:w="525" w:type="pct"/>
          </w:tcPr>
          <w:p>
            <w:pPr>
              <w:kinsoku w:val="0"/>
              <w:overflowPunct w:val="0"/>
              <w:autoSpaceDE w:val="0"/>
              <w:autoSpaceDN w:val="0"/>
              <w:adjustRightInd w:val="0"/>
              <w:snapToGrid w:val="0"/>
              <w:jc w:val="center"/>
              <w:rPr>
                <w:color w:val="FF0000"/>
                <w:kern w:val="0"/>
                <w:szCs w:val="21"/>
              </w:rPr>
            </w:pPr>
            <w:r>
              <w:rPr>
                <w:rFonts w:hint="eastAsia"/>
                <w:color w:val="FF0000"/>
                <w:kern w:val="0"/>
                <w:szCs w:val="21"/>
              </w:rPr>
              <w:t>2</w:t>
            </w:r>
            <w:r>
              <w:rPr>
                <w:color w:val="FF0000"/>
                <w:kern w:val="0"/>
                <w:szCs w:val="21"/>
              </w:rPr>
              <w:t>5</w:t>
            </w:r>
          </w:p>
        </w:tc>
        <w:tc>
          <w:tcPr>
            <w:tcW w:w="778" w:type="pct"/>
            <w:vAlign w:val="center"/>
          </w:tcPr>
          <w:p>
            <w:pPr>
              <w:kinsoku w:val="0"/>
              <w:overflowPunct w:val="0"/>
              <w:autoSpaceDE w:val="0"/>
              <w:autoSpaceDN w:val="0"/>
              <w:adjustRightInd w:val="0"/>
              <w:snapToGrid w:val="0"/>
              <w:jc w:val="center"/>
              <w:rPr>
                <w:color w:val="FF0000"/>
                <w:kern w:val="0"/>
                <w:szCs w:val="21"/>
              </w:rPr>
            </w:pPr>
            <w:r>
              <w:rPr>
                <w:color w:val="FF0000"/>
                <w:kern w:val="0"/>
                <w:szCs w:val="21"/>
              </w:rPr>
              <w:t>60</w:t>
            </w:r>
          </w:p>
        </w:tc>
        <w:tc>
          <w:tcPr>
            <w:tcW w:w="472" w:type="pct"/>
          </w:tcPr>
          <w:p>
            <w:pPr>
              <w:kinsoku w:val="0"/>
              <w:overflowPunct w:val="0"/>
              <w:autoSpaceDE w:val="0"/>
              <w:autoSpaceDN w:val="0"/>
              <w:adjustRightInd w:val="0"/>
              <w:snapToGrid w:val="0"/>
              <w:jc w:val="center"/>
              <w:rPr>
                <w:color w:val="FF0000"/>
                <w:kern w:val="0"/>
                <w:szCs w:val="21"/>
              </w:rPr>
            </w:pPr>
            <w:r>
              <w:rPr>
                <w:rFonts w:hint="eastAsia"/>
                <w:color w:val="FF0000"/>
                <w:kern w:val="0"/>
                <w:szCs w:val="21"/>
              </w:rPr>
              <w:t>达标</w:t>
            </w:r>
          </w:p>
        </w:tc>
      </w:tr>
    </w:tbl>
    <w:p>
      <w:pPr>
        <w:pStyle w:val="972"/>
        <w:snapToGrid w:val="0"/>
        <w:spacing w:line="360" w:lineRule="auto"/>
        <w:ind w:firstLine="480" w:firstLineChars="200"/>
        <w:jc w:val="both"/>
        <w:rPr>
          <w:rFonts w:ascii="Times New Roman" w:cs="Times New Roman"/>
          <w:color w:val="auto"/>
        </w:rPr>
      </w:pPr>
      <w:r>
        <w:rPr>
          <w:rFonts w:ascii="Times New Roman" w:cs="Times New Roman"/>
          <w:color w:val="auto"/>
        </w:rPr>
        <w:t>根据表6.5-3和表6.5-4预测结果表明，项目用地内单位质量土壤中重金属</w:t>
      </w:r>
      <w:r>
        <w:rPr>
          <w:rFonts w:hint="eastAsia" w:ascii="Times New Roman" w:cs="Times New Roman"/>
          <w:color w:val="auto"/>
        </w:rPr>
        <w:t>砷</w:t>
      </w:r>
      <w:r>
        <w:rPr>
          <w:rFonts w:ascii="Times New Roman" w:cs="Times New Roman"/>
          <w:color w:val="auto"/>
        </w:rPr>
        <w:t>预测因子的预测值可满足《土壤环境质量建设用地土壤污染风险管控标准》（试行）（GB36600-2018）中的第二类用地标准</w:t>
      </w:r>
      <w:r>
        <w:rPr>
          <w:rFonts w:hint="eastAsia" w:ascii="Times New Roman" w:cs="Times New Roman"/>
          <w:color w:val="auto"/>
        </w:rPr>
        <w:t>及</w:t>
      </w:r>
      <w:r>
        <w:rPr>
          <w:rFonts w:ascii="Times New Roman" w:cs="Times New Roman"/>
          <w:color w:val="auto"/>
        </w:rPr>
        <w:t>《土壤环境质量农用地土壤污染风险管控标准》（试行）（GB15618-2018）的要求。但土壤污染影响为累积影响，且土壤一但污染很难恢复。因此项目应建立土壤环境跟踪监测管理，建立完善的监测制度，以便及时发现问题，采取措施防治土壤污染。</w:t>
      </w:r>
    </w:p>
    <w:p>
      <w:pPr>
        <w:pStyle w:val="939"/>
        <w:ind w:firstLine="480"/>
      </w:pPr>
      <w:r>
        <w:rPr>
          <w:rFonts w:hint="eastAsia"/>
        </w:rPr>
        <w:t>为有效防止污染物泄漏，避免对周边土壤环境产生不良影响，项目生活垃圾填埋处理工程应严格按《生活垃圾卫生填埋处理技术规范》</w:t>
      </w:r>
      <w:r>
        <w:t>(GB50869-2013)</w:t>
      </w:r>
      <w:r>
        <w:rPr>
          <w:rFonts w:hint="eastAsia"/>
        </w:rPr>
        <w:t>、《生活垃圾卫生填埋场封场技术规范》</w:t>
      </w:r>
      <w:r>
        <w:t>(GB51220-2017)</w:t>
      </w:r>
      <w:r>
        <w:rPr>
          <w:rFonts w:hint="eastAsia"/>
        </w:rPr>
        <w:t>、《城市生活垃圾卫生填埋场运行维护技术规范》（</w:t>
      </w:r>
      <w:r>
        <w:t>CJJ93-2011</w:t>
      </w:r>
      <w:r>
        <w:rPr>
          <w:rFonts w:hint="eastAsia"/>
        </w:rPr>
        <w:t>）等相关生活垃圾卫生填埋场法规要求进行规范建设，配套符合要求的防渗处理系统、渗滤液收集和处理系统等相应的污染防渗堵截措施，按规范进行填埋场运行维护管理，填埋场到了使用寿命后做好封场、后期管理以及绿化。则本项目对周边土壤环境的影响较小，项目土壤环境影响可接受。</w:t>
      </w:r>
    </w:p>
    <w:p>
      <w:pPr>
        <w:spacing w:line="360" w:lineRule="auto"/>
        <w:outlineLvl w:val="2"/>
        <w:rPr>
          <w:b/>
          <w:kern w:val="0"/>
          <w:sz w:val="28"/>
          <w:szCs w:val="28"/>
        </w:rPr>
      </w:pPr>
      <w:bookmarkStart w:id="446" w:name="_Toc143762355"/>
      <w:bookmarkStart w:id="447" w:name="_Toc83556735"/>
      <w:r>
        <w:rPr>
          <w:b/>
          <w:kern w:val="0"/>
          <w:sz w:val="28"/>
          <w:szCs w:val="28"/>
        </w:rPr>
        <w:t>6</w:t>
      </w:r>
      <w:r>
        <w:rPr>
          <w:rFonts w:hint="eastAsia"/>
          <w:b/>
          <w:kern w:val="0"/>
          <w:sz w:val="28"/>
          <w:szCs w:val="28"/>
        </w:rPr>
        <w:t>.</w:t>
      </w:r>
      <w:r>
        <w:rPr>
          <w:b/>
          <w:kern w:val="0"/>
          <w:sz w:val="28"/>
          <w:szCs w:val="28"/>
        </w:rPr>
        <w:t>5</w:t>
      </w:r>
      <w:r>
        <w:rPr>
          <w:rFonts w:hint="eastAsia"/>
          <w:b/>
          <w:kern w:val="0"/>
          <w:sz w:val="28"/>
          <w:szCs w:val="28"/>
        </w:rPr>
        <w:t>.</w:t>
      </w:r>
      <w:r>
        <w:rPr>
          <w:b/>
          <w:kern w:val="0"/>
          <w:sz w:val="28"/>
          <w:szCs w:val="28"/>
        </w:rPr>
        <w:t>4</w:t>
      </w:r>
      <w:r>
        <w:rPr>
          <w:rFonts w:hint="eastAsia"/>
          <w:b/>
          <w:kern w:val="0"/>
          <w:sz w:val="28"/>
          <w:szCs w:val="28"/>
        </w:rPr>
        <w:t xml:space="preserve"> 土壤环境影响评价自查表</w:t>
      </w:r>
      <w:bookmarkEnd w:id="446"/>
      <w:bookmarkEnd w:id="447"/>
    </w:p>
    <w:p>
      <w:pPr>
        <w:pStyle w:val="2235"/>
        <w:spacing w:line="240" w:lineRule="auto"/>
        <w:ind w:firstLine="498"/>
        <w:jc w:val="center"/>
        <w:rPr>
          <w:rFonts w:ascii="Times New Roman" w:hAnsi="Times New Roman"/>
          <w:szCs w:val="24"/>
        </w:rPr>
      </w:pPr>
      <w:r>
        <w:rPr>
          <w:rFonts w:hint="eastAsia" w:ascii="Times New Roman" w:hAnsi="Times New Roman"/>
          <w:b/>
          <w:bCs/>
          <w:spacing w:val="4"/>
          <w:kern w:val="2"/>
          <w:szCs w:val="24"/>
        </w:rPr>
        <w:t>表</w:t>
      </w:r>
      <w:r>
        <w:rPr>
          <w:rFonts w:ascii="Times New Roman" w:hAnsi="Times New Roman"/>
          <w:b/>
          <w:bCs/>
          <w:spacing w:val="4"/>
          <w:kern w:val="2"/>
          <w:szCs w:val="24"/>
        </w:rPr>
        <w:t>6</w:t>
      </w:r>
      <w:r>
        <w:rPr>
          <w:rFonts w:hint="eastAsia" w:ascii="Times New Roman" w:hAnsi="Times New Roman"/>
          <w:b/>
          <w:bCs/>
          <w:spacing w:val="4"/>
          <w:kern w:val="2"/>
          <w:szCs w:val="24"/>
        </w:rPr>
        <w:t>.</w:t>
      </w:r>
      <w:r>
        <w:rPr>
          <w:rFonts w:ascii="Times New Roman" w:hAnsi="Times New Roman"/>
          <w:b/>
          <w:bCs/>
          <w:spacing w:val="4"/>
          <w:kern w:val="2"/>
          <w:szCs w:val="24"/>
        </w:rPr>
        <w:t>5</w:t>
      </w:r>
      <w:r>
        <w:rPr>
          <w:rFonts w:hint="eastAsia" w:ascii="Times New Roman" w:hAnsi="Times New Roman"/>
          <w:b/>
          <w:bCs/>
          <w:spacing w:val="4"/>
          <w:kern w:val="2"/>
          <w:szCs w:val="24"/>
        </w:rPr>
        <w:t>-3 土壤环境影响评价自查表</w:t>
      </w:r>
    </w:p>
    <w:tbl>
      <w:tblPr>
        <w:tblStyle w:val="87"/>
        <w:tblW w:w="798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1417"/>
        <w:gridCol w:w="813"/>
        <w:gridCol w:w="709"/>
        <w:gridCol w:w="1759"/>
        <w:gridCol w:w="1218"/>
        <w:gridCol w:w="10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0" w:type="dxa"/>
            <w:gridSpan w:val="2"/>
            <w:shd w:val="clear" w:color="auto" w:fill="auto"/>
            <w:vAlign w:val="center"/>
          </w:tcPr>
          <w:p>
            <w:pPr>
              <w:jc w:val="center"/>
              <w:textAlignment w:val="baseline"/>
              <w:rPr>
                <w:sz w:val="18"/>
                <w:szCs w:val="18"/>
              </w:rPr>
            </w:pPr>
            <w:r>
              <w:rPr>
                <w:sz w:val="18"/>
                <w:szCs w:val="18"/>
              </w:rPr>
              <w:t>工作内容</w:t>
            </w:r>
          </w:p>
        </w:tc>
        <w:tc>
          <w:tcPr>
            <w:tcW w:w="4499" w:type="dxa"/>
            <w:gridSpan w:val="4"/>
            <w:shd w:val="clear" w:color="auto" w:fill="auto"/>
            <w:vAlign w:val="center"/>
          </w:tcPr>
          <w:p>
            <w:pPr>
              <w:jc w:val="center"/>
              <w:textAlignment w:val="baseline"/>
              <w:rPr>
                <w:sz w:val="18"/>
                <w:szCs w:val="18"/>
              </w:rPr>
            </w:pPr>
            <w:r>
              <w:rPr>
                <w:sz w:val="18"/>
                <w:szCs w:val="18"/>
              </w:rPr>
              <w:t>完成情况</w:t>
            </w:r>
          </w:p>
        </w:tc>
        <w:tc>
          <w:tcPr>
            <w:tcW w:w="1059" w:type="dxa"/>
            <w:shd w:val="clear" w:color="auto" w:fill="auto"/>
            <w:vAlign w:val="center"/>
          </w:tcPr>
          <w:p>
            <w:pPr>
              <w:jc w:val="center"/>
              <w:textAlignment w:val="baseline"/>
              <w:rPr>
                <w:sz w:val="18"/>
                <w:szCs w:val="18"/>
              </w:rPr>
            </w:pPr>
            <w:r>
              <w:rPr>
                <w:sz w:val="18"/>
                <w:szCs w:val="18"/>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restart"/>
            <w:shd w:val="clear" w:color="auto" w:fill="auto"/>
            <w:vAlign w:val="center"/>
          </w:tcPr>
          <w:p>
            <w:pPr>
              <w:textAlignment w:val="baseline"/>
              <w:rPr>
                <w:sz w:val="18"/>
                <w:szCs w:val="18"/>
              </w:rPr>
            </w:pPr>
            <w:r>
              <w:rPr>
                <w:sz w:val="18"/>
                <w:szCs w:val="18"/>
              </w:rPr>
              <w:t>影响识别</w:t>
            </w:r>
          </w:p>
        </w:tc>
        <w:tc>
          <w:tcPr>
            <w:tcW w:w="1417" w:type="dxa"/>
            <w:shd w:val="clear" w:color="auto" w:fill="auto"/>
            <w:vAlign w:val="center"/>
          </w:tcPr>
          <w:p>
            <w:pPr>
              <w:jc w:val="center"/>
              <w:textAlignment w:val="baseline"/>
              <w:rPr>
                <w:sz w:val="18"/>
                <w:szCs w:val="18"/>
              </w:rPr>
            </w:pPr>
            <w:r>
              <w:rPr>
                <w:sz w:val="18"/>
                <w:szCs w:val="18"/>
              </w:rPr>
              <w:t>影响类型</w:t>
            </w:r>
          </w:p>
        </w:tc>
        <w:tc>
          <w:tcPr>
            <w:tcW w:w="4499" w:type="dxa"/>
            <w:gridSpan w:val="4"/>
            <w:shd w:val="clear" w:color="auto" w:fill="auto"/>
            <w:vAlign w:val="center"/>
          </w:tcPr>
          <w:p>
            <w:pPr>
              <w:jc w:val="center"/>
              <w:textAlignment w:val="baseline"/>
              <w:rPr>
                <w:sz w:val="18"/>
                <w:szCs w:val="18"/>
              </w:rPr>
            </w:pPr>
            <w:r>
              <w:rPr>
                <w:sz w:val="18"/>
                <w:szCs w:val="18"/>
              </w:rPr>
              <w:t>污染影响型</w:t>
            </w:r>
          </w:p>
        </w:tc>
        <w:tc>
          <w:tcPr>
            <w:tcW w:w="1059" w:type="dxa"/>
            <w:shd w:val="clear" w:color="auto" w:fill="auto"/>
            <w:vAlign w:val="center"/>
          </w:tcPr>
          <w:p>
            <w:pPr>
              <w:jc w:val="center"/>
              <w:textAlignment w:val="baseline"/>
              <w:rPr>
                <w:sz w:val="18"/>
                <w:szCs w:val="18"/>
              </w:rPr>
            </w:pPr>
            <w:r>
              <w:rPr>
                <w:rFonts w:hint="eastAsia"/>
                <w:sz w:val="18"/>
                <w:szCs w:val="18"/>
              </w:rPr>
              <w:t>土地</w:t>
            </w:r>
            <w:r>
              <w:rPr>
                <w:sz w:val="18"/>
                <w:szCs w:val="18"/>
              </w:rPr>
              <w:t>利用类型图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土地利用类型</w:t>
            </w:r>
          </w:p>
        </w:tc>
        <w:tc>
          <w:tcPr>
            <w:tcW w:w="4499" w:type="dxa"/>
            <w:gridSpan w:val="4"/>
            <w:shd w:val="clear" w:color="auto" w:fill="auto"/>
            <w:vAlign w:val="center"/>
          </w:tcPr>
          <w:p>
            <w:pPr>
              <w:jc w:val="center"/>
              <w:textAlignment w:val="baseline"/>
              <w:rPr>
                <w:sz w:val="18"/>
                <w:szCs w:val="18"/>
              </w:rPr>
            </w:pPr>
            <w:r>
              <w:rPr>
                <w:sz w:val="18"/>
                <w:szCs w:val="18"/>
              </w:rPr>
              <w:t>建设用地</w:t>
            </w:r>
            <w:r>
              <w:rPr>
                <w:sz w:val="18"/>
                <w:szCs w:val="18"/>
              </w:rPr>
              <w:sym w:font="Wingdings 2" w:char="F052"/>
            </w:r>
            <w:r>
              <w:rPr>
                <w:sz w:val="18"/>
                <w:szCs w:val="18"/>
              </w:rPr>
              <w:tab/>
            </w:r>
            <w:r>
              <w:rPr>
                <w:sz w:val="18"/>
                <w:szCs w:val="18"/>
              </w:rPr>
              <w:t>农用地</w:t>
            </w:r>
            <w:r>
              <w:rPr>
                <w:sz w:val="18"/>
                <w:szCs w:val="18"/>
              </w:rPr>
              <w:tab/>
            </w:r>
            <w:r>
              <w:rPr>
                <w:sz w:val="18"/>
                <w:szCs w:val="18"/>
              </w:rPr>
              <w:t xml:space="preserve"> 未利用地</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占地规模</w:t>
            </w:r>
          </w:p>
        </w:tc>
        <w:tc>
          <w:tcPr>
            <w:tcW w:w="4499" w:type="dxa"/>
            <w:gridSpan w:val="4"/>
            <w:shd w:val="clear" w:color="auto" w:fill="auto"/>
            <w:vAlign w:val="center"/>
          </w:tcPr>
          <w:p>
            <w:pPr>
              <w:jc w:val="center"/>
              <w:textAlignment w:val="baseline"/>
              <w:rPr>
                <w:sz w:val="18"/>
                <w:szCs w:val="18"/>
              </w:rPr>
            </w:pPr>
            <w:r>
              <w:rPr>
                <w:sz w:val="18"/>
                <w:szCs w:val="18"/>
              </w:rPr>
              <w:t>（6.8）hm</w:t>
            </w:r>
            <w:r>
              <w:rPr>
                <w:sz w:val="18"/>
                <w:szCs w:val="18"/>
                <w:vertAlign w:val="superscript"/>
              </w:rPr>
              <w:t>2</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敏感目标信息</w:t>
            </w:r>
          </w:p>
        </w:tc>
        <w:tc>
          <w:tcPr>
            <w:tcW w:w="4499" w:type="dxa"/>
            <w:gridSpan w:val="4"/>
            <w:shd w:val="clear" w:color="auto" w:fill="auto"/>
            <w:vAlign w:val="center"/>
          </w:tcPr>
          <w:p>
            <w:pPr>
              <w:jc w:val="center"/>
              <w:textAlignment w:val="baseline"/>
              <w:rPr>
                <w:sz w:val="18"/>
                <w:szCs w:val="18"/>
              </w:rPr>
            </w:pPr>
            <w:r>
              <w:rPr>
                <w:sz w:val="18"/>
                <w:szCs w:val="18"/>
              </w:rPr>
              <w:t>敏感目标（/）、方位（/）、距离（/）</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影响途径</w:t>
            </w:r>
          </w:p>
        </w:tc>
        <w:tc>
          <w:tcPr>
            <w:tcW w:w="4499" w:type="dxa"/>
            <w:gridSpan w:val="4"/>
            <w:shd w:val="clear" w:color="auto" w:fill="auto"/>
            <w:vAlign w:val="center"/>
          </w:tcPr>
          <w:p>
            <w:pPr>
              <w:jc w:val="center"/>
              <w:textAlignment w:val="baseline"/>
              <w:rPr>
                <w:sz w:val="18"/>
                <w:szCs w:val="18"/>
              </w:rPr>
            </w:pPr>
            <w:r>
              <w:rPr>
                <w:sz w:val="18"/>
                <w:szCs w:val="18"/>
              </w:rPr>
              <w:t>垂直入渗</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全部污染物</w:t>
            </w:r>
          </w:p>
        </w:tc>
        <w:tc>
          <w:tcPr>
            <w:tcW w:w="4499" w:type="dxa"/>
            <w:gridSpan w:val="4"/>
            <w:shd w:val="clear" w:color="auto" w:fill="auto"/>
            <w:vAlign w:val="center"/>
          </w:tcPr>
          <w:p>
            <w:pPr>
              <w:jc w:val="center"/>
              <w:textAlignment w:val="baseline"/>
              <w:rPr>
                <w:sz w:val="18"/>
                <w:szCs w:val="18"/>
              </w:rPr>
            </w:pPr>
            <w:r>
              <w:rPr>
                <w:rFonts w:hint="eastAsia"/>
                <w:sz w:val="18"/>
                <w:szCs w:val="18"/>
              </w:rPr>
              <w:t>总汞、总镉、总铬、六价铬、总砷、总铅</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特征因子</w:t>
            </w:r>
          </w:p>
        </w:tc>
        <w:tc>
          <w:tcPr>
            <w:tcW w:w="4499" w:type="dxa"/>
            <w:gridSpan w:val="4"/>
            <w:shd w:val="clear" w:color="auto" w:fill="auto"/>
            <w:vAlign w:val="center"/>
          </w:tcPr>
          <w:p>
            <w:pPr>
              <w:jc w:val="center"/>
              <w:textAlignment w:val="baseline"/>
              <w:rPr>
                <w:sz w:val="18"/>
                <w:szCs w:val="18"/>
              </w:rPr>
            </w:pPr>
            <w:r>
              <w:rPr>
                <w:rFonts w:hint="eastAsia"/>
                <w:sz w:val="18"/>
                <w:szCs w:val="18"/>
              </w:rPr>
              <w:t>总汞、总镉、总铬、六价铬、总砷、总铅</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所属污染环境影响评价项目类别</w:t>
            </w:r>
          </w:p>
        </w:tc>
        <w:tc>
          <w:tcPr>
            <w:tcW w:w="4499" w:type="dxa"/>
            <w:gridSpan w:val="4"/>
            <w:shd w:val="clear" w:color="auto" w:fill="auto"/>
            <w:vAlign w:val="center"/>
          </w:tcPr>
          <w:p>
            <w:pPr>
              <w:jc w:val="center"/>
              <w:textAlignment w:val="baseline"/>
              <w:rPr>
                <w:sz w:val="18"/>
                <w:szCs w:val="18"/>
              </w:rPr>
            </w:pPr>
            <w:r>
              <w:rPr>
                <w:sz w:val="18"/>
                <w:szCs w:val="18"/>
              </w:rPr>
              <w:fldChar w:fldCharType="begin"/>
            </w:r>
            <w:r>
              <w:rPr>
                <w:sz w:val="18"/>
                <w:szCs w:val="18"/>
              </w:rPr>
              <w:instrText xml:space="preserve"> = 1 \* ROMAN </w:instrText>
            </w:r>
            <w:r>
              <w:rPr>
                <w:sz w:val="18"/>
                <w:szCs w:val="18"/>
              </w:rPr>
              <w:fldChar w:fldCharType="separate"/>
            </w:r>
            <w:r>
              <w:rPr>
                <w:sz w:val="18"/>
                <w:szCs w:val="18"/>
              </w:rPr>
              <w:t>I</w:t>
            </w:r>
            <w:r>
              <w:rPr>
                <w:sz w:val="18"/>
                <w:szCs w:val="18"/>
              </w:rPr>
              <w:fldChar w:fldCharType="end"/>
            </w:r>
            <w:r>
              <w:rPr>
                <w:sz w:val="18"/>
                <w:szCs w:val="18"/>
              </w:rPr>
              <w:t>类</w:t>
            </w:r>
            <w:r>
              <w:rPr>
                <w:sz w:val="18"/>
                <w:szCs w:val="18"/>
              </w:rPr>
              <w:tab/>
            </w:r>
            <w:r>
              <w:rPr>
                <w:sz w:val="18"/>
                <w:szCs w:val="18"/>
              </w:rPr>
              <w:fldChar w:fldCharType="begin"/>
            </w:r>
            <w:r>
              <w:rPr>
                <w:sz w:val="18"/>
                <w:szCs w:val="18"/>
              </w:rPr>
              <w:instrText xml:space="preserve"> = 2 \* ROMAN </w:instrText>
            </w:r>
            <w:r>
              <w:rPr>
                <w:sz w:val="18"/>
                <w:szCs w:val="18"/>
              </w:rPr>
              <w:fldChar w:fldCharType="separate"/>
            </w:r>
            <w:r>
              <w:rPr>
                <w:sz w:val="18"/>
                <w:szCs w:val="18"/>
              </w:rPr>
              <w:t>II</w:t>
            </w:r>
            <w:r>
              <w:rPr>
                <w:sz w:val="18"/>
                <w:szCs w:val="18"/>
              </w:rPr>
              <w:fldChar w:fldCharType="end"/>
            </w:r>
            <w:r>
              <w:rPr>
                <w:sz w:val="18"/>
                <w:szCs w:val="18"/>
              </w:rPr>
              <w:t>类</w:t>
            </w:r>
            <w:r>
              <w:rPr>
                <w:sz w:val="18"/>
                <w:szCs w:val="18"/>
              </w:rPr>
              <w:sym w:font="Wingdings 2" w:char="F052"/>
            </w:r>
            <w:r>
              <w:rPr>
                <w:sz w:val="18"/>
                <w:szCs w:val="18"/>
              </w:rPr>
              <w:tab/>
            </w:r>
            <w:r>
              <w:rPr>
                <w:sz w:val="18"/>
                <w:szCs w:val="18"/>
              </w:rPr>
              <w:fldChar w:fldCharType="begin"/>
            </w:r>
            <w:r>
              <w:rPr>
                <w:sz w:val="18"/>
                <w:szCs w:val="18"/>
              </w:rPr>
              <w:instrText xml:space="preserve"> = 3 \* ROMAN </w:instrText>
            </w:r>
            <w:r>
              <w:rPr>
                <w:sz w:val="18"/>
                <w:szCs w:val="18"/>
              </w:rPr>
              <w:fldChar w:fldCharType="separate"/>
            </w:r>
            <w:r>
              <w:rPr>
                <w:sz w:val="18"/>
                <w:szCs w:val="18"/>
              </w:rPr>
              <w:t>III</w:t>
            </w:r>
            <w:r>
              <w:rPr>
                <w:sz w:val="18"/>
                <w:szCs w:val="18"/>
              </w:rPr>
              <w:fldChar w:fldCharType="end"/>
            </w:r>
            <w:r>
              <w:rPr>
                <w:sz w:val="18"/>
                <w:szCs w:val="18"/>
              </w:rPr>
              <w:t xml:space="preserve">类  </w:t>
            </w:r>
            <w:r>
              <w:rPr>
                <w:sz w:val="18"/>
                <w:szCs w:val="18"/>
              </w:rPr>
              <w:fldChar w:fldCharType="begin"/>
            </w:r>
            <w:r>
              <w:rPr>
                <w:sz w:val="18"/>
                <w:szCs w:val="18"/>
              </w:rPr>
              <w:instrText xml:space="preserve"> = 4 \* ROMAN </w:instrText>
            </w:r>
            <w:r>
              <w:rPr>
                <w:sz w:val="18"/>
                <w:szCs w:val="18"/>
              </w:rPr>
              <w:fldChar w:fldCharType="separate"/>
            </w:r>
            <w:r>
              <w:rPr>
                <w:sz w:val="18"/>
                <w:szCs w:val="18"/>
              </w:rPr>
              <w:t>IV</w:t>
            </w:r>
            <w:r>
              <w:rPr>
                <w:sz w:val="18"/>
                <w:szCs w:val="18"/>
              </w:rPr>
              <w:fldChar w:fldCharType="end"/>
            </w:r>
            <w:r>
              <w:rPr>
                <w:sz w:val="18"/>
                <w:szCs w:val="18"/>
              </w:rPr>
              <w:t>类</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敏感程度</w:t>
            </w:r>
          </w:p>
        </w:tc>
        <w:tc>
          <w:tcPr>
            <w:tcW w:w="4499" w:type="dxa"/>
            <w:gridSpan w:val="4"/>
            <w:shd w:val="clear" w:color="auto" w:fill="auto"/>
            <w:vAlign w:val="center"/>
          </w:tcPr>
          <w:p>
            <w:pPr>
              <w:jc w:val="center"/>
              <w:textAlignment w:val="baseline"/>
              <w:rPr>
                <w:sz w:val="18"/>
                <w:szCs w:val="18"/>
              </w:rPr>
            </w:pPr>
            <w:r>
              <w:rPr>
                <w:sz w:val="18"/>
                <w:szCs w:val="18"/>
              </w:rPr>
              <w:t>敏感</w:t>
            </w:r>
            <w:r>
              <w:rPr>
                <w:sz w:val="18"/>
                <w:szCs w:val="18"/>
              </w:rPr>
              <w:sym w:font="Wingdings 2" w:char="F052"/>
            </w:r>
            <w:r>
              <w:rPr>
                <w:sz w:val="18"/>
                <w:szCs w:val="18"/>
              </w:rPr>
              <w:tab/>
            </w:r>
            <w:r>
              <w:rPr>
                <w:sz w:val="18"/>
                <w:szCs w:val="18"/>
              </w:rPr>
              <w:t>较敏感</w:t>
            </w:r>
            <w:r>
              <w:rPr>
                <w:sz w:val="18"/>
                <w:szCs w:val="18"/>
              </w:rPr>
              <w:tab/>
            </w:r>
            <w:r>
              <w:rPr>
                <w:sz w:val="18"/>
                <w:szCs w:val="18"/>
              </w:rPr>
              <w:t xml:space="preserve">  不敏感</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0" w:type="dxa"/>
            <w:gridSpan w:val="2"/>
            <w:shd w:val="clear" w:color="auto" w:fill="auto"/>
            <w:vAlign w:val="center"/>
          </w:tcPr>
          <w:p>
            <w:pPr>
              <w:jc w:val="center"/>
              <w:textAlignment w:val="baseline"/>
              <w:rPr>
                <w:sz w:val="18"/>
                <w:szCs w:val="18"/>
              </w:rPr>
            </w:pPr>
            <w:r>
              <w:rPr>
                <w:sz w:val="18"/>
                <w:szCs w:val="18"/>
              </w:rPr>
              <w:t>评价工作等级</w:t>
            </w:r>
          </w:p>
        </w:tc>
        <w:tc>
          <w:tcPr>
            <w:tcW w:w="4499" w:type="dxa"/>
            <w:gridSpan w:val="4"/>
            <w:shd w:val="clear" w:color="auto" w:fill="auto"/>
            <w:vAlign w:val="center"/>
          </w:tcPr>
          <w:p>
            <w:pPr>
              <w:jc w:val="center"/>
              <w:textAlignment w:val="baseline"/>
              <w:rPr>
                <w:sz w:val="18"/>
                <w:szCs w:val="18"/>
              </w:rPr>
            </w:pPr>
            <w:r>
              <w:rPr>
                <w:sz w:val="18"/>
                <w:szCs w:val="18"/>
              </w:rPr>
              <w:t>二级</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restart"/>
            <w:shd w:val="clear" w:color="auto" w:fill="auto"/>
            <w:vAlign w:val="center"/>
          </w:tcPr>
          <w:p>
            <w:pPr>
              <w:textAlignment w:val="baseline"/>
              <w:rPr>
                <w:sz w:val="18"/>
                <w:szCs w:val="18"/>
              </w:rPr>
            </w:pPr>
            <w:r>
              <w:rPr>
                <w:sz w:val="18"/>
                <w:szCs w:val="18"/>
              </w:rPr>
              <w:t>现状调查内容</w:t>
            </w:r>
          </w:p>
        </w:tc>
        <w:tc>
          <w:tcPr>
            <w:tcW w:w="1417" w:type="dxa"/>
            <w:shd w:val="clear" w:color="auto" w:fill="auto"/>
            <w:vAlign w:val="center"/>
          </w:tcPr>
          <w:p>
            <w:pPr>
              <w:jc w:val="center"/>
              <w:textAlignment w:val="baseline"/>
              <w:rPr>
                <w:sz w:val="18"/>
                <w:szCs w:val="18"/>
              </w:rPr>
            </w:pPr>
            <w:r>
              <w:rPr>
                <w:sz w:val="18"/>
                <w:szCs w:val="18"/>
              </w:rPr>
              <w:t>资料收集</w:t>
            </w:r>
          </w:p>
        </w:tc>
        <w:tc>
          <w:tcPr>
            <w:tcW w:w="4499" w:type="dxa"/>
            <w:gridSpan w:val="4"/>
            <w:shd w:val="clear" w:color="auto" w:fill="auto"/>
            <w:vAlign w:val="center"/>
          </w:tcPr>
          <w:p>
            <w:pPr>
              <w:jc w:val="center"/>
              <w:textAlignment w:val="baseline"/>
              <w:rPr>
                <w:sz w:val="18"/>
                <w:szCs w:val="18"/>
              </w:rPr>
            </w:pPr>
            <w:r>
              <w:rPr>
                <w:sz w:val="18"/>
                <w:szCs w:val="18"/>
              </w:rPr>
              <w:t xml:space="preserve">a) </w:t>
            </w:r>
            <w:r>
              <w:rPr>
                <w:sz w:val="18"/>
                <w:szCs w:val="18"/>
              </w:rPr>
              <w:sym w:font="Wingdings 2" w:char="F052"/>
            </w:r>
            <w:r>
              <w:rPr>
                <w:sz w:val="18"/>
                <w:szCs w:val="18"/>
              </w:rPr>
              <w:t>;</w:t>
            </w:r>
            <w:r>
              <w:rPr>
                <w:sz w:val="18"/>
                <w:szCs w:val="18"/>
              </w:rPr>
              <w:tab/>
            </w:r>
            <w:r>
              <w:rPr>
                <w:sz w:val="18"/>
                <w:szCs w:val="18"/>
              </w:rPr>
              <w:t xml:space="preserve">b) </w:t>
            </w:r>
            <w:r>
              <w:rPr>
                <w:sz w:val="18"/>
                <w:szCs w:val="18"/>
              </w:rPr>
              <w:sym w:font="Wingdings 2" w:char="F052"/>
            </w:r>
            <w:r>
              <w:rPr>
                <w:sz w:val="18"/>
                <w:szCs w:val="18"/>
              </w:rPr>
              <w:t xml:space="preserve">; </w:t>
            </w:r>
            <w:r>
              <w:rPr>
                <w:sz w:val="18"/>
                <w:szCs w:val="18"/>
              </w:rPr>
              <w:tab/>
            </w:r>
            <w:r>
              <w:rPr>
                <w:sz w:val="18"/>
                <w:szCs w:val="18"/>
              </w:rPr>
              <w:t xml:space="preserve">c) </w:t>
            </w:r>
            <w:r>
              <w:rPr>
                <w:sz w:val="18"/>
                <w:szCs w:val="18"/>
              </w:rPr>
              <w:sym w:font="Wingdings 2" w:char="F052"/>
            </w:r>
            <w:r>
              <w:rPr>
                <w:sz w:val="18"/>
                <w:szCs w:val="18"/>
              </w:rPr>
              <w:t xml:space="preserve">;  d) </w:t>
            </w:r>
            <w:r>
              <w:rPr>
                <w:sz w:val="18"/>
                <w:szCs w:val="18"/>
              </w:rPr>
              <w:sym w:font="Wingdings 2" w:char="F052"/>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理化性质</w:t>
            </w:r>
          </w:p>
        </w:tc>
        <w:tc>
          <w:tcPr>
            <w:tcW w:w="4499" w:type="dxa"/>
            <w:gridSpan w:val="4"/>
            <w:shd w:val="clear" w:color="auto" w:fill="auto"/>
            <w:vAlign w:val="center"/>
          </w:tcPr>
          <w:p>
            <w:pPr>
              <w:jc w:val="center"/>
              <w:textAlignment w:val="baseline"/>
              <w:rPr>
                <w:sz w:val="18"/>
                <w:szCs w:val="18"/>
              </w:rPr>
            </w:pPr>
            <w:r>
              <w:rPr>
                <w:sz w:val="18"/>
                <w:szCs w:val="18"/>
              </w:rPr>
              <w:t>/</w:t>
            </w:r>
          </w:p>
        </w:tc>
        <w:tc>
          <w:tcPr>
            <w:tcW w:w="1059" w:type="dxa"/>
            <w:shd w:val="clear" w:color="auto" w:fill="auto"/>
            <w:vAlign w:val="center"/>
          </w:tcPr>
          <w:p>
            <w:pPr>
              <w:jc w:val="center"/>
              <w:textAlignment w:val="baseline"/>
              <w:rPr>
                <w:sz w:val="18"/>
                <w:szCs w:val="18"/>
              </w:rPr>
            </w:pPr>
            <w:r>
              <w:rPr>
                <w:sz w:val="18"/>
                <w:szCs w:val="18"/>
              </w:rPr>
              <w:t>同附录C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vMerge w:val="restart"/>
            <w:shd w:val="clear" w:color="auto" w:fill="auto"/>
            <w:vAlign w:val="center"/>
          </w:tcPr>
          <w:p>
            <w:pPr>
              <w:jc w:val="center"/>
              <w:textAlignment w:val="baseline"/>
              <w:rPr>
                <w:sz w:val="18"/>
                <w:szCs w:val="18"/>
              </w:rPr>
            </w:pPr>
            <w:r>
              <w:rPr>
                <w:sz w:val="18"/>
                <w:szCs w:val="18"/>
              </w:rPr>
              <w:t>现状监测点位</w:t>
            </w:r>
          </w:p>
        </w:tc>
        <w:tc>
          <w:tcPr>
            <w:tcW w:w="813" w:type="dxa"/>
            <w:shd w:val="clear" w:color="auto" w:fill="auto"/>
            <w:vAlign w:val="center"/>
          </w:tcPr>
          <w:p>
            <w:pPr>
              <w:jc w:val="center"/>
              <w:textAlignment w:val="baseline"/>
              <w:rPr>
                <w:sz w:val="18"/>
                <w:szCs w:val="18"/>
              </w:rPr>
            </w:pPr>
          </w:p>
        </w:tc>
        <w:tc>
          <w:tcPr>
            <w:tcW w:w="709" w:type="dxa"/>
            <w:shd w:val="clear" w:color="auto" w:fill="auto"/>
            <w:vAlign w:val="center"/>
          </w:tcPr>
          <w:p>
            <w:pPr>
              <w:textAlignment w:val="baseline"/>
              <w:rPr>
                <w:sz w:val="18"/>
                <w:szCs w:val="18"/>
              </w:rPr>
            </w:pPr>
            <w:r>
              <w:rPr>
                <w:sz w:val="18"/>
                <w:szCs w:val="18"/>
              </w:rPr>
              <w:t>占地范围内</w:t>
            </w:r>
          </w:p>
        </w:tc>
        <w:tc>
          <w:tcPr>
            <w:tcW w:w="1759" w:type="dxa"/>
            <w:shd w:val="clear" w:color="auto" w:fill="auto"/>
            <w:vAlign w:val="center"/>
          </w:tcPr>
          <w:p>
            <w:pPr>
              <w:textAlignment w:val="baseline"/>
              <w:rPr>
                <w:sz w:val="18"/>
                <w:szCs w:val="18"/>
              </w:rPr>
            </w:pPr>
            <w:r>
              <w:rPr>
                <w:sz w:val="18"/>
                <w:szCs w:val="18"/>
              </w:rPr>
              <w:t>占地范围外</w:t>
            </w:r>
          </w:p>
        </w:tc>
        <w:tc>
          <w:tcPr>
            <w:tcW w:w="1218" w:type="dxa"/>
            <w:shd w:val="clear" w:color="auto" w:fill="auto"/>
            <w:vAlign w:val="center"/>
          </w:tcPr>
          <w:p>
            <w:pPr>
              <w:jc w:val="center"/>
              <w:textAlignment w:val="baseline"/>
              <w:rPr>
                <w:sz w:val="18"/>
                <w:szCs w:val="18"/>
              </w:rPr>
            </w:pPr>
            <w:r>
              <w:rPr>
                <w:sz w:val="18"/>
                <w:szCs w:val="18"/>
              </w:rPr>
              <w:t>深度</w:t>
            </w:r>
          </w:p>
        </w:tc>
        <w:tc>
          <w:tcPr>
            <w:tcW w:w="1059" w:type="dxa"/>
            <w:vMerge w:val="restart"/>
            <w:shd w:val="clear" w:color="auto" w:fill="auto"/>
            <w:vAlign w:val="center"/>
          </w:tcPr>
          <w:p>
            <w:pPr>
              <w:jc w:val="center"/>
              <w:textAlignment w:val="baseline"/>
              <w:rPr>
                <w:sz w:val="18"/>
                <w:szCs w:val="18"/>
              </w:rPr>
            </w:pPr>
            <w:r>
              <w:rPr>
                <w:sz w:val="18"/>
                <w:szCs w:val="18"/>
              </w:rPr>
              <w:t>点位布置图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vMerge w:val="continue"/>
            <w:shd w:val="clear" w:color="auto" w:fill="auto"/>
            <w:vAlign w:val="center"/>
          </w:tcPr>
          <w:p>
            <w:pPr>
              <w:rPr>
                <w:sz w:val="18"/>
                <w:szCs w:val="18"/>
              </w:rPr>
            </w:pPr>
          </w:p>
        </w:tc>
        <w:tc>
          <w:tcPr>
            <w:tcW w:w="813" w:type="dxa"/>
            <w:shd w:val="clear" w:color="auto" w:fill="auto"/>
            <w:vAlign w:val="center"/>
          </w:tcPr>
          <w:p>
            <w:pPr>
              <w:jc w:val="center"/>
              <w:textAlignment w:val="baseline"/>
              <w:rPr>
                <w:sz w:val="18"/>
                <w:szCs w:val="18"/>
              </w:rPr>
            </w:pPr>
            <w:r>
              <w:rPr>
                <w:sz w:val="18"/>
                <w:szCs w:val="18"/>
              </w:rPr>
              <w:t>表层样点数</w:t>
            </w:r>
          </w:p>
        </w:tc>
        <w:tc>
          <w:tcPr>
            <w:tcW w:w="709" w:type="dxa"/>
            <w:shd w:val="clear" w:color="auto" w:fill="auto"/>
            <w:vAlign w:val="center"/>
          </w:tcPr>
          <w:p>
            <w:pPr>
              <w:jc w:val="center"/>
              <w:textAlignment w:val="baseline"/>
              <w:rPr>
                <w:sz w:val="18"/>
                <w:szCs w:val="18"/>
              </w:rPr>
            </w:pPr>
            <w:r>
              <w:rPr>
                <w:sz w:val="18"/>
                <w:szCs w:val="18"/>
              </w:rPr>
              <w:t>1</w:t>
            </w:r>
          </w:p>
        </w:tc>
        <w:tc>
          <w:tcPr>
            <w:tcW w:w="1759" w:type="dxa"/>
            <w:shd w:val="clear" w:color="auto" w:fill="auto"/>
            <w:vAlign w:val="center"/>
          </w:tcPr>
          <w:p>
            <w:pPr>
              <w:jc w:val="center"/>
              <w:textAlignment w:val="baseline"/>
              <w:rPr>
                <w:sz w:val="18"/>
                <w:szCs w:val="18"/>
              </w:rPr>
            </w:pPr>
            <w:r>
              <w:rPr>
                <w:sz w:val="18"/>
                <w:szCs w:val="18"/>
              </w:rPr>
              <w:t>2</w:t>
            </w:r>
          </w:p>
        </w:tc>
        <w:tc>
          <w:tcPr>
            <w:tcW w:w="1218" w:type="dxa"/>
            <w:shd w:val="clear" w:color="auto" w:fill="auto"/>
            <w:vAlign w:val="center"/>
          </w:tcPr>
          <w:p>
            <w:pPr>
              <w:jc w:val="center"/>
              <w:textAlignment w:val="baseline"/>
              <w:rPr>
                <w:sz w:val="18"/>
                <w:szCs w:val="18"/>
              </w:rPr>
            </w:pPr>
            <w:r>
              <w:rPr>
                <w:sz w:val="18"/>
                <w:szCs w:val="18"/>
              </w:rPr>
              <w:t>0~20cm</w:t>
            </w:r>
          </w:p>
        </w:tc>
        <w:tc>
          <w:tcPr>
            <w:tcW w:w="1059" w:type="dxa"/>
            <w:vMerge w:val="continue"/>
            <w:shd w:val="clear" w:color="auto" w:fill="auto"/>
            <w:vAlign w:val="center"/>
          </w:tcPr>
          <w:p>
            <w:pPr>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vMerge w:val="continue"/>
            <w:shd w:val="clear" w:color="auto" w:fill="auto"/>
            <w:vAlign w:val="center"/>
          </w:tcPr>
          <w:p>
            <w:pPr>
              <w:rPr>
                <w:sz w:val="18"/>
                <w:szCs w:val="18"/>
              </w:rPr>
            </w:pPr>
          </w:p>
        </w:tc>
        <w:tc>
          <w:tcPr>
            <w:tcW w:w="813" w:type="dxa"/>
            <w:shd w:val="clear" w:color="auto" w:fill="auto"/>
            <w:vAlign w:val="center"/>
          </w:tcPr>
          <w:p>
            <w:pPr>
              <w:jc w:val="center"/>
              <w:textAlignment w:val="baseline"/>
              <w:rPr>
                <w:sz w:val="18"/>
                <w:szCs w:val="18"/>
              </w:rPr>
            </w:pPr>
            <w:r>
              <w:rPr>
                <w:sz w:val="18"/>
                <w:szCs w:val="18"/>
              </w:rPr>
              <w:t>柱状样点数</w:t>
            </w:r>
          </w:p>
        </w:tc>
        <w:tc>
          <w:tcPr>
            <w:tcW w:w="709" w:type="dxa"/>
            <w:shd w:val="clear" w:color="auto" w:fill="auto"/>
            <w:vAlign w:val="center"/>
          </w:tcPr>
          <w:p>
            <w:pPr>
              <w:jc w:val="center"/>
              <w:textAlignment w:val="baseline"/>
              <w:rPr>
                <w:sz w:val="18"/>
                <w:szCs w:val="18"/>
              </w:rPr>
            </w:pPr>
            <w:r>
              <w:rPr>
                <w:sz w:val="18"/>
                <w:szCs w:val="18"/>
              </w:rPr>
              <w:t>3</w:t>
            </w:r>
          </w:p>
        </w:tc>
        <w:tc>
          <w:tcPr>
            <w:tcW w:w="1759" w:type="dxa"/>
            <w:shd w:val="clear" w:color="auto" w:fill="auto"/>
            <w:vAlign w:val="center"/>
          </w:tcPr>
          <w:p>
            <w:pPr>
              <w:jc w:val="center"/>
              <w:textAlignment w:val="baseline"/>
              <w:rPr>
                <w:sz w:val="18"/>
                <w:szCs w:val="18"/>
              </w:rPr>
            </w:pPr>
            <w:r>
              <w:rPr>
                <w:sz w:val="18"/>
                <w:szCs w:val="18"/>
              </w:rPr>
              <w:t>0</w:t>
            </w:r>
          </w:p>
        </w:tc>
        <w:tc>
          <w:tcPr>
            <w:tcW w:w="1218" w:type="dxa"/>
            <w:shd w:val="clear" w:color="auto" w:fill="auto"/>
            <w:vAlign w:val="center"/>
          </w:tcPr>
          <w:p>
            <w:pPr>
              <w:jc w:val="center"/>
              <w:textAlignment w:val="baseline"/>
              <w:rPr>
                <w:sz w:val="18"/>
                <w:szCs w:val="18"/>
              </w:rPr>
            </w:pPr>
            <w:r>
              <w:rPr>
                <w:sz w:val="18"/>
                <w:szCs w:val="18"/>
              </w:rPr>
              <w:t>0-50cm、50-150cm、150-300cm</w:t>
            </w:r>
          </w:p>
        </w:tc>
        <w:tc>
          <w:tcPr>
            <w:tcW w:w="1059" w:type="dxa"/>
            <w:vMerge w:val="continue"/>
            <w:shd w:val="clear" w:color="auto" w:fill="auto"/>
            <w:vAlign w:val="center"/>
          </w:tcPr>
          <w:p>
            <w:pPr>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现状监测因子</w:t>
            </w:r>
          </w:p>
        </w:tc>
        <w:tc>
          <w:tcPr>
            <w:tcW w:w="4499" w:type="dxa"/>
            <w:gridSpan w:val="4"/>
            <w:shd w:val="clear" w:color="auto" w:fill="auto"/>
            <w:vAlign w:val="center"/>
          </w:tcPr>
          <w:p>
            <w:pPr>
              <w:textAlignment w:val="baseline"/>
              <w:rPr>
                <w:sz w:val="18"/>
                <w:szCs w:val="18"/>
              </w:rPr>
            </w:pPr>
            <w:r>
              <w:rPr>
                <w:rFonts w:hint="eastAsia"/>
                <w:sz w:val="18"/>
                <w:szCs w:val="18"/>
              </w:rPr>
              <w:t>建设用地：铜、镍、砷、汞、镉、铅、六价铬、四氯化碳、氯仿、氯甲烷、1，1-二氯乙烷、1，2-二氯乙烷、1，1-二氯乙烯、顺式-1，2-二氯乙烯、反式-1，2-二氯乙烯、二氯甲烷、1，2-二氯丙烷、1，1，1，2-四氯乙烷、1，1，2，2-四氯乙烷、四氯乙烯、1，1，1-三氯乙烷、1，1，2-三氯乙烷、三氯乙烯、1，2，3-三氯丙烷、氯乙烯、苯、氯苯、1，2-二氯苯、1，4-二氯苯、乙苯、苯乙烯、甲苯、间，对-二甲苯、邻二甲苯、苯胺类、硝基苯、2-氯酚、苯并[a]蒽、苯并[a]芘、苯并[b]荧蒽、苯并</w:t>
            </w:r>
            <w:r>
              <w:rPr>
                <w:sz w:val="18"/>
                <w:szCs w:val="18"/>
              </w:rPr>
              <w:t>[k]</w:t>
            </w:r>
            <w:r>
              <w:rPr>
                <w:rFonts w:hint="eastAsia"/>
                <w:sz w:val="18"/>
                <w:szCs w:val="18"/>
              </w:rPr>
              <w:t>荧蒽、䓛、二苯并</w:t>
            </w:r>
            <w:r>
              <w:rPr>
                <w:sz w:val="18"/>
                <w:szCs w:val="18"/>
              </w:rPr>
              <w:t>[a</w:t>
            </w:r>
            <w:r>
              <w:rPr>
                <w:rFonts w:hint="eastAsia"/>
                <w:sz w:val="18"/>
                <w:szCs w:val="18"/>
              </w:rPr>
              <w:t>、</w:t>
            </w:r>
            <w:r>
              <w:rPr>
                <w:sz w:val="18"/>
                <w:szCs w:val="18"/>
              </w:rPr>
              <w:t>h]</w:t>
            </w:r>
            <w:r>
              <w:rPr>
                <w:rFonts w:hint="eastAsia"/>
                <w:sz w:val="18"/>
                <w:szCs w:val="18"/>
              </w:rPr>
              <w:t>蒽、茚并</w:t>
            </w:r>
            <w:r>
              <w:rPr>
                <w:sz w:val="18"/>
                <w:szCs w:val="18"/>
              </w:rPr>
              <w:t>[1</w:t>
            </w:r>
            <w:r>
              <w:rPr>
                <w:rFonts w:hint="eastAsia"/>
                <w:sz w:val="18"/>
                <w:szCs w:val="18"/>
              </w:rPr>
              <w:t>，</w:t>
            </w:r>
            <w:r>
              <w:rPr>
                <w:sz w:val="18"/>
                <w:szCs w:val="18"/>
              </w:rPr>
              <w:t>2</w:t>
            </w:r>
            <w:r>
              <w:rPr>
                <w:rFonts w:hint="eastAsia"/>
                <w:sz w:val="18"/>
                <w:szCs w:val="18"/>
              </w:rPr>
              <w:t>，</w:t>
            </w:r>
            <w:r>
              <w:rPr>
                <w:sz w:val="18"/>
                <w:szCs w:val="18"/>
              </w:rPr>
              <w:t>3-cd]</w:t>
            </w:r>
            <w:r>
              <w:rPr>
                <w:rFonts w:hint="eastAsia"/>
                <w:sz w:val="18"/>
                <w:szCs w:val="18"/>
              </w:rPr>
              <w:t>芘、萘</w:t>
            </w:r>
          </w:p>
          <w:p>
            <w:pPr>
              <w:textAlignment w:val="baseline"/>
              <w:rPr>
                <w:sz w:val="18"/>
                <w:szCs w:val="18"/>
              </w:rPr>
            </w:pPr>
            <w:r>
              <w:rPr>
                <w:rFonts w:hint="eastAsia"/>
                <w:sz w:val="18"/>
                <w:szCs w:val="18"/>
              </w:rPr>
              <w:t>农用地：pH、镉、汞、砷、铅、铬、铜、镍、锌</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restart"/>
            <w:shd w:val="clear" w:color="auto" w:fill="auto"/>
            <w:vAlign w:val="center"/>
          </w:tcPr>
          <w:p>
            <w:pPr>
              <w:textAlignment w:val="baseline"/>
              <w:rPr>
                <w:sz w:val="18"/>
                <w:szCs w:val="18"/>
              </w:rPr>
            </w:pPr>
            <w:r>
              <w:rPr>
                <w:sz w:val="18"/>
                <w:szCs w:val="18"/>
              </w:rPr>
              <w:t>现状评价</w:t>
            </w:r>
          </w:p>
        </w:tc>
        <w:tc>
          <w:tcPr>
            <w:tcW w:w="1417" w:type="dxa"/>
            <w:shd w:val="clear" w:color="auto" w:fill="auto"/>
            <w:vAlign w:val="center"/>
          </w:tcPr>
          <w:p>
            <w:pPr>
              <w:jc w:val="center"/>
              <w:textAlignment w:val="baseline"/>
              <w:rPr>
                <w:sz w:val="18"/>
                <w:szCs w:val="18"/>
              </w:rPr>
            </w:pPr>
            <w:r>
              <w:rPr>
                <w:sz w:val="18"/>
                <w:szCs w:val="18"/>
              </w:rPr>
              <w:t>评价因子</w:t>
            </w:r>
          </w:p>
        </w:tc>
        <w:tc>
          <w:tcPr>
            <w:tcW w:w="4499" w:type="dxa"/>
            <w:gridSpan w:val="4"/>
            <w:shd w:val="clear" w:color="auto" w:fill="auto"/>
            <w:vAlign w:val="center"/>
          </w:tcPr>
          <w:p>
            <w:pPr>
              <w:textAlignment w:val="baseline"/>
              <w:rPr>
                <w:sz w:val="18"/>
                <w:szCs w:val="18"/>
              </w:rPr>
            </w:pPr>
            <w:r>
              <w:rPr>
                <w:rFonts w:hint="eastAsia"/>
                <w:sz w:val="18"/>
                <w:szCs w:val="18"/>
              </w:rPr>
              <w:t>建设用地：铜、镍、砷、汞、镉、铅、六价铬、四氯化碳、氯仿、氯甲烷、1，1-二氯乙烷、1，2-二氯乙烷、1，1-二氯乙烯、顺式-1，2-二氯乙烯、反式-1，2-二氯乙烯、二氯甲烷、1，2-二氯丙烷、1，1，1，2-四氯乙烷、1，1，2，2-四氯乙烷、四氯乙烯、1，1，1-三氯乙烷、1，1，2-三氯乙烷、三氯乙烯、1，2，3-三氯丙烷、氯乙烯、苯、氯苯、1，2-二氯苯、1，4-二氯苯、乙苯、苯乙烯、甲苯、间，对-二甲苯、邻二甲苯、苯胺类、硝基苯、2-氯酚、苯并[a]蒽、苯并[a]芘、苯并[b]荧蒽、苯并</w:t>
            </w:r>
            <w:r>
              <w:rPr>
                <w:sz w:val="18"/>
                <w:szCs w:val="18"/>
              </w:rPr>
              <w:t>[k]</w:t>
            </w:r>
            <w:r>
              <w:rPr>
                <w:rFonts w:hint="eastAsia"/>
                <w:sz w:val="18"/>
                <w:szCs w:val="18"/>
              </w:rPr>
              <w:t>荧蒽、䓛、二苯并</w:t>
            </w:r>
            <w:r>
              <w:rPr>
                <w:sz w:val="18"/>
                <w:szCs w:val="18"/>
              </w:rPr>
              <w:t>[a</w:t>
            </w:r>
            <w:r>
              <w:rPr>
                <w:rFonts w:hint="eastAsia"/>
                <w:sz w:val="18"/>
                <w:szCs w:val="18"/>
              </w:rPr>
              <w:t>、</w:t>
            </w:r>
            <w:r>
              <w:rPr>
                <w:sz w:val="18"/>
                <w:szCs w:val="18"/>
              </w:rPr>
              <w:t>h]</w:t>
            </w:r>
            <w:r>
              <w:rPr>
                <w:rFonts w:hint="eastAsia"/>
                <w:sz w:val="18"/>
                <w:szCs w:val="18"/>
              </w:rPr>
              <w:t>蒽、茚并</w:t>
            </w:r>
            <w:r>
              <w:rPr>
                <w:sz w:val="18"/>
                <w:szCs w:val="18"/>
              </w:rPr>
              <w:t>[1</w:t>
            </w:r>
            <w:r>
              <w:rPr>
                <w:rFonts w:hint="eastAsia"/>
                <w:sz w:val="18"/>
                <w:szCs w:val="18"/>
              </w:rPr>
              <w:t>，</w:t>
            </w:r>
            <w:r>
              <w:rPr>
                <w:sz w:val="18"/>
                <w:szCs w:val="18"/>
              </w:rPr>
              <w:t>2</w:t>
            </w:r>
            <w:r>
              <w:rPr>
                <w:rFonts w:hint="eastAsia"/>
                <w:sz w:val="18"/>
                <w:szCs w:val="18"/>
              </w:rPr>
              <w:t>，</w:t>
            </w:r>
            <w:r>
              <w:rPr>
                <w:sz w:val="18"/>
                <w:szCs w:val="18"/>
              </w:rPr>
              <w:t>3-cd]</w:t>
            </w:r>
            <w:r>
              <w:rPr>
                <w:rFonts w:hint="eastAsia"/>
                <w:sz w:val="18"/>
                <w:szCs w:val="18"/>
              </w:rPr>
              <w:t>芘、萘</w:t>
            </w:r>
          </w:p>
          <w:p>
            <w:pPr>
              <w:textAlignment w:val="baseline"/>
              <w:rPr>
                <w:sz w:val="18"/>
                <w:szCs w:val="18"/>
              </w:rPr>
            </w:pPr>
            <w:r>
              <w:rPr>
                <w:rFonts w:hint="eastAsia"/>
                <w:sz w:val="18"/>
                <w:szCs w:val="18"/>
              </w:rPr>
              <w:t>农用地：pH、镉、汞、砷、铅、铬、铜、镍、锌</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评价标准</w:t>
            </w:r>
          </w:p>
        </w:tc>
        <w:tc>
          <w:tcPr>
            <w:tcW w:w="4499" w:type="dxa"/>
            <w:gridSpan w:val="4"/>
            <w:shd w:val="clear" w:color="auto" w:fill="auto"/>
            <w:vAlign w:val="center"/>
          </w:tcPr>
          <w:p>
            <w:pPr>
              <w:jc w:val="center"/>
              <w:textAlignment w:val="baseline"/>
              <w:rPr>
                <w:sz w:val="18"/>
                <w:szCs w:val="18"/>
              </w:rPr>
            </w:pPr>
            <w:r>
              <w:rPr>
                <w:sz w:val="18"/>
                <w:szCs w:val="18"/>
              </w:rPr>
              <w:t>GB 15618</w:t>
            </w:r>
            <w:r>
              <w:rPr>
                <w:sz w:val="18"/>
                <w:szCs w:val="18"/>
              </w:rPr>
              <w:sym w:font="Wingdings 2" w:char="F052"/>
            </w:r>
            <w:r>
              <w:rPr>
                <w:sz w:val="18"/>
                <w:szCs w:val="18"/>
              </w:rPr>
              <w:tab/>
            </w:r>
            <w:r>
              <w:rPr>
                <w:sz w:val="18"/>
                <w:szCs w:val="18"/>
              </w:rPr>
              <w:t xml:space="preserve">GB 36600 </w:t>
            </w:r>
            <w:r>
              <w:rPr>
                <w:sz w:val="18"/>
                <w:szCs w:val="18"/>
              </w:rPr>
              <w:sym w:font="Wingdings 2" w:char="F052"/>
            </w:r>
            <w:r>
              <w:rPr>
                <w:sz w:val="18"/>
                <w:szCs w:val="18"/>
              </w:rPr>
              <w:tab/>
            </w:r>
            <w:r>
              <w:rPr>
                <w:sz w:val="18"/>
                <w:szCs w:val="18"/>
              </w:rPr>
              <w:t>表D.1  表D.2 其他（）</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现状评价结论</w:t>
            </w:r>
          </w:p>
        </w:tc>
        <w:tc>
          <w:tcPr>
            <w:tcW w:w="4499" w:type="dxa"/>
            <w:gridSpan w:val="4"/>
            <w:shd w:val="clear" w:color="auto" w:fill="auto"/>
            <w:vAlign w:val="center"/>
          </w:tcPr>
          <w:p>
            <w:pPr>
              <w:textAlignment w:val="baseline"/>
              <w:rPr>
                <w:sz w:val="18"/>
                <w:szCs w:val="18"/>
              </w:rPr>
            </w:pPr>
            <w:r>
              <w:rPr>
                <w:rFonts w:hint="eastAsia"/>
                <w:sz w:val="18"/>
                <w:szCs w:val="18"/>
              </w:rPr>
              <w:t>建设用地</w:t>
            </w:r>
            <w:r>
              <w:rPr>
                <w:sz w:val="18"/>
                <w:szCs w:val="18"/>
              </w:rPr>
              <w:t>监测因子满足</w:t>
            </w:r>
            <w:r>
              <w:rPr>
                <w:rFonts w:hint="eastAsia"/>
                <w:sz w:val="18"/>
                <w:szCs w:val="18"/>
              </w:rPr>
              <w:t>《土壤环境质量建设用地土壤污染风险管控标准（试行）》（GB36600-2018）》中风险筛选值标准，农用地</w:t>
            </w:r>
            <w:r>
              <w:rPr>
                <w:sz w:val="18"/>
                <w:szCs w:val="18"/>
              </w:rPr>
              <w:t>监测因子满足</w:t>
            </w:r>
            <w:r>
              <w:rPr>
                <w:rFonts w:hint="eastAsia"/>
                <w:sz w:val="18"/>
                <w:szCs w:val="18"/>
              </w:rPr>
              <w:t>《土壤环境质量 农用地土壤污染风险管控标准（试行）》（GB15618-2018）中的风险筛选值标准</w:t>
            </w:r>
            <w:r>
              <w:rPr>
                <w:sz w:val="18"/>
                <w:szCs w:val="18"/>
              </w:rPr>
              <w:t>；</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restart"/>
            <w:shd w:val="clear" w:color="auto" w:fill="auto"/>
            <w:vAlign w:val="center"/>
          </w:tcPr>
          <w:p>
            <w:pPr>
              <w:textAlignment w:val="baseline"/>
              <w:rPr>
                <w:sz w:val="18"/>
                <w:szCs w:val="18"/>
              </w:rPr>
            </w:pPr>
            <w:r>
              <w:rPr>
                <w:sz w:val="18"/>
                <w:szCs w:val="18"/>
              </w:rPr>
              <w:t>影响预测</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textAlignment w:val="baseline"/>
              <w:rPr>
                <w:sz w:val="18"/>
                <w:szCs w:val="18"/>
              </w:rPr>
            </w:pPr>
            <w:r>
              <w:rPr>
                <w:sz w:val="18"/>
                <w:szCs w:val="18"/>
              </w:rPr>
              <w:t>预测因子</w:t>
            </w:r>
          </w:p>
        </w:tc>
        <w:tc>
          <w:tcPr>
            <w:tcW w:w="4499"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baseline"/>
              <w:rPr>
                <w:sz w:val="18"/>
                <w:szCs w:val="18"/>
              </w:rPr>
            </w:pPr>
            <w:r>
              <w:rPr>
                <w:rFonts w:hint="eastAsia"/>
                <w:sz w:val="18"/>
                <w:szCs w:val="18"/>
              </w:rPr>
              <w:t>总砷</w:t>
            </w:r>
          </w:p>
        </w:tc>
        <w:tc>
          <w:tcPr>
            <w:tcW w:w="1059" w:type="dxa"/>
            <w:tcBorders>
              <w:top w:val="single" w:color="auto" w:sz="4" w:space="0"/>
              <w:left w:val="single" w:color="auto" w:sz="4" w:space="0"/>
              <w:bottom w:val="single" w:color="auto" w:sz="4" w:space="0"/>
              <w:right w:val="single" w:color="auto" w:sz="12" w:space="0"/>
            </w:tcBorders>
            <w:shd w:val="clear" w:color="auto" w:fill="auto"/>
            <w:vAlign w:val="center"/>
          </w:tcPr>
          <w:p>
            <w:pP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textAlignment w:val="baseline"/>
              <w:rPr>
                <w:sz w:val="18"/>
                <w:szCs w:val="18"/>
              </w:rPr>
            </w:pPr>
            <w:r>
              <w:rPr>
                <w:sz w:val="18"/>
                <w:szCs w:val="18"/>
              </w:rPr>
              <w:t>预测方法</w:t>
            </w:r>
          </w:p>
        </w:tc>
        <w:tc>
          <w:tcPr>
            <w:tcW w:w="4499"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972"/>
              <w:jc w:val="center"/>
              <w:rPr>
                <w:color w:val="auto"/>
                <w:sz w:val="18"/>
                <w:szCs w:val="18"/>
              </w:rPr>
            </w:pPr>
            <w:r>
              <w:rPr>
                <w:rFonts w:hint="eastAsia"/>
                <w:color w:val="auto"/>
                <w:sz w:val="18"/>
                <w:szCs w:val="18"/>
              </w:rPr>
              <w:t>附录</w:t>
            </w:r>
            <w:r>
              <w:rPr>
                <w:rFonts w:ascii="Times New Roman" w:cs="Times New Roman"/>
                <w:color w:val="auto"/>
                <w:sz w:val="18"/>
                <w:szCs w:val="18"/>
              </w:rPr>
              <w:t>E</w:t>
            </w:r>
            <w:r>
              <w:rPr>
                <w:color w:val="auto"/>
                <w:sz w:val="18"/>
                <w:szCs w:val="18"/>
              </w:rPr>
              <w:sym w:font="Wingdings 2" w:char="F052"/>
            </w:r>
            <w:r>
              <w:rPr>
                <w:rFonts w:hint="eastAsia"/>
                <w:color w:val="auto"/>
                <w:sz w:val="18"/>
                <w:szCs w:val="18"/>
              </w:rPr>
              <w:t>；附录</w:t>
            </w:r>
            <w:r>
              <w:rPr>
                <w:rFonts w:ascii="Times New Roman" w:cs="Times New Roman"/>
                <w:color w:val="auto"/>
                <w:sz w:val="18"/>
                <w:szCs w:val="18"/>
              </w:rPr>
              <w:t>F□</w:t>
            </w:r>
            <w:r>
              <w:rPr>
                <w:rFonts w:hint="eastAsia"/>
                <w:color w:val="auto"/>
                <w:sz w:val="18"/>
                <w:szCs w:val="18"/>
              </w:rPr>
              <w:t>；其他（</w:t>
            </w:r>
            <w:r>
              <w:rPr>
                <w:color w:val="auto"/>
                <w:sz w:val="18"/>
                <w:szCs w:val="18"/>
              </w:rPr>
              <w:t xml:space="preserve"> </w:t>
            </w:r>
            <w:r>
              <w:rPr>
                <w:rFonts w:hint="eastAsia"/>
                <w:color w:val="auto"/>
                <w:sz w:val="18"/>
                <w:szCs w:val="18"/>
              </w:rPr>
              <w:t>）</w:t>
            </w:r>
            <w:r>
              <w:rPr>
                <w:color w:val="auto"/>
                <w:sz w:val="18"/>
                <w:szCs w:val="18"/>
              </w:rPr>
              <w:t xml:space="preserve"> </w:t>
            </w:r>
          </w:p>
        </w:tc>
        <w:tc>
          <w:tcPr>
            <w:tcW w:w="1059" w:type="dxa"/>
            <w:tcBorders>
              <w:top w:val="single" w:color="auto" w:sz="4" w:space="0"/>
              <w:left w:val="single" w:color="auto" w:sz="4" w:space="0"/>
              <w:bottom w:val="single" w:color="auto" w:sz="4" w:space="0"/>
              <w:right w:val="single" w:color="auto" w:sz="12" w:space="0"/>
            </w:tcBorders>
            <w:shd w:val="clear" w:color="auto" w:fill="auto"/>
            <w:vAlign w:val="center"/>
          </w:tcPr>
          <w:p>
            <w:pP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textAlignment w:val="baseline"/>
              <w:rPr>
                <w:sz w:val="18"/>
                <w:szCs w:val="18"/>
              </w:rPr>
            </w:pPr>
            <w:r>
              <w:rPr>
                <w:sz w:val="18"/>
                <w:szCs w:val="18"/>
              </w:rPr>
              <w:t>预测分析内容</w:t>
            </w:r>
          </w:p>
        </w:tc>
        <w:tc>
          <w:tcPr>
            <w:tcW w:w="4499"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jc w:val="left"/>
              <w:textAlignment w:val="baseline"/>
              <w:rPr>
                <w:sz w:val="18"/>
                <w:szCs w:val="18"/>
              </w:rPr>
            </w:pPr>
            <w:r>
              <w:rPr>
                <w:rFonts w:hint="eastAsia"/>
                <w:sz w:val="18"/>
                <w:szCs w:val="18"/>
              </w:rPr>
              <w:t>影响范围（）</w:t>
            </w:r>
          </w:p>
          <w:p>
            <w:pPr>
              <w:jc w:val="left"/>
              <w:textAlignment w:val="baseline"/>
              <w:rPr>
                <w:sz w:val="18"/>
                <w:szCs w:val="18"/>
              </w:rPr>
            </w:pPr>
            <w:r>
              <w:rPr>
                <w:rFonts w:hint="eastAsia"/>
                <w:sz w:val="18"/>
                <w:szCs w:val="18"/>
              </w:rPr>
              <w:t>影响程度（）</w:t>
            </w:r>
          </w:p>
        </w:tc>
        <w:tc>
          <w:tcPr>
            <w:tcW w:w="1059" w:type="dxa"/>
            <w:tcBorders>
              <w:top w:val="single" w:color="auto" w:sz="4" w:space="0"/>
              <w:left w:val="single" w:color="auto" w:sz="4" w:space="0"/>
              <w:bottom w:val="single" w:color="auto" w:sz="4" w:space="0"/>
              <w:right w:val="single" w:color="auto" w:sz="12" w:space="0"/>
            </w:tcBorders>
            <w:shd w:val="clear" w:color="auto" w:fill="auto"/>
            <w:vAlign w:val="center"/>
          </w:tcPr>
          <w:p>
            <w:pP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textAlignment w:val="baseline"/>
              <w:rPr>
                <w:sz w:val="18"/>
                <w:szCs w:val="18"/>
              </w:rPr>
            </w:pPr>
            <w:r>
              <w:rPr>
                <w:sz w:val="18"/>
                <w:szCs w:val="18"/>
              </w:rPr>
              <w:t>预测结论</w:t>
            </w:r>
          </w:p>
        </w:tc>
        <w:tc>
          <w:tcPr>
            <w:tcW w:w="4499"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972"/>
              <w:rPr>
                <w:rFonts w:ascii="Times New Roman" w:cs="Times New Roman"/>
                <w:color w:val="auto"/>
                <w:sz w:val="18"/>
                <w:szCs w:val="18"/>
              </w:rPr>
            </w:pPr>
            <w:r>
              <w:rPr>
                <w:rFonts w:hint="eastAsia"/>
                <w:color w:val="auto"/>
                <w:sz w:val="18"/>
                <w:szCs w:val="18"/>
              </w:rPr>
              <w:t>达标结论：</w:t>
            </w:r>
            <w:r>
              <w:rPr>
                <w:rFonts w:ascii="Times New Roman" w:cs="Times New Roman"/>
                <w:color w:val="auto"/>
                <w:sz w:val="18"/>
                <w:szCs w:val="18"/>
              </w:rPr>
              <w:t>a</w:t>
            </w:r>
            <w:r>
              <w:rPr>
                <w:rFonts w:hint="eastAsia"/>
                <w:color w:val="auto"/>
                <w:sz w:val="18"/>
                <w:szCs w:val="18"/>
              </w:rPr>
              <w:t>）</w:t>
            </w:r>
            <w:r>
              <w:rPr>
                <w:rFonts w:ascii="Times New Roman" w:cs="Times New Roman"/>
                <w:color w:val="auto"/>
                <w:sz w:val="18"/>
                <w:szCs w:val="18"/>
              </w:rPr>
              <w:t>□</w:t>
            </w:r>
            <w:r>
              <w:rPr>
                <w:rFonts w:hint="eastAsia"/>
                <w:color w:val="auto"/>
                <w:sz w:val="18"/>
                <w:szCs w:val="18"/>
              </w:rPr>
              <w:t>；</w:t>
            </w:r>
            <w:r>
              <w:rPr>
                <w:rFonts w:ascii="Times New Roman" w:cs="Times New Roman"/>
                <w:color w:val="auto"/>
                <w:sz w:val="18"/>
                <w:szCs w:val="18"/>
              </w:rPr>
              <w:t>b</w:t>
            </w:r>
            <w:r>
              <w:rPr>
                <w:rFonts w:hint="eastAsia"/>
                <w:color w:val="auto"/>
                <w:sz w:val="18"/>
                <w:szCs w:val="18"/>
              </w:rPr>
              <w:t>）</w:t>
            </w:r>
            <w:r>
              <w:rPr>
                <w:rFonts w:ascii="Times New Roman" w:cs="Times New Roman"/>
                <w:color w:val="auto"/>
                <w:sz w:val="18"/>
                <w:szCs w:val="18"/>
              </w:rPr>
              <w:t>□</w:t>
            </w:r>
            <w:r>
              <w:rPr>
                <w:rFonts w:hint="eastAsia"/>
                <w:color w:val="auto"/>
                <w:sz w:val="18"/>
                <w:szCs w:val="18"/>
              </w:rPr>
              <w:t>；</w:t>
            </w:r>
            <w:r>
              <w:rPr>
                <w:rFonts w:ascii="Times New Roman" w:cs="Times New Roman"/>
                <w:color w:val="auto"/>
                <w:sz w:val="18"/>
                <w:szCs w:val="18"/>
              </w:rPr>
              <w:t>c</w:t>
            </w:r>
            <w:r>
              <w:rPr>
                <w:rFonts w:hint="eastAsia"/>
                <w:color w:val="auto"/>
                <w:sz w:val="18"/>
                <w:szCs w:val="18"/>
              </w:rPr>
              <w:t>）</w:t>
            </w:r>
            <w:r>
              <w:rPr>
                <w:color w:val="auto"/>
                <w:sz w:val="18"/>
                <w:szCs w:val="18"/>
              </w:rPr>
              <w:sym w:font="Wingdings 2" w:char="F052"/>
            </w:r>
            <w:r>
              <w:rPr>
                <w:rFonts w:ascii="Times New Roman" w:cs="Times New Roman"/>
                <w:color w:val="auto"/>
                <w:sz w:val="18"/>
                <w:szCs w:val="18"/>
              </w:rPr>
              <w:t xml:space="preserve"> </w:t>
            </w:r>
          </w:p>
          <w:p>
            <w:pPr>
              <w:jc w:val="left"/>
              <w:textAlignment w:val="baseline"/>
              <w:rPr>
                <w:sz w:val="18"/>
                <w:szCs w:val="18"/>
              </w:rPr>
            </w:pPr>
            <w:r>
              <w:rPr>
                <w:rFonts w:hint="eastAsia"/>
                <w:sz w:val="18"/>
                <w:szCs w:val="18"/>
              </w:rPr>
              <w:t>不达标结论：</w:t>
            </w:r>
            <w:r>
              <w:rPr>
                <w:sz w:val="18"/>
                <w:szCs w:val="18"/>
              </w:rPr>
              <w:t>a</w:t>
            </w:r>
            <w:r>
              <w:rPr>
                <w:rFonts w:hint="eastAsia"/>
                <w:sz w:val="18"/>
                <w:szCs w:val="18"/>
              </w:rPr>
              <w:t>）</w:t>
            </w:r>
            <w:r>
              <w:rPr>
                <w:sz w:val="18"/>
                <w:szCs w:val="18"/>
              </w:rPr>
              <w:t>□</w:t>
            </w:r>
            <w:r>
              <w:rPr>
                <w:rFonts w:hint="eastAsia"/>
                <w:sz w:val="18"/>
                <w:szCs w:val="18"/>
              </w:rPr>
              <w:t>；</w:t>
            </w:r>
            <w:r>
              <w:rPr>
                <w:sz w:val="18"/>
                <w:szCs w:val="18"/>
              </w:rPr>
              <w:t>b</w:t>
            </w:r>
            <w:r>
              <w:rPr>
                <w:rFonts w:hint="eastAsia"/>
                <w:sz w:val="18"/>
                <w:szCs w:val="18"/>
              </w:rPr>
              <w:t>）</w:t>
            </w:r>
            <w:r>
              <w:rPr>
                <w:sz w:val="18"/>
                <w:szCs w:val="18"/>
              </w:rPr>
              <w:t xml:space="preserve">□ </w:t>
            </w:r>
          </w:p>
        </w:tc>
        <w:tc>
          <w:tcPr>
            <w:tcW w:w="1059" w:type="dxa"/>
            <w:tcBorders>
              <w:top w:val="single" w:color="auto" w:sz="4" w:space="0"/>
              <w:left w:val="single" w:color="auto" w:sz="4" w:space="0"/>
              <w:bottom w:val="single" w:color="auto" w:sz="4" w:space="0"/>
              <w:right w:val="single" w:color="auto" w:sz="12" w:space="0"/>
            </w:tcBorders>
            <w:shd w:val="clear" w:color="auto" w:fill="auto"/>
            <w:vAlign w:val="center"/>
          </w:tcPr>
          <w:p>
            <w:pP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shd w:val="clear" w:color="auto" w:fill="auto"/>
            <w:vAlign w:val="center"/>
          </w:tcPr>
          <w:p>
            <w:pPr>
              <w:textAlignment w:val="baseline"/>
              <w:rPr>
                <w:sz w:val="18"/>
                <w:szCs w:val="18"/>
              </w:rPr>
            </w:pPr>
            <w:r>
              <w:rPr>
                <w:sz w:val="18"/>
                <w:szCs w:val="18"/>
              </w:rPr>
              <w:t>防治措施</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jc w:val="left"/>
              <w:textAlignment w:val="baseline"/>
              <w:rPr>
                <w:sz w:val="18"/>
                <w:szCs w:val="18"/>
              </w:rPr>
            </w:pPr>
            <w:r>
              <w:rPr>
                <w:sz w:val="18"/>
                <w:szCs w:val="18"/>
              </w:rPr>
              <w:t>防控措施</w:t>
            </w:r>
          </w:p>
        </w:tc>
        <w:tc>
          <w:tcPr>
            <w:tcW w:w="4499"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pStyle w:val="972"/>
              <w:jc w:val="center"/>
              <w:rPr>
                <w:color w:val="auto"/>
                <w:sz w:val="18"/>
                <w:szCs w:val="18"/>
              </w:rPr>
            </w:pPr>
            <w:r>
              <w:rPr>
                <w:rFonts w:hint="eastAsia"/>
                <w:color w:val="auto"/>
                <w:sz w:val="18"/>
                <w:szCs w:val="18"/>
              </w:rPr>
              <w:t>土壤环境质量现状保障</w:t>
            </w:r>
            <w:r>
              <w:rPr>
                <w:rFonts w:ascii="Times New Roman" w:cs="Times New Roman"/>
                <w:color w:val="auto"/>
                <w:sz w:val="18"/>
                <w:szCs w:val="18"/>
              </w:rPr>
              <w:t>□</w:t>
            </w:r>
            <w:r>
              <w:rPr>
                <w:rFonts w:hint="eastAsia"/>
                <w:color w:val="auto"/>
                <w:sz w:val="18"/>
                <w:szCs w:val="18"/>
              </w:rPr>
              <w:t>；源头控制</w:t>
            </w:r>
            <w:r>
              <w:rPr>
                <w:color w:val="auto"/>
                <w:sz w:val="18"/>
                <w:szCs w:val="18"/>
              </w:rPr>
              <w:sym w:font="Wingdings 2" w:char="F052"/>
            </w:r>
            <w:r>
              <w:rPr>
                <w:rFonts w:hint="eastAsia"/>
                <w:color w:val="auto"/>
                <w:sz w:val="18"/>
                <w:szCs w:val="18"/>
              </w:rPr>
              <w:t>；过程防控</w:t>
            </w:r>
            <w:r>
              <w:rPr>
                <w:color w:val="auto"/>
                <w:sz w:val="18"/>
                <w:szCs w:val="18"/>
              </w:rPr>
              <w:sym w:font="Wingdings 2" w:char="F052"/>
            </w:r>
            <w:r>
              <w:rPr>
                <w:rFonts w:hint="eastAsia"/>
                <w:color w:val="auto"/>
                <w:sz w:val="18"/>
                <w:szCs w:val="18"/>
              </w:rPr>
              <w:t>；其他（）</w:t>
            </w:r>
            <w:r>
              <w:rPr>
                <w:color w:val="auto"/>
                <w:sz w:val="18"/>
                <w:szCs w:val="18"/>
              </w:rPr>
              <w:t xml:space="preserve"> </w:t>
            </w:r>
          </w:p>
        </w:tc>
        <w:tc>
          <w:tcPr>
            <w:tcW w:w="1059" w:type="dxa"/>
            <w:tcBorders>
              <w:top w:val="single" w:color="auto" w:sz="4" w:space="0"/>
              <w:left w:val="single" w:color="auto" w:sz="4" w:space="0"/>
              <w:bottom w:val="single" w:color="auto" w:sz="4" w:space="0"/>
              <w:right w:val="single" w:color="auto" w:sz="12" w:space="0"/>
            </w:tcBorders>
            <w:shd w:val="clear" w:color="auto" w:fill="auto"/>
            <w:vAlign w:val="center"/>
          </w:tcPr>
          <w:p>
            <w:pP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restart"/>
            <w:shd w:val="clear" w:color="auto" w:fill="auto"/>
            <w:vAlign w:val="center"/>
          </w:tcPr>
          <w:p>
            <w:pPr>
              <w:rPr>
                <w:sz w:val="18"/>
                <w:szCs w:val="18"/>
              </w:rPr>
            </w:pPr>
          </w:p>
        </w:tc>
        <w:tc>
          <w:tcPr>
            <w:tcW w:w="1417" w:type="dxa"/>
            <w:vMerge w:val="restart"/>
            <w:shd w:val="clear" w:color="auto" w:fill="auto"/>
            <w:vAlign w:val="center"/>
          </w:tcPr>
          <w:p>
            <w:pPr>
              <w:jc w:val="left"/>
              <w:textAlignment w:val="baseline"/>
              <w:rPr>
                <w:sz w:val="18"/>
                <w:szCs w:val="18"/>
              </w:rPr>
            </w:pPr>
            <w:r>
              <w:rPr>
                <w:sz w:val="18"/>
                <w:szCs w:val="18"/>
              </w:rPr>
              <w:t>跟踪监测</w:t>
            </w:r>
          </w:p>
        </w:tc>
        <w:tc>
          <w:tcPr>
            <w:tcW w:w="1522" w:type="dxa"/>
            <w:gridSpan w:val="2"/>
            <w:shd w:val="clear" w:color="auto" w:fill="auto"/>
            <w:vAlign w:val="center"/>
          </w:tcPr>
          <w:p>
            <w:pPr>
              <w:jc w:val="center"/>
              <w:textAlignment w:val="baseline"/>
              <w:rPr>
                <w:sz w:val="18"/>
                <w:szCs w:val="18"/>
              </w:rPr>
            </w:pPr>
            <w:r>
              <w:rPr>
                <w:sz w:val="18"/>
                <w:szCs w:val="18"/>
              </w:rPr>
              <w:t>监测点数</w:t>
            </w:r>
          </w:p>
        </w:tc>
        <w:tc>
          <w:tcPr>
            <w:tcW w:w="1759" w:type="dxa"/>
            <w:shd w:val="clear" w:color="auto" w:fill="auto"/>
            <w:vAlign w:val="center"/>
          </w:tcPr>
          <w:p>
            <w:pPr>
              <w:jc w:val="center"/>
              <w:textAlignment w:val="baseline"/>
              <w:rPr>
                <w:sz w:val="18"/>
                <w:szCs w:val="18"/>
              </w:rPr>
            </w:pPr>
            <w:r>
              <w:rPr>
                <w:sz w:val="18"/>
                <w:szCs w:val="18"/>
              </w:rPr>
              <w:t>监测指标</w:t>
            </w:r>
          </w:p>
        </w:tc>
        <w:tc>
          <w:tcPr>
            <w:tcW w:w="1218" w:type="dxa"/>
            <w:shd w:val="clear" w:color="auto" w:fill="auto"/>
            <w:vAlign w:val="center"/>
          </w:tcPr>
          <w:p>
            <w:pPr>
              <w:jc w:val="center"/>
              <w:textAlignment w:val="baseline"/>
              <w:rPr>
                <w:sz w:val="18"/>
                <w:szCs w:val="18"/>
              </w:rPr>
            </w:pPr>
            <w:r>
              <w:rPr>
                <w:sz w:val="18"/>
                <w:szCs w:val="18"/>
              </w:rPr>
              <w:t>监测频次</w:t>
            </w:r>
          </w:p>
        </w:tc>
        <w:tc>
          <w:tcPr>
            <w:tcW w:w="1059" w:type="dxa"/>
            <w:vMerge w:val="restart"/>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vMerge w:val="continue"/>
            <w:shd w:val="clear" w:color="auto" w:fill="auto"/>
            <w:vAlign w:val="center"/>
          </w:tcPr>
          <w:p>
            <w:pPr>
              <w:rPr>
                <w:sz w:val="18"/>
                <w:szCs w:val="18"/>
              </w:rPr>
            </w:pPr>
          </w:p>
        </w:tc>
        <w:tc>
          <w:tcPr>
            <w:tcW w:w="1522" w:type="dxa"/>
            <w:gridSpan w:val="2"/>
            <w:shd w:val="clear" w:color="auto" w:fill="auto"/>
            <w:vAlign w:val="center"/>
          </w:tcPr>
          <w:p>
            <w:pPr>
              <w:jc w:val="center"/>
              <w:textAlignment w:val="baseline"/>
              <w:rPr>
                <w:sz w:val="18"/>
                <w:szCs w:val="18"/>
              </w:rPr>
            </w:pPr>
            <w:r>
              <w:rPr>
                <w:sz w:val="18"/>
                <w:szCs w:val="18"/>
              </w:rPr>
              <w:t>3个</w:t>
            </w:r>
          </w:p>
        </w:tc>
        <w:tc>
          <w:tcPr>
            <w:tcW w:w="1759" w:type="dxa"/>
            <w:shd w:val="clear" w:color="auto" w:fill="auto"/>
            <w:vAlign w:val="center"/>
          </w:tcPr>
          <w:p>
            <w:pPr>
              <w:pStyle w:val="972"/>
              <w:kinsoku w:val="0"/>
              <w:overflowPunct w:val="0"/>
              <w:snapToGrid w:val="0"/>
              <w:jc w:val="both"/>
              <w:rPr>
                <w:rFonts w:ascii="Times New Roman" w:cs="Times New Roman"/>
                <w:color w:val="auto"/>
                <w:sz w:val="18"/>
                <w:szCs w:val="18"/>
              </w:rPr>
            </w:pPr>
            <w:r>
              <w:rPr>
                <w:rFonts w:ascii="Times New Roman" w:cs="Times New Roman"/>
                <w:color w:val="auto"/>
                <w:sz w:val="18"/>
                <w:szCs w:val="18"/>
              </w:rPr>
              <w:t xml:space="preserve">pH、砷、镉、六价铬、铜、铅、汞、镍、锌、总铬 </w:t>
            </w:r>
          </w:p>
        </w:tc>
        <w:tc>
          <w:tcPr>
            <w:tcW w:w="1218" w:type="dxa"/>
            <w:shd w:val="clear" w:color="auto" w:fill="auto"/>
            <w:vAlign w:val="center"/>
          </w:tcPr>
          <w:p>
            <w:pPr>
              <w:jc w:val="center"/>
              <w:textAlignment w:val="baseline"/>
              <w:rPr>
                <w:sz w:val="18"/>
                <w:szCs w:val="18"/>
              </w:rPr>
            </w:pPr>
            <w:r>
              <w:rPr>
                <w:sz w:val="18"/>
                <w:szCs w:val="18"/>
              </w:rPr>
              <w:t>5年一次</w:t>
            </w:r>
          </w:p>
        </w:tc>
        <w:tc>
          <w:tcPr>
            <w:tcW w:w="1059" w:type="dxa"/>
            <w:vMerge w:val="continue"/>
            <w:shd w:val="clear" w:color="auto" w:fill="auto"/>
            <w:vAlign w:val="center"/>
          </w:tcPr>
          <w:p>
            <w:pPr>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3" w:type="dxa"/>
            <w:vMerge w:val="continue"/>
            <w:shd w:val="clear" w:color="auto" w:fill="auto"/>
            <w:vAlign w:val="center"/>
          </w:tcPr>
          <w:p>
            <w:pPr>
              <w:rPr>
                <w:sz w:val="18"/>
                <w:szCs w:val="18"/>
              </w:rPr>
            </w:pPr>
          </w:p>
        </w:tc>
        <w:tc>
          <w:tcPr>
            <w:tcW w:w="1417" w:type="dxa"/>
            <w:shd w:val="clear" w:color="auto" w:fill="auto"/>
            <w:vAlign w:val="center"/>
          </w:tcPr>
          <w:p>
            <w:pPr>
              <w:jc w:val="center"/>
              <w:textAlignment w:val="baseline"/>
              <w:rPr>
                <w:sz w:val="18"/>
                <w:szCs w:val="18"/>
              </w:rPr>
            </w:pPr>
            <w:r>
              <w:rPr>
                <w:sz w:val="18"/>
                <w:szCs w:val="18"/>
              </w:rPr>
              <w:t>信息公开指标</w:t>
            </w:r>
          </w:p>
        </w:tc>
        <w:tc>
          <w:tcPr>
            <w:tcW w:w="4499" w:type="dxa"/>
            <w:gridSpan w:val="4"/>
            <w:shd w:val="clear" w:color="auto" w:fill="auto"/>
            <w:vAlign w:val="center"/>
          </w:tcPr>
          <w:p>
            <w:pPr>
              <w:jc w:val="center"/>
              <w:textAlignment w:val="baseline"/>
              <w:rPr>
                <w:sz w:val="18"/>
                <w:szCs w:val="18"/>
              </w:rPr>
            </w:pPr>
            <w:r>
              <w:rPr>
                <w:sz w:val="18"/>
                <w:szCs w:val="18"/>
              </w:rPr>
              <w:t>监测点位信息、监测项目、监测结果</w:t>
            </w:r>
          </w:p>
        </w:tc>
        <w:tc>
          <w:tcPr>
            <w:tcW w:w="1059" w:type="dxa"/>
            <w:vMerge w:val="continue"/>
            <w:shd w:val="clear" w:color="auto" w:fill="auto"/>
            <w:vAlign w:val="center"/>
          </w:tcPr>
          <w:p>
            <w:pPr>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0" w:type="dxa"/>
            <w:gridSpan w:val="2"/>
            <w:shd w:val="clear" w:color="auto" w:fill="auto"/>
            <w:vAlign w:val="center"/>
          </w:tcPr>
          <w:p>
            <w:pPr>
              <w:jc w:val="center"/>
              <w:textAlignment w:val="baseline"/>
              <w:rPr>
                <w:sz w:val="18"/>
                <w:szCs w:val="18"/>
              </w:rPr>
            </w:pPr>
            <w:r>
              <w:rPr>
                <w:sz w:val="18"/>
                <w:szCs w:val="18"/>
              </w:rPr>
              <w:t>评价结论</w:t>
            </w:r>
          </w:p>
        </w:tc>
        <w:tc>
          <w:tcPr>
            <w:tcW w:w="4499" w:type="dxa"/>
            <w:gridSpan w:val="4"/>
            <w:shd w:val="clear" w:color="auto" w:fill="auto"/>
            <w:vAlign w:val="center"/>
          </w:tcPr>
          <w:p>
            <w:pPr>
              <w:jc w:val="center"/>
              <w:textAlignment w:val="baseline"/>
              <w:rPr>
                <w:sz w:val="18"/>
                <w:szCs w:val="18"/>
              </w:rPr>
            </w:pPr>
            <w:r>
              <w:rPr>
                <w:sz w:val="18"/>
                <w:szCs w:val="18"/>
              </w:rPr>
              <w:t>采取环评提出的措施，影响可接受</w:t>
            </w:r>
          </w:p>
        </w:tc>
        <w:tc>
          <w:tcPr>
            <w:tcW w:w="1059" w:type="dxa"/>
            <w:shd w:val="clear" w:color="auto" w:fill="auto"/>
            <w:vAlign w:val="center"/>
          </w:tcPr>
          <w:p>
            <w:pPr>
              <w:jc w:val="center"/>
              <w:textAlignment w:val="baseline"/>
              <w:rPr>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8" w:type="dxa"/>
            <w:gridSpan w:val="7"/>
            <w:shd w:val="clear" w:color="auto" w:fill="auto"/>
            <w:vAlign w:val="center"/>
          </w:tcPr>
          <w:p>
            <w:pPr>
              <w:jc w:val="center"/>
              <w:textAlignment w:val="baseline"/>
              <w:rPr>
                <w:sz w:val="18"/>
                <w:szCs w:val="18"/>
              </w:rPr>
            </w:pPr>
            <w:r>
              <w:rPr>
                <w:sz w:val="18"/>
                <w:szCs w:val="18"/>
              </w:rPr>
              <w:t>注1：“□”为勾选项，可√；“（）”为内容填写项；“备注”为其他补充内容。</w:t>
            </w:r>
          </w:p>
          <w:p>
            <w:pPr>
              <w:jc w:val="center"/>
              <w:textAlignment w:val="baseline"/>
              <w:rPr>
                <w:sz w:val="18"/>
                <w:szCs w:val="18"/>
              </w:rPr>
            </w:pPr>
            <w:r>
              <w:rPr>
                <w:sz w:val="18"/>
                <w:szCs w:val="18"/>
              </w:rPr>
              <w:t>注2：需要分别开展土壤环境影响评级工作的，分别填写自查表。</w:t>
            </w:r>
          </w:p>
        </w:tc>
      </w:tr>
    </w:tbl>
    <w:p>
      <w:pPr>
        <w:spacing w:line="360" w:lineRule="auto"/>
        <w:ind w:firstLine="480" w:firstLineChars="200"/>
        <w:rPr>
          <w:sz w:val="24"/>
        </w:rPr>
      </w:pPr>
    </w:p>
    <w:p>
      <w:pPr>
        <w:pStyle w:val="3"/>
        <w:keepNext w:val="0"/>
        <w:keepLines w:val="0"/>
        <w:adjustRightInd w:val="0"/>
        <w:snapToGrid w:val="0"/>
        <w:spacing w:before="120" w:after="120"/>
        <w:rPr>
          <w:rFonts w:ascii="Times New Roman" w:hAnsi="Times New Roman" w:eastAsia="宋体"/>
        </w:rPr>
      </w:pPr>
      <w:bookmarkStart w:id="448" w:name="_Toc143762356"/>
      <w:bookmarkStart w:id="449" w:name="_Toc489433105"/>
      <w:r>
        <w:rPr>
          <w:rFonts w:ascii="Times New Roman" w:hAnsi="Times New Roman" w:eastAsia="宋体"/>
        </w:rPr>
        <w:t>6.6生态环境影响分析</w:t>
      </w:r>
      <w:bookmarkEnd w:id="448"/>
      <w:bookmarkEnd w:id="449"/>
    </w:p>
    <w:p>
      <w:pPr>
        <w:pStyle w:val="939"/>
        <w:ind w:firstLine="480"/>
      </w:pPr>
      <w:r>
        <w:rPr>
          <w:rFonts w:hint="eastAsia"/>
        </w:rPr>
        <w:t>五原县复兴镇</w:t>
      </w:r>
      <w:r>
        <w:t>生活垃圾填埋场工程总占地面积64858m</w:t>
      </w:r>
      <w:r>
        <w:rPr>
          <w:vertAlign w:val="superscript"/>
        </w:rPr>
        <w:t>2</w:t>
      </w:r>
      <w:r>
        <w:t>，均为永久性占地</w:t>
      </w:r>
      <w:r>
        <w:rPr>
          <w:rFonts w:hint="eastAsia"/>
        </w:rPr>
        <w:t>。由于项目已建成，本次影响评价</w:t>
      </w:r>
      <w:r>
        <w:t>通过对历史卫星影像遥感解译</w:t>
      </w:r>
      <w:r>
        <w:rPr>
          <w:rFonts w:hint="eastAsia"/>
        </w:rPr>
        <w:t>，分析项目建设对区域生态环境的影响。解译使用的信息源主要为 landsat5影像（时相 20</w:t>
      </w:r>
      <w:r>
        <w:t>15</w:t>
      </w:r>
      <w:r>
        <w:rPr>
          <w:rFonts w:hint="eastAsia"/>
        </w:rPr>
        <w:t>.0</w:t>
      </w:r>
      <w:r>
        <w:t>9</w:t>
      </w:r>
      <w:r>
        <w:rPr>
          <w:rFonts w:hint="eastAsia"/>
        </w:rPr>
        <w:t>）、landsat8（时相 20</w:t>
      </w:r>
      <w:r>
        <w:t>22</w:t>
      </w:r>
      <w:r>
        <w:rPr>
          <w:rFonts w:hint="eastAsia"/>
        </w:rPr>
        <w:t>.0</w:t>
      </w:r>
      <w:r>
        <w:t>7</w:t>
      </w:r>
      <w:r>
        <w:rPr>
          <w:rFonts w:hint="eastAsia"/>
        </w:rPr>
        <w:t>）卫星影像数据。</w:t>
      </w:r>
    </w:p>
    <w:p>
      <w:pPr>
        <w:autoSpaceDE w:val="0"/>
        <w:autoSpaceDN w:val="0"/>
        <w:adjustRightInd w:val="0"/>
        <w:snapToGrid w:val="0"/>
        <w:ind w:firstLine="482" w:firstLineChars="200"/>
        <w:jc w:val="center"/>
        <w:rPr>
          <w:b/>
          <w:kern w:val="0"/>
          <w:sz w:val="24"/>
        </w:rPr>
      </w:pPr>
      <w:r>
        <w:rPr>
          <w:b/>
          <w:kern w:val="0"/>
          <w:sz w:val="24"/>
        </w:rPr>
        <w:t>表6.6-1评价区主要植被变化统计（2015、2022年）</w:t>
      </w:r>
    </w:p>
    <w:tbl>
      <w:tblPr>
        <w:tblStyle w:val="87"/>
        <w:tblW w:w="5000" w:type="pct"/>
        <w:tblInd w:w="0" w:type="dxa"/>
        <w:tblLayout w:type="autofit"/>
        <w:tblCellMar>
          <w:top w:w="0" w:type="dxa"/>
          <w:left w:w="108" w:type="dxa"/>
          <w:bottom w:w="0" w:type="dxa"/>
          <w:right w:w="108" w:type="dxa"/>
        </w:tblCellMar>
      </w:tblPr>
      <w:tblGrid>
        <w:gridCol w:w="1530"/>
        <w:gridCol w:w="1344"/>
        <w:gridCol w:w="1884"/>
        <w:gridCol w:w="1884"/>
        <w:gridCol w:w="1884"/>
      </w:tblGrid>
      <w:tr>
        <w:tblPrEx>
          <w:tblCellMar>
            <w:top w:w="0" w:type="dxa"/>
            <w:left w:w="108" w:type="dxa"/>
            <w:bottom w:w="0" w:type="dxa"/>
            <w:right w:w="108" w:type="dxa"/>
          </w:tblCellMar>
        </w:tblPrEx>
        <w:trPr>
          <w:trHeight w:val="143" w:hRule="atLeast"/>
        </w:trPr>
        <w:tc>
          <w:tcPr>
            <w:tcW w:w="897" w:type="pct"/>
            <w:vMerge w:val="restart"/>
            <w:tcBorders>
              <w:top w:val="single" w:color="auto" w:sz="12" w:space="0"/>
              <w:left w:val="single" w:color="auto" w:sz="12" w:space="0"/>
              <w:right w:val="single" w:color="000000" w:sz="4" w:space="0"/>
            </w:tcBorders>
            <w:shd w:val="clear" w:color="auto" w:fill="auto"/>
            <w:noWrap/>
            <w:vAlign w:val="center"/>
          </w:tcPr>
          <w:p>
            <w:pPr>
              <w:adjustRightInd w:val="0"/>
              <w:snapToGrid w:val="0"/>
              <w:jc w:val="center"/>
              <w:rPr>
                <w:kern w:val="0"/>
              </w:rPr>
            </w:pPr>
            <w:r>
              <w:rPr>
                <w:rFonts w:hint="eastAsia"/>
                <w:kern w:val="0"/>
              </w:rPr>
              <w:t>植被类型</w:t>
            </w:r>
          </w:p>
        </w:tc>
        <w:tc>
          <w:tcPr>
            <w:tcW w:w="788" w:type="pct"/>
            <w:vMerge w:val="restart"/>
            <w:tcBorders>
              <w:top w:val="single" w:color="auto" w:sz="12" w:space="0"/>
              <w:left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群落类型</w:t>
            </w:r>
          </w:p>
        </w:tc>
        <w:tc>
          <w:tcPr>
            <w:tcW w:w="2210" w:type="pct"/>
            <w:gridSpan w:val="2"/>
            <w:tcBorders>
              <w:top w:val="single" w:color="auto" w:sz="12"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面积（公顷）</w:t>
            </w:r>
          </w:p>
        </w:tc>
        <w:tc>
          <w:tcPr>
            <w:tcW w:w="1105" w:type="pct"/>
            <w:vMerge w:val="restart"/>
            <w:tcBorders>
              <w:top w:val="single" w:color="auto" w:sz="12" w:space="0"/>
              <w:left w:val="single" w:color="000000" w:sz="4" w:space="0"/>
              <w:right w:val="single" w:color="auto" w:sz="12" w:space="0"/>
            </w:tcBorders>
            <w:vAlign w:val="center"/>
          </w:tcPr>
          <w:p>
            <w:pPr>
              <w:adjustRightInd w:val="0"/>
              <w:snapToGrid w:val="0"/>
              <w:jc w:val="center"/>
              <w:rPr>
                <w:kern w:val="0"/>
              </w:rPr>
            </w:pPr>
            <w:r>
              <w:rPr>
                <w:rFonts w:hint="eastAsia"/>
                <w:kern w:val="0"/>
              </w:rPr>
              <w:t>变化趋势</w:t>
            </w:r>
          </w:p>
        </w:tc>
      </w:tr>
      <w:tr>
        <w:tblPrEx>
          <w:tblCellMar>
            <w:top w:w="0" w:type="dxa"/>
            <w:left w:w="108" w:type="dxa"/>
            <w:bottom w:w="0" w:type="dxa"/>
            <w:right w:w="108" w:type="dxa"/>
          </w:tblCellMar>
        </w:tblPrEx>
        <w:trPr>
          <w:trHeight w:val="303" w:hRule="atLeast"/>
        </w:trPr>
        <w:tc>
          <w:tcPr>
            <w:tcW w:w="897" w:type="pct"/>
            <w:vMerge w:val="continue"/>
            <w:tcBorders>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rPr>
            </w:pPr>
          </w:p>
        </w:tc>
        <w:tc>
          <w:tcPr>
            <w:tcW w:w="788" w:type="pct"/>
            <w:vMerge w:val="continue"/>
            <w:tcBorders>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rPr>
            </w:pPr>
          </w:p>
        </w:tc>
        <w:tc>
          <w:tcPr>
            <w:tcW w:w="11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2</w:t>
            </w:r>
            <w:r>
              <w:rPr>
                <w:kern w:val="0"/>
              </w:rPr>
              <w:t>015</w:t>
            </w:r>
          </w:p>
        </w:tc>
        <w:tc>
          <w:tcPr>
            <w:tcW w:w="1105"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kern w:val="0"/>
              </w:rPr>
            </w:pPr>
            <w:r>
              <w:rPr>
                <w:rFonts w:hint="eastAsia"/>
                <w:kern w:val="0"/>
              </w:rPr>
              <w:t>2</w:t>
            </w:r>
            <w:r>
              <w:rPr>
                <w:kern w:val="0"/>
              </w:rPr>
              <w:t>022</w:t>
            </w:r>
          </w:p>
        </w:tc>
        <w:tc>
          <w:tcPr>
            <w:tcW w:w="1105" w:type="pct"/>
            <w:vMerge w:val="continue"/>
            <w:tcBorders>
              <w:left w:val="single" w:color="000000" w:sz="4" w:space="0"/>
              <w:bottom w:val="single" w:color="000000" w:sz="4" w:space="0"/>
              <w:right w:val="single" w:color="auto" w:sz="12" w:space="0"/>
            </w:tcBorders>
            <w:vAlign w:val="center"/>
          </w:tcPr>
          <w:p>
            <w:pPr>
              <w:adjustRightInd w:val="0"/>
              <w:snapToGrid w:val="0"/>
              <w:jc w:val="center"/>
              <w:rPr>
                <w:kern w:val="0"/>
              </w:rPr>
            </w:pPr>
          </w:p>
        </w:tc>
      </w:tr>
      <w:tr>
        <w:tblPrEx>
          <w:tblCellMar>
            <w:top w:w="0" w:type="dxa"/>
            <w:left w:w="108" w:type="dxa"/>
            <w:bottom w:w="0" w:type="dxa"/>
            <w:right w:w="108" w:type="dxa"/>
          </w:tblCellMar>
        </w:tblPrEx>
        <w:trPr>
          <w:trHeight w:val="285" w:hRule="atLeast"/>
        </w:trPr>
        <w:tc>
          <w:tcPr>
            <w:tcW w:w="897" w:type="pc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人工植被</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农田植被</w:t>
            </w:r>
          </w:p>
        </w:tc>
        <w:tc>
          <w:tcPr>
            <w:tcW w:w="1105" w:type="pct"/>
            <w:tcBorders>
              <w:top w:val="single" w:color="000000" w:sz="4" w:space="0"/>
              <w:left w:val="single" w:color="000000" w:sz="4" w:space="0"/>
              <w:bottom w:val="single" w:color="000000" w:sz="4" w:space="0"/>
              <w:right w:val="single" w:color="000000" w:sz="4" w:space="0"/>
            </w:tcBorders>
            <w:shd w:val="clear" w:color="auto" w:fill="auto"/>
            <w:noWrap/>
          </w:tcPr>
          <w:p>
            <w:pPr>
              <w:adjustRightInd w:val="0"/>
              <w:snapToGrid w:val="0"/>
              <w:jc w:val="center"/>
              <w:rPr>
                <w:kern w:val="0"/>
              </w:rPr>
            </w:pPr>
            <w:r>
              <w:t xml:space="preserve">367.66 </w:t>
            </w:r>
          </w:p>
        </w:tc>
        <w:tc>
          <w:tcPr>
            <w:tcW w:w="1105"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rPr>
            </w:pPr>
            <w:r>
              <w:t>376.58</w:t>
            </w:r>
          </w:p>
        </w:tc>
        <w:tc>
          <w:tcPr>
            <w:tcW w:w="1105" w:type="pct"/>
            <w:tcBorders>
              <w:top w:val="single" w:color="000000" w:sz="4" w:space="0"/>
              <w:left w:val="single" w:color="000000" w:sz="4" w:space="0"/>
              <w:bottom w:val="single" w:color="000000" w:sz="4" w:space="0"/>
              <w:right w:val="single" w:color="auto" w:sz="12" w:space="0"/>
            </w:tcBorders>
            <w:vAlign w:val="center"/>
          </w:tcPr>
          <w:p>
            <w:pPr>
              <w:adjustRightInd w:val="0"/>
              <w:snapToGrid w:val="0"/>
              <w:jc w:val="center"/>
              <w:rPr>
                <w:kern w:val="0"/>
              </w:rPr>
            </w:pPr>
            <w:r>
              <w:rPr>
                <w:rFonts w:hint="eastAsia"/>
                <w:kern w:val="0"/>
              </w:rPr>
              <w:t>增大</w:t>
            </w:r>
          </w:p>
        </w:tc>
      </w:tr>
      <w:tr>
        <w:tblPrEx>
          <w:tblCellMar>
            <w:top w:w="0" w:type="dxa"/>
            <w:left w:w="108" w:type="dxa"/>
            <w:bottom w:w="0" w:type="dxa"/>
            <w:right w:w="108" w:type="dxa"/>
          </w:tblCellMar>
        </w:tblPrEx>
        <w:trPr>
          <w:trHeight w:val="285" w:hRule="atLeast"/>
        </w:trPr>
        <w:tc>
          <w:tcPr>
            <w:tcW w:w="897" w:type="pc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落叶阔叶林</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杨树群落</w:t>
            </w:r>
          </w:p>
        </w:tc>
        <w:tc>
          <w:tcPr>
            <w:tcW w:w="1105" w:type="pct"/>
            <w:tcBorders>
              <w:top w:val="single" w:color="000000" w:sz="4" w:space="0"/>
              <w:left w:val="single" w:color="000000" w:sz="4" w:space="0"/>
              <w:bottom w:val="single" w:color="000000" w:sz="4" w:space="0"/>
              <w:right w:val="single" w:color="000000" w:sz="4" w:space="0"/>
            </w:tcBorders>
            <w:shd w:val="clear" w:color="auto" w:fill="auto"/>
            <w:noWrap/>
          </w:tcPr>
          <w:p>
            <w:pPr>
              <w:adjustRightInd w:val="0"/>
              <w:snapToGrid w:val="0"/>
              <w:jc w:val="center"/>
              <w:rPr>
                <w:kern w:val="0"/>
              </w:rPr>
            </w:pPr>
            <w:r>
              <w:t xml:space="preserve">8.02 </w:t>
            </w:r>
          </w:p>
        </w:tc>
        <w:tc>
          <w:tcPr>
            <w:tcW w:w="1105"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rPr>
            </w:pPr>
            <w:r>
              <w:t>8.02</w:t>
            </w:r>
          </w:p>
        </w:tc>
        <w:tc>
          <w:tcPr>
            <w:tcW w:w="1105" w:type="pct"/>
            <w:tcBorders>
              <w:top w:val="single" w:color="000000" w:sz="4" w:space="0"/>
              <w:left w:val="single" w:color="000000" w:sz="4" w:space="0"/>
              <w:bottom w:val="single" w:color="000000" w:sz="4" w:space="0"/>
              <w:right w:val="single" w:color="auto" w:sz="12" w:space="0"/>
            </w:tcBorders>
            <w:vAlign w:val="center"/>
          </w:tcPr>
          <w:p>
            <w:pPr>
              <w:adjustRightInd w:val="0"/>
              <w:snapToGrid w:val="0"/>
              <w:jc w:val="center"/>
              <w:rPr>
                <w:kern w:val="0"/>
              </w:rPr>
            </w:pPr>
            <w:r>
              <w:rPr>
                <w:rFonts w:hint="eastAsia"/>
                <w:kern w:val="0"/>
              </w:rPr>
              <w:t>无变化</w:t>
            </w:r>
          </w:p>
        </w:tc>
      </w:tr>
      <w:tr>
        <w:tblPrEx>
          <w:tblCellMar>
            <w:top w:w="0" w:type="dxa"/>
            <w:left w:w="108" w:type="dxa"/>
            <w:bottom w:w="0" w:type="dxa"/>
            <w:right w:w="108" w:type="dxa"/>
          </w:tblCellMar>
        </w:tblPrEx>
        <w:trPr>
          <w:trHeight w:val="285" w:hRule="atLeast"/>
        </w:trPr>
        <w:tc>
          <w:tcPr>
            <w:tcW w:w="897" w:type="pc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其他</w:t>
            </w:r>
          </w:p>
        </w:tc>
        <w:tc>
          <w:tcPr>
            <w:tcW w:w="7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rPr>
            </w:pPr>
            <w:r>
              <w:rPr>
                <w:rFonts w:hint="eastAsia"/>
                <w:kern w:val="0"/>
              </w:rPr>
              <w:t>无植被</w:t>
            </w:r>
          </w:p>
        </w:tc>
        <w:tc>
          <w:tcPr>
            <w:tcW w:w="11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rPr>
            </w:pPr>
            <w:r>
              <w:rPr>
                <w:kern w:val="0"/>
              </w:rPr>
              <w:t>62</w:t>
            </w:r>
          </w:p>
        </w:tc>
        <w:tc>
          <w:tcPr>
            <w:tcW w:w="1105"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rPr>
            </w:pPr>
            <w:r>
              <w:t>53.08</w:t>
            </w:r>
          </w:p>
        </w:tc>
        <w:tc>
          <w:tcPr>
            <w:tcW w:w="1105" w:type="pct"/>
            <w:tcBorders>
              <w:top w:val="single" w:color="000000" w:sz="4" w:space="0"/>
              <w:left w:val="single" w:color="000000" w:sz="4" w:space="0"/>
              <w:bottom w:val="single" w:color="000000" w:sz="4" w:space="0"/>
              <w:right w:val="single" w:color="auto" w:sz="12" w:space="0"/>
            </w:tcBorders>
            <w:vAlign w:val="center"/>
          </w:tcPr>
          <w:p>
            <w:pPr>
              <w:adjustRightInd w:val="0"/>
              <w:snapToGrid w:val="0"/>
              <w:jc w:val="center"/>
              <w:rPr>
                <w:kern w:val="0"/>
              </w:rPr>
            </w:pPr>
            <w:r>
              <w:rPr>
                <w:rFonts w:hint="eastAsia"/>
                <w:kern w:val="0"/>
              </w:rPr>
              <w:t>减小</w:t>
            </w:r>
          </w:p>
        </w:tc>
      </w:tr>
      <w:tr>
        <w:tblPrEx>
          <w:tblCellMar>
            <w:top w:w="0" w:type="dxa"/>
            <w:left w:w="108" w:type="dxa"/>
            <w:bottom w:w="0" w:type="dxa"/>
            <w:right w:w="108" w:type="dxa"/>
          </w:tblCellMar>
        </w:tblPrEx>
        <w:trPr>
          <w:trHeight w:val="285" w:hRule="atLeast"/>
        </w:trPr>
        <w:tc>
          <w:tcPr>
            <w:tcW w:w="897" w:type="pct"/>
            <w:tcBorders>
              <w:top w:val="single" w:color="000000" w:sz="4" w:space="0"/>
              <w:left w:val="single" w:color="auto" w:sz="12" w:space="0"/>
              <w:bottom w:val="single" w:color="auto" w:sz="12" w:space="0"/>
              <w:right w:val="single" w:color="000000" w:sz="4" w:space="0"/>
            </w:tcBorders>
            <w:shd w:val="clear" w:color="auto" w:fill="auto"/>
            <w:noWrap/>
            <w:vAlign w:val="center"/>
          </w:tcPr>
          <w:p>
            <w:pPr>
              <w:adjustRightInd w:val="0"/>
              <w:snapToGrid w:val="0"/>
              <w:jc w:val="center"/>
              <w:rPr>
                <w:kern w:val="0"/>
              </w:rPr>
            </w:pPr>
          </w:p>
        </w:tc>
        <w:tc>
          <w:tcPr>
            <w:tcW w:w="788" w:type="pct"/>
            <w:tcBorders>
              <w:top w:val="single" w:color="000000" w:sz="4" w:space="0"/>
              <w:left w:val="single" w:color="000000" w:sz="4" w:space="0"/>
              <w:bottom w:val="single" w:color="auto" w:sz="12" w:space="0"/>
              <w:right w:val="single" w:color="000000" w:sz="4" w:space="0"/>
            </w:tcBorders>
            <w:shd w:val="clear" w:color="auto" w:fill="auto"/>
            <w:noWrap/>
            <w:vAlign w:val="center"/>
          </w:tcPr>
          <w:p>
            <w:pPr>
              <w:adjustRightInd w:val="0"/>
              <w:snapToGrid w:val="0"/>
              <w:jc w:val="center"/>
              <w:rPr>
                <w:kern w:val="0"/>
              </w:rPr>
            </w:pPr>
            <w:r>
              <w:rPr>
                <w:rFonts w:hint="eastAsia"/>
                <w:kern w:val="0"/>
              </w:rPr>
              <w:t>合计</w:t>
            </w:r>
          </w:p>
        </w:tc>
        <w:tc>
          <w:tcPr>
            <w:tcW w:w="1105" w:type="pct"/>
            <w:tcBorders>
              <w:top w:val="single" w:color="000000" w:sz="4" w:space="0"/>
              <w:left w:val="single" w:color="000000" w:sz="4" w:space="0"/>
              <w:bottom w:val="single" w:color="auto" w:sz="12" w:space="0"/>
              <w:right w:val="single" w:color="000000" w:sz="4" w:space="0"/>
            </w:tcBorders>
            <w:shd w:val="clear" w:color="auto" w:fill="auto"/>
            <w:noWrap/>
            <w:vAlign w:val="center"/>
          </w:tcPr>
          <w:p>
            <w:pPr>
              <w:adjustRightInd w:val="0"/>
              <w:snapToGrid w:val="0"/>
              <w:jc w:val="center"/>
              <w:rPr>
                <w:kern w:val="0"/>
              </w:rPr>
            </w:pPr>
            <w:r>
              <w:rPr>
                <w:rFonts w:hint="eastAsia"/>
                <w:kern w:val="0"/>
              </w:rPr>
              <w:t>437.68</w:t>
            </w:r>
          </w:p>
        </w:tc>
        <w:tc>
          <w:tcPr>
            <w:tcW w:w="1105" w:type="pct"/>
            <w:tcBorders>
              <w:top w:val="single" w:color="000000" w:sz="4" w:space="0"/>
              <w:left w:val="single" w:color="000000" w:sz="4" w:space="0"/>
              <w:bottom w:val="single" w:color="auto" w:sz="12" w:space="0"/>
              <w:right w:val="single" w:color="000000" w:sz="4" w:space="0"/>
            </w:tcBorders>
          </w:tcPr>
          <w:p>
            <w:pPr>
              <w:adjustRightInd w:val="0"/>
              <w:snapToGrid w:val="0"/>
              <w:jc w:val="center"/>
              <w:rPr>
                <w:kern w:val="0"/>
              </w:rPr>
            </w:pPr>
            <w:r>
              <w:t>437.68</w:t>
            </w:r>
          </w:p>
        </w:tc>
        <w:tc>
          <w:tcPr>
            <w:tcW w:w="1105" w:type="pct"/>
            <w:tcBorders>
              <w:top w:val="single" w:color="000000" w:sz="4" w:space="0"/>
              <w:left w:val="single" w:color="000000" w:sz="4" w:space="0"/>
              <w:bottom w:val="single" w:color="auto" w:sz="12" w:space="0"/>
              <w:right w:val="single" w:color="auto" w:sz="12" w:space="0"/>
            </w:tcBorders>
            <w:vAlign w:val="center"/>
          </w:tcPr>
          <w:p>
            <w:pPr>
              <w:adjustRightInd w:val="0"/>
              <w:snapToGrid w:val="0"/>
              <w:jc w:val="center"/>
              <w:rPr>
                <w:kern w:val="0"/>
              </w:rPr>
            </w:pPr>
          </w:p>
        </w:tc>
      </w:tr>
    </w:tbl>
    <w:p>
      <w:pPr>
        <w:autoSpaceDE w:val="0"/>
        <w:autoSpaceDN w:val="0"/>
        <w:adjustRightInd w:val="0"/>
        <w:snapToGrid w:val="0"/>
        <w:ind w:firstLine="482" w:firstLineChars="200"/>
        <w:jc w:val="center"/>
        <w:rPr>
          <w:b/>
          <w:kern w:val="0"/>
          <w:sz w:val="24"/>
        </w:rPr>
      </w:pPr>
      <w:r>
        <w:rPr>
          <w:b/>
          <w:kern w:val="0"/>
          <w:sz w:val="24"/>
        </w:rPr>
        <w:t>表6.6-2 评价区主要植被变化统计（2015、2022年）</w:t>
      </w:r>
    </w:p>
    <w:tbl>
      <w:tblPr>
        <w:tblStyle w:val="87"/>
        <w:tblW w:w="5000" w:type="pct"/>
        <w:tblInd w:w="0" w:type="dxa"/>
        <w:tblLayout w:type="autofit"/>
        <w:tblCellMar>
          <w:top w:w="0" w:type="dxa"/>
          <w:left w:w="108" w:type="dxa"/>
          <w:bottom w:w="0" w:type="dxa"/>
          <w:right w:w="108" w:type="dxa"/>
        </w:tblCellMar>
      </w:tblPr>
      <w:tblGrid>
        <w:gridCol w:w="2436"/>
        <w:gridCol w:w="1653"/>
        <w:gridCol w:w="1687"/>
        <w:gridCol w:w="1375"/>
        <w:gridCol w:w="1375"/>
      </w:tblGrid>
      <w:tr>
        <w:tblPrEx>
          <w:tblCellMar>
            <w:top w:w="0" w:type="dxa"/>
            <w:left w:w="108" w:type="dxa"/>
            <w:bottom w:w="0" w:type="dxa"/>
            <w:right w:w="108" w:type="dxa"/>
          </w:tblCellMar>
        </w:tblPrEx>
        <w:trPr>
          <w:trHeight w:val="143" w:hRule="atLeast"/>
        </w:trPr>
        <w:tc>
          <w:tcPr>
            <w:tcW w:w="1429" w:type="pct"/>
            <w:vMerge w:val="restart"/>
            <w:tcBorders>
              <w:top w:val="single" w:color="auto" w:sz="12" w:space="0"/>
              <w:left w:val="single" w:color="auto" w:sz="12"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一级类</w:t>
            </w:r>
          </w:p>
        </w:tc>
        <w:tc>
          <w:tcPr>
            <w:tcW w:w="969" w:type="pct"/>
            <w:vMerge w:val="restart"/>
            <w:tcBorders>
              <w:top w:val="single" w:color="auto" w:sz="12" w:space="0"/>
              <w:left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二级类</w:t>
            </w:r>
          </w:p>
        </w:tc>
        <w:tc>
          <w:tcPr>
            <w:tcW w:w="1795" w:type="pct"/>
            <w:gridSpan w:val="2"/>
            <w:tcBorders>
              <w:top w:val="single" w:color="auto" w:sz="12"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面积（公顷）</w:t>
            </w:r>
          </w:p>
        </w:tc>
        <w:tc>
          <w:tcPr>
            <w:tcW w:w="806" w:type="pct"/>
            <w:vMerge w:val="restart"/>
            <w:tcBorders>
              <w:top w:val="single" w:color="auto" w:sz="12" w:space="0"/>
              <w:left w:val="single" w:color="000000" w:sz="4" w:space="0"/>
              <w:right w:val="single" w:color="auto" w:sz="12" w:space="0"/>
            </w:tcBorders>
            <w:vAlign w:val="center"/>
          </w:tcPr>
          <w:p>
            <w:pPr>
              <w:adjustRightInd w:val="0"/>
              <w:snapToGrid w:val="0"/>
              <w:jc w:val="center"/>
              <w:rPr>
                <w:kern w:val="0"/>
                <w:szCs w:val="21"/>
              </w:rPr>
            </w:pPr>
            <w:r>
              <w:rPr>
                <w:rFonts w:hint="eastAsia"/>
                <w:kern w:val="0"/>
                <w:szCs w:val="21"/>
              </w:rPr>
              <w:t>变化趋势</w:t>
            </w:r>
          </w:p>
        </w:tc>
      </w:tr>
      <w:tr>
        <w:tblPrEx>
          <w:tblCellMar>
            <w:top w:w="0" w:type="dxa"/>
            <w:left w:w="108" w:type="dxa"/>
            <w:bottom w:w="0" w:type="dxa"/>
            <w:right w:w="108" w:type="dxa"/>
          </w:tblCellMar>
        </w:tblPrEx>
        <w:trPr>
          <w:trHeight w:val="142" w:hRule="atLeast"/>
        </w:trPr>
        <w:tc>
          <w:tcPr>
            <w:tcW w:w="1429" w:type="pct"/>
            <w:vMerge w:val="continue"/>
            <w:tcBorders>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p>
        </w:tc>
        <w:tc>
          <w:tcPr>
            <w:tcW w:w="969" w:type="pct"/>
            <w:vMerge w:val="continue"/>
            <w:tcBorders>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tcPr>
          <w:p>
            <w:pPr>
              <w:adjustRightInd w:val="0"/>
              <w:snapToGrid w:val="0"/>
              <w:jc w:val="center"/>
              <w:rPr>
                <w:kern w:val="0"/>
                <w:szCs w:val="21"/>
              </w:rPr>
            </w:pPr>
            <w:r>
              <w:rPr>
                <w:szCs w:val="21"/>
              </w:rPr>
              <w:t>2015</w:t>
            </w:r>
          </w:p>
        </w:tc>
        <w:tc>
          <w:tcPr>
            <w:tcW w:w="806" w:type="pct"/>
            <w:tcBorders>
              <w:top w:val="single" w:color="000000" w:sz="4" w:space="0"/>
              <w:left w:val="single" w:color="000000" w:sz="4" w:space="0"/>
              <w:bottom w:val="single" w:color="000000" w:sz="4" w:space="0"/>
              <w:right w:val="single" w:color="000000" w:sz="4" w:space="0"/>
            </w:tcBorders>
            <w:shd w:val="clear" w:color="auto" w:fill="auto"/>
          </w:tcPr>
          <w:p>
            <w:pPr>
              <w:adjustRightInd w:val="0"/>
              <w:snapToGrid w:val="0"/>
              <w:jc w:val="center"/>
              <w:rPr>
                <w:kern w:val="0"/>
                <w:szCs w:val="21"/>
              </w:rPr>
            </w:pPr>
            <w:r>
              <w:rPr>
                <w:szCs w:val="21"/>
              </w:rPr>
              <w:t>2022</w:t>
            </w:r>
          </w:p>
        </w:tc>
        <w:tc>
          <w:tcPr>
            <w:tcW w:w="806" w:type="pct"/>
            <w:vMerge w:val="continue"/>
            <w:tcBorders>
              <w:left w:val="single" w:color="000000" w:sz="4" w:space="0"/>
              <w:bottom w:val="single" w:color="000000" w:sz="4" w:space="0"/>
              <w:right w:val="single" w:color="auto" w:sz="12" w:space="0"/>
            </w:tcBorders>
          </w:tcPr>
          <w:p>
            <w:pPr>
              <w:adjustRightInd w:val="0"/>
              <w:snapToGrid w:val="0"/>
              <w:jc w:val="center"/>
              <w:rPr>
                <w:kern w:val="0"/>
                <w:szCs w:val="21"/>
              </w:rPr>
            </w:pPr>
          </w:p>
        </w:tc>
      </w:tr>
      <w:tr>
        <w:tblPrEx>
          <w:tblCellMar>
            <w:top w:w="0" w:type="dxa"/>
            <w:left w:w="108" w:type="dxa"/>
            <w:bottom w:w="0" w:type="dxa"/>
            <w:right w:w="108" w:type="dxa"/>
          </w:tblCellMar>
        </w:tblPrEx>
        <w:trPr>
          <w:trHeight w:val="285" w:hRule="atLeast"/>
        </w:trPr>
        <w:tc>
          <w:tcPr>
            <w:tcW w:w="1429" w:type="pct"/>
            <w:tcBorders>
              <w:top w:val="single" w:color="000000" w:sz="4" w:space="0"/>
              <w:left w:val="single" w:color="auto" w:sz="12" w:space="0"/>
              <w:bottom w:val="single" w:color="000000" w:sz="4" w:space="0"/>
              <w:right w:val="single" w:color="000000" w:sz="4" w:space="0"/>
            </w:tcBorders>
            <w:shd w:val="clear" w:color="auto" w:fill="auto"/>
            <w:noWrap/>
          </w:tcPr>
          <w:p>
            <w:pPr>
              <w:adjustRightInd w:val="0"/>
              <w:snapToGrid w:val="0"/>
              <w:jc w:val="center"/>
              <w:rPr>
                <w:kern w:val="0"/>
                <w:szCs w:val="21"/>
              </w:rPr>
            </w:pPr>
            <w:r>
              <w:rPr>
                <w:rFonts w:hint="eastAsia"/>
              </w:rPr>
              <w:t>公用设施用地</w:t>
            </w: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tcPr>
          <w:p>
            <w:pPr>
              <w:adjustRightInd w:val="0"/>
              <w:snapToGrid w:val="0"/>
              <w:jc w:val="center"/>
              <w:rPr>
                <w:kern w:val="0"/>
                <w:szCs w:val="21"/>
              </w:rPr>
            </w:pPr>
            <w:r>
              <w:rPr>
                <w:rFonts w:hint="eastAsia"/>
              </w:rPr>
              <w:t>公用设施用地</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kern w:val="0"/>
                <w:szCs w:val="21"/>
              </w:rPr>
              <w:t>0</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6.80</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增大</w:t>
            </w:r>
          </w:p>
        </w:tc>
      </w:tr>
      <w:tr>
        <w:tblPrEx>
          <w:tblCellMar>
            <w:top w:w="0" w:type="dxa"/>
            <w:left w:w="108" w:type="dxa"/>
            <w:bottom w:w="0" w:type="dxa"/>
            <w:right w:w="108" w:type="dxa"/>
          </w:tblCellMar>
        </w:tblPrEx>
        <w:trPr>
          <w:trHeight w:val="285" w:hRule="atLeast"/>
        </w:trPr>
        <w:tc>
          <w:tcPr>
            <w:tcW w:w="1429" w:type="pct"/>
            <w:vMerge w:val="restar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交通运输用地</w:t>
            </w: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公路用地</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kern w:val="0"/>
                <w:szCs w:val="21"/>
              </w:rPr>
              <w:t>2.13</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2.13</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无变化</w:t>
            </w:r>
          </w:p>
        </w:tc>
      </w:tr>
      <w:tr>
        <w:tblPrEx>
          <w:tblCellMar>
            <w:top w:w="0" w:type="dxa"/>
            <w:left w:w="108" w:type="dxa"/>
            <w:bottom w:w="0" w:type="dxa"/>
            <w:right w:w="108" w:type="dxa"/>
          </w:tblCellMar>
        </w:tblPrEx>
        <w:trPr>
          <w:trHeight w:val="285" w:hRule="atLeast"/>
        </w:trPr>
        <w:tc>
          <w:tcPr>
            <w:tcW w:w="1429" w:type="pct"/>
            <w:vMerge w:val="continue"/>
            <w:tcBorders>
              <w:top w:val="single" w:color="000000" w:sz="4" w:space="0"/>
              <w:left w:val="single" w:color="auto" w:sz="12" w:space="0"/>
              <w:bottom w:val="single" w:color="000000" w:sz="4" w:space="0"/>
              <w:right w:val="single" w:color="000000" w:sz="4" w:space="0"/>
            </w:tcBorders>
            <w:vAlign w:val="center"/>
          </w:tcPr>
          <w:p>
            <w:pPr>
              <w:adjustRightInd w:val="0"/>
              <w:snapToGrid w:val="0"/>
              <w:jc w:val="center"/>
              <w:rPr>
                <w:kern w:val="0"/>
                <w:szCs w:val="21"/>
              </w:rPr>
            </w:pP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农村道路</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kern w:val="0"/>
                <w:szCs w:val="21"/>
              </w:rPr>
              <w:t>3.41</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3.41</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无变化</w:t>
            </w:r>
          </w:p>
        </w:tc>
      </w:tr>
      <w:tr>
        <w:tblPrEx>
          <w:tblCellMar>
            <w:top w:w="0" w:type="dxa"/>
            <w:left w:w="108" w:type="dxa"/>
            <w:bottom w:w="0" w:type="dxa"/>
            <w:right w:w="108" w:type="dxa"/>
          </w:tblCellMar>
        </w:tblPrEx>
        <w:trPr>
          <w:trHeight w:val="285" w:hRule="atLeast"/>
        </w:trPr>
        <w:tc>
          <w:tcPr>
            <w:tcW w:w="1429" w:type="pc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住宅用地</w:t>
            </w: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农村宅基地</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2.18</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2.18</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无变化</w:t>
            </w:r>
          </w:p>
        </w:tc>
      </w:tr>
      <w:tr>
        <w:tblPrEx>
          <w:tblCellMar>
            <w:top w:w="0" w:type="dxa"/>
            <w:left w:w="108" w:type="dxa"/>
            <w:bottom w:w="0" w:type="dxa"/>
            <w:right w:w="108" w:type="dxa"/>
          </w:tblCellMar>
        </w:tblPrEx>
        <w:trPr>
          <w:trHeight w:val="285" w:hRule="atLeast"/>
        </w:trPr>
        <w:tc>
          <w:tcPr>
            <w:tcW w:w="1429" w:type="pc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林地</w:t>
            </w: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乔木林地</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8.02</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8.02</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无变化</w:t>
            </w:r>
          </w:p>
        </w:tc>
      </w:tr>
      <w:tr>
        <w:tblPrEx>
          <w:tblCellMar>
            <w:top w:w="0" w:type="dxa"/>
            <w:left w:w="108" w:type="dxa"/>
            <w:bottom w:w="0" w:type="dxa"/>
            <w:right w:w="108" w:type="dxa"/>
          </w:tblCellMar>
        </w:tblPrEx>
        <w:trPr>
          <w:trHeight w:val="285" w:hRule="atLeast"/>
        </w:trPr>
        <w:tc>
          <w:tcPr>
            <w:tcW w:w="1429" w:type="pc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耕地</w:t>
            </w: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水浇地</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kern w:val="0"/>
                <w:szCs w:val="21"/>
              </w:rPr>
              <w:t>367.66</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376.58</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增大</w:t>
            </w:r>
          </w:p>
        </w:tc>
      </w:tr>
      <w:tr>
        <w:tblPrEx>
          <w:tblCellMar>
            <w:top w:w="0" w:type="dxa"/>
            <w:left w:w="108" w:type="dxa"/>
            <w:bottom w:w="0" w:type="dxa"/>
            <w:right w:w="108" w:type="dxa"/>
          </w:tblCellMar>
        </w:tblPrEx>
        <w:trPr>
          <w:trHeight w:val="285" w:hRule="atLeast"/>
        </w:trPr>
        <w:tc>
          <w:tcPr>
            <w:tcW w:w="1429" w:type="pc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水域及水利设施用地</w:t>
            </w: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沟渠</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12.22</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12.22</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无变化</w:t>
            </w:r>
          </w:p>
        </w:tc>
      </w:tr>
      <w:tr>
        <w:tblPrEx>
          <w:tblCellMar>
            <w:top w:w="0" w:type="dxa"/>
            <w:left w:w="108" w:type="dxa"/>
            <w:bottom w:w="0" w:type="dxa"/>
            <w:right w:w="108" w:type="dxa"/>
          </w:tblCellMar>
        </w:tblPrEx>
        <w:trPr>
          <w:trHeight w:val="285" w:hRule="atLeast"/>
        </w:trPr>
        <w:tc>
          <w:tcPr>
            <w:tcW w:w="1429" w:type="pct"/>
            <w:vMerge w:val="restart"/>
            <w:tcBorders>
              <w:top w:val="single" w:color="000000" w:sz="4" w:space="0"/>
              <w:left w:val="single" w:color="auto" w:sz="12"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其他土地</w:t>
            </w: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设施农用地</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kern w:val="0"/>
                <w:szCs w:val="21"/>
              </w:rPr>
              <w:t>26.32</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19.66</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减小</w:t>
            </w:r>
          </w:p>
        </w:tc>
      </w:tr>
      <w:tr>
        <w:tblPrEx>
          <w:tblCellMar>
            <w:top w:w="0" w:type="dxa"/>
            <w:left w:w="108" w:type="dxa"/>
            <w:bottom w:w="0" w:type="dxa"/>
            <w:right w:w="108" w:type="dxa"/>
          </w:tblCellMar>
        </w:tblPrEx>
        <w:trPr>
          <w:trHeight w:val="70" w:hRule="atLeast"/>
        </w:trPr>
        <w:tc>
          <w:tcPr>
            <w:tcW w:w="1429" w:type="pct"/>
            <w:vMerge w:val="continue"/>
            <w:tcBorders>
              <w:top w:val="single" w:color="000000" w:sz="4" w:space="0"/>
              <w:left w:val="single" w:color="auto" w:sz="12" w:space="0"/>
              <w:bottom w:val="single" w:color="000000" w:sz="4" w:space="0"/>
              <w:right w:val="single" w:color="000000" w:sz="4" w:space="0"/>
            </w:tcBorders>
            <w:vAlign w:val="center"/>
          </w:tcPr>
          <w:p>
            <w:pPr>
              <w:adjustRightInd w:val="0"/>
              <w:snapToGrid w:val="0"/>
              <w:jc w:val="center"/>
              <w:rPr>
                <w:kern w:val="0"/>
                <w:szCs w:val="21"/>
              </w:rPr>
            </w:pPr>
          </w:p>
        </w:tc>
        <w:tc>
          <w:tcPr>
            <w:tcW w:w="9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裸地</w:t>
            </w:r>
          </w:p>
        </w:tc>
        <w:tc>
          <w:tcPr>
            <w:tcW w:w="9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adjustRightInd w:val="0"/>
              <w:snapToGrid w:val="0"/>
              <w:jc w:val="center"/>
              <w:rPr>
                <w:kern w:val="0"/>
                <w:szCs w:val="21"/>
              </w:rPr>
            </w:pPr>
            <w:r>
              <w:rPr>
                <w:kern w:val="0"/>
                <w:szCs w:val="21"/>
              </w:rPr>
              <w:t>15.75</w:t>
            </w:r>
          </w:p>
        </w:tc>
        <w:tc>
          <w:tcPr>
            <w:tcW w:w="806"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kern w:val="0"/>
                <w:szCs w:val="21"/>
              </w:rPr>
            </w:pPr>
            <w:r>
              <w:rPr>
                <w:szCs w:val="21"/>
              </w:rPr>
              <w:t>6.69</w:t>
            </w:r>
          </w:p>
        </w:tc>
        <w:tc>
          <w:tcPr>
            <w:tcW w:w="806" w:type="pct"/>
            <w:tcBorders>
              <w:top w:val="single" w:color="000000" w:sz="4" w:space="0"/>
              <w:left w:val="single" w:color="000000" w:sz="4" w:space="0"/>
              <w:bottom w:val="single" w:color="000000" w:sz="4" w:space="0"/>
              <w:right w:val="single" w:color="auto" w:sz="12" w:space="0"/>
            </w:tcBorders>
          </w:tcPr>
          <w:p>
            <w:pPr>
              <w:adjustRightInd w:val="0"/>
              <w:snapToGrid w:val="0"/>
              <w:jc w:val="center"/>
              <w:rPr>
                <w:kern w:val="0"/>
                <w:szCs w:val="21"/>
              </w:rPr>
            </w:pPr>
            <w:r>
              <w:rPr>
                <w:rFonts w:hint="eastAsia"/>
                <w:kern w:val="0"/>
                <w:szCs w:val="21"/>
              </w:rPr>
              <w:t>减小</w:t>
            </w:r>
          </w:p>
        </w:tc>
      </w:tr>
      <w:tr>
        <w:tblPrEx>
          <w:tblCellMar>
            <w:top w:w="0" w:type="dxa"/>
            <w:left w:w="108" w:type="dxa"/>
            <w:bottom w:w="0" w:type="dxa"/>
            <w:right w:w="108" w:type="dxa"/>
          </w:tblCellMar>
        </w:tblPrEx>
        <w:trPr>
          <w:trHeight w:val="285" w:hRule="atLeast"/>
        </w:trPr>
        <w:tc>
          <w:tcPr>
            <w:tcW w:w="1429" w:type="pct"/>
            <w:tcBorders>
              <w:top w:val="single" w:color="000000" w:sz="4" w:space="0"/>
              <w:left w:val="single" w:color="auto" w:sz="12" w:space="0"/>
              <w:bottom w:val="single" w:color="auto" w:sz="12" w:space="0"/>
              <w:right w:val="single" w:color="000000" w:sz="4" w:space="0"/>
            </w:tcBorders>
            <w:shd w:val="clear" w:color="auto" w:fill="auto"/>
            <w:noWrap/>
            <w:vAlign w:val="center"/>
          </w:tcPr>
          <w:p>
            <w:pPr>
              <w:adjustRightInd w:val="0"/>
              <w:snapToGrid w:val="0"/>
              <w:jc w:val="center"/>
              <w:rPr>
                <w:kern w:val="0"/>
                <w:szCs w:val="21"/>
              </w:rPr>
            </w:pPr>
          </w:p>
        </w:tc>
        <w:tc>
          <w:tcPr>
            <w:tcW w:w="969" w:type="pct"/>
            <w:tcBorders>
              <w:top w:val="single" w:color="000000" w:sz="4" w:space="0"/>
              <w:left w:val="single" w:color="000000" w:sz="4" w:space="0"/>
              <w:bottom w:val="single" w:color="auto" w:sz="12"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合计</w:t>
            </w:r>
          </w:p>
        </w:tc>
        <w:tc>
          <w:tcPr>
            <w:tcW w:w="989" w:type="pct"/>
            <w:tcBorders>
              <w:top w:val="single" w:color="000000" w:sz="4" w:space="0"/>
              <w:left w:val="single" w:color="000000" w:sz="4" w:space="0"/>
              <w:bottom w:val="single" w:color="auto" w:sz="12" w:space="0"/>
              <w:right w:val="single" w:color="000000" w:sz="4" w:space="0"/>
            </w:tcBorders>
            <w:shd w:val="clear" w:color="auto" w:fill="auto"/>
            <w:noWrap/>
            <w:vAlign w:val="center"/>
          </w:tcPr>
          <w:p>
            <w:pPr>
              <w:adjustRightInd w:val="0"/>
              <w:snapToGrid w:val="0"/>
              <w:jc w:val="center"/>
              <w:rPr>
                <w:kern w:val="0"/>
                <w:szCs w:val="21"/>
              </w:rPr>
            </w:pPr>
            <w:r>
              <w:rPr>
                <w:rFonts w:hint="eastAsia"/>
                <w:kern w:val="0"/>
                <w:szCs w:val="21"/>
              </w:rPr>
              <w:t>437.68</w:t>
            </w:r>
          </w:p>
        </w:tc>
        <w:tc>
          <w:tcPr>
            <w:tcW w:w="806" w:type="pct"/>
            <w:tcBorders>
              <w:top w:val="single" w:color="000000" w:sz="4" w:space="0"/>
              <w:left w:val="single" w:color="000000" w:sz="4" w:space="0"/>
              <w:bottom w:val="single" w:color="auto" w:sz="12" w:space="0"/>
              <w:right w:val="single" w:color="000000" w:sz="4" w:space="0"/>
            </w:tcBorders>
          </w:tcPr>
          <w:p>
            <w:pPr>
              <w:adjustRightInd w:val="0"/>
              <w:snapToGrid w:val="0"/>
              <w:jc w:val="center"/>
              <w:rPr>
                <w:kern w:val="0"/>
                <w:szCs w:val="21"/>
              </w:rPr>
            </w:pPr>
            <w:r>
              <w:rPr>
                <w:szCs w:val="21"/>
              </w:rPr>
              <w:t>437.68</w:t>
            </w:r>
          </w:p>
        </w:tc>
        <w:tc>
          <w:tcPr>
            <w:tcW w:w="806" w:type="pct"/>
            <w:tcBorders>
              <w:top w:val="single" w:color="000000" w:sz="4" w:space="0"/>
              <w:left w:val="single" w:color="000000" w:sz="4" w:space="0"/>
              <w:bottom w:val="single" w:color="auto" w:sz="12" w:space="0"/>
              <w:right w:val="single" w:color="auto" w:sz="12" w:space="0"/>
            </w:tcBorders>
          </w:tcPr>
          <w:p>
            <w:pPr>
              <w:adjustRightInd w:val="0"/>
              <w:snapToGrid w:val="0"/>
              <w:jc w:val="center"/>
              <w:rPr>
                <w:kern w:val="0"/>
                <w:szCs w:val="21"/>
              </w:rPr>
            </w:pPr>
          </w:p>
        </w:tc>
      </w:tr>
    </w:tbl>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0"/>
        <w:gridCol w:w="4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6" w:hRule="atLeast"/>
          <w:jc w:val="center"/>
        </w:trPr>
        <w:tc>
          <w:tcPr>
            <w:tcW w:w="0" w:type="auto"/>
            <w:gridSpan w:val="2"/>
            <w:vAlign w:val="center"/>
          </w:tcPr>
          <w:p>
            <w:pPr>
              <w:autoSpaceDE w:val="0"/>
              <w:autoSpaceDN w:val="0"/>
              <w:adjustRightInd w:val="0"/>
              <w:snapToGrid w:val="0"/>
              <w:spacing w:line="360" w:lineRule="auto"/>
              <w:jc w:val="center"/>
              <w:rPr>
                <w:color w:val="FF0000"/>
              </w:rPr>
            </w:pPr>
            <w:r>
              <w:rPr>
                <w:color w:val="FF0000"/>
              </w:rPr>
              <w:drawing>
                <wp:inline distT="0" distB="0" distL="0" distR="0">
                  <wp:extent cx="2400935" cy="339661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95"/>
                          <a:stretch>
                            <a:fillRect/>
                          </a:stretch>
                        </pic:blipFill>
                        <pic:spPr>
                          <a:xfrm>
                            <a:off x="0" y="0"/>
                            <a:ext cx="2406297" cy="3403853"/>
                          </a:xfrm>
                          <a:prstGeom prst="rect">
                            <a:avLst/>
                          </a:prstGeom>
                        </pic:spPr>
                      </pic:pic>
                    </a:graphicData>
                  </a:graphic>
                </wp:inline>
              </w:drawing>
            </w:r>
            <w:r>
              <w:rPr>
                <w:color w:val="FF0000"/>
              </w:rPr>
              <w:t xml:space="preserve"> </w:t>
            </w:r>
            <w:r>
              <w:rPr>
                <w:color w:val="FF0000"/>
              </w:rPr>
              <w:drawing>
                <wp:inline distT="0" distB="0" distL="0" distR="0">
                  <wp:extent cx="2379980" cy="3367405"/>
                  <wp:effectExtent l="0" t="0" r="127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96"/>
                          <a:stretch>
                            <a:fillRect/>
                          </a:stretch>
                        </pic:blipFill>
                        <pic:spPr>
                          <a:xfrm>
                            <a:off x="0" y="0"/>
                            <a:ext cx="2385330" cy="3374196"/>
                          </a:xfrm>
                          <a:prstGeom prst="rect">
                            <a:avLst/>
                          </a:prstGeom>
                        </pic:spPr>
                      </pic:pic>
                    </a:graphicData>
                  </a:graphic>
                </wp:inline>
              </w:drawing>
            </w:r>
          </w:p>
          <w:p>
            <w:pPr>
              <w:autoSpaceDE w:val="0"/>
              <w:autoSpaceDN w:val="0"/>
              <w:adjustRightInd w:val="0"/>
              <w:snapToGrid w:val="0"/>
              <w:spacing w:line="360" w:lineRule="auto"/>
              <w:jc w:val="center"/>
              <w:rPr>
                <w:b/>
                <w:kern w:val="0"/>
                <w:sz w:val="24"/>
              </w:rPr>
            </w:pPr>
            <w:r>
              <w:rPr>
                <w:b/>
                <w:color w:val="FF0000"/>
              </w:rPr>
              <w:t>2015</w:t>
            </w:r>
            <w:r>
              <w:rPr>
                <w:rFonts w:hint="eastAsia"/>
                <w:b/>
                <w:color w:val="FF0000"/>
              </w:rPr>
              <w:t xml:space="preserve">年遥感影像图 </w:t>
            </w:r>
            <w:r>
              <w:rPr>
                <w:b/>
                <w:color w:val="FF0000"/>
              </w:rPr>
              <w:t xml:space="preserve">                   2022</w:t>
            </w:r>
            <w:r>
              <w:rPr>
                <w:rFonts w:hint="eastAsia"/>
                <w:b/>
                <w:color w:val="FF0000"/>
              </w:rPr>
              <w:t xml:space="preserve">年遥感影像图 </w:t>
            </w:r>
            <w:r>
              <w:rPr>
                <w:b/>
                <w:color w:val="FF000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6" w:hRule="atLeast"/>
          <w:jc w:val="center"/>
        </w:trPr>
        <w:tc>
          <w:tcPr>
            <w:tcW w:w="0" w:type="auto"/>
            <w:gridSpan w:val="2"/>
            <w:vAlign w:val="center"/>
          </w:tcPr>
          <w:p>
            <w:pPr>
              <w:autoSpaceDE w:val="0"/>
              <w:autoSpaceDN w:val="0"/>
              <w:adjustRightInd w:val="0"/>
              <w:snapToGrid w:val="0"/>
              <w:spacing w:line="360" w:lineRule="auto"/>
              <w:jc w:val="center"/>
              <w:rPr>
                <w:kern w:val="0"/>
                <w:sz w:val="24"/>
              </w:rPr>
            </w:pPr>
            <w:r>
              <w:rPr>
                <w:kern w:val="0"/>
                <w:sz w:val="24"/>
              </w:rPr>
              <w:drawing>
                <wp:inline distT="0" distB="0" distL="0" distR="0">
                  <wp:extent cx="2510790" cy="3550920"/>
                  <wp:effectExtent l="0" t="0" r="3810" b="0"/>
                  <wp:docPr id="34" name="图片 34" descr="C:\Users\众成环境\AppData\Local\Temp\WeChat Files\5e15f95d757cffb5fabf566f6bc8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众成环境\AppData\Local\Temp\WeChat Files\5e15f95d757cffb5fabf566f6bc813b.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532577" cy="3581973"/>
                          </a:xfrm>
                          <a:prstGeom prst="rect">
                            <a:avLst/>
                          </a:prstGeom>
                          <a:noFill/>
                          <a:ln>
                            <a:noFill/>
                          </a:ln>
                        </pic:spPr>
                      </pic:pic>
                    </a:graphicData>
                  </a:graphic>
                </wp:inline>
              </w:drawing>
            </w:r>
            <w:r>
              <w:rPr>
                <w:kern w:val="0"/>
                <w:sz w:val="24"/>
              </w:rPr>
              <w:drawing>
                <wp:inline distT="0" distB="0" distL="0" distR="0">
                  <wp:extent cx="2598420" cy="3675380"/>
                  <wp:effectExtent l="0" t="0" r="0" b="0"/>
                  <wp:docPr id="35" name="图片 35" descr="C:\Users\众成环境\AppData\Local\Temp\WeChat Files\d963dcd303381b06f0d7aec1e625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众成环境\AppData\Local\Temp\WeChat Files\d963dcd303381b06f0d7aec1e625b0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606396" cy="3686377"/>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4140" w:type="dxa"/>
            <w:vAlign w:val="center"/>
          </w:tcPr>
          <w:p>
            <w:pPr>
              <w:autoSpaceDE w:val="0"/>
              <w:autoSpaceDN w:val="0"/>
              <w:adjustRightInd w:val="0"/>
              <w:snapToGrid w:val="0"/>
              <w:spacing w:line="360" w:lineRule="auto"/>
              <w:jc w:val="center"/>
              <w:rPr>
                <w:b/>
                <w:kern w:val="0"/>
                <w:sz w:val="24"/>
              </w:rPr>
            </w:pPr>
            <w:r>
              <w:rPr>
                <w:b/>
                <w:kern w:val="0"/>
                <w:sz w:val="24"/>
              </w:rPr>
              <w:t>2015年植被类型图</w:t>
            </w:r>
          </w:p>
        </w:tc>
        <w:tc>
          <w:tcPr>
            <w:tcW w:w="4228" w:type="dxa"/>
            <w:vAlign w:val="center"/>
          </w:tcPr>
          <w:p>
            <w:pPr>
              <w:autoSpaceDE w:val="0"/>
              <w:autoSpaceDN w:val="0"/>
              <w:adjustRightInd w:val="0"/>
              <w:snapToGrid w:val="0"/>
              <w:spacing w:line="360" w:lineRule="auto"/>
              <w:jc w:val="center"/>
              <w:rPr>
                <w:b/>
                <w:kern w:val="0"/>
                <w:sz w:val="24"/>
              </w:rPr>
            </w:pPr>
            <w:r>
              <w:rPr>
                <w:rFonts w:hint="eastAsia"/>
                <w:b/>
                <w:kern w:val="0"/>
                <w:sz w:val="24"/>
              </w:rPr>
              <w:t>2</w:t>
            </w:r>
            <w:r>
              <w:rPr>
                <w:b/>
                <w:kern w:val="0"/>
                <w:sz w:val="24"/>
              </w:rPr>
              <w:t>022</w:t>
            </w:r>
            <w:r>
              <w:rPr>
                <w:rFonts w:hint="eastAsia"/>
                <w:b/>
                <w:kern w:val="0"/>
                <w:sz w:val="24"/>
              </w:rPr>
              <w:t>年植被类型图</w:t>
            </w:r>
          </w:p>
        </w:tc>
      </w:tr>
    </w:tbl>
    <w:p>
      <w:pPr>
        <w:autoSpaceDE w:val="0"/>
        <w:autoSpaceDN w:val="0"/>
        <w:adjustRightInd w:val="0"/>
        <w:snapToGrid w:val="0"/>
        <w:ind w:firstLine="482" w:firstLineChars="200"/>
        <w:jc w:val="center"/>
        <w:rPr>
          <w:b/>
          <w:kern w:val="0"/>
          <w:sz w:val="24"/>
        </w:rPr>
      </w:pP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0"/>
        <w:gridCol w:w="4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6" w:hRule="atLeast"/>
          <w:jc w:val="center"/>
        </w:trPr>
        <w:tc>
          <w:tcPr>
            <w:tcW w:w="0" w:type="auto"/>
            <w:gridSpan w:val="2"/>
            <w:vAlign w:val="center"/>
          </w:tcPr>
          <w:p>
            <w:pPr>
              <w:autoSpaceDE w:val="0"/>
              <w:autoSpaceDN w:val="0"/>
              <w:adjustRightInd w:val="0"/>
              <w:snapToGrid w:val="0"/>
              <w:spacing w:line="360" w:lineRule="auto"/>
              <w:jc w:val="center"/>
              <w:rPr>
                <w:kern w:val="0"/>
                <w:sz w:val="24"/>
              </w:rPr>
            </w:pPr>
            <w:r>
              <w:rPr>
                <w:kern w:val="0"/>
                <w:sz w:val="24"/>
              </w:rPr>
              <w:drawing>
                <wp:inline distT="0" distB="0" distL="0" distR="0">
                  <wp:extent cx="2513330" cy="3555365"/>
                  <wp:effectExtent l="0" t="0" r="0" b="0"/>
                  <wp:docPr id="39" name="图片 39" descr="C:\Users\众成环境\AppData\Local\Temp\Temp1_2015.zip\2015\土地利用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众成环境\AppData\Local\Temp\Temp1_2015.zip\2015\土地利用201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519130" cy="3562953"/>
                          </a:xfrm>
                          <a:prstGeom prst="rect">
                            <a:avLst/>
                          </a:prstGeom>
                          <a:noFill/>
                          <a:ln>
                            <a:noFill/>
                          </a:ln>
                        </pic:spPr>
                      </pic:pic>
                    </a:graphicData>
                  </a:graphic>
                </wp:inline>
              </w:drawing>
            </w:r>
            <w:r>
              <w:drawing>
                <wp:inline distT="0" distB="0" distL="0" distR="0">
                  <wp:extent cx="2523490" cy="3569970"/>
                  <wp:effectExtent l="0" t="0" r="0" b="0"/>
                  <wp:docPr id="40" name="图片 40" descr="C:\Users\众成环境\AppData\Local\Microsoft\Windows\INetCache\Content.Word\土地利用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众成环境\AppData\Local\Microsoft\Windows\INetCache\Content.Word\土地利用202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531145" cy="35799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4140" w:type="dxa"/>
            <w:vAlign w:val="center"/>
          </w:tcPr>
          <w:p>
            <w:pPr>
              <w:autoSpaceDE w:val="0"/>
              <w:autoSpaceDN w:val="0"/>
              <w:adjustRightInd w:val="0"/>
              <w:snapToGrid w:val="0"/>
              <w:spacing w:line="360" w:lineRule="auto"/>
              <w:jc w:val="center"/>
              <w:rPr>
                <w:b/>
                <w:kern w:val="0"/>
                <w:sz w:val="24"/>
              </w:rPr>
            </w:pPr>
            <w:r>
              <w:rPr>
                <w:b/>
                <w:kern w:val="0"/>
                <w:sz w:val="24"/>
              </w:rPr>
              <w:t>2015年</w:t>
            </w:r>
            <w:r>
              <w:rPr>
                <w:rFonts w:hint="eastAsia"/>
                <w:b/>
                <w:kern w:val="0"/>
                <w:sz w:val="24"/>
              </w:rPr>
              <w:t>土地利用类型</w:t>
            </w:r>
            <w:r>
              <w:rPr>
                <w:b/>
                <w:kern w:val="0"/>
                <w:sz w:val="24"/>
              </w:rPr>
              <w:t>图</w:t>
            </w:r>
          </w:p>
        </w:tc>
        <w:tc>
          <w:tcPr>
            <w:tcW w:w="4228" w:type="dxa"/>
            <w:vAlign w:val="center"/>
          </w:tcPr>
          <w:p>
            <w:pPr>
              <w:autoSpaceDE w:val="0"/>
              <w:autoSpaceDN w:val="0"/>
              <w:adjustRightInd w:val="0"/>
              <w:snapToGrid w:val="0"/>
              <w:spacing w:line="360" w:lineRule="auto"/>
              <w:jc w:val="center"/>
              <w:rPr>
                <w:b/>
                <w:kern w:val="0"/>
                <w:sz w:val="24"/>
              </w:rPr>
            </w:pPr>
            <w:r>
              <w:rPr>
                <w:rFonts w:hint="eastAsia"/>
                <w:b/>
                <w:kern w:val="0"/>
                <w:sz w:val="24"/>
              </w:rPr>
              <w:t>2</w:t>
            </w:r>
            <w:r>
              <w:rPr>
                <w:b/>
                <w:kern w:val="0"/>
                <w:sz w:val="24"/>
              </w:rPr>
              <w:t>022</w:t>
            </w:r>
            <w:r>
              <w:rPr>
                <w:rFonts w:hint="eastAsia"/>
                <w:b/>
                <w:kern w:val="0"/>
                <w:sz w:val="24"/>
              </w:rPr>
              <w:t>年土地利用类型图</w:t>
            </w:r>
          </w:p>
        </w:tc>
      </w:tr>
    </w:tbl>
    <w:p>
      <w:pPr>
        <w:autoSpaceDE w:val="0"/>
        <w:autoSpaceDN w:val="0"/>
        <w:adjustRightInd w:val="0"/>
        <w:snapToGrid w:val="0"/>
        <w:spacing w:line="360" w:lineRule="auto"/>
        <w:ind w:firstLine="482" w:firstLineChars="200"/>
        <w:jc w:val="center"/>
        <w:rPr>
          <w:b/>
          <w:kern w:val="0"/>
          <w:sz w:val="24"/>
        </w:rPr>
      </w:pPr>
      <w:r>
        <w:rPr>
          <w:rFonts w:hint="eastAsia"/>
          <w:b/>
          <w:kern w:val="0"/>
          <w:sz w:val="24"/>
        </w:rPr>
        <w:t>图6</w:t>
      </w:r>
      <w:r>
        <w:rPr>
          <w:b/>
          <w:kern w:val="0"/>
          <w:sz w:val="24"/>
        </w:rPr>
        <w:t xml:space="preserve">.6-2 </w:t>
      </w:r>
      <w:r>
        <w:rPr>
          <w:rFonts w:hint="eastAsia"/>
          <w:b/>
          <w:kern w:val="0"/>
          <w:sz w:val="24"/>
        </w:rPr>
        <w:t>植被、土地利用类型图</w:t>
      </w:r>
    </w:p>
    <w:p>
      <w:pPr>
        <w:pStyle w:val="69"/>
        <w:spacing w:after="0" w:line="360" w:lineRule="auto"/>
        <w:ind w:left="0" w:leftChars="0" w:firstLine="480" w:firstLineChars="200"/>
        <w:jc w:val="both"/>
        <w:rPr>
          <w:color w:val="FF0000"/>
          <w:kern w:val="0"/>
          <w:sz w:val="24"/>
          <w:lang w:val="de-DE"/>
        </w:rPr>
      </w:pPr>
      <w:r>
        <w:rPr>
          <w:rFonts w:hint="eastAsia"/>
          <w:kern w:val="0"/>
          <w:sz w:val="24"/>
          <w:lang w:val="de-DE"/>
        </w:rPr>
        <w:t>通过对比，项目运行后评价范围内农田植被面积增大、裸地面积减小，该变化主要由项目占地范围外的农业生产活动引起。本项目对生态环境影响主要体现在占地范围内，</w:t>
      </w:r>
      <w:r>
        <w:rPr>
          <w:rFonts w:hint="eastAsia"/>
          <w:color w:val="FF0000"/>
          <w:kern w:val="0"/>
          <w:sz w:val="24"/>
          <w:lang w:val="de-DE"/>
        </w:rPr>
        <w:t>由于本项目原占地为废弃的养殖场，已经对原始植被进行了破坏，因此本项目的建设和运行对植被影响较小。</w:t>
      </w:r>
    </w:p>
    <w:p>
      <w:pPr>
        <w:pStyle w:val="3"/>
        <w:keepNext w:val="0"/>
        <w:keepLines w:val="0"/>
        <w:adjustRightInd w:val="0"/>
        <w:snapToGrid w:val="0"/>
        <w:spacing w:before="120" w:after="120"/>
        <w:rPr>
          <w:rFonts w:ascii="Times New Roman" w:hAnsi="Times New Roman" w:eastAsia="宋体"/>
        </w:rPr>
      </w:pPr>
      <w:bookmarkStart w:id="450" w:name="_Toc143762357"/>
      <w:r>
        <w:rPr>
          <w:rFonts w:hint="eastAsia" w:ascii="Times New Roman" w:hAnsi="Times New Roman" w:eastAsia="宋体"/>
        </w:rPr>
        <w:t>6.</w:t>
      </w:r>
      <w:r>
        <w:rPr>
          <w:rFonts w:ascii="Times New Roman" w:hAnsi="Times New Roman" w:eastAsia="宋体"/>
        </w:rPr>
        <w:t>7</w:t>
      </w:r>
      <w:r>
        <w:rPr>
          <w:rFonts w:hint="eastAsia" w:ascii="Times New Roman" w:hAnsi="Times New Roman" w:eastAsia="宋体"/>
        </w:rPr>
        <w:t>封场后环境影响分析</w:t>
      </w:r>
      <w:bookmarkEnd w:id="450"/>
    </w:p>
    <w:p>
      <w:pPr>
        <w:autoSpaceDE w:val="0"/>
        <w:autoSpaceDN w:val="0"/>
        <w:adjustRightInd w:val="0"/>
        <w:snapToGrid w:val="0"/>
        <w:spacing w:line="360" w:lineRule="auto"/>
        <w:ind w:firstLine="480" w:firstLineChars="200"/>
        <w:rPr>
          <w:kern w:val="0"/>
          <w:sz w:val="24"/>
        </w:rPr>
      </w:pPr>
      <w:r>
        <w:rPr>
          <w:kern w:val="0"/>
          <w:sz w:val="24"/>
        </w:rPr>
        <w:t>封场后的主要污染源为垃圾渗滤液和填埋气体。垃圾填埋场封场后渗滤液主要成分为COD、BOD</w:t>
      </w:r>
      <w:r>
        <w:rPr>
          <w:kern w:val="0"/>
          <w:sz w:val="24"/>
          <w:vertAlign w:val="subscript"/>
        </w:rPr>
        <w:t>5</w:t>
      </w:r>
      <w:r>
        <w:rPr>
          <w:kern w:val="0"/>
          <w:sz w:val="24"/>
        </w:rPr>
        <w:t>和NH</w:t>
      </w:r>
      <w:r>
        <w:rPr>
          <w:kern w:val="0"/>
          <w:sz w:val="24"/>
          <w:vertAlign w:val="subscript"/>
        </w:rPr>
        <w:t>3</w:t>
      </w:r>
      <w:r>
        <w:rPr>
          <w:kern w:val="0"/>
          <w:sz w:val="24"/>
        </w:rPr>
        <w:t>-N 在封场后浓度依然很高；填埋气体甲烷的浓度依然较高。</w:t>
      </w:r>
    </w:p>
    <w:p>
      <w:pPr>
        <w:keepNext/>
        <w:keepLines/>
        <w:numPr>
          <w:ilvl w:val="2"/>
          <w:numId w:val="0"/>
        </w:numPr>
        <w:spacing w:line="360" w:lineRule="auto"/>
        <w:ind w:left="720" w:hanging="720"/>
        <w:outlineLvl w:val="2"/>
        <w:rPr>
          <w:b/>
          <w:bCs/>
          <w:sz w:val="28"/>
          <w:szCs w:val="32"/>
        </w:rPr>
      </w:pPr>
      <w:bookmarkStart w:id="451" w:name="_Toc143762358"/>
      <w:r>
        <w:rPr>
          <w:b/>
          <w:bCs/>
          <w:sz w:val="28"/>
          <w:szCs w:val="32"/>
        </w:rPr>
        <w:t>6</w:t>
      </w:r>
      <w:r>
        <w:rPr>
          <w:rFonts w:hint="eastAsia"/>
          <w:b/>
          <w:bCs/>
          <w:sz w:val="28"/>
          <w:szCs w:val="32"/>
        </w:rPr>
        <w:t>.</w:t>
      </w:r>
      <w:r>
        <w:rPr>
          <w:b/>
          <w:bCs/>
          <w:sz w:val="28"/>
          <w:szCs w:val="32"/>
        </w:rPr>
        <w:t>7.1</w:t>
      </w:r>
      <w:r>
        <w:rPr>
          <w:rFonts w:hint="eastAsia"/>
          <w:b/>
          <w:bCs/>
          <w:sz w:val="28"/>
          <w:szCs w:val="32"/>
        </w:rPr>
        <w:t>封场后垃圾渗滤液影响分析</w:t>
      </w:r>
      <w:bookmarkEnd w:id="451"/>
    </w:p>
    <w:p>
      <w:pPr>
        <w:autoSpaceDE w:val="0"/>
        <w:autoSpaceDN w:val="0"/>
        <w:adjustRightInd w:val="0"/>
        <w:snapToGrid w:val="0"/>
        <w:spacing w:line="360" w:lineRule="auto"/>
        <w:ind w:firstLine="480" w:firstLineChars="200"/>
        <w:rPr>
          <w:kern w:val="0"/>
          <w:sz w:val="24"/>
        </w:rPr>
      </w:pPr>
      <w:r>
        <w:rPr>
          <w:rFonts w:hint="eastAsia"/>
          <w:kern w:val="0"/>
          <w:sz w:val="24"/>
        </w:rPr>
        <w:t>封场后填埋场范围内自然水基本被隔绝进入垃圾堆体，虽然由于工程等原因仍会有少量地表水可进入垃圾堆体，但垃圾渗滤液主要来自场内垃圾堆体发酵分解的渗滤液。</w:t>
      </w:r>
      <w:r>
        <w:rPr>
          <w:rFonts w:hint="eastAsia" w:ascii="宋体" w:hAnsi="宋体" w:cs="宋体"/>
          <w:kern w:val="0"/>
          <w:sz w:val="24"/>
        </w:rPr>
        <w:t xml:space="preserve">根据同类型垃圾填埋场封场后的监测数据，渗滤液主要成分 </w:t>
      </w:r>
      <w:r>
        <w:rPr>
          <w:rFonts w:hAnsi="宋体" w:cs="宋体"/>
          <w:kern w:val="0"/>
          <w:sz w:val="24"/>
        </w:rPr>
        <w:t>COD</w:t>
      </w:r>
      <w:r>
        <w:rPr>
          <w:rFonts w:hint="eastAsia" w:ascii="宋体" w:hAnsi="宋体" w:cs="宋体"/>
          <w:spacing w:val="5"/>
          <w:kern w:val="0"/>
          <w:sz w:val="24"/>
        </w:rPr>
        <w:t>、</w:t>
      </w:r>
      <w:r>
        <w:rPr>
          <w:rFonts w:hAnsi="宋体" w:cs="宋体"/>
          <w:kern w:val="0"/>
          <w:sz w:val="24"/>
        </w:rPr>
        <w:t>BOD</w:t>
      </w:r>
      <w:r>
        <w:rPr>
          <w:rFonts w:hAnsi="宋体" w:cs="宋体"/>
          <w:kern w:val="0"/>
          <w:sz w:val="24"/>
          <w:vertAlign w:val="subscript"/>
        </w:rPr>
        <w:t>5</w:t>
      </w:r>
      <w:r>
        <w:rPr>
          <w:rFonts w:hAnsi="宋体" w:cs="宋体"/>
          <w:kern w:val="0"/>
          <w:sz w:val="24"/>
        </w:rPr>
        <w:t xml:space="preserve"> </w:t>
      </w:r>
      <w:r>
        <w:rPr>
          <w:rFonts w:hint="eastAsia" w:ascii="宋体" w:hAnsi="宋体" w:cs="宋体"/>
          <w:spacing w:val="-30"/>
          <w:kern w:val="0"/>
          <w:sz w:val="24"/>
        </w:rPr>
        <w:t xml:space="preserve">和 </w:t>
      </w:r>
      <w:r>
        <w:rPr>
          <w:rFonts w:hAnsi="宋体" w:cs="宋体"/>
          <w:kern w:val="0"/>
          <w:sz w:val="24"/>
        </w:rPr>
        <w:t>NH</w:t>
      </w:r>
      <w:r>
        <w:rPr>
          <w:rFonts w:hAnsi="宋体" w:cs="宋体"/>
          <w:kern w:val="0"/>
          <w:sz w:val="24"/>
          <w:vertAlign w:val="subscript"/>
        </w:rPr>
        <w:t>3</w:t>
      </w:r>
      <w:r>
        <w:rPr>
          <w:rFonts w:hAnsi="宋体" w:cs="宋体"/>
          <w:kern w:val="0"/>
          <w:sz w:val="24"/>
        </w:rPr>
        <w:t xml:space="preserve">-N </w:t>
      </w:r>
      <w:r>
        <w:rPr>
          <w:rFonts w:hint="eastAsia" w:ascii="宋体" w:hAnsi="宋体" w:cs="宋体"/>
          <w:spacing w:val="-15"/>
          <w:kern w:val="0"/>
          <w:sz w:val="24"/>
        </w:rPr>
        <w:t xml:space="preserve">在封场 </w:t>
      </w:r>
      <w:r>
        <w:rPr>
          <w:rFonts w:hAnsi="宋体" w:cs="宋体"/>
          <w:kern w:val="0"/>
          <w:sz w:val="24"/>
        </w:rPr>
        <w:t xml:space="preserve">4 </w:t>
      </w:r>
      <w:r>
        <w:rPr>
          <w:rFonts w:hint="eastAsia" w:ascii="宋体" w:hAnsi="宋体" w:cs="宋体"/>
          <w:spacing w:val="-3"/>
          <w:kern w:val="0"/>
          <w:sz w:val="24"/>
        </w:rPr>
        <w:t xml:space="preserve">年后浓度仍然很高，估计要使其降到排放标准，大约需要 </w:t>
      </w:r>
      <w:r>
        <w:rPr>
          <w:rFonts w:hAnsi="宋体" w:cs="宋体"/>
          <w:kern w:val="0"/>
          <w:sz w:val="24"/>
        </w:rPr>
        <w:t xml:space="preserve">15 </w:t>
      </w:r>
      <w:r>
        <w:rPr>
          <w:rFonts w:hint="eastAsia" w:ascii="宋体" w:hAnsi="宋体" w:cs="宋体"/>
          <w:kern w:val="0"/>
          <w:sz w:val="24"/>
        </w:rPr>
        <w:t>年的时间。</w:t>
      </w:r>
    </w:p>
    <w:p>
      <w:pPr>
        <w:autoSpaceDE w:val="0"/>
        <w:autoSpaceDN w:val="0"/>
        <w:adjustRightInd w:val="0"/>
        <w:snapToGrid w:val="0"/>
        <w:spacing w:line="360" w:lineRule="auto"/>
        <w:ind w:firstLine="480" w:firstLineChars="200"/>
        <w:rPr>
          <w:kern w:val="0"/>
          <w:sz w:val="24"/>
        </w:rPr>
      </w:pPr>
      <w:r>
        <w:rPr>
          <w:rFonts w:hint="eastAsia"/>
          <w:kern w:val="0"/>
          <w:sz w:val="24"/>
        </w:rPr>
        <w:t>封场后进入后期维护与管理阶段的垃圾填埋场，应继续处理填埋场产生的渗滤液，并定期进行监测，直到填埋场产生的渗滤液中水污染物浓度连续两年低于《生活垃圾填埋场污染控制标准》（GB16889－2008）中表2 中的限值。</w:t>
      </w:r>
      <w:r>
        <w:rPr>
          <w:rFonts w:hint="eastAsia" w:ascii="宋体" w:hAnsi="宋体" w:cs="宋体"/>
          <w:kern w:val="0"/>
          <w:sz w:val="24"/>
        </w:rPr>
        <w:t>并经专家论证后再结束维护。</w:t>
      </w:r>
    </w:p>
    <w:p>
      <w:pPr>
        <w:keepNext/>
        <w:keepLines/>
        <w:numPr>
          <w:ilvl w:val="2"/>
          <w:numId w:val="0"/>
        </w:numPr>
        <w:spacing w:line="360" w:lineRule="auto"/>
        <w:ind w:left="720" w:hanging="720"/>
        <w:outlineLvl w:val="2"/>
        <w:rPr>
          <w:b/>
          <w:bCs/>
          <w:sz w:val="28"/>
          <w:szCs w:val="32"/>
        </w:rPr>
      </w:pPr>
      <w:bookmarkStart w:id="452" w:name="_Toc143762359"/>
      <w:r>
        <w:rPr>
          <w:rFonts w:hint="eastAsia"/>
          <w:b/>
          <w:bCs/>
          <w:sz w:val="28"/>
          <w:szCs w:val="32"/>
        </w:rPr>
        <w:t>6.7.</w:t>
      </w:r>
      <w:r>
        <w:rPr>
          <w:b/>
          <w:bCs/>
          <w:sz w:val="28"/>
          <w:szCs w:val="32"/>
        </w:rPr>
        <w:t>2</w:t>
      </w:r>
      <w:r>
        <w:rPr>
          <w:rFonts w:hint="eastAsia"/>
          <w:b/>
          <w:bCs/>
          <w:sz w:val="28"/>
          <w:szCs w:val="32"/>
        </w:rPr>
        <w:t>封场后填埋气体</w:t>
      </w:r>
      <w:bookmarkEnd w:id="452"/>
    </w:p>
    <w:p>
      <w:pPr>
        <w:autoSpaceDE w:val="0"/>
        <w:autoSpaceDN w:val="0"/>
        <w:adjustRightInd w:val="0"/>
        <w:snapToGrid w:val="0"/>
        <w:spacing w:line="360" w:lineRule="auto"/>
        <w:ind w:firstLine="480" w:firstLineChars="200"/>
        <w:rPr>
          <w:rFonts w:ascii="宋体" w:hAnsi="宋体" w:cs="宋体"/>
          <w:kern w:val="0"/>
          <w:sz w:val="24"/>
        </w:rPr>
      </w:pPr>
      <w:r>
        <w:rPr>
          <w:rFonts w:hint="eastAsia" w:ascii="宋体" w:hAnsi="宋体" w:cs="宋体"/>
          <w:kern w:val="0"/>
          <w:sz w:val="24"/>
        </w:rPr>
        <w:t>填埋气体甲烷的浓度在一定时间内仍然较高。因此封场后进入后期维护与管理阶段的生活垃圾填埋场，仍要确保填埋气体导排系统正常运转，并定期进行监测。</w:t>
      </w:r>
    </w:p>
    <w:p>
      <w:pPr>
        <w:autoSpaceDE w:val="0"/>
        <w:autoSpaceDN w:val="0"/>
        <w:adjustRightInd w:val="0"/>
        <w:snapToGrid w:val="0"/>
        <w:spacing w:line="360" w:lineRule="auto"/>
        <w:ind w:firstLine="480" w:firstLineChars="200"/>
        <w:rPr>
          <w:rFonts w:ascii="宋体" w:hAnsi="宋体" w:cs="宋体"/>
          <w:kern w:val="0"/>
          <w:sz w:val="24"/>
        </w:rPr>
      </w:pPr>
      <w:r>
        <w:rPr>
          <w:rFonts w:hint="eastAsia"/>
          <w:kern w:val="0"/>
          <w:sz w:val="24"/>
        </w:rPr>
        <w:t>封场后由于仍需后期维护需要有维护人员，因此，会产生生活垃圾。渗滤液调节池处理过程中会产生污泥。本项目封场后政府部门将新建符合要求的生活垃圾填埋场，因此后期产生的生活垃圾、污泥均运往新的填埋场进行处理。总体来说，垃圾填埋场封场后，填埋气体及渗滤液相关处理措施仍需进行运行，并且加强填埋气体和渗滤液的监测，降低填埋场封场后对环境的影响。</w:t>
      </w:r>
    </w:p>
    <w:p>
      <w:pPr>
        <w:autoSpaceDE w:val="0"/>
        <w:autoSpaceDN w:val="0"/>
        <w:adjustRightInd w:val="0"/>
        <w:snapToGrid w:val="0"/>
        <w:spacing w:line="360" w:lineRule="auto"/>
        <w:ind w:firstLine="480" w:firstLineChars="200"/>
        <w:rPr>
          <w:kern w:val="0"/>
          <w:sz w:val="24"/>
        </w:rPr>
      </w:pPr>
      <w:r>
        <w:rPr>
          <w:rFonts w:hint="eastAsia" w:ascii="宋体" w:hAnsi="宋体" w:cs="宋体"/>
          <w:kern w:val="0"/>
          <w:sz w:val="24"/>
        </w:rPr>
        <w:t>封场管理及绿化是任何填埋场整体管理系统不可缺少的一部分，按有关规定，填埋场到了使用寿命后，必须做好封场、后期管理以及绿化。做好封场、后期管理和绿化有利于防止雨水大量下渗；有利于避免垃圾降解过程中产生的有害气体和臭气直接释放到空气中造成空气污染；有利于防止有害废物直接与人体接触；有利于阻止或减少蚊、虫、鼠和细菌的孳生；有利于场地的再利用。可见，做好填埋场的封场管理及绿化是十分重要的。</w:t>
      </w:r>
    </w:p>
    <w:p>
      <w:pPr>
        <w:autoSpaceDE w:val="0"/>
        <w:autoSpaceDN w:val="0"/>
        <w:spacing w:line="360" w:lineRule="auto"/>
        <w:ind w:firstLine="480" w:firstLineChars="200"/>
        <w:rPr>
          <w:rFonts w:ascii="宋体" w:hAnsi="宋体" w:cs="宋体"/>
          <w:kern w:val="0"/>
          <w:sz w:val="24"/>
        </w:rPr>
      </w:pPr>
      <w:r>
        <w:rPr>
          <w:rFonts w:hint="eastAsia" w:ascii="宋体" w:hAnsi="宋体" w:cs="宋体"/>
          <w:kern w:val="0"/>
          <w:sz w:val="24"/>
        </w:rPr>
        <w:t>此外，需要加强封场后的生态恢复，绿化工程对于改善填埋场的环境质量十分重要。随着填埋活动的结束和生态环境综合整治措施的落实，生态环境将会得到逐步改善。总体看来，封场后生态环境将逐步得到恢复。</w:t>
      </w:r>
    </w:p>
    <w:p>
      <w:pPr>
        <w:widowControl/>
        <w:jc w:val="left"/>
        <w:rPr>
          <w:rFonts w:ascii="宋体" w:hAnsi="宋体" w:cs="宋体"/>
          <w:kern w:val="0"/>
          <w:sz w:val="22"/>
          <w:szCs w:val="22"/>
        </w:rPr>
        <w:sectPr>
          <w:pgSz w:w="11910" w:h="16840"/>
          <w:pgMar w:top="1440" w:right="1800" w:bottom="1440" w:left="1800" w:header="850" w:footer="850" w:gutter="0"/>
          <w:cols w:space="720" w:num="1"/>
          <w:docGrid w:linePitch="286" w:charSpace="0"/>
        </w:sectPr>
      </w:pPr>
    </w:p>
    <w:bookmarkEnd w:id="425"/>
    <w:bookmarkEnd w:id="426"/>
    <w:bookmarkEnd w:id="427"/>
    <w:bookmarkEnd w:id="428"/>
    <w:bookmarkEnd w:id="429"/>
    <w:bookmarkEnd w:id="430"/>
    <w:bookmarkEnd w:id="431"/>
    <w:bookmarkEnd w:id="432"/>
    <w:p>
      <w:pPr>
        <w:pStyle w:val="823"/>
        <w:adjustRightInd/>
        <w:spacing w:before="120" w:beforeLines="50" w:afterLines="50" w:line="360" w:lineRule="auto"/>
        <w:rPr>
          <w:rFonts w:cs="Times New Roman"/>
        </w:rPr>
      </w:pPr>
      <w:bookmarkStart w:id="453" w:name="_Toc143762360"/>
      <w:bookmarkStart w:id="454" w:name="_Toc489433113"/>
      <w:r>
        <w:rPr>
          <w:rFonts w:cs="Times New Roman"/>
        </w:rPr>
        <w:t>7环境风险分析</w:t>
      </w:r>
      <w:bookmarkEnd w:id="453"/>
      <w:bookmarkEnd w:id="454"/>
    </w:p>
    <w:p>
      <w:pPr>
        <w:pStyle w:val="3"/>
        <w:keepNext w:val="0"/>
        <w:keepLines w:val="0"/>
        <w:spacing w:before="120" w:after="120"/>
        <w:rPr>
          <w:rFonts w:ascii="Times New Roman" w:hAnsi="Times New Roman" w:eastAsia="宋体"/>
        </w:rPr>
      </w:pPr>
      <w:bookmarkStart w:id="455" w:name="_Toc409114530"/>
      <w:bookmarkStart w:id="456" w:name="_Toc374714390"/>
      <w:bookmarkStart w:id="457" w:name="_Toc422845091"/>
      <w:bookmarkStart w:id="458" w:name="_Toc489433114"/>
      <w:bookmarkStart w:id="459" w:name="_Toc143762361"/>
      <w:r>
        <w:rPr>
          <w:rFonts w:ascii="Times New Roman" w:hAnsi="Times New Roman" w:eastAsia="宋体"/>
        </w:rPr>
        <w:t>7.1</w:t>
      </w:r>
      <w:bookmarkEnd w:id="455"/>
      <w:bookmarkEnd w:id="456"/>
      <w:bookmarkEnd w:id="457"/>
      <w:bookmarkEnd w:id="458"/>
      <w:r>
        <w:rPr>
          <w:rFonts w:hint="eastAsia" w:ascii="Times New Roman" w:hAnsi="Times New Roman" w:eastAsia="宋体"/>
        </w:rPr>
        <w:t>风险调查</w:t>
      </w:r>
      <w:bookmarkEnd w:id="459"/>
    </w:p>
    <w:p>
      <w:pPr>
        <w:pStyle w:val="44"/>
        <w:ind w:firstLine="480"/>
        <w:rPr>
          <w:rFonts w:cs="Times New Roman"/>
          <w:kern w:val="0"/>
          <w:szCs w:val="24"/>
        </w:rPr>
      </w:pPr>
      <w:r>
        <w:rPr>
          <w:rFonts w:hint="eastAsia" w:cs="Times New Roman"/>
          <w:kern w:val="0"/>
          <w:szCs w:val="24"/>
        </w:rPr>
        <w:t>本项目为生活垃圾填埋场，为一般固体废物，根据《建设项目环境风险评价技术导则》（</w:t>
      </w:r>
      <w:r>
        <w:rPr>
          <w:rFonts w:cs="Times New Roman"/>
          <w:kern w:val="0"/>
          <w:szCs w:val="24"/>
        </w:rPr>
        <w:t>HJ 169</w:t>
      </w:r>
      <w:r>
        <w:rPr>
          <w:rFonts w:hint="eastAsia" w:cs="Times New Roman"/>
          <w:kern w:val="0"/>
          <w:szCs w:val="24"/>
        </w:rPr>
        <w:t>－</w:t>
      </w:r>
      <w:r>
        <w:rPr>
          <w:rFonts w:cs="Times New Roman"/>
          <w:kern w:val="0"/>
          <w:szCs w:val="24"/>
        </w:rPr>
        <w:t>2018</w:t>
      </w:r>
      <w:r>
        <w:rPr>
          <w:rFonts w:hint="eastAsia" w:cs="Times New Roman"/>
          <w:kern w:val="0"/>
          <w:szCs w:val="24"/>
        </w:rPr>
        <w:t xml:space="preserve">）附录 </w:t>
      </w:r>
      <w:r>
        <w:rPr>
          <w:rFonts w:cs="Times New Roman"/>
          <w:kern w:val="0"/>
          <w:szCs w:val="24"/>
        </w:rPr>
        <w:t>B</w:t>
      </w:r>
      <w:r>
        <w:rPr>
          <w:rFonts w:hint="eastAsia" w:cs="Times New Roman"/>
          <w:kern w:val="0"/>
          <w:szCs w:val="24"/>
        </w:rPr>
        <w:t>，拟建项目主要风险物质为填埋场产生的填埋气体中的硫化氢、甲烷、氨及产生的渗滤液，主要风险物质安全技术说明书（</w:t>
      </w:r>
      <w:r>
        <w:rPr>
          <w:rFonts w:cs="Times New Roman"/>
          <w:kern w:val="0"/>
          <w:szCs w:val="24"/>
        </w:rPr>
        <w:t>MSDS</w:t>
      </w:r>
      <w:r>
        <w:rPr>
          <w:rFonts w:hint="eastAsia" w:cs="Times New Roman"/>
          <w:kern w:val="0"/>
          <w:szCs w:val="24"/>
        </w:rPr>
        <w:t>）如下：</w:t>
      </w:r>
    </w:p>
    <w:p>
      <w:pPr>
        <w:pStyle w:val="939"/>
        <w:adjustRightInd w:val="0"/>
        <w:snapToGrid w:val="0"/>
        <w:spacing w:line="240" w:lineRule="auto"/>
        <w:ind w:firstLine="482"/>
        <w:jc w:val="center"/>
        <w:rPr>
          <w:b/>
        </w:rPr>
      </w:pPr>
      <w:r>
        <w:rPr>
          <w:rFonts w:hint="eastAsia"/>
          <w:b/>
        </w:rPr>
        <w:t>表</w:t>
      </w:r>
      <w:r>
        <w:rPr>
          <w:b/>
        </w:rPr>
        <w:t>7.1-1</w:t>
      </w:r>
      <w:r>
        <w:rPr>
          <w:b/>
        </w:rPr>
        <w:tab/>
      </w:r>
      <w:r>
        <w:rPr>
          <w:rFonts w:hint="eastAsia"/>
          <w:b/>
        </w:rPr>
        <w:t xml:space="preserve">氨 </w:t>
      </w:r>
      <w:r>
        <w:rPr>
          <w:b/>
        </w:rPr>
        <w:t xml:space="preserve">MSDS </w:t>
      </w:r>
      <w:r>
        <w:rPr>
          <w:rFonts w:hint="eastAsia"/>
          <w:b/>
        </w:rPr>
        <w:t>资料表</w:t>
      </w:r>
    </w:p>
    <w:tbl>
      <w:tblPr>
        <w:tblStyle w:val="87"/>
        <w:tblW w:w="5000"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52"/>
        <w:gridCol w:w="2357"/>
        <w:gridCol w:w="1698"/>
        <w:gridCol w:w="1871"/>
        <w:gridCol w:w="199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434" w:type="pct"/>
            <w:vMerge w:val="restart"/>
            <w:tcBorders>
              <w:top w:val="single" w:color="auto" w:sz="1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标识</w:t>
            </w:r>
          </w:p>
        </w:tc>
        <w:tc>
          <w:tcPr>
            <w:tcW w:w="1359" w:type="pct"/>
            <w:tcBorders>
              <w:top w:val="single" w:color="auto" w:sz="1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中文名： 氨</w:t>
            </w:r>
          </w:p>
        </w:tc>
        <w:tc>
          <w:tcPr>
            <w:tcW w:w="2058" w:type="pct"/>
            <w:gridSpan w:val="2"/>
            <w:tcBorders>
              <w:top w:val="single" w:color="auto" w:sz="1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英文名：ammonia</w:t>
            </w:r>
          </w:p>
        </w:tc>
        <w:tc>
          <w:tcPr>
            <w:tcW w:w="1149" w:type="pct"/>
            <w:tcBorders>
              <w:top w:val="single" w:color="auto" w:sz="1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分子式：NH</w:t>
            </w:r>
            <w:r>
              <w:rPr>
                <w:rFonts w:ascii="Times New Roman" w:hAnsi="Times New Roman" w:cs="Times New Roman"/>
                <w:sz w:val="21"/>
                <w:szCs w:val="21"/>
                <w:vertAlign w:val="subscript"/>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434" w:type="pct"/>
            <w:vMerge w:val="continue"/>
            <w:tcBorders>
              <w:top w:val="single" w:color="000000" w:sz="12" w:space="0"/>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分子量：17.03</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CAS</w:t>
            </w:r>
            <w:r>
              <w:rPr>
                <w:rFonts w:ascii="Times New Roman" w:hAnsi="Times New Roman" w:cs="Times New Roman"/>
                <w:spacing w:val="50"/>
                <w:sz w:val="21"/>
                <w:szCs w:val="21"/>
              </w:rPr>
              <w:t xml:space="preserve"> </w:t>
            </w:r>
            <w:r>
              <w:rPr>
                <w:rFonts w:ascii="Times New Roman" w:hAnsi="Times New Roman" w:cs="Times New Roman"/>
                <w:sz w:val="21"/>
                <w:szCs w:val="21"/>
              </w:rPr>
              <w:t>号：7664-41-7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34" w:type="pct"/>
            <w:vMerge w:val="restart"/>
            <w:tcBorders>
              <w:top w:val="nil"/>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理化性质</w:t>
            </w: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性状： 无色有刺激性恶臭的气体</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1359" w:type="pct"/>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熔点</w:t>
            </w:r>
            <w:r>
              <w:rPr>
                <w:rFonts w:ascii="Times New Roman" w:hAnsi="Times New Roman" w:cs="Times New Roman"/>
                <w:spacing w:val="-3"/>
                <w:sz w:val="21"/>
                <w:szCs w:val="21"/>
              </w:rPr>
              <w:t>（</w:t>
            </w:r>
            <w:r>
              <w:rPr>
                <w:rFonts w:ascii="Times New Roman" w:hAnsi="Times New Roman" w:cs="Times New Roman"/>
                <w:sz w:val="21"/>
                <w:szCs w:val="21"/>
              </w:rPr>
              <w:t>℃</w:t>
            </w:r>
            <w:r>
              <w:rPr>
                <w:rFonts w:ascii="Times New Roman" w:hAnsi="Times New Roman" w:cs="Times New Roman"/>
                <w:spacing w:val="-108"/>
                <w:sz w:val="21"/>
                <w:szCs w:val="21"/>
              </w:rPr>
              <w:t>）</w:t>
            </w:r>
            <w:r>
              <w:rPr>
                <w:rFonts w:ascii="Times New Roman" w:hAnsi="Times New Roman" w:cs="Times New Roman"/>
                <w:sz w:val="21"/>
                <w:szCs w:val="21"/>
              </w:rPr>
              <w:t>：</w:t>
            </w:r>
            <w:r>
              <w:rPr>
                <w:rFonts w:ascii="Times New Roman" w:hAnsi="Times New Roman" w:cs="Times New Roman"/>
                <w:spacing w:val="-4"/>
                <w:sz w:val="21"/>
                <w:szCs w:val="21"/>
              </w:rPr>
              <w:t>-</w:t>
            </w:r>
            <w:r>
              <w:rPr>
                <w:rFonts w:ascii="Times New Roman" w:hAnsi="Times New Roman" w:cs="Times New Roman"/>
                <w:sz w:val="21"/>
                <w:szCs w:val="21"/>
              </w:rPr>
              <w:t>77.7</w:t>
            </w:r>
          </w:p>
        </w:tc>
        <w:tc>
          <w:tcPr>
            <w:tcW w:w="3207" w:type="pct"/>
            <w:gridSpan w:val="3"/>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溶解性：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沸点</w:t>
            </w:r>
            <w:r>
              <w:rPr>
                <w:rFonts w:ascii="Times New Roman" w:hAnsi="Times New Roman" w:cs="Times New Roman"/>
                <w:spacing w:val="-3"/>
                <w:sz w:val="21"/>
                <w:szCs w:val="21"/>
              </w:rPr>
              <w:t>（</w:t>
            </w:r>
            <w:r>
              <w:rPr>
                <w:rFonts w:ascii="Times New Roman" w:hAnsi="Times New Roman" w:cs="Times New Roman"/>
                <w:sz w:val="21"/>
                <w:szCs w:val="21"/>
              </w:rPr>
              <w:t>℃</w:t>
            </w:r>
            <w:r>
              <w:rPr>
                <w:rFonts w:ascii="Times New Roman" w:hAnsi="Times New Roman" w:cs="Times New Roman"/>
                <w:spacing w:val="-108"/>
                <w:sz w:val="21"/>
                <w:szCs w:val="21"/>
              </w:rPr>
              <w:t>）</w:t>
            </w:r>
            <w:r>
              <w:rPr>
                <w:rFonts w:ascii="Times New Roman" w:hAnsi="Times New Roman" w:cs="Times New Roman"/>
                <w:sz w:val="21"/>
                <w:szCs w:val="21"/>
              </w:rPr>
              <w:t>：</w:t>
            </w:r>
            <w:r>
              <w:rPr>
                <w:rFonts w:ascii="Times New Roman" w:hAnsi="Times New Roman" w:cs="Times New Roman"/>
                <w:spacing w:val="-4"/>
                <w:sz w:val="21"/>
                <w:szCs w:val="21"/>
              </w:rPr>
              <w:t>-</w:t>
            </w:r>
            <w:r>
              <w:rPr>
                <w:rFonts w:ascii="Times New Roman" w:hAnsi="Times New Roman" w:cs="Times New Roman"/>
                <w:sz w:val="21"/>
                <w:szCs w:val="21"/>
              </w:rPr>
              <w:t>33.5</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相对密度（水=1）：0.82(-79℃)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pacing w:val="-2"/>
                <w:sz w:val="21"/>
                <w:szCs w:val="21"/>
              </w:rPr>
              <w:t>饱和蒸气压</w:t>
            </w:r>
            <w:r>
              <w:rPr>
                <w:rFonts w:ascii="Times New Roman" w:hAnsi="Times New Roman" w:cs="Times New Roman"/>
                <w:spacing w:val="-1"/>
                <w:sz w:val="21"/>
                <w:szCs w:val="21"/>
              </w:rPr>
              <w:t>（</w:t>
            </w:r>
            <w:r>
              <w:rPr>
                <w:rFonts w:ascii="Times New Roman" w:hAnsi="Times New Roman" w:cs="Times New Roman"/>
                <w:spacing w:val="-3"/>
                <w:sz w:val="21"/>
                <w:szCs w:val="21"/>
              </w:rPr>
              <w:t>k</w:t>
            </w:r>
            <w:r>
              <w:rPr>
                <w:rFonts w:ascii="Times New Roman" w:hAnsi="Times New Roman" w:cs="Times New Roman"/>
                <w:sz w:val="21"/>
                <w:szCs w:val="21"/>
              </w:rPr>
              <w:t>Pa</w:t>
            </w:r>
            <w:r>
              <w:rPr>
                <w:rFonts w:ascii="Times New Roman" w:hAnsi="Times New Roman" w:cs="Times New Roman"/>
                <w:spacing w:val="-106"/>
                <w:sz w:val="21"/>
                <w:szCs w:val="21"/>
              </w:rPr>
              <w:t>）</w:t>
            </w:r>
            <w:r>
              <w:rPr>
                <w:rFonts w:ascii="Times New Roman" w:hAnsi="Times New Roman" w:cs="Times New Roman"/>
                <w:spacing w:val="-3"/>
                <w:sz w:val="21"/>
                <w:szCs w:val="21"/>
              </w:rPr>
              <w:t>：</w:t>
            </w:r>
            <w:r>
              <w:rPr>
                <w:rFonts w:ascii="Times New Roman" w:hAnsi="Times New Roman" w:cs="Times New Roman"/>
                <w:sz w:val="21"/>
                <w:szCs w:val="21"/>
              </w:rPr>
              <w:t>506</w:t>
            </w:r>
            <w:r>
              <w:rPr>
                <w:rFonts w:ascii="Times New Roman" w:hAnsi="Times New Roman" w:cs="Times New Roman"/>
                <w:spacing w:val="-3"/>
                <w:sz w:val="21"/>
                <w:szCs w:val="21"/>
              </w:rPr>
              <w:t>.6</w:t>
            </w:r>
            <w:r>
              <w:rPr>
                <w:rFonts w:ascii="Times New Roman" w:hAnsi="Times New Roman" w:cs="Times New Roman"/>
                <w:sz w:val="21"/>
                <w:szCs w:val="21"/>
              </w:rPr>
              <w:t>2</w:t>
            </w:r>
            <w:r>
              <w:rPr>
                <w:rFonts w:ascii="Times New Roman" w:hAnsi="Times New Roman" w:cs="Times New Roman"/>
                <w:spacing w:val="-3"/>
                <w:sz w:val="21"/>
                <w:szCs w:val="21"/>
              </w:rPr>
              <w:t>k</w:t>
            </w:r>
            <w:r>
              <w:rPr>
                <w:rFonts w:ascii="Times New Roman" w:hAnsi="Times New Roman" w:cs="Times New Roman"/>
                <w:spacing w:val="1"/>
                <w:sz w:val="21"/>
                <w:szCs w:val="21"/>
              </w:rPr>
              <w:t>P</w:t>
            </w:r>
            <w:r>
              <w:rPr>
                <w:rFonts w:ascii="Times New Roman" w:hAnsi="Times New Roman" w:cs="Times New Roman"/>
                <w:sz w:val="21"/>
                <w:szCs w:val="21"/>
              </w:rPr>
              <w:t>a</w:t>
            </w:r>
            <w:r>
              <w:rPr>
                <w:rFonts w:ascii="Times New Roman" w:hAnsi="Times New Roman" w:cs="Times New Roman"/>
                <w:spacing w:val="-1"/>
                <w:sz w:val="21"/>
                <w:szCs w:val="21"/>
              </w:rPr>
              <w:t>(</w:t>
            </w:r>
            <w:r>
              <w:rPr>
                <w:rFonts w:ascii="Times New Roman" w:hAnsi="Times New Roman" w:cs="Times New Roman"/>
                <w:sz w:val="21"/>
                <w:szCs w:val="21"/>
              </w:rPr>
              <w:t>4.</w:t>
            </w:r>
            <w:r>
              <w:rPr>
                <w:rFonts w:ascii="Times New Roman" w:hAnsi="Times New Roman" w:cs="Times New Roman"/>
                <w:spacing w:val="-3"/>
                <w:sz w:val="21"/>
                <w:szCs w:val="21"/>
              </w:rPr>
              <w:t>7</w:t>
            </w:r>
            <w:r>
              <w:rPr>
                <w:rFonts w:ascii="Times New Roman" w:hAnsi="Times New Roman" w:cs="Times New Roman"/>
                <w:sz w:val="21"/>
                <w:szCs w:val="21"/>
              </w:rPr>
              <w:t>℃)</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相对密度（空气=1）：0.6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pacing w:val="-1"/>
                <w:sz w:val="21"/>
                <w:szCs w:val="21"/>
              </w:rPr>
              <w:t>临界温度</w:t>
            </w:r>
            <w:r>
              <w:rPr>
                <w:rFonts w:ascii="Times New Roman" w:hAnsi="Times New Roman" w:cs="Times New Roman"/>
                <w:spacing w:val="-3"/>
                <w:sz w:val="21"/>
                <w:szCs w:val="21"/>
              </w:rPr>
              <w:t>（</w:t>
            </w:r>
            <w:r>
              <w:rPr>
                <w:rFonts w:ascii="Times New Roman" w:hAnsi="Times New Roman" w:cs="Times New Roman"/>
                <w:sz w:val="21"/>
                <w:szCs w:val="21"/>
              </w:rPr>
              <w:t>℃</w:t>
            </w:r>
            <w:r>
              <w:rPr>
                <w:rFonts w:ascii="Times New Roman" w:hAnsi="Times New Roman" w:cs="Times New Roman"/>
                <w:spacing w:val="-108"/>
                <w:sz w:val="21"/>
                <w:szCs w:val="21"/>
              </w:rPr>
              <w:t>）</w:t>
            </w:r>
            <w:r>
              <w:rPr>
                <w:rFonts w:ascii="Times New Roman" w:hAnsi="Times New Roman" w:cs="Times New Roman"/>
                <w:sz w:val="21"/>
                <w:szCs w:val="21"/>
              </w:rPr>
              <w:t>：13</w:t>
            </w:r>
            <w:r>
              <w:rPr>
                <w:rFonts w:ascii="Times New Roman" w:hAnsi="Times New Roman" w:cs="Times New Roman"/>
                <w:spacing w:val="-3"/>
                <w:sz w:val="21"/>
                <w:szCs w:val="21"/>
              </w:rPr>
              <w:t>2</w:t>
            </w:r>
            <w:r>
              <w:rPr>
                <w:rFonts w:ascii="Times New Roman" w:hAnsi="Times New Roman" w:cs="Times New Roman"/>
                <w:sz w:val="21"/>
                <w:szCs w:val="21"/>
              </w:rPr>
              <w:t>.5</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燃烧热（kJ·mol -1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pacing w:val="-1"/>
                <w:sz w:val="21"/>
                <w:szCs w:val="21"/>
              </w:rPr>
              <w:t>临界压力</w:t>
            </w:r>
            <w:r>
              <w:rPr>
                <w:rFonts w:ascii="Times New Roman" w:hAnsi="Times New Roman" w:cs="Times New Roman"/>
                <w:spacing w:val="-3"/>
                <w:sz w:val="21"/>
                <w:szCs w:val="21"/>
              </w:rPr>
              <w:t>（M</w:t>
            </w:r>
            <w:r>
              <w:rPr>
                <w:rFonts w:ascii="Times New Roman" w:hAnsi="Times New Roman" w:cs="Times New Roman"/>
                <w:spacing w:val="1"/>
                <w:sz w:val="21"/>
                <w:szCs w:val="21"/>
              </w:rPr>
              <w:t>P</w:t>
            </w:r>
            <w:r>
              <w:rPr>
                <w:rFonts w:ascii="Times New Roman" w:hAnsi="Times New Roman" w:cs="Times New Roman"/>
                <w:sz w:val="21"/>
                <w:szCs w:val="21"/>
              </w:rPr>
              <w:t>a</w:t>
            </w:r>
            <w:r>
              <w:rPr>
                <w:rFonts w:ascii="Times New Roman" w:hAnsi="Times New Roman" w:cs="Times New Roman"/>
                <w:spacing w:val="-108"/>
                <w:sz w:val="21"/>
                <w:szCs w:val="21"/>
              </w:rPr>
              <w:t>）</w:t>
            </w:r>
            <w:r>
              <w:rPr>
                <w:rFonts w:ascii="Times New Roman" w:hAnsi="Times New Roman" w:cs="Times New Roman"/>
                <w:sz w:val="21"/>
                <w:szCs w:val="21"/>
              </w:rPr>
              <w:t>：</w:t>
            </w:r>
            <w:r>
              <w:rPr>
                <w:rFonts w:ascii="Times New Roman" w:hAnsi="Times New Roman" w:cs="Times New Roman"/>
                <w:spacing w:val="-10"/>
                <w:sz w:val="21"/>
                <w:szCs w:val="21"/>
              </w:rPr>
              <w:t>1</w:t>
            </w:r>
            <w:r>
              <w:rPr>
                <w:rFonts w:ascii="Times New Roman" w:hAnsi="Times New Roman" w:cs="Times New Roman"/>
                <w:sz w:val="21"/>
                <w:szCs w:val="21"/>
              </w:rPr>
              <w:t>1.40</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自燃温度（℃）：651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434" w:type="pct"/>
            <w:vMerge w:val="restart"/>
            <w:tcBorders>
              <w:top w:val="nil"/>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燃烧爆炸危险性</w:t>
            </w: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燃爆危险：本品易燃，有毒，具刺激性</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燃烧（分解）产物：氧化氮、氨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闪点</w:t>
            </w:r>
            <w:r>
              <w:rPr>
                <w:rFonts w:ascii="Times New Roman" w:hAnsi="Times New Roman" w:cs="Times New Roman"/>
                <w:spacing w:val="-3"/>
                <w:sz w:val="21"/>
                <w:szCs w:val="21"/>
              </w:rPr>
              <w:t>（</w:t>
            </w:r>
            <w:r>
              <w:rPr>
                <w:rFonts w:ascii="Times New Roman" w:hAnsi="Times New Roman" w:cs="Times New Roman"/>
                <w:sz w:val="21"/>
                <w:szCs w:val="21"/>
              </w:rPr>
              <w:t>℃</w:t>
            </w:r>
            <w:r>
              <w:rPr>
                <w:rFonts w:ascii="Times New Roman" w:hAnsi="Times New Roman" w:cs="Times New Roman"/>
                <w:spacing w:val="-108"/>
                <w:sz w:val="21"/>
                <w:szCs w:val="21"/>
              </w:rPr>
              <w:t>）</w:t>
            </w:r>
            <w:r>
              <w:rPr>
                <w:rFonts w:ascii="Times New Roman" w:hAnsi="Times New Roman" w:cs="Times New Roman"/>
                <w:sz w:val="21"/>
                <w:szCs w:val="21"/>
              </w:rPr>
              <w:t>：/</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聚合危害：/</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pacing w:val="-1"/>
                <w:sz w:val="21"/>
                <w:szCs w:val="21"/>
              </w:rPr>
              <w:t>爆炸极限</w:t>
            </w:r>
            <w:r>
              <w:rPr>
                <w:rFonts w:ascii="Times New Roman" w:hAnsi="Times New Roman" w:cs="Times New Roman"/>
                <w:spacing w:val="-3"/>
                <w:sz w:val="21"/>
                <w:szCs w:val="21"/>
              </w:rPr>
              <w:t>（</w:t>
            </w:r>
            <w:r>
              <w:rPr>
                <w:rFonts w:ascii="Times New Roman" w:hAnsi="Times New Roman" w:cs="Times New Roman"/>
                <w:sz w:val="21"/>
                <w:szCs w:val="21"/>
              </w:rPr>
              <w:t>V</w:t>
            </w:r>
            <w:r>
              <w:rPr>
                <w:rFonts w:ascii="Times New Roman" w:hAnsi="Times New Roman" w:cs="Times New Roman"/>
                <w:spacing w:val="-4"/>
                <w:sz w:val="21"/>
                <w:szCs w:val="21"/>
              </w:rPr>
              <w:t>%</w:t>
            </w:r>
            <w:r>
              <w:rPr>
                <w:rFonts w:ascii="Times New Roman" w:hAnsi="Times New Roman" w:cs="Times New Roman"/>
                <w:spacing w:val="-106"/>
                <w:sz w:val="21"/>
                <w:szCs w:val="21"/>
              </w:rPr>
              <w:t>）</w:t>
            </w:r>
            <w:r>
              <w:rPr>
                <w:rFonts w:ascii="Times New Roman" w:hAnsi="Times New Roman" w:cs="Times New Roman"/>
                <w:spacing w:val="-3"/>
                <w:sz w:val="21"/>
                <w:szCs w:val="21"/>
              </w:rPr>
              <w:t>：上限：2</w:t>
            </w:r>
            <w:r>
              <w:rPr>
                <w:rFonts w:ascii="Times New Roman" w:hAnsi="Times New Roman" w:cs="Times New Roman"/>
                <w:sz w:val="21"/>
                <w:szCs w:val="21"/>
              </w:rPr>
              <w:t>7.</w:t>
            </w:r>
            <w:r>
              <w:rPr>
                <w:rFonts w:ascii="Times New Roman" w:hAnsi="Times New Roman" w:cs="Times New Roman"/>
                <w:spacing w:val="-1"/>
                <w:sz w:val="21"/>
                <w:szCs w:val="21"/>
              </w:rPr>
              <w:t>4</w:t>
            </w:r>
            <w:r>
              <w:rPr>
                <w:rFonts w:ascii="Times New Roman" w:hAnsi="Times New Roman" w:cs="Times New Roman"/>
                <w:spacing w:val="-3"/>
                <w:sz w:val="21"/>
                <w:szCs w:val="21"/>
              </w:rPr>
              <w:t>；下限：</w:t>
            </w:r>
            <w:r>
              <w:rPr>
                <w:rFonts w:ascii="Times New Roman" w:hAnsi="Times New Roman" w:cs="Times New Roman"/>
                <w:sz w:val="21"/>
                <w:szCs w:val="21"/>
              </w:rPr>
              <w:t>15.7</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稳定性：稳定</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pacing w:val="-1"/>
                <w:sz w:val="21"/>
                <w:szCs w:val="21"/>
              </w:rPr>
              <w:t>引燃温度</w:t>
            </w:r>
            <w:r>
              <w:rPr>
                <w:rFonts w:ascii="Times New Roman" w:hAnsi="Times New Roman" w:cs="Times New Roman"/>
                <w:spacing w:val="-3"/>
                <w:sz w:val="21"/>
                <w:szCs w:val="21"/>
              </w:rPr>
              <w:t>（</w:t>
            </w:r>
            <w:r>
              <w:rPr>
                <w:rFonts w:ascii="Times New Roman" w:hAnsi="Times New Roman" w:cs="Times New Roman"/>
                <w:sz w:val="21"/>
                <w:szCs w:val="21"/>
              </w:rPr>
              <w:t>℃</w:t>
            </w:r>
            <w:r>
              <w:rPr>
                <w:rFonts w:ascii="Times New Roman" w:hAnsi="Times New Roman" w:cs="Times New Roman"/>
                <w:spacing w:val="-108"/>
                <w:sz w:val="21"/>
                <w:szCs w:val="21"/>
              </w:rPr>
              <w:t>）</w:t>
            </w:r>
            <w:r>
              <w:rPr>
                <w:rFonts w:ascii="Times New Roman" w:hAnsi="Times New Roman" w:cs="Times New Roman"/>
                <w:sz w:val="21"/>
                <w:szCs w:val="21"/>
              </w:rPr>
              <w:t>：651</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禁忌物：卤素、酰基氯、酸类、氯仿、强 氧化剂</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pacing w:val="1"/>
                <w:sz w:val="21"/>
                <w:szCs w:val="21"/>
              </w:rPr>
              <w:t>危险特性：与空气混合能形成爆炸性混合物。遇明火、高热能引起燃烧爆炸。与</w:t>
            </w:r>
            <w:r>
              <w:rPr>
                <w:rFonts w:ascii="Times New Roman" w:hAnsi="Times New Roman" w:cs="Times New Roman"/>
                <w:sz w:val="21"/>
                <w:szCs w:val="21"/>
              </w:rPr>
              <w:t xml:space="preserve"> 氟、氯等接触会发生剧烈的化学反应。若遇高热，容器内压增大，有开裂和爆炸的危险</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5"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灭火方法：消防人员必须穿戴全身防火防毒服。切断气源。若不能立即切断气源， </w:t>
            </w:r>
            <w:r>
              <w:rPr>
                <w:rFonts w:ascii="Times New Roman" w:hAnsi="Times New Roman" w:cs="Times New Roman"/>
                <w:spacing w:val="1"/>
                <w:sz w:val="21"/>
                <w:szCs w:val="21"/>
              </w:rPr>
              <w:t>则不允许熄灭正在燃烧的气体。喷水冷却容器，可能的话将容器从火场移至空旷</w:t>
            </w:r>
            <w:r>
              <w:rPr>
                <w:rFonts w:ascii="Times New Roman" w:hAnsi="Times New Roman" w:cs="Times New Roman"/>
                <w:sz w:val="21"/>
                <w:szCs w:val="21"/>
              </w:rPr>
              <w:t xml:space="preserve"> 处。灭火剂：雾状水、抗溶性泡沫、二氧化碳、砂土。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08" w:hRule="atLeast"/>
        </w:trPr>
        <w:tc>
          <w:tcPr>
            <w:tcW w:w="434" w:type="pct"/>
            <w:tcBorders>
              <w:top w:val="single" w:color="000000" w:sz="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毒性</w:t>
            </w: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毒性：属低毒类。 急性毒性：LD</w:t>
            </w:r>
            <w:r>
              <w:rPr>
                <w:rFonts w:ascii="Times New Roman" w:hAnsi="Times New Roman" w:cs="Times New Roman"/>
                <w:sz w:val="21"/>
                <w:szCs w:val="21"/>
                <w:vertAlign w:val="subscript"/>
              </w:rPr>
              <w:t>50</w:t>
            </w:r>
            <w:r>
              <w:rPr>
                <w:rFonts w:ascii="Times New Roman" w:hAnsi="Times New Roman" w:cs="Times New Roman"/>
                <w:sz w:val="21"/>
                <w:szCs w:val="21"/>
              </w:rPr>
              <w:t>350mg/kg(大鼠经口)；LC</w:t>
            </w:r>
            <w:r>
              <w:rPr>
                <w:rFonts w:ascii="Times New Roman" w:hAnsi="Times New Roman" w:cs="Times New Roman"/>
                <w:sz w:val="21"/>
                <w:szCs w:val="21"/>
                <w:vertAlign w:val="subscript"/>
              </w:rPr>
              <w:t>50</w:t>
            </w:r>
            <w:r>
              <w:rPr>
                <w:rFonts w:ascii="Times New Roman" w:hAnsi="Times New Roman" w:cs="Times New Roman"/>
                <w:sz w:val="21"/>
                <w:szCs w:val="21"/>
              </w:rPr>
              <w:t>1390mg/m</w:t>
            </w:r>
            <w:r>
              <w:rPr>
                <w:rFonts w:ascii="Times New Roman" w:hAnsi="Times New Roman" w:cs="Times New Roman"/>
                <w:sz w:val="21"/>
                <w:szCs w:val="21"/>
                <w:vertAlign w:val="superscript"/>
              </w:rPr>
              <w:t>3</w:t>
            </w:r>
            <w:r>
              <w:rPr>
                <w:rFonts w:ascii="Times New Roman" w:hAnsi="Times New Roman" w:cs="Times New Roman"/>
                <w:sz w:val="21"/>
                <w:szCs w:val="21"/>
              </w:rPr>
              <w:t>，4小时，(大鼠吸入)。刺激性：家兔经眼：100ppm，重度刺激。 亚急性慢性毒性：大鼠，20mg/m</w:t>
            </w:r>
            <w:r>
              <w:rPr>
                <w:rFonts w:ascii="Times New Roman" w:hAnsi="Times New Roman" w:cs="Times New Roman"/>
                <w:sz w:val="21"/>
                <w:szCs w:val="21"/>
                <w:vertAlign w:val="superscript"/>
              </w:rPr>
              <w:t>3</w:t>
            </w:r>
            <w:r>
              <w:rPr>
                <w:rFonts w:ascii="Times New Roman" w:hAnsi="Times New Roman" w:cs="Times New Roman"/>
                <w:sz w:val="21"/>
                <w:szCs w:val="21"/>
              </w:rPr>
              <w:t>，24小时/天，84天，或5～6小时/天，7个月，出</w:t>
            </w:r>
            <w:r>
              <w:rPr>
                <w:rFonts w:ascii="Times New Roman" w:hAnsi="Times New Roman" w:cs="Times New Roman"/>
                <w:spacing w:val="-3"/>
                <w:sz w:val="21"/>
                <w:szCs w:val="21"/>
              </w:rPr>
              <w:t>现神经系统功能紊乱，血胆碱酯酶活性抑制等。</w:t>
            </w:r>
          </w:p>
          <w:p>
            <w:pPr>
              <w:pStyle w:val="2238"/>
              <w:adjustRightInd w:val="0"/>
              <w:snapToGrid w:val="0"/>
              <w:jc w:val="both"/>
              <w:rPr>
                <w:rFonts w:ascii="Times New Roman" w:hAnsi="Times New Roman" w:cs="Times New Roman"/>
                <w:sz w:val="21"/>
                <w:szCs w:val="21"/>
              </w:rPr>
            </w:pPr>
            <w:r>
              <w:rPr>
                <w:rFonts w:ascii="Times New Roman" w:hAnsi="Times New Roman" w:cs="Times New Roman"/>
                <w:spacing w:val="-3"/>
                <w:sz w:val="21"/>
                <w:szCs w:val="21"/>
              </w:rPr>
              <w:t>致突变性：微生物致突变性：大肠杆菌</w:t>
            </w:r>
            <w:r>
              <w:rPr>
                <w:rFonts w:ascii="Times New Roman" w:hAnsi="Times New Roman" w:cs="Times New Roman"/>
                <w:sz w:val="21"/>
                <w:szCs w:val="21"/>
              </w:rPr>
              <w:t>1500ppm(3小时)</w:t>
            </w:r>
            <w:r>
              <w:rPr>
                <w:rFonts w:ascii="Times New Roman" w:hAnsi="Times New Roman" w:cs="Times New Roman"/>
                <w:spacing w:val="-3"/>
                <w:sz w:val="21"/>
                <w:szCs w:val="21"/>
              </w:rPr>
              <w:t>。细胞遗传学分析：大鼠吸</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入19800µg/m</w:t>
            </w:r>
            <w:r>
              <w:rPr>
                <w:rFonts w:ascii="Times New Roman" w:hAnsi="Times New Roman" w:cs="Times New Roman"/>
                <w:sz w:val="21"/>
                <w:szCs w:val="21"/>
                <w:vertAlign w:val="superscript"/>
              </w:rPr>
              <w:t>3</w:t>
            </w:r>
            <w:r>
              <w:rPr>
                <w:rFonts w:ascii="Times New Roman" w:hAnsi="Times New Roman" w:cs="Times New Roman"/>
                <w:sz w:val="21"/>
                <w:szCs w:val="21"/>
              </w:rPr>
              <w:t>，16周。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tcBorders>
              <w:top w:val="single" w:color="000000" w:sz="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健康</w:t>
            </w:r>
          </w:p>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危害</w:t>
            </w: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侵入途径：吸入。</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健康危害：低浓度氨对粘膜有刺激作用，高浓度可造成组织溶解坏死。</w:t>
            </w:r>
          </w:p>
          <w:p>
            <w:pPr>
              <w:pStyle w:val="2238"/>
              <w:spacing w:before="3"/>
              <w:ind w:left="11" w:right="-29"/>
              <w:jc w:val="both"/>
              <w:rPr>
                <w:sz w:val="21"/>
                <w:szCs w:val="21"/>
              </w:rPr>
            </w:pPr>
            <w:r>
              <w:rPr>
                <w:rFonts w:hint="eastAsia"/>
                <w:sz w:val="21"/>
                <w:szCs w:val="21"/>
              </w:rPr>
              <w:t>急性中毒：轻度者出现流泪、咽痛、声音嘶哑、咳嗽、咯痰等；眼结膜、鼻粘膜、咽部充血、水肿；胸部</w:t>
            </w:r>
            <w:r>
              <w:rPr>
                <w:sz w:val="21"/>
                <w:szCs w:val="21"/>
              </w:rPr>
              <w:t>X</w:t>
            </w:r>
            <w:r>
              <w:rPr>
                <w:rFonts w:hint="eastAsia"/>
                <w:sz w:val="21"/>
                <w:szCs w:val="21"/>
              </w:rPr>
              <w:t>线征象符合支气管炎或支气管周围炎。中度中毒上述症状加剧，出现呼吸困难、紫绀；胸部</w:t>
            </w:r>
            <w:r>
              <w:rPr>
                <w:sz w:val="21"/>
                <w:szCs w:val="21"/>
              </w:rPr>
              <w:t>X</w:t>
            </w:r>
            <w:r>
              <w:rPr>
                <w:rFonts w:hint="eastAsia"/>
                <w:sz w:val="21"/>
                <w:szCs w:val="21"/>
              </w:rPr>
              <w:t>线征象符合肺炎或间质性肺炎。严重者可发生中毒性肺水肿，或有呼吸窘迫综合征，患者剧烈咳嗽、咯大量粉红色泡沫痰、呼吸窘迫、谵妄、昏迷、休克等。可发生喉头水肿或支气管粘膜坏死脱落窒息。高浓度</w:t>
            </w:r>
          </w:p>
          <w:p>
            <w:pPr>
              <w:jc w:val="center"/>
              <w:rPr>
                <w:rFonts w:ascii="宋体"/>
                <w:sz w:val="22"/>
                <w:szCs w:val="22"/>
              </w:rPr>
            </w:pPr>
            <w:r>
              <w:rPr>
                <w:rFonts w:hint="eastAsia"/>
                <w:szCs w:val="21"/>
              </w:rPr>
              <w:t>氨可引起反射性呼吸停止。液氨或高浓度氨可致眼灼伤；液氨可致皮肤灼伤。</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tcBorders>
              <w:top w:val="single" w:color="000000" w:sz="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hint="eastAsia"/>
                <w:sz w:val="21"/>
                <w:szCs w:val="21"/>
              </w:rPr>
              <w:t>急救</w:t>
            </w:r>
          </w:p>
        </w:tc>
        <w:tc>
          <w:tcPr>
            <w:tcW w:w="4566" w:type="pct"/>
            <w:gridSpan w:val="4"/>
            <w:tcBorders>
              <w:top w:val="single" w:color="000000" w:sz="2" w:space="0"/>
              <w:left w:val="nil"/>
              <w:bottom w:val="single" w:color="000000" w:sz="2" w:space="0"/>
              <w:right w:val="single" w:color="auto" w:sz="12" w:space="0"/>
            </w:tcBorders>
            <w:vAlign w:val="center"/>
          </w:tcPr>
          <w:p>
            <w:pPr>
              <w:pStyle w:val="2238"/>
              <w:spacing w:before="1" w:line="242" w:lineRule="auto"/>
              <w:ind w:left="11" w:right="-15"/>
              <w:jc w:val="both"/>
              <w:rPr>
                <w:rFonts w:ascii="Times New Roman" w:hAnsi="Times New Roman" w:cs="Times New Roman"/>
                <w:sz w:val="21"/>
                <w:szCs w:val="21"/>
              </w:rPr>
            </w:pPr>
            <w:r>
              <w:rPr>
                <w:rFonts w:ascii="Times New Roman" w:hAnsi="Times New Roman" w:cs="Times New Roman"/>
                <w:spacing w:val="3"/>
                <w:sz w:val="21"/>
                <w:szCs w:val="21"/>
              </w:rPr>
              <w:t xml:space="preserve">皮肤接触：立即脱去被污染的衣着，应用 </w:t>
            </w:r>
            <w:r>
              <w:rPr>
                <w:rFonts w:ascii="Times New Roman" w:hAnsi="Times New Roman" w:cs="Times New Roman"/>
                <w:sz w:val="21"/>
                <w:szCs w:val="21"/>
              </w:rPr>
              <w:t>2%硼酸液或大量流动清水彻底冲洗。就医。</w:t>
            </w:r>
          </w:p>
          <w:p>
            <w:pPr>
              <w:pStyle w:val="2238"/>
              <w:spacing w:line="242" w:lineRule="auto"/>
              <w:ind w:left="11" w:right="-29"/>
              <w:jc w:val="both"/>
              <w:rPr>
                <w:rFonts w:ascii="Times New Roman" w:hAnsi="Times New Roman" w:cs="Times New Roman"/>
                <w:sz w:val="21"/>
                <w:szCs w:val="21"/>
              </w:rPr>
            </w:pPr>
            <w:r>
              <w:rPr>
                <w:rFonts w:ascii="Times New Roman" w:hAnsi="Times New Roman" w:cs="Times New Roman"/>
                <w:sz w:val="21"/>
                <w:szCs w:val="21"/>
              </w:rPr>
              <w:t>眼睛接触：立即提起眼睑，用大量流动清水或生理盐水彻底冲洗至少 15</w:t>
            </w:r>
            <w:r>
              <w:rPr>
                <w:rFonts w:ascii="Times New Roman" w:hAnsi="Times New Roman" w:cs="Times New Roman"/>
                <w:spacing w:val="27"/>
                <w:sz w:val="21"/>
                <w:szCs w:val="21"/>
              </w:rPr>
              <w:t xml:space="preserve"> </w:t>
            </w:r>
            <w:r>
              <w:rPr>
                <w:rFonts w:ascii="Times New Roman" w:hAnsi="Times New Roman" w:cs="Times New Roman"/>
                <w:sz w:val="21"/>
                <w:szCs w:val="21"/>
              </w:rPr>
              <w:t>分钟。就医。</w:t>
            </w:r>
          </w:p>
          <w:p>
            <w:pPr>
              <w:pStyle w:val="2238"/>
              <w:spacing w:line="265" w:lineRule="exact"/>
              <w:ind w:left="11" w:right="-15"/>
              <w:jc w:val="both"/>
              <w:rPr>
                <w:rFonts w:ascii="Times New Roman" w:hAnsi="Times New Roman" w:cs="Times New Roman"/>
                <w:sz w:val="21"/>
                <w:szCs w:val="21"/>
              </w:rPr>
            </w:pPr>
            <w:r>
              <w:rPr>
                <w:rFonts w:ascii="Times New Roman" w:hAnsi="Times New Roman" w:cs="Times New Roman"/>
                <w:sz w:val="21"/>
                <w:szCs w:val="21"/>
              </w:rPr>
              <w:t>吸入：迅速脱离现场至空气新鲜处。保持呼吸道通畅。如呼吸困难，给输氧。如呼</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吸停止，立即进行人工呼吸。就医。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tcBorders>
              <w:top w:val="single" w:color="000000" w:sz="2" w:space="0"/>
              <w:left w:val="single" w:color="auto" w:sz="12" w:space="0"/>
              <w:bottom w:val="single" w:color="000000" w:sz="2" w:space="0"/>
              <w:right w:val="single" w:color="000000" w:sz="2" w:space="0"/>
            </w:tcBorders>
            <w:vAlign w:val="center"/>
          </w:tcPr>
          <w:p>
            <w:pPr>
              <w:pStyle w:val="2238"/>
              <w:adjustRightInd w:val="0"/>
              <w:snapToGrid w:val="0"/>
              <w:jc w:val="center"/>
              <w:rPr>
                <w:sz w:val="21"/>
                <w:szCs w:val="21"/>
              </w:rPr>
            </w:pPr>
            <w:r>
              <w:rPr>
                <w:rFonts w:hint="eastAsia"/>
                <w:sz w:val="21"/>
                <w:szCs w:val="21"/>
              </w:rPr>
              <w:t>防护</w:t>
            </w:r>
          </w:p>
        </w:tc>
        <w:tc>
          <w:tcPr>
            <w:tcW w:w="4566" w:type="pct"/>
            <w:gridSpan w:val="4"/>
            <w:tcBorders>
              <w:top w:val="single" w:color="000000" w:sz="2" w:space="0"/>
              <w:left w:val="nil"/>
              <w:bottom w:val="single" w:color="000000" w:sz="2" w:space="0"/>
              <w:right w:val="single" w:color="auto" w:sz="12" w:space="0"/>
            </w:tcBorders>
          </w:tcPr>
          <w:p>
            <w:pPr>
              <w:pStyle w:val="2238"/>
              <w:spacing w:before="1" w:line="242" w:lineRule="auto"/>
              <w:ind w:left="11" w:right="-15"/>
              <w:rPr>
                <w:rFonts w:ascii="Times New Roman" w:hAnsi="Times New Roman" w:cs="Times New Roman"/>
                <w:sz w:val="21"/>
                <w:szCs w:val="21"/>
              </w:rPr>
            </w:pPr>
            <w:r>
              <w:rPr>
                <w:rFonts w:ascii="Times New Roman" w:hAnsi="Times New Roman" w:cs="Times New Roman"/>
                <w:sz w:val="21"/>
                <w:szCs w:val="21"/>
              </w:rPr>
              <w:t>呼吸系统防护：空气中浓度超标时，建议佩戴过滤式防毒面具(半面罩)。紧急事态</w:t>
            </w:r>
            <w:r>
              <w:rPr>
                <w:rFonts w:ascii="Times New Roman" w:hAnsi="Times New Roman" w:cs="Times New Roman"/>
                <w:spacing w:val="-3"/>
                <w:sz w:val="21"/>
                <w:szCs w:val="21"/>
              </w:rPr>
              <w:t>抢救或撤离时，必须佩戴空气呼吸器。</w:t>
            </w:r>
          </w:p>
          <w:p>
            <w:pPr>
              <w:pStyle w:val="2238"/>
              <w:spacing w:line="242" w:lineRule="auto"/>
              <w:ind w:left="11" w:right="4451"/>
              <w:rPr>
                <w:rFonts w:ascii="Times New Roman" w:hAnsi="Times New Roman" w:cs="Times New Roman"/>
                <w:sz w:val="21"/>
                <w:szCs w:val="21"/>
              </w:rPr>
            </w:pPr>
            <w:r>
              <w:rPr>
                <w:rFonts w:ascii="Times New Roman" w:hAnsi="Times New Roman" w:cs="Times New Roman"/>
                <w:sz w:val="21"/>
                <w:szCs w:val="21"/>
              </w:rPr>
              <w:t>眼睛防护：戴化学安全防护眼镜。身体防护：穿防静电工作服。</w:t>
            </w:r>
          </w:p>
          <w:p>
            <w:pPr>
              <w:pStyle w:val="2238"/>
              <w:spacing w:line="266" w:lineRule="exact"/>
              <w:ind w:left="11"/>
              <w:rPr>
                <w:rFonts w:ascii="Times New Roman" w:hAnsi="Times New Roman" w:cs="Times New Roman"/>
                <w:sz w:val="21"/>
                <w:szCs w:val="21"/>
              </w:rPr>
            </w:pPr>
            <w:r>
              <w:rPr>
                <w:rFonts w:ascii="Times New Roman" w:hAnsi="Times New Roman" w:cs="Times New Roman"/>
                <w:sz w:val="21"/>
                <w:szCs w:val="21"/>
              </w:rPr>
              <w:t>手防护：戴橡胶手套。</w:t>
            </w:r>
          </w:p>
          <w:p>
            <w:pPr>
              <w:pStyle w:val="2238"/>
              <w:spacing w:before="1" w:line="242" w:lineRule="auto"/>
              <w:ind w:left="11" w:right="-15"/>
              <w:jc w:val="both"/>
              <w:rPr>
                <w:rFonts w:ascii="Times New Roman" w:hAnsi="Times New Roman" w:cs="Times New Roman"/>
                <w:spacing w:val="3"/>
                <w:sz w:val="21"/>
                <w:szCs w:val="21"/>
              </w:rPr>
            </w:pPr>
            <w:r>
              <w:rPr>
                <w:rFonts w:ascii="Times New Roman" w:hAnsi="Times New Roman" w:cs="Times New Roman"/>
                <w:spacing w:val="1"/>
                <w:sz w:val="21"/>
                <w:szCs w:val="21"/>
              </w:rPr>
              <w:t>其它：工作现场严禁吸烟、进食和饮水。工作毕，淋浴更衣。保持良好的卫生习惯。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tcBorders>
              <w:top w:val="single" w:color="000000" w:sz="2" w:space="0"/>
              <w:left w:val="single" w:color="auto" w:sz="12" w:space="0"/>
              <w:bottom w:val="single" w:color="auto" w:sz="12" w:space="0"/>
              <w:right w:val="single" w:color="000000" w:sz="2" w:space="0"/>
            </w:tcBorders>
            <w:vAlign w:val="center"/>
          </w:tcPr>
          <w:p>
            <w:pPr>
              <w:pStyle w:val="2238"/>
              <w:jc w:val="center"/>
              <w:rPr>
                <w:rFonts w:eastAsia="Times New Roman"/>
                <w:b/>
                <w:sz w:val="20"/>
                <w:szCs w:val="20"/>
              </w:rPr>
            </w:pPr>
            <w:r>
              <w:rPr>
                <w:rFonts w:hint="eastAsia"/>
                <w:sz w:val="21"/>
                <w:szCs w:val="21"/>
              </w:rPr>
              <w:t>泄漏应急处理</w:t>
            </w:r>
          </w:p>
        </w:tc>
        <w:tc>
          <w:tcPr>
            <w:tcW w:w="4566" w:type="pct"/>
            <w:gridSpan w:val="4"/>
            <w:tcBorders>
              <w:top w:val="single" w:color="000000" w:sz="2" w:space="0"/>
              <w:left w:val="nil"/>
              <w:bottom w:val="single" w:color="auto" w:sz="12" w:space="0"/>
              <w:right w:val="single" w:color="auto" w:sz="12" w:space="0"/>
            </w:tcBorders>
          </w:tcPr>
          <w:p>
            <w:pPr>
              <w:pStyle w:val="2238"/>
              <w:spacing w:before="1"/>
              <w:ind w:left="11" w:right="-29"/>
              <w:jc w:val="both"/>
              <w:rPr>
                <w:rFonts w:ascii="Times New Roman" w:hAnsi="Times New Roman" w:cs="Times New Roman"/>
                <w:sz w:val="21"/>
                <w:szCs w:val="21"/>
              </w:rPr>
            </w:pPr>
            <w:r>
              <w:rPr>
                <w:rFonts w:ascii="Times New Roman" w:hAnsi="Times New Roman" w:cs="Times New Roman"/>
                <w:sz w:val="21"/>
                <w:szCs w:val="21"/>
              </w:rPr>
              <w:t>迅速撤离泄漏污染区人员至上风处，并立即进行隔离150米，严格限制出入，切断火源。建议应急处理人员戴自给正压式呼吸器，穿防毒服。尽可能切断泄漏源。合理通风，加速扩散。高浓度泄漏区，喷含盐酸的雾状水中和、稀释、溶解。构筑围堤或挖坑收容产生的大量废水。如有可能，将残余气或漏出气用排风机送至水洗塔或与塔相连的通风橱内。储罐区最好设稀酸喷洒设施。漏气容器要妥善处理，修复、检验后再用。</w:t>
            </w:r>
          </w:p>
        </w:tc>
      </w:tr>
    </w:tbl>
    <w:p>
      <w:pPr>
        <w:widowControl/>
        <w:rPr>
          <w:szCs w:val="21"/>
        </w:rPr>
      </w:pPr>
    </w:p>
    <w:p>
      <w:pPr>
        <w:pStyle w:val="939"/>
        <w:adjustRightInd w:val="0"/>
        <w:snapToGrid w:val="0"/>
        <w:spacing w:line="240" w:lineRule="auto"/>
        <w:ind w:firstLine="482"/>
        <w:jc w:val="center"/>
        <w:rPr>
          <w:b/>
        </w:rPr>
      </w:pPr>
      <w:r>
        <w:rPr>
          <w:rFonts w:hint="eastAsia"/>
          <w:b/>
        </w:rPr>
        <w:t>表</w:t>
      </w:r>
      <w:r>
        <w:rPr>
          <w:b/>
        </w:rPr>
        <w:t>7.1-2</w:t>
      </w:r>
      <w:r>
        <w:rPr>
          <w:b/>
        </w:rPr>
        <w:tab/>
      </w:r>
      <w:r>
        <w:rPr>
          <w:rFonts w:hint="eastAsia"/>
          <w:b/>
        </w:rPr>
        <w:t xml:space="preserve">甲烷 </w:t>
      </w:r>
      <w:r>
        <w:rPr>
          <w:b/>
        </w:rPr>
        <w:t xml:space="preserve">MSDS </w:t>
      </w:r>
      <w:r>
        <w:rPr>
          <w:rFonts w:hint="eastAsia"/>
          <w:b/>
        </w:rPr>
        <w:t>资料表</w:t>
      </w:r>
    </w:p>
    <w:tbl>
      <w:tblPr>
        <w:tblStyle w:val="87"/>
        <w:tblW w:w="5000"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53"/>
        <w:gridCol w:w="2459"/>
        <w:gridCol w:w="1595"/>
        <w:gridCol w:w="1871"/>
        <w:gridCol w:w="199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434" w:type="pct"/>
            <w:vMerge w:val="restart"/>
            <w:tcBorders>
              <w:top w:val="single" w:color="auto" w:sz="1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标识</w:t>
            </w:r>
          </w:p>
        </w:tc>
        <w:tc>
          <w:tcPr>
            <w:tcW w:w="1418" w:type="pct"/>
            <w:tcBorders>
              <w:top w:val="single" w:color="auto" w:sz="12" w:space="0"/>
              <w:left w:val="nil"/>
              <w:bottom w:val="single" w:color="000000" w:sz="2" w:space="0"/>
              <w:right w:val="single" w:color="000000" w:sz="2" w:space="0"/>
            </w:tcBorders>
            <w:vAlign w:val="center"/>
          </w:tcPr>
          <w:p>
            <w:pPr>
              <w:adjustRightInd w:val="0"/>
              <w:snapToGrid w:val="0"/>
              <w:rPr>
                <w:kern w:val="0"/>
                <w:szCs w:val="21"/>
              </w:rPr>
            </w:pPr>
            <w:r>
              <w:rPr>
                <w:szCs w:val="21"/>
              </w:rPr>
              <w:t>中文名：</w:t>
            </w:r>
            <w:r>
              <w:rPr>
                <w:spacing w:val="-3"/>
                <w:szCs w:val="21"/>
              </w:rPr>
              <w:t>甲</w:t>
            </w:r>
            <w:r>
              <w:rPr>
                <w:szCs w:val="21"/>
              </w:rPr>
              <w:t>烷</w:t>
            </w:r>
          </w:p>
        </w:tc>
        <w:tc>
          <w:tcPr>
            <w:tcW w:w="1999" w:type="pct"/>
            <w:gridSpan w:val="2"/>
            <w:tcBorders>
              <w:top w:val="single" w:color="auto" w:sz="1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英文名：methane；Marsh gas</w:t>
            </w:r>
          </w:p>
        </w:tc>
        <w:tc>
          <w:tcPr>
            <w:tcW w:w="1149" w:type="pct"/>
            <w:tcBorders>
              <w:top w:val="single" w:color="auto" w:sz="1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分子式：CH</w:t>
            </w:r>
            <w:r>
              <w:rPr>
                <w:rFonts w:ascii="Times New Roman" w:hAnsi="Times New Roman" w:cs="Times New Roman"/>
                <w:sz w:val="21"/>
                <w:szCs w:val="21"/>
                <w:vertAlign w:val="subscript"/>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434" w:type="pct"/>
            <w:vMerge w:val="continue"/>
            <w:tcBorders>
              <w:top w:val="single" w:color="000000" w:sz="12" w:space="0"/>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分子量：16.04</w:t>
            </w:r>
            <w:r>
              <w:rPr>
                <w:szCs w:val="21"/>
              </w:rPr>
              <w:t xml:space="preserve"> </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CAS</w:t>
            </w:r>
            <w:r>
              <w:rPr>
                <w:rFonts w:ascii="Times New Roman" w:hAnsi="Times New Roman" w:cs="Times New Roman"/>
                <w:spacing w:val="50"/>
                <w:sz w:val="21"/>
                <w:szCs w:val="21"/>
              </w:rPr>
              <w:t xml:space="preserve"> </w:t>
            </w:r>
            <w:r>
              <w:rPr>
                <w:rFonts w:ascii="Times New Roman" w:hAnsi="Times New Roman" w:cs="Times New Roman"/>
                <w:sz w:val="21"/>
                <w:szCs w:val="21"/>
              </w:rPr>
              <w:t>号：74-82-8</w:t>
            </w:r>
            <w:r>
              <w:rPr>
                <w:szCs w:val="21"/>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34" w:type="pct"/>
            <w:vMerge w:val="restart"/>
            <w:tcBorders>
              <w:top w:val="nil"/>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理化性质</w:t>
            </w:r>
          </w:p>
        </w:tc>
        <w:tc>
          <w:tcPr>
            <w:tcW w:w="4566" w:type="pct"/>
            <w:gridSpan w:val="4"/>
            <w:tcBorders>
              <w:top w:val="single" w:color="000000" w:sz="2" w:space="0"/>
              <w:left w:val="nil"/>
              <w:bottom w:val="single" w:color="000000" w:sz="2" w:space="0"/>
              <w:right w:val="single" w:color="auto" w:sz="12" w:space="0"/>
            </w:tcBorders>
            <w:vAlign w:val="center"/>
          </w:tcPr>
          <w:p>
            <w:pPr>
              <w:adjustRightInd w:val="0"/>
              <w:snapToGrid w:val="0"/>
              <w:rPr>
                <w:kern w:val="0"/>
                <w:szCs w:val="21"/>
              </w:rPr>
            </w:pPr>
            <w:r>
              <w:rPr>
                <w:szCs w:val="21"/>
              </w:rPr>
              <w:t>性状：无色无臭气体</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1418" w:type="pct"/>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熔点（℃）：-</w:t>
            </w:r>
            <w:r>
              <w:rPr>
                <w:rFonts w:ascii="Times New Roman" w:hAnsi="Times New Roman" w:cs="Times New Roman"/>
                <w:spacing w:val="-4"/>
                <w:sz w:val="21"/>
                <w:szCs w:val="21"/>
              </w:rPr>
              <w:t>182.5℃</w:t>
            </w:r>
          </w:p>
        </w:tc>
        <w:tc>
          <w:tcPr>
            <w:tcW w:w="3148" w:type="pct"/>
            <w:gridSpan w:val="3"/>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溶解性：微溶于水，溶于醇、乙醚</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沸点（℃）：</w:t>
            </w:r>
            <w:r>
              <w:rPr>
                <w:rFonts w:ascii="Times New Roman" w:hAnsi="Times New Roman" w:cs="Times New Roman"/>
                <w:spacing w:val="-4"/>
                <w:sz w:val="21"/>
                <w:szCs w:val="21"/>
              </w:rPr>
              <w:t>-</w:t>
            </w:r>
            <w:r>
              <w:rPr>
                <w:rFonts w:ascii="Times New Roman" w:hAnsi="Times New Roman" w:cs="Times New Roman"/>
                <w:sz w:val="21"/>
                <w:szCs w:val="21"/>
              </w:rPr>
              <w:t>161.5℃</w:t>
            </w:r>
            <w:r>
              <w:rPr>
                <w:szCs w:val="21"/>
              </w:rPr>
              <w:t xml:space="preserve"> </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相对密度（水=1）：0.42(-164℃)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9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饱和蒸气压（kPa）：53.</w:t>
            </w:r>
            <w:r>
              <w:rPr>
                <w:rFonts w:ascii="Times New Roman" w:hAnsi="Times New Roman" w:cs="Times New Roman"/>
                <w:spacing w:val="-3"/>
                <w:sz w:val="21"/>
                <w:szCs w:val="21"/>
              </w:rPr>
              <w:t>32k</w:t>
            </w:r>
            <w:r>
              <w:rPr>
                <w:rFonts w:ascii="Times New Roman" w:hAnsi="Times New Roman" w:cs="Times New Roman"/>
                <w:spacing w:val="1"/>
                <w:sz w:val="21"/>
                <w:szCs w:val="21"/>
              </w:rPr>
              <w:t>P</w:t>
            </w:r>
            <w:r>
              <w:rPr>
                <w:rFonts w:ascii="Times New Roman" w:hAnsi="Times New Roman" w:cs="Times New Roman"/>
                <w:sz w:val="21"/>
                <w:szCs w:val="21"/>
              </w:rPr>
              <w:t>a</w:t>
            </w:r>
            <w:r>
              <w:rPr>
                <w:rFonts w:ascii="Times New Roman" w:hAnsi="Times New Roman" w:cs="Times New Roman"/>
                <w:spacing w:val="-2"/>
                <w:sz w:val="21"/>
                <w:szCs w:val="21"/>
              </w:rPr>
              <w:t>/</w:t>
            </w:r>
            <w:r>
              <w:rPr>
                <w:rFonts w:ascii="Times New Roman" w:hAnsi="Times New Roman" w:cs="Times New Roman"/>
                <w:spacing w:val="-4"/>
                <w:sz w:val="21"/>
                <w:szCs w:val="21"/>
              </w:rPr>
              <w:t>-</w:t>
            </w:r>
            <w:r>
              <w:rPr>
                <w:rFonts w:ascii="Times New Roman" w:hAnsi="Times New Roman" w:cs="Times New Roman"/>
                <w:sz w:val="21"/>
                <w:szCs w:val="21"/>
              </w:rPr>
              <w:t>168.8℃</w:t>
            </w:r>
            <w:r>
              <w:rPr>
                <w:szCs w:val="21"/>
              </w:rPr>
              <w:t xml:space="preserve"> </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相对密度（空气=1）：0.55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95"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临界温度（℃）：</w:t>
            </w:r>
            <w:r>
              <w:rPr>
                <w:rFonts w:ascii="Times New Roman" w:hAnsi="Times New Roman" w:cs="Times New Roman"/>
                <w:spacing w:val="-4"/>
                <w:sz w:val="21"/>
                <w:szCs w:val="21"/>
              </w:rPr>
              <w:t>-</w:t>
            </w:r>
            <w:r>
              <w:rPr>
                <w:rFonts w:ascii="Times New Roman" w:hAnsi="Times New Roman" w:cs="Times New Roman"/>
                <w:sz w:val="21"/>
                <w:szCs w:val="21"/>
              </w:rPr>
              <w:t>82.6</w:t>
            </w:r>
            <w:r>
              <w:rPr>
                <w:szCs w:val="21"/>
              </w:rPr>
              <w:t xml:space="preserve"> </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燃烧热（kJ·mol -1 ）：889.5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9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临界压力（MPa）：4</w:t>
            </w:r>
            <w:r>
              <w:rPr>
                <w:rFonts w:ascii="Times New Roman" w:hAnsi="Times New Roman" w:cs="Times New Roman"/>
                <w:spacing w:val="-3"/>
                <w:sz w:val="21"/>
                <w:szCs w:val="21"/>
              </w:rPr>
              <w:t>.</w:t>
            </w:r>
            <w:r>
              <w:rPr>
                <w:rFonts w:ascii="Times New Roman" w:hAnsi="Times New Roman" w:cs="Times New Roman"/>
                <w:sz w:val="21"/>
                <w:szCs w:val="21"/>
              </w:rPr>
              <w:t>59</w:t>
            </w:r>
            <w:r>
              <w:rPr>
                <w:szCs w:val="21"/>
              </w:rPr>
              <w:t xml:space="preserve"> </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自燃温度（℃）：538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96" w:hRule="atLeast"/>
        </w:trPr>
        <w:tc>
          <w:tcPr>
            <w:tcW w:w="434" w:type="pct"/>
            <w:vMerge w:val="restart"/>
            <w:tcBorders>
              <w:top w:val="nil"/>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燃烧爆炸危险性</w:t>
            </w: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燃爆危险：本</w:t>
            </w:r>
            <w:r>
              <w:rPr>
                <w:rFonts w:ascii="Times New Roman" w:hAnsi="Times New Roman" w:cs="Times New Roman"/>
                <w:spacing w:val="-3"/>
                <w:sz w:val="21"/>
                <w:szCs w:val="21"/>
              </w:rPr>
              <w:t>品</w:t>
            </w:r>
            <w:r>
              <w:rPr>
                <w:rFonts w:ascii="Times New Roman" w:hAnsi="Times New Roman" w:cs="Times New Roman"/>
                <w:sz w:val="21"/>
                <w:szCs w:val="21"/>
              </w:rPr>
              <w:t>易</w:t>
            </w:r>
            <w:r>
              <w:rPr>
                <w:rFonts w:ascii="Times New Roman" w:hAnsi="Times New Roman" w:cs="Times New Roman"/>
                <w:spacing w:val="-3"/>
                <w:sz w:val="21"/>
                <w:szCs w:val="21"/>
              </w:rPr>
              <w:t>燃</w:t>
            </w:r>
            <w:r>
              <w:rPr>
                <w:rFonts w:ascii="Times New Roman" w:hAnsi="Times New Roman" w:cs="Times New Roman"/>
                <w:sz w:val="21"/>
                <w:szCs w:val="21"/>
              </w:rPr>
              <w:t>，</w:t>
            </w:r>
            <w:r>
              <w:rPr>
                <w:rFonts w:ascii="Times New Roman" w:hAnsi="Times New Roman" w:cs="Times New Roman"/>
                <w:spacing w:val="-3"/>
                <w:sz w:val="21"/>
                <w:szCs w:val="21"/>
              </w:rPr>
              <w:t>具</w:t>
            </w:r>
            <w:r>
              <w:rPr>
                <w:rFonts w:ascii="Times New Roman" w:hAnsi="Times New Roman" w:cs="Times New Roman"/>
                <w:sz w:val="21"/>
                <w:szCs w:val="21"/>
              </w:rPr>
              <w:t>窒息性</w:t>
            </w:r>
            <w:r>
              <w:rPr>
                <w:szCs w:val="21"/>
              </w:rPr>
              <w:t xml:space="preserve"> </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燃烧（分解）产物：一氧化碳、二氧化碳</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9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kern w:val="2"/>
                <w:sz w:val="21"/>
                <w:szCs w:val="21"/>
              </w:rPr>
            </w:pPr>
            <w:r>
              <w:rPr>
                <w:rFonts w:ascii="Times New Roman" w:hAnsi="Times New Roman" w:cs="Times New Roman"/>
                <w:sz w:val="21"/>
                <w:szCs w:val="21"/>
              </w:rPr>
              <w:t>闪点（℃）：-188℃</w:t>
            </w:r>
            <w:r>
              <w:rPr>
                <w:szCs w:val="21"/>
              </w:rPr>
              <w:t xml:space="preserve"> </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聚合危害：/</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kern w:val="2"/>
                <w:sz w:val="21"/>
                <w:szCs w:val="21"/>
              </w:rPr>
            </w:pPr>
            <w:r>
              <w:rPr>
                <w:rFonts w:ascii="Times New Roman" w:hAnsi="Times New Roman" w:cs="Times New Roman"/>
                <w:sz w:val="21"/>
                <w:szCs w:val="21"/>
              </w:rPr>
              <w:t>爆炸极限（V%）：上限：15；下限：5.3</w:t>
            </w:r>
            <w:r>
              <w:rPr>
                <w:szCs w:val="21"/>
              </w:rPr>
              <w:t xml:space="preserve"> </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稳定性：稳定</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2338" w:type="pct"/>
            <w:gridSpan w:val="2"/>
            <w:tcBorders>
              <w:top w:val="single" w:color="000000" w:sz="2" w:space="0"/>
              <w:left w:val="nil"/>
              <w:bottom w:val="single" w:color="000000" w:sz="2" w:space="0"/>
              <w:right w:val="single" w:color="000000" w:sz="2" w:space="0"/>
            </w:tcBorders>
            <w:vAlign w:val="center"/>
          </w:tcPr>
          <w:p>
            <w:pPr>
              <w:pStyle w:val="2238"/>
              <w:adjustRightInd w:val="0"/>
              <w:snapToGrid w:val="0"/>
              <w:jc w:val="both"/>
              <w:rPr>
                <w:rFonts w:ascii="Times New Roman" w:hAnsi="Times New Roman" w:cs="Times New Roman"/>
                <w:kern w:val="2"/>
                <w:sz w:val="21"/>
                <w:szCs w:val="21"/>
              </w:rPr>
            </w:pPr>
            <w:r>
              <w:rPr>
                <w:rFonts w:ascii="Times New Roman" w:hAnsi="Times New Roman" w:cs="Times New Roman"/>
                <w:kern w:val="2"/>
                <w:sz w:val="21"/>
                <w:szCs w:val="21"/>
              </w:rPr>
              <w:t>引燃温度（℃）：538</w:t>
            </w:r>
          </w:p>
        </w:tc>
        <w:tc>
          <w:tcPr>
            <w:tcW w:w="2228" w:type="pct"/>
            <w:gridSpan w:val="2"/>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禁忌物：强氧化剂、氟、氯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8"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危险特性：易燃，与空气混合能形成爆炸性混合物，遇热源和明火有燃烧爆炸的危险。与五氧化溴、氯气、次氯酸、三氟化氮、液氧、二氟化氧及其它强氧化剂接触剧烈反应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5" w:hRule="atLeast"/>
        </w:trPr>
        <w:tc>
          <w:tcPr>
            <w:tcW w:w="434" w:type="pct"/>
            <w:vMerge w:val="continue"/>
            <w:tcBorders>
              <w:top w:val="nil"/>
              <w:left w:val="single" w:color="auto" w:sz="12" w:space="0"/>
              <w:bottom w:val="single" w:color="000000" w:sz="2" w:space="0"/>
              <w:right w:val="single" w:color="000000" w:sz="2" w:space="0"/>
            </w:tcBorders>
            <w:vAlign w:val="center"/>
          </w:tcPr>
          <w:p>
            <w:pPr>
              <w:adjustRightInd w:val="0"/>
              <w:snapToGrid w:val="0"/>
              <w:jc w:val="center"/>
              <w:rPr>
                <w:szCs w:val="21"/>
              </w:rPr>
            </w:pP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灭火方法：切断气源。若不能立即切断气源，则不允许熄灭正在燃烧的气体。喷水冷却容器，可能的话将容器从火场移至空旷处。灭火剂：雾状水、泡沫、二氧化碳、干粉。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71" w:hRule="atLeast"/>
        </w:trPr>
        <w:tc>
          <w:tcPr>
            <w:tcW w:w="434" w:type="pct"/>
            <w:tcBorders>
              <w:top w:val="single" w:color="000000" w:sz="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毒性</w:t>
            </w: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毒性：属微毒类。允许气体安全地扩散到大气中或当作燃料使用。有单纯性窒息作用， 在高浓度时因缺氧窒息而引起中毒。空气中达到25～30%出现头昏、呼吸加速、运动失调。</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急性毒性：小鼠吸入42%浓度×60 分钟，麻醉作用</w:t>
            </w:r>
            <w:r>
              <w:rPr>
                <w:rFonts w:hint="eastAsia" w:ascii="Times New Roman" w:hAnsi="Times New Roman" w:cs="Times New Roman"/>
                <w:sz w:val="21"/>
                <w:szCs w:val="21"/>
              </w:rPr>
              <w:t>：</w:t>
            </w:r>
            <w:r>
              <w:rPr>
                <w:rFonts w:ascii="Times New Roman" w:hAnsi="Times New Roman" w:cs="Times New Roman"/>
                <w:sz w:val="21"/>
                <w:szCs w:val="21"/>
              </w:rPr>
              <w:t>兔吸入42%浓度×60 分钟</w:t>
            </w:r>
            <w:r>
              <w:rPr>
                <w:rFonts w:hint="eastAsia" w:ascii="Times New Roman" w:hAnsi="Times New Roman" w:cs="Times New Roman"/>
                <w:sz w:val="21"/>
                <w:szCs w:val="21"/>
              </w:rPr>
              <w:t>。</w:t>
            </w:r>
            <w:r>
              <w:rPr>
                <w:rFonts w:ascii="Times New Roman" w:hAnsi="Times New Roman" w:cs="Times New Roman"/>
                <w:sz w:val="21"/>
                <w:szCs w:val="21"/>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tcBorders>
              <w:top w:val="single" w:color="000000" w:sz="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健康 危害</w:t>
            </w: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侵入途径：吸入。 </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健康危害：甲烷对人基本无毒，但浓度过高时，使空气中氧含量明显降低，使人窒息。当空气中甲烷达25%-30%时，可引起头痛、头晕、乏力、注意力不集中、呼吸和心跳加速、共济失调。若不及时脱离，可致窒息死亡。皮肤接触液化本品，可致冻伤。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tcBorders>
              <w:top w:val="single" w:color="000000" w:sz="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急救</w:t>
            </w:r>
          </w:p>
        </w:tc>
        <w:tc>
          <w:tcPr>
            <w:tcW w:w="4566" w:type="pct"/>
            <w:gridSpan w:val="4"/>
            <w:tcBorders>
              <w:top w:val="single" w:color="000000" w:sz="2" w:space="0"/>
              <w:left w:val="nil"/>
              <w:bottom w:val="single" w:color="000000" w:sz="2" w:space="0"/>
              <w:right w:val="single" w:color="auto" w:sz="12" w:space="0"/>
            </w:tcBorders>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皮肤接触：若有冻伤，就医治疗。</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吸入：迅速脱离现场至空气新鲜处。保持呼吸道通畅。如呼吸困难，给输氧。如呼吸停止，立即进行人工呼吸。就医。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tcBorders>
              <w:top w:val="single" w:color="000000" w:sz="2" w:space="0"/>
              <w:left w:val="single" w:color="auto" w:sz="12" w:space="0"/>
              <w:bottom w:val="single" w:color="000000" w:sz="2" w:space="0"/>
              <w:right w:val="single" w:color="000000" w:sz="2" w:space="0"/>
            </w:tcBorders>
            <w:vAlign w:val="center"/>
          </w:tcPr>
          <w:p>
            <w:pPr>
              <w:pStyle w:val="2238"/>
              <w:adjustRightInd w:val="0"/>
              <w:snapToGrid w:val="0"/>
              <w:jc w:val="center"/>
              <w:rPr>
                <w:rFonts w:ascii="Times New Roman" w:hAnsi="Times New Roman" w:cs="Times New Roman"/>
                <w:sz w:val="21"/>
                <w:szCs w:val="21"/>
              </w:rPr>
            </w:pPr>
            <w:r>
              <w:rPr>
                <w:rFonts w:ascii="Times New Roman" w:hAnsi="Times New Roman" w:cs="Times New Roman"/>
                <w:sz w:val="21"/>
                <w:szCs w:val="21"/>
              </w:rPr>
              <w:t>防护</w:t>
            </w:r>
          </w:p>
        </w:tc>
        <w:tc>
          <w:tcPr>
            <w:tcW w:w="4566" w:type="pct"/>
            <w:gridSpan w:val="4"/>
            <w:tcBorders>
              <w:top w:val="single" w:color="000000" w:sz="2" w:space="0"/>
              <w:left w:val="nil"/>
              <w:bottom w:val="single" w:color="000000" w:sz="2" w:space="0"/>
              <w:right w:val="single" w:color="auto" w:sz="12" w:space="0"/>
            </w:tcBorders>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呼吸系统防护：一般不需要特殊防护，但建议特殊情况下，佩带自吸过滤式防毒面具(半面罩)。 </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眼睛防护：一般不需要特别防护，高浓度接触时可戴安全防护眼镜。</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身体防护：穿防静电工作服。 </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手防护：戴一般作业防护手套。 </w:t>
            </w:r>
          </w:p>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其它：工作现场严禁吸烟。避免长期反复接触。进入罐、限制性空间或其它高浓度区作业，须有人监护。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434" w:type="pct"/>
            <w:tcBorders>
              <w:top w:val="single" w:color="000000" w:sz="2" w:space="0"/>
              <w:left w:val="single" w:color="auto" w:sz="12" w:space="0"/>
              <w:bottom w:val="single" w:color="auto" w:sz="12" w:space="0"/>
              <w:right w:val="single" w:color="000000" w:sz="2" w:space="0"/>
            </w:tcBorders>
            <w:vAlign w:val="center"/>
          </w:tcPr>
          <w:p>
            <w:pPr>
              <w:pStyle w:val="2238"/>
              <w:adjustRightInd w:val="0"/>
              <w:snapToGrid w:val="0"/>
              <w:jc w:val="center"/>
              <w:rPr>
                <w:rFonts w:ascii="Times New Roman" w:hAnsi="Times New Roman" w:eastAsia="Times New Roman" w:cs="Times New Roman"/>
                <w:b/>
                <w:sz w:val="21"/>
                <w:szCs w:val="21"/>
              </w:rPr>
            </w:pPr>
            <w:r>
              <w:rPr>
                <w:rFonts w:ascii="Times New Roman" w:hAnsi="Times New Roman" w:cs="Times New Roman"/>
                <w:sz w:val="21"/>
                <w:szCs w:val="21"/>
              </w:rPr>
              <w:t>泄漏应急处理</w:t>
            </w:r>
          </w:p>
        </w:tc>
        <w:tc>
          <w:tcPr>
            <w:tcW w:w="4566" w:type="pct"/>
            <w:gridSpan w:val="4"/>
            <w:tcBorders>
              <w:top w:val="single" w:color="000000" w:sz="2" w:space="0"/>
              <w:left w:val="nil"/>
              <w:bottom w:val="single" w:color="auto" w:sz="12" w:space="0"/>
              <w:right w:val="single" w:color="auto" w:sz="12" w:space="0"/>
            </w:tcBorders>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 xml:space="preserve">迅速撤离泄漏污染区人员至上风处，并进行隔离，严格限制出入。切断火源。建议应急泄漏 处理人员戴自给正压式呼吸器，穿消防防护服。尽可能切断泄漏源。合理通风，加速扩应急 散。喷雾状水稀释、溶解。构筑围堤或挖坑收容产生的大量废水。如有可能，将漏出气处理 用排风机送至空旷地方或装设适当喷头烧掉。也可以将漏气的容器移至空旷处，注意通 风。漏气容器要妥善处理，修复、检验后再用。 </w:t>
            </w:r>
          </w:p>
        </w:tc>
      </w:tr>
    </w:tbl>
    <w:p>
      <w:pPr>
        <w:rPr>
          <w:szCs w:val="21"/>
        </w:rPr>
      </w:pPr>
    </w:p>
    <w:p>
      <w:pPr>
        <w:pStyle w:val="939"/>
        <w:adjustRightInd w:val="0"/>
        <w:snapToGrid w:val="0"/>
        <w:spacing w:line="240" w:lineRule="auto"/>
        <w:ind w:firstLine="480"/>
        <w:jc w:val="center"/>
        <w:rPr>
          <w:b/>
          <w:kern w:val="0"/>
        </w:rPr>
      </w:pPr>
      <w:r>
        <w:rPr>
          <w:szCs w:val="21"/>
        </w:rPr>
        <w:tab/>
      </w:r>
      <w:r>
        <w:rPr>
          <w:rFonts w:hint="eastAsia"/>
          <w:b/>
        </w:rPr>
        <w:t>表</w:t>
      </w:r>
      <w:r>
        <w:rPr>
          <w:b/>
        </w:rPr>
        <w:t>7.1-3</w:t>
      </w:r>
      <w:r>
        <w:rPr>
          <w:b/>
        </w:rPr>
        <w:tab/>
      </w:r>
      <w:r>
        <w:rPr>
          <w:rFonts w:hint="eastAsia"/>
          <w:b/>
        </w:rPr>
        <w:t xml:space="preserve">硫化氢 </w:t>
      </w:r>
      <w:r>
        <w:rPr>
          <w:b/>
        </w:rPr>
        <w:t xml:space="preserve">MSDS </w:t>
      </w:r>
      <w:r>
        <w:rPr>
          <w:rFonts w:hint="eastAsia"/>
          <w:b/>
        </w:rPr>
        <w:t>资料表</w:t>
      </w:r>
    </w:p>
    <w:tbl>
      <w:tblPr>
        <w:tblStyle w:val="87"/>
        <w:tblW w:w="5012"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89"/>
        <w:gridCol w:w="2506"/>
        <w:gridCol w:w="1378"/>
        <w:gridCol w:w="1853"/>
        <w:gridCol w:w="23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339" w:type="pct"/>
            <w:vMerge w:val="restart"/>
            <w:vAlign w:val="center"/>
          </w:tcPr>
          <w:p>
            <w:pPr>
              <w:pStyle w:val="2238"/>
              <w:adjustRightInd w:val="0"/>
              <w:snapToGrid w:val="0"/>
              <w:ind w:left="100"/>
              <w:jc w:val="center"/>
              <w:rPr>
                <w:rFonts w:ascii="Times New Roman" w:hAnsi="Times New Roman" w:cs="Times New Roman"/>
                <w:sz w:val="21"/>
                <w:szCs w:val="21"/>
              </w:rPr>
            </w:pPr>
            <w:r>
              <w:rPr>
                <w:rFonts w:ascii="Times New Roman" w:hAnsi="Times New Roman" w:cs="Times New Roman"/>
                <w:sz w:val="21"/>
                <w:szCs w:val="21"/>
              </w:rPr>
              <w:t>标识</w:t>
            </w:r>
          </w:p>
        </w:tc>
        <w:tc>
          <w:tcPr>
            <w:tcW w:w="1442" w:type="pct"/>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中文名： 硫化氢</w:t>
            </w:r>
          </w:p>
        </w:tc>
        <w:tc>
          <w:tcPr>
            <w:tcW w:w="1859"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英文名：hydrogen</w:t>
            </w:r>
            <w:r>
              <w:rPr>
                <w:rFonts w:ascii="Times New Roman" w:hAnsi="Times New Roman" w:cs="Times New Roman"/>
                <w:sz w:val="21"/>
                <w:szCs w:val="21"/>
              </w:rPr>
              <w:tab/>
            </w:r>
            <w:r>
              <w:rPr>
                <w:rFonts w:ascii="Times New Roman" w:hAnsi="Times New Roman" w:cs="Times New Roman"/>
                <w:sz w:val="21"/>
                <w:szCs w:val="21"/>
              </w:rPr>
              <w:t>sulfide</w:t>
            </w:r>
          </w:p>
        </w:tc>
        <w:tc>
          <w:tcPr>
            <w:tcW w:w="1359" w:type="pct"/>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分子式：H</w:t>
            </w:r>
            <w:r>
              <w:rPr>
                <w:rFonts w:ascii="Times New Roman" w:hAnsi="Times New Roman" w:cs="Times New Roman"/>
                <w:sz w:val="21"/>
                <w:szCs w:val="21"/>
                <w:vertAlign w:val="subscript"/>
              </w:rPr>
              <w:t>2</w:t>
            </w:r>
            <w:r>
              <w:rPr>
                <w:rFonts w:ascii="Times New Roman" w:hAnsi="Times New Roman" w:cs="Times New Roman"/>
                <w:sz w:val="21"/>
                <w:szCs w:val="21"/>
              </w:rPr>
              <w:t>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8" w:hRule="atLeast"/>
        </w:trPr>
        <w:tc>
          <w:tcPr>
            <w:tcW w:w="339" w:type="pct"/>
            <w:vMerge w:val="continue"/>
            <w:vAlign w:val="center"/>
          </w:tcPr>
          <w:p>
            <w:pPr>
              <w:widowControl/>
              <w:adjustRightInd w:val="0"/>
              <w:snapToGrid w:val="0"/>
              <w:jc w:val="center"/>
              <w:rPr>
                <w:szCs w:val="21"/>
              </w:rPr>
            </w:pP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分子量：34.08</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CAS 号：7783-06-4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5" w:hRule="atLeast"/>
        </w:trPr>
        <w:tc>
          <w:tcPr>
            <w:tcW w:w="339" w:type="pct"/>
            <w:vMerge w:val="restart"/>
            <w:vAlign w:val="center"/>
          </w:tcPr>
          <w:p>
            <w:pPr>
              <w:pStyle w:val="2238"/>
              <w:adjustRightInd w:val="0"/>
              <w:snapToGrid w:val="0"/>
              <w:spacing w:before="163"/>
              <w:ind w:left="100" w:right="53"/>
              <w:jc w:val="center"/>
              <w:rPr>
                <w:rFonts w:ascii="Times New Roman" w:hAnsi="Times New Roman" w:cs="Times New Roman"/>
                <w:sz w:val="21"/>
                <w:szCs w:val="21"/>
              </w:rPr>
            </w:pPr>
            <w:r>
              <w:rPr>
                <w:rFonts w:ascii="Times New Roman" w:hAnsi="Times New Roman" w:cs="Times New Roman"/>
                <w:sz w:val="21"/>
                <w:szCs w:val="21"/>
              </w:rPr>
              <w:t>理化性质</w:t>
            </w:r>
          </w:p>
        </w:tc>
        <w:tc>
          <w:tcPr>
            <w:tcW w:w="4661" w:type="pct"/>
            <w:gridSpan w:val="4"/>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性状： 无色有恶臭气体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8" w:hRule="atLeast"/>
        </w:trPr>
        <w:tc>
          <w:tcPr>
            <w:tcW w:w="339" w:type="pct"/>
            <w:vMerge w:val="continue"/>
            <w:vAlign w:val="center"/>
          </w:tcPr>
          <w:p>
            <w:pPr>
              <w:widowControl/>
              <w:adjustRightInd w:val="0"/>
              <w:snapToGrid w:val="0"/>
              <w:jc w:val="center"/>
              <w:rPr>
                <w:szCs w:val="21"/>
              </w:rPr>
            </w:pPr>
          </w:p>
        </w:tc>
        <w:tc>
          <w:tcPr>
            <w:tcW w:w="1442" w:type="pct"/>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熔点（℃）：-85.5</w:t>
            </w:r>
          </w:p>
        </w:tc>
        <w:tc>
          <w:tcPr>
            <w:tcW w:w="3218" w:type="pct"/>
            <w:gridSpan w:val="3"/>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溶解性：溶于水、乙醇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5" w:hRule="atLeast"/>
        </w:trPr>
        <w:tc>
          <w:tcPr>
            <w:tcW w:w="339" w:type="pct"/>
            <w:vMerge w:val="continue"/>
            <w:vAlign w:val="center"/>
          </w:tcPr>
          <w:p>
            <w:pPr>
              <w:widowControl/>
              <w:adjustRightInd w:val="0"/>
              <w:snapToGrid w:val="0"/>
              <w:jc w:val="center"/>
              <w:rPr>
                <w:szCs w:val="21"/>
              </w:rPr>
            </w:pP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沸点（℃）：-60.4</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相对密度（水=1）：/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8" w:hRule="atLeast"/>
        </w:trPr>
        <w:tc>
          <w:tcPr>
            <w:tcW w:w="339" w:type="pct"/>
            <w:vMerge w:val="continue"/>
            <w:vAlign w:val="center"/>
          </w:tcPr>
          <w:p>
            <w:pPr>
              <w:widowControl/>
              <w:adjustRightInd w:val="0"/>
              <w:snapToGrid w:val="0"/>
              <w:jc w:val="center"/>
              <w:rPr>
                <w:szCs w:val="21"/>
              </w:rPr>
            </w:pP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饱和蒸气压（kPa）：2026.5kPa/25.5℃</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相对密度（空气=1）：1.19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5" w:hRule="atLeast"/>
        </w:trPr>
        <w:tc>
          <w:tcPr>
            <w:tcW w:w="339" w:type="pct"/>
            <w:vMerge w:val="continue"/>
            <w:vAlign w:val="center"/>
          </w:tcPr>
          <w:p>
            <w:pPr>
              <w:widowControl/>
              <w:adjustRightInd w:val="0"/>
              <w:snapToGrid w:val="0"/>
              <w:jc w:val="center"/>
              <w:rPr>
                <w:szCs w:val="21"/>
              </w:rPr>
            </w:pP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临界温度（℃）：100.4</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燃烧热（kJ·mol</w:t>
            </w:r>
            <w:r>
              <w:rPr>
                <w:rFonts w:ascii="Times New Roman" w:hAnsi="Times New Roman" w:cs="Times New Roman"/>
                <w:sz w:val="21"/>
                <w:szCs w:val="21"/>
                <w:vertAlign w:val="superscript"/>
              </w:rPr>
              <w:t xml:space="preserve"> -1</w:t>
            </w:r>
            <w:r>
              <w:rPr>
                <w:rFonts w:ascii="Times New Roman" w:hAnsi="Times New Roman" w:cs="Times New Roman"/>
                <w:sz w:val="21"/>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8" w:hRule="atLeast"/>
        </w:trPr>
        <w:tc>
          <w:tcPr>
            <w:tcW w:w="339" w:type="pct"/>
            <w:vMerge w:val="continue"/>
            <w:vAlign w:val="center"/>
          </w:tcPr>
          <w:p>
            <w:pPr>
              <w:widowControl/>
              <w:adjustRightInd w:val="0"/>
              <w:snapToGrid w:val="0"/>
              <w:jc w:val="center"/>
              <w:rPr>
                <w:szCs w:val="21"/>
              </w:rPr>
            </w:pP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临界压力（MPa）：9.01</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自燃温度（℃）：260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5" w:hRule="atLeast"/>
        </w:trPr>
        <w:tc>
          <w:tcPr>
            <w:tcW w:w="339" w:type="pct"/>
            <w:vMerge w:val="restart"/>
            <w:vAlign w:val="center"/>
          </w:tcPr>
          <w:p>
            <w:pPr>
              <w:pStyle w:val="2238"/>
              <w:adjustRightInd w:val="0"/>
              <w:snapToGrid w:val="0"/>
              <w:ind w:left="100" w:right="53"/>
              <w:jc w:val="center"/>
              <w:rPr>
                <w:rFonts w:ascii="Times New Roman" w:hAnsi="Times New Roman" w:cs="Times New Roman"/>
                <w:sz w:val="21"/>
                <w:szCs w:val="21"/>
              </w:rPr>
            </w:pPr>
            <w:r>
              <w:rPr>
                <w:rFonts w:ascii="Times New Roman" w:hAnsi="Times New Roman" w:cs="Times New Roman"/>
                <w:sz w:val="21"/>
                <w:szCs w:val="21"/>
              </w:rPr>
              <w:t>燃烧爆炸危险性</w:t>
            </w: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燃爆危险：本品易燃烧，具强刺激性</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燃烧（分解）产物：氧化硫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8" w:hRule="atLeast"/>
        </w:trPr>
        <w:tc>
          <w:tcPr>
            <w:tcW w:w="339" w:type="pct"/>
            <w:vMerge w:val="continue"/>
            <w:vAlign w:val="center"/>
          </w:tcPr>
          <w:p>
            <w:pPr>
              <w:widowControl/>
              <w:adjustRightInd w:val="0"/>
              <w:snapToGrid w:val="0"/>
              <w:jc w:val="center"/>
              <w:rPr>
                <w:szCs w:val="21"/>
              </w:rPr>
            </w:pP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闪点（℃）：：&lt;-50℃</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聚合危害：/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5" w:hRule="atLeast"/>
        </w:trPr>
        <w:tc>
          <w:tcPr>
            <w:tcW w:w="339" w:type="pct"/>
            <w:vMerge w:val="continue"/>
            <w:vAlign w:val="center"/>
          </w:tcPr>
          <w:p>
            <w:pPr>
              <w:widowControl/>
              <w:adjustRightInd w:val="0"/>
              <w:snapToGrid w:val="0"/>
              <w:jc w:val="center"/>
              <w:rPr>
                <w:szCs w:val="21"/>
              </w:rPr>
            </w:pP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爆炸极限（V%）：上限：46；下限：4</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稳定性：稳定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8" w:hRule="atLeast"/>
        </w:trPr>
        <w:tc>
          <w:tcPr>
            <w:tcW w:w="339" w:type="pct"/>
            <w:vMerge w:val="continue"/>
            <w:vAlign w:val="center"/>
          </w:tcPr>
          <w:p>
            <w:pPr>
              <w:widowControl/>
              <w:adjustRightInd w:val="0"/>
              <w:snapToGrid w:val="0"/>
              <w:jc w:val="center"/>
              <w:rPr>
                <w:szCs w:val="21"/>
              </w:rPr>
            </w:pPr>
          </w:p>
        </w:tc>
        <w:tc>
          <w:tcPr>
            <w:tcW w:w="2235"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引燃温度（℃）：260</w:t>
            </w:r>
          </w:p>
        </w:tc>
        <w:tc>
          <w:tcPr>
            <w:tcW w:w="2426" w:type="pct"/>
            <w:gridSpan w:val="2"/>
            <w:vAlign w:val="center"/>
          </w:tcPr>
          <w:p>
            <w:pPr>
              <w:pStyle w:val="2238"/>
              <w:adjustRightInd w:val="0"/>
              <w:snapToGrid w:val="0"/>
              <w:jc w:val="both"/>
              <w:rPr>
                <w:rFonts w:ascii="Times New Roman" w:hAnsi="Times New Roman" w:cs="Times New Roman"/>
                <w:sz w:val="21"/>
                <w:szCs w:val="21"/>
              </w:rPr>
            </w:pPr>
            <w:r>
              <w:rPr>
                <w:rFonts w:ascii="Times New Roman" w:hAnsi="Times New Roman" w:cs="Times New Roman"/>
                <w:sz w:val="21"/>
                <w:szCs w:val="21"/>
              </w:rPr>
              <w:t>禁忌物：强氧化剂、碱类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815" w:hRule="atLeast"/>
        </w:trPr>
        <w:tc>
          <w:tcPr>
            <w:tcW w:w="339" w:type="pct"/>
            <w:vMerge w:val="continue"/>
            <w:vAlign w:val="center"/>
          </w:tcPr>
          <w:p>
            <w:pPr>
              <w:widowControl/>
              <w:adjustRightInd w:val="0"/>
              <w:snapToGrid w:val="0"/>
              <w:jc w:val="center"/>
              <w:rPr>
                <w:szCs w:val="21"/>
              </w:rPr>
            </w:pPr>
          </w:p>
        </w:tc>
        <w:tc>
          <w:tcPr>
            <w:tcW w:w="4661" w:type="pct"/>
            <w:gridSpan w:val="4"/>
            <w:vAlign w:val="center"/>
          </w:tcPr>
          <w:p>
            <w:pPr>
              <w:pStyle w:val="2238"/>
              <w:adjustRightInd w:val="0"/>
              <w:snapToGrid w:val="0"/>
              <w:spacing w:before="1"/>
              <w:ind w:left="14"/>
              <w:jc w:val="both"/>
              <w:rPr>
                <w:rFonts w:ascii="Times New Roman" w:hAnsi="Times New Roman" w:cs="Times New Roman"/>
                <w:sz w:val="21"/>
                <w:szCs w:val="21"/>
              </w:rPr>
            </w:pPr>
            <w:r>
              <w:rPr>
                <w:rFonts w:ascii="Times New Roman" w:hAnsi="Times New Roman" w:cs="Times New Roman"/>
                <w:sz w:val="21"/>
                <w:szCs w:val="21"/>
              </w:rPr>
              <w:t>危险特性：易燃，与空气混合能形成爆炸性混合物，遇明火、高热能引起燃烧爆炸。与浓硝酸、发烟硫酸或其它强氧化剂剧烈反应，发生爆炸。气体比空气重，能在较低处扩散到 相当远的地方，遇明火会引起回燃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818" w:hRule="atLeast"/>
        </w:trPr>
        <w:tc>
          <w:tcPr>
            <w:tcW w:w="339" w:type="pct"/>
            <w:vMerge w:val="continue"/>
            <w:vAlign w:val="center"/>
          </w:tcPr>
          <w:p>
            <w:pPr>
              <w:widowControl/>
              <w:adjustRightInd w:val="0"/>
              <w:snapToGrid w:val="0"/>
              <w:jc w:val="center"/>
              <w:rPr>
                <w:szCs w:val="21"/>
              </w:rPr>
            </w:pPr>
          </w:p>
        </w:tc>
        <w:tc>
          <w:tcPr>
            <w:tcW w:w="4661" w:type="pct"/>
            <w:gridSpan w:val="4"/>
            <w:vAlign w:val="center"/>
          </w:tcPr>
          <w:p>
            <w:pPr>
              <w:pStyle w:val="2238"/>
              <w:adjustRightInd w:val="0"/>
              <w:snapToGrid w:val="0"/>
              <w:spacing w:before="3"/>
              <w:ind w:left="14" w:right="-15"/>
              <w:jc w:val="both"/>
              <w:rPr>
                <w:rFonts w:ascii="Times New Roman" w:hAnsi="Times New Roman" w:cs="Times New Roman"/>
                <w:sz w:val="21"/>
                <w:szCs w:val="21"/>
              </w:rPr>
            </w:pPr>
            <w:r>
              <w:rPr>
                <w:rFonts w:ascii="Times New Roman" w:hAnsi="Times New Roman" w:cs="Times New Roman"/>
                <w:sz w:val="21"/>
                <w:szCs w:val="21"/>
              </w:rPr>
              <w:t>灭火方法：消防人员必须穿戴全身防火防毒服。切断气源。若不能立即切断气源，则不允 许熄灭正在燃烧的气体。喷水冷却容器，可能的话将容器从火场移至空旷处。灭火剂：雾</w:t>
            </w:r>
            <w:r>
              <w:rPr>
                <w:rFonts w:ascii="Times New Roman" w:hAnsi="Times New Roman" w:cs="Times New Roman"/>
                <w:spacing w:val="-3"/>
                <w:sz w:val="21"/>
                <w:szCs w:val="21"/>
              </w:rPr>
              <w:t>状水、泡沫、二氧化碳、干粉。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089" w:hRule="atLeast"/>
        </w:trPr>
        <w:tc>
          <w:tcPr>
            <w:tcW w:w="339" w:type="pct"/>
            <w:vAlign w:val="center"/>
          </w:tcPr>
          <w:p>
            <w:pPr>
              <w:pStyle w:val="2238"/>
              <w:adjustRightInd w:val="0"/>
              <w:snapToGrid w:val="0"/>
              <w:spacing w:before="153"/>
              <w:ind w:right="53"/>
              <w:jc w:val="center"/>
              <w:rPr>
                <w:rFonts w:ascii="Times New Roman" w:hAnsi="Times New Roman" w:cs="Times New Roman"/>
                <w:sz w:val="21"/>
                <w:szCs w:val="21"/>
              </w:rPr>
            </w:pPr>
            <w:r>
              <w:rPr>
                <w:rFonts w:ascii="Times New Roman" w:hAnsi="Times New Roman" w:cs="Times New Roman"/>
                <w:sz w:val="21"/>
                <w:szCs w:val="21"/>
              </w:rPr>
              <w:t>毒性</w:t>
            </w:r>
          </w:p>
        </w:tc>
        <w:tc>
          <w:tcPr>
            <w:tcW w:w="4661" w:type="pct"/>
            <w:gridSpan w:val="4"/>
            <w:vAlign w:val="center"/>
          </w:tcPr>
          <w:p>
            <w:pPr>
              <w:pStyle w:val="2238"/>
              <w:adjustRightInd w:val="0"/>
              <w:snapToGrid w:val="0"/>
              <w:spacing w:before="4"/>
              <w:ind w:left="14" w:right="-15"/>
              <w:jc w:val="both"/>
              <w:rPr>
                <w:rFonts w:ascii="Times New Roman" w:hAnsi="Times New Roman" w:cs="Times New Roman"/>
                <w:sz w:val="21"/>
                <w:szCs w:val="21"/>
              </w:rPr>
            </w:pPr>
            <w:r>
              <w:rPr>
                <w:rFonts w:ascii="Times New Roman" w:hAnsi="Times New Roman" w:cs="Times New Roman"/>
                <w:sz w:val="21"/>
                <w:szCs w:val="21"/>
              </w:rPr>
              <w:t>急性毒性：LC</w:t>
            </w:r>
            <w:r>
              <w:rPr>
                <w:rFonts w:ascii="Times New Roman" w:hAnsi="Times New Roman" w:cs="Times New Roman"/>
                <w:sz w:val="21"/>
                <w:szCs w:val="21"/>
                <w:vertAlign w:val="subscript"/>
              </w:rPr>
              <w:t>50</w:t>
            </w:r>
            <w:r>
              <w:rPr>
                <w:rFonts w:ascii="Times New Roman" w:hAnsi="Times New Roman" w:cs="Times New Roman"/>
                <w:sz w:val="21"/>
                <w:szCs w:val="21"/>
              </w:rPr>
              <w:t>618mg/m</w:t>
            </w:r>
            <w:r>
              <w:rPr>
                <w:rFonts w:ascii="Times New Roman" w:hAnsi="Times New Roman" w:cs="Times New Roman"/>
                <w:sz w:val="21"/>
                <w:szCs w:val="21"/>
                <w:vertAlign w:val="superscript"/>
              </w:rPr>
              <w:t>3</w:t>
            </w:r>
            <w:r>
              <w:rPr>
                <w:rFonts w:ascii="Times New Roman" w:hAnsi="Times New Roman" w:cs="Times New Roman"/>
                <w:sz w:val="21"/>
                <w:szCs w:val="21"/>
              </w:rPr>
              <w:t xml:space="preserve">(大鼠吸入) </w:t>
            </w:r>
          </w:p>
          <w:p>
            <w:pPr>
              <w:pStyle w:val="2238"/>
              <w:adjustRightInd w:val="0"/>
              <w:snapToGrid w:val="0"/>
              <w:spacing w:before="4"/>
              <w:ind w:left="14" w:right="-15"/>
              <w:jc w:val="both"/>
              <w:rPr>
                <w:rFonts w:ascii="Times New Roman" w:hAnsi="Times New Roman" w:cs="Times New Roman"/>
                <w:sz w:val="21"/>
                <w:szCs w:val="21"/>
              </w:rPr>
            </w:pPr>
            <w:r>
              <w:rPr>
                <w:rFonts w:ascii="Times New Roman" w:hAnsi="Times New Roman" w:cs="Times New Roman"/>
                <w:sz w:val="21"/>
                <w:szCs w:val="21"/>
              </w:rPr>
              <w:t>亚急性和慢性毒性：家兔吸入0.01mg/L，2</w:t>
            </w:r>
            <w:r>
              <w:rPr>
                <w:rFonts w:ascii="Times New Roman" w:hAnsi="Times New Roman" w:cs="Times New Roman"/>
                <w:spacing w:val="2"/>
                <w:sz w:val="21"/>
                <w:szCs w:val="21"/>
              </w:rPr>
              <w:t>小时</w:t>
            </w:r>
            <w:r>
              <w:rPr>
                <w:rFonts w:ascii="Times New Roman" w:hAnsi="Times New Roman" w:cs="Times New Roman"/>
                <w:sz w:val="21"/>
                <w:szCs w:val="21"/>
              </w:rPr>
              <w:t>/天，</w:t>
            </w:r>
            <w:r>
              <w:rPr>
                <w:rFonts w:ascii="Times New Roman" w:hAnsi="Times New Roman" w:cs="Times New Roman"/>
                <w:spacing w:val="3"/>
                <w:sz w:val="21"/>
                <w:szCs w:val="21"/>
              </w:rPr>
              <w:t>3</w:t>
            </w:r>
            <w:r>
              <w:rPr>
                <w:rFonts w:ascii="Times New Roman" w:hAnsi="Times New Roman" w:cs="Times New Roman"/>
                <w:sz w:val="21"/>
                <w:szCs w:val="21"/>
              </w:rPr>
              <w:t xml:space="preserve">个月，引起中枢神经系统的机能改 变，气管、支气管粘膜刺激症状，大脑皮层出现病理改变。小鼠长期接触低浓度硫化氟， </w:t>
            </w:r>
            <w:r>
              <w:rPr>
                <w:rFonts w:ascii="Times New Roman" w:hAnsi="Times New Roman" w:cs="Times New Roman"/>
                <w:spacing w:val="-2"/>
                <w:sz w:val="21"/>
                <w:szCs w:val="21"/>
              </w:rPr>
              <w:t>有小气道损害。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44" w:hRule="atLeast"/>
        </w:trPr>
        <w:tc>
          <w:tcPr>
            <w:tcW w:w="339" w:type="pct"/>
            <w:vAlign w:val="center"/>
          </w:tcPr>
          <w:p>
            <w:pPr>
              <w:pStyle w:val="2238"/>
              <w:adjustRightInd w:val="0"/>
              <w:snapToGrid w:val="0"/>
              <w:spacing w:before="2"/>
              <w:jc w:val="center"/>
              <w:rPr>
                <w:rFonts w:ascii="Times New Roman" w:hAnsi="Times New Roman" w:cs="Times New Roman"/>
                <w:sz w:val="21"/>
                <w:szCs w:val="21"/>
              </w:rPr>
            </w:pPr>
            <w:r>
              <w:rPr>
                <w:rFonts w:ascii="Times New Roman" w:hAnsi="Times New Roman" w:cs="Times New Roman"/>
                <w:sz w:val="21"/>
                <w:szCs w:val="21"/>
              </w:rPr>
              <w:t>健康 危害</w:t>
            </w:r>
          </w:p>
        </w:tc>
        <w:tc>
          <w:tcPr>
            <w:tcW w:w="4661" w:type="pct"/>
            <w:gridSpan w:val="4"/>
            <w:vAlign w:val="center"/>
          </w:tcPr>
          <w:p>
            <w:pPr>
              <w:pStyle w:val="2238"/>
              <w:adjustRightInd w:val="0"/>
              <w:snapToGrid w:val="0"/>
              <w:spacing w:before="2"/>
              <w:ind w:left="66"/>
              <w:jc w:val="both"/>
              <w:rPr>
                <w:rFonts w:ascii="Times New Roman" w:hAnsi="Times New Roman" w:cs="Times New Roman"/>
                <w:sz w:val="21"/>
                <w:szCs w:val="21"/>
              </w:rPr>
            </w:pPr>
            <w:r>
              <w:rPr>
                <w:rFonts w:ascii="Times New Roman" w:hAnsi="Times New Roman" w:cs="Times New Roman"/>
                <w:sz w:val="21"/>
                <w:szCs w:val="21"/>
              </w:rPr>
              <w:t>侵入途径：吸入。</w:t>
            </w:r>
          </w:p>
          <w:p>
            <w:pPr>
              <w:pStyle w:val="2238"/>
              <w:adjustRightInd w:val="0"/>
              <w:snapToGrid w:val="0"/>
              <w:spacing w:before="2"/>
              <w:ind w:left="66"/>
              <w:jc w:val="both"/>
              <w:rPr>
                <w:rFonts w:ascii="Times New Roman" w:hAnsi="Times New Roman" w:cs="Times New Roman"/>
                <w:sz w:val="21"/>
                <w:szCs w:val="21"/>
              </w:rPr>
            </w:pPr>
            <w:r>
              <w:rPr>
                <w:rFonts w:ascii="Times New Roman" w:hAnsi="Times New Roman" w:cs="Times New Roman"/>
                <w:sz w:val="21"/>
                <w:szCs w:val="21"/>
              </w:rPr>
              <w:t>健康危害：本品是强烈的神经毒物，对粘膜有强烈刺激作用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089" w:hRule="atLeast"/>
        </w:trPr>
        <w:tc>
          <w:tcPr>
            <w:tcW w:w="339" w:type="pct"/>
            <w:vAlign w:val="center"/>
          </w:tcPr>
          <w:p>
            <w:pPr>
              <w:pStyle w:val="2238"/>
              <w:adjustRightInd w:val="0"/>
              <w:snapToGrid w:val="0"/>
              <w:spacing w:before="153"/>
              <w:ind w:right="53"/>
              <w:jc w:val="center"/>
              <w:rPr>
                <w:rFonts w:ascii="Times New Roman" w:hAnsi="Times New Roman" w:cs="Times New Roman"/>
                <w:sz w:val="21"/>
                <w:szCs w:val="21"/>
              </w:rPr>
            </w:pPr>
            <w:r>
              <w:rPr>
                <w:rFonts w:ascii="Times New Roman" w:hAnsi="Times New Roman" w:cs="Times New Roman"/>
                <w:sz w:val="21"/>
                <w:szCs w:val="21"/>
              </w:rPr>
              <w:t>急救</w:t>
            </w:r>
          </w:p>
        </w:tc>
        <w:tc>
          <w:tcPr>
            <w:tcW w:w="4661" w:type="pct"/>
            <w:gridSpan w:val="4"/>
            <w:vAlign w:val="center"/>
          </w:tcPr>
          <w:p>
            <w:pPr>
              <w:pStyle w:val="2238"/>
              <w:adjustRightInd w:val="0"/>
              <w:snapToGrid w:val="0"/>
              <w:spacing w:before="4"/>
              <w:ind w:left="14" w:right="-29"/>
              <w:jc w:val="both"/>
              <w:rPr>
                <w:rFonts w:ascii="Times New Roman" w:hAnsi="Times New Roman" w:cs="Times New Roman"/>
                <w:sz w:val="21"/>
                <w:szCs w:val="21"/>
              </w:rPr>
            </w:pPr>
            <w:r>
              <w:rPr>
                <w:rFonts w:ascii="Times New Roman" w:hAnsi="Times New Roman" w:cs="Times New Roman"/>
                <w:sz w:val="21"/>
                <w:szCs w:val="21"/>
              </w:rPr>
              <w:t xml:space="preserve">皮肤接触：脱去污染的衣着，用流动清水冲洗。就医。 </w:t>
            </w:r>
          </w:p>
          <w:p>
            <w:pPr>
              <w:pStyle w:val="2238"/>
              <w:adjustRightInd w:val="0"/>
              <w:snapToGrid w:val="0"/>
              <w:spacing w:before="4"/>
              <w:ind w:left="14" w:right="-29"/>
              <w:jc w:val="both"/>
              <w:rPr>
                <w:rFonts w:ascii="Times New Roman" w:hAnsi="Times New Roman" w:cs="Times New Roman"/>
                <w:sz w:val="21"/>
                <w:szCs w:val="21"/>
              </w:rPr>
            </w:pPr>
            <w:r>
              <w:rPr>
                <w:rFonts w:ascii="Times New Roman" w:hAnsi="Times New Roman" w:cs="Times New Roman"/>
                <w:sz w:val="21"/>
                <w:szCs w:val="21"/>
              </w:rPr>
              <w:t>眼睛接触：立即提起眼睑，用大量流动清水或生理盐水彻底冲洗至少15分钟。就医。</w:t>
            </w:r>
          </w:p>
          <w:p>
            <w:pPr>
              <w:pStyle w:val="2238"/>
              <w:adjustRightInd w:val="0"/>
              <w:snapToGrid w:val="0"/>
              <w:spacing w:before="4"/>
              <w:ind w:left="14" w:right="-29"/>
              <w:jc w:val="both"/>
              <w:rPr>
                <w:rFonts w:ascii="Times New Roman" w:hAnsi="Times New Roman" w:cs="Times New Roman"/>
                <w:sz w:val="21"/>
                <w:szCs w:val="21"/>
              </w:rPr>
            </w:pPr>
            <w:r>
              <w:rPr>
                <w:rFonts w:ascii="Times New Roman" w:hAnsi="Times New Roman" w:cs="Times New Roman"/>
                <w:sz w:val="21"/>
                <w:szCs w:val="21"/>
              </w:rPr>
              <w:t>吸入：迅速脱离现场至空气新鲜处。保持呼吸道通畅。如呼吸困难，给输氧。如呼吸停</w:t>
            </w:r>
            <w:r>
              <w:rPr>
                <w:rFonts w:ascii="Times New Roman" w:hAnsi="Times New Roman" w:cs="Times New Roman"/>
                <w:spacing w:val="-3"/>
                <w:sz w:val="21"/>
                <w:szCs w:val="21"/>
              </w:rPr>
              <w:t>止，即进行人工呼吸。就医。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905" w:hRule="atLeast"/>
        </w:trPr>
        <w:tc>
          <w:tcPr>
            <w:tcW w:w="339" w:type="pct"/>
            <w:vAlign w:val="center"/>
          </w:tcPr>
          <w:p>
            <w:pPr>
              <w:pStyle w:val="2238"/>
              <w:adjustRightInd w:val="0"/>
              <w:snapToGrid w:val="0"/>
              <w:spacing w:before="1"/>
              <w:ind w:right="53"/>
              <w:jc w:val="center"/>
              <w:rPr>
                <w:rFonts w:ascii="Times New Roman" w:hAnsi="Times New Roman" w:cs="Times New Roman"/>
                <w:sz w:val="21"/>
                <w:szCs w:val="21"/>
              </w:rPr>
            </w:pPr>
            <w:r>
              <w:rPr>
                <w:rFonts w:ascii="Times New Roman" w:hAnsi="Times New Roman" w:cs="Times New Roman"/>
                <w:sz w:val="21"/>
                <w:szCs w:val="21"/>
              </w:rPr>
              <w:t>防护</w:t>
            </w:r>
          </w:p>
        </w:tc>
        <w:tc>
          <w:tcPr>
            <w:tcW w:w="4661" w:type="pct"/>
            <w:gridSpan w:val="4"/>
            <w:vAlign w:val="center"/>
          </w:tcPr>
          <w:p>
            <w:pPr>
              <w:pStyle w:val="2238"/>
              <w:adjustRightInd w:val="0"/>
              <w:snapToGrid w:val="0"/>
              <w:spacing w:before="4"/>
              <w:ind w:left="14"/>
              <w:jc w:val="both"/>
              <w:rPr>
                <w:rFonts w:ascii="Times New Roman" w:hAnsi="Times New Roman" w:cs="Times New Roman"/>
                <w:sz w:val="21"/>
                <w:szCs w:val="21"/>
              </w:rPr>
            </w:pPr>
            <w:r>
              <w:rPr>
                <w:rFonts w:ascii="Times New Roman" w:hAnsi="Times New Roman" w:cs="Times New Roman"/>
                <w:sz w:val="21"/>
                <w:szCs w:val="21"/>
              </w:rPr>
              <w:t>呼吸系统防护：空气中浓度超标时，佩带过渡式防毒面具(半面罩)。紧急事态抢救或撤离</w:t>
            </w:r>
            <w:r>
              <w:rPr>
                <w:rFonts w:ascii="Times New Roman" w:hAnsi="Times New Roman" w:cs="Times New Roman"/>
                <w:spacing w:val="-3"/>
                <w:sz w:val="21"/>
                <w:szCs w:val="21"/>
              </w:rPr>
              <w:t>时，建议佩带氧气呼吸器或空气呼吸器。</w:t>
            </w:r>
            <w:r>
              <w:rPr>
                <w:rFonts w:ascii="Times New Roman" w:hAnsi="Times New Roman" w:cs="Times New Roman"/>
                <w:sz w:val="21"/>
                <w:szCs w:val="21"/>
              </w:rPr>
              <w:t xml:space="preserve"> </w:t>
            </w:r>
          </w:p>
          <w:p>
            <w:pPr>
              <w:pStyle w:val="2238"/>
              <w:adjustRightInd w:val="0"/>
              <w:snapToGrid w:val="0"/>
              <w:spacing w:before="4"/>
              <w:ind w:left="14"/>
              <w:jc w:val="both"/>
              <w:rPr>
                <w:rFonts w:ascii="Times New Roman" w:hAnsi="Times New Roman" w:cs="Times New Roman"/>
                <w:sz w:val="21"/>
                <w:szCs w:val="21"/>
              </w:rPr>
            </w:pPr>
            <w:r>
              <w:rPr>
                <w:rFonts w:ascii="Times New Roman" w:hAnsi="Times New Roman" w:cs="Times New Roman"/>
                <w:sz w:val="21"/>
                <w:szCs w:val="21"/>
              </w:rPr>
              <w:t>眼睛防护：戴化学安全防护眼镜。</w:t>
            </w:r>
          </w:p>
          <w:p>
            <w:pPr>
              <w:pStyle w:val="2238"/>
              <w:adjustRightInd w:val="0"/>
              <w:snapToGrid w:val="0"/>
              <w:spacing w:before="4"/>
              <w:ind w:left="14"/>
              <w:jc w:val="both"/>
              <w:rPr>
                <w:rFonts w:ascii="Times New Roman" w:hAnsi="Times New Roman" w:cs="Times New Roman"/>
                <w:sz w:val="21"/>
                <w:szCs w:val="21"/>
              </w:rPr>
            </w:pPr>
            <w:r>
              <w:rPr>
                <w:rFonts w:ascii="Times New Roman" w:hAnsi="Times New Roman" w:cs="Times New Roman"/>
                <w:sz w:val="21"/>
                <w:szCs w:val="21"/>
              </w:rPr>
              <w:t>身体防护：穿防静电工作服。</w:t>
            </w:r>
          </w:p>
          <w:p>
            <w:pPr>
              <w:pStyle w:val="2238"/>
              <w:adjustRightInd w:val="0"/>
              <w:snapToGrid w:val="0"/>
              <w:spacing w:before="4"/>
              <w:ind w:left="14"/>
              <w:jc w:val="both"/>
              <w:rPr>
                <w:rFonts w:ascii="Times New Roman" w:hAnsi="Times New Roman" w:cs="Times New Roman"/>
                <w:sz w:val="21"/>
                <w:szCs w:val="21"/>
              </w:rPr>
            </w:pPr>
            <w:r>
              <w:rPr>
                <w:rFonts w:ascii="Times New Roman" w:hAnsi="Times New Roman" w:cs="Times New Roman"/>
                <w:sz w:val="21"/>
                <w:szCs w:val="21"/>
              </w:rPr>
              <w:t xml:space="preserve">手防护：戴防化学品手套。 </w:t>
            </w:r>
          </w:p>
          <w:p>
            <w:pPr>
              <w:pStyle w:val="2238"/>
              <w:adjustRightInd w:val="0"/>
              <w:snapToGrid w:val="0"/>
              <w:spacing w:before="4"/>
              <w:ind w:left="14"/>
              <w:jc w:val="both"/>
              <w:rPr>
                <w:rFonts w:ascii="Times New Roman" w:hAnsi="Times New Roman" w:cs="Times New Roman"/>
                <w:sz w:val="21"/>
                <w:szCs w:val="21"/>
              </w:rPr>
            </w:pPr>
            <w:r>
              <w:rPr>
                <w:rFonts w:ascii="Times New Roman" w:hAnsi="Times New Roman" w:cs="Times New Roman"/>
                <w:spacing w:val="-3"/>
                <w:sz w:val="21"/>
                <w:szCs w:val="21"/>
              </w:rPr>
              <w:t>其它：工作现场严禁吸烟、进食和饮水。工作毕，淋浴更衣。及时换洗工作服。作业人员</w:t>
            </w:r>
            <w:r>
              <w:rPr>
                <w:rFonts w:ascii="Times New Roman" w:hAnsi="Times New Roman" w:cs="Times New Roman"/>
                <w:sz w:val="21"/>
                <w:szCs w:val="21"/>
              </w:rPr>
              <w:t>应学会自救互救。进入罐、限制性空间或其它高浓度区作业，须有人监护。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636" w:hRule="atLeast"/>
        </w:trPr>
        <w:tc>
          <w:tcPr>
            <w:tcW w:w="339" w:type="pct"/>
            <w:vAlign w:val="center"/>
          </w:tcPr>
          <w:p>
            <w:pPr>
              <w:pStyle w:val="2238"/>
              <w:adjustRightInd w:val="0"/>
              <w:snapToGrid w:val="0"/>
              <w:spacing w:before="156"/>
              <w:ind w:left="100" w:right="53"/>
              <w:jc w:val="center"/>
              <w:rPr>
                <w:rFonts w:ascii="Times New Roman" w:hAnsi="Times New Roman" w:cs="Times New Roman"/>
                <w:sz w:val="21"/>
                <w:szCs w:val="21"/>
              </w:rPr>
            </w:pPr>
            <w:r>
              <w:rPr>
                <w:rFonts w:ascii="Times New Roman" w:hAnsi="Times New Roman" w:cs="Times New Roman"/>
                <w:sz w:val="21"/>
                <w:szCs w:val="21"/>
              </w:rPr>
              <w:t>泄漏应急处理</w:t>
            </w:r>
          </w:p>
        </w:tc>
        <w:tc>
          <w:tcPr>
            <w:tcW w:w="4661" w:type="pct"/>
            <w:gridSpan w:val="4"/>
            <w:vAlign w:val="center"/>
          </w:tcPr>
          <w:p>
            <w:pPr>
              <w:pStyle w:val="2238"/>
              <w:adjustRightInd w:val="0"/>
              <w:snapToGrid w:val="0"/>
              <w:spacing w:before="5"/>
              <w:ind w:left="14"/>
              <w:jc w:val="both"/>
              <w:rPr>
                <w:rFonts w:ascii="Times New Roman" w:hAnsi="Times New Roman" w:cs="Times New Roman"/>
                <w:sz w:val="21"/>
                <w:szCs w:val="21"/>
              </w:rPr>
            </w:pPr>
            <w:r>
              <w:rPr>
                <w:rFonts w:ascii="Times New Roman" w:hAnsi="Times New Roman" w:cs="Times New Roman"/>
                <w:sz w:val="21"/>
                <w:szCs w:val="21"/>
              </w:rPr>
              <w:t>迅速撤离泄漏污染区人员至上风处，并立即进行隔离，小泄漏时隔离150m，大泄漏时隔离300m，严格限制出入。切断火源。建议应急处理人员戴自给正压式呼吸器，穿防毒服。从上风处进入现场。尽可能切断泄漏源。合理通风，加速扩散。喷雾状水稀释、溶解。构筑围堤或挖坑收容产生的大量废水。如有可能，将残余气或漏出气用排风机送至水洗塔或与塔相连的通风橱内。或使其通过三氯化铁水溶液，管路装止回装置以防溶液吸 回。漏气容器要妥善处理，修复、检验后再用。</w:t>
            </w:r>
          </w:p>
        </w:tc>
      </w:tr>
    </w:tbl>
    <w:p>
      <w:pPr>
        <w:spacing w:line="252" w:lineRule="exact"/>
        <w:rPr>
          <w:szCs w:val="21"/>
        </w:rPr>
        <w:sectPr>
          <w:pgSz w:w="12240" w:h="15840"/>
          <w:pgMar w:top="1440" w:right="1800" w:bottom="1440" w:left="1800" w:header="720" w:footer="720" w:gutter="0"/>
          <w:cols w:space="720" w:num="1"/>
          <w:docGrid w:linePitch="286" w:charSpace="0"/>
        </w:sectPr>
      </w:pPr>
    </w:p>
    <w:p>
      <w:pPr>
        <w:pStyle w:val="3"/>
        <w:keepNext w:val="0"/>
        <w:keepLines w:val="0"/>
        <w:spacing w:before="120" w:after="120"/>
        <w:rPr>
          <w:rFonts w:ascii="Times New Roman" w:hAnsi="Times New Roman" w:eastAsia="宋体"/>
        </w:rPr>
      </w:pPr>
      <w:bookmarkStart w:id="460" w:name="_Toc143762362"/>
      <w:r>
        <w:rPr>
          <w:rFonts w:ascii="Times New Roman" w:hAnsi="Times New Roman" w:eastAsia="宋体"/>
        </w:rPr>
        <w:t>7.2</w:t>
      </w:r>
      <w:r>
        <w:rPr>
          <w:rFonts w:hint="eastAsia" w:ascii="Times New Roman" w:hAnsi="Times New Roman" w:eastAsia="宋体"/>
        </w:rPr>
        <w:t>风险潜势及风险等级</w:t>
      </w:r>
      <w:bookmarkEnd w:id="460"/>
    </w:p>
    <w:p>
      <w:pPr>
        <w:pStyle w:val="69"/>
        <w:adjustRightInd w:val="0"/>
        <w:snapToGrid w:val="0"/>
        <w:spacing w:after="0" w:line="360" w:lineRule="auto"/>
        <w:ind w:left="0" w:leftChars="0" w:firstLine="480" w:firstLineChars="200"/>
        <w:jc w:val="both"/>
        <w:rPr>
          <w:sz w:val="24"/>
          <w:szCs w:val="24"/>
        </w:rPr>
      </w:pPr>
      <w:r>
        <w:rPr>
          <w:rFonts w:hint="eastAsia"/>
          <w:sz w:val="24"/>
          <w:szCs w:val="24"/>
        </w:rPr>
        <w:t>根据《建设项目环境风险评价技术导则》（</w:t>
      </w:r>
      <w:r>
        <w:rPr>
          <w:sz w:val="24"/>
          <w:szCs w:val="24"/>
        </w:rPr>
        <w:t>HJ 169</w:t>
      </w:r>
      <w:r>
        <w:rPr>
          <w:rFonts w:hint="eastAsia"/>
          <w:sz w:val="24"/>
          <w:szCs w:val="24"/>
        </w:rPr>
        <w:t>－</w:t>
      </w:r>
      <w:r>
        <w:rPr>
          <w:sz w:val="24"/>
          <w:szCs w:val="24"/>
        </w:rPr>
        <w:t>2018</w:t>
      </w:r>
      <w:r>
        <w:rPr>
          <w:rFonts w:hint="eastAsia"/>
          <w:sz w:val="24"/>
          <w:szCs w:val="24"/>
        </w:rPr>
        <w:t xml:space="preserve">）附录 </w:t>
      </w:r>
      <w:r>
        <w:rPr>
          <w:sz w:val="24"/>
          <w:szCs w:val="24"/>
        </w:rPr>
        <w:t xml:space="preserve">C </w:t>
      </w:r>
      <w:r>
        <w:rPr>
          <w:rFonts w:hint="eastAsia"/>
          <w:sz w:val="24"/>
          <w:szCs w:val="24"/>
        </w:rPr>
        <w:t xml:space="preserve">，计算所涉及的每种危险物质在厂界内的最大存在总量与其在附录 </w:t>
      </w:r>
      <w:r>
        <w:rPr>
          <w:sz w:val="24"/>
          <w:szCs w:val="24"/>
        </w:rPr>
        <w:t xml:space="preserve">B </w:t>
      </w:r>
      <w:r>
        <w:rPr>
          <w:rFonts w:hint="eastAsia"/>
          <w:sz w:val="24"/>
          <w:szCs w:val="24"/>
        </w:rPr>
        <w:t xml:space="preserve">中对应临界量的比值 </w:t>
      </w:r>
      <w:r>
        <w:rPr>
          <w:sz w:val="24"/>
          <w:szCs w:val="24"/>
        </w:rPr>
        <w:t>Q</w:t>
      </w:r>
      <w:r>
        <w:rPr>
          <w:rFonts w:hint="eastAsia"/>
          <w:sz w:val="24"/>
          <w:szCs w:val="24"/>
        </w:rPr>
        <w:t>。</w:t>
      </w:r>
    </w:p>
    <w:p>
      <w:pPr>
        <w:spacing w:line="360" w:lineRule="auto"/>
        <w:ind w:firstLine="480" w:firstLineChars="200"/>
        <w:rPr>
          <w:sz w:val="24"/>
        </w:rPr>
      </w:pPr>
      <w:r>
        <w:rPr>
          <w:rFonts w:hint="eastAsia"/>
          <w:sz w:val="24"/>
        </w:rPr>
        <w:t>当只涉及一种危险物质时，计算该物质的总量与其临界量比值，即为Q；当存在多种危险物质时，则按照下式计算物质总量与其临界量比值（Q）：</w:t>
      </w:r>
    </w:p>
    <w:p>
      <w:pPr>
        <w:spacing w:line="360" w:lineRule="auto"/>
        <w:ind w:firstLine="420" w:firstLineChars="200"/>
        <w:jc w:val="center"/>
        <w:rPr>
          <w:sz w:val="24"/>
        </w:rPr>
      </w:pPr>
      <m:oMathPara>
        <m:oMath>
          <m:r>
            <m:rPr/>
            <w:rPr>
              <w:rFonts w:ascii="Cambria Math" w:hAnsi="Cambria Math" w:eastAsia="Cambria Math" w:cs="Cambria Math"/>
            </w:rPr>
            <m:t>Q</m:t>
          </m:r>
          <m:r>
            <m:rPr>
              <m:sty m:val="p"/>
            </m:rPr>
            <w:rPr>
              <w:rFonts w:ascii="Cambria Math" w:hAnsi="Cambria Math" w:eastAsia="Cambria Math" w:cs="Cambria Math"/>
            </w:rPr>
            <m:t>=</m:t>
          </m:r>
          <m:f>
            <m:fPr>
              <m:ctrlPr>
                <w:rPr>
                  <w:rFonts w:ascii="Cambria Math" w:hAnsi="Cambria Math" w:eastAsia="Cambria Math"/>
                  <w:i/>
                  <w:szCs w:val="22"/>
                </w:rPr>
              </m:ctrlPr>
            </m:fPr>
            <m:num>
              <m:sSub>
                <m:sSubPr>
                  <m:ctrlPr>
                    <w:rPr>
                      <w:rFonts w:ascii="Cambria Math" w:hAnsi="Cambria Math" w:eastAsia="Cambria Math"/>
                      <w:i/>
                      <w:szCs w:val="22"/>
                    </w:rPr>
                  </m:ctrlPr>
                </m:sSubPr>
                <m:e>
                  <m:r>
                    <m:rPr/>
                    <w:rPr>
                      <w:rFonts w:ascii="Cambria Math" w:hAnsi="Cambria Math" w:eastAsia="Cambria Math"/>
                    </w:rPr>
                    <m:t>q</m:t>
                  </m:r>
                  <m:ctrlPr>
                    <w:rPr>
                      <w:rFonts w:ascii="Cambria Math" w:hAnsi="Cambria Math" w:eastAsia="Cambria Math"/>
                      <w:i/>
                      <w:szCs w:val="22"/>
                    </w:rPr>
                  </m:ctrlPr>
                </m:e>
                <m:sub>
                  <m:r>
                    <m:rPr/>
                    <w:rPr>
                      <w:rFonts w:ascii="Cambria Math" w:hAnsi="Cambria Math" w:eastAsia="Cambria Math"/>
                    </w:rPr>
                    <m:t>1</m:t>
                  </m:r>
                  <m:ctrlPr>
                    <w:rPr>
                      <w:rFonts w:ascii="Cambria Math" w:hAnsi="Cambria Math" w:eastAsia="Cambria Math"/>
                      <w:i/>
                      <w:szCs w:val="22"/>
                    </w:rPr>
                  </m:ctrlPr>
                </m:sub>
              </m:sSub>
              <m:ctrlPr>
                <w:rPr>
                  <w:rFonts w:ascii="Cambria Math" w:hAnsi="Cambria Math" w:eastAsia="Cambria Math"/>
                  <w:i/>
                  <w:szCs w:val="22"/>
                </w:rPr>
              </m:ctrlPr>
            </m:num>
            <m:den>
              <m:sSub>
                <m:sSubPr>
                  <m:ctrlPr>
                    <w:rPr>
                      <w:rFonts w:ascii="Cambria Math" w:hAnsi="Cambria Math" w:eastAsia="Cambria Math"/>
                      <w:i/>
                      <w:szCs w:val="22"/>
                    </w:rPr>
                  </m:ctrlPr>
                </m:sSubPr>
                <m:e>
                  <m:r>
                    <m:rPr/>
                    <w:rPr>
                      <w:rFonts w:ascii="Cambria Math" w:hAnsi="Cambria Math" w:eastAsia="Cambria Math"/>
                    </w:rPr>
                    <m:t>Q</m:t>
                  </m:r>
                  <m:ctrlPr>
                    <w:rPr>
                      <w:rFonts w:ascii="Cambria Math" w:hAnsi="Cambria Math" w:eastAsia="Cambria Math"/>
                      <w:i/>
                      <w:szCs w:val="22"/>
                    </w:rPr>
                  </m:ctrlPr>
                </m:e>
                <m:sub>
                  <m:r>
                    <m:rPr/>
                    <w:rPr>
                      <w:rFonts w:ascii="Cambria Math" w:hAnsi="Cambria Math" w:eastAsia="Cambria Math"/>
                    </w:rPr>
                    <m:t>1</m:t>
                  </m:r>
                  <m:ctrlPr>
                    <w:rPr>
                      <w:rFonts w:ascii="Cambria Math" w:hAnsi="Cambria Math" w:eastAsia="Cambria Math"/>
                      <w:i/>
                      <w:szCs w:val="22"/>
                    </w:rPr>
                  </m:ctrlPr>
                </m:sub>
              </m:sSub>
              <m:ctrlPr>
                <w:rPr>
                  <w:rFonts w:ascii="Cambria Math" w:hAnsi="Cambria Math" w:eastAsia="Cambria Math"/>
                  <w:i/>
                  <w:szCs w:val="22"/>
                </w:rPr>
              </m:ctrlPr>
            </m:den>
          </m:f>
          <m:r>
            <m:rPr/>
            <w:rPr>
              <w:rFonts w:ascii="Cambria Math" w:hAnsi="Cambria Math" w:eastAsia="Cambria Math"/>
            </w:rPr>
            <m:t>+</m:t>
          </m:r>
          <m:f>
            <m:fPr>
              <m:ctrlPr>
                <w:rPr>
                  <w:rFonts w:ascii="Cambria Math" w:hAnsi="Cambria Math" w:eastAsia="Cambria Math"/>
                  <w:i/>
                  <w:szCs w:val="22"/>
                </w:rPr>
              </m:ctrlPr>
            </m:fPr>
            <m:num>
              <m:sSub>
                <m:sSubPr>
                  <m:ctrlPr>
                    <w:rPr>
                      <w:rFonts w:ascii="Cambria Math" w:hAnsi="Cambria Math" w:eastAsia="Cambria Math"/>
                      <w:i/>
                      <w:szCs w:val="22"/>
                    </w:rPr>
                  </m:ctrlPr>
                </m:sSubPr>
                <m:e>
                  <m:r>
                    <m:rPr/>
                    <w:rPr>
                      <w:rFonts w:ascii="Cambria Math" w:hAnsi="Cambria Math" w:eastAsia="Cambria Math"/>
                    </w:rPr>
                    <m:t>q</m:t>
                  </m:r>
                  <m:ctrlPr>
                    <w:rPr>
                      <w:rFonts w:ascii="Cambria Math" w:hAnsi="Cambria Math" w:eastAsia="Cambria Math"/>
                      <w:i/>
                      <w:szCs w:val="22"/>
                    </w:rPr>
                  </m:ctrlPr>
                </m:e>
                <m:sub>
                  <m:r>
                    <m:rPr/>
                    <w:rPr>
                      <w:rFonts w:ascii="Cambria Math" w:hAnsi="Cambria Math" w:eastAsia="Cambria Math"/>
                    </w:rPr>
                    <m:t>2</m:t>
                  </m:r>
                  <m:ctrlPr>
                    <w:rPr>
                      <w:rFonts w:ascii="Cambria Math" w:hAnsi="Cambria Math" w:eastAsia="Cambria Math"/>
                      <w:i/>
                      <w:szCs w:val="22"/>
                    </w:rPr>
                  </m:ctrlPr>
                </m:sub>
              </m:sSub>
              <m:ctrlPr>
                <w:rPr>
                  <w:rFonts w:ascii="Cambria Math" w:hAnsi="Cambria Math" w:eastAsia="Cambria Math"/>
                  <w:i/>
                  <w:szCs w:val="22"/>
                </w:rPr>
              </m:ctrlPr>
            </m:num>
            <m:den>
              <m:sSub>
                <m:sSubPr>
                  <m:ctrlPr>
                    <w:rPr>
                      <w:rFonts w:ascii="Cambria Math" w:hAnsi="Cambria Math" w:eastAsia="Cambria Math"/>
                      <w:i/>
                      <w:szCs w:val="22"/>
                    </w:rPr>
                  </m:ctrlPr>
                </m:sSubPr>
                <m:e>
                  <m:r>
                    <m:rPr/>
                    <w:rPr>
                      <w:rFonts w:ascii="Cambria Math" w:hAnsi="Cambria Math" w:eastAsia="Cambria Math"/>
                    </w:rPr>
                    <m:t>Q</m:t>
                  </m:r>
                  <m:ctrlPr>
                    <w:rPr>
                      <w:rFonts w:ascii="Cambria Math" w:hAnsi="Cambria Math" w:eastAsia="Cambria Math"/>
                      <w:i/>
                      <w:szCs w:val="22"/>
                    </w:rPr>
                  </m:ctrlPr>
                </m:e>
                <m:sub>
                  <m:r>
                    <m:rPr/>
                    <w:rPr>
                      <w:rFonts w:ascii="Cambria Math" w:hAnsi="Cambria Math" w:eastAsia="Cambria Math"/>
                    </w:rPr>
                    <m:t>2</m:t>
                  </m:r>
                  <m:ctrlPr>
                    <w:rPr>
                      <w:rFonts w:ascii="Cambria Math" w:hAnsi="Cambria Math" w:eastAsia="Cambria Math"/>
                      <w:i/>
                      <w:szCs w:val="22"/>
                    </w:rPr>
                  </m:ctrlPr>
                </m:sub>
              </m:sSub>
              <m:ctrlPr>
                <w:rPr>
                  <w:rFonts w:ascii="Cambria Math" w:hAnsi="Cambria Math" w:eastAsia="Cambria Math"/>
                  <w:i/>
                  <w:szCs w:val="22"/>
                </w:rPr>
              </m:ctrlPr>
            </m:den>
          </m:f>
          <m:r>
            <m:rPr/>
            <w:rPr>
              <w:rFonts w:ascii="Cambria Math" w:hAnsi="Cambria Math" w:eastAsia="Cambria Math"/>
            </w:rPr>
            <m:t>+⋯+</m:t>
          </m:r>
          <m:f>
            <m:fPr>
              <m:ctrlPr>
                <w:rPr>
                  <w:rFonts w:ascii="Cambria Math" w:hAnsi="Cambria Math" w:eastAsia="Cambria Math"/>
                  <w:i/>
                  <w:szCs w:val="22"/>
                </w:rPr>
              </m:ctrlPr>
            </m:fPr>
            <m:num>
              <m:sSub>
                <m:sSubPr>
                  <m:ctrlPr>
                    <w:rPr>
                      <w:rFonts w:ascii="Cambria Math" w:hAnsi="Cambria Math" w:eastAsia="Cambria Math"/>
                      <w:i/>
                      <w:szCs w:val="22"/>
                    </w:rPr>
                  </m:ctrlPr>
                </m:sSubPr>
                <m:e>
                  <m:r>
                    <m:rPr/>
                    <w:rPr>
                      <w:rFonts w:ascii="Cambria Math" w:hAnsi="Cambria Math" w:eastAsia="Cambria Math"/>
                    </w:rPr>
                    <m:t>q</m:t>
                  </m:r>
                  <m:ctrlPr>
                    <w:rPr>
                      <w:rFonts w:ascii="Cambria Math" w:hAnsi="Cambria Math" w:eastAsia="Cambria Math"/>
                      <w:i/>
                      <w:szCs w:val="22"/>
                    </w:rPr>
                  </m:ctrlPr>
                </m:e>
                <m:sub>
                  <m:r>
                    <m:rPr/>
                    <w:rPr>
                      <w:rFonts w:ascii="Cambria Math" w:hAnsi="Cambria Math" w:eastAsia="Cambria Math"/>
                    </w:rPr>
                    <m:t>n</m:t>
                  </m:r>
                  <m:ctrlPr>
                    <w:rPr>
                      <w:rFonts w:ascii="Cambria Math" w:hAnsi="Cambria Math" w:eastAsia="Cambria Math"/>
                      <w:i/>
                      <w:szCs w:val="22"/>
                    </w:rPr>
                  </m:ctrlPr>
                </m:sub>
              </m:sSub>
              <m:ctrlPr>
                <w:rPr>
                  <w:rFonts w:ascii="Cambria Math" w:hAnsi="Cambria Math" w:eastAsia="Cambria Math"/>
                  <w:i/>
                  <w:szCs w:val="22"/>
                </w:rPr>
              </m:ctrlPr>
            </m:num>
            <m:den>
              <m:sSub>
                <m:sSubPr>
                  <m:ctrlPr>
                    <w:rPr>
                      <w:rFonts w:ascii="Cambria Math" w:hAnsi="Cambria Math" w:eastAsia="Cambria Math"/>
                      <w:i/>
                      <w:szCs w:val="22"/>
                    </w:rPr>
                  </m:ctrlPr>
                </m:sSubPr>
                <m:e>
                  <m:r>
                    <m:rPr/>
                    <w:rPr>
                      <w:rFonts w:ascii="Cambria Math" w:hAnsi="Cambria Math" w:eastAsia="Cambria Math"/>
                    </w:rPr>
                    <m:t>Q</m:t>
                  </m:r>
                  <m:ctrlPr>
                    <w:rPr>
                      <w:rFonts w:ascii="Cambria Math" w:hAnsi="Cambria Math" w:eastAsia="Cambria Math"/>
                      <w:i/>
                      <w:szCs w:val="22"/>
                    </w:rPr>
                  </m:ctrlPr>
                </m:e>
                <m:sub>
                  <m:r>
                    <m:rPr/>
                    <w:rPr>
                      <w:rFonts w:ascii="Cambria Math" w:hAnsi="Cambria Math" w:eastAsia="Cambria Math"/>
                    </w:rPr>
                    <m:t>n</m:t>
                  </m:r>
                  <m:ctrlPr>
                    <w:rPr>
                      <w:rFonts w:ascii="Cambria Math" w:hAnsi="Cambria Math" w:eastAsia="Cambria Math"/>
                      <w:i/>
                      <w:szCs w:val="22"/>
                    </w:rPr>
                  </m:ctrlPr>
                </m:sub>
              </m:sSub>
              <m:ctrlPr>
                <w:rPr>
                  <w:rFonts w:ascii="Cambria Math" w:hAnsi="Cambria Math" w:eastAsia="Cambria Math"/>
                  <w:i/>
                  <w:szCs w:val="22"/>
                </w:rPr>
              </m:ctrlPr>
            </m:den>
          </m:f>
        </m:oMath>
      </m:oMathPara>
    </w:p>
    <w:p>
      <w:pPr>
        <w:spacing w:line="360" w:lineRule="auto"/>
        <w:ind w:firstLine="480" w:firstLineChars="200"/>
        <w:rPr>
          <w:sz w:val="24"/>
        </w:rPr>
      </w:pPr>
      <w:r>
        <w:rPr>
          <w:sz w:val="24"/>
        </w:rPr>
        <w:t>式中：q</w:t>
      </w:r>
      <w:r>
        <w:rPr>
          <w:sz w:val="24"/>
          <w:vertAlign w:val="subscript"/>
        </w:rPr>
        <w:t>1</w:t>
      </w:r>
      <w:r>
        <w:rPr>
          <w:sz w:val="24"/>
        </w:rPr>
        <w:t>，q</w:t>
      </w:r>
      <w:r>
        <w:rPr>
          <w:sz w:val="24"/>
          <w:vertAlign w:val="subscript"/>
        </w:rPr>
        <w:t>2</w:t>
      </w:r>
      <w:r>
        <w:rPr>
          <w:sz w:val="24"/>
        </w:rPr>
        <w:t>…，q</w:t>
      </w:r>
      <w:r>
        <w:rPr>
          <w:sz w:val="24"/>
          <w:vertAlign w:val="subscript"/>
        </w:rPr>
        <w:t xml:space="preserve">n </w:t>
      </w:r>
      <w:r>
        <w:rPr>
          <w:sz w:val="24"/>
        </w:rPr>
        <w:t>—每种危险物质的最大存在总量，t；</w:t>
      </w:r>
    </w:p>
    <w:p>
      <w:pPr>
        <w:spacing w:line="360" w:lineRule="auto"/>
        <w:ind w:firstLine="1200" w:firstLineChars="500"/>
        <w:rPr>
          <w:sz w:val="24"/>
        </w:rPr>
      </w:pPr>
      <w:r>
        <w:rPr>
          <w:sz w:val="24"/>
        </w:rPr>
        <w:t>Q</w:t>
      </w:r>
      <w:r>
        <w:rPr>
          <w:sz w:val="24"/>
          <w:vertAlign w:val="subscript"/>
        </w:rPr>
        <w:t>1</w:t>
      </w:r>
      <w:r>
        <w:rPr>
          <w:sz w:val="24"/>
        </w:rPr>
        <w:t>，Q</w:t>
      </w:r>
      <w:r>
        <w:rPr>
          <w:sz w:val="24"/>
          <w:vertAlign w:val="subscript"/>
        </w:rPr>
        <w:t>2</w:t>
      </w:r>
      <w:r>
        <w:rPr>
          <w:sz w:val="24"/>
        </w:rPr>
        <w:t>，…，Q</w:t>
      </w:r>
      <w:r>
        <w:rPr>
          <w:sz w:val="24"/>
          <w:vertAlign w:val="subscript"/>
        </w:rPr>
        <w:t>n</w:t>
      </w:r>
      <w:r>
        <w:rPr>
          <w:sz w:val="24"/>
        </w:rPr>
        <w:t>—每种危险物质的临界量，t。</w:t>
      </w:r>
    </w:p>
    <w:p>
      <w:pPr>
        <w:spacing w:line="360" w:lineRule="auto"/>
        <w:ind w:firstLine="1200" w:firstLineChars="500"/>
        <w:rPr>
          <w:sz w:val="24"/>
        </w:rPr>
      </w:pPr>
      <w:r>
        <w:rPr>
          <w:sz w:val="24"/>
        </w:rPr>
        <w:t>当Q&lt;1时，该项目环境风险潜势为</w:t>
      </w:r>
      <w:r>
        <w:rPr>
          <w:rFonts w:hint="eastAsia" w:ascii="宋体" w:hAnsi="宋体" w:cs="宋体"/>
          <w:sz w:val="24"/>
        </w:rPr>
        <w:t>Ⅰ</w:t>
      </w:r>
      <w:r>
        <w:rPr>
          <w:sz w:val="24"/>
        </w:rPr>
        <w:t>。</w:t>
      </w:r>
    </w:p>
    <w:p>
      <w:pPr>
        <w:pStyle w:val="69"/>
        <w:adjustRightInd w:val="0"/>
        <w:snapToGrid w:val="0"/>
        <w:spacing w:line="360" w:lineRule="auto"/>
        <w:ind w:firstLine="480" w:firstLineChars="200"/>
        <w:rPr>
          <w:sz w:val="24"/>
        </w:rPr>
      </w:pPr>
      <w:r>
        <w:rPr>
          <w:sz w:val="24"/>
        </w:rPr>
        <w:t>当Q</w:t>
      </w:r>
      <w:r>
        <w:rPr>
          <w:rFonts w:hint="eastAsia"/>
          <w:sz w:val="24"/>
        </w:rPr>
        <w:t>≥</w:t>
      </w:r>
      <w:r>
        <w:rPr>
          <w:sz w:val="24"/>
        </w:rPr>
        <w:t>1时，将Q值划分为：</w:t>
      </w:r>
      <w:r>
        <w:rPr>
          <w:rFonts w:hint="eastAsia"/>
          <w:sz w:val="24"/>
        </w:rPr>
        <w:t>①</w:t>
      </w:r>
      <w:r>
        <w:rPr>
          <w:sz w:val="24"/>
        </w:rPr>
        <w:t>1≤Q&lt;10；</w:t>
      </w:r>
      <w:r>
        <w:rPr>
          <w:rFonts w:hint="eastAsia"/>
          <w:sz w:val="24"/>
        </w:rPr>
        <w:t>②</w:t>
      </w:r>
      <w:r>
        <w:rPr>
          <w:sz w:val="24"/>
        </w:rPr>
        <w:t>10≤Q&lt;100；</w:t>
      </w:r>
      <w:r>
        <w:rPr>
          <w:rFonts w:hint="eastAsia"/>
          <w:sz w:val="24"/>
        </w:rPr>
        <w:t>③Q≥100。</w:t>
      </w:r>
    </w:p>
    <w:p>
      <w:pPr>
        <w:pStyle w:val="69"/>
        <w:adjustRightInd w:val="0"/>
        <w:snapToGrid w:val="0"/>
        <w:spacing w:before="156" w:beforeLines="50" w:after="0" w:line="360" w:lineRule="auto"/>
        <w:ind w:left="0" w:leftChars="0" w:firstLine="480" w:firstLineChars="200"/>
        <w:jc w:val="both"/>
        <w:rPr>
          <w:sz w:val="24"/>
          <w:szCs w:val="24"/>
        </w:rPr>
      </w:pPr>
      <w:r>
        <w:rPr>
          <w:rFonts w:hint="eastAsia"/>
          <w:sz w:val="24"/>
          <w:szCs w:val="24"/>
        </w:rPr>
        <w:t>根据《建设项目环境风险评价技术导则》（HJ 169－2018）附录 B，NH</w:t>
      </w:r>
      <w:r>
        <w:rPr>
          <w:rFonts w:hint="eastAsia"/>
          <w:sz w:val="24"/>
          <w:szCs w:val="24"/>
          <w:vertAlign w:val="superscript"/>
        </w:rPr>
        <w:t>3</w:t>
      </w:r>
      <w:r>
        <w:rPr>
          <w:rFonts w:hint="eastAsia"/>
          <w:sz w:val="24"/>
          <w:szCs w:val="24"/>
        </w:rPr>
        <w:t>-N 浓度≥2000mg/L 的废液为重点关注的危险物质，根据本次评价对渗滤液的监测氨氮浓度为4</w:t>
      </w:r>
      <w:r>
        <w:rPr>
          <w:sz w:val="24"/>
          <w:szCs w:val="24"/>
        </w:rPr>
        <w:t>70</w:t>
      </w:r>
      <w:r>
        <w:rPr>
          <w:rFonts w:hint="eastAsia"/>
          <w:sz w:val="24"/>
          <w:szCs w:val="24"/>
        </w:rPr>
        <w:t xml:space="preserve"> mg/L，因此不对氨氮进行Q值计算。</w:t>
      </w:r>
    </w:p>
    <w:p>
      <w:pPr>
        <w:pStyle w:val="69"/>
        <w:adjustRightInd w:val="0"/>
        <w:snapToGrid w:val="0"/>
        <w:spacing w:after="0" w:line="360" w:lineRule="auto"/>
        <w:ind w:left="0" w:leftChars="0" w:firstLine="480" w:firstLineChars="200"/>
        <w:jc w:val="both"/>
        <w:rPr>
          <w:bCs/>
          <w:sz w:val="24"/>
          <w:szCs w:val="24"/>
        </w:rPr>
      </w:pPr>
      <w:r>
        <w:rPr>
          <w:rFonts w:hint="eastAsia"/>
          <w:sz w:val="24"/>
          <w:szCs w:val="24"/>
        </w:rPr>
        <w:t>项目主要风险物质为填埋场废气中的硫化氢、甲烷、氨，填埋气通过导气石笼有序导排，不储存利用， 因此项目</w:t>
      </w:r>
      <w:r>
        <w:rPr>
          <w:bCs/>
          <w:sz w:val="24"/>
          <w:szCs w:val="24"/>
        </w:rPr>
        <w:t>Q＜1，所以该项目环境风险潜势为Ⅰ。</w:t>
      </w:r>
    </w:p>
    <w:p>
      <w:pPr>
        <w:pStyle w:val="69"/>
        <w:adjustRightInd w:val="0"/>
        <w:snapToGrid w:val="0"/>
        <w:spacing w:after="0" w:line="360" w:lineRule="auto"/>
        <w:ind w:left="0" w:leftChars="0" w:firstLine="480" w:firstLineChars="200"/>
        <w:jc w:val="both"/>
        <w:rPr>
          <w:bCs/>
          <w:sz w:val="24"/>
          <w:szCs w:val="24"/>
        </w:rPr>
      </w:pPr>
      <w:r>
        <w:rPr>
          <w:rFonts w:hint="eastAsia"/>
          <w:bCs/>
          <w:sz w:val="24"/>
          <w:szCs w:val="24"/>
        </w:rPr>
        <w:t>根据《建设项目环境风险评价技术导则》（HJ 169－2018）评价工作等级划分：</w:t>
      </w:r>
    </w:p>
    <w:p>
      <w:pPr>
        <w:pStyle w:val="939"/>
        <w:adjustRightInd w:val="0"/>
        <w:snapToGrid w:val="0"/>
        <w:spacing w:line="240" w:lineRule="auto"/>
        <w:ind w:firstLine="482"/>
        <w:jc w:val="center"/>
        <w:rPr>
          <w:b/>
          <w:szCs w:val="21"/>
        </w:rPr>
      </w:pPr>
      <w:r>
        <w:rPr>
          <w:rFonts w:hint="eastAsia"/>
          <w:b/>
          <w:szCs w:val="21"/>
        </w:rPr>
        <w:t>表</w:t>
      </w:r>
      <w:r>
        <w:rPr>
          <w:b/>
          <w:szCs w:val="21"/>
        </w:rPr>
        <w:t>7.2-1</w:t>
      </w:r>
      <w:r>
        <w:rPr>
          <w:b/>
          <w:szCs w:val="21"/>
        </w:rPr>
        <w:tab/>
      </w:r>
      <w:r>
        <w:rPr>
          <w:rFonts w:hint="eastAsia"/>
          <w:b/>
          <w:szCs w:val="21"/>
        </w:rPr>
        <w:t>环境风险评价工作等级划分</w:t>
      </w:r>
    </w:p>
    <w:tbl>
      <w:tblPr>
        <w:tblStyle w:val="87"/>
        <w:tblW w:w="0" w:type="auto"/>
        <w:tblInd w:w="54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649"/>
        <w:gridCol w:w="1647"/>
        <w:gridCol w:w="1649"/>
        <w:gridCol w:w="1646"/>
        <w:gridCol w:w="16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1649" w:type="dxa"/>
            <w:vAlign w:val="center"/>
          </w:tcPr>
          <w:p>
            <w:pPr>
              <w:pStyle w:val="2238"/>
              <w:spacing w:before="65"/>
              <w:ind w:left="189"/>
              <w:jc w:val="center"/>
              <w:rPr>
                <w:sz w:val="21"/>
                <w:szCs w:val="21"/>
              </w:rPr>
            </w:pPr>
            <w:r>
              <w:rPr>
                <w:rFonts w:hint="eastAsia"/>
                <w:sz w:val="21"/>
                <w:szCs w:val="21"/>
              </w:rPr>
              <w:t>环境风险潜势</w:t>
            </w:r>
          </w:p>
        </w:tc>
        <w:tc>
          <w:tcPr>
            <w:tcW w:w="1647" w:type="dxa"/>
            <w:vAlign w:val="center"/>
          </w:tcPr>
          <w:p>
            <w:pPr>
              <w:pStyle w:val="2238"/>
              <w:spacing w:before="65"/>
              <w:ind w:left="444" w:right="445"/>
              <w:jc w:val="center"/>
              <w:rPr>
                <w:rFonts w:ascii="Times New Roman"/>
                <w:sz w:val="21"/>
                <w:szCs w:val="21"/>
              </w:rPr>
            </w:pPr>
            <w:r>
              <w:rPr>
                <w:rFonts w:hint="eastAsia"/>
                <w:sz w:val="21"/>
                <w:szCs w:val="21"/>
              </w:rPr>
              <w:t>Ⅳ、Ⅳ</w:t>
            </w:r>
            <w:r>
              <w:rPr>
                <w:sz w:val="21"/>
                <w:szCs w:val="21"/>
                <w:vertAlign w:val="superscript"/>
              </w:rPr>
              <w:t>+</w:t>
            </w:r>
          </w:p>
        </w:tc>
        <w:tc>
          <w:tcPr>
            <w:tcW w:w="1649" w:type="dxa"/>
            <w:vAlign w:val="center"/>
          </w:tcPr>
          <w:p>
            <w:pPr>
              <w:pStyle w:val="2238"/>
              <w:spacing w:before="65"/>
              <w:ind w:right="3"/>
              <w:jc w:val="center"/>
              <w:rPr>
                <w:rFonts w:eastAsia="Times New Roman"/>
                <w:sz w:val="21"/>
                <w:szCs w:val="21"/>
              </w:rPr>
            </w:pPr>
            <w:r>
              <w:rPr>
                <w:rFonts w:hint="eastAsia"/>
                <w:sz w:val="21"/>
                <w:szCs w:val="21"/>
              </w:rPr>
              <w:t>Ⅲ</w:t>
            </w:r>
          </w:p>
        </w:tc>
        <w:tc>
          <w:tcPr>
            <w:tcW w:w="1646" w:type="dxa"/>
            <w:vAlign w:val="center"/>
          </w:tcPr>
          <w:p>
            <w:pPr>
              <w:pStyle w:val="2238"/>
              <w:spacing w:before="65"/>
              <w:ind w:right="2"/>
              <w:jc w:val="center"/>
              <w:rPr>
                <w:rFonts w:eastAsia="Times New Roman"/>
                <w:sz w:val="21"/>
                <w:szCs w:val="21"/>
              </w:rPr>
            </w:pPr>
            <w:r>
              <w:rPr>
                <w:rFonts w:hint="eastAsia"/>
                <w:sz w:val="21"/>
                <w:szCs w:val="21"/>
              </w:rPr>
              <w:t>Ⅱ</w:t>
            </w:r>
          </w:p>
        </w:tc>
        <w:tc>
          <w:tcPr>
            <w:tcW w:w="1649" w:type="dxa"/>
            <w:vAlign w:val="center"/>
          </w:tcPr>
          <w:p>
            <w:pPr>
              <w:pStyle w:val="2238"/>
              <w:spacing w:before="65"/>
              <w:jc w:val="center"/>
              <w:rPr>
                <w:rFonts w:eastAsia="Times New Roman"/>
                <w:sz w:val="21"/>
                <w:szCs w:val="21"/>
              </w:rPr>
            </w:pPr>
            <w:r>
              <w:rPr>
                <w:rFonts w:hint="eastAsia"/>
                <w:sz w:val="21"/>
                <w:szCs w:val="21"/>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8" w:hRule="atLeast"/>
        </w:trPr>
        <w:tc>
          <w:tcPr>
            <w:tcW w:w="1649" w:type="dxa"/>
            <w:vAlign w:val="center"/>
          </w:tcPr>
          <w:p>
            <w:pPr>
              <w:pStyle w:val="2238"/>
              <w:spacing w:before="63"/>
              <w:ind w:left="189"/>
              <w:jc w:val="center"/>
              <w:rPr>
                <w:rFonts w:hAnsi="Times New Roman"/>
                <w:sz w:val="21"/>
                <w:szCs w:val="21"/>
              </w:rPr>
            </w:pPr>
            <w:r>
              <w:rPr>
                <w:rFonts w:hint="eastAsia"/>
                <w:sz w:val="21"/>
                <w:szCs w:val="21"/>
              </w:rPr>
              <w:t>评价工作等级</w:t>
            </w:r>
          </w:p>
        </w:tc>
        <w:tc>
          <w:tcPr>
            <w:tcW w:w="1647" w:type="dxa"/>
            <w:vAlign w:val="center"/>
          </w:tcPr>
          <w:p>
            <w:pPr>
              <w:pStyle w:val="2238"/>
              <w:spacing w:before="63"/>
              <w:jc w:val="center"/>
              <w:rPr>
                <w:sz w:val="21"/>
                <w:szCs w:val="21"/>
              </w:rPr>
            </w:pPr>
            <w:r>
              <w:rPr>
                <w:rFonts w:hint="eastAsia"/>
                <w:sz w:val="21"/>
                <w:szCs w:val="21"/>
              </w:rPr>
              <w:t>一</w:t>
            </w:r>
          </w:p>
        </w:tc>
        <w:tc>
          <w:tcPr>
            <w:tcW w:w="1649" w:type="dxa"/>
            <w:vAlign w:val="center"/>
          </w:tcPr>
          <w:p>
            <w:pPr>
              <w:pStyle w:val="2238"/>
              <w:spacing w:before="63"/>
              <w:ind w:right="3"/>
              <w:jc w:val="center"/>
              <w:rPr>
                <w:sz w:val="21"/>
                <w:szCs w:val="21"/>
              </w:rPr>
            </w:pPr>
            <w:r>
              <w:rPr>
                <w:rFonts w:hint="eastAsia"/>
                <w:sz w:val="21"/>
                <w:szCs w:val="21"/>
              </w:rPr>
              <w:t>二</w:t>
            </w:r>
          </w:p>
        </w:tc>
        <w:tc>
          <w:tcPr>
            <w:tcW w:w="1646" w:type="dxa"/>
            <w:vAlign w:val="center"/>
          </w:tcPr>
          <w:p>
            <w:pPr>
              <w:pStyle w:val="2238"/>
              <w:spacing w:before="63"/>
              <w:ind w:right="2"/>
              <w:jc w:val="center"/>
              <w:rPr>
                <w:sz w:val="21"/>
                <w:szCs w:val="21"/>
              </w:rPr>
            </w:pPr>
            <w:r>
              <w:rPr>
                <w:rFonts w:hint="eastAsia"/>
                <w:sz w:val="21"/>
                <w:szCs w:val="21"/>
              </w:rPr>
              <w:t>三</w:t>
            </w:r>
          </w:p>
        </w:tc>
        <w:tc>
          <w:tcPr>
            <w:tcW w:w="1649" w:type="dxa"/>
            <w:vAlign w:val="center"/>
          </w:tcPr>
          <w:p>
            <w:pPr>
              <w:pStyle w:val="2238"/>
              <w:spacing w:before="63"/>
              <w:ind w:left="353" w:right="351"/>
              <w:jc w:val="center"/>
              <w:rPr>
                <w:rFonts w:ascii="Times New Roman"/>
                <w:sz w:val="21"/>
                <w:szCs w:val="21"/>
              </w:rPr>
            </w:pPr>
            <w:r>
              <w:rPr>
                <w:rFonts w:hint="eastAsia"/>
                <w:sz w:val="21"/>
                <w:szCs w:val="21"/>
              </w:rPr>
              <w:t>简单分析</w:t>
            </w:r>
            <w:r>
              <w:rPr>
                <w:sz w:val="21"/>
                <w:szCs w:val="21"/>
                <w:vertAlign w:val="superscript"/>
              </w:rPr>
              <w:t>a</w:t>
            </w:r>
          </w:p>
        </w:tc>
      </w:tr>
    </w:tbl>
    <w:p>
      <w:pPr>
        <w:pStyle w:val="69"/>
        <w:adjustRightInd w:val="0"/>
        <w:snapToGrid w:val="0"/>
        <w:spacing w:before="156" w:beforeLines="50" w:after="0" w:line="360" w:lineRule="auto"/>
        <w:ind w:left="0" w:leftChars="0" w:firstLine="480" w:firstLineChars="200"/>
        <w:jc w:val="both"/>
        <w:rPr>
          <w:sz w:val="24"/>
          <w:szCs w:val="24"/>
        </w:rPr>
      </w:pPr>
      <w:r>
        <w:rPr>
          <w:rFonts w:hint="eastAsia"/>
          <w:sz w:val="24"/>
          <w:szCs w:val="24"/>
        </w:rPr>
        <w:t>本项目为简单评价。</w:t>
      </w:r>
    </w:p>
    <w:p>
      <w:pPr>
        <w:pStyle w:val="3"/>
        <w:keepNext w:val="0"/>
        <w:keepLines w:val="0"/>
        <w:spacing w:before="120" w:after="120"/>
        <w:rPr>
          <w:rFonts w:ascii="Times New Roman" w:hAnsi="Times New Roman" w:eastAsia="宋体"/>
        </w:rPr>
      </w:pPr>
      <w:bookmarkStart w:id="461" w:name="_Toc143762363"/>
      <w:r>
        <w:rPr>
          <w:rFonts w:ascii="Times New Roman" w:hAnsi="Times New Roman" w:eastAsia="宋体"/>
        </w:rPr>
        <w:t>7.3</w:t>
      </w:r>
      <w:r>
        <w:rPr>
          <w:rFonts w:hint="eastAsia" w:ascii="Times New Roman" w:hAnsi="Times New Roman" w:eastAsia="宋体"/>
        </w:rPr>
        <w:t>环境敏感目标概况</w:t>
      </w:r>
      <w:bookmarkEnd w:id="461"/>
    </w:p>
    <w:p>
      <w:pPr>
        <w:tabs>
          <w:tab w:val="left" w:pos="1695"/>
        </w:tabs>
        <w:adjustRightInd w:val="0"/>
        <w:snapToGrid w:val="0"/>
        <w:spacing w:line="360" w:lineRule="auto"/>
        <w:ind w:firstLine="480" w:firstLineChars="200"/>
        <w:rPr>
          <w:sz w:val="24"/>
        </w:rPr>
      </w:pPr>
      <w:r>
        <w:rPr>
          <w:rFonts w:hint="eastAsia"/>
          <w:sz w:val="24"/>
        </w:rPr>
        <w:t>根据现场勘察，</w:t>
      </w:r>
      <w:r>
        <w:rPr>
          <w:sz w:val="24"/>
        </w:rPr>
        <w:t>建设项目周围主要环境敏感目标分布</w:t>
      </w:r>
      <w:r>
        <w:rPr>
          <w:rFonts w:hint="eastAsia"/>
          <w:sz w:val="24"/>
        </w:rPr>
        <w:t>为西樊贵村、东樊贵村、大牛圪旦村、三牛圪旦村、李柜村、金联村、李三柜村、陈双鱼村、常子营圪旦村，详</w:t>
      </w:r>
      <w:r>
        <w:rPr>
          <w:sz w:val="24"/>
        </w:rPr>
        <w:t>见表2.4-1。</w:t>
      </w:r>
    </w:p>
    <w:p>
      <w:pPr>
        <w:pStyle w:val="3"/>
        <w:keepNext w:val="0"/>
        <w:keepLines w:val="0"/>
        <w:kinsoku w:val="0"/>
        <w:overflowPunct w:val="0"/>
        <w:autoSpaceDE w:val="0"/>
        <w:autoSpaceDN w:val="0"/>
        <w:spacing w:before="120" w:after="120" w:line="415" w:lineRule="auto"/>
        <w:rPr>
          <w:rFonts w:ascii="Times New Roman" w:hAnsi="Times New Roman" w:eastAsia="宋体"/>
        </w:rPr>
      </w:pPr>
      <w:bookmarkStart w:id="462" w:name="_Toc143762364"/>
      <w:r>
        <w:rPr>
          <w:rFonts w:ascii="Times New Roman" w:hAnsi="Times New Roman" w:eastAsia="宋体"/>
        </w:rPr>
        <w:t>7.4</w:t>
      </w:r>
      <w:r>
        <w:rPr>
          <w:rFonts w:hint="eastAsia" w:ascii="Times New Roman" w:hAnsi="Times New Roman" w:eastAsia="宋体"/>
        </w:rPr>
        <w:t>环境风险识别</w:t>
      </w:r>
      <w:bookmarkEnd w:id="462"/>
    </w:p>
    <w:p>
      <w:pPr>
        <w:kinsoku w:val="0"/>
        <w:overflowPunct w:val="0"/>
        <w:autoSpaceDE w:val="0"/>
        <w:autoSpaceDN w:val="0"/>
        <w:adjustRightInd w:val="0"/>
        <w:snapToGrid w:val="0"/>
        <w:spacing w:line="360" w:lineRule="auto"/>
        <w:ind w:firstLine="480" w:firstLineChars="200"/>
        <w:rPr>
          <w:sz w:val="24"/>
        </w:rPr>
      </w:pPr>
      <w:r>
        <w:rPr>
          <w:sz w:val="24"/>
        </w:rPr>
        <w:t>本项目填埋场内只接收消纳生活垃圾，不接收危险废物及其他废物。根据本项目填埋场的工程特点，</w:t>
      </w:r>
      <w:r>
        <w:rPr>
          <w:rFonts w:hint="eastAsia"/>
          <w:sz w:val="24"/>
        </w:rPr>
        <w:t>环境风险</w:t>
      </w:r>
      <w:r>
        <w:rPr>
          <w:sz w:val="24"/>
        </w:rPr>
        <w:t>主要有以下几个方面：</w:t>
      </w:r>
    </w:p>
    <w:p>
      <w:pPr>
        <w:kinsoku w:val="0"/>
        <w:overflowPunct w:val="0"/>
        <w:autoSpaceDE w:val="0"/>
        <w:autoSpaceDN w:val="0"/>
        <w:adjustRightInd w:val="0"/>
        <w:snapToGrid w:val="0"/>
        <w:spacing w:line="360" w:lineRule="auto"/>
        <w:ind w:firstLine="480" w:firstLineChars="200"/>
        <w:rPr>
          <w:sz w:val="24"/>
        </w:rPr>
      </w:pPr>
      <w:r>
        <w:rPr>
          <w:sz w:val="24"/>
        </w:rPr>
        <w:t>（1）</w:t>
      </w:r>
      <w:r>
        <w:rPr>
          <w:rFonts w:hint="eastAsia"/>
          <w:sz w:val="24"/>
        </w:rPr>
        <w:t>填埋气体发生火灾、爆炸将产生一氧化碳、二氧化碳、氮氧化物、氧化硫等有害气体，对周围大气环境造成影响；发生火灾、爆炸将产生消防废水污染水体。</w:t>
      </w:r>
    </w:p>
    <w:p>
      <w:pPr>
        <w:kinsoku w:val="0"/>
        <w:overflowPunct w:val="0"/>
        <w:autoSpaceDE w:val="0"/>
        <w:autoSpaceDN w:val="0"/>
        <w:adjustRightInd w:val="0"/>
        <w:snapToGrid w:val="0"/>
        <w:spacing w:line="360" w:lineRule="auto"/>
        <w:ind w:firstLine="480" w:firstLineChars="200"/>
        <w:rPr>
          <w:sz w:val="24"/>
        </w:rPr>
      </w:pPr>
      <w:r>
        <w:rPr>
          <w:sz w:val="24"/>
        </w:rPr>
        <w:t>（2）填埋场地下防渗层破坏，导致渗滤液下渗污染地下水；强降雨引起渗滤液过量外泄，或者渗滤液处理设施发生故障，从而导致渗滤液不经处理直接外排；</w:t>
      </w:r>
    </w:p>
    <w:p>
      <w:pPr>
        <w:spacing w:line="360" w:lineRule="auto"/>
        <w:ind w:firstLine="480" w:firstLineChars="200"/>
        <w:rPr>
          <w:sz w:val="24"/>
        </w:rPr>
      </w:pPr>
      <w:r>
        <w:rPr>
          <w:sz w:val="24"/>
        </w:rPr>
        <w:t>（3）垃圾坝溃坝；强降雨破坏填埋场拦渣坝稳定性，可能形成溃坝，导致填埋场下游大面积土地被掩埋，从而造成严重的财产损失和环境污染，甚至诱发更严重的地质灾害。</w:t>
      </w:r>
    </w:p>
    <w:p>
      <w:pPr>
        <w:spacing w:line="360" w:lineRule="auto"/>
        <w:ind w:firstLine="480" w:firstLineChars="200"/>
        <w:rPr>
          <w:sz w:val="24"/>
        </w:rPr>
      </w:pPr>
      <w:r>
        <w:rPr>
          <w:rFonts w:hint="eastAsia"/>
          <w:sz w:val="24"/>
        </w:rPr>
        <w:t>（</w:t>
      </w:r>
      <w:r>
        <w:rPr>
          <w:sz w:val="24"/>
        </w:rPr>
        <w:t>4</w:t>
      </w:r>
      <w:r>
        <w:rPr>
          <w:rFonts w:hint="eastAsia"/>
          <w:sz w:val="24"/>
        </w:rPr>
        <w:t>）</w:t>
      </w:r>
      <w:r>
        <w:rPr>
          <w:sz w:val="24"/>
        </w:rPr>
        <w:t>危险性废物混入风险。</w:t>
      </w:r>
    </w:p>
    <w:p>
      <w:pPr>
        <w:pStyle w:val="3"/>
        <w:keepNext w:val="0"/>
        <w:keepLines w:val="0"/>
        <w:spacing w:before="120" w:after="120"/>
        <w:rPr>
          <w:rFonts w:ascii="Times New Roman" w:hAnsi="Times New Roman" w:eastAsia="宋体"/>
        </w:rPr>
      </w:pPr>
      <w:bookmarkStart w:id="463" w:name="_Toc489433115"/>
      <w:bookmarkStart w:id="464" w:name="_Toc143762365"/>
      <w:r>
        <w:rPr>
          <w:rFonts w:ascii="Times New Roman" w:hAnsi="Times New Roman" w:eastAsia="宋体"/>
        </w:rPr>
        <w:t>7.5环境风险分析</w:t>
      </w:r>
      <w:bookmarkEnd w:id="463"/>
      <w:bookmarkEnd w:id="464"/>
    </w:p>
    <w:p>
      <w:pPr>
        <w:pStyle w:val="4"/>
        <w:spacing w:before="120" w:after="120"/>
        <w:rPr>
          <w:szCs w:val="28"/>
        </w:rPr>
      </w:pPr>
      <w:bookmarkStart w:id="465" w:name="_Toc434572562"/>
      <w:bookmarkStart w:id="466" w:name="_Toc381444401"/>
      <w:bookmarkStart w:id="467" w:name="_Toc387050173"/>
      <w:bookmarkStart w:id="468" w:name="_Toc143762366"/>
      <w:bookmarkStart w:id="469" w:name="_Toc381522704"/>
      <w:bookmarkStart w:id="470" w:name="_Toc489433120"/>
      <w:bookmarkStart w:id="471" w:name="_Toc489433116"/>
      <w:r>
        <w:rPr>
          <w:szCs w:val="28"/>
        </w:rPr>
        <w:t>7.5.1垃圾气爆炸风险分析</w:t>
      </w:r>
      <w:bookmarkEnd w:id="465"/>
      <w:bookmarkEnd w:id="466"/>
      <w:bookmarkEnd w:id="467"/>
      <w:bookmarkEnd w:id="468"/>
      <w:bookmarkEnd w:id="469"/>
      <w:bookmarkEnd w:id="470"/>
    </w:p>
    <w:p>
      <w:pPr>
        <w:spacing w:line="360" w:lineRule="auto"/>
        <w:rPr>
          <w:b/>
          <w:sz w:val="24"/>
        </w:rPr>
      </w:pPr>
      <w:r>
        <w:rPr>
          <w:b/>
          <w:sz w:val="24"/>
        </w:rPr>
        <w:t>7.5.1.1风险源分析</w:t>
      </w:r>
    </w:p>
    <w:p>
      <w:pPr>
        <w:spacing w:line="360" w:lineRule="auto"/>
        <w:ind w:firstLine="480" w:firstLineChars="200"/>
        <w:rPr>
          <w:b/>
          <w:sz w:val="24"/>
        </w:rPr>
      </w:pPr>
      <w:r>
        <w:rPr>
          <w:sz w:val="24"/>
        </w:rPr>
        <w:t>垃圾填埋后，在好氧和厌氧条件下发酵分解，产生大量的垃圾气，主要成份为沼气，其主要成分是CH</w:t>
      </w:r>
      <w:r>
        <w:rPr>
          <w:sz w:val="24"/>
          <w:vertAlign w:val="subscript"/>
        </w:rPr>
        <w:t>4</w:t>
      </w:r>
      <w:r>
        <w:rPr>
          <w:sz w:val="24"/>
        </w:rPr>
        <w:t>和CO</w:t>
      </w:r>
      <w:r>
        <w:rPr>
          <w:sz w:val="24"/>
          <w:vertAlign w:val="subscript"/>
        </w:rPr>
        <w:t>2</w:t>
      </w:r>
      <w:r>
        <w:rPr>
          <w:sz w:val="24"/>
        </w:rPr>
        <w:t>。CH</w:t>
      </w:r>
      <w:r>
        <w:rPr>
          <w:sz w:val="24"/>
          <w:vertAlign w:val="subscript"/>
        </w:rPr>
        <w:t>4</w:t>
      </w:r>
      <w:r>
        <w:rPr>
          <w:sz w:val="24"/>
        </w:rPr>
        <w:t>是易燃易爆气体，如果控制不好，遇有火源，就可能发生火灾爆炸。</w:t>
      </w:r>
    </w:p>
    <w:p>
      <w:pPr>
        <w:adjustRightInd w:val="0"/>
        <w:snapToGrid w:val="0"/>
        <w:spacing w:line="360" w:lineRule="auto"/>
        <w:ind w:firstLine="480" w:firstLineChars="200"/>
        <w:rPr>
          <w:sz w:val="24"/>
        </w:rPr>
      </w:pPr>
      <w:r>
        <w:rPr>
          <w:sz w:val="24"/>
        </w:rPr>
        <w:t>沼气爆炸必须具备三个条件：一定的甲烷浓度，一般在5％～15％之间，最强烈的爆炸发生在甲烷浓度为9.5％左右。其次是甲烷引火温度，一般认为甲烷的引燃温度为650～750℃。明火、电气火花、吸烟甚至撞击磨擦产生的火花等，都可以引燃甲烷。甲烷浓度不同，引火温度也有所差异，在浓度6.58％时最易引燃。第三是氧气浓度，由实验得知，沼气爆炸界限与氧气浓度有密切关系，氧气浓度增加，爆炸极限范围扩大，尤其是上限提高得更快，当氧气浓度降低时，沼气爆炸下限缓慢增高，上限则迅速下降，氧气浓度降低到12％，甲烷混合气体即失去爆炸性，遇火也不爆炸。</w:t>
      </w:r>
    </w:p>
    <w:p>
      <w:pPr>
        <w:adjustRightInd w:val="0"/>
        <w:snapToGrid w:val="0"/>
        <w:spacing w:line="360" w:lineRule="auto"/>
        <w:rPr>
          <w:b/>
          <w:sz w:val="24"/>
        </w:rPr>
      </w:pPr>
      <w:r>
        <w:rPr>
          <w:b/>
          <w:sz w:val="24"/>
        </w:rPr>
        <w:t>7.5.1.2风险分析</w:t>
      </w:r>
    </w:p>
    <w:p>
      <w:pPr>
        <w:adjustRightInd w:val="0"/>
        <w:snapToGrid w:val="0"/>
        <w:spacing w:line="360" w:lineRule="auto"/>
        <w:ind w:firstLine="480" w:firstLineChars="200"/>
        <w:rPr>
          <w:sz w:val="24"/>
        </w:rPr>
      </w:pPr>
      <w:r>
        <w:rPr>
          <w:rFonts w:hint="eastAsia"/>
          <w:color w:val="FF0000"/>
          <w:sz w:val="24"/>
        </w:rPr>
        <w:t>受</w:t>
      </w:r>
      <w:r>
        <w:rPr>
          <w:color w:val="FF0000"/>
          <w:sz w:val="24"/>
        </w:rPr>
        <w:t>大气扩散条件</w:t>
      </w:r>
      <w:r>
        <w:rPr>
          <w:rFonts w:hint="eastAsia"/>
          <w:color w:val="FF0000"/>
          <w:sz w:val="24"/>
        </w:rPr>
        <w:t>影响</w:t>
      </w:r>
      <w:r>
        <w:rPr>
          <w:color w:val="FF0000"/>
          <w:sz w:val="24"/>
        </w:rPr>
        <w:t>，</w:t>
      </w:r>
      <w:r>
        <w:rPr>
          <w:sz w:val="24"/>
        </w:rPr>
        <w:t>或因导气管石笼井堵塞、导气管损坏，甲烷气体在垃圾层中大量聚积，形成强大的内压力，当积聚的压力大于覆盖层压力时会发生瞬间爆炸，尤其是在夏季，高温高湿时，产气加速生成，更易发生爆炸。当CH</w:t>
      </w:r>
      <w:r>
        <w:rPr>
          <w:sz w:val="24"/>
          <w:vertAlign w:val="subscript"/>
        </w:rPr>
        <w:t>4</w:t>
      </w:r>
      <w:r>
        <w:rPr>
          <w:sz w:val="24"/>
        </w:rPr>
        <w:t>浓度累积到5-15％时，一遇明火，包括人为因素或自然因素（如闪电），将导致火灾，危及周围山林、村庄，甚至造成财产和人员伤亡。</w:t>
      </w:r>
    </w:p>
    <w:p>
      <w:pPr>
        <w:adjustRightInd w:val="0"/>
        <w:snapToGrid w:val="0"/>
        <w:spacing w:line="360" w:lineRule="auto"/>
        <w:rPr>
          <w:b/>
          <w:sz w:val="24"/>
        </w:rPr>
      </w:pPr>
      <w:r>
        <w:rPr>
          <w:b/>
          <w:sz w:val="24"/>
        </w:rPr>
        <w:t>7.5.1.3防范及防治措施</w:t>
      </w:r>
    </w:p>
    <w:p>
      <w:pPr>
        <w:adjustRightInd w:val="0"/>
        <w:snapToGrid w:val="0"/>
        <w:spacing w:line="360" w:lineRule="auto"/>
        <w:ind w:firstLine="480" w:firstLineChars="200"/>
        <w:rPr>
          <w:sz w:val="24"/>
        </w:rPr>
      </w:pPr>
      <w:r>
        <w:rPr>
          <w:sz w:val="24"/>
        </w:rPr>
        <w:t>（1）</w:t>
      </w:r>
      <w:r>
        <w:rPr>
          <w:rFonts w:hint="eastAsia"/>
          <w:sz w:val="24"/>
        </w:rPr>
        <w:t>填埋场存在沼气燃、爆事故隐患，要求场区严禁烟火设明显防标</w:t>
      </w:r>
      <w:r>
        <w:rPr>
          <w:sz w:val="24"/>
        </w:rPr>
        <w:t>。</w:t>
      </w:r>
      <w:r>
        <w:rPr>
          <w:rFonts w:hint="eastAsia"/>
          <w:sz w:val="24"/>
        </w:rPr>
        <w:t>填埋场制定消防规章制度，由专人负责检查。</w:t>
      </w:r>
    </w:p>
    <w:p>
      <w:pPr>
        <w:adjustRightInd w:val="0"/>
        <w:snapToGrid w:val="0"/>
        <w:spacing w:line="360" w:lineRule="auto"/>
        <w:ind w:firstLine="480" w:firstLineChars="200"/>
        <w:rPr>
          <w:sz w:val="24"/>
        </w:rPr>
      </w:pPr>
      <w:r>
        <w:rPr>
          <w:sz w:val="24"/>
        </w:rPr>
        <w:t>（2）</w:t>
      </w:r>
      <w:r>
        <w:rPr>
          <w:rFonts w:hint="eastAsia"/>
          <w:sz w:val="24"/>
        </w:rPr>
        <w:t>强化填埋场运行过程环境管理与监测，生活垃圾填埋场管理机构应每 天进行一次填埋场区和气体排放口的甲烷积分数监测</w:t>
      </w:r>
      <w:r>
        <w:rPr>
          <w:sz w:val="24"/>
        </w:rPr>
        <w:t>。</w:t>
      </w:r>
    </w:p>
    <w:p>
      <w:pPr>
        <w:adjustRightInd w:val="0"/>
        <w:snapToGrid w:val="0"/>
        <w:spacing w:line="360" w:lineRule="auto"/>
        <w:ind w:firstLine="480" w:firstLineChars="200"/>
        <w:rPr>
          <w:sz w:val="24"/>
        </w:rPr>
      </w:pPr>
      <w:r>
        <w:rPr>
          <w:rFonts w:hint="eastAsia"/>
          <w:sz w:val="24"/>
        </w:rPr>
        <w:t>（</w:t>
      </w:r>
      <w:r>
        <w:rPr>
          <w:sz w:val="24"/>
        </w:rPr>
        <w:t>3</w:t>
      </w:r>
      <w:r>
        <w:rPr>
          <w:rFonts w:hint="eastAsia"/>
          <w:sz w:val="24"/>
        </w:rPr>
        <w:t xml:space="preserve">）设定沼气浓度超限警示系统，安装 </w:t>
      </w:r>
      <w:r>
        <w:rPr>
          <w:sz w:val="24"/>
        </w:rPr>
        <w:t xml:space="preserve">24 </w:t>
      </w:r>
      <w:r>
        <w:rPr>
          <w:rFonts w:hint="eastAsia"/>
          <w:sz w:val="24"/>
        </w:rPr>
        <w:t>小时甲烷气体自动监测报警仪， 一旦有超限发生，应立即查明原因，进行导排管和沼气收集系统密封性检查，采取补救措施；</w:t>
      </w:r>
    </w:p>
    <w:p>
      <w:pPr>
        <w:spacing w:line="360" w:lineRule="auto"/>
        <w:ind w:firstLine="480" w:firstLineChars="200"/>
        <w:rPr>
          <w:sz w:val="24"/>
        </w:rPr>
      </w:pPr>
      <w:r>
        <w:rPr>
          <w:sz w:val="24"/>
        </w:rPr>
        <w:t>（4）应经常检查导气管是否堵塞和破损，发现问题应及时修复。</w:t>
      </w:r>
    </w:p>
    <w:p>
      <w:pPr>
        <w:spacing w:line="360" w:lineRule="auto"/>
        <w:ind w:firstLine="480" w:firstLineChars="200"/>
        <w:rPr>
          <w:sz w:val="24"/>
        </w:rPr>
      </w:pPr>
      <w:r>
        <w:rPr>
          <w:sz w:val="24"/>
        </w:rPr>
        <w:t>（5）垃圾填埋场周围设置防火隔离带，以阻止火灾时火势的漫延。</w:t>
      </w:r>
    </w:p>
    <w:p>
      <w:pPr>
        <w:spacing w:line="360" w:lineRule="auto"/>
        <w:ind w:firstLine="480" w:firstLineChars="200"/>
        <w:rPr>
          <w:sz w:val="24"/>
        </w:rPr>
      </w:pPr>
      <w:r>
        <w:rPr>
          <w:sz w:val="24"/>
        </w:rPr>
        <w:t>（6）当发生火灾时，要及时扑灭，采取隔离措施防止危及周边林带及建筑物。</w:t>
      </w:r>
    </w:p>
    <w:p>
      <w:pPr>
        <w:spacing w:line="360" w:lineRule="auto"/>
        <w:ind w:firstLine="480" w:firstLineChars="200"/>
        <w:rPr>
          <w:sz w:val="24"/>
        </w:rPr>
      </w:pPr>
      <w:r>
        <w:rPr>
          <w:sz w:val="24"/>
        </w:rPr>
        <w:t>（7）人员培训，建议对填埋场的工作人员进行消防知识和操作培训，并定期进行演习；严格遵守规章制度。</w:t>
      </w:r>
    </w:p>
    <w:p>
      <w:pPr>
        <w:pStyle w:val="4"/>
        <w:spacing w:before="120" w:after="120"/>
        <w:rPr>
          <w:szCs w:val="28"/>
        </w:rPr>
      </w:pPr>
      <w:bookmarkStart w:id="472" w:name="_Toc143762367"/>
      <w:r>
        <w:rPr>
          <w:szCs w:val="28"/>
        </w:rPr>
        <w:t>7.5.2渗滤液污染地下水的风险分析</w:t>
      </w:r>
      <w:bookmarkEnd w:id="471"/>
      <w:bookmarkEnd w:id="472"/>
    </w:p>
    <w:p>
      <w:pPr>
        <w:spacing w:line="360" w:lineRule="auto"/>
        <w:rPr>
          <w:b/>
          <w:sz w:val="24"/>
        </w:rPr>
      </w:pPr>
      <w:r>
        <w:rPr>
          <w:b/>
          <w:sz w:val="24"/>
        </w:rPr>
        <w:t>7.5.1.1原因分析</w:t>
      </w:r>
    </w:p>
    <w:p>
      <w:pPr>
        <w:spacing w:line="360" w:lineRule="auto"/>
        <w:ind w:firstLine="480" w:firstLineChars="200"/>
        <w:rPr>
          <w:sz w:val="24"/>
        </w:rPr>
      </w:pPr>
      <w:r>
        <w:rPr>
          <w:sz w:val="24"/>
        </w:rPr>
        <w:t>防渗工程不严格按规定施工出现质量问题，或填埋作业时不慎将防渗层损坏导致所在填埋单元防渗系统失效，填埋场的渗透系数增大，渗滤液下渗最终污染地下水。</w:t>
      </w:r>
    </w:p>
    <w:p>
      <w:pPr>
        <w:spacing w:line="360" w:lineRule="auto"/>
        <w:rPr>
          <w:b/>
          <w:sz w:val="24"/>
        </w:rPr>
      </w:pPr>
      <w:r>
        <w:rPr>
          <w:b/>
          <w:sz w:val="24"/>
        </w:rPr>
        <w:t>7.5.1.2影响分析</w:t>
      </w:r>
    </w:p>
    <w:p>
      <w:pPr>
        <w:widowControl/>
        <w:spacing w:line="360" w:lineRule="auto"/>
        <w:ind w:firstLine="480" w:firstLineChars="200"/>
        <w:rPr>
          <w:kern w:val="0"/>
          <w:sz w:val="24"/>
        </w:rPr>
      </w:pPr>
      <w:r>
        <w:rPr>
          <w:sz w:val="24"/>
        </w:rPr>
        <w:t>根据</w:t>
      </w:r>
      <w:r>
        <w:rPr>
          <w:rFonts w:hint="eastAsia"/>
          <w:sz w:val="24"/>
        </w:rPr>
        <w:t>《五原县复兴镇生活垃圾无害化处理项目岩土工程勘察报告》，拟建场地内地下水埋深在天然地表下1.77~</w:t>
      </w:r>
      <w:r>
        <w:rPr>
          <w:sz w:val="24"/>
        </w:rPr>
        <w:t>2.24m</w:t>
      </w:r>
      <w:r>
        <w:rPr>
          <w:rFonts w:hint="eastAsia"/>
          <w:sz w:val="24"/>
        </w:rPr>
        <w:t>，</w:t>
      </w:r>
      <w:r>
        <w:rPr>
          <w:sz w:val="24"/>
        </w:rPr>
        <w:t>地下水类型为潜水</w:t>
      </w:r>
      <w:r>
        <w:rPr>
          <w:rFonts w:hint="eastAsia"/>
          <w:sz w:val="24"/>
        </w:rPr>
        <w:t>，</w:t>
      </w:r>
      <w:r>
        <w:rPr>
          <w:sz w:val="24"/>
        </w:rPr>
        <w:t>地下水受灌溉</w:t>
      </w:r>
      <w:r>
        <w:rPr>
          <w:rFonts w:hint="eastAsia"/>
          <w:sz w:val="24"/>
        </w:rPr>
        <w:t>、</w:t>
      </w:r>
      <w:r>
        <w:rPr>
          <w:sz w:val="24"/>
        </w:rPr>
        <w:t>降水及开采的影响较大</w:t>
      </w:r>
      <w:r>
        <w:rPr>
          <w:kern w:val="0"/>
          <w:sz w:val="24"/>
        </w:rPr>
        <w:t>。说明浅层地下水容易受到污染。若渗滤液发生渗漏，污染物将可能通过长时间的渗透穿过包气带进入浅层地下水，从而造成对浅层地下水的污染，造成地下水COD含量高、色度增大、粪大肠菌群超标。</w:t>
      </w:r>
    </w:p>
    <w:p>
      <w:pPr>
        <w:spacing w:line="360" w:lineRule="auto"/>
        <w:rPr>
          <w:b/>
          <w:sz w:val="24"/>
        </w:rPr>
      </w:pPr>
      <w:r>
        <w:rPr>
          <w:b/>
          <w:sz w:val="24"/>
        </w:rPr>
        <w:t>7.5.1.3 防范措施</w:t>
      </w:r>
    </w:p>
    <w:p>
      <w:pPr>
        <w:spacing w:line="360" w:lineRule="auto"/>
        <w:ind w:firstLine="480" w:firstLineChars="200"/>
        <w:rPr>
          <w:sz w:val="24"/>
        </w:rPr>
      </w:pPr>
      <w:r>
        <w:rPr>
          <w:sz w:val="24"/>
        </w:rPr>
        <w:t>为了预防防渗层破损导致渗滤液污染地下水，项目运行过程中需采取必要的风险防护措施，具体如下：</w:t>
      </w:r>
    </w:p>
    <w:p>
      <w:pPr>
        <w:spacing w:line="360" w:lineRule="auto"/>
        <w:ind w:firstLine="480" w:firstLineChars="200"/>
        <w:rPr>
          <w:sz w:val="24"/>
        </w:rPr>
      </w:pPr>
      <w:r>
        <w:rPr>
          <w:sz w:val="24"/>
        </w:rPr>
        <w:t>（1）加强地下水日常监测，发现监测井水质异常，应立即分析原因提出控制污染扩大的措施。</w:t>
      </w:r>
    </w:p>
    <w:p>
      <w:pPr>
        <w:spacing w:line="360" w:lineRule="auto"/>
        <w:ind w:firstLine="480" w:firstLineChars="200"/>
        <w:rPr>
          <w:sz w:val="24"/>
        </w:rPr>
      </w:pPr>
      <w:r>
        <w:rPr>
          <w:rFonts w:hint="eastAsia"/>
          <w:sz w:val="24"/>
        </w:rPr>
        <w:t>（2）设置防渗衬层渗漏检测系统，定期检测防渗衬层系统完整性，发现防渗衬层系统发生渗漏时，应及时采取补救措施，将破坏区域隔离，进行防渗膜修补。</w:t>
      </w:r>
    </w:p>
    <w:p>
      <w:pPr>
        <w:spacing w:line="360" w:lineRule="auto"/>
        <w:ind w:firstLine="480" w:firstLineChars="200"/>
        <w:rPr>
          <w:sz w:val="24"/>
        </w:rPr>
      </w:pPr>
      <w:r>
        <w:rPr>
          <w:rFonts w:hint="eastAsia"/>
          <w:sz w:val="24"/>
        </w:rPr>
        <w:t>（3）加强雨水外排能力，每年汛期之前，完成截洪沟的整修，确保其畅通无阻。</w:t>
      </w:r>
    </w:p>
    <w:p>
      <w:pPr>
        <w:pStyle w:val="4"/>
        <w:spacing w:before="120" w:after="120"/>
        <w:rPr>
          <w:szCs w:val="28"/>
        </w:rPr>
      </w:pPr>
      <w:bookmarkStart w:id="473" w:name="_Toc381522702"/>
      <w:bookmarkStart w:id="474" w:name="_Toc143762368"/>
      <w:bookmarkStart w:id="475" w:name="_Toc489433117"/>
      <w:bookmarkStart w:id="476" w:name="_Toc387050171"/>
      <w:bookmarkStart w:id="477" w:name="_Toc381444399"/>
      <w:bookmarkStart w:id="478" w:name="_Toc434572560"/>
      <w:r>
        <w:rPr>
          <w:szCs w:val="28"/>
        </w:rPr>
        <w:t>7.5.3渗滤液不经处理直接排放风险分析</w:t>
      </w:r>
      <w:bookmarkEnd w:id="473"/>
      <w:bookmarkEnd w:id="474"/>
      <w:bookmarkEnd w:id="475"/>
      <w:bookmarkEnd w:id="476"/>
      <w:bookmarkEnd w:id="477"/>
      <w:bookmarkEnd w:id="478"/>
    </w:p>
    <w:p>
      <w:pPr>
        <w:spacing w:line="360" w:lineRule="auto"/>
        <w:rPr>
          <w:b/>
          <w:sz w:val="24"/>
        </w:rPr>
      </w:pPr>
      <w:r>
        <w:rPr>
          <w:b/>
          <w:sz w:val="24"/>
        </w:rPr>
        <w:t>7.5.3.1原因分析</w:t>
      </w:r>
    </w:p>
    <w:p>
      <w:pPr>
        <w:spacing w:line="360" w:lineRule="auto"/>
        <w:ind w:firstLine="480" w:firstLineChars="200"/>
        <w:rPr>
          <w:sz w:val="24"/>
        </w:rPr>
      </w:pPr>
      <w:r>
        <w:rPr>
          <w:sz w:val="24"/>
        </w:rPr>
        <w:t>本项目填埋场正常运营情况下，渗滤液经污水处理设施处理后排放，可满足《生活垃圾填埋场污染控制标准》（GB16889- 2008）排放标准要求，对周围地表水影响较小。但如出现暴雨造成污水量过大，调节池污水外溢；渗滤液污水处理设施出现故障，将导致渗滤液不经处理直接排放，造成严重的地表水环境污染。</w:t>
      </w:r>
    </w:p>
    <w:p>
      <w:pPr>
        <w:spacing w:line="360" w:lineRule="auto"/>
        <w:rPr>
          <w:b/>
          <w:sz w:val="24"/>
        </w:rPr>
      </w:pPr>
      <w:r>
        <w:rPr>
          <w:b/>
          <w:sz w:val="24"/>
        </w:rPr>
        <w:t>7.5.3.2渗滤液不经处理泄漏对水环境的影响</w:t>
      </w:r>
    </w:p>
    <w:p>
      <w:pPr>
        <w:spacing w:line="360" w:lineRule="auto"/>
        <w:ind w:firstLine="480" w:firstLineChars="200"/>
        <w:rPr>
          <w:sz w:val="24"/>
        </w:rPr>
      </w:pPr>
      <w:r>
        <w:rPr>
          <w:sz w:val="24"/>
        </w:rPr>
        <w:t>渗滤液不经处理直接排放，其下游的水井、河流的污染影响将是长期的。</w:t>
      </w:r>
    </w:p>
    <w:p>
      <w:pPr>
        <w:spacing w:line="360" w:lineRule="auto"/>
        <w:ind w:firstLine="480" w:firstLineChars="200"/>
        <w:rPr>
          <w:kern w:val="0"/>
          <w:sz w:val="24"/>
        </w:rPr>
      </w:pPr>
      <w:r>
        <w:rPr>
          <w:kern w:val="0"/>
          <w:sz w:val="24"/>
        </w:rPr>
        <w:t>（1）遭遇强降雨</w:t>
      </w:r>
    </w:p>
    <w:p>
      <w:pPr>
        <w:spacing w:line="360" w:lineRule="auto"/>
        <w:ind w:firstLine="480" w:firstLineChars="200"/>
        <w:rPr>
          <w:sz w:val="24"/>
        </w:rPr>
      </w:pPr>
      <w:r>
        <w:rPr>
          <w:sz w:val="24"/>
        </w:rPr>
        <w:t>本工程调节池顶加盖2.0mm光面HDPE膜，暴雨难以进入调节池。因此，因暴雨造成调节池污水量过大，污水外溢的可能性较小。</w:t>
      </w:r>
    </w:p>
    <w:p>
      <w:pPr>
        <w:spacing w:line="360" w:lineRule="auto"/>
        <w:ind w:firstLine="480" w:firstLineChars="200"/>
        <w:rPr>
          <w:kern w:val="0"/>
          <w:sz w:val="24"/>
        </w:rPr>
      </w:pPr>
      <w:r>
        <w:rPr>
          <w:kern w:val="0"/>
          <w:sz w:val="24"/>
        </w:rPr>
        <w:t>（2）渗滤液处理设施发生故障</w:t>
      </w:r>
    </w:p>
    <w:p>
      <w:pPr>
        <w:spacing w:line="360" w:lineRule="auto"/>
        <w:ind w:firstLine="480" w:firstLineChars="200"/>
        <w:rPr>
          <w:b/>
          <w:sz w:val="24"/>
        </w:rPr>
      </w:pPr>
      <w:r>
        <w:rPr>
          <w:sz w:val="24"/>
        </w:rPr>
        <w:t>水处理系统中除污水泵外，其它处理设备出现故障一般不会造成废水未经处理直接外排，但会降低废水中污染物的去除率。所以，工程投产后，除人为原因外，因设备故障使渗滤液全部外排的可能性极小，但因处理设备故障而降低处理效果，致使废水不能达标排放的情况存在。</w:t>
      </w:r>
    </w:p>
    <w:p>
      <w:pPr>
        <w:spacing w:line="360" w:lineRule="auto"/>
        <w:ind w:firstLine="480" w:firstLineChars="200"/>
        <w:rPr>
          <w:sz w:val="24"/>
        </w:rPr>
      </w:pPr>
      <w:r>
        <w:rPr>
          <w:sz w:val="24"/>
        </w:rPr>
        <w:t>当渗滤液处理设（水泵等）施发生故障，且短期内无法修复时，渗滤液在调节池汇集超过有效容积，造成渗滤液不经处理直接排放。</w:t>
      </w:r>
    </w:p>
    <w:p>
      <w:pPr>
        <w:spacing w:line="360" w:lineRule="auto"/>
        <w:ind w:firstLine="480" w:firstLineChars="200"/>
        <w:rPr>
          <w:sz w:val="24"/>
        </w:rPr>
      </w:pPr>
      <w:r>
        <w:rPr>
          <w:sz w:val="24"/>
        </w:rPr>
        <w:t>填埋场渗滤液属高浓度难降解废水，成份复杂，并含高浓度的重金属，直接排放会对周围环境造成严重污染，直接接触对植被及人畜均会造成较大危害。</w:t>
      </w:r>
    </w:p>
    <w:p>
      <w:pPr>
        <w:spacing w:line="360" w:lineRule="auto"/>
        <w:rPr>
          <w:b/>
          <w:sz w:val="24"/>
        </w:rPr>
      </w:pPr>
      <w:r>
        <w:rPr>
          <w:b/>
          <w:sz w:val="24"/>
        </w:rPr>
        <w:t>7.2.2.3防范措施</w:t>
      </w:r>
    </w:p>
    <w:p>
      <w:pPr>
        <w:spacing w:line="360" w:lineRule="auto"/>
        <w:ind w:firstLine="480" w:firstLineChars="200"/>
        <w:rPr>
          <w:sz w:val="24"/>
        </w:rPr>
      </w:pPr>
      <w:r>
        <w:rPr>
          <w:sz w:val="24"/>
        </w:rPr>
        <w:t>（1）定期采样，监控废水处理工艺的运转效果。同时，定期对处理设施等进行检查和维修。</w:t>
      </w:r>
    </w:p>
    <w:p>
      <w:pPr>
        <w:spacing w:line="360" w:lineRule="auto"/>
        <w:ind w:firstLine="480" w:firstLineChars="200"/>
        <w:rPr>
          <w:sz w:val="24"/>
        </w:rPr>
      </w:pPr>
      <w:r>
        <w:rPr>
          <w:sz w:val="24"/>
        </w:rPr>
        <w:t>（2）对废水处理装置每班进行巡视，并应对管道的堵塞、破损、泵的运转、药剂的添加及使用等情况予以记录，发现问题及时处理。</w:t>
      </w:r>
    </w:p>
    <w:p>
      <w:pPr>
        <w:spacing w:line="360" w:lineRule="auto"/>
        <w:ind w:firstLine="480" w:firstLineChars="200"/>
        <w:rPr>
          <w:sz w:val="24"/>
        </w:rPr>
      </w:pPr>
      <w:r>
        <w:rPr>
          <w:sz w:val="24"/>
        </w:rPr>
        <w:t>（3）备品备件应充足，注意及时补充、更换。</w:t>
      </w:r>
    </w:p>
    <w:p>
      <w:pPr>
        <w:spacing w:line="360" w:lineRule="auto"/>
        <w:ind w:firstLine="480" w:firstLineChars="200"/>
        <w:rPr>
          <w:sz w:val="24"/>
        </w:rPr>
      </w:pPr>
      <w:r>
        <w:rPr>
          <w:sz w:val="24"/>
        </w:rPr>
        <w:t>（4）消毒池设水质自动监测仪对水质进行监控，如污水超标则返回调节池。</w:t>
      </w:r>
    </w:p>
    <w:p>
      <w:pPr>
        <w:spacing w:line="360" w:lineRule="auto"/>
        <w:ind w:firstLine="480" w:firstLineChars="200"/>
        <w:rPr>
          <w:sz w:val="24"/>
        </w:rPr>
      </w:pPr>
      <w:r>
        <w:rPr>
          <w:sz w:val="24"/>
        </w:rPr>
        <w:t>（5）截洪沟应经常疏通，防止截洪沟堵塞。</w:t>
      </w:r>
    </w:p>
    <w:p>
      <w:pPr>
        <w:pStyle w:val="4"/>
        <w:spacing w:before="120" w:after="120"/>
        <w:rPr>
          <w:szCs w:val="28"/>
        </w:rPr>
      </w:pPr>
      <w:bookmarkStart w:id="479" w:name="_Toc143762369"/>
      <w:bookmarkStart w:id="480" w:name="_Toc434572561"/>
      <w:bookmarkStart w:id="481" w:name="_Toc489433118"/>
      <w:bookmarkStart w:id="482" w:name="_Toc387050172"/>
      <w:bookmarkStart w:id="483" w:name="_Toc381522703"/>
      <w:bookmarkStart w:id="484" w:name="_Toc381444400"/>
      <w:r>
        <w:rPr>
          <w:szCs w:val="28"/>
        </w:rPr>
        <w:t>7.5.4垃圾坝溃决风险分析</w:t>
      </w:r>
      <w:bookmarkEnd w:id="479"/>
      <w:bookmarkEnd w:id="480"/>
      <w:bookmarkEnd w:id="481"/>
      <w:bookmarkEnd w:id="482"/>
      <w:bookmarkEnd w:id="483"/>
      <w:bookmarkEnd w:id="484"/>
    </w:p>
    <w:p>
      <w:pPr>
        <w:spacing w:line="360" w:lineRule="auto"/>
        <w:rPr>
          <w:b/>
          <w:sz w:val="24"/>
        </w:rPr>
      </w:pPr>
      <w:r>
        <w:rPr>
          <w:b/>
          <w:sz w:val="24"/>
        </w:rPr>
        <w:t>7.5.4.1引起垃圾坝溃决的原因</w:t>
      </w:r>
    </w:p>
    <w:p>
      <w:pPr>
        <w:spacing w:line="360" w:lineRule="auto"/>
        <w:ind w:firstLine="480" w:firstLineChars="200"/>
        <w:rPr>
          <w:sz w:val="24"/>
        </w:rPr>
      </w:pPr>
      <w:r>
        <w:rPr>
          <w:sz w:val="24"/>
        </w:rPr>
        <w:t>根据项目所在区域工程地质、水文地质，以及工程设计实施方案综合分析，本评价认为，在填埋场工程特别是拦渣坝工程保质保量建设完成后，填埋场正常运行情况下不会发生溃坝和地质灾害。</w:t>
      </w:r>
    </w:p>
    <w:p>
      <w:pPr>
        <w:spacing w:line="360" w:lineRule="auto"/>
        <w:ind w:firstLine="480" w:firstLineChars="200"/>
        <w:rPr>
          <w:sz w:val="24"/>
        </w:rPr>
      </w:pPr>
      <w:r>
        <w:rPr>
          <w:sz w:val="24"/>
        </w:rPr>
        <w:t>但在下列情况下，仍然存在发生溃坝和地质灾害的可能性：</w:t>
      </w:r>
    </w:p>
    <w:p>
      <w:pPr>
        <w:spacing w:line="360" w:lineRule="auto"/>
        <w:ind w:firstLine="480" w:firstLineChars="200"/>
        <w:rPr>
          <w:sz w:val="24"/>
        </w:rPr>
      </w:pPr>
      <w:r>
        <w:rPr>
          <w:sz w:val="24"/>
        </w:rPr>
        <w:t>（1）处理场的设计质量的影响，如洪水量的计算、堆坝的设计等方面没达到规范规定要求。</w:t>
      </w:r>
    </w:p>
    <w:p>
      <w:pPr>
        <w:spacing w:line="360" w:lineRule="auto"/>
        <w:ind w:firstLine="480" w:firstLineChars="200"/>
        <w:rPr>
          <w:sz w:val="24"/>
        </w:rPr>
      </w:pPr>
      <w:r>
        <w:rPr>
          <w:sz w:val="24"/>
        </w:rPr>
        <w:t>（2）施工质量没保证，如施工没有严格按施工图的技术要求进行，偷工减料、验收不严格等原因。</w:t>
      </w:r>
    </w:p>
    <w:p>
      <w:pPr>
        <w:spacing w:line="360" w:lineRule="auto"/>
        <w:ind w:firstLine="480" w:firstLineChars="200"/>
        <w:rPr>
          <w:sz w:val="24"/>
        </w:rPr>
      </w:pPr>
      <w:r>
        <w:rPr>
          <w:sz w:val="24"/>
        </w:rPr>
        <w:t>（3）管理不规范，如没有按设计要求堆坝、摊平和碾压作业、库内积水没有及时排出而超过安全标高。</w:t>
      </w:r>
    </w:p>
    <w:p>
      <w:pPr>
        <w:spacing w:line="360" w:lineRule="auto"/>
        <w:ind w:firstLine="480" w:firstLineChars="200"/>
        <w:rPr>
          <w:sz w:val="24"/>
        </w:rPr>
      </w:pPr>
      <w:r>
        <w:rPr>
          <w:sz w:val="24"/>
        </w:rPr>
        <w:t>（4）山洪暴雨、洪水量超过设计设防要求等不可预计的原因。</w:t>
      </w:r>
    </w:p>
    <w:p>
      <w:pPr>
        <w:spacing w:line="360" w:lineRule="auto"/>
        <w:rPr>
          <w:b/>
          <w:sz w:val="24"/>
        </w:rPr>
      </w:pPr>
      <w:r>
        <w:rPr>
          <w:b/>
          <w:sz w:val="24"/>
        </w:rPr>
        <w:t>7.5.4.2影响分析</w:t>
      </w:r>
    </w:p>
    <w:p>
      <w:pPr>
        <w:spacing w:line="360" w:lineRule="auto"/>
        <w:ind w:firstLine="480" w:firstLineChars="200"/>
        <w:rPr>
          <w:sz w:val="24"/>
        </w:rPr>
      </w:pPr>
      <w:r>
        <w:rPr>
          <w:sz w:val="24"/>
        </w:rPr>
        <w:t>根据相关资料，垃圾坝溃决后，</w:t>
      </w:r>
      <w:r>
        <w:rPr>
          <w:rFonts w:hint="eastAsia"/>
          <w:sz w:val="24"/>
        </w:rPr>
        <w:t>填埋场</w:t>
      </w:r>
      <w:r>
        <w:rPr>
          <w:sz w:val="24"/>
        </w:rPr>
        <w:t>的垃圾如同泥石流一样向场外泄出。</w:t>
      </w:r>
      <w:r>
        <w:rPr>
          <w:rFonts w:hint="eastAsia"/>
          <w:sz w:val="24"/>
        </w:rPr>
        <w:t>填埋场</w:t>
      </w:r>
      <w:r>
        <w:rPr>
          <w:sz w:val="24"/>
        </w:rPr>
        <w:t>下游的农田、土地、河流将受到严重的影响，将造成严重的财产损失和环境污染。</w:t>
      </w:r>
    </w:p>
    <w:p>
      <w:pPr>
        <w:spacing w:line="360" w:lineRule="auto"/>
        <w:ind w:firstLine="480" w:firstLineChars="200"/>
        <w:rPr>
          <w:sz w:val="24"/>
        </w:rPr>
      </w:pPr>
      <w:r>
        <w:rPr>
          <w:sz w:val="24"/>
        </w:rPr>
        <w:t>本项目填埋场总库容30.5万m</w:t>
      </w:r>
      <w:r>
        <w:rPr>
          <w:sz w:val="24"/>
          <w:vertAlign w:val="superscript"/>
        </w:rPr>
        <w:t>3</w:t>
      </w:r>
      <w:r>
        <w:rPr>
          <w:sz w:val="24"/>
        </w:rPr>
        <w:t>，假定发生溃坝时，填埋场内堆积垃圾为总库容的50%，垃圾坝坝体坍塌30%，掩埋层厚度200mm。据此估算，发生溃坝后将掩埋填埋场下游距离坝体决口30m、面积约4.6万m</w:t>
      </w:r>
      <w:r>
        <w:rPr>
          <w:sz w:val="24"/>
          <w:vertAlign w:val="superscript"/>
        </w:rPr>
        <w:t>2</w:t>
      </w:r>
      <w:r>
        <w:rPr>
          <w:sz w:val="24"/>
        </w:rPr>
        <w:t>的区域。</w:t>
      </w:r>
    </w:p>
    <w:p>
      <w:pPr>
        <w:spacing w:line="360" w:lineRule="auto"/>
        <w:rPr>
          <w:b/>
          <w:sz w:val="24"/>
        </w:rPr>
      </w:pPr>
      <w:r>
        <w:rPr>
          <w:b/>
          <w:sz w:val="24"/>
        </w:rPr>
        <w:t>7.5.4.3防范措施</w:t>
      </w:r>
    </w:p>
    <w:p>
      <w:pPr>
        <w:spacing w:line="360" w:lineRule="auto"/>
        <w:ind w:firstLine="480" w:firstLineChars="200"/>
        <w:rPr>
          <w:sz w:val="24"/>
        </w:rPr>
      </w:pPr>
      <w:r>
        <w:rPr>
          <w:sz w:val="24"/>
        </w:rPr>
        <w:t>（1）严格进行规范管理，按设计要求设置专人严格管理，落实责任。确保场内排水系统和库周排洪沟的畅通，在雨季特别是暴雨期应加强对垃圾处理场、垃圾坝的巡逻检查，如发现垃圾坝出现裂缝应采取补救措施；垃圾坝溃决后应立即采取抢救措施，可在</w:t>
      </w:r>
      <w:r>
        <w:rPr>
          <w:rFonts w:hint="eastAsia"/>
          <w:sz w:val="24"/>
        </w:rPr>
        <w:t>填埋场</w:t>
      </w:r>
      <w:r>
        <w:rPr>
          <w:sz w:val="24"/>
        </w:rPr>
        <w:t>下游设缓冲地带。同时配备必需的通信设施，保持与地方政府的联系，如发现坝体开裂等跨坝征兆，应立即组织力量进行抢修和安全加固。</w:t>
      </w:r>
    </w:p>
    <w:p>
      <w:pPr>
        <w:spacing w:line="360" w:lineRule="auto"/>
        <w:ind w:firstLine="480" w:firstLineChars="200"/>
        <w:rPr>
          <w:sz w:val="24"/>
        </w:rPr>
      </w:pPr>
      <w:r>
        <w:rPr>
          <w:sz w:val="24"/>
        </w:rPr>
        <w:t>（2）</w:t>
      </w:r>
      <w:r>
        <w:rPr>
          <w:rFonts w:hint="eastAsia"/>
          <w:sz w:val="24"/>
        </w:rPr>
        <w:t>填埋场</w:t>
      </w:r>
      <w:r>
        <w:rPr>
          <w:sz w:val="24"/>
        </w:rPr>
        <w:t>服务期满后，应按规定进行土地复垦和日常管理、维护，并按有关要求进行生态或植被的恢复，确保垃圾库的稳定。</w:t>
      </w:r>
    </w:p>
    <w:p>
      <w:pPr>
        <w:spacing w:line="360" w:lineRule="auto"/>
        <w:ind w:firstLine="480" w:firstLineChars="200"/>
        <w:rPr>
          <w:sz w:val="24"/>
        </w:rPr>
      </w:pPr>
      <w:r>
        <w:rPr>
          <w:sz w:val="24"/>
        </w:rPr>
        <w:t>（3）加强日常监控，在库周应设置监视器，并有专人负责巡视，杜绝安全隐患。</w:t>
      </w:r>
    </w:p>
    <w:p>
      <w:pPr>
        <w:spacing w:line="360" w:lineRule="auto"/>
        <w:ind w:firstLine="480" w:firstLineChars="200"/>
        <w:rPr>
          <w:sz w:val="24"/>
        </w:rPr>
      </w:pPr>
      <w:r>
        <w:rPr>
          <w:sz w:val="24"/>
        </w:rPr>
        <w:t>（4）严格按国家有关规定，定期对处理场安全性和稳定性进行评价，发现问题及时解决。</w:t>
      </w:r>
    </w:p>
    <w:p>
      <w:pPr>
        <w:spacing w:line="360" w:lineRule="auto"/>
        <w:ind w:firstLine="480" w:firstLineChars="200"/>
        <w:rPr>
          <w:sz w:val="24"/>
        </w:rPr>
      </w:pPr>
      <w:r>
        <w:rPr>
          <w:rFonts w:hint="eastAsia"/>
          <w:sz w:val="24"/>
        </w:rPr>
        <w:t xml:space="preserve"> </w:t>
      </w:r>
    </w:p>
    <w:p>
      <w:pPr>
        <w:pStyle w:val="4"/>
        <w:spacing w:before="120" w:after="120"/>
        <w:rPr>
          <w:szCs w:val="28"/>
        </w:rPr>
      </w:pPr>
      <w:bookmarkStart w:id="485" w:name="_Toc381522706"/>
      <w:bookmarkStart w:id="486" w:name="_Toc143762370"/>
      <w:bookmarkStart w:id="487" w:name="_Toc387050175"/>
      <w:bookmarkStart w:id="488" w:name="_Toc489433121"/>
      <w:bookmarkStart w:id="489" w:name="_Toc434572564"/>
      <w:r>
        <w:rPr>
          <w:szCs w:val="28"/>
        </w:rPr>
        <w:t>7.5.5危险性废物混入风险分析</w:t>
      </w:r>
      <w:bookmarkEnd w:id="485"/>
      <w:bookmarkEnd w:id="486"/>
      <w:bookmarkEnd w:id="487"/>
      <w:bookmarkEnd w:id="488"/>
      <w:bookmarkEnd w:id="489"/>
      <w:r>
        <w:rPr>
          <w:szCs w:val="28"/>
        </w:rPr>
        <w:tab/>
      </w:r>
    </w:p>
    <w:p>
      <w:pPr>
        <w:spacing w:line="360" w:lineRule="auto"/>
        <w:rPr>
          <w:b/>
          <w:sz w:val="24"/>
        </w:rPr>
      </w:pPr>
      <w:r>
        <w:rPr>
          <w:b/>
          <w:sz w:val="24"/>
        </w:rPr>
        <w:t>7.5.5.1影响分析</w:t>
      </w:r>
    </w:p>
    <w:p>
      <w:pPr>
        <w:spacing w:line="360" w:lineRule="auto"/>
        <w:ind w:firstLine="480" w:firstLineChars="200"/>
        <w:rPr>
          <w:sz w:val="24"/>
        </w:rPr>
      </w:pPr>
      <w:r>
        <w:rPr>
          <w:sz w:val="24"/>
        </w:rPr>
        <w:t>《生活垃圾填埋污染控制标准》对填埋物入场要求主要有两个方面：其一，进入生活垃圾处理场的填埋物应是生活垃圾；其二、严禁将生活垃圾和危险性废物混合一起，严禁爆炸性、易燃性、浸出毒性、腐蚀性、传染性、放射性等有害有毒废物进入生活垃圾处理场。因此，只要严格按照此规定执行，正常生产时，杜绝非生活垃圾入场，发生这种风险的可能性极小。</w:t>
      </w:r>
    </w:p>
    <w:p>
      <w:pPr>
        <w:spacing w:line="360" w:lineRule="auto"/>
        <w:ind w:firstLine="480"/>
        <w:rPr>
          <w:sz w:val="24"/>
        </w:rPr>
      </w:pPr>
      <w:r>
        <w:rPr>
          <w:sz w:val="24"/>
        </w:rPr>
        <w:t>假如不慎混入危险废物，则将对</w:t>
      </w:r>
      <w:r>
        <w:rPr>
          <w:rFonts w:hint="eastAsia"/>
          <w:sz w:val="24"/>
        </w:rPr>
        <w:t>填埋场</w:t>
      </w:r>
      <w:r>
        <w:rPr>
          <w:sz w:val="24"/>
        </w:rPr>
        <w:t>及其周边环境产生严重污染，其污染程度和范围视其混入的危险废物数量和种类的不同而不同。</w:t>
      </w:r>
    </w:p>
    <w:p>
      <w:pPr>
        <w:spacing w:line="360" w:lineRule="auto"/>
        <w:rPr>
          <w:b/>
          <w:sz w:val="24"/>
        </w:rPr>
      </w:pPr>
      <w:r>
        <w:rPr>
          <w:b/>
          <w:sz w:val="24"/>
        </w:rPr>
        <w:t>7.5.5.2防治措施</w:t>
      </w:r>
    </w:p>
    <w:p>
      <w:pPr>
        <w:spacing w:line="360" w:lineRule="auto"/>
        <w:ind w:firstLine="480" w:firstLineChars="200"/>
        <w:rPr>
          <w:sz w:val="24"/>
        </w:rPr>
      </w:pPr>
      <w:r>
        <w:rPr>
          <w:sz w:val="24"/>
        </w:rPr>
        <w:t>（1）生活垃圾收集时，严格执行《生活垃圾填埋污染控制标准》，严禁将生活垃圾和工业垃圾特别是危险性废物混合一起。</w:t>
      </w:r>
    </w:p>
    <w:p>
      <w:pPr>
        <w:spacing w:line="360" w:lineRule="auto"/>
        <w:ind w:firstLine="480" w:firstLineChars="200"/>
        <w:rPr>
          <w:sz w:val="24"/>
        </w:rPr>
      </w:pPr>
      <w:r>
        <w:rPr>
          <w:sz w:val="24"/>
        </w:rPr>
        <w:t>（2）严禁将其它有害有毒废物送至生活处理场填埋，如发现不按规定执行，应按有关法律法规予以经济处罚，直至追究法律责任。</w:t>
      </w:r>
    </w:p>
    <w:p>
      <w:pPr>
        <w:spacing w:line="360" w:lineRule="auto"/>
        <w:ind w:firstLine="480" w:firstLineChars="200"/>
        <w:rPr>
          <w:sz w:val="24"/>
        </w:rPr>
      </w:pPr>
      <w:r>
        <w:rPr>
          <w:sz w:val="24"/>
        </w:rPr>
        <w:t>（3）对处理场服务范围内的单位和个人加强宣传，使公众分清生活垃圾、工业固废和危险性废物的本质区别，以及混合填埋的危害，使公众自觉遵守处理场的垃圾入场规定。</w:t>
      </w:r>
    </w:p>
    <w:p>
      <w:pPr>
        <w:pStyle w:val="3"/>
        <w:keepNext w:val="0"/>
        <w:keepLines w:val="0"/>
        <w:spacing w:before="120" w:after="120"/>
        <w:rPr>
          <w:rFonts w:ascii="Times New Roman" w:hAnsi="Times New Roman" w:eastAsia="宋体"/>
        </w:rPr>
      </w:pPr>
      <w:bookmarkStart w:id="490" w:name="_Toc143762371"/>
      <w:bookmarkStart w:id="491" w:name="_Toc434572565"/>
      <w:bookmarkStart w:id="492" w:name="_Toc489433123"/>
      <w:r>
        <w:rPr>
          <w:rFonts w:ascii="Times New Roman" w:hAnsi="Times New Roman" w:eastAsia="宋体"/>
        </w:rPr>
        <w:t>7.6风险事故应急预案</w:t>
      </w:r>
      <w:bookmarkEnd w:id="490"/>
      <w:bookmarkEnd w:id="491"/>
      <w:bookmarkEnd w:id="492"/>
    </w:p>
    <w:p>
      <w:pPr>
        <w:pStyle w:val="939"/>
        <w:ind w:firstLine="480"/>
      </w:pPr>
      <w:bookmarkStart w:id="493" w:name="_Toc381522708"/>
      <w:bookmarkStart w:id="494" w:name="_Toc381444405"/>
      <w:bookmarkStart w:id="495" w:name="_Toc489433124"/>
      <w:bookmarkStart w:id="496" w:name="_Toc143930905"/>
      <w:bookmarkStart w:id="497" w:name="_Toc387050177"/>
      <w:bookmarkStart w:id="498" w:name="_Toc434572566"/>
      <w:r>
        <w:rPr>
          <w:rFonts w:hint="eastAsia"/>
        </w:rPr>
        <w:t>风险应急预案强调组织机构的应急能力，重点是组织救援响应协调机构的建立及要求，应急管理、应急救援各级响应程序是否能快速、安全、有效启动，对风险影响的快速、有效控制措施。</w:t>
      </w:r>
    </w:p>
    <w:p>
      <w:pPr>
        <w:pStyle w:val="4"/>
        <w:spacing w:before="120" w:after="120"/>
        <w:rPr>
          <w:szCs w:val="28"/>
        </w:rPr>
      </w:pPr>
      <w:bookmarkStart w:id="499" w:name="_Toc143762372"/>
      <w:r>
        <w:rPr>
          <w:szCs w:val="28"/>
        </w:rPr>
        <w:t>7.6.1</w:t>
      </w:r>
      <w:bookmarkEnd w:id="493"/>
      <w:bookmarkEnd w:id="494"/>
      <w:bookmarkEnd w:id="495"/>
      <w:bookmarkEnd w:id="496"/>
      <w:bookmarkEnd w:id="497"/>
      <w:bookmarkEnd w:id="498"/>
      <w:r>
        <w:rPr>
          <w:rFonts w:hint="eastAsia"/>
          <w:szCs w:val="28"/>
        </w:rPr>
        <w:t>应急组织机构与职责</w:t>
      </w:r>
      <w:bookmarkEnd w:id="499"/>
    </w:p>
    <w:p>
      <w:pPr>
        <w:pStyle w:val="939"/>
        <w:ind w:firstLine="480"/>
      </w:pPr>
      <w:r>
        <w:rPr>
          <w:rFonts w:hint="eastAsia"/>
        </w:rPr>
        <w:t>现场总指挥：快速汇总、传达事故有关信息和伤害估算，发布报警信息迅速组织疏散，撤离危险区。</w:t>
      </w:r>
    </w:p>
    <w:p>
      <w:pPr>
        <w:pStyle w:val="939"/>
        <w:ind w:firstLine="480"/>
      </w:pPr>
      <w:r>
        <w:rPr>
          <w:rFonts w:hint="eastAsia"/>
        </w:rPr>
        <w:t>填埋生产区职责：负责对污染事故性质、源参数、扩散、气象条件提出报告， 负责对事故现场采取紧急措施，防止事故扩大，负责对污染区采取措施、降低危险，对事故区伤亡人员进行抢救。</w:t>
      </w:r>
    </w:p>
    <w:p>
      <w:pPr>
        <w:pStyle w:val="939"/>
        <w:ind w:firstLine="480"/>
      </w:pPr>
      <w:r>
        <w:rPr>
          <w:rFonts w:hint="eastAsia"/>
        </w:rPr>
        <w:t>专业救援组：配备专人和仪器、药品急救，组织医疗救护等专业队伍的救援行动；</w:t>
      </w:r>
    </w:p>
    <w:p>
      <w:pPr>
        <w:pStyle w:val="939"/>
        <w:ind w:firstLine="480"/>
      </w:pPr>
      <w:r>
        <w:rPr>
          <w:rFonts w:hint="eastAsia"/>
        </w:rPr>
        <w:t>通讯联络组：负责建立抢险单位、救援单位及地方政府有关部门的联络； 后勤保障组：负责抢险物资组织，后勤、车辆的保障，对危险区实施交通管制，有效实施疏散。</w:t>
      </w:r>
    </w:p>
    <w:p>
      <w:pPr>
        <w:pStyle w:val="4"/>
        <w:spacing w:before="120" w:after="120"/>
        <w:rPr>
          <w:szCs w:val="28"/>
        </w:rPr>
      </w:pPr>
      <w:bookmarkStart w:id="500" w:name="_Toc143930906"/>
      <w:bookmarkStart w:id="501" w:name="_Toc387050178"/>
      <w:bookmarkStart w:id="502" w:name="_Toc489433125"/>
      <w:bookmarkStart w:id="503" w:name="_Toc381444406"/>
      <w:bookmarkStart w:id="504" w:name="_Toc381522709"/>
      <w:bookmarkStart w:id="505" w:name="_Toc143762373"/>
      <w:bookmarkStart w:id="506" w:name="_Toc434572567"/>
      <w:r>
        <w:rPr>
          <w:szCs w:val="28"/>
        </w:rPr>
        <w:t>7.6.2预案分级响应条件</w:t>
      </w:r>
      <w:bookmarkEnd w:id="500"/>
      <w:r>
        <w:rPr>
          <w:szCs w:val="28"/>
        </w:rPr>
        <w:t>、报警及通讯联络方式</w:t>
      </w:r>
      <w:bookmarkEnd w:id="501"/>
      <w:bookmarkEnd w:id="502"/>
      <w:bookmarkEnd w:id="503"/>
      <w:bookmarkEnd w:id="504"/>
      <w:bookmarkEnd w:id="505"/>
      <w:bookmarkEnd w:id="506"/>
    </w:p>
    <w:p>
      <w:pPr>
        <w:spacing w:line="360" w:lineRule="auto"/>
        <w:ind w:firstLine="480" w:firstLineChars="200"/>
        <w:rPr>
          <w:sz w:val="24"/>
        </w:rPr>
      </w:pPr>
      <w:r>
        <w:rPr>
          <w:sz w:val="24"/>
        </w:rPr>
        <w:t>建设单位的应急预案分为三级，即岗位级、局部级、场级。除此之外，还服从地区社会应急预案的调配。</w:t>
      </w:r>
    </w:p>
    <w:p>
      <w:pPr>
        <w:spacing w:line="360" w:lineRule="auto"/>
        <w:ind w:firstLine="480" w:firstLineChars="200"/>
        <w:rPr>
          <w:sz w:val="24"/>
        </w:rPr>
      </w:pPr>
      <w:r>
        <w:rPr>
          <w:sz w:val="24"/>
        </w:rPr>
        <w:t>设24小时有效的报警装置，由当班调度负责联络。一旦发生风险事故，及时报告消防部门、</w:t>
      </w:r>
      <w:r>
        <w:rPr>
          <w:rFonts w:hint="eastAsia"/>
          <w:sz w:val="24"/>
        </w:rPr>
        <w:t>五原县</w:t>
      </w:r>
      <w:r>
        <w:rPr>
          <w:sz w:val="24"/>
        </w:rPr>
        <w:t>和巴彦淖尔市环境污染事件应急指挥部办公室。</w:t>
      </w:r>
    </w:p>
    <w:p>
      <w:pPr>
        <w:pStyle w:val="4"/>
        <w:spacing w:before="120" w:after="120"/>
        <w:rPr>
          <w:szCs w:val="28"/>
        </w:rPr>
      </w:pPr>
      <w:bookmarkStart w:id="507" w:name="_Toc143762374"/>
      <w:bookmarkStart w:id="508" w:name="_Toc381522710"/>
      <w:bookmarkStart w:id="509" w:name="_Toc143930908"/>
      <w:bookmarkStart w:id="510" w:name="_Toc387050179"/>
      <w:bookmarkStart w:id="511" w:name="_Toc489433126"/>
      <w:bookmarkStart w:id="512" w:name="_Toc434572568"/>
      <w:bookmarkStart w:id="513" w:name="_Toc381444407"/>
      <w:r>
        <w:rPr>
          <w:szCs w:val="28"/>
        </w:rPr>
        <w:t>7.6.3紧急救护措施</w:t>
      </w:r>
      <w:bookmarkEnd w:id="507"/>
      <w:bookmarkEnd w:id="508"/>
      <w:bookmarkEnd w:id="509"/>
      <w:bookmarkEnd w:id="510"/>
      <w:bookmarkEnd w:id="511"/>
      <w:bookmarkEnd w:id="512"/>
      <w:bookmarkEnd w:id="513"/>
    </w:p>
    <w:p>
      <w:pPr>
        <w:spacing w:line="360" w:lineRule="auto"/>
        <w:ind w:firstLine="480" w:firstLineChars="200"/>
        <w:rPr>
          <w:sz w:val="24"/>
        </w:rPr>
      </w:pPr>
      <w:r>
        <w:rPr>
          <w:sz w:val="24"/>
        </w:rPr>
        <w:t>如果有人员伤害，应急抢险组在事故初起阶段就应与120急救中心联系，说明事故情况及人员伤亡情况，要求医疗机构做好紧急救护的准备，并派医务人员及救护车辆到达事故现场。</w:t>
      </w:r>
    </w:p>
    <w:p>
      <w:pPr>
        <w:pStyle w:val="4"/>
        <w:spacing w:before="120" w:after="120"/>
        <w:rPr>
          <w:szCs w:val="28"/>
        </w:rPr>
      </w:pPr>
      <w:bookmarkStart w:id="514" w:name="_Toc489433127"/>
      <w:bookmarkStart w:id="515" w:name="_Toc143930910"/>
      <w:bookmarkStart w:id="516" w:name="_Toc381444408"/>
      <w:bookmarkStart w:id="517" w:name="_Toc381522711"/>
      <w:bookmarkStart w:id="518" w:name="_Toc434572569"/>
      <w:bookmarkStart w:id="519" w:name="_Toc143762375"/>
      <w:bookmarkStart w:id="520" w:name="_Toc387050180"/>
      <w:r>
        <w:rPr>
          <w:szCs w:val="28"/>
        </w:rPr>
        <w:t>7.6.4应急能力建设</w:t>
      </w:r>
      <w:bookmarkEnd w:id="514"/>
      <w:bookmarkEnd w:id="515"/>
      <w:bookmarkEnd w:id="516"/>
      <w:bookmarkEnd w:id="517"/>
      <w:bookmarkEnd w:id="518"/>
      <w:bookmarkEnd w:id="519"/>
      <w:bookmarkEnd w:id="520"/>
    </w:p>
    <w:p>
      <w:pPr>
        <w:spacing w:line="360" w:lineRule="auto"/>
        <w:ind w:firstLine="480" w:firstLineChars="200"/>
        <w:rPr>
          <w:sz w:val="24"/>
        </w:rPr>
      </w:pPr>
      <w:r>
        <w:rPr>
          <w:sz w:val="24"/>
        </w:rPr>
        <w:t>为保证应急反应能力，应根据预案实施情况每年制定相应的培训计划，采取多种形式对有关人员进行应急知识或应急技能培训。每年进行一次人员疏散、急救、消防演习。演习计划的制定、组织和实施由安全科负责。预案原则上每三年进行一次评审和修订，根据生产工艺改造等或演练的不符合项及时修订。</w:t>
      </w:r>
    </w:p>
    <w:p>
      <w:pPr>
        <w:pStyle w:val="4"/>
        <w:spacing w:before="120" w:after="120"/>
        <w:rPr>
          <w:szCs w:val="28"/>
        </w:rPr>
      </w:pPr>
      <w:bookmarkStart w:id="521" w:name="_Toc381444409"/>
      <w:bookmarkStart w:id="522" w:name="_Toc143930911"/>
      <w:bookmarkStart w:id="523" w:name="_Toc381522712"/>
      <w:bookmarkStart w:id="524" w:name="_Toc143762376"/>
      <w:bookmarkStart w:id="525" w:name="_Toc489433128"/>
      <w:bookmarkStart w:id="526" w:name="_Toc387050181"/>
      <w:bookmarkStart w:id="527" w:name="_Toc434572570"/>
      <w:r>
        <w:rPr>
          <w:szCs w:val="28"/>
        </w:rPr>
        <w:t>7.6.5应急监测系统与实施计划</w:t>
      </w:r>
      <w:bookmarkEnd w:id="521"/>
      <w:bookmarkEnd w:id="522"/>
      <w:bookmarkEnd w:id="523"/>
      <w:bookmarkEnd w:id="524"/>
      <w:bookmarkEnd w:id="525"/>
      <w:bookmarkEnd w:id="526"/>
      <w:bookmarkEnd w:id="527"/>
    </w:p>
    <w:p>
      <w:pPr>
        <w:spacing w:line="360" w:lineRule="auto"/>
        <w:ind w:firstLine="480" w:firstLineChars="200"/>
        <w:rPr>
          <w:sz w:val="24"/>
        </w:rPr>
      </w:pPr>
      <w:r>
        <w:rPr>
          <w:color w:val="FF0000"/>
          <w:sz w:val="24"/>
        </w:rPr>
        <w:t>事故发生后，环境应急事件应急监测工作由</w:t>
      </w:r>
      <w:r>
        <w:rPr>
          <w:rFonts w:hint="eastAsia"/>
          <w:color w:val="FF0000"/>
          <w:sz w:val="24"/>
        </w:rPr>
        <w:t>第三方监测公司</w:t>
      </w:r>
      <w:r>
        <w:rPr>
          <w:color w:val="FF0000"/>
          <w:sz w:val="24"/>
        </w:rPr>
        <w:t>配合。</w:t>
      </w:r>
      <w:r>
        <w:rPr>
          <w:sz w:val="24"/>
        </w:rPr>
        <w:t>对填埋场下游地下水监测井进行全天候的水质监控。</w:t>
      </w:r>
    </w:p>
    <w:p>
      <w:pPr>
        <w:pStyle w:val="4"/>
        <w:spacing w:before="120" w:after="120"/>
        <w:rPr>
          <w:szCs w:val="28"/>
        </w:rPr>
      </w:pPr>
      <w:bookmarkStart w:id="528" w:name="_Toc381444410"/>
      <w:bookmarkStart w:id="529" w:name="_Toc489433129"/>
      <w:bookmarkStart w:id="530" w:name="_Toc387050182"/>
      <w:bookmarkStart w:id="531" w:name="_Toc381522713"/>
      <w:bookmarkStart w:id="532" w:name="_Toc434572571"/>
      <w:bookmarkStart w:id="533" w:name="_Toc143930913"/>
      <w:bookmarkStart w:id="534" w:name="_Toc143762377"/>
      <w:r>
        <w:rPr>
          <w:szCs w:val="28"/>
        </w:rPr>
        <w:t>7.6.6</w:t>
      </w:r>
      <w:bookmarkEnd w:id="528"/>
      <w:bookmarkEnd w:id="529"/>
      <w:bookmarkEnd w:id="530"/>
      <w:bookmarkEnd w:id="531"/>
      <w:bookmarkEnd w:id="532"/>
      <w:bookmarkEnd w:id="533"/>
      <w:r>
        <w:rPr>
          <w:rFonts w:hint="eastAsia"/>
          <w:szCs w:val="28"/>
        </w:rPr>
        <w:t>应急预案的培训和演练</w:t>
      </w:r>
      <w:bookmarkEnd w:id="534"/>
    </w:p>
    <w:p>
      <w:pPr>
        <w:adjustRightInd w:val="0"/>
        <w:snapToGrid w:val="0"/>
        <w:spacing w:line="360" w:lineRule="auto"/>
        <w:ind w:firstLine="480" w:firstLineChars="200"/>
        <w:rPr>
          <w:sz w:val="24"/>
        </w:rPr>
      </w:pPr>
      <w:bookmarkStart w:id="535" w:name="_Toc434572572"/>
      <w:bookmarkStart w:id="536" w:name="_Toc354851582"/>
      <w:bookmarkStart w:id="537" w:name="_Toc354851452"/>
      <w:bookmarkStart w:id="538" w:name="_Toc489433130"/>
      <w:r>
        <w:rPr>
          <w:rFonts w:hint="eastAsia"/>
          <w:sz w:val="24"/>
        </w:rPr>
        <w:t>（</w:t>
      </w:r>
      <w:r>
        <w:rPr>
          <w:sz w:val="24"/>
        </w:rPr>
        <w:t>1</w:t>
      </w:r>
      <w:r>
        <w:rPr>
          <w:rFonts w:hint="eastAsia"/>
          <w:sz w:val="24"/>
        </w:rPr>
        <w:t>）预案培训：本单位人员定期进行应急救援培训；培训主要包括：异常情况的判断和处理、应急处理措施、事故状态下逃生及自救知识、应急响应工作程序等。</w:t>
      </w:r>
    </w:p>
    <w:p>
      <w:pPr>
        <w:adjustRightInd w:val="0"/>
        <w:snapToGrid w:val="0"/>
        <w:spacing w:line="360" w:lineRule="auto"/>
        <w:ind w:firstLine="480" w:firstLineChars="200"/>
        <w:rPr>
          <w:sz w:val="24"/>
        </w:rPr>
      </w:pPr>
      <w:r>
        <w:rPr>
          <w:rFonts w:hint="eastAsia"/>
          <w:sz w:val="24"/>
        </w:rPr>
        <w:t>（</w:t>
      </w:r>
      <w:r>
        <w:rPr>
          <w:sz w:val="24"/>
        </w:rPr>
        <w:t>2</w:t>
      </w:r>
      <w:r>
        <w:rPr>
          <w:rFonts w:hint="eastAsia"/>
          <w:sz w:val="24"/>
        </w:rPr>
        <w:t>）预案演练：每半年进行一次应急演练；每次应急演练后，要组织对演练情况进行总结和分析，并依据实际情况修改、完善应急预案；由于联络人员和预案内容可能随时发生替更，所以联络人员及预案修改后要加强双方的信息交流，建立联络制度，及时互相通知人员和预案变更情况。</w:t>
      </w:r>
    </w:p>
    <w:p>
      <w:pPr>
        <w:adjustRightInd w:val="0"/>
        <w:snapToGrid w:val="0"/>
        <w:spacing w:line="360" w:lineRule="auto"/>
        <w:ind w:firstLine="480" w:firstLineChars="200"/>
        <w:rPr>
          <w:sz w:val="24"/>
        </w:rPr>
      </w:pPr>
      <w:r>
        <w:rPr>
          <w:rFonts w:hint="eastAsia"/>
          <w:sz w:val="24"/>
        </w:rPr>
        <w:t>应急预案系统由建设单位负责组织实施，应急预案主要应包括以下内容：</w:t>
      </w:r>
    </w:p>
    <w:p>
      <w:pPr>
        <w:pStyle w:val="939"/>
        <w:adjustRightInd w:val="0"/>
        <w:snapToGrid w:val="0"/>
        <w:spacing w:line="240" w:lineRule="auto"/>
        <w:ind w:firstLine="482"/>
        <w:jc w:val="center"/>
        <w:rPr>
          <w:b/>
          <w:kern w:val="0"/>
        </w:rPr>
      </w:pPr>
      <w:r>
        <w:rPr>
          <w:rFonts w:hint="eastAsia"/>
          <w:b/>
        </w:rPr>
        <w:t>表</w:t>
      </w:r>
      <w:r>
        <w:rPr>
          <w:b/>
        </w:rPr>
        <w:t>7.6-1</w:t>
      </w:r>
      <w:r>
        <w:rPr>
          <w:b/>
        </w:rPr>
        <w:tab/>
      </w:r>
      <w:r>
        <w:rPr>
          <w:rFonts w:hint="eastAsia"/>
          <w:b/>
        </w:rPr>
        <w:t>风险应急预案主要应包括的内容</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618"/>
        <w:gridCol w:w="2618"/>
        <w:gridCol w:w="5100"/>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46" w:hRule="atLeast"/>
        </w:trPr>
        <w:tc>
          <w:tcPr>
            <w:tcW w:w="352" w:type="pct"/>
            <w:vAlign w:val="center"/>
          </w:tcPr>
          <w:p>
            <w:pPr>
              <w:pStyle w:val="2238"/>
              <w:adjustRightInd w:val="0"/>
              <w:snapToGrid w:val="0"/>
              <w:ind w:left="136" w:right="249"/>
              <w:jc w:val="both"/>
              <w:rPr>
                <w:sz w:val="21"/>
                <w:szCs w:val="21"/>
              </w:rPr>
            </w:pPr>
            <w:r>
              <w:rPr>
                <w:rFonts w:hint="eastAsia"/>
                <w:sz w:val="21"/>
                <w:szCs w:val="21"/>
              </w:rPr>
              <w:t>序号</w:t>
            </w:r>
          </w:p>
        </w:tc>
        <w:tc>
          <w:tcPr>
            <w:tcW w:w="1580" w:type="pct"/>
            <w:vAlign w:val="center"/>
          </w:tcPr>
          <w:p>
            <w:pPr>
              <w:pStyle w:val="2238"/>
              <w:adjustRightInd w:val="0"/>
              <w:snapToGrid w:val="0"/>
              <w:ind w:left="115"/>
              <w:jc w:val="both"/>
              <w:rPr>
                <w:sz w:val="21"/>
                <w:szCs w:val="21"/>
              </w:rPr>
            </w:pPr>
            <w:r>
              <w:rPr>
                <w:rFonts w:hint="eastAsia"/>
                <w:sz w:val="21"/>
                <w:szCs w:val="21"/>
              </w:rPr>
              <w:t>项目</w:t>
            </w:r>
          </w:p>
        </w:tc>
        <w:tc>
          <w:tcPr>
            <w:tcW w:w="3068" w:type="pct"/>
            <w:vAlign w:val="center"/>
          </w:tcPr>
          <w:p>
            <w:pPr>
              <w:pStyle w:val="2238"/>
              <w:adjustRightInd w:val="0"/>
              <w:snapToGrid w:val="0"/>
              <w:ind w:left="112"/>
              <w:jc w:val="both"/>
              <w:rPr>
                <w:sz w:val="21"/>
                <w:szCs w:val="21"/>
              </w:rPr>
            </w:pPr>
            <w:r>
              <w:rPr>
                <w:rFonts w:hint="eastAsia"/>
                <w:sz w:val="21"/>
                <w:szCs w:val="21"/>
              </w:rPr>
              <w:t>内容及要求</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24" w:hRule="atLeast"/>
        </w:trPr>
        <w:tc>
          <w:tcPr>
            <w:tcW w:w="352" w:type="pct"/>
            <w:vAlign w:val="center"/>
          </w:tcPr>
          <w:p>
            <w:pPr>
              <w:pStyle w:val="2238"/>
              <w:adjustRightInd w:val="0"/>
              <w:snapToGrid w:val="0"/>
              <w:ind w:left="136"/>
              <w:jc w:val="both"/>
              <w:rPr>
                <w:rFonts w:ascii="Times New Roman"/>
                <w:sz w:val="21"/>
                <w:szCs w:val="21"/>
              </w:rPr>
            </w:pPr>
            <w:r>
              <w:rPr>
                <w:sz w:val="21"/>
                <w:szCs w:val="21"/>
              </w:rPr>
              <w:t>1</w:t>
            </w:r>
          </w:p>
        </w:tc>
        <w:tc>
          <w:tcPr>
            <w:tcW w:w="1580" w:type="pct"/>
            <w:vAlign w:val="center"/>
          </w:tcPr>
          <w:p>
            <w:pPr>
              <w:pStyle w:val="2238"/>
              <w:adjustRightInd w:val="0"/>
              <w:snapToGrid w:val="0"/>
              <w:ind w:left="115"/>
              <w:jc w:val="both"/>
              <w:rPr>
                <w:sz w:val="21"/>
                <w:szCs w:val="21"/>
              </w:rPr>
            </w:pPr>
            <w:r>
              <w:rPr>
                <w:rFonts w:hint="eastAsia"/>
                <w:sz w:val="21"/>
                <w:szCs w:val="21"/>
              </w:rPr>
              <w:t>应急计划区</w:t>
            </w:r>
          </w:p>
        </w:tc>
        <w:tc>
          <w:tcPr>
            <w:tcW w:w="3068" w:type="pct"/>
            <w:vAlign w:val="center"/>
          </w:tcPr>
          <w:p>
            <w:pPr>
              <w:pStyle w:val="2238"/>
              <w:adjustRightInd w:val="0"/>
              <w:snapToGrid w:val="0"/>
              <w:ind w:left="112"/>
              <w:jc w:val="both"/>
              <w:rPr>
                <w:sz w:val="21"/>
                <w:szCs w:val="21"/>
              </w:rPr>
            </w:pPr>
            <w:r>
              <w:rPr>
                <w:rFonts w:hint="eastAsia"/>
                <w:sz w:val="21"/>
                <w:szCs w:val="21"/>
              </w:rPr>
              <w:t>危险目标：填埋场区上游及两侧山体、填埋库区</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24" w:hRule="atLeast"/>
        </w:trPr>
        <w:tc>
          <w:tcPr>
            <w:tcW w:w="352" w:type="pct"/>
            <w:vAlign w:val="center"/>
          </w:tcPr>
          <w:p>
            <w:pPr>
              <w:pStyle w:val="2238"/>
              <w:adjustRightInd w:val="0"/>
              <w:snapToGrid w:val="0"/>
              <w:ind w:left="136"/>
              <w:jc w:val="both"/>
              <w:rPr>
                <w:rFonts w:ascii="Times New Roman"/>
                <w:sz w:val="21"/>
                <w:szCs w:val="21"/>
              </w:rPr>
            </w:pPr>
            <w:r>
              <w:rPr>
                <w:sz w:val="21"/>
                <w:szCs w:val="21"/>
              </w:rPr>
              <w:t>2</w:t>
            </w:r>
          </w:p>
        </w:tc>
        <w:tc>
          <w:tcPr>
            <w:tcW w:w="1580" w:type="pct"/>
            <w:vAlign w:val="center"/>
          </w:tcPr>
          <w:p>
            <w:pPr>
              <w:pStyle w:val="2238"/>
              <w:adjustRightInd w:val="0"/>
              <w:snapToGrid w:val="0"/>
              <w:ind w:left="115"/>
              <w:jc w:val="both"/>
              <w:rPr>
                <w:sz w:val="21"/>
                <w:szCs w:val="21"/>
              </w:rPr>
            </w:pPr>
            <w:r>
              <w:rPr>
                <w:rFonts w:hint="eastAsia"/>
                <w:sz w:val="21"/>
                <w:szCs w:val="21"/>
              </w:rPr>
              <w:t>应急组织机构、人员</w:t>
            </w:r>
          </w:p>
        </w:tc>
        <w:tc>
          <w:tcPr>
            <w:tcW w:w="3068" w:type="pct"/>
            <w:vAlign w:val="center"/>
          </w:tcPr>
          <w:p>
            <w:pPr>
              <w:pStyle w:val="2238"/>
              <w:adjustRightInd w:val="0"/>
              <w:snapToGrid w:val="0"/>
              <w:ind w:left="112"/>
              <w:jc w:val="both"/>
              <w:rPr>
                <w:sz w:val="21"/>
                <w:szCs w:val="21"/>
              </w:rPr>
            </w:pPr>
            <w:r>
              <w:rPr>
                <w:rFonts w:hint="eastAsia"/>
                <w:sz w:val="21"/>
                <w:szCs w:val="21"/>
              </w:rPr>
              <w:t>应急组织机构、人员</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26" w:hRule="atLeast"/>
        </w:trPr>
        <w:tc>
          <w:tcPr>
            <w:tcW w:w="352" w:type="pct"/>
            <w:vAlign w:val="center"/>
          </w:tcPr>
          <w:p>
            <w:pPr>
              <w:pStyle w:val="2238"/>
              <w:adjustRightInd w:val="0"/>
              <w:snapToGrid w:val="0"/>
              <w:ind w:left="136"/>
              <w:jc w:val="both"/>
              <w:rPr>
                <w:rFonts w:ascii="Times New Roman"/>
                <w:sz w:val="21"/>
                <w:szCs w:val="21"/>
              </w:rPr>
            </w:pPr>
            <w:r>
              <w:rPr>
                <w:sz w:val="21"/>
                <w:szCs w:val="21"/>
              </w:rPr>
              <w:t>3</w:t>
            </w:r>
          </w:p>
        </w:tc>
        <w:tc>
          <w:tcPr>
            <w:tcW w:w="1580" w:type="pct"/>
            <w:vAlign w:val="center"/>
          </w:tcPr>
          <w:p>
            <w:pPr>
              <w:pStyle w:val="2238"/>
              <w:adjustRightInd w:val="0"/>
              <w:snapToGrid w:val="0"/>
              <w:ind w:left="115"/>
              <w:jc w:val="both"/>
              <w:rPr>
                <w:sz w:val="21"/>
                <w:szCs w:val="21"/>
              </w:rPr>
            </w:pPr>
            <w:r>
              <w:rPr>
                <w:rFonts w:hint="eastAsia"/>
                <w:sz w:val="21"/>
                <w:szCs w:val="21"/>
              </w:rPr>
              <w:t>预案分级响应条件</w:t>
            </w:r>
          </w:p>
        </w:tc>
        <w:tc>
          <w:tcPr>
            <w:tcW w:w="3068" w:type="pct"/>
            <w:vAlign w:val="center"/>
          </w:tcPr>
          <w:p>
            <w:pPr>
              <w:pStyle w:val="2238"/>
              <w:adjustRightInd w:val="0"/>
              <w:snapToGrid w:val="0"/>
              <w:ind w:left="112"/>
              <w:jc w:val="both"/>
              <w:rPr>
                <w:sz w:val="21"/>
                <w:szCs w:val="21"/>
              </w:rPr>
            </w:pPr>
            <w:r>
              <w:rPr>
                <w:rFonts w:hint="eastAsia"/>
                <w:sz w:val="21"/>
                <w:szCs w:val="21"/>
              </w:rPr>
              <w:t>规定预案的级别及分级相应程序</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24" w:hRule="atLeast"/>
        </w:trPr>
        <w:tc>
          <w:tcPr>
            <w:tcW w:w="352" w:type="pct"/>
            <w:vAlign w:val="center"/>
          </w:tcPr>
          <w:p>
            <w:pPr>
              <w:pStyle w:val="2238"/>
              <w:adjustRightInd w:val="0"/>
              <w:snapToGrid w:val="0"/>
              <w:ind w:left="136"/>
              <w:jc w:val="both"/>
              <w:rPr>
                <w:rFonts w:ascii="Times New Roman"/>
                <w:sz w:val="21"/>
                <w:szCs w:val="21"/>
              </w:rPr>
            </w:pPr>
            <w:r>
              <w:rPr>
                <w:sz w:val="21"/>
                <w:szCs w:val="21"/>
              </w:rPr>
              <w:t>4</w:t>
            </w:r>
          </w:p>
        </w:tc>
        <w:tc>
          <w:tcPr>
            <w:tcW w:w="1580" w:type="pct"/>
            <w:vAlign w:val="center"/>
          </w:tcPr>
          <w:p>
            <w:pPr>
              <w:pStyle w:val="2238"/>
              <w:adjustRightInd w:val="0"/>
              <w:snapToGrid w:val="0"/>
              <w:ind w:left="115"/>
              <w:jc w:val="both"/>
              <w:rPr>
                <w:sz w:val="21"/>
                <w:szCs w:val="21"/>
              </w:rPr>
            </w:pPr>
            <w:r>
              <w:rPr>
                <w:rFonts w:hint="eastAsia"/>
                <w:sz w:val="21"/>
                <w:szCs w:val="21"/>
              </w:rPr>
              <w:t>应急救援保障</w:t>
            </w:r>
          </w:p>
        </w:tc>
        <w:tc>
          <w:tcPr>
            <w:tcW w:w="3068" w:type="pct"/>
            <w:vAlign w:val="center"/>
          </w:tcPr>
          <w:p>
            <w:pPr>
              <w:pStyle w:val="2238"/>
              <w:adjustRightInd w:val="0"/>
              <w:snapToGrid w:val="0"/>
              <w:ind w:left="112"/>
              <w:jc w:val="both"/>
              <w:rPr>
                <w:sz w:val="21"/>
                <w:szCs w:val="21"/>
              </w:rPr>
            </w:pPr>
            <w:r>
              <w:rPr>
                <w:rFonts w:hint="eastAsia"/>
                <w:sz w:val="21"/>
                <w:szCs w:val="21"/>
              </w:rPr>
              <w:t>应急设施、设备与器材等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44" w:hRule="atLeast"/>
        </w:trPr>
        <w:tc>
          <w:tcPr>
            <w:tcW w:w="352" w:type="pct"/>
            <w:vAlign w:val="center"/>
          </w:tcPr>
          <w:p>
            <w:pPr>
              <w:pStyle w:val="2238"/>
              <w:adjustRightInd w:val="0"/>
              <w:snapToGrid w:val="0"/>
              <w:ind w:left="136"/>
              <w:jc w:val="both"/>
              <w:rPr>
                <w:rFonts w:ascii="Times New Roman"/>
                <w:sz w:val="21"/>
                <w:szCs w:val="21"/>
              </w:rPr>
            </w:pPr>
            <w:r>
              <w:rPr>
                <w:sz w:val="21"/>
                <w:szCs w:val="21"/>
              </w:rPr>
              <w:t>5</w:t>
            </w:r>
          </w:p>
        </w:tc>
        <w:tc>
          <w:tcPr>
            <w:tcW w:w="1580" w:type="pct"/>
            <w:vAlign w:val="center"/>
          </w:tcPr>
          <w:p>
            <w:pPr>
              <w:pStyle w:val="2238"/>
              <w:adjustRightInd w:val="0"/>
              <w:snapToGrid w:val="0"/>
              <w:ind w:left="115"/>
              <w:jc w:val="both"/>
              <w:rPr>
                <w:sz w:val="21"/>
                <w:szCs w:val="21"/>
              </w:rPr>
            </w:pPr>
            <w:r>
              <w:rPr>
                <w:rFonts w:hint="eastAsia"/>
                <w:sz w:val="21"/>
                <w:szCs w:val="21"/>
              </w:rPr>
              <w:t>报警、通讯联络方式</w:t>
            </w:r>
          </w:p>
        </w:tc>
        <w:tc>
          <w:tcPr>
            <w:tcW w:w="3068" w:type="pct"/>
            <w:vAlign w:val="center"/>
          </w:tcPr>
          <w:p>
            <w:pPr>
              <w:pStyle w:val="2238"/>
              <w:adjustRightInd w:val="0"/>
              <w:snapToGrid w:val="0"/>
              <w:ind w:left="112" w:right="-29"/>
              <w:jc w:val="both"/>
              <w:rPr>
                <w:sz w:val="21"/>
                <w:szCs w:val="21"/>
              </w:rPr>
            </w:pPr>
            <w:r>
              <w:rPr>
                <w:rFonts w:hint="eastAsia"/>
                <w:spacing w:val="-8"/>
                <w:sz w:val="21"/>
                <w:szCs w:val="21"/>
              </w:rPr>
              <w:t>规定应急状态下的报警通讯方式，通知方式和交通保障、</w:t>
            </w:r>
          </w:p>
          <w:p>
            <w:pPr>
              <w:pStyle w:val="2238"/>
              <w:adjustRightInd w:val="0"/>
              <w:snapToGrid w:val="0"/>
              <w:ind w:left="112"/>
              <w:jc w:val="both"/>
              <w:rPr>
                <w:sz w:val="21"/>
                <w:szCs w:val="21"/>
              </w:rPr>
            </w:pPr>
            <w:r>
              <w:rPr>
                <w:rFonts w:hint="eastAsia"/>
                <w:sz w:val="21"/>
                <w:szCs w:val="21"/>
              </w:rPr>
              <w:t>管制</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46" w:hRule="atLeast"/>
        </w:trPr>
        <w:tc>
          <w:tcPr>
            <w:tcW w:w="352" w:type="pct"/>
            <w:vAlign w:val="center"/>
          </w:tcPr>
          <w:p>
            <w:pPr>
              <w:pStyle w:val="2238"/>
              <w:adjustRightInd w:val="0"/>
              <w:snapToGrid w:val="0"/>
              <w:ind w:left="136"/>
              <w:jc w:val="both"/>
              <w:rPr>
                <w:rFonts w:ascii="Times New Roman"/>
                <w:sz w:val="21"/>
                <w:szCs w:val="21"/>
              </w:rPr>
            </w:pPr>
            <w:r>
              <w:rPr>
                <w:sz w:val="21"/>
                <w:szCs w:val="21"/>
              </w:rPr>
              <w:t>6</w:t>
            </w:r>
          </w:p>
        </w:tc>
        <w:tc>
          <w:tcPr>
            <w:tcW w:w="1580" w:type="pct"/>
            <w:vAlign w:val="center"/>
          </w:tcPr>
          <w:p>
            <w:pPr>
              <w:pStyle w:val="2238"/>
              <w:adjustRightInd w:val="0"/>
              <w:snapToGrid w:val="0"/>
              <w:ind w:left="115" w:right="40"/>
              <w:jc w:val="both"/>
              <w:rPr>
                <w:sz w:val="21"/>
                <w:szCs w:val="21"/>
              </w:rPr>
            </w:pPr>
            <w:r>
              <w:rPr>
                <w:rFonts w:hint="eastAsia"/>
                <w:sz w:val="21"/>
                <w:szCs w:val="21"/>
              </w:rPr>
              <w:t>应急环境监测、抢险、救援及控制措施</w:t>
            </w:r>
          </w:p>
        </w:tc>
        <w:tc>
          <w:tcPr>
            <w:tcW w:w="3068" w:type="pct"/>
            <w:vAlign w:val="center"/>
          </w:tcPr>
          <w:p>
            <w:pPr>
              <w:pStyle w:val="2238"/>
              <w:adjustRightInd w:val="0"/>
              <w:snapToGrid w:val="0"/>
              <w:ind w:left="112" w:right="-29"/>
              <w:jc w:val="both"/>
              <w:rPr>
                <w:sz w:val="21"/>
                <w:szCs w:val="21"/>
              </w:rPr>
            </w:pPr>
            <w:r>
              <w:rPr>
                <w:rFonts w:hint="eastAsia"/>
                <w:spacing w:val="-7"/>
                <w:sz w:val="21"/>
                <w:szCs w:val="21"/>
              </w:rPr>
              <w:t>由专业队伍负责对事故现场进行侦查监测，对事故性质、</w:t>
            </w:r>
            <w:r>
              <w:rPr>
                <w:rFonts w:hint="eastAsia"/>
                <w:spacing w:val="-5"/>
                <w:sz w:val="21"/>
                <w:szCs w:val="21"/>
              </w:rPr>
              <w:t>参数与后果进行评估，为指挥部门提供决策依据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44" w:hRule="atLeast"/>
        </w:trPr>
        <w:tc>
          <w:tcPr>
            <w:tcW w:w="352" w:type="pct"/>
            <w:vAlign w:val="center"/>
          </w:tcPr>
          <w:p>
            <w:pPr>
              <w:pStyle w:val="2238"/>
              <w:adjustRightInd w:val="0"/>
              <w:snapToGrid w:val="0"/>
              <w:ind w:left="136"/>
              <w:jc w:val="both"/>
              <w:rPr>
                <w:rFonts w:ascii="Times New Roman"/>
                <w:sz w:val="21"/>
                <w:szCs w:val="21"/>
              </w:rPr>
            </w:pPr>
            <w:r>
              <w:rPr>
                <w:sz w:val="21"/>
                <w:szCs w:val="21"/>
              </w:rPr>
              <w:t>7</w:t>
            </w:r>
          </w:p>
        </w:tc>
        <w:tc>
          <w:tcPr>
            <w:tcW w:w="1580" w:type="pct"/>
            <w:vAlign w:val="center"/>
          </w:tcPr>
          <w:p>
            <w:pPr>
              <w:pStyle w:val="2238"/>
              <w:adjustRightInd w:val="0"/>
              <w:snapToGrid w:val="0"/>
              <w:ind w:left="115"/>
              <w:jc w:val="both"/>
              <w:rPr>
                <w:sz w:val="21"/>
                <w:szCs w:val="21"/>
              </w:rPr>
            </w:pPr>
            <w:r>
              <w:rPr>
                <w:rFonts w:hint="eastAsia"/>
                <w:sz w:val="21"/>
                <w:szCs w:val="21"/>
              </w:rPr>
              <w:t>应急检测、防护措施、清除</w:t>
            </w:r>
          </w:p>
          <w:p>
            <w:pPr>
              <w:pStyle w:val="2238"/>
              <w:adjustRightInd w:val="0"/>
              <w:snapToGrid w:val="0"/>
              <w:ind w:left="115"/>
              <w:jc w:val="both"/>
              <w:rPr>
                <w:sz w:val="21"/>
                <w:szCs w:val="21"/>
              </w:rPr>
            </w:pPr>
            <w:r>
              <w:rPr>
                <w:rFonts w:hint="eastAsia"/>
                <w:sz w:val="21"/>
                <w:szCs w:val="21"/>
              </w:rPr>
              <w:t>措施和器材</w:t>
            </w:r>
          </w:p>
        </w:tc>
        <w:tc>
          <w:tcPr>
            <w:tcW w:w="3068" w:type="pct"/>
            <w:vAlign w:val="center"/>
          </w:tcPr>
          <w:p>
            <w:pPr>
              <w:pStyle w:val="2238"/>
              <w:adjustRightInd w:val="0"/>
              <w:snapToGrid w:val="0"/>
              <w:ind w:left="112"/>
              <w:jc w:val="both"/>
              <w:rPr>
                <w:sz w:val="21"/>
                <w:szCs w:val="21"/>
              </w:rPr>
            </w:pPr>
            <w:r>
              <w:rPr>
                <w:rFonts w:hint="eastAsia"/>
                <w:sz w:val="21"/>
                <w:szCs w:val="21"/>
              </w:rPr>
              <w:t>事故现场、邻近区域、控制防火区域、控制和清除污染</w:t>
            </w:r>
          </w:p>
          <w:p>
            <w:pPr>
              <w:pStyle w:val="2238"/>
              <w:adjustRightInd w:val="0"/>
              <w:snapToGrid w:val="0"/>
              <w:ind w:left="112"/>
              <w:jc w:val="both"/>
              <w:rPr>
                <w:sz w:val="21"/>
                <w:szCs w:val="21"/>
              </w:rPr>
            </w:pPr>
            <w:r>
              <w:rPr>
                <w:rFonts w:hint="eastAsia"/>
                <w:sz w:val="21"/>
                <w:szCs w:val="21"/>
              </w:rPr>
              <w:t>措施及相应设备</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44" w:hRule="atLeast"/>
        </w:trPr>
        <w:tc>
          <w:tcPr>
            <w:tcW w:w="352" w:type="pct"/>
            <w:vAlign w:val="center"/>
          </w:tcPr>
          <w:p>
            <w:pPr>
              <w:pStyle w:val="2238"/>
              <w:adjustRightInd w:val="0"/>
              <w:snapToGrid w:val="0"/>
              <w:ind w:left="136"/>
              <w:jc w:val="both"/>
              <w:rPr>
                <w:rFonts w:ascii="Times New Roman"/>
                <w:sz w:val="21"/>
                <w:szCs w:val="21"/>
              </w:rPr>
            </w:pPr>
            <w:r>
              <w:rPr>
                <w:sz w:val="21"/>
                <w:szCs w:val="21"/>
              </w:rPr>
              <w:t>8</w:t>
            </w:r>
          </w:p>
        </w:tc>
        <w:tc>
          <w:tcPr>
            <w:tcW w:w="1580" w:type="pct"/>
            <w:vAlign w:val="center"/>
          </w:tcPr>
          <w:p>
            <w:pPr>
              <w:pStyle w:val="2238"/>
              <w:adjustRightInd w:val="0"/>
              <w:snapToGrid w:val="0"/>
              <w:ind w:left="115"/>
              <w:jc w:val="both"/>
              <w:rPr>
                <w:sz w:val="21"/>
                <w:szCs w:val="21"/>
              </w:rPr>
            </w:pPr>
            <w:r>
              <w:rPr>
                <w:rFonts w:hint="eastAsia"/>
                <w:sz w:val="21"/>
                <w:szCs w:val="21"/>
              </w:rPr>
              <w:t>人员紧急撤离、疏散、撤离</w:t>
            </w:r>
          </w:p>
          <w:p>
            <w:pPr>
              <w:pStyle w:val="2238"/>
              <w:adjustRightInd w:val="0"/>
              <w:snapToGrid w:val="0"/>
              <w:ind w:left="115"/>
              <w:jc w:val="both"/>
              <w:rPr>
                <w:sz w:val="21"/>
                <w:szCs w:val="21"/>
              </w:rPr>
            </w:pPr>
            <w:r>
              <w:rPr>
                <w:rFonts w:hint="eastAsia"/>
                <w:sz w:val="21"/>
                <w:szCs w:val="21"/>
              </w:rPr>
              <w:t>组织计划</w:t>
            </w:r>
          </w:p>
        </w:tc>
        <w:tc>
          <w:tcPr>
            <w:tcW w:w="3068" w:type="pct"/>
            <w:vAlign w:val="center"/>
          </w:tcPr>
          <w:p>
            <w:pPr>
              <w:pStyle w:val="2238"/>
              <w:adjustRightInd w:val="0"/>
              <w:snapToGrid w:val="0"/>
              <w:ind w:left="112"/>
              <w:jc w:val="both"/>
              <w:rPr>
                <w:sz w:val="21"/>
                <w:szCs w:val="21"/>
              </w:rPr>
            </w:pPr>
            <w:r>
              <w:rPr>
                <w:rFonts w:hint="eastAsia"/>
                <w:sz w:val="21"/>
                <w:szCs w:val="21"/>
              </w:rPr>
              <w:t>撤离组织计划及救护，医疗救护与公众健康</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44" w:hRule="atLeast"/>
        </w:trPr>
        <w:tc>
          <w:tcPr>
            <w:tcW w:w="352" w:type="pct"/>
            <w:vAlign w:val="center"/>
          </w:tcPr>
          <w:p>
            <w:pPr>
              <w:pStyle w:val="2238"/>
              <w:adjustRightInd w:val="0"/>
              <w:snapToGrid w:val="0"/>
              <w:ind w:left="136"/>
              <w:jc w:val="both"/>
              <w:rPr>
                <w:rFonts w:ascii="Times New Roman"/>
                <w:sz w:val="21"/>
                <w:szCs w:val="21"/>
              </w:rPr>
            </w:pPr>
            <w:r>
              <w:rPr>
                <w:sz w:val="21"/>
                <w:szCs w:val="21"/>
              </w:rPr>
              <w:t>9</w:t>
            </w:r>
          </w:p>
        </w:tc>
        <w:tc>
          <w:tcPr>
            <w:tcW w:w="1580" w:type="pct"/>
            <w:vAlign w:val="center"/>
          </w:tcPr>
          <w:p>
            <w:pPr>
              <w:pStyle w:val="2238"/>
              <w:adjustRightInd w:val="0"/>
              <w:snapToGrid w:val="0"/>
              <w:ind w:left="115"/>
              <w:jc w:val="both"/>
              <w:rPr>
                <w:sz w:val="21"/>
                <w:szCs w:val="21"/>
              </w:rPr>
            </w:pPr>
            <w:r>
              <w:rPr>
                <w:rFonts w:hint="eastAsia"/>
                <w:sz w:val="21"/>
                <w:szCs w:val="21"/>
              </w:rPr>
              <w:t>事故应急救援关闭程序与</w:t>
            </w:r>
          </w:p>
          <w:p>
            <w:pPr>
              <w:pStyle w:val="2238"/>
              <w:adjustRightInd w:val="0"/>
              <w:snapToGrid w:val="0"/>
              <w:ind w:left="115"/>
              <w:jc w:val="both"/>
              <w:rPr>
                <w:sz w:val="21"/>
                <w:szCs w:val="21"/>
              </w:rPr>
            </w:pPr>
            <w:r>
              <w:rPr>
                <w:rFonts w:hint="eastAsia"/>
                <w:sz w:val="21"/>
                <w:szCs w:val="21"/>
              </w:rPr>
              <w:t>恢复措施</w:t>
            </w:r>
          </w:p>
        </w:tc>
        <w:tc>
          <w:tcPr>
            <w:tcW w:w="3068" w:type="pct"/>
            <w:vAlign w:val="center"/>
          </w:tcPr>
          <w:p>
            <w:pPr>
              <w:pStyle w:val="2238"/>
              <w:adjustRightInd w:val="0"/>
              <w:snapToGrid w:val="0"/>
              <w:ind w:left="112" w:right="-29"/>
              <w:jc w:val="both"/>
              <w:rPr>
                <w:sz w:val="21"/>
                <w:szCs w:val="21"/>
              </w:rPr>
            </w:pPr>
            <w:r>
              <w:rPr>
                <w:rFonts w:hint="eastAsia"/>
                <w:spacing w:val="-8"/>
                <w:sz w:val="21"/>
                <w:szCs w:val="21"/>
              </w:rPr>
              <w:t>规定应急状态终止程序；事故现场善后处理，恢复措施；</w:t>
            </w:r>
          </w:p>
          <w:p>
            <w:pPr>
              <w:pStyle w:val="2238"/>
              <w:adjustRightInd w:val="0"/>
              <w:snapToGrid w:val="0"/>
              <w:ind w:left="112"/>
              <w:jc w:val="both"/>
              <w:rPr>
                <w:sz w:val="21"/>
                <w:szCs w:val="21"/>
              </w:rPr>
            </w:pPr>
            <w:r>
              <w:rPr>
                <w:rFonts w:hint="eastAsia"/>
                <w:sz w:val="21"/>
                <w:szCs w:val="21"/>
              </w:rPr>
              <w:t>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24" w:hRule="atLeast"/>
        </w:trPr>
        <w:tc>
          <w:tcPr>
            <w:tcW w:w="352" w:type="pct"/>
            <w:vAlign w:val="center"/>
          </w:tcPr>
          <w:p>
            <w:pPr>
              <w:pStyle w:val="2238"/>
              <w:adjustRightInd w:val="0"/>
              <w:snapToGrid w:val="0"/>
              <w:ind w:left="136"/>
              <w:jc w:val="both"/>
              <w:rPr>
                <w:rFonts w:ascii="Times New Roman"/>
                <w:sz w:val="21"/>
                <w:szCs w:val="21"/>
              </w:rPr>
            </w:pPr>
            <w:r>
              <w:rPr>
                <w:sz w:val="21"/>
                <w:szCs w:val="21"/>
              </w:rPr>
              <w:t>10</w:t>
            </w:r>
          </w:p>
        </w:tc>
        <w:tc>
          <w:tcPr>
            <w:tcW w:w="1580" w:type="pct"/>
            <w:vAlign w:val="center"/>
          </w:tcPr>
          <w:p>
            <w:pPr>
              <w:pStyle w:val="2238"/>
              <w:adjustRightInd w:val="0"/>
              <w:snapToGrid w:val="0"/>
              <w:ind w:left="115"/>
              <w:jc w:val="both"/>
              <w:rPr>
                <w:sz w:val="21"/>
                <w:szCs w:val="21"/>
              </w:rPr>
            </w:pPr>
            <w:r>
              <w:rPr>
                <w:rFonts w:hint="eastAsia"/>
                <w:sz w:val="21"/>
                <w:szCs w:val="21"/>
              </w:rPr>
              <w:t>应急培训计划</w:t>
            </w:r>
          </w:p>
        </w:tc>
        <w:tc>
          <w:tcPr>
            <w:tcW w:w="3068" w:type="pct"/>
            <w:vAlign w:val="center"/>
          </w:tcPr>
          <w:p>
            <w:pPr>
              <w:pStyle w:val="2238"/>
              <w:adjustRightInd w:val="0"/>
              <w:snapToGrid w:val="0"/>
              <w:ind w:left="112"/>
              <w:jc w:val="both"/>
              <w:rPr>
                <w:sz w:val="21"/>
                <w:szCs w:val="21"/>
              </w:rPr>
            </w:pPr>
            <w:r>
              <w:rPr>
                <w:rFonts w:hint="eastAsia"/>
                <w:sz w:val="21"/>
                <w:szCs w:val="21"/>
              </w:rPr>
              <w:t>应急计划制定后，平时安排人员培训与演练</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26" w:hRule="atLeast"/>
        </w:trPr>
        <w:tc>
          <w:tcPr>
            <w:tcW w:w="352" w:type="pct"/>
            <w:vAlign w:val="center"/>
          </w:tcPr>
          <w:p>
            <w:pPr>
              <w:pStyle w:val="2238"/>
              <w:adjustRightInd w:val="0"/>
              <w:snapToGrid w:val="0"/>
              <w:ind w:left="136"/>
              <w:jc w:val="both"/>
              <w:rPr>
                <w:rFonts w:ascii="Times New Roman"/>
                <w:sz w:val="21"/>
                <w:szCs w:val="21"/>
              </w:rPr>
            </w:pPr>
            <w:r>
              <w:rPr>
                <w:sz w:val="21"/>
                <w:szCs w:val="21"/>
              </w:rPr>
              <w:t>11</w:t>
            </w:r>
          </w:p>
        </w:tc>
        <w:tc>
          <w:tcPr>
            <w:tcW w:w="1580" w:type="pct"/>
            <w:vAlign w:val="center"/>
          </w:tcPr>
          <w:p>
            <w:pPr>
              <w:pStyle w:val="2238"/>
              <w:adjustRightInd w:val="0"/>
              <w:snapToGrid w:val="0"/>
              <w:ind w:left="115"/>
              <w:jc w:val="both"/>
              <w:rPr>
                <w:sz w:val="21"/>
                <w:szCs w:val="21"/>
              </w:rPr>
            </w:pPr>
            <w:r>
              <w:rPr>
                <w:rFonts w:hint="eastAsia"/>
                <w:sz w:val="21"/>
                <w:szCs w:val="21"/>
              </w:rPr>
              <w:t>公众教育和信息</w:t>
            </w:r>
          </w:p>
        </w:tc>
        <w:tc>
          <w:tcPr>
            <w:tcW w:w="3068" w:type="pct"/>
            <w:vAlign w:val="center"/>
          </w:tcPr>
          <w:p>
            <w:pPr>
              <w:pStyle w:val="2238"/>
              <w:adjustRightInd w:val="0"/>
              <w:snapToGrid w:val="0"/>
              <w:ind w:left="112"/>
              <w:jc w:val="both"/>
              <w:rPr>
                <w:sz w:val="21"/>
                <w:szCs w:val="21"/>
              </w:rPr>
            </w:pPr>
            <w:r>
              <w:rPr>
                <w:rFonts w:hint="eastAsia"/>
                <w:sz w:val="21"/>
                <w:szCs w:val="21"/>
              </w:rPr>
              <w:t>对场地邻近地区开展公众教育、培训和发布有关信息</w:t>
            </w:r>
          </w:p>
        </w:tc>
      </w:tr>
    </w:tbl>
    <w:p>
      <w:pPr>
        <w:pStyle w:val="3"/>
        <w:keepNext w:val="0"/>
        <w:keepLines w:val="0"/>
        <w:spacing w:before="120" w:after="120"/>
        <w:rPr>
          <w:rFonts w:ascii="Times New Roman" w:hAnsi="Times New Roman" w:eastAsia="宋体"/>
        </w:rPr>
      </w:pPr>
      <w:bookmarkStart w:id="539" w:name="_Toc143762378"/>
      <w:r>
        <w:rPr>
          <w:rFonts w:ascii="Times New Roman" w:hAnsi="Times New Roman" w:eastAsia="宋体"/>
        </w:rPr>
        <w:t>7.7环境风险评价结论与建议</w:t>
      </w:r>
      <w:bookmarkEnd w:id="535"/>
      <w:bookmarkEnd w:id="536"/>
      <w:bookmarkEnd w:id="537"/>
      <w:bookmarkEnd w:id="538"/>
      <w:bookmarkEnd w:id="539"/>
    </w:p>
    <w:p>
      <w:pPr>
        <w:spacing w:line="360" w:lineRule="auto"/>
        <w:ind w:firstLine="480" w:firstLineChars="200"/>
        <w:rPr>
          <w:sz w:val="24"/>
        </w:rPr>
      </w:pPr>
      <w:r>
        <w:rPr>
          <w:sz w:val="24"/>
        </w:rPr>
        <w:t>根据项目所在区域工程地质、水文地质，以及工程设计实施方案综合分析，本评价认为，在工程按照规范建设，填埋作业按规范运行情况下，本项目填埋场的不会对该区域自然环境造成不利影响。</w:t>
      </w:r>
    </w:p>
    <w:p>
      <w:pPr>
        <w:spacing w:line="360" w:lineRule="auto"/>
        <w:ind w:firstLine="480" w:firstLineChars="200"/>
        <w:rPr>
          <w:sz w:val="24"/>
        </w:rPr>
      </w:pPr>
      <w:r>
        <w:rPr>
          <w:sz w:val="24"/>
        </w:rPr>
        <w:t>但在施工质量出现问题、防渗层受到破坏，以及遭遇极端强降雨、地震等自然灾害的情况下，本项目填埋场还是存在一定的环境风险。需要项目管理方从施工建设、运营管理等各方面做好环境风险防护工作。</w:t>
      </w:r>
    </w:p>
    <w:p>
      <w:pPr>
        <w:adjustRightInd w:val="0"/>
        <w:snapToGrid w:val="0"/>
        <w:spacing w:line="360" w:lineRule="auto"/>
        <w:ind w:firstLine="480" w:firstLineChars="200"/>
        <w:rPr>
          <w:sz w:val="24"/>
        </w:rPr>
      </w:pPr>
      <w:r>
        <w:rPr>
          <w:sz w:val="24"/>
        </w:rPr>
        <w:t>另外，针对本项目工程地质及水文地质特征，建议另行委托专业单位进行地质灾害评估工作和环境突发事件应急预案编制工作。</w:t>
      </w:r>
    </w:p>
    <w:p>
      <w:pPr>
        <w:pStyle w:val="939"/>
        <w:adjustRightInd w:val="0"/>
        <w:snapToGrid w:val="0"/>
        <w:spacing w:line="240" w:lineRule="auto"/>
        <w:ind w:firstLine="482"/>
        <w:jc w:val="center"/>
        <w:rPr>
          <w:b/>
        </w:rPr>
      </w:pPr>
      <w:r>
        <w:rPr>
          <w:rFonts w:hint="eastAsia"/>
          <w:b/>
        </w:rPr>
        <w:t>表</w:t>
      </w:r>
      <w:r>
        <w:rPr>
          <w:b/>
        </w:rPr>
        <w:t>7.7-1</w:t>
      </w:r>
      <w:r>
        <w:rPr>
          <w:rFonts w:hint="eastAsia"/>
          <w:b/>
        </w:rPr>
        <w:t xml:space="preserve"> 建设项目环境风险简单分析内容表</w:t>
      </w:r>
    </w:p>
    <w:tbl>
      <w:tblPr>
        <w:tblStyle w:val="87"/>
        <w:tblW w:w="4906" w:type="pct"/>
        <w:tblInd w:w="157"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1843"/>
        <w:gridCol w:w="1071"/>
        <w:gridCol w:w="1296"/>
        <w:gridCol w:w="1235"/>
        <w:gridCol w:w="1242"/>
        <w:gridCol w:w="1492"/>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1127" w:type="pct"/>
            <w:vAlign w:val="center"/>
          </w:tcPr>
          <w:p>
            <w:pPr>
              <w:autoSpaceDE w:val="0"/>
              <w:autoSpaceDN w:val="0"/>
              <w:adjustRightInd w:val="0"/>
              <w:snapToGrid w:val="0"/>
              <w:ind w:left="280" w:right="266"/>
              <w:jc w:val="center"/>
              <w:rPr>
                <w:rFonts w:ascii="宋体"/>
                <w:kern w:val="0"/>
                <w:sz w:val="18"/>
                <w:szCs w:val="18"/>
              </w:rPr>
            </w:pPr>
            <w:r>
              <w:rPr>
                <w:rFonts w:hint="eastAsia" w:ascii="宋体" w:hAnsi="宋体"/>
                <w:kern w:val="0"/>
                <w:sz w:val="18"/>
                <w:szCs w:val="18"/>
              </w:rPr>
              <w:t>建设项目名称</w:t>
            </w:r>
          </w:p>
        </w:tc>
        <w:tc>
          <w:tcPr>
            <w:tcW w:w="3873" w:type="pct"/>
            <w:gridSpan w:val="5"/>
            <w:vAlign w:val="center"/>
          </w:tcPr>
          <w:p>
            <w:pPr>
              <w:autoSpaceDE w:val="0"/>
              <w:autoSpaceDN w:val="0"/>
              <w:adjustRightInd w:val="0"/>
              <w:snapToGrid w:val="0"/>
              <w:jc w:val="center"/>
              <w:rPr>
                <w:kern w:val="0"/>
                <w:sz w:val="18"/>
                <w:szCs w:val="18"/>
              </w:rPr>
            </w:pPr>
            <w:r>
              <w:rPr>
                <w:rFonts w:hint="eastAsia"/>
                <w:sz w:val="18"/>
                <w:szCs w:val="18"/>
              </w:rPr>
              <w:t>五原县复兴镇生活垃圾无害化处理项目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87" w:hRule="atLeast"/>
        </w:trPr>
        <w:tc>
          <w:tcPr>
            <w:tcW w:w="1127" w:type="pct"/>
            <w:vAlign w:val="center"/>
          </w:tcPr>
          <w:p>
            <w:pPr>
              <w:autoSpaceDE w:val="0"/>
              <w:autoSpaceDN w:val="0"/>
              <w:adjustRightInd w:val="0"/>
              <w:snapToGrid w:val="0"/>
              <w:ind w:left="280" w:right="266"/>
              <w:jc w:val="center"/>
              <w:rPr>
                <w:rFonts w:ascii="宋体"/>
                <w:kern w:val="0"/>
                <w:sz w:val="18"/>
                <w:szCs w:val="18"/>
              </w:rPr>
            </w:pPr>
            <w:r>
              <w:rPr>
                <w:rFonts w:hint="eastAsia" w:ascii="宋体" w:hAnsi="宋体"/>
                <w:kern w:val="0"/>
                <w:sz w:val="18"/>
                <w:szCs w:val="18"/>
              </w:rPr>
              <w:t>建设地点</w:t>
            </w:r>
          </w:p>
        </w:tc>
        <w:tc>
          <w:tcPr>
            <w:tcW w:w="655" w:type="pct"/>
            <w:vAlign w:val="center"/>
          </w:tcPr>
          <w:p>
            <w:pPr>
              <w:autoSpaceDE w:val="0"/>
              <w:autoSpaceDN w:val="0"/>
              <w:adjustRightInd w:val="0"/>
              <w:snapToGrid w:val="0"/>
              <w:jc w:val="center"/>
              <w:rPr>
                <w:rFonts w:ascii="宋体"/>
                <w:kern w:val="0"/>
                <w:sz w:val="18"/>
                <w:szCs w:val="18"/>
              </w:rPr>
            </w:pPr>
            <w:r>
              <w:rPr>
                <w:rFonts w:hint="eastAsia" w:ascii="宋体" w:hAnsi="宋体"/>
                <w:kern w:val="0"/>
                <w:sz w:val="18"/>
                <w:szCs w:val="18"/>
              </w:rPr>
              <w:t>（内蒙古）省</w:t>
            </w:r>
          </w:p>
        </w:tc>
        <w:tc>
          <w:tcPr>
            <w:tcW w:w="792" w:type="pct"/>
            <w:vAlign w:val="center"/>
          </w:tcPr>
          <w:p>
            <w:pPr>
              <w:autoSpaceDE w:val="0"/>
              <w:autoSpaceDN w:val="0"/>
              <w:adjustRightInd w:val="0"/>
              <w:snapToGrid w:val="0"/>
              <w:jc w:val="center"/>
              <w:rPr>
                <w:rFonts w:ascii="宋体"/>
                <w:kern w:val="0"/>
                <w:sz w:val="18"/>
                <w:szCs w:val="18"/>
              </w:rPr>
            </w:pPr>
            <w:r>
              <w:rPr>
                <w:rFonts w:hint="eastAsia" w:ascii="宋体" w:hAnsi="宋体"/>
                <w:kern w:val="0"/>
                <w:sz w:val="18"/>
                <w:szCs w:val="18"/>
              </w:rPr>
              <w:t>（</w:t>
            </w:r>
            <w:r>
              <w:rPr>
                <w:rFonts w:hint="eastAsia" w:ascii="宋体"/>
                <w:kern w:val="0"/>
                <w:sz w:val="18"/>
                <w:szCs w:val="18"/>
              </w:rPr>
              <w:t>巴彦淖尔</w:t>
            </w:r>
            <w:r>
              <w:rPr>
                <w:rFonts w:hint="eastAsia" w:ascii="宋体" w:hAnsi="宋体"/>
                <w:kern w:val="0"/>
                <w:sz w:val="18"/>
                <w:szCs w:val="18"/>
              </w:rPr>
              <w:t>）市</w:t>
            </w:r>
          </w:p>
        </w:tc>
        <w:tc>
          <w:tcPr>
            <w:tcW w:w="755" w:type="pct"/>
            <w:vAlign w:val="center"/>
          </w:tcPr>
          <w:p>
            <w:pPr>
              <w:autoSpaceDE w:val="0"/>
              <w:autoSpaceDN w:val="0"/>
              <w:adjustRightInd w:val="0"/>
              <w:snapToGrid w:val="0"/>
              <w:jc w:val="center"/>
              <w:rPr>
                <w:rFonts w:ascii="宋体"/>
                <w:kern w:val="0"/>
                <w:sz w:val="18"/>
                <w:szCs w:val="18"/>
              </w:rPr>
            </w:pPr>
            <w:r>
              <w:rPr>
                <w:rFonts w:hint="eastAsia" w:ascii="宋体" w:hAnsi="宋体"/>
                <w:kern w:val="0"/>
                <w:sz w:val="18"/>
                <w:szCs w:val="18"/>
              </w:rPr>
              <w:t>（</w:t>
            </w:r>
            <w:r>
              <w:rPr>
                <w:rFonts w:hint="eastAsia" w:ascii="宋体"/>
                <w:kern w:val="0"/>
                <w:sz w:val="18"/>
                <w:szCs w:val="18"/>
              </w:rPr>
              <w:tab/>
            </w:r>
            <w:r>
              <w:rPr>
                <w:rFonts w:hint="eastAsia" w:ascii="宋体" w:hAnsi="宋体"/>
                <w:kern w:val="0"/>
                <w:sz w:val="18"/>
                <w:szCs w:val="18"/>
              </w:rPr>
              <w:t>）区</w:t>
            </w:r>
          </w:p>
        </w:tc>
        <w:tc>
          <w:tcPr>
            <w:tcW w:w="759" w:type="pct"/>
            <w:vAlign w:val="center"/>
          </w:tcPr>
          <w:p>
            <w:pPr>
              <w:autoSpaceDE w:val="0"/>
              <w:autoSpaceDN w:val="0"/>
              <w:adjustRightInd w:val="0"/>
              <w:snapToGrid w:val="0"/>
              <w:jc w:val="center"/>
              <w:rPr>
                <w:rFonts w:ascii="宋体"/>
                <w:kern w:val="0"/>
                <w:sz w:val="18"/>
                <w:szCs w:val="18"/>
              </w:rPr>
            </w:pPr>
            <w:r>
              <w:rPr>
                <w:rFonts w:hint="eastAsia" w:ascii="宋体" w:hAnsi="宋体"/>
                <w:kern w:val="0"/>
                <w:sz w:val="18"/>
                <w:szCs w:val="18"/>
              </w:rPr>
              <w:t>（五原）县</w:t>
            </w:r>
          </w:p>
        </w:tc>
        <w:tc>
          <w:tcPr>
            <w:tcW w:w="912" w:type="pct"/>
            <w:vAlign w:val="center"/>
          </w:tcPr>
          <w:p>
            <w:pPr>
              <w:autoSpaceDE w:val="0"/>
              <w:autoSpaceDN w:val="0"/>
              <w:adjustRightInd w:val="0"/>
              <w:snapToGrid w:val="0"/>
              <w:jc w:val="center"/>
              <w:rPr>
                <w:rFonts w:ascii="宋体"/>
                <w:kern w:val="0"/>
                <w:sz w:val="18"/>
                <w:szCs w:val="18"/>
              </w:rPr>
            </w:pPr>
            <w:r>
              <w:rPr>
                <w:rFonts w:hint="eastAsia" w:ascii="宋体" w:hAnsi="宋体"/>
                <w:kern w:val="0"/>
                <w:sz w:val="18"/>
                <w:szCs w:val="18"/>
              </w:rPr>
              <w:t>（</w:t>
            </w:r>
            <w:r>
              <w:rPr>
                <w:rFonts w:hint="eastAsia" w:ascii="宋体"/>
                <w:kern w:val="0"/>
                <w:sz w:val="18"/>
                <w:szCs w:val="18"/>
              </w:rPr>
              <w:tab/>
            </w:r>
            <w:r>
              <w:rPr>
                <w:rFonts w:hint="eastAsia" w:ascii="宋体" w:hAnsi="宋体"/>
                <w:kern w:val="0"/>
                <w:sz w:val="18"/>
                <w:szCs w:val="18"/>
              </w:rPr>
              <w:t>）园区</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53" w:hRule="atLeast"/>
        </w:trPr>
        <w:tc>
          <w:tcPr>
            <w:tcW w:w="1127" w:type="pct"/>
            <w:vAlign w:val="center"/>
          </w:tcPr>
          <w:p>
            <w:pPr>
              <w:autoSpaceDE w:val="0"/>
              <w:autoSpaceDN w:val="0"/>
              <w:adjustRightInd w:val="0"/>
              <w:snapToGrid w:val="0"/>
              <w:ind w:left="280" w:right="266"/>
              <w:jc w:val="center"/>
              <w:rPr>
                <w:rFonts w:ascii="宋体"/>
                <w:kern w:val="0"/>
                <w:sz w:val="18"/>
                <w:szCs w:val="18"/>
              </w:rPr>
            </w:pPr>
            <w:r>
              <w:rPr>
                <w:rFonts w:hint="eastAsia" w:ascii="宋体" w:hAnsi="宋体"/>
                <w:kern w:val="0"/>
                <w:sz w:val="18"/>
                <w:szCs w:val="18"/>
              </w:rPr>
              <w:t>地理坐标</w:t>
            </w:r>
          </w:p>
        </w:tc>
        <w:tc>
          <w:tcPr>
            <w:tcW w:w="655" w:type="pct"/>
            <w:vAlign w:val="center"/>
          </w:tcPr>
          <w:p>
            <w:pPr>
              <w:autoSpaceDE w:val="0"/>
              <w:autoSpaceDN w:val="0"/>
              <w:adjustRightInd w:val="0"/>
              <w:snapToGrid w:val="0"/>
              <w:ind w:left="19"/>
              <w:jc w:val="center"/>
              <w:rPr>
                <w:rFonts w:ascii="宋体"/>
                <w:kern w:val="0"/>
                <w:sz w:val="18"/>
                <w:szCs w:val="18"/>
              </w:rPr>
            </w:pPr>
            <w:r>
              <w:rPr>
                <w:rFonts w:hint="eastAsia" w:ascii="宋体" w:hAnsi="宋体"/>
                <w:kern w:val="0"/>
                <w:sz w:val="18"/>
                <w:szCs w:val="18"/>
              </w:rPr>
              <w:t>经度</w:t>
            </w:r>
          </w:p>
        </w:tc>
        <w:tc>
          <w:tcPr>
            <w:tcW w:w="792" w:type="pct"/>
            <w:vAlign w:val="center"/>
          </w:tcPr>
          <w:p>
            <w:pPr>
              <w:autoSpaceDE w:val="0"/>
              <w:autoSpaceDN w:val="0"/>
              <w:adjustRightInd w:val="0"/>
              <w:snapToGrid w:val="0"/>
              <w:jc w:val="center"/>
              <w:rPr>
                <w:kern w:val="0"/>
                <w:sz w:val="18"/>
                <w:szCs w:val="18"/>
              </w:rPr>
            </w:pPr>
            <w:r>
              <w:rPr>
                <w:sz w:val="18"/>
                <w:szCs w:val="18"/>
              </w:rPr>
              <w:t>107°54′58.97′′</w:t>
            </w:r>
          </w:p>
        </w:tc>
        <w:tc>
          <w:tcPr>
            <w:tcW w:w="755" w:type="pct"/>
            <w:vAlign w:val="center"/>
          </w:tcPr>
          <w:p>
            <w:pPr>
              <w:autoSpaceDE w:val="0"/>
              <w:autoSpaceDN w:val="0"/>
              <w:adjustRightInd w:val="0"/>
              <w:snapToGrid w:val="0"/>
              <w:ind w:left="22"/>
              <w:jc w:val="center"/>
              <w:rPr>
                <w:rFonts w:ascii="宋体"/>
                <w:kern w:val="0"/>
                <w:sz w:val="18"/>
                <w:szCs w:val="18"/>
              </w:rPr>
            </w:pPr>
            <w:r>
              <w:rPr>
                <w:rFonts w:hint="eastAsia" w:ascii="宋体" w:hAnsi="宋体"/>
                <w:kern w:val="0"/>
                <w:sz w:val="18"/>
                <w:szCs w:val="18"/>
              </w:rPr>
              <w:t>纬度</w:t>
            </w:r>
          </w:p>
        </w:tc>
        <w:tc>
          <w:tcPr>
            <w:tcW w:w="1671" w:type="pct"/>
            <w:gridSpan w:val="2"/>
            <w:vAlign w:val="center"/>
          </w:tcPr>
          <w:p>
            <w:pPr>
              <w:autoSpaceDE w:val="0"/>
              <w:autoSpaceDN w:val="0"/>
              <w:adjustRightInd w:val="0"/>
              <w:snapToGrid w:val="0"/>
              <w:jc w:val="center"/>
              <w:rPr>
                <w:kern w:val="0"/>
                <w:sz w:val="18"/>
                <w:szCs w:val="18"/>
              </w:rPr>
            </w:pPr>
            <w:r>
              <w:rPr>
                <w:sz w:val="18"/>
                <w:szCs w:val="18"/>
              </w:rPr>
              <w:t>40°59′29.46′′</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1127" w:type="pct"/>
            <w:vAlign w:val="center"/>
          </w:tcPr>
          <w:p>
            <w:pPr>
              <w:autoSpaceDE w:val="0"/>
              <w:autoSpaceDN w:val="0"/>
              <w:adjustRightInd w:val="0"/>
              <w:snapToGrid w:val="0"/>
              <w:ind w:left="280" w:right="266"/>
              <w:jc w:val="center"/>
              <w:rPr>
                <w:rFonts w:ascii="宋体"/>
                <w:kern w:val="0"/>
                <w:sz w:val="18"/>
                <w:szCs w:val="18"/>
              </w:rPr>
            </w:pPr>
            <w:r>
              <w:rPr>
                <w:rFonts w:hint="eastAsia" w:ascii="宋体" w:hAnsi="宋体"/>
                <w:kern w:val="0"/>
                <w:sz w:val="18"/>
                <w:szCs w:val="18"/>
              </w:rPr>
              <w:t>主要危险物质及分布</w:t>
            </w:r>
          </w:p>
        </w:tc>
        <w:tc>
          <w:tcPr>
            <w:tcW w:w="3873" w:type="pct"/>
            <w:gridSpan w:val="5"/>
            <w:vAlign w:val="center"/>
          </w:tcPr>
          <w:p>
            <w:pPr>
              <w:autoSpaceDE w:val="0"/>
              <w:autoSpaceDN w:val="0"/>
              <w:adjustRightInd w:val="0"/>
              <w:snapToGrid w:val="0"/>
              <w:jc w:val="center"/>
              <w:rPr>
                <w:kern w:val="0"/>
                <w:sz w:val="18"/>
                <w:szCs w:val="18"/>
              </w:rPr>
            </w:pPr>
            <w:r>
              <w:rPr>
                <w:rFonts w:hint="eastAsia"/>
                <w:kern w:val="0"/>
                <w:sz w:val="18"/>
                <w:szCs w:val="18"/>
              </w:rPr>
              <w:t>硫化氢、甲烷、氨等填埋气体</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127" w:type="pct"/>
            <w:vAlign w:val="center"/>
          </w:tcPr>
          <w:p>
            <w:pPr>
              <w:autoSpaceDE w:val="0"/>
              <w:autoSpaceDN w:val="0"/>
              <w:adjustRightInd w:val="0"/>
              <w:snapToGrid w:val="0"/>
              <w:ind w:left="280" w:right="266"/>
              <w:jc w:val="center"/>
              <w:rPr>
                <w:rFonts w:ascii="宋体"/>
                <w:kern w:val="0"/>
                <w:sz w:val="18"/>
                <w:szCs w:val="18"/>
              </w:rPr>
            </w:pPr>
            <w:r>
              <w:rPr>
                <w:rFonts w:hint="eastAsia" w:ascii="宋体" w:hAnsi="宋体"/>
                <w:kern w:val="0"/>
                <w:sz w:val="18"/>
                <w:szCs w:val="18"/>
              </w:rPr>
              <w:t>环境影响途径及危害后果</w:t>
            </w:r>
          </w:p>
          <w:p>
            <w:pPr>
              <w:autoSpaceDE w:val="0"/>
              <w:autoSpaceDN w:val="0"/>
              <w:adjustRightInd w:val="0"/>
              <w:snapToGrid w:val="0"/>
              <w:ind w:left="280" w:right="266"/>
              <w:jc w:val="center"/>
              <w:rPr>
                <w:rFonts w:ascii="宋体"/>
                <w:kern w:val="0"/>
                <w:sz w:val="18"/>
                <w:szCs w:val="18"/>
              </w:rPr>
            </w:pPr>
            <w:r>
              <w:rPr>
                <w:rFonts w:hint="eastAsia" w:ascii="宋体" w:hAnsi="宋体"/>
                <w:kern w:val="0"/>
                <w:sz w:val="18"/>
                <w:szCs w:val="18"/>
              </w:rPr>
              <w:t>（大气、地表水、地下水等）</w:t>
            </w:r>
          </w:p>
        </w:tc>
        <w:tc>
          <w:tcPr>
            <w:tcW w:w="3873" w:type="pct"/>
            <w:gridSpan w:val="5"/>
            <w:vAlign w:val="center"/>
          </w:tcPr>
          <w:p>
            <w:pPr>
              <w:kinsoku w:val="0"/>
              <w:overflowPunct w:val="0"/>
              <w:autoSpaceDE w:val="0"/>
              <w:autoSpaceDN w:val="0"/>
              <w:adjustRightInd w:val="0"/>
              <w:snapToGrid w:val="0"/>
              <w:ind w:firstLine="360" w:firstLineChars="200"/>
              <w:rPr>
                <w:sz w:val="18"/>
                <w:szCs w:val="18"/>
              </w:rPr>
            </w:pPr>
            <w:r>
              <w:rPr>
                <w:sz w:val="18"/>
                <w:szCs w:val="18"/>
              </w:rPr>
              <w:t>（1）</w:t>
            </w:r>
            <w:r>
              <w:rPr>
                <w:rFonts w:hint="eastAsia"/>
                <w:sz w:val="18"/>
                <w:szCs w:val="18"/>
              </w:rPr>
              <w:t>填埋气体发生火灾、爆炸将产生一氧化碳、二氧化碳、氮氧化物、氧化硫等有害气体，对周围大气环境造成影响；发生火灾、爆炸将产生消防废水污染水体。</w:t>
            </w:r>
          </w:p>
          <w:p>
            <w:pPr>
              <w:kinsoku w:val="0"/>
              <w:overflowPunct w:val="0"/>
              <w:autoSpaceDE w:val="0"/>
              <w:autoSpaceDN w:val="0"/>
              <w:adjustRightInd w:val="0"/>
              <w:snapToGrid w:val="0"/>
              <w:ind w:firstLine="360" w:firstLineChars="200"/>
              <w:rPr>
                <w:sz w:val="18"/>
                <w:szCs w:val="18"/>
              </w:rPr>
            </w:pPr>
            <w:r>
              <w:rPr>
                <w:sz w:val="18"/>
                <w:szCs w:val="18"/>
              </w:rPr>
              <w:t>（2）填埋场地下防渗层破坏，导致渗滤液下渗污染地下水；强降雨引起渗滤液过量外泄，或者渗滤液处理设施发生故障，从而导致渗滤液不经处理直接外排污染地表水；</w:t>
            </w:r>
          </w:p>
          <w:p>
            <w:pPr>
              <w:adjustRightInd w:val="0"/>
              <w:snapToGrid w:val="0"/>
              <w:ind w:firstLine="360" w:firstLineChars="200"/>
              <w:rPr>
                <w:sz w:val="18"/>
                <w:szCs w:val="18"/>
              </w:rPr>
            </w:pPr>
            <w:r>
              <w:rPr>
                <w:sz w:val="18"/>
                <w:szCs w:val="18"/>
              </w:rPr>
              <w:t>（3）垃圾坝溃坝；强降雨破坏填埋场拦渣坝稳定性，可能形成溃坝，导致填埋场下游大面积土地被掩埋，从而造成严重的财产损失和环境污染，甚至诱发更严重的地质灾害。</w:t>
            </w:r>
          </w:p>
          <w:p>
            <w:pPr>
              <w:adjustRightInd w:val="0"/>
              <w:snapToGrid w:val="0"/>
              <w:ind w:firstLine="360" w:firstLineChars="200"/>
              <w:rPr>
                <w:sz w:val="18"/>
                <w:szCs w:val="18"/>
              </w:rPr>
            </w:pPr>
            <w:r>
              <w:rPr>
                <w:rFonts w:hint="eastAsia"/>
                <w:sz w:val="18"/>
                <w:szCs w:val="18"/>
              </w:rPr>
              <w:t>（</w:t>
            </w:r>
            <w:r>
              <w:rPr>
                <w:sz w:val="18"/>
                <w:szCs w:val="18"/>
              </w:rPr>
              <w:t>4</w:t>
            </w:r>
            <w:r>
              <w:rPr>
                <w:rFonts w:hint="eastAsia"/>
                <w:sz w:val="18"/>
                <w:szCs w:val="18"/>
              </w:rPr>
              <w:t>）</w:t>
            </w:r>
            <w:r>
              <w:rPr>
                <w:sz w:val="18"/>
                <w:szCs w:val="18"/>
              </w:rPr>
              <w:t>危险性废物混入风险。</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1679" w:hRule="atLeast"/>
        </w:trPr>
        <w:tc>
          <w:tcPr>
            <w:tcW w:w="1127" w:type="pct"/>
            <w:vAlign w:val="center"/>
          </w:tcPr>
          <w:p>
            <w:pPr>
              <w:autoSpaceDE w:val="0"/>
              <w:autoSpaceDN w:val="0"/>
              <w:adjustRightInd w:val="0"/>
              <w:snapToGrid w:val="0"/>
              <w:ind w:left="280" w:right="266"/>
              <w:jc w:val="center"/>
              <w:rPr>
                <w:rFonts w:ascii="宋体"/>
                <w:kern w:val="0"/>
                <w:sz w:val="18"/>
                <w:szCs w:val="18"/>
              </w:rPr>
            </w:pPr>
            <w:r>
              <w:rPr>
                <w:rFonts w:hint="eastAsia" w:ascii="宋体" w:hAnsi="宋体"/>
                <w:kern w:val="0"/>
                <w:sz w:val="18"/>
                <w:szCs w:val="18"/>
              </w:rPr>
              <w:t>风险防范措施要求</w:t>
            </w:r>
          </w:p>
        </w:tc>
        <w:tc>
          <w:tcPr>
            <w:tcW w:w="3873" w:type="pct"/>
            <w:gridSpan w:val="5"/>
            <w:vAlign w:val="center"/>
          </w:tcPr>
          <w:p>
            <w:pPr>
              <w:kinsoku w:val="0"/>
              <w:overflowPunct w:val="0"/>
              <w:autoSpaceDE w:val="0"/>
              <w:autoSpaceDN w:val="0"/>
              <w:adjustRightInd w:val="0"/>
              <w:snapToGrid w:val="0"/>
              <w:ind w:firstLine="361" w:firstLineChars="200"/>
              <w:jc w:val="left"/>
              <w:rPr>
                <w:b/>
                <w:sz w:val="18"/>
                <w:szCs w:val="18"/>
              </w:rPr>
            </w:pPr>
            <w:r>
              <w:rPr>
                <w:rFonts w:hint="eastAsia"/>
                <w:b/>
                <w:sz w:val="18"/>
                <w:szCs w:val="18"/>
              </w:rPr>
              <w:t>填埋气燃烧爆炸风险防范措施：</w:t>
            </w:r>
          </w:p>
          <w:p>
            <w:pPr>
              <w:kinsoku w:val="0"/>
              <w:overflowPunct w:val="0"/>
              <w:autoSpaceDE w:val="0"/>
              <w:autoSpaceDN w:val="0"/>
              <w:adjustRightInd w:val="0"/>
              <w:snapToGrid w:val="0"/>
              <w:ind w:firstLine="360" w:firstLineChars="200"/>
              <w:jc w:val="left"/>
              <w:rPr>
                <w:sz w:val="18"/>
                <w:szCs w:val="18"/>
              </w:rPr>
            </w:pPr>
            <w:r>
              <w:rPr>
                <w:sz w:val="18"/>
                <w:szCs w:val="18"/>
              </w:rPr>
              <w:t>（1）</w:t>
            </w:r>
            <w:r>
              <w:rPr>
                <w:rFonts w:hint="eastAsia"/>
                <w:sz w:val="18"/>
                <w:szCs w:val="18"/>
              </w:rPr>
              <w:t>填埋场存在沼气燃、爆事故隐患，要求场区严禁烟火设明显防标</w:t>
            </w:r>
            <w:r>
              <w:rPr>
                <w:sz w:val="18"/>
                <w:szCs w:val="18"/>
              </w:rPr>
              <w:t>。</w:t>
            </w:r>
            <w:r>
              <w:rPr>
                <w:rFonts w:hint="eastAsia"/>
                <w:sz w:val="18"/>
                <w:szCs w:val="18"/>
              </w:rPr>
              <w:t>填埋场制定消防规章制度，由专人负责检查。</w:t>
            </w:r>
          </w:p>
          <w:p>
            <w:pPr>
              <w:kinsoku w:val="0"/>
              <w:overflowPunct w:val="0"/>
              <w:autoSpaceDE w:val="0"/>
              <w:autoSpaceDN w:val="0"/>
              <w:adjustRightInd w:val="0"/>
              <w:snapToGrid w:val="0"/>
              <w:ind w:firstLine="360" w:firstLineChars="200"/>
              <w:jc w:val="left"/>
              <w:rPr>
                <w:sz w:val="18"/>
                <w:szCs w:val="18"/>
              </w:rPr>
            </w:pPr>
            <w:r>
              <w:rPr>
                <w:sz w:val="18"/>
                <w:szCs w:val="18"/>
              </w:rPr>
              <w:t>（2）</w:t>
            </w:r>
            <w:r>
              <w:rPr>
                <w:rFonts w:hint="eastAsia"/>
                <w:sz w:val="18"/>
                <w:szCs w:val="18"/>
              </w:rPr>
              <w:t>强化填埋场运行过程环境管理与监测，生活垃圾填埋场管理机构应每 天进行一次填埋场区和气体排放口的甲烷积分数监测</w:t>
            </w:r>
            <w:r>
              <w:rPr>
                <w:sz w:val="18"/>
                <w:szCs w:val="18"/>
              </w:rPr>
              <w:t>。</w:t>
            </w:r>
          </w:p>
          <w:p>
            <w:pPr>
              <w:kinsoku w:val="0"/>
              <w:overflowPunct w:val="0"/>
              <w:autoSpaceDE w:val="0"/>
              <w:autoSpaceDN w:val="0"/>
              <w:adjustRightInd w:val="0"/>
              <w:snapToGrid w:val="0"/>
              <w:ind w:firstLine="360" w:firstLineChars="200"/>
              <w:jc w:val="left"/>
              <w:rPr>
                <w:sz w:val="18"/>
                <w:szCs w:val="18"/>
              </w:rPr>
            </w:pPr>
            <w:r>
              <w:rPr>
                <w:rFonts w:hint="eastAsia"/>
                <w:sz w:val="18"/>
                <w:szCs w:val="18"/>
              </w:rPr>
              <w:t>（</w:t>
            </w:r>
            <w:r>
              <w:rPr>
                <w:sz w:val="18"/>
                <w:szCs w:val="18"/>
              </w:rPr>
              <w:t>3</w:t>
            </w:r>
            <w:r>
              <w:rPr>
                <w:rFonts w:hint="eastAsia"/>
                <w:sz w:val="18"/>
                <w:szCs w:val="18"/>
              </w:rPr>
              <w:t xml:space="preserve">）设定沼气浓度超限警示系统，安装 </w:t>
            </w:r>
            <w:r>
              <w:rPr>
                <w:sz w:val="18"/>
                <w:szCs w:val="18"/>
              </w:rPr>
              <w:t xml:space="preserve">24 </w:t>
            </w:r>
            <w:r>
              <w:rPr>
                <w:rFonts w:hint="eastAsia"/>
                <w:sz w:val="18"/>
                <w:szCs w:val="18"/>
              </w:rPr>
              <w:t>小时甲烷气体自动监测报警仪， 一旦有超限发生，应立即查明原因，进行导排管和沼气收集系统密封性检查，采取补救措施；</w:t>
            </w:r>
          </w:p>
          <w:p>
            <w:pPr>
              <w:kinsoku w:val="0"/>
              <w:overflowPunct w:val="0"/>
              <w:autoSpaceDE w:val="0"/>
              <w:autoSpaceDN w:val="0"/>
              <w:ind w:firstLine="360" w:firstLineChars="200"/>
              <w:jc w:val="left"/>
              <w:rPr>
                <w:sz w:val="18"/>
                <w:szCs w:val="18"/>
              </w:rPr>
            </w:pPr>
            <w:r>
              <w:rPr>
                <w:sz w:val="18"/>
                <w:szCs w:val="18"/>
              </w:rPr>
              <w:t>（4）应经常检查导气管是否堵塞和破损，发现问题应及时修复。</w:t>
            </w:r>
          </w:p>
          <w:p>
            <w:pPr>
              <w:kinsoku w:val="0"/>
              <w:overflowPunct w:val="0"/>
              <w:autoSpaceDE w:val="0"/>
              <w:autoSpaceDN w:val="0"/>
              <w:ind w:firstLine="360" w:firstLineChars="200"/>
              <w:jc w:val="left"/>
              <w:rPr>
                <w:sz w:val="18"/>
                <w:szCs w:val="18"/>
              </w:rPr>
            </w:pPr>
            <w:r>
              <w:rPr>
                <w:sz w:val="18"/>
                <w:szCs w:val="18"/>
              </w:rPr>
              <w:t>（5）垃圾填埋场周围设置防火隔离带，以阻止火灾时火势的漫延。</w:t>
            </w:r>
          </w:p>
          <w:p>
            <w:pPr>
              <w:kinsoku w:val="0"/>
              <w:overflowPunct w:val="0"/>
              <w:autoSpaceDE w:val="0"/>
              <w:autoSpaceDN w:val="0"/>
              <w:ind w:firstLine="360" w:firstLineChars="200"/>
              <w:jc w:val="left"/>
              <w:rPr>
                <w:sz w:val="18"/>
                <w:szCs w:val="18"/>
              </w:rPr>
            </w:pPr>
            <w:r>
              <w:rPr>
                <w:sz w:val="18"/>
                <w:szCs w:val="18"/>
              </w:rPr>
              <w:t>（6）当发生火灾时，要及时扑灭，采取隔离措施防止危及周边林带及建筑物。</w:t>
            </w:r>
          </w:p>
          <w:p>
            <w:pPr>
              <w:kinsoku w:val="0"/>
              <w:overflowPunct w:val="0"/>
              <w:autoSpaceDE w:val="0"/>
              <w:autoSpaceDN w:val="0"/>
              <w:ind w:firstLine="360" w:firstLineChars="200"/>
              <w:jc w:val="left"/>
              <w:rPr>
                <w:sz w:val="18"/>
                <w:szCs w:val="18"/>
              </w:rPr>
            </w:pPr>
            <w:r>
              <w:rPr>
                <w:sz w:val="18"/>
                <w:szCs w:val="18"/>
              </w:rPr>
              <w:t>（7）人员培训，建议对填埋场的工作人员进行消防知识和操作培训，并定期进行演习；严格遵守规章制度。</w:t>
            </w:r>
          </w:p>
          <w:p>
            <w:pPr>
              <w:kinsoku w:val="0"/>
              <w:overflowPunct w:val="0"/>
              <w:autoSpaceDE w:val="0"/>
              <w:autoSpaceDN w:val="0"/>
              <w:adjustRightInd w:val="0"/>
              <w:snapToGrid w:val="0"/>
              <w:ind w:firstLine="360"/>
              <w:jc w:val="left"/>
              <w:rPr>
                <w:b/>
                <w:sz w:val="18"/>
                <w:szCs w:val="18"/>
              </w:rPr>
            </w:pPr>
            <w:r>
              <w:rPr>
                <w:rFonts w:hint="eastAsia"/>
                <w:b/>
                <w:sz w:val="18"/>
                <w:szCs w:val="18"/>
              </w:rPr>
              <w:t>渗滤液污染地下水防范措施：</w:t>
            </w:r>
          </w:p>
          <w:p>
            <w:pPr>
              <w:kinsoku w:val="0"/>
              <w:overflowPunct w:val="0"/>
              <w:autoSpaceDE w:val="0"/>
              <w:autoSpaceDN w:val="0"/>
              <w:adjustRightInd w:val="0"/>
              <w:snapToGrid w:val="0"/>
              <w:ind w:firstLine="360"/>
              <w:jc w:val="left"/>
              <w:rPr>
                <w:sz w:val="18"/>
                <w:szCs w:val="18"/>
              </w:rPr>
            </w:pPr>
            <w:r>
              <w:rPr>
                <w:rFonts w:hint="eastAsia"/>
                <w:sz w:val="18"/>
                <w:szCs w:val="18"/>
              </w:rPr>
              <w:t>（1）加强地下水日常监测，发现监测井水质异常，应立即分析原因提出控制污染扩大的措施。</w:t>
            </w:r>
          </w:p>
          <w:p>
            <w:pPr>
              <w:kinsoku w:val="0"/>
              <w:overflowPunct w:val="0"/>
              <w:autoSpaceDE w:val="0"/>
              <w:autoSpaceDN w:val="0"/>
              <w:adjustRightInd w:val="0"/>
              <w:snapToGrid w:val="0"/>
              <w:ind w:firstLine="360"/>
              <w:jc w:val="left"/>
              <w:rPr>
                <w:sz w:val="18"/>
                <w:szCs w:val="18"/>
              </w:rPr>
            </w:pPr>
            <w:r>
              <w:rPr>
                <w:rFonts w:hint="eastAsia"/>
                <w:sz w:val="18"/>
                <w:szCs w:val="18"/>
              </w:rPr>
              <w:t>（2）设置防渗衬层渗漏检测系统，定期检测防渗衬层系统完整性，发现防渗衬层系统发生渗漏时，应及时采取补救措施，将破坏区域隔离，进行防渗膜修补。</w:t>
            </w:r>
          </w:p>
          <w:p>
            <w:pPr>
              <w:kinsoku w:val="0"/>
              <w:overflowPunct w:val="0"/>
              <w:autoSpaceDE w:val="0"/>
              <w:autoSpaceDN w:val="0"/>
              <w:adjustRightInd w:val="0"/>
              <w:snapToGrid w:val="0"/>
              <w:ind w:firstLine="360"/>
              <w:jc w:val="left"/>
              <w:rPr>
                <w:sz w:val="18"/>
                <w:szCs w:val="18"/>
              </w:rPr>
            </w:pPr>
            <w:r>
              <w:rPr>
                <w:rFonts w:hint="eastAsia"/>
                <w:sz w:val="18"/>
                <w:szCs w:val="18"/>
              </w:rPr>
              <w:t>（3）加强雨水外排能力，每年汛期之前，完成截洪沟的整修，确保其畅通无阻。</w:t>
            </w:r>
          </w:p>
          <w:p>
            <w:pPr>
              <w:kinsoku w:val="0"/>
              <w:overflowPunct w:val="0"/>
              <w:autoSpaceDE w:val="0"/>
              <w:autoSpaceDN w:val="0"/>
              <w:adjustRightInd w:val="0"/>
              <w:snapToGrid w:val="0"/>
              <w:ind w:firstLine="360"/>
              <w:jc w:val="left"/>
              <w:rPr>
                <w:b/>
                <w:sz w:val="18"/>
                <w:szCs w:val="18"/>
              </w:rPr>
            </w:pPr>
            <w:r>
              <w:rPr>
                <w:b/>
                <w:sz w:val="18"/>
                <w:szCs w:val="18"/>
              </w:rPr>
              <w:t>渗滤液不经处理</w:t>
            </w:r>
            <w:r>
              <w:rPr>
                <w:rFonts w:hint="eastAsia"/>
                <w:b/>
                <w:sz w:val="18"/>
                <w:szCs w:val="18"/>
              </w:rPr>
              <w:t>直接排放风险防范措施：</w:t>
            </w:r>
          </w:p>
          <w:p>
            <w:pPr>
              <w:kinsoku w:val="0"/>
              <w:overflowPunct w:val="0"/>
              <w:autoSpaceDE w:val="0"/>
              <w:autoSpaceDN w:val="0"/>
              <w:adjustRightInd w:val="0"/>
              <w:snapToGrid w:val="0"/>
              <w:ind w:firstLine="360"/>
              <w:jc w:val="left"/>
              <w:rPr>
                <w:sz w:val="18"/>
                <w:szCs w:val="18"/>
              </w:rPr>
            </w:pPr>
            <w:r>
              <w:rPr>
                <w:rFonts w:hint="eastAsia"/>
                <w:sz w:val="18"/>
                <w:szCs w:val="18"/>
              </w:rPr>
              <w:t>（1）定期采样，监控废水处理工艺的运转效果。同时，定期对处理设施等进行检查和维修。</w:t>
            </w:r>
          </w:p>
          <w:p>
            <w:pPr>
              <w:kinsoku w:val="0"/>
              <w:overflowPunct w:val="0"/>
              <w:autoSpaceDE w:val="0"/>
              <w:autoSpaceDN w:val="0"/>
              <w:adjustRightInd w:val="0"/>
              <w:snapToGrid w:val="0"/>
              <w:ind w:firstLine="360"/>
              <w:jc w:val="left"/>
              <w:rPr>
                <w:sz w:val="18"/>
                <w:szCs w:val="18"/>
              </w:rPr>
            </w:pPr>
            <w:r>
              <w:rPr>
                <w:rFonts w:hint="eastAsia"/>
                <w:sz w:val="18"/>
                <w:szCs w:val="18"/>
              </w:rPr>
              <w:t>（2）对废水处理装置每班进行巡视，并应对管道的堵塞、破损、泵的运转、药剂的添加及使用等情况予以记录，发现问题及时处理。</w:t>
            </w:r>
          </w:p>
          <w:p>
            <w:pPr>
              <w:kinsoku w:val="0"/>
              <w:overflowPunct w:val="0"/>
              <w:autoSpaceDE w:val="0"/>
              <w:autoSpaceDN w:val="0"/>
              <w:adjustRightInd w:val="0"/>
              <w:snapToGrid w:val="0"/>
              <w:ind w:firstLine="360"/>
              <w:jc w:val="left"/>
              <w:rPr>
                <w:sz w:val="18"/>
                <w:szCs w:val="18"/>
              </w:rPr>
            </w:pPr>
            <w:r>
              <w:rPr>
                <w:rFonts w:hint="eastAsia"/>
                <w:sz w:val="18"/>
                <w:szCs w:val="18"/>
              </w:rPr>
              <w:t>（3）备品备件应充足，注意及时补充、更换。</w:t>
            </w:r>
          </w:p>
          <w:p>
            <w:pPr>
              <w:kinsoku w:val="0"/>
              <w:overflowPunct w:val="0"/>
              <w:autoSpaceDE w:val="0"/>
              <w:autoSpaceDN w:val="0"/>
              <w:adjustRightInd w:val="0"/>
              <w:snapToGrid w:val="0"/>
              <w:ind w:firstLine="360"/>
              <w:jc w:val="left"/>
              <w:rPr>
                <w:sz w:val="18"/>
                <w:szCs w:val="18"/>
              </w:rPr>
            </w:pPr>
            <w:r>
              <w:rPr>
                <w:rFonts w:hint="eastAsia"/>
                <w:sz w:val="18"/>
                <w:szCs w:val="18"/>
              </w:rPr>
              <w:t>（4）消毒池设水质自动监测仪对水质进行监控，如污水超标则返回调节池。</w:t>
            </w:r>
          </w:p>
          <w:p>
            <w:pPr>
              <w:kinsoku w:val="0"/>
              <w:overflowPunct w:val="0"/>
              <w:autoSpaceDE w:val="0"/>
              <w:autoSpaceDN w:val="0"/>
              <w:adjustRightInd w:val="0"/>
              <w:snapToGrid w:val="0"/>
              <w:ind w:firstLine="360"/>
              <w:jc w:val="left"/>
              <w:rPr>
                <w:sz w:val="18"/>
                <w:szCs w:val="18"/>
              </w:rPr>
            </w:pPr>
            <w:r>
              <w:rPr>
                <w:rFonts w:hint="eastAsia"/>
                <w:sz w:val="18"/>
                <w:szCs w:val="18"/>
              </w:rPr>
              <w:t>（5）截洪沟应经常疏通，防止截洪沟堵塞。</w:t>
            </w:r>
          </w:p>
          <w:p>
            <w:pPr>
              <w:kinsoku w:val="0"/>
              <w:overflowPunct w:val="0"/>
              <w:autoSpaceDE w:val="0"/>
              <w:autoSpaceDN w:val="0"/>
              <w:adjustRightInd w:val="0"/>
              <w:snapToGrid w:val="0"/>
              <w:ind w:firstLine="360"/>
              <w:jc w:val="left"/>
              <w:rPr>
                <w:b/>
                <w:sz w:val="18"/>
                <w:szCs w:val="18"/>
              </w:rPr>
            </w:pPr>
            <w:r>
              <w:rPr>
                <w:b/>
                <w:sz w:val="18"/>
                <w:szCs w:val="18"/>
              </w:rPr>
              <w:t>垃圾坝溃坝</w:t>
            </w:r>
            <w:r>
              <w:rPr>
                <w:rFonts w:hint="eastAsia"/>
                <w:b/>
                <w:sz w:val="18"/>
                <w:szCs w:val="18"/>
              </w:rPr>
              <w:t>风险防范措施：</w:t>
            </w:r>
          </w:p>
          <w:p>
            <w:pPr>
              <w:kinsoku w:val="0"/>
              <w:overflowPunct w:val="0"/>
              <w:autoSpaceDE w:val="0"/>
              <w:autoSpaceDN w:val="0"/>
              <w:adjustRightInd w:val="0"/>
              <w:snapToGrid w:val="0"/>
              <w:ind w:firstLine="360"/>
              <w:jc w:val="left"/>
              <w:rPr>
                <w:sz w:val="18"/>
                <w:szCs w:val="18"/>
              </w:rPr>
            </w:pPr>
            <w:r>
              <w:rPr>
                <w:rFonts w:hint="eastAsia"/>
                <w:sz w:val="18"/>
                <w:szCs w:val="18"/>
              </w:rPr>
              <w:t>（1）严格进行规范管理，按设计要求设置专人严格管理，落实责任。确保场内排水系统和库周排洪沟的畅通，在雨季特别是暴雨期应加强对垃圾处理场、垃圾坝的巡逻检查，如发现垃圾坝出现裂缝应采取补救措施；垃圾坝溃决后应立即采取抢救措施，可在填埋场下游设缓冲地带。同时配备必需的通信设施，保持与地方政府的联系，如发现坝体开裂等跨坝征兆，应立即组织力量进行抢修和安全加固。</w:t>
            </w:r>
          </w:p>
          <w:p>
            <w:pPr>
              <w:kinsoku w:val="0"/>
              <w:overflowPunct w:val="0"/>
              <w:autoSpaceDE w:val="0"/>
              <w:autoSpaceDN w:val="0"/>
              <w:adjustRightInd w:val="0"/>
              <w:snapToGrid w:val="0"/>
              <w:ind w:firstLine="360"/>
              <w:jc w:val="left"/>
              <w:rPr>
                <w:sz w:val="18"/>
                <w:szCs w:val="18"/>
              </w:rPr>
            </w:pPr>
            <w:r>
              <w:rPr>
                <w:rFonts w:hint="eastAsia"/>
                <w:sz w:val="18"/>
                <w:szCs w:val="18"/>
              </w:rPr>
              <w:t>（2）填埋场服务期满后，应按规定进行土地复垦和日常管理、维护，并按有关要求进行生态或植被的恢复，确保垃圾库的稳定。</w:t>
            </w:r>
          </w:p>
          <w:p>
            <w:pPr>
              <w:kinsoku w:val="0"/>
              <w:overflowPunct w:val="0"/>
              <w:autoSpaceDE w:val="0"/>
              <w:autoSpaceDN w:val="0"/>
              <w:adjustRightInd w:val="0"/>
              <w:snapToGrid w:val="0"/>
              <w:ind w:firstLine="360"/>
              <w:jc w:val="left"/>
              <w:rPr>
                <w:sz w:val="18"/>
                <w:szCs w:val="18"/>
              </w:rPr>
            </w:pPr>
            <w:r>
              <w:rPr>
                <w:rFonts w:hint="eastAsia"/>
                <w:sz w:val="18"/>
                <w:szCs w:val="18"/>
              </w:rPr>
              <w:t>（3）加强日常监控，在库周应设置监视器，并有专人负责巡视，杜绝安全隐患。</w:t>
            </w:r>
          </w:p>
          <w:p>
            <w:pPr>
              <w:kinsoku w:val="0"/>
              <w:overflowPunct w:val="0"/>
              <w:autoSpaceDE w:val="0"/>
              <w:autoSpaceDN w:val="0"/>
              <w:adjustRightInd w:val="0"/>
              <w:snapToGrid w:val="0"/>
              <w:ind w:firstLine="360"/>
              <w:jc w:val="left"/>
              <w:rPr>
                <w:sz w:val="18"/>
                <w:szCs w:val="18"/>
              </w:rPr>
            </w:pPr>
            <w:r>
              <w:rPr>
                <w:rFonts w:hint="eastAsia"/>
                <w:sz w:val="18"/>
                <w:szCs w:val="18"/>
              </w:rPr>
              <w:t>（4）严格按国家有关规定，定期对处理场安全性和稳定性进行评价，发现问题及时解决。</w:t>
            </w:r>
          </w:p>
          <w:p>
            <w:pPr>
              <w:kinsoku w:val="0"/>
              <w:overflowPunct w:val="0"/>
              <w:autoSpaceDE w:val="0"/>
              <w:autoSpaceDN w:val="0"/>
              <w:adjustRightInd w:val="0"/>
              <w:snapToGrid w:val="0"/>
              <w:ind w:firstLine="360"/>
              <w:jc w:val="left"/>
              <w:rPr>
                <w:b/>
                <w:sz w:val="18"/>
                <w:szCs w:val="18"/>
              </w:rPr>
            </w:pPr>
            <w:r>
              <w:rPr>
                <w:b/>
                <w:sz w:val="18"/>
                <w:szCs w:val="18"/>
              </w:rPr>
              <w:t>危险性废物混入风险</w:t>
            </w:r>
            <w:r>
              <w:rPr>
                <w:rFonts w:hint="eastAsia"/>
                <w:b/>
                <w:sz w:val="18"/>
                <w:szCs w:val="18"/>
              </w:rPr>
              <w:t>防范措施：</w:t>
            </w:r>
          </w:p>
          <w:p>
            <w:pPr>
              <w:kinsoku w:val="0"/>
              <w:overflowPunct w:val="0"/>
              <w:autoSpaceDE w:val="0"/>
              <w:autoSpaceDN w:val="0"/>
              <w:adjustRightInd w:val="0"/>
              <w:snapToGrid w:val="0"/>
              <w:ind w:firstLine="360"/>
              <w:jc w:val="left"/>
              <w:rPr>
                <w:sz w:val="18"/>
                <w:szCs w:val="18"/>
              </w:rPr>
            </w:pPr>
            <w:r>
              <w:rPr>
                <w:rFonts w:hint="eastAsia"/>
                <w:sz w:val="18"/>
                <w:szCs w:val="18"/>
              </w:rPr>
              <w:t>（1）生活垃圾收集时，严格执行《生活垃圾填埋污染控制标准》，严禁将生活垃圾和工业垃圾特别是危险性废物混合一起。</w:t>
            </w:r>
          </w:p>
          <w:p>
            <w:pPr>
              <w:kinsoku w:val="0"/>
              <w:overflowPunct w:val="0"/>
              <w:autoSpaceDE w:val="0"/>
              <w:autoSpaceDN w:val="0"/>
              <w:adjustRightInd w:val="0"/>
              <w:snapToGrid w:val="0"/>
              <w:ind w:firstLine="360"/>
              <w:jc w:val="left"/>
              <w:rPr>
                <w:sz w:val="18"/>
                <w:szCs w:val="18"/>
              </w:rPr>
            </w:pPr>
            <w:r>
              <w:rPr>
                <w:rFonts w:hint="eastAsia"/>
                <w:sz w:val="18"/>
                <w:szCs w:val="18"/>
              </w:rPr>
              <w:t>（2）严禁将其它有害有毒废物送至生活处理场填埋，如发现不按规定执行，应按有关法律法规予以经济处罚，直至追究法律责任。</w:t>
            </w:r>
          </w:p>
          <w:p>
            <w:pPr>
              <w:kinsoku w:val="0"/>
              <w:overflowPunct w:val="0"/>
              <w:autoSpaceDE w:val="0"/>
              <w:autoSpaceDN w:val="0"/>
              <w:adjustRightInd w:val="0"/>
              <w:snapToGrid w:val="0"/>
              <w:ind w:firstLine="360"/>
              <w:jc w:val="left"/>
              <w:rPr>
                <w:sz w:val="18"/>
                <w:szCs w:val="18"/>
              </w:rPr>
            </w:pPr>
            <w:r>
              <w:rPr>
                <w:rFonts w:hint="eastAsia"/>
                <w:sz w:val="18"/>
                <w:szCs w:val="18"/>
              </w:rPr>
              <w:t>（3）对处理场服务范围内的单位和个人加强宣传，使公众分清生活垃圾、工业固废和危险性废物的本质区别，以及混合填埋的危害，使公众自觉遵守处理场的垃圾入场规定。</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1920" w:hRule="atLeast"/>
        </w:trPr>
        <w:tc>
          <w:tcPr>
            <w:tcW w:w="5000" w:type="pct"/>
            <w:gridSpan w:val="6"/>
            <w:vAlign w:val="center"/>
          </w:tcPr>
          <w:p>
            <w:pPr>
              <w:spacing w:line="360" w:lineRule="auto"/>
              <w:rPr>
                <w:rFonts w:ascii="宋体"/>
                <w:kern w:val="0"/>
                <w:sz w:val="18"/>
                <w:szCs w:val="18"/>
              </w:rPr>
            </w:pPr>
            <w:r>
              <w:rPr>
                <w:rFonts w:hint="eastAsia"/>
                <w:sz w:val="18"/>
                <w:szCs w:val="18"/>
              </w:rPr>
              <w:t>填表说明（列出项目相关信息及评价说明）：无</w:t>
            </w:r>
          </w:p>
        </w:tc>
      </w:tr>
    </w:tbl>
    <w:p>
      <w:pPr>
        <w:spacing w:line="360" w:lineRule="auto"/>
        <w:ind w:right="42" w:rightChars="20"/>
        <w:rPr>
          <w:sz w:val="24"/>
        </w:rPr>
      </w:pPr>
    </w:p>
    <w:p>
      <w:pPr>
        <w:spacing w:line="360" w:lineRule="auto"/>
        <w:ind w:right="42" w:rightChars="20"/>
        <w:rPr>
          <w:sz w:val="24"/>
        </w:rPr>
      </w:pPr>
    </w:p>
    <w:p>
      <w:pPr>
        <w:spacing w:line="360" w:lineRule="auto"/>
        <w:ind w:right="42" w:rightChars="20"/>
        <w:rPr>
          <w:sz w:val="24"/>
        </w:rPr>
        <w:sectPr>
          <w:headerReference r:id="rId15" w:type="default"/>
          <w:pgSz w:w="11906" w:h="16838"/>
          <w:pgMar w:top="1440" w:right="1800" w:bottom="1440" w:left="1800" w:header="851" w:footer="992" w:gutter="0"/>
          <w:cols w:space="720" w:num="1"/>
          <w:docGrid w:type="lines" w:linePitch="312" w:charSpace="0"/>
        </w:sectPr>
      </w:pPr>
    </w:p>
    <w:p>
      <w:pPr>
        <w:pStyle w:val="823"/>
        <w:keepNext w:val="0"/>
        <w:pageBreakBefore w:val="0"/>
        <w:adjustRightInd/>
        <w:spacing w:before="156" w:beforeLines="50" w:after="156" w:afterLines="50" w:line="360" w:lineRule="auto"/>
        <w:rPr>
          <w:rFonts w:cs="Times New Roman"/>
        </w:rPr>
      </w:pPr>
      <w:bookmarkStart w:id="540" w:name="_Toc143762379"/>
      <w:bookmarkStart w:id="541" w:name="_Toc277632310"/>
      <w:bookmarkStart w:id="542" w:name="_Toc274251976"/>
      <w:bookmarkStart w:id="543" w:name="_Toc489433131"/>
      <w:bookmarkStart w:id="544" w:name="_Toc276333636"/>
      <w:bookmarkStart w:id="545" w:name="_Toc274251905"/>
      <w:bookmarkStart w:id="546" w:name="_Toc277196501"/>
      <w:bookmarkStart w:id="547" w:name="_Toc277228955"/>
      <w:bookmarkStart w:id="548" w:name="_Toc337465958"/>
      <w:bookmarkStart w:id="549" w:name="_Toc277949275"/>
      <w:bookmarkStart w:id="550" w:name="_Toc277238958"/>
      <w:bookmarkStart w:id="551" w:name="_Toc277244765"/>
      <w:bookmarkStart w:id="552" w:name="_Toc277336117"/>
      <w:bookmarkStart w:id="553" w:name="_Toc276105925"/>
      <w:bookmarkStart w:id="554" w:name="_Toc277949940"/>
      <w:r>
        <w:rPr>
          <w:rFonts w:cs="Times New Roman"/>
        </w:rPr>
        <w:t>8环境保护措施可行性分析</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pPr>
        <w:pStyle w:val="3"/>
        <w:keepNext w:val="0"/>
        <w:keepLines w:val="0"/>
        <w:kinsoku w:val="0"/>
        <w:overflowPunct w:val="0"/>
        <w:autoSpaceDE w:val="0"/>
        <w:autoSpaceDN w:val="0"/>
        <w:adjustRightInd w:val="0"/>
        <w:snapToGrid w:val="0"/>
        <w:spacing w:before="0" w:after="0" w:line="360" w:lineRule="auto"/>
        <w:rPr>
          <w:rFonts w:ascii="Times New Roman" w:hAnsi="Times New Roman" w:eastAsia="宋体"/>
        </w:rPr>
      </w:pPr>
      <w:bookmarkStart w:id="555" w:name="_Toc489433132"/>
      <w:bookmarkStart w:id="556" w:name="_Toc143762380"/>
      <w:r>
        <w:rPr>
          <w:rFonts w:ascii="Times New Roman" w:hAnsi="Times New Roman" w:eastAsia="宋体"/>
        </w:rPr>
        <w:t>8.1 大气污染防治措施可行性分析</w:t>
      </w:r>
      <w:bookmarkEnd w:id="555"/>
      <w:bookmarkEnd w:id="556"/>
    </w:p>
    <w:p>
      <w:pPr>
        <w:adjustRightInd w:val="0"/>
        <w:snapToGrid w:val="0"/>
        <w:spacing w:line="360" w:lineRule="auto"/>
        <w:ind w:firstLine="480" w:firstLineChars="200"/>
        <w:rPr>
          <w:sz w:val="24"/>
        </w:rPr>
      </w:pPr>
      <w:bookmarkStart w:id="557" w:name="_Toc274251978"/>
      <w:bookmarkStart w:id="558" w:name="_Toc274251907"/>
      <w:bookmarkStart w:id="559" w:name="_Toc277196503"/>
      <w:bookmarkStart w:id="560" w:name="_Toc277949942"/>
      <w:bookmarkStart w:id="561" w:name="_Toc276105930"/>
      <w:bookmarkStart w:id="562" w:name="_Toc277244767"/>
      <w:bookmarkStart w:id="563" w:name="_Toc276333641"/>
      <w:bookmarkStart w:id="564" w:name="_Toc277228957"/>
      <w:bookmarkStart w:id="565" w:name="_Toc337465960"/>
      <w:bookmarkStart w:id="566" w:name="_Toc277632312"/>
      <w:bookmarkStart w:id="567" w:name="_Toc277949277"/>
      <w:bookmarkStart w:id="568" w:name="_Toc277336119"/>
      <w:bookmarkStart w:id="569" w:name="_Toc277238960"/>
      <w:r>
        <w:rPr>
          <w:rFonts w:hint="eastAsia"/>
          <w:sz w:val="24"/>
        </w:rPr>
        <w:t>（</w:t>
      </w:r>
      <w:r>
        <w:rPr>
          <w:sz w:val="24"/>
        </w:rPr>
        <w:t>1</w:t>
      </w:r>
      <w:r>
        <w:rPr>
          <w:rFonts w:hint="eastAsia"/>
          <w:sz w:val="24"/>
        </w:rPr>
        <w:t>）填埋场废气</w:t>
      </w:r>
    </w:p>
    <w:p>
      <w:pPr>
        <w:adjustRightInd w:val="0"/>
        <w:snapToGrid w:val="0"/>
        <w:spacing w:line="360" w:lineRule="auto"/>
        <w:ind w:firstLine="480" w:firstLineChars="200"/>
        <w:rPr>
          <w:sz w:val="24"/>
        </w:rPr>
      </w:pPr>
      <w:r>
        <w:rPr>
          <w:rFonts w:hint="eastAsia"/>
          <w:sz w:val="24"/>
        </w:rPr>
        <w:t>填埋场废气是由垃圾腐败、发酵、分解而慢慢地散发出来的，主要气体有如</w:t>
      </w:r>
      <w:r>
        <w:rPr>
          <w:sz w:val="24"/>
        </w:rPr>
        <w:t>CH</w:t>
      </w:r>
      <w:r>
        <w:rPr>
          <w:sz w:val="24"/>
          <w:vertAlign w:val="subscript"/>
        </w:rPr>
        <w:t>4</w:t>
      </w:r>
      <w:r>
        <w:rPr>
          <w:sz w:val="24"/>
        </w:rPr>
        <w:t xml:space="preserve"> </w:t>
      </w:r>
      <w:r>
        <w:rPr>
          <w:rFonts w:hint="eastAsia"/>
          <w:sz w:val="24"/>
        </w:rPr>
        <w:t>、</w:t>
      </w:r>
      <w:r>
        <w:rPr>
          <w:sz w:val="24"/>
        </w:rPr>
        <w:t>CO</w:t>
      </w:r>
      <w:r>
        <w:rPr>
          <w:sz w:val="24"/>
          <w:vertAlign w:val="subscript"/>
        </w:rPr>
        <w:t>2</w:t>
      </w:r>
      <w:r>
        <w:rPr>
          <w:sz w:val="24"/>
        </w:rPr>
        <w:t xml:space="preserve"> </w:t>
      </w:r>
      <w:r>
        <w:rPr>
          <w:rFonts w:hint="eastAsia"/>
          <w:sz w:val="24"/>
        </w:rPr>
        <w:t>、</w:t>
      </w:r>
      <w:r>
        <w:rPr>
          <w:sz w:val="24"/>
        </w:rPr>
        <w:t>H</w:t>
      </w:r>
      <w:r>
        <w:rPr>
          <w:sz w:val="24"/>
          <w:vertAlign w:val="subscript"/>
        </w:rPr>
        <w:t>2</w:t>
      </w:r>
      <w:r>
        <w:rPr>
          <w:sz w:val="24"/>
        </w:rPr>
        <w:t xml:space="preserve">S </w:t>
      </w:r>
      <w:r>
        <w:rPr>
          <w:rFonts w:hint="eastAsia"/>
          <w:sz w:val="24"/>
        </w:rPr>
        <w:t>、</w:t>
      </w:r>
      <w:r>
        <w:rPr>
          <w:sz w:val="24"/>
        </w:rPr>
        <w:t>NH</w:t>
      </w:r>
      <w:r>
        <w:rPr>
          <w:sz w:val="24"/>
          <w:vertAlign w:val="subscript"/>
        </w:rPr>
        <w:t>3</w:t>
      </w:r>
      <w:r>
        <w:rPr>
          <w:sz w:val="24"/>
        </w:rPr>
        <w:t xml:space="preserve"> </w:t>
      </w:r>
      <w:r>
        <w:rPr>
          <w:rFonts w:hint="eastAsia"/>
          <w:sz w:val="24"/>
        </w:rPr>
        <w:t>等。</w:t>
      </w:r>
      <w:r>
        <w:rPr>
          <w:sz w:val="24"/>
        </w:rPr>
        <w:t>CH</w:t>
      </w:r>
      <w:r>
        <w:rPr>
          <w:sz w:val="24"/>
          <w:vertAlign w:val="subscript"/>
        </w:rPr>
        <w:t>4</w:t>
      </w:r>
      <w:r>
        <w:rPr>
          <w:sz w:val="24"/>
        </w:rPr>
        <w:t xml:space="preserve"> </w:t>
      </w:r>
      <w:r>
        <w:rPr>
          <w:rFonts w:hint="eastAsia"/>
          <w:sz w:val="24"/>
        </w:rPr>
        <w:t>是易燃易爆的气体，与空气的混合比达到</w:t>
      </w:r>
      <w:r>
        <w:rPr>
          <w:sz w:val="24"/>
        </w:rPr>
        <w:t>5.0-15.0%(V/V)</w:t>
      </w:r>
      <w:r>
        <w:rPr>
          <w:rFonts w:hint="eastAsia"/>
          <w:sz w:val="24"/>
        </w:rPr>
        <w:t>的浓度范围，就会发生爆炸，造成危害；</w:t>
      </w:r>
      <w:r>
        <w:rPr>
          <w:sz w:val="24"/>
        </w:rPr>
        <w:t>H</w:t>
      </w:r>
      <w:r>
        <w:rPr>
          <w:sz w:val="24"/>
          <w:vertAlign w:val="subscript"/>
        </w:rPr>
        <w:t>2</w:t>
      </w:r>
      <w:r>
        <w:rPr>
          <w:sz w:val="24"/>
        </w:rPr>
        <w:t>S</w:t>
      </w:r>
      <w:r>
        <w:rPr>
          <w:rFonts w:hint="eastAsia"/>
          <w:sz w:val="24"/>
        </w:rPr>
        <w:t>、</w:t>
      </w:r>
      <w:r>
        <w:rPr>
          <w:sz w:val="24"/>
        </w:rPr>
        <w:t>NH</w:t>
      </w:r>
      <w:r>
        <w:rPr>
          <w:sz w:val="24"/>
          <w:vertAlign w:val="subscript"/>
        </w:rPr>
        <w:t>3</w:t>
      </w:r>
      <w:r>
        <w:rPr>
          <w:rFonts w:hint="eastAsia"/>
          <w:sz w:val="24"/>
        </w:rPr>
        <w:t>为有臭、有害的气体。填埋气体通过渗滤液导排气系统和导气石笼有序导排。</w:t>
      </w:r>
    </w:p>
    <w:p>
      <w:pPr>
        <w:adjustRightInd w:val="0"/>
        <w:snapToGrid w:val="0"/>
        <w:spacing w:line="360" w:lineRule="auto"/>
        <w:ind w:firstLine="480" w:firstLineChars="200"/>
        <w:rPr>
          <w:sz w:val="24"/>
        </w:rPr>
      </w:pPr>
      <w:r>
        <w:rPr>
          <w:rFonts w:hint="eastAsia"/>
          <w:sz w:val="24"/>
        </w:rPr>
        <w:t>根据《生活垃圾卫生填埋处理技术规范》</w:t>
      </w:r>
      <w:r>
        <w:rPr>
          <w:sz w:val="24"/>
        </w:rPr>
        <w:t>(GB50869-2013)</w:t>
      </w:r>
      <w:r>
        <w:rPr>
          <w:rFonts w:hint="eastAsia"/>
          <w:sz w:val="24"/>
        </w:rPr>
        <w:t>及《生活垃圾填埋场填埋气体收集处理及利用工程技术规范》（</w:t>
      </w:r>
      <w:r>
        <w:rPr>
          <w:sz w:val="24"/>
        </w:rPr>
        <w:t>CJJ133-2009</w:t>
      </w:r>
      <w:r>
        <w:rPr>
          <w:rFonts w:hint="eastAsia"/>
          <w:sz w:val="24"/>
        </w:rPr>
        <w:t>），当设计填埋库容大于或等于</w:t>
      </w:r>
      <w:r>
        <w:rPr>
          <w:sz w:val="24"/>
        </w:rPr>
        <w:t>2.5×10</w:t>
      </w:r>
      <w:r>
        <w:rPr>
          <w:sz w:val="24"/>
          <w:vertAlign w:val="superscript"/>
        </w:rPr>
        <w:t>6</w:t>
      </w:r>
      <w:r>
        <w:rPr>
          <w:sz w:val="24"/>
        </w:rPr>
        <w:t>t</w:t>
      </w:r>
      <w:r>
        <w:rPr>
          <w:rFonts w:hint="eastAsia"/>
          <w:sz w:val="24"/>
        </w:rPr>
        <w:t>，填埋厚度大于或等于</w:t>
      </w:r>
      <w:r>
        <w:rPr>
          <w:sz w:val="24"/>
        </w:rPr>
        <w:t>20m</w:t>
      </w:r>
      <w:r>
        <w:rPr>
          <w:rFonts w:hint="eastAsia"/>
          <w:sz w:val="24"/>
        </w:rPr>
        <w:t>时，应考虑填埋气体利用。根据本项目填埋场初步设计，建设总库容约</w:t>
      </w:r>
      <w:r>
        <w:rPr>
          <w:sz w:val="24"/>
        </w:rPr>
        <w:t>30.5m</w:t>
      </w:r>
      <w:r>
        <w:rPr>
          <w:sz w:val="24"/>
          <w:vertAlign w:val="superscript"/>
        </w:rPr>
        <w:t>3</w:t>
      </w:r>
      <w:r>
        <w:rPr>
          <w:rFonts w:hint="eastAsia"/>
          <w:sz w:val="24"/>
        </w:rPr>
        <w:t>，垃圾总填埋量为</w:t>
      </w:r>
      <w:r>
        <w:rPr>
          <w:sz w:val="24"/>
        </w:rPr>
        <w:t>244000t</w:t>
      </w:r>
      <w:r>
        <w:rPr>
          <w:rFonts w:hint="eastAsia"/>
          <w:sz w:val="24"/>
        </w:rPr>
        <w:t>小于</w:t>
      </w:r>
      <w:r>
        <w:rPr>
          <w:sz w:val="24"/>
        </w:rPr>
        <w:t>2.5×10</w:t>
      </w:r>
      <w:r>
        <w:rPr>
          <w:sz w:val="24"/>
          <w:vertAlign w:val="superscript"/>
        </w:rPr>
        <w:t>6</w:t>
      </w:r>
      <w:r>
        <w:rPr>
          <w:sz w:val="24"/>
        </w:rPr>
        <w:t>t</w:t>
      </w:r>
      <w:r>
        <w:rPr>
          <w:rFonts w:hint="eastAsia"/>
          <w:sz w:val="24"/>
        </w:rPr>
        <w:t>，填埋高度小于</w:t>
      </w:r>
      <w:r>
        <w:rPr>
          <w:sz w:val="24"/>
        </w:rPr>
        <w:t>20m</w:t>
      </w:r>
      <w:r>
        <w:rPr>
          <w:rFonts w:hint="eastAsia"/>
          <w:sz w:val="24"/>
        </w:rPr>
        <w:t>。因此，本项目填埋场设计导排气系统和导气石笼有序导排，符合《生活垃圾卫生填埋处理技术规范》</w:t>
      </w:r>
      <w:r>
        <w:rPr>
          <w:sz w:val="24"/>
        </w:rPr>
        <w:t>(GB50869-2013)</w:t>
      </w:r>
      <w:r>
        <w:rPr>
          <w:rFonts w:hint="eastAsia"/>
          <w:sz w:val="24"/>
        </w:rPr>
        <w:t>及《生活垃圾填埋场填埋</w:t>
      </w:r>
      <w:r>
        <w:rPr>
          <w:sz w:val="24"/>
        </w:rPr>
        <w:t>气体收集处理及利用工程技术规范》（CJJ133-2009）。</w:t>
      </w:r>
    </w:p>
    <w:p>
      <w:pPr>
        <w:autoSpaceDE w:val="0"/>
        <w:autoSpaceDN w:val="0"/>
        <w:adjustRightInd w:val="0"/>
        <w:snapToGrid w:val="0"/>
        <w:spacing w:line="360" w:lineRule="auto"/>
        <w:ind w:firstLine="480" w:firstLineChars="200"/>
        <w:rPr>
          <w:sz w:val="24"/>
        </w:rPr>
      </w:pPr>
      <w:r>
        <w:rPr>
          <w:sz w:val="24"/>
        </w:rPr>
        <w:t>为了减少填埋过程废气对周边环境的影响，项目采取以下减缓措施：</w:t>
      </w:r>
    </w:p>
    <w:p>
      <w:pPr>
        <w:autoSpaceDE w:val="0"/>
        <w:autoSpaceDN w:val="0"/>
        <w:adjustRightInd w:val="0"/>
        <w:snapToGrid w:val="0"/>
        <w:spacing w:line="360" w:lineRule="auto"/>
        <w:ind w:firstLine="480" w:firstLineChars="200"/>
        <w:rPr>
          <w:sz w:val="24"/>
        </w:rPr>
      </w:pPr>
      <w:r>
        <w:rPr>
          <w:rFonts w:hint="eastAsia"/>
          <w:sz w:val="24"/>
        </w:rPr>
        <w:t>①</w:t>
      </w:r>
      <w:r>
        <w:rPr>
          <w:sz w:val="24"/>
        </w:rPr>
        <w:t>严格按照垃圾填埋工艺填埋垃圾，分层压实，分层填埋填埋厚度为2.0米左右，</w:t>
      </w:r>
      <w:r>
        <w:rPr>
          <w:rFonts w:hint="eastAsia"/>
          <w:sz w:val="24"/>
        </w:rPr>
        <w:t>并及时覆土。土覆盖压实不仅抑制臭气的散发，同时可以增强土壤中的微生物本身的脱臭除臭作用。</w:t>
      </w:r>
    </w:p>
    <w:p>
      <w:pPr>
        <w:autoSpaceDE w:val="0"/>
        <w:autoSpaceDN w:val="0"/>
        <w:adjustRightInd w:val="0"/>
        <w:snapToGrid w:val="0"/>
        <w:spacing w:line="360" w:lineRule="auto"/>
        <w:ind w:firstLine="480" w:firstLineChars="200"/>
        <w:rPr>
          <w:sz w:val="24"/>
        </w:rPr>
      </w:pPr>
      <w:r>
        <w:rPr>
          <w:rFonts w:hint="eastAsia" w:ascii="宋体" w:hAnsi="宋体" w:cs="宋体"/>
          <w:sz w:val="24"/>
        </w:rPr>
        <w:t>②</w:t>
      </w:r>
      <w:r>
        <w:rPr>
          <w:sz w:val="24"/>
        </w:rPr>
        <w:t>在垃圾填埋场隔30米设一个导气石笼，设置高度必须高出垃圾填埋场填埋面1m以上。</w:t>
      </w:r>
    </w:p>
    <w:p>
      <w:pPr>
        <w:autoSpaceDE w:val="0"/>
        <w:autoSpaceDN w:val="0"/>
        <w:adjustRightInd w:val="0"/>
        <w:snapToGrid w:val="0"/>
        <w:spacing w:line="360" w:lineRule="auto"/>
        <w:ind w:firstLine="480" w:firstLineChars="200"/>
        <w:rPr>
          <w:sz w:val="24"/>
        </w:rPr>
      </w:pPr>
      <w:r>
        <w:rPr>
          <w:rFonts w:hint="eastAsia"/>
          <w:sz w:val="24"/>
        </w:rPr>
        <w:t>③定期喷洒药物，采用喷洒消臭、脱臭剂的方式，可以起到掩蔽、中和及消除恶臭的作用，把恶臭气体强度降到人们嗅觉所能接受的水平以下。</w:t>
      </w:r>
    </w:p>
    <w:p>
      <w:pPr>
        <w:autoSpaceDE w:val="0"/>
        <w:autoSpaceDN w:val="0"/>
        <w:adjustRightInd w:val="0"/>
        <w:snapToGrid w:val="0"/>
        <w:spacing w:line="360" w:lineRule="auto"/>
        <w:ind w:firstLine="480" w:firstLineChars="200"/>
        <w:rPr>
          <w:sz w:val="24"/>
        </w:rPr>
      </w:pPr>
      <w:r>
        <w:rPr>
          <w:rFonts w:hint="eastAsia"/>
          <w:sz w:val="24"/>
        </w:rPr>
        <w:t>④使用杀菌剂、防腐剂，降低垃圾等有机物腐败分解的速度。</w:t>
      </w:r>
    </w:p>
    <w:p>
      <w:pPr>
        <w:autoSpaceDE w:val="0"/>
        <w:autoSpaceDN w:val="0"/>
        <w:adjustRightInd w:val="0"/>
        <w:snapToGrid w:val="0"/>
        <w:spacing w:line="360" w:lineRule="auto"/>
        <w:ind w:firstLine="480" w:firstLineChars="200"/>
        <w:jc w:val="left"/>
        <w:rPr>
          <w:rFonts w:ascii="宋体" w:hAnsi="宋体" w:cs="宋体"/>
          <w:kern w:val="0"/>
          <w:sz w:val="24"/>
        </w:rPr>
      </w:pPr>
      <w:r>
        <w:rPr>
          <w:rFonts w:hint="eastAsia" w:ascii="宋体" w:hAnsi="宋体" w:cs="宋体"/>
          <w:kern w:val="0"/>
          <w:sz w:val="24"/>
        </w:rPr>
        <w:t xml:space="preserve">⑤终场覆土 </w:t>
      </w:r>
      <w:r>
        <w:rPr>
          <w:rFonts w:cs="宋体"/>
          <w:kern w:val="0"/>
          <w:sz w:val="24"/>
        </w:rPr>
        <w:t xml:space="preserve">1.0m </w:t>
      </w:r>
      <w:r>
        <w:rPr>
          <w:rFonts w:hint="eastAsia" w:ascii="宋体" w:hAnsi="宋体" w:cs="宋体"/>
          <w:kern w:val="0"/>
          <w:sz w:val="24"/>
        </w:rPr>
        <w:t>以上并及时恢复绿化。</w:t>
      </w:r>
    </w:p>
    <w:p>
      <w:pPr>
        <w:autoSpaceDE w:val="0"/>
        <w:autoSpaceDN w:val="0"/>
        <w:adjustRightInd w:val="0"/>
        <w:snapToGrid w:val="0"/>
        <w:spacing w:line="360" w:lineRule="auto"/>
        <w:ind w:firstLine="480" w:firstLineChars="200"/>
        <w:jc w:val="left"/>
        <w:rPr>
          <w:rFonts w:ascii="宋体" w:hAnsi="宋体" w:cs="宋体"/>
          <w:kern w:val="0"/>
          <w:sz w:val="24"/>
        </w:rPr>
      </w:pPr>
      <w:r>
        <w:rPr>
          <w:rFonts w:ascii="宋体" w:hAnsi="宋体" w:cs="宋体"/>
          <w:kern w:val="0"/>
          <w:sz w:val="24"/>
        </w:rPr>
        <w:fldChar w:fldCharType="begin"/>
      </w:r>
      <w:r>
        <w:rPr>
          <w:rFonts w:ascii="宋体" w:hAnsi="宋体" w:cs="宋体"/>
          <w:kern w:val="0"/>
          <w:sz w:val="24"/>
        </w:rPr>
        <w:instrText xml:space="preserve"> </w:instrText>
      </w:r>
      <w:r>
        <w:rPr>
          <w:rFonts w:hint="eastAsia" w:ascii="宋体" w:hAnsi="宋体" w:cs="宋体"/>
          <w:kern w:val="0"/>
          <w:sz w:val="24"/>
        </w:rPr>
        <w:instrText xml:space="preserve">= 6 \* GB3</w:instrText>
      </w:r>
      <w:r>
        <w:rPr>
          <w:rFonts w:ascii="宋体" w:hAnsi="宋体" w:cs="宋体"/>
          <w:kern w:val="0"/>
          <w:sz w:val="24"/>
        </w:rPr>
        <w:instrText xml:space="preserve"> </w:instrText>
      </w:r>
      <w:r>
        <w:rPr>
          <w:rFonts w:ascii="宋体" w:hAnsi="宋体" w:cs="宋体"/>
          <w:kern w:val="0"/>
          <w:sz w:val="24"/>
        </w:rPr>
        <w:fldChar w:fldCharType="separate"/>
      </w:r>
      <w:r>
        <w:rPr>
          <w:rFonts w:hint="eastAsia" w:ascii="宋体" w:hAnsi="宋体" w:cs="宋体"/>
          <w:kern w:val="0"/>
          <w:sz w:val="24"/>
        </w:rPr>
        <w:t>⑥</w:t>
      </w:r>
      <w:r>
        <w:rPr>
          <w:rFonts w:ascii="宋体" w:hAnsi="宋体" w:cs="宋体"/>
          <w:kern w:val="0"/>
          <w:sz w:val="24"/>
        </w:rPr>
        <w:fldChar w:fldCharType="end"/>
      </w:r>
      <w:r>
        <w:rPr>
          <w:rFonts w:hint="eastAsia" w:ascii="宋体" w:hAnsi="宋体" w:cs="宋体"/>
          <w:kern w:val="0"/>
          <w:sz w:val="24"/>
        </w:rPr>
        <w:t>填埋场区和填埋气体排放口的甲烷体积分数监测。</w:t>
      </w:r>
    </w:p>
    <w:p>
      <w:pPr>
        <w:adjustRightInd w:val="0"/>
        <w:snapToGrid w:val="0"/>
        <w:spacing w:line="360" w:lineRule="auto"/>
        <w:ind w:firstLine="480" w:firstLineChars="200"/>
        <w:rPr>
          <w:color w:val="FF0000"/>
          <w:sz w:val="24"/>
        </w:rPr>
      </w:pPr>
      <w:r>
        <w:rPr>
          <w:rFonts w:hint="eastAsia"/>
          <w:color w:val="FF0000"/>
          <w:sz w:val="24"/>
        </w:rPr>
        <w:t>（</w:t>
      </w:r>
      <w:r>
        <w:rPr>
          <w:color w:val="FF0000"/>
          <w:sz w:val="24"/>
        </w:rPr>
        <w:t>2</w:t>
      </w:r>
      <w:r>
        <w:rPr>
          <w:rFonts w:hint="eastAsia"/>
          <w:color w:val="FF0000"/>
          <w:sz w:val="24"/>
        </w:rPr>
        <w:t>）渗漏液处理站废气</w:t>
      </w:r>
    </w:p>
    <w:p>
      <w:pPr>
        <w:snapToGrid w:val="0"/>
        <w:spacing w:line="360" w:lineRule="auto"/>
        <w:ind w:firstLine="480" w:firstLineChars="200"/>
        <w:rPr>
          <w:color w:val="FF0000"/>
          <w:sz w:val="24"/>
        </w:rPr>
      </w:pPr>
      <w:r>
        <w:rPr>
          <w:rFonts w:hint="eastAsia"/>
          <w:color w:val="FF0000"/>
          <w:sz w:val="24"/>
        </w:rPr>
        <w:t>渗滤液处理站恶臭气体主要为硫化氢（</w:t>
      </w:r>
      <w:r>
        <w:rPr>
          <w:color w:val="FF0000"/>
          <w:sz w:val="24"/>
        </w:rPr>
        <w:t>H</w:t>
      </w:r>
      <w:r>
        <w:rPr>
          <w:color w:val="FF0000"/>
          <w:sz w:val="24"/>
          <w:vertAlign w:val="subscript"/>
        </w:rPr>
        <w:t>2</w:t>
      </w:r>
      <w:r>
        <w:rPr>
          <w:color w:val="FF0000"/>
          <w:sz w:val="24"/>
        </w:rPr>
        <w:t>S</w:t>
      </w:r>
      <w:r>
        <w:rPr>
          <w:rFonts w:hint="eastAsia"/>
          <w:color w:val="FF0000"/>
          <w:sz w:val="24"/>
        </w:rPr>
        <w:t>）、氨（</w:t>
      </w:r>
      <w:r>
        <w:rPr>
          <w:color w:val="FF0000"/>
          <w:sz w:val="24"/>
        </w:rPr>
        <w:t>NH</w:t>
      </w:r>
      <w:r>
        <w:rPr>
          <w:color w:val="FF0000"/>
          <w:sz w:val="24"/>
          <w:vertAlign w:val="subscript"/>
        </w:rPr>
        <w:t>3</w:t>
      </w:r>
      <w:r>
        <w:rPr>
          <w:rFonts w:hint="eastAsia"/>
          <w:color w:val="FF0000"/>
          <w:sz w:val="24"/>
        </w:rPr>
        <w:t>）、硫醇类等挥发性物质，其感官体现为综合性恶臭异味。渗滤液在调节池中停留时间长，夏季雨水多，蒸发量大，主要的可挥发性恶臭物质散发到空气中形成臭氧，在大气压较低时，恶臭物质在大气中的扩散速度较低，因此大气中的恶臭物质浓度大；此外调节池产生的恶臭物质极易滋生大量蚊蝇，从而严重影响填埋场区工作人员的工作及环境空气质量。</w:t>
      </w:r>
    </w:p>
    <w:p>
      <w:pPr>
        <w:adjustRightInd w:val="0"/>
        <w:snapToGrid w:val="0"/>
        <w:spacing w:line="360" w:lineRule="auto"/>
        <w:ind w:firstLine="480" w:firstLineChars="200"/>
        <w:rPr>
          <w:color w:val="FF0000"/>
          <w:sz w:val="24"/>
        </w:rPr>
      </w:pPr>
      <w:r>
        <w:rPr>
          <w:rFonts w:hint="eastAsia"/>
          <w:color w:val="FF0000"/>
          <w:sz w:val="24"/>
        </w:rPr>
        <w:t xml:space="preserve">项目调节池采用地埋式密封，形成了一个很好的厌氧环境，通过调节池的长时间停留可以将渗滤液均质，并通过厌氧处理大量降解污染物。调节池采用密封的形式，使得整个调节池呈封闭厌氧状态，在去除臭味的同时，可对 </w:t>
      </w:r>
      <w:r>
        <w:rPr>
          <w:color w:val="FF0000"/>
          <w:sz w:val="24"/>
        </w:rPr>
        <w:t xml:space="preserve">COD </w:t>
      </w:r>
      <w:r>
        <w:rPr>
          <w:rFonts w:hint="eastAsia"/>
          <w:color w:val="FF0000"/>
          <w:sz w:val="24"/>
        </w:rPr>
        <w:t>有一定的去除率，同时可避免雨季过多的雨水注入调节池，控制蚊蝇滋生、臭气外逸。项目渗滤液处理站采取封闭、喷洒除臭剂。符合《排污许可申请与核发技术规范 环境卫生管理业》（HJ1106-2020）可行技术运行管理的要求。</w:t>
      </w:r>
    </w:p>
    <w:p>
      <w:pPr>
        <w:autoSpaceDE w:val="0"/>
        <w:autoSpaceDN w:val="0"/>
        <w:adjustRightInd w:val="0"/>
        <w:snapToGrid w:val="0"/>
        <w:spacing w:line="360" w:lineRule="auto"/>
        <w:ind w:firstLine="482"/>
        <w:rPr>
          <w:color w:val="FF0000"/>
          <w:sz w:val="24"/>
        </w:rPr>
      </w:pPr>
      <w:r>
        <w:rPr>
          <w:rFonts w:hint="eastAsia"/>
          <w:color w:val="FF0000"/>
          <w:sz w:val="24"/>
        </w:rPr>
        <w:t>类比</w:t>
      </w:r>
      <w:r>
        <w:rPr>
          <w:color w:val="FF0000"/>
          <w:sz w:val="24"/>
        </w:rPr>
        <w:t>《巴彦淖尔市五原县隆兴昌镇生活垃圾无害化填埋场渗滤液处理工程竣工环境保护验收监测报告表》（渗滤液采用“预处理+一级DTRO 系统+二级DTRO 系统”处理工艺）</w:t>
      </w:r>
      <w:r>
        <w:rPr>
          <w:rFonts w:hint="eastAsia"/>
          <w:color w:val="FF0000"/>
          <w:sz w:val="24"/>
        </w:rPr>
        <w:t>验收监测结果：厂界四周</w:t>
      </w:r>
      <w:r>
        <w:rPr>
          <w:color w:val="FF0000"/>
          <w:sz w:val="24"/>
        </w:rPr>
        <w:t>NH</w:t>
      </w:r>
      <w:r>
        <w:rPr>
          <w:color w:val="FF0000"/>
          <w:sz w:val="24"/>
          <w:vertAlign w:val="subscript"/>
        </w:rPr>
        <w:t>3</w:t>
      </w:r>
      <w:r>
        <w:rPr>
          <w:rFonts w:hint="eastAsia"/>
          <w:color w:val="FF0000"/>
          <w:sz w:val="24"/>
        </w:rPr>
        <w:t>最大值为</w:t>
      </w:r>
      <w:r>
        <w:rPr>
          <w:color w:val="FF0000"/>
          <w:sz w:val="24"/>
        </w:rPr>
        <w:t>1.12mg/m</w:t>
      </w:r>
      <w:r>
        <w:rPr>
          <w:color w:val="FF0000"/>
          <w:sz w:val="24"/>
          <w:vertAlign w:val="superscript"/>
        </w:rPr>
        <w:t>3</w:t>
      </w:r>
      <w:r>
        <w:rPr>
          <w:rFonts w:hint="eastAsia"/>
          <w:color w:val="FF0000"/>
          <w:sz w:val="24"/>
        </w:rPr>
        <w:t>、</w:t>
      </w:r>
      <w:r>
        <w:rPr>
          <w:color w:val="FF0000"/>
          <w:sz w:val="24"/>
        </w:rPr>
        <w:t>H</w:t>
      </w:r>
      <w:r>
        <w:rPr>
          <w:color w:val="FF0000"/>
          <w:sz w:val="24"/>
          <w:vertAlign w:val="subscript"/>
        </w:rPr>
        <w:t>2</w:t>
      </w:r>
      <w:r>
        <w:rPr>
          <w:color w:val="FF0000"/>
          <w:sz w:val="24"/>
        </w:rPr>
        <w:t>S</w:t>
      </w:r>
      <w:r>
        <w:rPr>
          <w:rFonts w:hint="eastAsia"/>
          <w:color w:val="FF0000"/>
          <w:sz w:val="24"/>
        </w:rPr>
        <w:t>未检出、臭气</w:t>
      </w:r>
      <w:r>
        <w:rPr>
          <w:color w:val="FF0000"/>
          <w:sz w:val="24"/>
        </w:rPr>
        <w:t>16</w:t>
      </w:r>
      <w:r>
        <w:rPr>
          <w:rFonts w:hint="eastAsia"/>
          <w:color w:val="FF0000"/>
          <w:sz w:val="24"/>
        </w:rPr>
        <w:t>，因此本项目渗漏液处理站能够满足《恶臭污染物排放标准》</w:t>
      </w:r>
      <w:r>
        <w:rPr>
          <w:color w:val="FF0000"/>
          <w:sz w:val="24"/>
        </w:rPr>
        <w:t>(GB14554-93)</w:t>
      </w:r>
      <w:r>
        <w:rPr>
          <w:rFonts w:hint="eastAsia"/>
          <w:color w:val="FF0000"/>
          <w:sz w:val="24"/>
        </w:rPr>
        <w:t>表</w:t>
      </w:r>
      <w:r>
        <w:rPr>
          <w:color w:val="FF0000"/>
          <w:sz w:val="24"/>
        </w:rPr>
        <w:t xml:space="preserve">1 </w:t>
      </w:r>
      <w:r>
        <w:rPr>
          <w:rFonts w:hint="eastAsia"/>
          <w:color w:val="FF0000"/>
          <w:sz w:val="24"/>
        </w:rPr>
        <w:t>二级新扩建标准限值要求。</w:t>
      </w:r>
    </w:p>
    <w:p>
      <w:pPr>
        <w:adjustRightInd w:val="0"/>
        <w:snapToGrid w:val="0"/>
        <w:spacing w:line="360" w:lineRule="auto"/>
        <w:ind w:firstLine="480"/>
        <w:rPr>
          <w:sz w:val="24"/>
        </w:rPr>
      </w:pPr>
      <w:r>
        <w:rPr>
          <w:rFonts w:hint="eastAsia"/>
          <w:sz w:val="24"/>
        </w:rPr>
        <w:t>（3）填埋作业粉尘</w:t>
      </w:r>
    </w:p>
    <w:p>
      <w:pPr>
        <w:adjustRightInd w:val="0"/>
        <w:snapToGrid w:val="0"/>
        <w:spacing w:line="360" w:lineRule="auto"/>
        <w:ind w:firstLine="480" w:firstLineChars="200"/>
        <w:rPr>
          <w:color w:val="FF0000"/>
          <w:kern w:val="0"/>
          <w:sz w:val="24"/>
        </w:rPr>
      </w:pPr>
      <w:r>
        <w:rPr>
          <w:kern w:val="0"/>
          <w:sz w:val="24"/>
        </w:rPr>
        <w:t>填埋作业过程粉尘主要产生于垃圾倾倒及填埋过程扬尘，而作业过程产生的扬尘受风力作用、车辆行驶速度及物料含水率影响较大。本项目采取在填埋区四周设置高6.0m防飞散网对填埋过程可能飞散的垃圾进行有效阻隔。生活垃圾填埋区采取分区、分单元进行填埋作业，降低卸车高度、速率，每日填埋作业结束后，对作业面进行覆盖抑尘，定期洒水抑尘。</w:t>
      </w:r>
      <w:r>
        <w:rPr>
          <w:rFonts w:hint="eastAsia"/>
          <w:color w:val="FF0000"/>
          <w:kern w:val="0"/>
          <w:sz w:val="24"/>
        </w:rPr>
        <w:t>根据估算模型预测结果，无组织颗粒物最大预测浓度＜</w:t>
      </w:r>
      <w:r>
        <w:rPr>
          <w:color w:val="FF0000"/>
          <w:kern w:val="0"/>
          <w:sz w:val="24"/>
        </w:rPr>
        <w:t>0.27</w:t>
      </w:r>
      <w:r>
        <w:rPr>
          <w:rFonts w:hint="eastAsia"/>
          <w:color w:val="FF0000"/>
          <w:kern w:val="0"/>
          <w:sz w:val="24"/>
        </w:rPr>
        <w:t>mg/m</w:t>
      </w:r>
      <w:r>
        <w:rPr>
          <w:rFonts w:hint="eastAsia"/>
          <w:color w:val="FF0000"/>
          <w:kern w:val="0"/>
          <w:sz w:val="24"/>
          <w:vertAlign w:val="superscript"/>
        </w:rPr>
        <w:t>3</w:t>
      </w:r>
      <w:r>
        <w:rPr>
          <w:rFonts w:hint="eastAsia"/>
          <w:color w:val="FF0000"/>
          <w:kern w:val="0"/>
          <w:sz w:val="24"/>
        </w:rPr>
        <w:t>，满足《大气污染物综合排放标准》（GB16297-1996）表2 无组织排放监控浓度限值1mg/m</w:t>
      </w:r>
      <w:r>
        <w:rPr>
          <w:rFonts w:hint="eastAsia"/>
          <w:color w:val="FF0000"/>
          <w:kern w:val="0"/>
          <w:sz w:val="24"/>
          <w:vertAlign w:val="superscript"/>
        </w:rPr>
        <w:t>3</w:t>
      </w:r>
      <w:r>
        <w:rPr>
          <w:rFonts w:hint="eastAsia"/>
          <w:color w:val="FF0000"/>
          <w:kern w:val="0"/>
          <w:sz w:val="24"/>
        </w:rPr>
        <w:t>要求。</w:t>
      </w:r>
    </w:p>
    <w:p>
      <w:pPr>
        <w:pStyle w:val="3"/>
        <w:keepNext w:val="0"/>
        <w:keepLines w:val="0"/>
        <w:spacing w:before="156" w:beforeLines="50" w:after="156" w:afterLines="50" w:line="415" w:lineRule="auto"/>
        <w:rPr>
          <w:rFonts w:ascii="Times New Roman" w:hAnsi="Times New Roman" w:eastAsia="宋体"/>
        </w:rPr>
      </w:pPr>
      <w:bookmarkStart w:id="570" w:name="_Toc489433133"/>
      <w:bookmarkStart w:id="571" w:name="_Toc143762381"/>
      <w:r>
        <w:rPr>
          <w:rFonts w:ascii="Times New Roman" w:hAnsi="Times New Roman" w:eastAsia="宋体"/>
        </w:rPr>
        <w:t>8.2 水污染防治措施可行性分析</w:t>
      </w:r>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p>
    <w:p>
      <w:pPr>
        <w:spacing w:before="156" w:beforeLines="50" w:after="156" w:afterLines="50" w:line="360" w:lineRule="auto"/>
        <w:jc w:val="left"/>
        <w:outlineLvl w:val="2"/>
        <w:rPr>
          <w:b/>
          <w:bCs/>
          <w:sz w:val="28"/>
          <w:szCs w:val="32"/>
        </w:rPr>
      </w:pPr>
      <w:bookmarkStart w:id="572" w:name="_Toc489433134"/>
      <w:bookmarkStart w:id="573" w:name="_Toc143762382"/>
      <w:r>
        <w:rPr>
          <w:b/>
          <w:bCs/>
          <w:sz w:val="28"/>
          <w:szCs w:val="32"/>
        </w:rPr>
        <w:t>8.2.1 项目废水排放情况</w:t>
      </w:r>
      <w:bookmarkEnd w:id="572"/>
      <w:bookmarkEnd w:id="573"/>
    </w:p>
    <w:p>
      <w:pPr>
        <w:pStyle w:val="939"/>
        <w:adjustRightInd w:val="0"/>
        <w:snapToGrid w:val="0"/>
        <w:ind w:firstLine="480"/>
      </w:pPr>
      <w:bookmarkStart w:id="574" w:name="_Toc274251908"/>
      <w:bookmarkStart w:id="575" w:name="_Toc277949943"/>
      <w:bookmarkStart w:id="576" w:name="_Toc276333645"/>
      <w:bookmarkStart w:id="577" w:name="_Toc277238961"/>
      <w:bookmarkStart w:id="578" w:name="_Toc277632313"/>
      <w:bookmarkStart w:id="579" w:name="_Toc277949278"/>
      <w:bookmarkStart w:id="580" w:name="_Toc276105933"/>
      <w:bookmarkStart w:id="581" w:name="_Toc277336120"/>
      <w:bookmarkStart w:id="582" w:name="_Toc337465961"/>
      <w:bookmarkStart w:id="583" w:name="_Toc277244768"/>
      <w:bookmarkStart w:id="584" w:name="_Toc274251979"/>
      <w:bookmarkStart w:id="585" w:name="_Toc277196504"/>
      <w:bookmarkStart w:id="586" w:name="_Toc277228958"/>
      <w:r>
        <w:t>运营期废水为</w:t>
      </w:r>
      <w:r>
        <w:rPr>
          <w:rFonts w:hint="eastAsia"/>
        </w:rPr>
        <w:t>填埋场垃圾</w:t>
      </w:r>
      <w:r>
        <w:t>渗滤液和工作人员的生活污水。</w:t>
      </w:r>
    </w:p>
    <w:p>
      <w:pPr>
        <w:pStyle w:val="939"/>
        <w:adjustRightInd w:val="0"/>
        <w:snapToGrid w:val="0"/>
        <w:ind w:firstLine="480"/>
        <w:rPr>
          <w:color w:val="FF0000"/>
        </w:rPr>
      </w:pPr>
      <w:r>
        <w:rPr>
          <w:color w:val="FF0000"/>
        </w:rPr>
        <w:t>渗滤液产量最大为1.2m</w:t>
      </w:r>
      <w:r>
        <w:rPr>
          <w:color w:val="FF0000"/>
          <w:vertAlign w:val="superscript"/>
        </w:rPr>
        <w:t>3</w:t>
      </w:r>
      <w:r>
        <w:rPr>
          <w:color w:val="FF0000"/>
        </w:rPr>
        <w:t>/d，年产量为438 m</w:t>
      </w:r>
      <w:r>
        <w:rPr>
          <w:color w:val="FF0000"/>
          <w:vertAlign w:val="superscript"/>
        </w:rPr>
        <w:t>3</w:t>
      </w:r>
      <w:r>
        <w:rPr>
          <w:color w:val="FF0000"/>
        </w:rPr>
        <w:t>/a</w:t>
      </w:r>
      <w:r>
        <w:rPr>
          <w:rFonts w:hint="eastAsia"/>
          <w:color w:val="FF0000"/>
        </w:rPr>
        <w:t>，由调节池收集后，进入</w:t>
      </w:r>
      <w:r>
        <w:rPr>
          <w:color w:val="FF0000"/>
        </w:rPr>
        <w:t>渗滤液处理站处理</w:t>
      </w:r>
      <w:r>
        <w:rPr>
          <w:rFonts w:hint="eastAsia"/>
          <w:color w:val="FF0000"/>
        </w:rPr>
        <w:t>达标后用于绿化、抑尘等。</w:t>
      </w:r>
    </w:p>
    <w:p>
      <w:pPr>
        <w:pStyle w:val="939"/>
        <w:adjustRightInd w:val="0"/>
        <w:snapToGrid w:val="0"/>
        <w:ind w:firstLine="480"/>
        <w:rPr>
          <w:color w:val="FF0000"/>
        </w:rPr>
      </w:pPr>
      <w:r>
        <w:t>生活污水年污水产</w:t>
      </w:r>
      <w:r>
        <w:rPr>
          <w:rFonts w:hint="eastAsia"/>
        </w:rPr>
        <w:t>生</w:t>
      </w:r>
      <w:r>
        <w:t>量为52m</w:t>
      </w:r>
      <w:r>
        <w:rPr>
          <w:vertAlign w:val="superscript"/>
        </w:rPr>
        <w:t>3</w:t>
      </w:r>
      <w:r>
        <w:t>。通过自建的化粪池预处理后</w:t>
      </w:r>
      <w:r>
        <w:rPr>
          <w:rFonts w:hint="eastAsia"/>
        </w:rPr>
        <w:t>排入渗滤液处理站，处理达标后</w:t>
      </w:r>
      <w:r>
        <w:rPr>
          <w:rFonts w:hint="eastAsia"/>
          <w:color w:val="FF0000"/>
        </w:rPr>
        <w:t>用于绿化、抑尘等。</w:t>
      </w:r>
    </w:p>
    <w:p>
      <w:pPr>
        <w:adjustRightInd w:val="0"/>
        <w:snapToGrid w:val="0"/>
        <w:spacing w:line="360" w:lineRule="auto"/>
        <w:ind w:firstLine="480" w:firstLineChars="200"/>
        <w:rPr>
          <w:color w:val="FF0000"/>
          <w:sz w:val="24"/>
        </w:rPr>
      </w:pPr>
      <w:r>
        <w:rPr>
          <w:rFonts w:hint="eastAsia"/>
          <w:color w:val="FF0000"/>
          <w:sz w:val="24"/>
        </w:rPr>
        <w:t>项目反渗透膜冲洗废水产生量约</w:t>
      </w:r>
      <w:r>
        <w:rPr>
          <w:color w:val="FF0000"/>
          <w:sz w:val="24"/>
        </w:rPr>
        <w:t>0.1m</w:t>
      </w:r>
      <w:r>
        <w:rPr>
          <w:color w:val="FF0000"/>
          <w:sz w:val="24"/>
          <w:vertAlign w:val="superscript"/>
        </w:rPr>
        <w:t>3</w:t>
      </w:r>
      <w:r>
        <w:rPr>
          <w:color w:val="FF0000"/>
          <w:sz w:val="24"/>
        </w:rPr>
        <w:t>/d</w:t>
      </w:r>
      <w:r>
        <w:rPr>
          <w:rFonts w:hint="eastAsia"/>
          <w:color w:val="FF0000"/>
          <w:sz w:val="24"/>
        </w:rPr>
        <w:t>（</w:t>
      </w:r>
      <w:r>
        <w:rPr>
          <w:color w:val="FF0000"/>
          <w:sz w:val="24"/>
        </w:rPr>
        <w:t>36.5m</w:t>
      </w:r>
      <w:r>
        <w:rPr>
          <w:color w:val="FF0000"/>
          <w:sz w:val="24"/>
          <w:vertAlign w:val="superscript"/>
        </w:rPr>
        <w:t>3</w:t>
      </w:r>
      <w:r>
        <w:rPr>
          <w:color w:val="FF0000"/>
          <w:sz w:val="24"/>
        </w:rPr>
        <w:t>/a</w:t>
      </w:r>
      <w:r>
        <w:rPr>
          <w:rFonts w:hint="eastAsia"/>
          <w:color w:val="FF0000"/>
          <w:sz w:val="24"/>
        </w:rPr>
        <w:t>），排入渗滤液处理站处理，废水处理达标符合要求后用于绿化、填埋场洒水抑尘。</w:t>
      </w:r>
    </w:p>
    <w:p>
      <w:pPr>
        <w:adjustRightInd w:val="0"/>
        <w:snapToGrid w:val="0"/>
        <w:spacing w:line="360" w:lineRule="auto"/>
        <w:jc w:val="left"/>
        <w:outlineLvl w:val="2"/>
        <w:rPr>
          <w:b/>
          <w:bCs/>
          <w:sz w:val="28"/>
          <w:szCs w:val="32"/>
        </w:rPr>
      </w:pPr>
      <w:bookmarkStart w:id="587" w:name="_Toc489433135"/>
      <w:bookmarkStart w:id="588" w:name="_Toc143762383"/>
      <w:r>
        <w:rPr>
          <w:b/>
          <w:bCs/>
          <w:sz w:val="28"/>
          <w:szCs w:val="32"/>
        </w:rPr>
        <w:t>8.2.2 废水治理措施可行性分析</w:t>
      </w:r>
      <w:bookmarkEnd w:id="587"/>
      <w:bookmarkEnd w:id="588"/>
    </w:p>
    <w:p>
      <w:pPr>
        <w:adjustRightInd w:val="0"/>
        <w:snapToGrid w:val="0"/>
        <w:spacing w:line="360" w:lineRule="auto"/>
        <w:ind w:firstLine="480" w:firstLineChars="200"/>
        <w:rPr>
          <w:color w:val="FF0000"/>
          <w:sz w:val="24"/>
        </w:rPr>
      </w:pPr>
      <w:r>
        <w:rPr>
          <w:rFonts w:hint="eastAsia"/>
          <w:sz w:val="24"/>
        </w:rPr>
        <w:t>填埋场现已建成，根据实际运行情况渗滤液产生量少，未建设渗滤液处理站，垃圾渗滤液全部运往五原县隆兴昌镇生活垃圾处理厂渗滤液处理设施处理。根据《生活垃圾填埋场污染控制标准》（GB16889-2008）要求，现有全部生活垃圾填埋场应自行处理生活垃圾渗滤液，</w:t>
      </w:r>
      <w:r>
        <w:rPr>
          <w:rFonts w:hint="eastAsia"/>
          <w:color w:val="FF0000"/>
          <w:sz w:val="24"/>
        </w:rPr>
        <w:t>因此，</w:t>
      </w:r>
      <w:r>
        <w:rPr>
          <w:color w:val="FF0000"/>
          <w:sz w:val="24"/>
        </w:rPr>
        <w:t>本项目</w:t>
      </w:r>
      <w:r>
        <w:rPr>
          <w:rFonts w:hint="eastAsia"/>
          <w:color w:val="FF0000"/>
          <w:sz w:val="24"/>
        </w:rPr>
        <w:t>拟新建一座</w:t>
      </w:r>
      <w:r>
        <w:rPr>
          <w:color w:val="FF0000"/>
          <w:sz w:val="24"/>
        </w:rPr>
        <w:t>生活垃圾渗滤液处理系统</w:t>
      </w:r>
      <w:r>
        <w:rPr>
          <w:rFonts w:hint="eastAsia"/>
          <w:color w:val="FF0000"/>
          <w:sz w:val="24"/>
        </w:rPr>
        <w:t>。渗滤液设计规模的确定根据实际情况，考虑经济性、合理性。由于水量变化幅度较大，根据实际渗滤液的产生情况，再加上场区生活污水，考虑到调节池的调蓄作用，渗滤液处理站废水的处理规模定为3m</w:t>
      </w:r>
      <w:r>
        <w:rPr>
          <w:rFonts w:hint="eastAsia"/>
          <w:color w:val="FF0000"/>
          <w:sz w:val="24"/>
          <w:vertAlign w:val="superscript"/>
        </w:rPr>
        <w:t>3</w:t>
      </w:r>
      <w:r>
        <w:rPr>
          <w:rFonts w:hint="eastAsia"/>
          <w:color w:val="FF0000"/>
          <w:sz w:val="24"/>
        </w:rPr>
        <w:t>/d。由于填埋场现已建成，考虑到现场布局限制及管道建设成本，设计采用移动式渗滤液处理站，由吸污车定期排入渗滤液处理站处理，污水处理站间断运行，年运行约1</w:t>
      </w:r>
      <w:r>
        <w:rPr>
          <w:color w:val="FF0000"/>
          <w:sz w:val="24"/>
        </w:rPr>
        <w:t>46d</w:t>
      </w:r>
      <w:r>
        <w:rPr>
          <w:rFonts w:hint="eastAsia"/>
          <w:color w:val="FF0000"/>
          <w:sz w:val="24"/>
        </w:rPr>
        <w:t>。</w:t>
      </w:r>
    </w:p>
    <w:p>
      <w:pPr>
        <w:adjustRightInd w:val="0"/>
        <w:snapToGrid w:val="0"/>
        <w:spacing w:line="360" w:lineRule="auto"/>
        <w:ind w:firstLine="480" w:firstLineChars="200"/>
        <w:rPr>
          <w:color w:val="FF0000"/>
          <w:sz w:val="24"/>
        </w:rPr>
      </w:pPr>
      <w:r>
        <w:rPr>
          <w:rFonts w:hint="eastAsia"/>
          <w:color w:val="FF0000"/>
          <w:sz w:val="24"/>
        </w:rPr>
        <w:t>渗滤液处理站处理工艺参照五原县隆兴昌镇生活垃圾无害化填埋场渗滤液处理工程工艺，拟采用“预处理</w:t>
      </w:r>
      <w:r>
        <w:rPr>
          <w:color w:val="FF0000"/>
          <w:sz w:val="24"/>
        </w:rPr>
        <w:t>+</w:t>
      </w:r>
      <w:r>
        <w:rPr>
          <w:rFonts w:hint="eastAsia"/>
          <w:color w:val="FF0000"/>
          <w:sz w:val="24"/>
        </w:rPr>
        <w:t>一级</w:t>
      </w:r>
      <w:r>
        <w:rPr>
          <w:color w:val="FF0000"/>
          <w:sz w:val="24"/>
        </w:rPr>
        <w:t>DTRO+</w:t>
      </w:r>
      <w:r>
        <w:rPr>
          <w:rFonts w:hint="eastAsia"/>
          <w:color w:val="FF0000"/>
          <w:sz w:val="24"/>
        </w:rPr>
        <w:t>二级</w:t>
      </w:r>
      <w:r>
        <w:rPr>
          <w:color w:val="FF0000"/>
          <w:sz w:val="24"/>
        </w:rPr>
        <w:t>DTRO+</w:t>
      </w:r>
      <w:r>
        <w:rPr>
          <w:rFonts w:hint="eastAsia"/>
          <w:color w:val="FF0000"/>
          <w:sz w:val="24"/>
        </w:rPr>
        <w:t>清水脱气及</w:t>
      </w:r>
      <w:r>
        <w:rPr>
          <w:color w:val="FF0000"/>
          <w:sz w:val="24"/>
        </w:rPr>
        <w:t>pH</w:t>
      </w:r>
      <w:r>
        <w:rPr>
          <w:rFonts w:hint="eastAsia"/>
          <w:color w:val="FF0000"/>
          <w:sz w:val="24"/>
        </w:rPr>
        <w:t>调节</w:t>
      </w:r>
      <w:r>
        <w:rPr>
          <w:color w:val="FF0000"/>
          <w:sz w:val="24"/>
        </w:rPr>
        <w:t>+</w:t>
      </w:r>
      <w:r>
        <w:rPr>
          <w:rFonts w:hint="eastAsia"/>
          <w:color w:val="FF0000"/>
          <w:sz w:val="24"/>
        </w:rPr>
        <w:t>消毒”工艺。</w:t>
      </w:r>
    </w:p>
    <w:p>
      <w:pPr>
        <w:adjustRightInd w:val="0"/>
        <w:snapToGrid w:val="0"/>
        <w:spacing w:line="360" w:lineRule="auto"/>
        <w:ind w:firstLine="480" w:firstLineChars="200"/>
        <w:rPr>
          <w:color w:val="2E75B6" w:themeColor="accent1" w:themeShade="BF"/>
          <w:sz w:val="24"/>
        </w:rPr>
      </w:pPr>
      <w:r>
        <w:rPr>
          <w:rFonts w:hint="eastAsia"/>
          <w:color w:val="2E75B6" w:themeColor="accent1" w:themeShade="BF"/>
          <w:sz w:val="24"/>
        </w:rPr>
        <w:t>五原县隆兴昌镇生活垃圾无害化填埋场渗滤液处理工程于2</w:t>
      </w:r>
      <w:r>
        <w:rPr>
          <w:color w:val="2E75B6" w:themeColor="accent1" w:themeShade="BF"/>
          <w:sz w:val="24"/>
        </w:rPr>
        <w:t>023</w:t>
      </w:r>
      <w:r>
        <w:rPr>
          <w:rFonts w:hint="eastAsia"/>
          <w:color w:val="2E75B6" w:themeColor="accent1" w:themeShade="BF"/>
          <w:sz w:val="24"/>
        </w:rPr>
        <w:t>年3月自主验收通过，处理规模为8</w:t>
      </w:r>
      <w:r>
        <w:rPr>
          <w:color w:val="2E75B6" w:themeColor="accent1" w:themeShade="BF"/>
          <w:sz w:val="24"/>
        </w:rPr>
        <w:t>0</w:t>
      </w:r>
      <w:r>
        <w:rPr>
          <w:rFonts w:hint="eastAsia"/>
          <w:color w:val="2E75B6" w:themeColor="accent1" w:themeShade="BF"/>
          <w:sz w:val="24"/>
        </w:rPr>
        <w:t>t/d渗滤液，由于五原县隆兴昌镇生活垃圾无害化填埋场渗滤液处理工程已通过环保验收，渗滤液处理站出水满足《生活垃圾填埋场污染控制标准》（GB 16889-2008）限值要求，且与项目所处地理位置、季节、地方气候、垃圾成份相似， 因此渗滤液处理站建成后废水可以达标排放。</w:t>
      </w:r>
    </w:p>
    <w:p>
      <w:pPr>
        <w:adjustRightInd w:val="0"/>
        <w:snapToGrid w:val="0"/>
        <w:spacing w:line="360" w:lineRule="auto"/>
        <w:jc w:val="left"/>
        <w:outlineLvl w:val="2"/>
        <w:rPr>
          <w:b/>
          <w:bCs/>
          <w:sz w:val="28"/>
          <w:szCs w:val="32"/>
        </w:rPr>
      </w:pPr>
      <w:bookmarkStart w:id="589" w:name="_Toc489433142"/>
      <w:bookmarkStart w:id="590" w:name="_Toc143762384"/>
      <w:bookmarkStart w:id="591" w:name="_Toc489433136"/>
      <w:r>
        <w:rPr>
          <w:b/>
          <w:bCs/>
          <w:sz w:val="28"/>
          <w:szCs w:val="32"/>
        </w:rPr>
        <w:t>8.2.3</w:t>
      </w:r>
      <w:bookmarkEnd w:id="589"/>
      <w:r>
        <w:rPr>
          <w:rFonts w:hint="eastAsia"/>
          <w:b/>
          <w:bCs/>
          <w:sz w:val="28"/>
          <w:szCs w:val="32"/>
        </w:rPr>
        <w:t>分区防渗措施</w:t>
      </w:r>
      <w:bookmarkEnd w:id="590"/>
    </w:p>
    <w:p>
      <w:pPr>
        <w:pStyle w:val="939"/>
        <w:adjustRightInd w:val="0"/>
        <w:snapToGrid w:val="0"/>
        <w:ind w:firstLine="480"/>
      </w:pPr>
      <w:r>
        <w:t>根据《环境影响评价技术导则 地下水环境》（HJ610-2016）、《生活垃圾填埋场污染控制标准》（GB16889-2008）中的相关要求，对项目区域进行防渗分区。</w:t>
      </w:r>
    </w:p>
    <w:p>
      <w:pPr>
        <w:adjustRightInd w:val="0"/>
        <w:snapToGrid w:val="0"/>
        <w:jc w:val="center"/>
        <w:rPr>
          <w:b/>
          <w:sz w:val="24"/>
        </w:rPr>
      </w:pPr>
      <w:r>
        <w:rPr>
          <w:b/>
          <w:sz w:val="24"/>
        </w:rPr>
        <w:t>表8.2-1   本项目防渗分区一览表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134"/>
        <w:gridCol w:w="1282"/>
        <w:gridCol w:w="3134"/>
        <w:gridCol w:w="1851"/>
        <w:gridCol w:w="9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29" w:type="dxa"/>
            <w:vAlign w:val="center"/>
          </w:tcPr>
          <w:p>
            <w:pPr>
              <w:adjustRightInd w:val="0"/>
              <w:snapToGrid w:val="0"/>
              <w:jc w:val="center"/>
              <w:rPr>
                <w:szCs w:val="21"/>
              </w:rPr>
            </w:pPr>
            <w:r>
              <w:rPr>
                <w:rFonts w:ascii="宋体" w:hAnsi="宋体"/>
                <w:szCs w:val="21"/>
              </w:rPr>
              <w:t>防渗分区</w:t>
            </w:r>
          </w:p>
        </w:tc>
        <w:tc>
          <w:tcPr>
            <w:tcW w:w="1276" w:type="dxa"/>
            <w:vAlign w:val="center"/>
          </w:tcPr>
          <w:p>
            <w:pPr>
              <w:adjustRightInd w:val="0"/>
              <w:snapToGrid w:val="0"/>
              <w:jc w:val="center"/>
              <w:rPr>
                <w:szCs w:val="21"/>
              </w:rPr>
            </w:pPr>
            <w:r>
              <w:rPr>
                <w:rFonts w:ascii="宋体" w:hAnsi="宋体"/>
                <w:szCs w:val="21"/>
              </w:rPr>
              <w:t>防渗单元</w:t>
            </w:r>
          </w:p>
        </w:tc>
        <w:tc>
          <w:tcPr>
            <w:tcW w:w="3119" w:type="dxa"/>
            <w:vAlign w:val="center"/>
          </w:tcPr>
          <w:p>
            <w:pPr>
              <w:adjustRightInd w:val="0"/>
              <w:snapToGrid w:val="0"/>
              <w:jc w:val="center"/>
              <w:rPr>
                <w:szCs w:val="21"/>
              </w:rPr>
            </w:pPr>
            <w:r>
              <w:rPr>
                <w:rFonts w:ascii="宋体" w:hAnsi="宋体"/>
                <w:szCs w:val="21"/>
              </w:rPr>
              <w:t>防渗要求</w:t>
            </w:r>
          </w:p>
        </w:tc>
        <w:tc>
          <w:tcPr>
            <w:tcW w:w="1842" w:type="dxa"/>
            <w:vAlign w:val="center"/>
          </w:tcPr>
          <w:p>
            <w:pPr>
              <w:adjustRightInd w:val="0"/>
              <w:snapToGrid w:val="0"/>
              <w:jc w:val="center"/>
              <w:rPr>
                <w:szCs w:val="21"/>
              </w:rPr>
            </w:pPr>
            <w:r>
              <w:rPr>
                <w:rFonts w:ascii="宋体" w:hAnsi="宋体"/>
                <w:szCs w:val="21"/>
              </w:rPr>
              <w:t>依据规范</w:t>
            </w:r>
          </w:p>
        </w:tc>
        <w:tc>
          <w:tcPr>
            <w:tcW w:w="930" w:type="dxa"/>
            <w:vAlign w:val="center"/>
          </w:tcPr>
          <w:p>
            <w:pPr>
              <w:adjustRightInd w:val="0"/>
              <w:snapToGrid w:val="0"/>
              <w:jc w:val="center"/>
              <w:rPr>
                <w:szCs w:val="21"/>
              </w:rPr>
            </w:pPr>
            <w:r>
              <w:rPr>
                <w:rFonts w:ascii="宋体" w:hAnsi="宋体"/>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29" w:type="dxa"/>
            <w:vMerge w:val="restart"/>
            <w:vAlign w:val="center"/>
          </w:tcPr>
          <w:p>
            <w:pPr>
              <w:adjustRightInd w:val="0"/>
              <w:snapToGrid w:val="0"/>
              <w:jc w:val="center"/>
              <w:rPr>
                <w:szCs w:val="21"/>
              </w:rPr>
            </w:pPr>
            <w:r>
              <w:rPr>
                <w:rFonts w:ascii="宋体" w:hAnsi="宋体"/>
                <w:szCs w:val="21"/>
              </w:rPr>
              <w:t>重点防渗区</w:t>
            </w:r>
          </w:p>
        </w:tc>
        <w:tc>
          <w:tcPr>
            <w:tcW w:w="1276" w:type="dxa"/>
            <w:vAlign w:val="center"/>
          </w:tcPr>
          <w:p>
            <w:pPr>
              <w:adjustRightInd w:val="0"/>
              <w:snapToGrid w:val="0"/>
              <w:jc w:val="center"/>
              <w:rPr>
                <w:szCs w:val="21"/>
              </w:rPr>
            </w:pPr>
            <w:r>
              <w:rPr>
                <w:rFonts w:ascii="宋体" w:hAnsi="宋体"/>
                <w:szCs w:val="21"/>
              </w:rPr>
              <w:t>填埋区</w:t>
            </w:r>
          </w:p>
        </w:tc>
        <w:tc>
          <w:tcPr>
            <w:tcW w:w="3119" w:type="dxa"/>
            <w:vAlign w:val="center"/>
          </w:tcPr>
          <w:p>
            <w:pPr>
              <w:adjustRightInd w:val="0"/>
              <w:snapToGrid w:val="0"/>
              <w:jc w:val="center"/>
              <w:rPr>
                <w:szCs w:val="21"/>
              </w:rPr>
            </w:pPr>
            <w:r>
              <w:rPr>
                <w:rFonts w:ascii="宋体" w:hAnsi="宋体"/>
                <w:szCs w:val="21"/>
              </w:rPr>
              <w:t>采用双层人工合成材料防渗衬层，人工合成材料防渗衬层下应具有厚度不小于</w:t>
            </w:r>
            <w:r>
              <w:rPr>
                <w:szCs w:val="21"/>
              </w:rPr>
              <w:t>0.75m</w:t>
            </w:r>
            <w:r>
              <w:rPr>
                <w:rFonts w:ascii="宋体" w:hAnsi="宋体"/>
                <w:szCs w:val="21"/>
              </w:rPr>
              <w:t>，且其被压实后的饱和渗透系数小于</w:t>
            </w:r>
            <w:r>
              <w:rPr>
                <w:szCs w:val="21"/>
              </w:rPr>
              <w:t>1.0×10</w:t>
            </w:r>
            <w:r>
              <w:rPr>
                <w:szCs w:val="21"/>
                <w:vertAlign w:val="superscript"/>
              </w:rPr>
              <w:t>-10</w:t>
            </w:r>
            <w:r>
              <w:rPr>
                <w:szCs w:val="21"/>
              </w:rPr>
              <w:t>cm/s</w:t>
            </w:r>
            <w:r>
              <w:rPr>
                <w:rFonts w:ascii="宋体" w:hAnsi="宋体"/>
                <w:szCs w:val="21"/>
              </w:rPr>
              <w:t>的天然黏土衬层，或具有同等以上隔水效力的其他材料衬层</w:t>
            </w:r>
          </w:p>
        </w:tc>
        <w:tc>
          <w:tcPr>
            <w:tcW w:w="1842" w:type="dxa"/>
            <w:vAlign w:val="center"/>
          </w:tcPr>
          <w:p>
            <w:pPr>
              <w:adjustRightInd w:val="0"/>
              <w:snapToGrid w:val="0"/>
              <w:jc w:val="center"/>
              <w:rPr>
                <w:szCs w:val="21"/>
              </w:rPr>
            </w:pPr>
            <w:r>
              <w:rPr>
                <w:rFonts w:ascii="宋体" w:hAnsi="宋体"/>
                <w:szCs w:val="21"/>
              </w:rPr>
              <w:t>《生活垃圾填埋场污染控制标准》（</w:t>
            </w:r>
            <w:r>
              <w:rPr>
                <w:szCs w:val="21"/>
              </w:rPr>
              <w:t>GB16889-2008</w:t>
            </w:r>
            <w:r>
              <w:rPr>
                <w:rFonts w:ascii="宋体" w:hAnsi="宋体"/>
                <w:szCs w:val="21"/>
              </w:rPr>
              <w:t>）</w:t>
            </w:r>
          </w:p>
        </w:tc>
        <w:tc>
          <w:tcPr>
            <w:tcW w:w="930" w:type="dxa"/>
            <w:vMerge w:val="restart"/>
            <w:vAlign w:val="center"/>
          </w:tcPr>
          <w:p>
            <w:pPr>
              <w:adjustRightInd w:val="0"/>
              <w:snapToGrid w:val="0"/>
              <w:jc w:val="center"/>
              <w:rPr>
                <w:szCs w:val="21"/>
              </w:rPr>
            </w:pPr>
            <w:r>
              <w:rPr>
                <w:rFonts w:hint="eastAsia" w:ascii="宋体" w:hAnsi="宋体"/>
                <w:szCs w:val="21"/>
              </w:rPr>
              <w:t>填埋区、渗滤液调节池</w:t>
            </w:r>
            <w:r>
              <w:rPr>
                <w:rFonts w:ascii="宋体" w:hAnsi="宋体"/>
                <w:szCs w:val="21"/>
              </w:rPr>
              <w:t>均已建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29" w:type="dxa"/>
            <w:vMerge w:val="continue"/>
            <w:vAlign w:val="center"/>
          </w:tcPr>
          <w:p>
            <w:pPr>
              <w:widowControl/>
              <w:jc w:val="left"/>
              <w:rPr>
                <w:szCs w:val="21"/>
              </w:rPr>
            </w:pPr>
          </w:p>
        </w:tc>
        <w:tc>
          <w:tcPr>
            <w:tcW w:w="1276" w:type="dxa"/>
            <w:vAlign w:val="center"/>
          </w:tcPr>
          <w:p>
            <w:pPr>
              <w:adjustRightInd w:val="0"/>
              <w:snapToGrid w:val="0"/>
              <w:jc w:val="center"/>
              <w:rPr>
                <w:szCs w:val="21"/>
              </w:rPr>
            </w:pPr>
            <w:r>
              <w:rPr>
                <w:rFonts w:ascii="宋体" w:hAnsi="宋体"/>
                <w:szCs w:val="21"/>
              </w:rPr>
              <w:t>渗滤液调节池及处理系统</w:t>
            </w:r>
          </w:p>
        </w:tc>
        <w:tc>
          <w:tcPr>
            <w:tcW w:w="3119" w:type="dxa"/>
            <w:vAlign w:val="center"/>
          </w:tcPr>
          <w:p>
            <w:pPr>
              <w:adjustRightInd w:val="0"/>
              <w:snapToGrid w:val="0"/>
              <w:jc w:val="center"/>
              <w:rPr>
                <w:szCs w:val="21"/>
              </w:rPr>
            </w:pPr>
            <w:r>
              <w:rPr>
                <w:rFonts w:ascii="宋体" w:hAnsi="宋体"/>
                <w:szCs w:val="21"/>
              </w:rPr>
              <w:t>等效黏土防渗层</w:t>
            </w:r>
            <w:r>
              <w:rPr>
                <w:szCs w:val="21"/>
              </w:rPr>
              <w:t>Mb≥6m</w:t>
            </w:r>
            <w:r>
              <w:rPr>
                <w:rFonts w:ascii="宋体" w:hAnsi="宋体"/>
                <w:szCs w:val="21"/>
              </w:rPr>
              <w:t>，渗透系数</w:t>
            </w:r>
            <w:r>
              <w:rPr>
                <w:szCs w:val="21"/>
              </w:rPr>
              <w:t>K≤1×10</w:t>
            </w:r>
            <w:r>
              <w:rPr>
                <w:szCs w:val="21"/>
                <w:vertAlign w:val="superscript"/>
              </w:rPr>
              <w:t>-7</w:t>
            </w:r>
            <w:r>
              <w:rPr>
                <w:szCs w:val="21"/>
              </w:rPr>
              <w:t>cm/s</w:t>
            </w:r>
          </w:p>
        </w:tc>
        <w:tc>
          <w:tcPr>
            <w:tcW w:w="1842" w:type="dxa"/>
            <w:vAlign w:val="center"/>
          </w:tcPr>
          <w:p>
            <w:pPr>
              <w:adjustRightInd w:val="0"/>
              <w:snapToGrid w:val="0"/>
              <w:jc w:val="center"/>
              <w:rPr>
                <w:szCs w:val="21"/>
              </w:rPr>
            </w:pPr>
            <w:r>
              <w:rPr>
                <w:rFonts w:ascii="宋体" w:hAnsi="宋体"/>
                <w:szCs w:val="21"/>
              </w:rPr>
              <w:t>《环境影响评价技术导则</w:t>
            </w:r>
            <w:r>
              <w:rPr>
                <w:szCs w:val="21"/>
              </w:rPr>
              <w:t xml:space="preserve"> </w:t>
            </w:r>
            <w:r>
              <w:rPr>
                <w:rFonts w:ascii="宋体" w:hAnsi="宋体"/>
                <w:szCs w:val="21"/>
              </w:rPr>
              <w:t>地下水环境》（</w:t>
            </w:r>
            <w:r>
              <w:rPr>
                <w:szCs w:val="21"/>
              </w:rPr>
              <w:t>HJ610-2016</w:t>
            </w:r>
            <w:r>
              <w:rPr>
                <w:rFonts w:ascii="宋体" w:hAnsi="宋体"/>
                <w:szCs w:val="21"/>
              </w:rPr>
              <w:t>）</w:t>
            </w:r>
          </w:p>
        </w:tc>
        <w:tc>
          <w:tcPr>
            <w:tcW w:w="930" w:type="dxa"/>
            <w:vMerge w:val="continue"/>
            <w:vAlign w:val="center"/>
          </w:tcPr>
          <w:p>
            <w:pPr>
              <w:widowControl/>
              <w:jc w:val="left"/>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29" w:type="dxa"/>
            <w:vAlign w:val="center"/>
          </w:tcPr>
          <w:p>
            <w:pPr>
              <w:adjustRightInd w:val="0"/>
              <w:snapToGrid w:val="0"/>
              <w:jc w:val="center"/>
              <w:rPr>
                <w:szCs w:val="21"/>
              </w:rPr>
            </w:pPr>
            <w:r>
              <w:rPr>
                <w:rFonts w:ascii="宋体" w:hAnsi="宋体"/>
                <w:szCs w:val="21"/>
              </w:rPr>
              <w:t>一般防渗区</w:t>
            </w:r>
          </w:p>
        </w:tc>
        <w:tc>
          <w:tcPr>
            <w:tcW w:w="1276" w:type="dxa"/>
            <w:vAlign w:val="center"/>
          </w:tcPr>
          <w:p>
            <w:pPr>
              <w:adjustRightInd w:val="0"/>
              <w:snapToGrid w:val="0"/>
              <w:jc w:val="center"/>
              <w:rPr>
                <w:spacing w:val="-6"/>
                <w:szCs w:val="21"/>
              </w:rPr>
            </w:pPr>
            <w:r>
              <w:rPr>
                <w:rFonts w:ascii="宋体" w:hAnsi="宋体"/>
                <w:spacing w:val="-6"/>
                <w:szCs w:val="21"/>
              </w:rPr>
              <w:t>消防水池</w:t>
            </w:r>
          </w:p>
        </w:tc>
        <w:tc>
          <w:tcPr>
            <w:tcW w:w="3119" w:type="dxa"/>
            <w:vAlign w:val="center"/>
          </w:tcPr>
          <w:p>
            <w:pPr>
              <w:adjustRightInd w:val="0"/>
              <w:snapToGrid w:val="0"/>
              <w:jc w:val="center"/>
              <w:rPr>
                <w:szCs w:val="21"/>
              </w:rPr>
            </w:pPr>
            <w:r>
              <w:rPr>
                <w:rFonts w:ascii="宋体" w:hAnsi="宋体"/>
                <w:szCs w:val="21"/>
              </w:rPr>
              <w:t>等效黏土防渗层</w:t>
            </w:r>
            <w:r>
              <w:rPr>
                <w:szCs w:val="21"/>
              </w:rPr>
              <w:t>Mb≥1.5m</w:t>
            </w:r>
            <w:r>
              <w:rPr>
                <w:rFonts w:ascii="宋体" w:hAnsi="宋体"/>
                <w:szCs w:val="21"/>
              </w:rPr>
              <w:t>，渗透系数</w:t>
            </w:r>
            <w:r>
              <w:rPr>
                <w:szCs w:val="21"/>
              </w:rPr>
              <w:t>K≤1×10</w:t>
            </w:r>
            <w:r>
              <w:rPr>
                <w:szCs w:val="21"/>
                <w:vertAlign w:val="superscript"/>
              </w:rPr>
              <w:t>-7</w:t>
            </w:r>
            <w:r>
              <w:rPr>
                <w:szCs w:val="21"/>
              </w:rPr>
              <w:t>cm/s</w:t>
            </w:r>
          </w:p>
        </w:tc>
        <w:tc>
          <w:tcPr>
            <w:tcW w:w="1842" w:type="dxa"/>
            <w:vAlign w:val="center"/>
          </w:tcPr>
          <w:p>
            <w:pPr>
              <w:adjustRightInd w:val="0"/>
              <w:snapToGrid w:val="0"/>
              <w:jc w:val="center"/>
              <w:rPr>
                <w:spacing w:val="-6"/>
                <w:szCs w:val="21"/>
              </w:rPr>
            </w:pPr>
            <w:r>
              <w:rPr>
                <w:rFonts w:ascii="宋体" w:hAnsi="宋体"/>
                <w:szCs w:val="21"/>
              </w:rPr>
              <w:t>《环境影响评价技术导则</w:t>
            </w:r>
            <w:r>
              <w:rPr>
                <w:szCs w:val="21"/>
              </w:rPr>
              <w:t xml:space="preserve"> </w:t>
            </w:r>
            <w:r>
              <w:rPr>
                <w:rFonts w:ascii="宋体" w:hAnsi="宋体"/>
                <w:szCs w:val="21"/>
              </w:rPr>
              <w:t>地下水环境》（</w:t>
            </w:r>
            <w:r>
              <w:rPr>
                <w:szCs w:val="21"/>
              </w:rPr>
              <w:t>HJ610-2016</w:t>
            </w:r>
            <w:r>
              <w:rPr>
                <w:rFonts w:ascii="宋体" w:hAnsi="宋体"/>
                <w:szCs w:val="21"/>
              </w:rPr>
              <w:t>）</w:t>
            </w:r>
          </w:p>
        </w:tc>
        <w:tc>
          <w:tcPr>
            <w:tcW w:w="930" w:type="dxa"/>
            <w:vMerge w:val="continue"/>
            <w:vAlign w:val="center"/>
          </w:tcPr>
          <w:p>
            <w:pPr>
              <w:widowControl/>
              <w:jc w:val="left"/>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29" w:type="dxa"/>
            <w:vAlign w:val="center"/>
          </w:tcPr>
          <w:p>
            <w:pPr>
              <w:adjustRightInd w:val="0"/>
              <w:snapToGrid w:val="0"/>
              <w:jc w:val="center"/>
              <w:rPr>
                <w:szCs w:val="21"/>
              </w:rPr>
            </w:pPr>
            <w:r>
              <w:rPr>
                <w:rFonts w:ascii="宋体" w:hAnsi="宋体"/>
                <w:szCs w:val="21"/>
              </w:rPr>
              <w:t>简单防渗区</w:t>
            </w:r>
          </w:p>
        </w:tc>
        <w:tc>
          <w:tcPr>
            <w:tcW w:w="1276" w:type="dxa"/>
            <w:vAlign w:val="center"/>
          </w:tcPr>
          <w:p>
            <w:pPr>
              <w:adjustRightInd w:val="0"/>
              <w:snapToGrid w:val="0"/>
              <w:jc w:val="center"/>
              <w:rPr>
                <w:spacing w:val="-6"/>
                <w:szCs w:val="21"/>
              </w:rPr>
            </w:pPr>
            <w:r>
              <w:rPr>
                <w:rFonts w:ascii="宋体" w:hAnsi="宋体"/>
                <w:spacing w:val="-6"/>
                <w:szCs w:val="21"/>
              </w:rPr>
              <w:t>上述区域外</w:t>
            </w:r>
          </w:p>
        </w:tc>
        <w:tc>
          <w:tcPr>
            <w:tcW w:w="3119" w:type="dxa"/>
            <w:vAlign w:val="center"/>
          </w:tcPr>
          <w:p>
            <w:pPr>
              <w:adjustRightInd w:val="0"/>
              <w:snapToGrid w:val="0"/>
              <w:jc w:val="center"/>
              <w:rPr>
                <w:szCs w:val="21"/>
              </w:rPr>
            </w:pPr>
            <w:r>
              <w:rPr>
                <w:rFonts w:ascii="宋体" w:hAnsi="宋体"/>
                <w:szCs w:val="21"/>
              </w:rPr>
              <w:t>地面进行一般硬化</w:t>
            </w:r>
          </w:p>
        </w:tc>
        <w:tc>
          <w:tcPr>
            <w:tcW w:w="1842" w:type="dxa"/>
            <w:vAlign w:val="center"/>
          </w:tcPr>
          <w:p>
            <w:pPr>
              <w:adjustRightInd w:val="0"/>
              <w:snapToGrid w:val="0"/>
              <w:jc w:val="center"/>
              <w:rPr>
                <w:spacing w:val="-6"/>
                <w:szCs w:val="21"/>
              </w:rPr>
            </w:pPr>
            <w:r>
              <w:rPr>
                <w:spacing w:val="-6"/>
                <w:szCs w:val="21"/>
              </w:rPr>
              <w:t>--</w:t>
            </w:r>
          </w:p>
        </w:tc>
        <w:tc>
          <w:tcPr>
            <w:tcW w:w="930" w:type="dxa"/>
            <w:vMerge w:val="continue"/>
            <w:vAlign w:val="center"/>
          </w:tcPr>
          <w:p>
            <w:pPr>
              <w:widowControl/>
              <w:jc w:val="left"/>
              <w:rPr>
                <w:szCs w:val="21"/>
              </w:rPr>
            </w:pPr>
          </w:p>
        </w:tc>
      </w:tr>
    </w:tbl>
    <w:p>
      <w:pPr>
        <w:widowControl/>
        <w:spacing w:line="360" w:lineRule="auto"/>
        <w:jc w:val="center"/>
        <w:rPr>
          <w:kern w:val="0"/>
          <w:sz w:val="24"/>
        </w:rPr>
      </w:pPr>
      <w:r>
        <w:rPr>
          <w:rFonts w:hint="eastAsia"/>
          <w:szCs w:val="21"/>
        </w:rPr>
        <w:drawing>
          <wp:inline distT="0" distB="0" distL="0" distR="0">
            <wp:extent cx="5305425" cy="5219700"/>
            <wp:effectExtent l="0" t="0" r="9525" b="0"/>
            <wp:docPr id="290" name="图片 290" descr="C:\Users\众成环境\AppData\Local\Temp\ksohtml24568\wp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C:\Users\众成环境\AppData\Local\Temp\ksohtml24568\wps3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305425" cy="5219700"/>
                    </a:xfrm>
                    <a:prstGeom prst="rect">
                      <a:avLst/>
                    </a:prstGeom>
                    <a:noFill/>
                    <a:ln>
                      <a:noFill/>
                    </a:ln>
                  </pic:spPr>
                </pic:pic>
              </a:graphicData>
            </a:graphic>
          </wp:inline>
        </w:drawing>
      </w:r>
      <w:r>
        <w:rPr>
          <w:kern w:val="0"/>
          <w:sz w:val="24"/>
        </w:rPr>
        <w:t xml:space="preserve"> </w:t>
      </w:r>
    </w:p>
    <w:p>
      <w:pPr>
        <w:widowControl/>
        <w:spacing w:line="360" w:lineRule="auto"/>
        <w:jc w:val="center"/>
        <w:rPr>
          <w:b/>
          <w:kern w:val="0"/>
          <w:sz w:val="24"/>
        </w:rPr>
      </w:pPr>
      <w:r>
        <w:rPr>
          <w:b/>
          <w:kern w:val="0"/>
          <w:sz w:val="24"/>
        </w:rPr>
        <w:t>图8.2-1  分区防渗及跟踪监测井位置示意图</w:t>
      </w:r>
    </w:p>
    <w:p>
      <w:pPr>
        <w:adjustRightInd w:val="0"/>
        <w:snapToGrid w:val="0"/>
        <w:spacing w:line="360" w:lineRule="auto"/>
        <w:jc w:val="left"/>
        <w:outlineLvl w:val="2"/>
        <w:rPr>
          <w:b/>
          <w:bCs/>
          <w:sz w:val="28"/>
          <w:szCs w:val="32"/>
        </w:rPr>
      </w:pPr>
      <w:bookmarkStart w:id="592" w:name="_Toc143762385"/>
      <w:r>
        <w:rPr>
          <w:rFonts w:hint="eastAsia"/>
          <w:b/>
          <w:bCs/>
          <w:sz w:val="28"/>
          <w:szCs w:val="32"/>
        </w:rPr>
        <w:t>8.2.</w:t>
      </w:r>
      <w:r>
        <w:rPr>
          <w:b/>
          <w:bCs/>
          <w:sz w:val="28"/>
          <w:szCs w:val="32"/>
        </w:rPr>
        <w:t>4</w:t>
      </w:r>
      <w:r>
        <w:rPr>
          <w:rFonts w:hint="eastAsia"/>
          <w:b/>
          <w:bCs/>
          <w:sz w:val="28"/>
          <w:szCs w:val="32"/>
        </w:rPr>
        <w:t>污染监控</w:t>
      </w:r>
      <w:bookmarkEnd w:id="592"/>
    </w:p>
    <w:p>
      <w:pPr>
        <w:widowControl/>
        <w:adjustRightInd w:val="0"/>
        <w:snapToGrid w:val="0"/>
        <w:spacing w:line="360" w:lineRule="auto"/>
        <w:ind w:firstLine="480" w:firstLineChars="200"/>
        <w:rPr>
          <w:kern w:val="0"/>
          <w:sz w:val="24"/>
        </w:rPr>
      </w:pPr>
      <w:r>
        <w:rPr>
          <w:rFonts w:ascii="宋体" w:hAnsi="宋体"/>
          <w:kern w:val="0"/>
          <w:sz w:val="24"/>
        </w:rPr>
        <w:t>为及时而准确的掌握项目周边地下水环境质量状况，发现问题及时解决，切实加强环境保护与环境管理，为此建议在项目建设过程中及投产运行期，建立地下水环境监控体系，包括建立地下水监控网点，建立完善监测制度。同时，配备相应的监测人员及配置先进的监测仪器设备。</w:t>
      </w:r>
    </w:p>
    <w:p>
      <w:pPr>
        <w:widowControl/>
        <w:adjustRightInd w:val="0"/>
        <w:snapToGrid w:val="0"/>
        <w:spacing w:line="360" w:lineRule="auto"/>
        <w:ind w:firstLine="480" w:firstLineChars="200"/>
        <w:rPr>
          <w:kern w:val="0"/>
          <w:sz w:val="24"/>
        </w:rPr>
      </w:pPr>
      <w:r>
        <w:rPr>
          <w:rFonts w:ascii="宋体" w:hAnsi="宋体"/>
          <w:kern w:val="0"/>
          <w:sz w:val="24"/>
        </w:rPr>
        <w:t>根据《地下水环境监测技术规范》（</w:t>
      </w:r>
      <w:r>
        <w:rPr>
          <w:kern w:val="0"/>
          <w:sz w:val="24"/>
        </w:rPr>
        <w:t>HJ164-2020</w:t>
      </w:r>
      <w:r>
        <w:rPr>
          <w:rFonts w:ascii="宋体" w:hAnsi="宋体"/>
          <w:kern w:val="0"/>
          <w:sz w:val="24"/>
        </w:rPr>
        <w:t>）、</w:t>
      </w:r>
      <w:r>
        <w:rPr>
          <w:rFonts w:ascii="宋体" w:hAnsi="宋体"/>
          <w:sz w:val="24"/>
        </w:rPr>
        <w:t>《生活垃圾填埋场污染控制标准》（</w:t>
      </w:r>
      <w:r>
        <w:rPr>
          <w:sz w:val="24"/>
        </w:rPr>
        <w:t>GB16889-2008</w:t>
      </w:r>
      <w:r>
        <w:rPr>
          <w:rFonts w:ascii="宋体" w:hAnsi="宋体"/>
          <w:sz w:val="24"/>
        </w:rPr>
        <w:t>）</w:t>
      </w:r>
      <w:r>
        <w:rPr>
          <w:rFonts w:ascii="宋体" w:hAnsi="宋体"/>
          <w:kern w:val="0"/>
          <w:sz w:val="24"/>
        </w:rPr>
        <w:t>要求，在项目场地周边设置一定数量地下水质污染监控井，建立地下水质污染监控、预警体系。</w:t>
      </w:r>
    </w:p>
    <w:p>
      <w:pPr>
        <w:widowControl/>
        <w:adjustRightInd w:val="0"/>
        <w:snapToGrid w:val="0"/>
        <w:spacing w:line="360" w:lineRule="auto"/>
        <w:ind w:firstLine="480" w:firstLineChars="200"/>
        <w:rPr>
          <w:kern w:val="0"/>
          <w:sz w:val="24"/>
        </w:rPr>
      </w:pPr>
      <w:r>
        <w:rPr>
          <w:rFonts w:ascii="宋体" w:hAnsi="宋体"/>
          <w:kern w:val="0"/>
          <w:sz w:val="24"/>
        </w:rPr>
        <w:t>（</w:t>
      </w:r>
      <w:r>
        <w:rPr>
          <w:kern w:val="0"/>
          <w:sz w:val="24"/>
        </w:rPr>
        <w:t>1</w:t>
      </w:r>
      <w:r>
        <w:rPr>
          <w:rFonts w:ascii="宋体" w:hAnsi="宋体"/>
          <w:kern w:val="0"/>
          <w:sz w:val="24"/>
        </w:rPr>
        <w:t>）监测点的设置：</w:t>
      </w:r>
    </w:p>
    <w:p>
      <w:pPr>
        <w:widowControl/>
        <w:adjustRightInd w:val="0"/>
        <w:snapToGrid w:val="0"/>
        <w:spacing w:line="360" w:lineRule="auto"/>
        <w:ind w:firstLine="480" w:firstLineChars="200"/>
        <w:rPr>
          <w:kern w:val="0"/>
          <w:sz w:val="24"/>
        </w:rPr>
      </w:pPr>
      <w:r>
        <w:rPr>
          <w:rFonts w:ascii="宋体" w:hAnsi="宋体"/>
          <w:kern w:val="0"/>
          <w:sz w:val="24"/>
        </w:rPr>
        <w:t>布置</w:t>
      </w:r>
      <w:r>
        <w:rPr>
          <w:kern w:val="0"/>
          <w:sz w:val="24"/>
        </w:rPr>
        <w:t>6</w:t>
      </w:r>
      <w:r>
        <w:rPr>
          <w:rFonts w:ascii="宋体" w:hAnsi="宋体"/>
          <w:kern w:val="0"/>
          <w:sz w:val="24"/>
        </w:rPr>
        <w:t>个监测井，均已建。分别为</w:t>
      </w:r>
      <w:r>
        <w:rPr>
          <w:kern w:val="0"/>
          <w:sz w:val="24"/>
        </w:rPr>
        <w:t>1#</w:t>
      </w:r>
      <w:r>
        <w:rPr>
          <w:rFonts w:ascii="宋体" w:hAnsi="宋体"/>
          <w:kern w:val="0"/>
          <w:sz w:val="24"/>
        </w:rPr>
        <w:t>监测井、</w:t>
      </w:r>
      <w:r>
        <w:rPr>
          <w:kern w:val="0"/>
          <w:sz w:val="24"/>
        </w:rPr>
        <w:t>2#</w:t>
      </w:r>
      <w:r>
        <w:rPr>
          <w:rFonts w:ascii="宋体" w:hAnsi="宋体"/>
          <w:kern w:val="0"/>
          <w:sz w:val="24"/>
        </w:rPr>
        <w:t>监测井、</w:t>
      </w:r>
      <w:r>
        <w:rPr>
          <w:kern w:val="0"/>
          <w:sz w:val="24"/>
        </w:rPr>
        <w:t>3#</w:t>
      </w:r>
      <w:r>
        <w:rPr>
          <w:rFonts w:ascii="宋体" w:hAnsi="宋体"/>
          <w:kern w:val="0"/>
          <w:sz w:val="24"/>
        </w:rPr>
        <w:t>监测井、</w:t>
      </w:r>
      <w:r>
        <w:rPr>
          <w:kern w:val="0"/>
          <w:sz w:val="24"/>
        </w:rPr>
        <w:t>4#</w:t>
      </w:r>
      <w:r>
        <w:rPr>
          <w:rFonts w:ascii="宋体" w:hAnsi="宋体"/>
          <w:kern w:val="0"/>
          <w:sz w:val="24"/>
        </w:rPr>
        <w:t>监测井、</w:t>
      </w:r>
      <w:r>
        <w:rPr>
          <w:kern w:val="0"/>
          <w:sz w:val="24"/>
        </w:rPr>
        <w:t>5#</w:t>
      </w:r>
      <w:r>
        <w:rPr>
          <w:rFonts w:ascii="宋体" w:hAnsi="宋体"/>
          <w:kern w:val="0"/>
          <w:sz w:val="24"/>
        </w:rPr>
        <w:t>监测井、</w:t>
      </w:r>
      <w:r>
        <w:rPr>
          <w:kern w:val="0"/>
          <w:sz w:val="24"/>
        </w:rPr>
        <w:t>6#</w:t>
      </w:r>
      <w:r>
        <w:rPr>
          <w:rFonts w:ascii="宋体" w:hAnsi="宋体"/>
          <w:kern w:val="0"/>
          <w:sz w:val="24"/>
        </w:rPr>
        <w:t>监测井。其中</w:t>
      </w:r>
      <w:r>
        <w:rPr>
          <w:kern w:val="0"/>
          <w:sz w:val="24"/>
        </w:rPr>
        <w:t>1#</w:t>
      </w:r>
      <w:r>
        <w:rPr>
          <w:rFonts w:ascii="宋体" w:hAnsi="宋体"/>
          <w:kern w:val="0"/>
          <w:sz w:val="24"/>
        </w:rPr>
        <w:t>监测井、</w:t>
      </w:r>
      <w:r>
        <w:rPr>
          <w:kern w:val="0"/>
          <w:sz w:val="24"/>
        </w:rPr>
        <w:t>2#</w:t>
      </w:r>
      <w:r>
        <w:rPr>
          <w:rFonts w:ascii="宋体" w:hAnsi="宋体"/>
          <w:kern w:val="0"/>
          <w:sz w:val="24"/>
        </w:rPr>
        <w:t>监测井位于场地上游（本底井），监测场地天然背景浓度，用于和下游监测井进行对比；</w:t>
      </w:r>
      <w:r>
        <w:rPr>
          <w:kern w:val="0"/>
          <w:sz w:val="24"/>
        </w:rPr>
        <w:t>3#</w:t>
      </w:r>
      <w:r>
        <w:rPr>
          <w:rFonts w:ascii="宋体" w:hAnsi="宋体"/>
          <w:kern w:val="0"/>
          <w:sz w:val="24"/>
        </w:rPr>
        <w:t>监测井、</w:t>
      </w:r>
      <w:r>
        <w:rPr>
          <w:kern w:val="0"/>
          <w:sz w:val="24"/>
        </w:rPr>
        <w:t>5</w:t>
      </w:r>
      <w:r>
        <w:rPr>
          <w:rFonts w:ascii="宋体" w:hAnsi="宋体"/>
          <w:kern w:val="0"/>
          <w:sz w:val="24"/>
        </w:rPr>
        <w:t>监测井位于场地地下水走向的两侧（污染扩散井），</w:t>
      </w:r>
      <w:r>
        <w:rPr>
          <w:kern w:val="0"/>
          <w:sz w:val="24"/>
        </w:rPr>
        <w:t>4#</w:t>
      </w:r>
      <w:r>
        <w:rPr>
          <w:rFonts w:ascii="宋体" w:hAnsi="宋体"/>
          <w:kern w:val="0"/>
          <w:sz w:val="24"/>
        </w:rPr>
        <w:t>监测井、</w:t>
      </w:r>
      <w:r>
        <w:rPr>
          <w:kern w:val="0"/>
          <w:sz w:val="24"/>
        </w:rPr>
        <w:t>6#</w:t>
      </w:r>
      <w:r>
        <w:rPr>
          <w:rFonts w:ascii="宋体" w:hAnsi="宋体"/>
          <w:kern w:val="0"/>
          <w:sz w:val="24"/>
        </w:rPr>
        <w:t>监测井位于场地下游（污染监视井），用于控制场地两侧及下游污染物的渗漏情况。</w:t>
      </w:r>
    </w:p>
    <w:p>
      <w:pPr>
        <w:widowControl/>
        <w:adjustRightInd w:val="0"/>
        <w:snapToGrid w:val="0"/>
        <w:jc w:val="center"/>
        <w:rPr>
          <w:b/>
          <w:kern w:val="0"/>
          <w:sz w:val="24"/>
        </w:rPr>
      </w:pPr>
      <w:r>
        <w:rPr>
          <w:rFonts w:ascii="宋体" w:hAnsi="宋体"/>
          <w:b/>
          <w:kern w:val="0"/>
          <w:sz w:val="24"/>
        </w:rPr>
        <w:t>表</w:t>
      </w:r>
      <w:r>
        <w:rPr>
          <w:b/>
          <w:sz w:val="24"/>
        </w:rPr>
        <w:t>8.2-2</w:t>
      </w:r>
      <w:r>
        <w:rPr>
          <w:b/>
          <w:kern w:val="0"/>
          <w:sz w:val="24"/>
        </w:rPr>
        <w:t xml:space="preserve">  </w:t>
      </w:r>
      <w:r>
        <w:rPr>
          <w:rFonts w:ascii="宋体" w:hAnsi="宋体"/>
          <w:b/>
          <w:kern w:val="0"/>
          <w:sz w:val="24"/>
        </w:rPr>
        <w:t>地水跟踪监测井基本情况一览表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448"/>
        <w:gridCol w:w="1321"/>
        <w:gridCol w:w="1322"/>
        <w:gridCol w:w="1057"/>
        <w:gridCol w:w="661"/>
        <w:gridCol w:w="1322"/>
        <w:gridCol w:w="603"/>
        <w:gridCol w:w="6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42" w:type="dxa"/>
            <w:vMerge w:val="restart"/>
            <w:vAlign w:val="center"/>
          </w:tcPr>
          <w:p>
            <w:pPr>
              <w:widowControl/>
              <w:adjustRightInd w:val="0"/>
              <w:snapToGrid w:val="0"/>
              <w:jc w:val="center"/>
              <w:rPr>
                <w:kern w:val="0"/>
                <w:szCs w:val="21"/>
              </w:rPr>
            </w:pPr>
            <w:r>
              <w:rPr>
                <w:rFonts w:ascii="宋体" w:hAnsi="宋体"/>
                <w:kern w:val="0"/>
                <w:szCs w:val="21"/>
              </w:rPr>
              <w:t>名称</w:t>
            </w:r>
          </w:p>
        </w:tc>
        <w:tc>
          <w:tcPr>
            <w:tcW w:w="2629" w:type="dxa"/>
            <w:gridSpan w:val="2"/>
            <w:vAlign w:val="center"/>
          </w:tcPr>
          <w:p>
            <w:pPr>
              <w:widowControl/>
              <w:adjustRightInd w:val="0"/>
              <w:snapToGrid w:val="0"/>
              <w:jc w:val="center"/>
              <w:rPr>
                <w:kern w:val="0"/>
                <w:szCs w:val="21"/>
              </w:rPr>
            </w:pPr>
            <w:r>
              <w:rPr>
                <w:rFonts w:ascii="宋体" w:hAnsi="宋体"/>
                <w:kern w:val="0"/>
                <w:szCs w:val="21"/>
              </w:rPr>
              <w:t>坐标</w:t>
            </w:r>
          </w:p>
        </w:tc>
        <w:tc>
          <w:tcPr>
            <w:tcW w:w="1052" w:type="dxa"/>
            <w:vMerge w:val="restart"/>
            <w:vAlign w:val="center"/>
          </w:tcPr>
          <w:p>
            <w:pPr>
              <w:widowControl/>
              <w:adjustRightInd w:val="0"/>
              <w:snapToGrid w:val="0"/>
              <w:jc w:val="center"/>
              <w:rPr>
                <w:kern w:val="0"/>
                <w:szCs w:val="21"/>
              </w:rPr>
            </w:pPr>
            <w:r>
              <w:rPr>
                <w:rFonts w:ascii="宋体" w:hAnsi="宋体"/>
                <w:kern w:val="0"/>
                <w:szCs w:val="21"/>
              </w:rPr>
              <w:t>位置</w:t>
            </w:r>
          </w:p>
        </w:tc>
        <w:tc>
          <w:tcPr>
            <w:tcW w:w="658" w:type="dxa"/>
            <w:vMerge w:val="restart"/>
            <w:vAlign w:val="center"/>
          </w:tcPr>
          <w:p>
            <w:pPr>
              <w:widowControl/>
              <w:adjustRightInd w:val="0"/>
              <w:snapToGrid w:val="0"/>
              <w:jc w:val="center"/>
              <w:rPr>
                <w:kern w:val="0"/>
                <w:szCs w:val="21"/>
              </w:rPr>
            </w:pPr>
            <w:r>
              <w:rPr>
                <w:rFonts w:ascii="宋体" w:hAnsi="宋体"/>
                <w:kern w:val="0"/>
                <w:szCs w:val="21"/>
              </w:rPr>
              <w:t>孔深</w:t>
            </w:r>
            <w:r>
              <w:rPr>
                <w:kern w:val="0"/>
                <w:szCs w:val="21"/>
              </w:rPr>
              <w:t>(m)</w:t>
            </w:r>
          </w:p>
        </w:tc>
        <w:tc>
          <w:tcPr>
            <w:tcW w:w="1315" w:type="dxa"/>
            <w:vMerge w:val="restart"/>
            <w:vAlign w:val="center"/>
          </w:tcPr>
          <w:p>
            <w:pPr>
              <w:widowControl/>
              <w:adjustRightInd w:val="0"/>
              <w:snapToGrid w:val="0"/>
              <w:jc w:val="center"/>
              <w:rPr>
                <w:kern w:val="0"/>
                <w:szCs w:val="21"/>
              </w:rPr>
            </w:pPr>
            <w:r>
              <w:rPr>
                <w:rFonts w:ascii="宋体" w:hAnsi="宋体"/>
                <w:kern w:val="0"/>
                <w:szCs w:val="21"/>
              </w:rPr>
              <w:t>井孔结构</w:t>
            </w:r>
          </w:p>
        </w:tc>
        <w:tc>
          <w:tcPr>
            <w:tcW w:w="600" w:type="dxa"/>
            <w:vMerge w:val="restart"/>
            <w:vAlign w:val="center"/>
          </w:tcPr>
          <w:p>
            <w:pPr>
              <w:widowControl/>
              <w:adjustRightInd w:val="0"/>
              <w:snapToGrid w:val="0"/>
              <w:jc w:val="center"/>
              <w:rPr>
                <w:kern w:val="0"/>
                <w:szCs w:val="21"/>
              </w:rPr>
            </w:pPr>
            <w:r>
              <w:rPr>
                <w:rFonts w:ascii="宋体" w:hAnsi="宋体"/>
                <w:kern w:val="0"/>
                <w:szCs w:val="21"/>
              </w:rPr>
              <w:t>监测</w:t>
            </w:r>
          </w:p>
          <w:p>
            <w:pPr>
              <w:widowControl/>
              <w:adjustRightInd w:val="0"/>
              <w:snapToGrid w:val="0"/>
              <w:jc w:val="center"/>
              <w:rPr>
                <w:kern w:val="0"/>
                <w:szCs w:val="21"/>
              </w:rPr>
            </w:pPr>
            <w:r>
              <w:rPr>
                <w:rFonts w:ascii="宋体" w:hAnsi="宋体"/>
                <w:kern w:val="0"/>
                <w:szCs w:val="21"/>
              </w:rPr>
              <w:t>层位</w:t>
            </w:r>
          </w:p>
        </w:tc>
        <w:tc>
          <w:tcPr>
            <w:tcW w:w="600" w:type="dxa"/>
            <w:vMerge w:val="restart"/>
            <w:vAlign w:val="center"/>
          </w:tcPr>
          <w:p>
            <w:pPr>
              <w:widowControl/>
              <w:adjustRightInd w:val="0"/>
              <w:snapToGrid w:val="0"/>
              <w:jc w:val="center"/>
              <w:rPr>
                <w:kern w:val="0"/>
                <w:szCs w:val="21"/>
              </w:rPr>
            </w:pPr>
            <w:r>
              <w:rPr>
                <w:rFonts w:ascii="宋体" w:hAnsi="宋体"/>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42" w:type="dxa"/>
            <w:vMerge w:val="continue"/>
            <w:vAlign w:val="center"/>
          </w:tcPr>
          <w:p>
            <w:pPr>
              <w:widowControl/>
              <w:jc w:val="left"/>
              <w:rPr>
                <w:kern w:val="0"/>
                <w:szCs w:val="21"/>
              </w:rPr>
            </w:pPr>
          </w:p>
        </w:tc>
        <w:tc>
          <w:tcPr>
            <w:tcW w:w="1314" w:type="dxa"/>
            <w:vAlign w:val="center"/>
          </w:tcPr>
          <w:p>
            <w:pPr>
              <w:widowControl/>
              <w:adjustRightInd w:val="0"/>
              <w:snapToGrid w:val="0"/>
              <w:jc w:val="center"/>
              <w:rPr>
                <w:kern w:val="0"/>
                <w:szCs w:val="21"/>
              </w:rPr>
            </w:pPr>
            <w:r>
              <w:rPr>
                <w:kern w:val="0"/>
                <w:szCs w:val="21"/>
              </w:rPr>
              <w:t>E</w:t>
            </w:r>
          </w:p>
        </w:tc>
        <w:tc>
          <w:tcPr>
            <w:tcW w:w="1315" w:type="dxa"/>
            <w:vAlign w:val="center"/>
          </w:tcPr>
          <w:p>
            <w:pPr>
              <w:widowControl/>
              <w:adjustRightInd w:val="0"/>
              <w:snapToGrid w:val="0"/>
              <w:jc w:val="center"/>
              <w:rPr>
                <w:kern w:val="0"/>
                <w:szCs w:val="21"/>
              </w:rPr>
            </w:pPr>
            <w:r>
              <w:rPr>
                <w:kern w:val="0"/>
                <w:szCs w:val="21"/>
              </w:rPr>
              <w:t>N</w:t>
            </w:r>
          </w:p>
        </w:tc>
        <w:tc>
          <w:tcPr>
            <w:tcW w:w="1052" w:type="dxa"/>
            <w:vMerge w:val="continue"/>
            <w:vAlign w:val="center"/>
          </w:tcPr>
          <w:p>
            <w:pPr>
              <w:widowControl/>
              <w:jc w:val="left"/>
              <w:rPr>
                <w:kern w:val="0"/>
                <w:szCs w:val="21"/>
              </w:rPr>
            </w:pPr>
          </w:p>
        </w:tc>
        <w:tc>
          <w:tcPr>
            <w:tcW w:w="658" w:type="dxa"/>
            <w:vMerge w:val="continue"/>
            <w:vAlign w:val="center"/>
          </w:tcPr>
          <w:p>
            <w:pPr>
              <w:widowControl/>
              <w:jc w:val="left"/>
              <w:rPr>
                <w:kern w:val="0"/>
                <w:szCs w:val="21"/>
              </w:rPr>
            </w:pPr>
          </w:p>
        </w:tc>
        <w:tc>
          <w:tcPr>
            <w:tcW w:w="1315" w:type="dxa"/>
            <w:vMerge w:val="continue"/>
            <w:vAlign w:val="center"/>
          </w:tcPr>
          <w:p>
            <w:pPr>
              <w:widowControl/>
              <w:jc w:val="left"/>
              <w:rPr>
                <w:kern w:val="0"/>
                <w:szCs w:val="21"/>
              </w:rPr>
            </w:pPr>
          </w:p>
        </w:tc>
        <w:tc>
          <w:tcPr>
            <w:tcW w:w="600" w:type="dxa"/>
            <w:vMerge w:val="continue"/>
            <w:vAlign w:val="center"/>
          </w:tcPr>
          <w:p>
            <w:pPr>
              <w:widowControl/>
              <w:jc w:val="left"/>
              <w:rPr>
                <w:kern w:val="0"/>
                <w:szCs w:val="21"/>
              </w:rPr>
            </w:pPr>
          </w:p>
        </w:tc>
        <w:tc>
          <w:tcPr>
            <w:tcW w:w="600" w:type="dxa"/>
            <w:vMerge w:val="continue"/>
            <w:vAlign w:val="center"/>
          </w:tcPr>
          <w:p>
            <w:pPr>
              <w:widowControl/>
              <w:jc w:val="left"/>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42"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1</w:t>
            </w:r>
          </w:p>
        </w:tc>
        <w:tc>
          <w:tcPr>
            <w:tcW w:w="1314" w:type="dxa"/>
            <w:vAlign w:val="center"/>
          </w:tcPr>
          <w:p>
            <w:pPr>
              <w:widowControl/>
              <w:adjustRightInd w:val="0"/>
              <w:snapToGrid w:val="0"/>
              <w:jc w:val="center"/>
              <w:rPr>
                <w:kern w:val="0"/>
                <w:szCs w:val="21"/>
              </w:rPr>
            </w:pPr>
            <w:r>
              <w:rPr>
                <w:kern w:val="0"/>
                <w:szCs w:val="21"/>
              </w:rPr>
              <w:t>107°55'04.50"</w:t>
            </w:r>
          </w:p>
        </w:tc>
        <w:tc>
          <w:tcPr>
            <w:tcW w:w="1315" w:type="dxa"/>
            <w:vAlign w:val="center"/>
          </w:tcPr>
          <w:p>
            <w:pPr>
              <w:adjustRightInd w:val="0"/>
              <w:snapToGrid w:val="0"/>
              <w:jc w:val="center"/>
              <w:rPr>
                <w:kern w:val="0"/>
                <w:szCs w:val="21"/>
              </w:rPr>
            </w:pPr>
            <w:r>
              <w:rPr>
                <w:kern w:val="0"/>
                <w:szCs w:val="21"/>
              </w:rPr>
              <w:t>40°59'29.11"</w:t>
            </w:r>
          </w:p>
        </w:tc>
        <w:tc>
          <w:tcPr>
            <w:tcW w:w="1052" w:type="dxa"/>
            <w:vAlign w:val="center"/>
          </w:tcPr>
          <w:p>
            <w:pPr>
              <w:widowControl/>
              <w:adjustRightInd w:val="0"/>
              <w:snapToGrid w:val="0"/>
              <w:jc w:val="center"/>
              <w:rPr>
                <w:kern w:val="0"/>
                <w:szCs w:val="21"/>
              </w:rPr>
            </w:pPr>
            <w:r>
              <w:rPr>
                <w:rFonts w:ascii="宋体" w:hAnsi="宋体"/>
                <w:kern w:val="0"/>
                <w:szCs w:val="21"/>
              </w:rPr>
              <w:t>场地上游</w:t>
            </w:r>
          </w:p>
        </w:tc>
        <w:tc>
          <w:tcPr>
            <w:tcW w:w="658" w:type="dxa"/>
            <w:vMerge w:val="restart"/>
            <w:vAlign w:val="center"/>
          </w:tcPr>
          <w:p>
            <w:pPr>
              <w:widowControl/>
              <w:adjustRightInd w:val="0"/>
              <w:snapToGrid w:val="0"/>
              <w:jc w:val="center"/>
              <w:rPr>
                <w:kern w:val="0"/>
                <w:szCs w:val="21"/>
              </w:rPr>
            </w:pPr>
            <w:r>
              <w:rPr>
                <w:rFonts w:ascii="宋体" w:hAnsi="宋体"/>
                <w:kern w:val="0"/>
                <w:szCs w:val="21"/>
              </w:rPr>
              <w:t>钻入含水层约</w:t>
            </w:r>
            <w:r>
              <w:rPr>
                <w:kern w:val="0"/>
                <w:szCs w:val="21"/>
              </w:rPr>
              <w:t>20m</w:t>
            </w:r>
          </w:p>
        </w:tc>
        <w:tc>
          <w:tcPr>
            <w:tcW w:w="1315" w:type="dxa"/>
            <w:vMerge w:val="restart"/>
            <w:vAlign w:val="center"/>
          </w:tcPr>
          <w:p>
            <w:pPr>
              <w:widowControl/>
              <w:adjustRightInd w:val="0"/>
              <w:snapToGrid w:val="0"/>
              <w:jc w:val="center"/>
              <w:rPr>
                <w:kern w:val="0"/>
                <w:szCs w:val="21"/>
              </w:rPr>
            </w:pPr>
            <w:r>
              <w:rPr>
                <w:kern w:val="0"/>
                <w:szCs w:val="21"/>
              </w:rPr>
              <w:t>Φ≥147mm</w:t>
            </w:r>
            <w:r>
              <w:rPr>
                <w:rFonts w:ascii="宋体" w:hAnsi="宋体"/>
                <w:kern w:val="0"/>
                <w:szCs w:val="21"/>
              </w:rPr>
              <w:t>，孔口以下</w:t>
            </w:r>
            <w:r>
              <w:rPr>
                <w:kern w:val="0"/>
                <w:szCs w:val="21"/>
              </w:rPr>
              <w:t>2.0m</w:t>
            </w:r>
            <w:r>
              <w:rPr>
                <w:rFonts w:ascii="宋体" w:hAnsi="宋体"/>
                <w:kern w:val="0"/>
                <w:szCs w:val="21"/>
              </w:rPr>
              <w:t>采用粘土或水泥止水，下部为滤水管</w:t>
            </w:r>
          </w:p>
        </w:tc>
        <w:tc>
          <w:tcPr>
            <w:tcW w:w="600" w:type="dxa"/>
            <w:vMerge w:val="restart"/>
            <w:vAlign w:val="center"/>
          </w:tcPr>
          <w:p>
            <w:pPr>
              <w:widowControl/>
              <w:adjustRightInd w:val="0"/>
              <w:snapToGrid w:val="0"/>
              <w:jc w:val="center"/>
              <w:rPr>
                <w:kern w:val="0"/>
                <w:szCs w:val="21"/>
                <w:vertAlign w:val="subscript"/>
              </w:rPr>
            </w:pPr>
            <w:r>
              <w:rPr>
                <w:kern w:val="0"/>
                <w:szCs w:val="21"/>
              </w:rPr>
              <w:t>Q</w:t>
            </w:r>
            <w:r>
              <w:rPr>
                <w:kern w:val="0"/>
                <w:szCs w:val="21"/>
                <w:vertAlign w:val="subscript"/>
              </w:rPr>
              <w:t>3-4</w:t>
            </w:r>
          </w:p>
        </w:tc>
        <w:tc>
          <w:tcPr>
            <w:tcW w:w="600" w:type="dxa"/>
            <w:vMerge w:val="restart"/>
            <w:vAlign w:val="center"/>
          </w:tcPr>
          <w:p>
            <w:pPr>
              <w:widowControl/>
              <w:adjustRightInd w:val="0"/>
              <w:snapToGrid w:val="0"/>
              <w:jc w:val="center"/>
              <w:rPr>
                <w:kern w:val="0"/>
                <w:szCs w:val="21"/>
              </w:rPr>
            </w:pPr>
            <w:r>
              <w:rPr>
                <w:rFonts w:ascii="宋体" w:hAnsi="宋体"/>
                <w:kern w:val="0"/>
                <w:szCs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42"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2</w:t>
            </w:r>
          </w:p>
        </w:tc>
        <w:tc>
          <w:tcPr>
            <w:tcW w:w="1314" w:type="dxa"/>
            <w:vAlign w:val="center"/>
          </w:tcPr>
          <w:p>
            <w:pPr>
              <w:widowControl/>
              <w:adjustRightInd w:val="0"/>
              <w:snapToGrid w:val="0"/>
              <w:jc w:val="center"/>
              <w:rPr>
                <w:kern w:val="0"/>
                <w:szCs w:val="21"/>
              </w:rPr>
            </w:pPr>
            <w:r>
              <w:rPr>
                <w:kern w:val="0"/>
                <w:szCs w:val="21"/>
              </w:rPr>
              <w:t>107°55'07.42"</w:t>
            </w:r>
          </w:p>
        </w:tc>
        <w:tc>
          <w:tcPr>
            <w:tcW w:w="1315" w:type="dxa"/>
            <w:vAlign w:val="center"/>
          </w:tcPr>
          <w:p>
            <w:pPr>
              <w:widowControl/>
              <w:adjustRightInd w:val="0"/>
              <w:snapToGrid w:val="0"/>
              <w:jc w:val="center"/>
              <w:rPr>
                <w:kern w:val="0"/>
                <w:szCs w:val="21"/>
              </w:rPr>
            </w:pPr>
            <w:r>
              <w:rPr>
                <w:kern w:val="0"/>
                <w:szCs w:val="21"/>
              </w:rPr>
              <w:t>40°59'30.78"</w:t>
            </w:r>
          </w:p>
        </w:tc>
        <w:tc>
          <w:tcPr>
            <w:tcW w:w="1052" w:type="dxa"/>
            <w:vAlign w:val="center"/>
          </w:tcPr>
          <w:p>
            <w:pPr>
              <w:widowControl/>
              <w:adjustRightInd w:val="0"/>
              <w:snapToGrid w:val="0"/>
              <w:jc w:val="center"/>
              <w:rPr>
                <w:kern w:val="0"/>
                <w:szCs w:val="21"/>
              </w:rPr>
            </w:pPr>
            <w:r>
              <w:rPr>
                <w:rFonts w:ascii="宋体" w:hAnsi="宋体"/>
                <w:kern w:val="0"/>
                <w:szCs w:val="21"/>
              </w:rPr>
              <w:t>场地上游</w:t>
            </w:r>
          </w:p>
        </w:tc>
        <w:tc>
          <w:tcPr>
            <w:tcW w:w="658" w:type="dxa"/>
            <w:vMerge w:val="continue"/>
            <w:vAlign w:val="center"/>
          </w:tcPr>
          <w:p>
            <w:pPr>
              <w:widowControl/>
              <w:jc w:val="left"/>
              <w:rPr>
                <w:kern w:val="0"/>
                <w:szCs w:val="21"/>
              </w:rPr>
            </w:pPr>
          </w:p>
        </w:tc>
        <w:tc>
          <w:tcPr>
            <w:tcW w:w="1315" w:type="dxa"/>
            <w:vMerge w:val="continue"/>
            <w:vAlign w:val="center"/>
          </w:tcPr>
          <w:p>
            <w:pPr>
              <w:widowControl/>
              <w:jc w:val="left"/>
              <w:rPr>
                <w:kern w:val="0"/>
                <w:szCs w:val="21"/>
              </w:rPr>
            </w:pPr>
          </w:p>
        </w:tc>
        <w:tc>
          <w:tcPr>
            <w:tcW w:w="600" w:type="dxa"/>
            <w:vMerge w:val="continue"/>
            <w:vAlign w:val="center"/>
          </w:tcPr>
          <w:p>
            <w:pPr>
              <w:widowControl/>
              <w:jc w:val="left"/>
              <w:rPr>
                <w:kern w:val="0"/>
                <w:szCs w:val="21"/>
                <w:vertAlign w:val="subscript"/>
              </w:rPr>
            </w:pPr>
          </w:p>
        </w:tc>
        <w:tc>
          <w:tcPr>
            <w:tcW w:w="600" w:type="dxa"/>
            <w:vMerge w:val="continue"/>
            <w:vAlign w:val="center"/>
          </w:tcPr>
          <w:p>
            <w:pPr>
              <w:widowControl/>
              <w:jc w:val="left"/>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42"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3</w:t>
            </w:r>
          </w:p>
        </w:tc>
        <w:tc>
          <w:tcPr>
            <w:tcW w:w="1314" w:type="dxa"/>
            <w:vAlign w:val="center"/>
          </w:tcPr>
          <w:p>
            <w:pPr>
              <w:widowControl/>
              <w:adjustRightInd w:val="0"/>
              <w:snapToGrid w:val="0"/>
              <w:jc w:val="center"/>
              <w:rPr>
                <w:kern w:val="0"/>
                <w:szCs w:val="21"/>
              </w:rPr>
            </w:pPr>
            <w:r>
              <w:rPr>
                <w:kern w:val="0"/>
                <w:szCs w:val="21"/>
              </w:rPr>
              <w:t>107°55'06.54"</w:t>
            </w:r>
          </w:p>
        </w:tc>
        <w:tc>
          <w:tcPr>
            <w:tcW w:w="1315" w:type="dxa"/>
            <w:vAlign w:val="center"/>
          </w:tcPr>
          <w:p>
            <w:pPr>
              <w:widowControl/>
              <w:adjustRightInd w:val="0"/>
              <w:snapToGrid w:val="0"/>
              <w:jc w:val="center"/>
              <w:rPr>
                <w:kern w:val="0"/>
                <w:szCs w:val="21"/>
              </w:rPr>
            </w:pPr>
            <w:r>
              <w:rPr>
                <w:kern w:val="0"/>
                <w:szCs w:val="21"/>
              </w:rPr>
              <w:t>40°59'34.84"</w:t>
            </w:r>
          </w:p>
        </w:tc>
        <w:tc>
          <w:tcPr>
            <w:tcW w:w="1052" w:type="dxa"/>
            <w:vAlign w:val="center"/>
          </w:tcPr>
          <w:p>
            <w:pPr>
              <w:widowControl/>
              <w:adjustRightInd w:val="0"/>
              <w:snapToGrid w:val="0"/>
              <w:jc w:val="center"/>
              <w:rPr>
                <w:kern w:val="0"/>
                <w:szCs w:val="21"/>
              </w:rPr>
            </w:pPr>
            <w:r>
              <w:rPr>
                <w:rFonts w:ascii="宋体" w:hAnsi="宋体"/>
                <w:kern w:val="0"/>
                <w:szCs w:val="21"/>
              </w:rPr>
              <w:t>场地侧向</w:t>
            </w:r>
          </w:p>
        </w:tc>
        <w:tc>
          <w:tcPr>
            <w:tcW w:w="658" w:type="dxa"/>
            <w:vMerge w:val="continue"/>
            <w:vAlign w:val="center"/>
          </w:tcPr>
          <w:p>
            <w:pPr>
              <w:widowControl/>
              <w:jc w:val="left"/>
              <w:rPr>
                <w:kern w:val="0"/>
                <w:szCs w:val="21"/>
              </w:rPr>
            </w:pPr>
          </w:p>
        </w:tc>
        <w:tc>
          <w:tcPr>
            <w:tcW w:w="1315" w:type="dxa"/>
            <w:vMerge w:val="continue"/>
            <w:vAlign w:val="center"/>
          </w:tcPr>
          <w:p>
            <w:pPr>
              <w:widowControl/>
              <w:jc w:val="left"/>
              <w:rPr>
                <w:kern w:val="0"/>
                <w:szCs w:val="21"/>
              </w:rPr>
            </w:pPr>
          </w:p>
        </w:tc>
        <w:tc>
          <w:tcPr>
            <w:tcW w:w="600" w:type="dxa"/>
            <w:vMerge w:val="continue"/>
            <w:vAlign w:val="center"/>
          </w:tcPr>
          <w:p>
            <w:pPr>
              <w:widowControl/>
              <w:jc w:val="left"/>
              <w:rPr>
                <w:kern w:val="0"/>
                <w:szCs w:val="21"/>
                <w:vertAlign w:val="subscript"/>
              </w:rPr>
            </w:pPr>
          </w:p>
        </w:tc>
        <w:tc>
          <w:tcPr>
            <w:tcW w:w="600" w:type="dxa"/>
            <w:vMerge w:val="continue"/>
            <w:vAlign w:val="center"/>
          </w:tcPr>
          <w:p>
            <w:pPr>
              <w:widowControl/>
              <w:jc w:val="left"/>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42"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4</w:t>
            </w:r>
          </w:p>
        </w:tc>
        <w:tc>
          <w:tcPr>
            <w:tcW w:w="1314" w:type="dxa"/>
            <w:vAlign w:val="center"/>
          </w:tcPr>
          <w:p>
            <w:pPr>
              <w:widowControl/>
              <w:adjustRightInd w:val="0"/>
              <w:snapToGrid w:val="0"/>
              <w:jc w:val="center"/>
              <w:rPr>
                <w:kern w:val="0"/>
                <w:szCs w:val="21"/>
              </w:rPr>
            </w:pPr>
            <w:r>
              <w:rPr>
                <w:kern w:val="0"/>
                <w:szCs w:val="21"/>
              </w:rPr>
              <w:t>107°55'04.19"</w:t>
            </w:r>
          </w:p>
        </w:tc>
        <w:tc>
          <w:tcPr>
            <w:tcW w:w="1315" w:type="dxa"/>
            <w:vAlign w:val="center"/>
          </w:tcPr>
          <w:p>
            <w:pPr>
              <w:widowControl/>
              <w:adjustRightInd w:val="0"/>
              <w:snapToGrid w:val="0"/>
              <w:jc w:val="center"/>
              <w:rPr>
                <w:kern w:val="0"/>
                <w:szCs w:val="21"/>
              </w:rPr>
            </w:pPr>
            <w:r>
              <w:rPr>
                <w:kern w:val="0"/>
                <w:szCs w:val="21"/>
              </w:rPr>
              <w:t>40°59'40.47"</w:t>
            </w:r>
          </w:p>
        </w:tc>
        <w:tc>
          <w:tcPr>
            <w:tcW w:w="1052" w:type="dxa"/>
            <w:vAlign w:val="center"/>
          </w:tcPr>
          <w:p>
            <w:pPr>
              <w:widowControl/>
              <w:adjustRightInd w:val="0"/>
              <w:snapToGrid w:val="0"/>
              <w:jc w:val="center"/>
              <w:rPr>
                <w:kern w:val="0"/>
                <w:szCs w:val="21"/>
              </w:rPr>
            </w:pPr>
            <w:r>
              <w:rPr>
                <w:rFonts w:ascii="宋体" w:hAnsi="宋体"/>
                <w:kern w:val="0"/>
                <w:szCs w:val="21"/>
              </w:rPr>
              <w:t>场地下游</w:t>
            </w:r>
          </w:p>
        </w:tc>
        <w:tc>
          <w:tcPr>
            <w:tcW w:w="658" w:type="dxa"/>
            <w:vMerge w:val="continue"/>
            <w:vAlign w:val="center"/>
          </w:tcPr>
          <w:p>
            <w:pPr>
              <w:widowControl/>
              <w:jc w:val="left"/>
              <w:rPr>
                <w:kern w:val="0"/>
                <w:szCs w:val="21"/>
              </w:rPr>
            </w:pPr>
          </w:p>
        </w:tc>
        <w:tc>
          <w:tcPr>
            <w:tcW w:w="1315" w:type="dxa"/>
            <w:vMerge w:val="continue"/>
            <w:vAlign w:val="center"/>
          </w:tcPr>
          <w:p>
            <w:pPr>
              <w:widowControl/>
              <w:jc w:val="left"/>
              <w:rPr>
                <w:kern w:val="0"/>
                <w:szCs w:val="21"/>
              </w:rPr>
            </w:pPr>
          </w:p>
        </w:tc>
        <w:tc>
          <w:tcPr>
            <w:tcW w:w="600" w:type="dxa"/>
            <w:vMerge w:val="continue"/>
            <w:vAlign w:val="center"/>
          </w:tcPr>
          <w:p>
            <w:pPr>
              <w:widowControl/>
              <w:jc w:val="left"/>
              <w:rPr>
                <w:kern w:val="0"/>
                <w:szCs w:val="21"/>
                <w:vertAlign w:val="subscript"/>
              </w:rPr>
            </w:pPr>
          </w:p>
        </w:tc>
        <w:tc>
          <w:tcPr>
            <w:tcW w:w="600" w:type="dxa"/>
            <w:vMerge w:val="continue"/>
            <w:vAlign w:val="center"/>
          </w:tcPr>
          <w:p>
            <w:pPr>
              <w:widowControl/>
              <w:jc w:val="left"/>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42"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5</w:t>
            </w:r>
          </w:p>
        </w:tc>
        <w:tc>
          <w:tcPr>
            <w:tcW w:w="1314" w:type="dxa"/>
            <w:vAlign w:val="center"/>
          </w:tcPr>
          <w:p>
            <w:pPr>
              <w:widowControl/>
              <w:adjustRightInd w:val="0"/>
              <w:snapToGrid w:val="0"/>
              <w:jc w:val="center"/>
              <w:rPr>
                <w:kern w:val="0"/>
                <w:szCs w:val="21"/>
              </w:rPr>
            </w:pPr>
            <w:r>
              <w:rPr>
                <w:kern w:val="0"/>
                <w:szCs w:val="21"/>
              </w:rPr>
              <w:t>107°54'59.22"</w:t>
            </w:r>
          </w:p>
        </w:tc>
        <w:tc>
          <w:tcPr>
            <w:tcW w:w="1315" w:type="dxa"/>
            <w:vAlign w:val="center"/>
          </w:tcPr>
          <w:p>
            <w:pPr>
              <w:widowControl/>
              <w:adjustRightInd w:val="0"/>
              <w:snapToGrid w:val="0"/>
              <w:jc w:val="center"/>
              <w:rPr>
                <w:kern w:val="0"/>
                <w:szCs w:val="21"/>
              </w:rPr>
            </w:pPr>
            <w:r>
              <w:rPr>
                <w:kern w:val="0"/>
                <w:szCs w:val="21"/>
              </w:rPr>
              <w:t>40°59'33.99"</w:t>
            </w:r>
          </w:p>
        </w:tc>
        <w:tc>
          <w:tcPr>
            <w:tcW w:w="1052" w:type="dxa"/>
            <w:vAlign w:val="center"/>
          </w:tcPr>
          <w:p>
            <w:pPr>
              <w:widowControl/>
              <w:adjustRightInd w:val="0"/>
              <w:snapToGrid w:val="0"/>
              <w:jc w:val="center"/>
              <w:rPr>
                <w:kern w:val="0"/>
                <w:szCs w:val="21"/>
              </w:rPr>
            </w:pPr>
            <w:r>
              <w:rPr>
                <w:rFonts w:ascii="宋体" w:hAnsi="宋体"/>
                <w:kern w:val="0"/>
                <w:szCs w:val="21"/>
              </w:rPr>
              <w:t>场地侧向</w:t>
            </w:r>
          </w:p>
        </w:tc>
        <w:tc>
          <w:tcPr>
            <w:tcW w:w="658" w:type="dxa"/>
            <w:vMerge w:val="continue"/>
            <w:vAlign w:val="center"/>
          </w:tcPr>
          <w:p>
            <w:pPr>
              <w:widowControl/>
              <w:jc w:val="left"/>
              <w:rPr>
                <w:kern w:val="0"/>
                <w:szCs w:val="21"/>
              </w:rPr>
            </w:pPr>
          </w:p>
        </w:tc>
        <w:tc>
          <w:tcPr>
            <w:tcW w:w="1315" w:type="dxa"/>
            <w:vMerge w:val="continue"/>
            <w:vAlign w:val="center"/>
          </w:tcPr>
          <w:p>
            <w:pPr>
              <w:widowControl/>
              <w:jc w:val="left"/>
              <w:rPr>
                <w:kern w:val="0"/>
                <w:szCs w:val="21"/>
              </w:rPr>
            </w:pPr>
          </w:p>
        </w:tc>
        <w:tc>
          <w:tcPr>
            <w:tcW w:w="600" w:type="dxa"/>
            <w:vMerge w:val="continue"/>
            <w:vAlign w:val="center"/>
          </w:tcPr>
          <w:p>
            <w:pPr>
              <w:widowControl/>
              <w:jc w:val="left"/>
              <w:rPr>
                <w:kern w:val="0"/>
                <w:szCs w:val="21"/>
                <w:vertAlign w:val="subscript"/>
              </w:rPr>
            </w:pPr>
          </w:p>
        </w:tc>
        <w:tc>
          <w:tcPr>
            <w:tcW w:w="600" w:type="dxa"/>
            <w:vMerge w:val="continue"/>
            <w:vAlign w:val="center"/>
          </w:tcPr>
          <w:p>
            <w:pPr>
              <w:widowControl/>
              <w:jc w:val="left"/>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42" w:type="dxa"/>
            <w:vAlign w:val="center"/>
          </w:tcPr>
          <w:p>
            <w:pPr>
              <w:widowControl/>
              <w:adjustRightInd w:val="0"/>
              <w:snapToGrid w:val="0"/>
              <w:jc w:val="center"/>
              <w:rPr>
                <w:kern w:val="0"/>
                <w:szCs w:val="21"/>
              </w:rPr>
            </w:pPr>
            <w:r>
              <w:rPr>
                <w:rFonts w:ascii="宋体" w:hAnsi="宋体"/>
                <w:kern w:val="0"/>
                <w:szCs w:val="21"/>
              </w:rPr>
              <w:t>填埋场监测井</w:t>
            </w:r>
            <w:r>
              <w:rPr>
                <w:kern w:val="0"/>
                <w:szCs w:val="21"/>
              </w:rPr>
              <w:t>6</w:t>
            </w:r>
          </w:p>
        </w:tc>
        <w:tc>
          <w:tcPr>
            <w:tcW w:w="1314" w:type="dxa"/>
            <w:vAlign w:val="center"/>
          </w:tcPr>
          <w:p>
            <w:pPr>
              <w:widowControl/>
              <w:adjustRightInd w:val="0"/>
              <w:snapToGrid w:val="0"/>
              <w:jc w:val="center"/>
              <w:rPr>
                <w:kern w:val="0"/>
                <w:szCs w:val="21"/>
              </w:rPr>
            </w:pPr>
            <w:r>
              <w:rPr>
                <w:kern w:val="0"/>
                <w:szCs w:val="21"/>
              </w:rPr>
              <w:t>107°55'04.37"</w:t>
            </w:r>
          </w:p>
        </w:tc>
        <w:tc>
          <w:tcPr>
            <w:tcW w:w="1315" w:type="dxa"/>
            <w:vAlign w:val="center"/>
          </w:tcPr>
          <w:p>
            <w:pPr>
              <w:widowControl/>
              <w:adjustRightInd w:val="0"/>
              <w:snapToGrid w:val="0"/>
              <w:jc w:val="center"/>
              <w:rPr>
                <w:kern w:val="0"/>
                <w:szCs w:val="21"/>
              </w:rPr>
            </w:pPr>
            <w:r>
              <w:rPr>
                <w:kern w:val="0"/>
                <w:szCs w:val="21"/>
              </w:rPr>
              <w:t>40°59'49.62"</w:t>
            </w:r>
          </w:p>
        </w:tc>
        <w:tc>
          <w:tcPr>
            <w:tcW w:w="1052" w:type="dxa"/>
            <w:vAlign w:val="center"/>
          </w:tcPr>
          <w:p>
            <w:pPr>
              <w:widowControl/>
              <w:adjustRightInd w:val="0"/>
              <w:snapToGrid w:val="0"/>
              <w:jc w:val="center"/>
              <w:rPr>
                <w:kern w:val="0"/>
                <w:szCs w:val="21"/>
              </w:rPr>
            </w:pPr>
            <w:r>
              <w:rPr>
                <w:rFonts w:ascii="宋体" w:hAnsi="宋体"/>
                <w:kern w:val="0"/>
                <w:szCs w:val="21"/>
              </w:rPr>
              <w:t>场地下游</w:t>
            </w:r>
          </w:p>
        </w:tc>
        <w:tc>
          <w:tcPr>
            <w:tcW w:w="658" w:type="dxa"/>
            <w:vMerge w:val="continue"/>
            <w:vAlign w:val="center"/>
          </w:tcPr>
          <w:p>
            <w:pPr>
              <w:widowControl/>
              <w:jc w:val="left"/>
              <w:rPr>
                <w:kern w:val="0"/>
                <w:szCs w:val="21"/>
              </w:rPr>
            </w:pPr>
          </w:p>
        </w:tc>
        <w:tc>
          <w:tcPr>
            <w:tcW w:w="1315" w:type="dxa"/>
            <w:vMerge w:val="continue"/>
            <w:vAlign w:val="center"/>
          </w:tcPr>
          <w:p>
            <w:pPr>
              <w:widowControl/>
              <w:jc w:val="left"/>
              <w:rPr>
                <w:kern w:val="0"/>
                <w:szCs w:val="21"/>
              </w:rPr>
            </w:pPr>
          </w:p>
        </w:tc>
        <w:tc>
          <w:tcPr>
            <w:tcW w:w="600" w:type="dxa"/>
            <w:vMerge w:val="continue"/>
            <w:vAlign w:val="center"/>
          </w:tcPr>
          <w:p>
            <w:pPr>
              <w:widowControl/>
              <w:jc w:val="left"/>
              <w:rPr>
                <w:kern w:val="0"/>
                <w:szCs w:val="21"/>
                <w:vertAlign w:val="subscript"/>
              </w:rPr>
            </w:pPr>
          </w:p>
        </w:tc>
        <w:tc>
          <w:tcPr>
            <w:tcW w:w="600" w:type="dxa"/>
            <w:vMerge w:val="continue"/>
            <w:vAlign w:val="center"/>
          </w:tcPr>
          <w:p>
            <w:pPr>
              <w:widowControl/>
              <w:jc w:val="left"/>
              <w:rPr>
                <w:kern w:val="0"/>
                <w:szCs w:val="21"/>
              </w:rPr>
            </w:pPr>
          </w:p>
        </w:tc>
      </w:tr>
    </w:tbl>
    <w:p>
      <w:pPr>
        <w:widowControl/>
        <w:adjustRightInd w:val="0"/>
        <w:snapToGrid w:val="0"/>
        <w:spacing w:line="360" w:lineRule="auto"/>
        <w:ind w:firstLine="480" w:firstLineChars="200"/>
        <w:rPr>
          <w:kern w:val="0"/>
          <w:sz w:val="24"/>
        </w:rPr>
      </w:pPr>
      <w:r>
        <w:rPr>
          <w:rFonts w:ascii="宋体" w:hAnsi="宋体"/>
          <w:kern w:val="0"/>
          <w:sz w:val="24"/>
        </w:rPr>
        <w:t>（</w:t>
      </w:r>
      <w:r>
        <w:rPr>
          <w:kern w:val="0"/>
          <w:sz w:val="24"/>
        </w:rPr>
        <w:t>2</w:t>
      </w:r>
      <w:r>
        <w:rPr>
          <w:rFonts w:ascii="宋体" w:hAnsi="宋体"/>
          <w:kern w:val="0"/>
          <w:sz w:val="24"/>
        </w:rPr>
        <w:t>）监测项目及频次：</w:t>
      </w:r>
    </w:p>
    <w:p>
      <w:pPr>
        <w:widowControl/>
        <w:adjustRightInd w:val="0"/>
        <w:snapToGrid w:val="0"/>
        <w:spacing w:line="360" w:lineRule="auto"/>
        <w:ind w:firstLine="480" w:firstLineChars="200"/>
        <w:rPr>
          <w:kern w:val="0"/>
          <w:sz w:val="24"/>
        </w:rPr>
      </w:pPr>
      <w:r>
        <w:rPr>
          <w:rFonts w:ascii="宋体" w:hAnsi="宋体"/>
          <w:kern w:val="0"/>
          <w:sz w:val="24"/>
        </w:rPr>
        <w:t>监测因子为</w:t>
      </w:r>
      <w:r>
        <w:rPr>
          <w:kern w:val="0"/>
          <w:sz w:val="24"/>
        </w:rPr>
        <w:t>pH</w:t>
      </w:r>
      <w:r>
        <w:rPr>
          <w:rFonts w:ascii="宋体" w:hAnsi="宋体"/>
          <w:kern w:val="0"/>
          <w:sz w:val="24"/>
        </w:rPr>
        <w:t>、总硬度、溶解性总固体、耗氧量、氨氮、硝酸盐、亚硝酸盐、硫酸盐、氯化物、挥发性酚类、氰化物、砷、汞、六价铬、铅、氟化物、镉、铁、锰、铜、锌、粪大肠菌群等。污染扩散井和污染监视井的水质监测频率应不少于每</w:t>
      </w:r>
      <w:r>
        <w:rPr>
          <w:kern w:val="0"/>
          <w:sz w:val="24"/>
        </w:rPr>
        <w:t>2</w:t>
      </w:r>
      <w:r>
        <w:rPr>
          <w:rFonts w:ascii="宋体" w:hAnsi="宋体"/>
          <w:kern w:val="0"/>
          <w:sz w:val="24"/>
        </w:rPr>
        <w:t>周</w:t>
      </w:r>
      <w:r>
        <w:rPr>
          <w:kern w:val="0"/>
          <w:sz w:val="24"/>
        </w:rPr>
        <w:t>1</w:t>
      </w:r>
      <w:r>
        <w:rPr>
          <w:rFonts w:ascii="宋体" w:hAnsi="宋体"/>
          <w:kern w:val="0"/>
          <w:sz w:val="24"/>
        </w:rPr>
        <w:t>次，本底井的水质监测频率应不少于每月</w:t>
      </w:r>
      <w:r>
        <w:rPr>
          <w:kern w:val="0"/>
          <w:sz w:val="24"/>
        </w:rPr>
        <w:t>1</w:t>
      </w:r>
      <w:r>
        <w:rPr>
          <w:rFonts w:ascii="宋体" w:hAnsi="宋体"/>
          <w:kern w:val="0"/>
          <w:sz w:val="24"/>
        </w:rPr>
        <w:t>次。直至封场后填埋场产生的渗滤液中水污染物质量浓度连续两年低于《生活垃圾填埋场污染控制标准》（</w:t>
      </w:r>
      <w:r>
        <w:rPr>
          <w:kern w:val="0"/>
          <w:sz w:val="24"/>
        </w:rPr>
        <w:t>GB16889-2008</w:t>
      </w:r>
      <w:r>
        <w:rPr>
          <w:rFonts w:ascii="宋体" w:hAnsi="宋体"/>
          <w:kern w:val="0"/>
          <w:sz w:val="24"/>
        </w:rPr>
        <w:t>）表</w:t>
      </w:r>
      <w:r>
        <w:rPr>
          <w:kern w:val="0"/>
          <w:sz w:val="24"/>
        </w:rPr>
        <w:t>2</w:t>
      </w:r>
      <w:r>
        <w:rPr>
          <w:rFonts w:ascii="宋体" w:hAnsi="宋体"/>
          <w:kern w:val="0"/>
          <w:sz w:val="24"/>
        </w:rPr>
        <w:t>限值时为止停止监测。同时，生活垃圾填埋场管理机构应每</w:t>
      </w:r>
      <w:r>
        <w:rPr>
          <w:kern w:val="0"/>
          <w:sz w:val="24"/>
        </w:rPr>
        <w:t>6</w:t>
      </w:r>
      <w:r>
        <w:rPr>
          <w:rFonts w:ascii="宋体" w:hAnsi="宋体"/>
          <w:kern w:val="0"/>
          <w:sz w:val="24"/>
        </w:rPr>
        <w:t>个月进行一次防渗衬层完整性的监测。</w:t>
      </w:r>
    </w:p>
    <w:p>
      <w:pPr>
        <w:widowControl/>
        <w:adjustRightInd w:val="0"/>
        <w:snapToGrid w:val="0"/>
        <w:spacing w:line="360" w:lineRule="auto"/>
        <w:ind w:firstLine="480" w:firstLineChars="200"/>
        <w:rPr>
          <w:kern w:val="0"/>
          <w:sz w:val="24"/>
        </w:rPr>
      </w:pPr>
      <w:r>
        <w:rPr>
          <w:rFonts w:ascii="宋体" w:hAnsi="宋体"/>
          <w:kern w:val="0"/>
          <w:sz w:val="24"/>
        </w:rPr>
        <w:t>上述监测结果应按项目有关规定及时建立档案，并定期向厂安全环保部门汇报，对于常规监测数据应该进行公开，特别是对项目所在区域的居民进行公开，满足法律中关于知情权的要求。发现泄漏时，及时采取对应应急措施。</w:t>
      </w:r>
    </w:p>
    <w:p>
      <w:pPr>
        <w:pStyle w:val="3"/>
        <w:keepNext w:val="0"/>
        <w:keepLines w:val="0"/>
        <w:adjustRightInd w:val="0"/>
        <w:snapToGrid w:val="0"/>
        <w:spacing w:before="120" w:after="120" w:line="360" w:lineRule="auto"/>
        <w:rPr>
          <w:rFonts w:ascii="Times New Roman" w:hAnsi="Times New Roman" w:eastAsia="宋体"/>
        </w:rPr>
      </w:pPr>
      <w:bookmarkStart w:id="593" w:name="_Toc143762386"/>
      <w:r>
        <w:rPr>
          <w:rFonts w:ascii="Times New Roman" w:hAnsi="Times New Roman" w:eastAsia="宋体"/>
        </w:rPr>
        <w:t>8.3固体废物处置措施可行性分析</w:t>
      </w:r>
      <w:bookmarkEnd w:id="591"/>
      <w:bookmarkEnd w:id="593"/>
    </w:p>
    <w:p>
      <w:pPr>
        <w:autoSpaceDE w:val="0"/>
        <w:autoSpaceDN w:val="0"/>
        <w:adjustRightInd w:val="0"/>
        <w:snapToGrid w:val="0"/>
        <w:spacing w:line="360" w:lineRule="auto"/>
        <w:ind w:firstLine="480" w:firstLineChars="200"/>
        <w:rPr>
          <w:sz w:val="24"/>
        </w:rPr>
      </w:pPr>
      <w:r>
        <w:rPr>
          <w:sz w:val="24"/>
        </w:rPr>
        <w:t>渗滤液调节池污泥</w:t>
      </w:r>
      <w:r>
        <w:rPr>
          <w:rFonts w:hint="eastAsia"/>
          <w:sz w:val="24"/>
        </w:rPr>
        <w:t>产生量约0</w:t>
      </w:r>
      <w:r>
        <w:rPr>
          <w:sz w:val="24"/>
        </w:rPr>
        <w:t>.05t/d</w:t>
      </w:r>
      <w:r>
        <w:rPr>
          <w:rFonts w:hint="eastAsia"/>
          <w:sz w:val="24"/>
        </w:rPr>
        <w:t>（1</w:t>
      </w:r>
      <w:r>
        <w:rPr>
          <w:sz w:val="24"/>
        </w:rPr>
        <w:t>8.25 t/a</w:t>
      </w:r>
      <w:r>
        <w:rPr>
          <w:rFonts w:hint="eastAsia"/>
          <w:sz w:val="24"/>
        </w:rPr>
        <w:t>），经压滤机压滤后污泥含水率约为50%＜60%，直接送入生活垃圾填埋场进行填埋处理。</w:t>
      </w:r>
      <w:r>
        <w:rPr>
          <w:kern w:val="0"/>
          <w:sz w:val="24"/>
        </w:rPr>
        <w:t>根据《生活垃圾卫生填埋处理技术规范》（GB50869-2013）及《生活垃圾填埋场污染控制标准》（GB16889-2008），</w:t>
      </w:r>
      <w:r>
        <w:rPr>
          <w:rFonts w:hint="eastAsia"/>
          <w:kern w:val="0"/>
          <w:sz w:val="24"/>
        </w:rPr>
        <w:t>生活污水处理厂污泥经处理后</w:t>
      </w:r>
      <w:r>
        <w:rPr>
          <w:kern w:val="0"/>
          <w:sz w:val="24"/>
        </w:rPr>
        <w:t>含水率＜60%，</w:t>
      </w:r>
      <w:r>
        <w:rPr>
          <w:rFonts w:hint="eastAsia"/>
          <w:kern w:val="0"/>
          <w:sz w:val="24"/>
        </w:rPr>
        <w:t>可以进入</w:t>
      </w:r>
      <w:r>
        <w:rPr>
          <w:kern w:val="0"/>
          <w:sz w:val="24"/>
        </w:rPr>
        <w:t>生活垃圾填埋场进行填埋处理</w:t>
      </w:r>
      <w:r>
        <w:rPr>
          <w:rFonts w:hint="eastAsia"/>
          <w:kern w:val="0"/>
          <w:sz w:val="24"/>
        </w:rPr>
        <w:t>，渗滤液处理中产生的污泥应进行无害化处理，因此本项目调节池污泥处理可行</w:t>
      </w:r>
      <w:r>
        <w:rPr>
          <w:kern w:val="0"/>
          <w:sz w:val="24"/>
        </w:rPr>
        <w:t>。</w:t>
      </w:r>
    </w:p>
    <w:p>
      <w:pPr>
        <w:tabs>
          <w:tab w:val="left" w:pos="1320"/>
        </w:tabs>
        <w:adjustRightInd w:val="0"/>
        <w:snapToGrid w:val="0"/>
        <w:spacing w:line="360" w:lineRule="auto"/>
        <w:ind w:firstLine="480"/>
        <w:rPr>
          <w:color w:val="FF0000"/>
          <w:sz w:val="24"/>
        </w:rPr>
      </w:pPr>
      <w:r>
        <w:rPr>
          <w:sz w:val="24"/>
        </w:rPr>
        <w:t>全场职工产生的生活垃圾产生可就近纳入填埋区填埋处理</w:t>
      </w:r>
      <w:r>
        <w:rPr>
          <w:rFonts w:hint="eastAsia"/>
          <w:sz w:val="24"/>
        </w:rPr>
        <w:t>，处理可行</w:t>
      </w:r>
      <w:r>
        <w:rPr>
          <w:sz w:val="24"/>
        </w:rPr>
        <w:t>。</w:t>
      </w:r>
      <w:r>
        <w:rPr>
          <w:rFonts w:hint="eastAsia"/>
          <w:color w:val="FF0000"/>
          <w:sz w:val="24"/>
        </w:rPr>
        <w:t>废旧反渗透膜年产生量约</w:t>
      </w:r>
      <w:r>
        <w:rPr>
          <w:color w:val="FF0000"/>
          <w:sz w:val="24"/>
        </w:rPr>
        <w:t>0.1t/a</w:t>
      </w:r>
      <w:r>
        <w:rPr>
          <w:rFonts w:hint="eastAsia"/>
          <w:color w:val="FF0000"/>
          <w:sz w:val="24"/>
        </w:rPr>
        <w:t>，由厂家定期更换回收，不在项目区存储。</w:t>
      </w:r>
    </w:p>
    <w:p>
      <w:pPr>
        <w:pStyle w:val="3"/>
        <w:adjustRightInd w:val="0"/>
        <w:snapToGrid w:val="0"/>
        <w:spacing w:before="0" w:after="0" w:line="360" w:lineRule="auto"/>
        <w:rPr>
          <w:rFonts w:ascii="Times New Roman" w:hAnsi="Times New Roman" w:eastAsia="宋体"/>
        </w:rPr>
      </w:pPr>
      <w:bookmarkStart w:id="594" w:name="_Toc143762387"/>
      <w:bookmarkStart w:id="595" w:name="_Toc489433137"/>
      <w:r>
        <w:rPr>
          <w:rFonts w:ascii="Times New Roman" w:hAnsi="Times New Roman" w:eastAsia="宋体"/>
        </w:rPr>
        <w:t>8.4噪声</w:t>
      </w:r>
      <w:r>
        <w:rPr>
          <w:rFonts w:hint="eastAsia" w:ascii="Times New Roman" w:hAnsi="Times New Roman" w:eastAsia="宋体"/>
        </w:rPr>
        <w:t>污染</w:t>
      </w:r>
      <w:r>
        <w:rPr>
          <w:rFonts w:ascii="Times New Roman" w:hAnsi="Times New Roman" w:eastAsia="宋体"/>
        </w:rPr>
        <w:t>防治措施</w:t>
      </w:r>
      <w:bookmarkEnd w:id="574"/>
      <w:bookmarkEnd w:id="575"/>
      <w:bookmarkEnd w:id="576"/>
      <w:bookmarkEnd w:id="577"/>
      <w:bookmarkEnd w:id="578"/>
      <w:bookmarkEnd w:id="579"/>
      <w:bookmarkEnd w:id="580"/>
      <w:bookmarkEnd w:id="581"/>
      <w:bookmarkEnd w:id="582"/>
      <w:bookmarkEnd w:id="583"/>
      <w:bookmarkEnd w:id="584"/>
      <w:bookmarkEnd w:id="585"/>
      <w:bookmarkEnd w:id="586"/>
      <w:bookmarkEnd w:id="594"/>
      <w:bookmarkEnd w:id="595"/>
    </w:p>
    <w:p>
      <w:pPr>
        <w:pStyle w:val="69"/>
        <w:adjustRightInd w:val="0"/>
        <w:snapToGrid w:val="0"/>
        <w:spacing w:after="0" w:line="360" w:lineRule="auto"/>
        <w:ind w:left="0" w:leftChars="0" w:firstLine="480" w:firstLineChars="200"/>
        <w:jc w:val="both"/>
        <w:rPr>
          <w:sz w:val="24"/>
          <w:szCs w:val="24"/>
        </w:rPr>
      </w:pPr>
      <w:bookmarkStart w:id="596" w:name="_Toc424484473"/>
      <w:bookmarkStart w:id="597" w:name="_Toc423602234"/>
      <w:bookmarkStart w:id="598" w:name="_Toc385944158"/>
      <w:bookmarkStart w:id="599" w:name="_Toc317605596"/>
      <w:r>
        <w:rPr>
          <w:sz w:val="24"/>
          <w:szCs w:val="24"/>
        </w:rPr>
        <w:t>为了进一步减轻噪声影响，特提出以下要求：</w:t>
      </w:r>
    </w:p>
    <w:p>
      <w:pPr>
        <w:pStyle w:val="69"/>
        <w:adjustRightInd w:val="0"/>
        <w:snapToGrid w:val="0"/>
        <w:spacing w:after="0" w:line="360" w:lineRule="auto"/>
        <w:ind w:left="0" w:leftChars="0" w:firstLine="480" w:firstLineChars="200"/>
        <w:jc w:val="both"/>
        <w:rPr>
          <w:sz w:val="24"/>
          <w:szCs w:val="24"/>
        </w:rPr>
      </w:pPr>
      <w:r>
        <w:rPr>
          <w:sz w:val="24"/>
          <w:szCs w:val="24"/>
        </w:rPr>
        <w:t>（1）选择合适的垃圾运输路线，尽量避开居民区。不可避免时应避开休息时间，以减少汽车噪声对居民的影响。</w:t>
      </w:r>
    </w:p>
    <w:p>
      <w:pPr>
        <w:pStyle w:val="69"/>
        <w:adjustRightInd w:val="0"/>
        <w:snapToGrid w:val="0"/>
        <w:spacing w:after="0" w:line="360" w:lineRule="auto"/>
        <w:ind w:left="0" w:leftChars="0" w:firstLine="480" w:firstLineChars="200"/>
        <w:jc w:val="both"/>
        <w:rPr>
          <w:sz w:val="24"/>
          <w:szCs w:val="24"/>
        </w:rPr>
      </w:pPr>
      <w:r>
        <w:rPr>
          <w:sz w:val="24"/>
          <w:szCs w:val="24"/>
        </w:rPr>
        <w:t>（2）渗滤液处理站按隔声要求设计、建造，需设隔声门、隔声窗，下部采用密闭式设计。</w:t>
      </w:r>
    </w:p>
    <w:p>
      <w:pPr>
        <w:pStyle w:val="69"/>
        <w:adjustRightInd w:val="0"/>
        <w:snapToGrid w:val="0"/>
        <w:spacing w:after="0" w:line="360" w:lineRule="auto"/>
        <w:ind w:left="0" w:leftChars="0" w:firstLine="480" w:firstLineChars="200"/>
        <w:jc w:val="both"/>
        <w:rPr>
          <w:sz w:val="24"/>
          <w:szCs w:val="24"/>
        </w:rPr>
      </w:pPr>
      <w:r>
        <w:rPr>
          <w:sz w:val="24"/>
          <w:szCs w:val="24"/>
        </w:rPr>
        <w:t>（3）对水泵、循环泵及电机等产噪设备应采取基础隔振处理，进出口应安装可曲挠半软性接头，以满足隔振、减振以及作为各向位移补偿的要求，泵体安装高阻尼粘弹性垫圈。</w:t>
      </w:r>
    </w:p>
    <w:p>
      <w:pPr>
        <w:pStyle w:val="69"/>
        <w:adjustRightInd w:val="0"/>
        <w:snapToGrid w:val="0"/>
        <w:spacing w:after="0" w:line="360" w:lineRule="auto"/>
        <w:ind w:left="0" w:leftChars="0" w:firstLine="480" w:firstLineChars="200"/>
        <w:jc w:val="both"/>
        <w:rPr>
          <w:sz w:val="24"/>
          <w:szCs w:val="24"/>
        </w:rPr>
      </w:pPr>
      <w:r>
        <w:rPr>
          <w:sz w:val="24"/>
          <w:szCs w:val="24"/>
        </w:rPr>
        <w:t>（4）</w:t>
      </w:r>
      <w:r>
        <w:rPr>
          <w:rFonts w:hint="eastAsia"/>
          <w:sz w:val="24"/>
          <w:szCs w:val="24"/>
        </w:rPr>
        <w:t>加强</w:t>
      </w:r>
      <w:r>
        <w:rPr>
          <w:sz w:val="24"/>
          <w:szCs w:val="24"/>
        </w:rPr>
        <w:t>厂区绿化美化</w:t>
      </w:r>
      <w:r>
        <w:rPr>
          <w:rFonts w:hint="eastAsia"/>
          <w:sz w:val="24"/>
          <w:szCs w:val="24"/>
        </w:rPr>
        <w:t>维护</w:t>
      </w:r>
      <w:r>
        <w:rPr>
          <w:sz w:val="24"/>
          <w:szCs w:val="24"/>
        </w:rPr>
        <w:t>，以</w:t>
      </w:r>
      <w:r>
        <w:rPr>
          <w:rFonts w:hint="eastAsia"/>
          <w:sz w:val="24"/>
          <w:szCs w:val="24"/>
        </w:rPr>
        <w:t>更好</w:t>
      </w:r>
      <w:r>
        <w:rPr>
          <w:sz w:val="24"/>
          <w:szCs w:val="24"/>
        </w:rPr>
        <w:t>起到吸声作用。</w:t>
      </w:r>
    </w:p>
    <w:p>
      <w:pPr>
        <w:pStyle w:val="3"/>
        <w:adjustRightInd w:val="0"/>
        <w:snapToGrid w:val="0"/>
        <w:spacing w:before="0" w:after="0" w:line="360" w:lineRule="auto"/>
        <w:rPr>
          <w:rFonts w:ascii="Times New Roman" w:hAnsi="Times New Roman" w:eastAsia="宋体"/>
        </w:rPr>
      </w:pPr>
      <w:bookmarkStart w:id="600" w:name="_Toc143762388"/>
      <w:r>
        <w:rPr>
          <w:rFonts w:ascii="Times New Roman" w:hAnsi="Times New Roman" w:eastAsia="宋体"/>
        </w:rPr>
        <w:t>8.5</w:t>
      </w:r>
      <w:r>
        <w:rPr>
          <w:rFonts w:hint="eastAsia" w:ascii="Times New Roman" w:hAnsi="Times New Roman" w:eastAsia="宋体"/>
        </w:rPr>
        <w:t>土壤污染</w:t>
      </w:r>
      <w:r>
        <w:rPr>
          <w:rFonts w:ascii="Times New Roman" w:hAnsi="Times New Roman" w:eastAsia="宋体"/>
        </w:rPr>
        <w:t>防治措施</w:t>
      </w:r>
      <w:bookmarkEnd w:id="600"/>
    </w:p>
    <w:p>
      <w:pPr>
        <w:pStyle w:val="825"/>
        <w:adjustRightInd w:val="0"/>
        <w:snapToGrid w:val="0"/>
        <w:ind w:firstLine="480"/>
      </w:pPr>
      <w:r>
        <w:rPr>
          <w:rFonts w:hint="eastAsia"/>
        </w:rPr>
        <w:t>项目对生活垃圾填埋区、调节池及污水处理站等污染区作防渗处理，并定期检查防渗措施，同时为了及时准确地掌握项目厂区土壤中污染物的变化，本项目应建立土壤环境跟踪监测管理，建立完善的监测制度，以便及时发现问题，采取措施。</w:t>
      </w:r>
    </w:p>
    <w:p>
      <w:pPr>
        <w:pStyle w:val="825"/>
        <w:adjustRightInd w:val="0"/>
        <w:snapToGrid w:val="0"/>
        <w:ind w:firstLine="480"/>
      </w:pPr>
      <w:r>
        <w:rPr>
          <w:rFonts w:hint="eastAsia"/>
        </w:rPr>
        <w:t>（</w:t>
      </w:r>
      <w:r>
        <w:t>1</w:t>
      </w:r>
      <w:r>
        <w:rPr>
          <w:rFonts w:hint="eastAsia"/>
        </w:rPr>
        <w:t>）监测点位应布设在重点影响区和土壤环境敏感目标附近。本项目可在填埋区垃圾坝下游</w:t>
      </w:r>
      <w:r>
        <w:t>1</w:t>
      </w:r>
      <w:r>
        <w:rPr>
          <w:rFonts w:hint="eastAsia"/>
        </w:rPr>
        <w:t>个、调节池下游</w:t>
      </w:r>
      <w:r>
        <w:t>1</w:t>
      </w:r>
      <w:r>
        <w:rPr>
          <w:rFonts w:hint="eastAsia"/>
        </w:rPr>
        <w:t>个，填埋场外北侧耕地</w:t>
      </w:r>
      <w:r>
        <w:t>1</w:t>
      </w:r>
      <w:r>
        <w:rPr>
          <w:rFonts w:hint="eastAsia"/>
        </w:rPr>
        <w:t>个。</w:t>
      </w:r>
    </w:p>
    <w:p>
      <w:pPr>
        <w:pStyle w:val="825"/>
        <w:adjustRightInd w:val="0"/>
        <w:snapToGrid w:val="0"/>
        <w:ind w:firstLine="480"/>
      </w:pPr>
      <w:r>
        <w:rPr>
          <w:rFonts w:hint="eastAsia"/>
        </w:rPr>
        <w:t>（</w:t>
      </w:r>
      <w:r>
        <w:t>2</w:t>
      </w:r>
      <w:r>
        <w:rPr>
          <w:rFonts w:hint="eastAsia"/>
        </w:rPr>
        <w:t>）监测指标应选择建设项目特征因子。监测项目包括</w:t>
      </w:r>
      <w:r>
        <w:t>pH</w:t>
      </w:r>
      <w:r>
        <w:rPr>
          <w:rFonts w:hint="eastAsia"/>
        </w:rPr>
        <w:t>、砷、镉、六价铬、铜、铅、汞、镍、锌、总铬。监测频次每</w:t>
      </w:r>
      <w:r>
        <w:t>5</w:t>
      </w:r>
      <w:r>
        <w:rPr>
          <w:rFonts w:hint="eastAsia"/>
        </w:rPr>
        <w:t>年监测</w:t>
      </w:r>
      <w:r>
        <w:t>1</w:t>
      </w:r>
      <w:r>
        <w:rPr>
          <w:rFonts w:hint="eastAsia"/>
        </w:rPr>
        <w:t>次。</w:t>
      </w:r>
    </w:p>
    <w:p>
      <w:pPr>
        <w:pStyle w:val="825"/>
        <w:adjustRightInd w:val="0"/>
        <w:snapToGrid w:val="0"/>
        <w:ind w:firstLine="480"/>
      </w:pPr>
      <w:r>
        <w:rPr>
          <w:rFonts w:hint="eastAsia"/>
        </w:rPr>
        <w:t>（</w:t>
      </w:r>
      <w:r>
        <w:t>3</w:t>
      </w:r>
      <w:r>
        <w:rPr>
          <w:rFonts w:hint="eastAsia"/>
        </w:rPr>
        <w:t>）监测机构、人员</w:t>
      </w:r>
    </w:p>
    <w:p>
      <w:pPr>
        <w:pStyle w:val="825"/>
        <w:adjustRightInd w:val="0"/>
        <w:snapToGrid w:val="0"/>
        <w:ind w:firstLine="480"/>
      </w:pPr>
      <w:r>
        <w:rPr>
          <w:rFonts w:hint="eastAsia"/>
        </w:rPr>
        <w:t>项目厂区应设专人负责土壤跟踪监测事宜。监测人员应具备相关监测知识和技能，持证上岗。若自身不具备监测条件，可定期委托有相关资质监测单位进行。</w:t>
      </w:r>
    </w:p>
    <w:p>
      <w:pPr>
        <w:pStyle w:val="825"/>
        <w:adjustRightInd w:val="0"/>
        <w:snapToGrid w:val="0"/>
        <w:ind w:firstLine="480"/>
      </w:pPr>
      <w:r>
        <w:rPr>
          <w:rFonts w:hint="eastAsia"/>
        </w:rPr>
        <w:t>（</w:t>
      </w:r>
      <w:r>
        <w:t>4</w:t>
      </w:r>
      <w:r>
        <w:rPr>
          <w:rFonts w:hint="eastAsia"/>
        </w:rPr>
        <w:t>）监测数据管理</w:t>
      </w:r>
    </w:p>
    <w:p>
      <w:pPr>
        <w:pStyle w:val="825"/>
        <w:adjustRightInd w:val="0"/>
        <w:snapToGrid w:val="0"/>
        <w:ind w:firstLine="480"/>
      </w:pPr>
      <w:r>
        <w:rPr>
          <w:rFonts w:hint="eastAsia"/>
        </w:rPr>
        <w:t>监测结果应按项目有关规定及时建立档案，并定期向厂安全环保部门汇报，对于常规监测数据应该进行公开，特别是对本项目所在区域的居民进行公开，满足法律中关于知情权的要求。如发现异常或发生事故，加密监测频次，并分析污染原因，确定渗漏污染源，及时采取应急措施。</w:t>
      </w:r>
    </w:p>
    <w:p>
      <w:pPr>
        <w:pStyle w:val="3"/>
        <w:rPr>
          <w:rFonts w:ascii="Times New Roman" w:hAnsi="Times New Roman" w:eastAsia="宋体"/>
        </w:rPr>
      </w:pPr>
      <w:bookmarkStart w:id="601" w:name="_Toc489433147"/>
      <w:bookmarkStart w:id="602" w:name="_Toc143762389"/>
      <w:bookmarkStart w:id="603" w:name="_Toc434572585"/>
      <w:r>
        <w:rPr>
          <w:rFonts w:ascii="Times New Roman" w:hAnsi="Times New Roman" w:eastAsia="宋体"/>
        </w:rPr>
        <w:t>8.6封场期环保措施</w:t>
      </w:r>
      <w:bookmarkEnd w:id="601"/>
      <w:bookmarkEnd w:id="602"/>
      <w:bookmarkEnd w:id="603"/>
    </w:p>
    <w:p>
      <w:pPr>
        <w:pStyle w:val="825"/>
        <w:ind w:firstLine="480"/>
      </w:pPr>
      <w:r>
        <w:rPr>
          <w:rFonts w:hint="eastAsia"/>
        </w:rPr>
        <w:t>填埋场</w:t>
      </w:r>
      <w:r>
        <w:t>退役封场工程，主要依据《生活垃圾填埋场污染控制标准》（GB16889-2008）</w:t>
      </w:r>
      <w:r>
        <w:rPr>
          <w:rFonts w:hint="eastAsia"/>
        </w:rPr>
        <w:t>、</w:t>
      </w:r>
      <w:r>
        <w:t>《</w:t>
      </w:r>
      <w:r>
        <w:rPr>
          <w:rFonts w:hint="eastAsia"/>
        </w:rPr>
        <w:t>生活垃圾卫生填埋场封场技术规范</w:t>
      </w:r>
      <w:r>
        <w:t>》（</w:t>
      </w:r>
      <w:r>
        <w:rPr>
          <w:rFonts w:hint="eastAsia"/>
        </w:rPr>
        <w:t>GB 51220-2017</w:t>
      </w:r>
      <w:r>
        <w:t>）</w:t>
      </w:r>
      <w:r>
        <w:rPr>
          <w:rFonts w:hint="eastAsia"/>
        </w:rPr>
        <w:t>及</w:t>
      </w:r>
      <w:r>
        <w:t>《生活垃圾处理处置工程项目规范》（GB 55012-2021）对环境保护的要求进行：</w:t>
      </w:r>
    </w:p>
    <w:p>
      <w:pPr>
        <w:pStyle w:val="825"/>
        <w:ind w:firstLine="480"/>
      </w:pPr>
      <w:r>
        <w:t>（1）填埋场填埋作业至设计终场标高或不再受纳垃圾而停止使用时，必须实施封场工程，填埋场封场工程必须报请有关部门审核批准后方可实施。</w:t>
      </w:r>
    </w:p>
    <w:p>
      <w:pPr>
        <w:pStyle w:val="825"/>
        <w:ind w:firstLine="480"/>
      </w:pPr>
      <w:r>
        <w:t>（2）填埋场封场工程应包括地表水径流、排水、防渗、渗滤液收集处理、填埋气体收集处理、堆体稳定、植被类型及覆盖等内容。</w:t>
      </w:r>
    </w:p>
    <w:p>
      <w:pPr>
        <w:pStyle w:val="825"/>
        <w:ind w:firstLine="480"/>
      </w:pPr>
      <w:r>
        <w:t>（3）封场时应做好地表面的处理，并在其表面覆盖500mm厚的</w:t>
      </w:r>
      <w:r>
        <w:rPr>
          <w:rFonts w:hint="eastAsia"/>
        </w:rPr>
        <w:t>支持土</w:t>
      </w:r>
      <w:r>
        <w:t>层，并再覆盖500mm厚的营养土层。</w:t>
      </w:r>
    </w:p>
    <w:p>
      <w:pPr>
        <w:pStyle w:val="825"/>
        <w:ind w:firstLine="480"/>
      </w:pPr>
      <w:r>
        <w:t>（4）封场时终场表面应有一定的坡度倾向一方，以排出降水。</w:t>
      </w:r>
    </w:p>
    <w:p>
      <w:pPr>
        <w:pStyle w:val="825"/>
        <w:ind w:firstLine="480"/>
      </w:pPr>
      <w:r>
        <w:t>（5）封场时应布设导气、排热设施，以防火灾、爆炸。</w:t>
      </w:r>
    </w:p>
    <w:p>
      <w:pPr>
        <w:pStyle w:val="825"/>
        <w:ind w:firstLine="480"/>
      </w:pPr>
      <w:r>
        <w:t>（6）在填埋场未达到稳定化前，不准作为建筑用地。</w:t>
      </w:r>
    </w:p>
    <w:p>
      <w:pPr>
        <w:pStyle w:val="825"/>
        <w:ind w:firstLine="480"/>
      </w:pPr>
      <w:r>
        <w:t>（7）在填埋场下部应设污水收集及处理设施，以防止垃圾渗滤液造成污染。</w:t>
      </w:r>
    </w:p>
    <w:p>
      <w:pPr>
        <w:pStyle w:val="825"/>
        <w:ind w:firstLine="480"/>
      </w:pPr>
      <w:r>
        <w:t>（8）在封场之后的台田上种植适宜当地气候和环境的植物：羊草和针茅等。种植后加强栽培措施，注意管理，方能恢复较好植被。</w:t>
      </w:r>
    </w:p>
    <w:p>
      <w:pPr>
        <w:pStyle w:val="825"/>
        <w:ind w:firstLine="480"/>
      </w:pPr>
      <w:r>
        <w:t>总之，应按《生活垃圾填埋场污染控制标准》（GB16889-2008）及《</w:t>
      </w:r>
      <w:r>
        <w:rPr>
          <w:rFonts w:hint="eastAsia"/>
        </w:rPr>
        <w:t>生活垃圾卫生填埋场封场技术规范</w:t>
      </w:r>
      <w:r>
        <w:t>》（</w:t>
      </w:r>
      <w:r>
        <w:rPr>
          <w:rFonts w:hint="eastAsia"/>
        </w:rPr>
        <w:t>GB 51220-2017</w:t>
      </w:r>
      <w:r>
        <w:t>）</w:t>
      </w:r>
      <w:r>
        <w:rPr>
          <w:rFonts w:hint="eastAsia"/>
        </w:rPr>
        <w:t>、及《生活垃圾处理处置工程项目规范》（GB 55012-2021）</w:t>
      </w:r>
      <w:r>
        <w:t>等环保有关法律、法规、标准和要求，针对工程运行、封场期存在的环境问题，积极采取科学、实用、可行、有效的各种环保措施，进行扬长避短。</w:t>
      </w:r>
    </w:p>
    <w:p>
      <w:pPr>
        <w:pStyle w:val="3"/>
        <w:rPr>
          <w:rFonts w:ascii="Times New Roman" w:hAnsi="Times New Roman" w:eastAsia="宋体"/>
        </w:rPr>
      </w:pPr>
      <w:bookmarkStart w:id="604" w:name="_Toc434572586"/>
      <w:bookmarkStart w:id="605" w:name="_Toc143762390"/>
      <w:bookmarkStart w:id="606" w:name="_Toc489433148"/>
      <w:r>
        <w:rPr>
          <w:rFonts w:ascii="Times New Roman" w:hAnsi="Times New Roman" w:eastAsia="宋体"/>
        </w:rPr>
        <w:t>8.7填埋废物入场要求</w:t>
      </w:r>
      <w:bookmarkEnd w:id="604"/>
      <w:bookmarkEnd w:id="605"/>
      <w:bookmarkEnd w:id="606"/>
    </w:p>
    <w:p>
      <w:pPr>
        <w:pStyle w:val="825"/>
        <w:ind w:firstLine="480"/>
        <w:rPr>
          <w:rFonts w:ascii="宋体" w:hAnsi="宋体" w:cs="宋体"/>
          <w:color w:val="FF0000"/>
        </w:rPr>
      </w:pPr>
      <w:r>
        <w:rPr>
          <w:rFonts w:hint="eastAsia" w:ascii="宋体" w:hAnsi="宋体" w:cs="宋体"/>
          <w:color w:val="FF0000"/>
        </w:rPr>
        <w:t>本工程填埋场主要是服务复兴镇、巴彦套海镇、塔尔湖镇、天吉泰镇、新公中镇、银定图镇、丰裕办事处等农村居民生活垃圾。</w:t>
      </w:r>
    </w:p>
    <w:p>
      <w:pPr>
        <w:pStyle w:val="825"/>
        <w:ind w:firstLine="480"/>
        <w:rPr>
          <w:color w:val="FF0000"/>
        </w:rPr>
      </w:pPr>
      <w:r>
        <w:rPr>
          <w:color w:val="FF0000"/>
        </w:rPr>
        <w:fldChar w:fldCharType="begin"/>
      </w:r>
      <w:r>
        <w:rPr>
          <w:color w:val="FF0000"/>
        </w:rPr>
        <w:instrText xml:space="preserve"> = 1 \* GB3 </w:instrText>
      </w:r>
      <w:r>
        <w:rPr>
          <w:color w:val="FF0000"/>
        </w:rPr>
        <w:fldChar w:fldCharType="separate"/>
      </w:r>
      <w:r>
        <w:rPr>
          <w:rFonts w:hint="eastAsia" w:ascii="宋体" w:hAnsi="宋体" w:cs="宋体"/>
          <w:color w:val="FF0000"/>
        </w:rPr>
        <w:t>①</w:t>
      </w:r>
      <w:r>
        <w:rPr>
          <w:color w:val="FF0000"/>
        </w:rPr>
        <w:fldChar w:fldCharType="end"/>
      </w:r>
      <w:r>
        <w:rPr>
          <w:color w:val="FF0000"/>
        </w:rPr>
        <w:t>由环境卫生机构收集或者自行收集的混合生活垃圾，以及企事业单位产生的办公废物；</w:t>
      </w:r>
    </w:p>
    <w:p>
      <w:pPr>
        <w:pStyle w:val="825"/>
        <w:ind w:firstLine="480"/>
        <w:rPr>
          <w:color w:val="FF0000"/>
        </w:rPr>
      </w:pPr>
      <w:r>
        <w:rPr>
          <w:color w:val="FF0000"/>
        </w:rPr>
        <w:fldChar w:fldCharType="begin"/>
      </w:r>
      <w:r>
        <w:rPr>
          <w:color w:val="FF0000"/>
        </w:rPr>
        <w:instrText xml:space="preserve"> = 2 \* GB3 </w:instrText>
      </w:r>
      <w:r>
        <w:rPr>
          <w:color w:val="FF0000"/>
        </w:rPr>
        <w:fldChar w:fldCharType="separate"/>
      </w:r>
      <w:r>
        <w:rPr>
          <w:rFonts w:hint="eastAsia" w:ascii="宋体" w:hAnsi="宋体" w:cs="宋体"/>
          <w:color w:val="FF0000"/>
        </w:rPr>
        <w:t>②</w:t>
      </w:r>
      <w:r>
        <w:rPr>
          <w:color w:val="FF0000"/>
        </w:rPr>
        <w:fldChar w:fldCharType="end"/>
      </w:r>
      <w:r>
        <w:rPr>
          <w:color w:val="FF0000"/>
        </w:rPr>
        <w:t>生活垃圾焚烧炉渣（不包括焚烧飞灰）；</w:t>
      </w:r>
    </w:p>
    <w:p>
      <w:pPr>
        <w:pStyle w:val="825"/>
        <w:ind w:firstLine="480"/>
        <w:rPr>
          <w:color w:val="FF0000"/>
        </w:rPr>
      </w:pPr>
      <w:r>
        <w:rPr>
          <w:color w:val="FF0000"/>
        </w:rPr>
        <w:fldChar w:fldCharType="begin"/>
      </w:r>
      <w:r>
        <w:rPr>
          <w:color w:val="FF0000"/>
        </w:rPr>
        <w:instrText xml:space="preserve"> = 3 \* GB3 </w:instrText>
      </w:r>
      <w:r>
        <w:rPr>
          <w:color w:val="FF0000"/>
        </w:rPr>
        <w:fldChar w:fldCharType="separate"/>
      </w:r>
      <w:r>
        <w:rPr>
          <w:rFonts w:hint="eastAsia" w:ascii="宋体" w:hAnsi="宋体" w:cs="宋体"/>
          <w:color w:val="FF0000"/>
        </w:rPr>
        <w:t>③</w:t>
      </w:r>
      <w:r>
        <w:rPr>
          <w:color w:val="FF0000"/>
        </w:rPr>
        <w:fldChar w:fldCharType="end"/>
      </w:r>
      <w:r>
        <w:rPr>
          <w:color w:val="FF0000"/>
        </w:rPr>
        <w:t>生活垃圾堆肥处理产生的固态残余物；</w:t>
      </w:r>
    </w:p>
    <w:p>
      <w:pPr>
        <w:pStyle w:val="825"/>
        <w:ind w:firstLine="480"/>
        <w:rPr>
          <w:color w:val="FF0000"/>
        </w:rPr>
        <w:sectPr>
          <w:pgSz w:w="11906" w:h="16838"/>
          <w:pgMar w:top="1440" w:right="1800" w:bottom="1440" w:left="1800" w:header="851" w:footer="992" w:gutter="0"/>
          <w:cols w:space="720" w:num="1"/>
          <w:docGrid w:type="lines" w:linePitch="312" w:charSpace="0"/>
        </w:sectPr>
      </w:pPr>
      <w:r>
        <w:rPr>
          <w:color w:val="FF0000"/>
        </w:rPr>
        <w:fldChar w:fldCharType="begin"/>
      </w:r>
      <w:r>
        <w:rPr>
          <w:color w:val="FF0000"/>
        </w:rPr>
        <w:instrText xml:space="preserve"> = 4 \* GB3 </w:instrText>
      </w:r>
      <w:r>
        <w:rPr>
          <w:color w:val="FF0000"/>
        </w:rPr>
        <w:fldChar w:fldCharType="separate"/>
      </w:r>
      <w:r>
        <w:rPr>
          <w:rFonts w:hint="eastAsia" w:ascii="宋体" w:hAnsi="宋体" w:cs="宋体"/>
          <w:color w:val="FF0000"/>
        </w:rPr>
        <w:t>④</w:t>
      </w:r>
      <w:r>
        <w:rPr>
          <w:color w:val="FF0000"/>
        </w:rPr>
        <w:fldChar w:fldCharType="end"/>
      </w:r>
      <w:r>
        <w:rPr>
          <w:color w:val="FF0000"/>
        </w:rPr>
        <w:t>服装加工、食品加工以及其他城市生活服务行业产生的性质与生活垃圾相近的一般工业固体废物。</w:t>
      </w:r>
      <w:bookmarkEnd w:id="596"/>
      <w:bookmarkEnd w:id="597"/>
      <w:bookmarkEnd w:id="598"/>
      <w:bookmarkEnd w:id="599"/>
    </w:p>
    <w:p>
      <w:pPr>
        <w:pStyle w:val="823"/>
        <w:adjustRightInd/>
        <w:spacing w:before="156" w:beforeLines="50" w:after="156" w:afterLines="50" w:line="360" w:lineRule="auto"/>
        <w:rPr>
          <w:rFonts w:cs="Times New Roman"/>
        </w:rPr>
      </w:pPr>
      <w:bookmarkStart w:id="607" w:name="_Toc143762391"/>
      <w:bookmarkStart w:id="608" w:name="_Toc401479216"/>
      <w:bookmarkStart w:id="609" w:name="_Toc489433149"/>
      <w:bookmarkStart w:id="610" w:name="_Toc200441569"/>
      <w:bookmarkStart w:id="611" w:name="_Toc401479185"/>
      <w:bookmarkStart w:id="612" w:name="_Toc144835261"/>
      <w:bookmarkStart w:id="613" w:name="_Toc154114010"/>
      <w:bookmarkStart w:id="614" w:name="_Toc150828941"/>
      <w:bookmarkStart w:id="615" w:name="_Toc144833945"/>
      <w:bookmarkStart w:id="616" w:name="_Toc152610693"/>
      <w:bookmarkStart w:id="617" w:name="_Toc150829215"/>
      <w:bookmarkStart w:id="618" w:name="_Toc200441544"/>
      <w:bookmarkStart w:id="619" w:name="_Toc148972668"/>
      <w:bookmarkStart w:id="620" w:name="_Toc152121836"/>
      <w:bookmarkStart w:id="621" w:name="_Toc154297392"/>
      <w:bookmarkStart w:id="622" w:name="_Toc154299160"/>
      <w:bookmarkStart w:id="623" w:name="_Toc145169635"/>
      <w:bookmarkStart w:id="624" w:name="_Toc144834652"/>
      <w:bookmarkStart w:id="625" w:name="_Toc152693031"/>
      <w:bookmarkStart w:id="626" w:name="_Toc154298049"/>
      <w:r>
        <w:rPr>
          <w:rFonts w:cs="Times New Roman"/>
        </w:rPr>
        <w:t>9环境经济损益分析</w:t>
      </w:r>
      <w:bookmarkEnd w:id="607"/>
      <w:bookmarkEnd w:id="608"/>
      <w:bookmarkEnd w:id="609"/>
      <w:bookmarkEnd w:id="610"/>
    </w:p>
    <w:p>
      <w:pPr>
        <w:pStyle w:val="347"/>
        <w:keepNext w:val="0"/>
        <w:topLinePunct w:val="0"/>
        <w:spacing w:before="156" w:beforeLines="50" w:after="156" w:afterLines="50" w:line="360" w:lineRule="auto"/>
        <w:rPr>
          <w:rFonts w:cs="Times New Roman"/>
        </w:rPr>
      </w:pPr>
      <w:bookmarkStart w:id="627" w:name="_Toc424484748"/>
      <w:bookmarkStart w:id="628" w:name="_Toc335828160"/>
      <w:bookmarkStart w:id="629" w:name="_Toc276105967"/>
      <w:bookmarkStart w:id="630" w:name="_Toc277196520"/>
      <w:bookmarkStart w:id="631" w:name="_Toc276333679"/>
      <w:bookmarkStart w:id="632" w:name="_Toc277336136"/>
      <w:bookmarkStart w:id="633" w:name="_Toc143762392"/>
      <w:bookmarkStart w:id="634" w:name="_Toc277244784"/>
      <w:bookmarkStart w:id="635" w:name="_Toc277228974"/>
      <w:bookmarkStart w:id="636" w:name="_Toc489433150"/>
      <w:bookmarkStart w:id="637" w:name="_Toc277949960"/>
      <w:bookmarkStart w:id="638" w:name="_Toc277238977"/>
      <w:bookmarkStart w:id="639" w:name="_Toc274251995"/>
      <w:bookmarkStart w:id="640" w:name="_Toc277949295"/>
      <w:bookmarkStart w:id="641" w:name="_Toc423602396"/>
      <w:bookmarkStart w:id="642" w:name="_Toc274251924"/>
      <w:bookmarkStart w:id="643" w:name="_Toc277632330"/>
      <w:r>
        <w:rPr>
          <w:rFonts w:cs="Times New Roman"/>
        </w:rPr>
        <w:t>9.1环境保护投资估算</w:t>
      </w:r>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pPr>
        <w:spacing w:line="360" w:lineRule="auto"/>
        <w:ind w:firstLine="480" w:firstLineChars="200"/>
        <w:rPr>
          <w:sz w:val="24"/>
        </w:rPr>
      </w:pPr>
      <w:r>
        <w:rPr>
          <w:rFonts w:hint="eastAsia"/>
          <w:sz w:val="24"/>
        </w:rPr>
        <w:t>填埋场</w:t>
      </w:r>
      <w:r>
        <w:rPr>
          <w:sz w:val="24"/>
        </w:rPr>
        <w:t>有臭有害气体的排放，填埋场渗滤液的排放，垃圾腐败孳生蚊蝇，将会对周围水、气环境和人群健康造成影响，带来损失，该工程采取了有效的水、气污染预防和治理措施，及消毒灭菌等环卫措施，投入了一定的环保建设费用。这些环保建设投资可作为环境损失的替代费用。项目环保投资估算见表9.1-1。</w:t>
      </w:r>
    </w:p>
    <w:p>
      <w:pPr>
        <w:pStyle w:val="44"/>
        <w:ind w:firstLine="361" w:firstLineChars="150"/>
        <w:jc w:val="center"/>
        <w:rPr>
          <w:rFonts w:cs="Times New Roman"/>
          <w:b/>
          <w:szCs w:val="24"/>
        </w:rPr>
      </w:pPr>
      <w:r>
        <w:rPr>
          <w:rFonts w:cs="Times New Roman"/>
          <w:b/>
          <w:szCs w:val="24"/>
        </w:rPr>
        <w:t>表9.1-1  环境保护投资估算表（单位：万元）</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1314"/>
        <w:gridCol w:w="3537"/>
        <w:gridCol w:w="1461"/>
        <w:gridCol w:w="12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1" w:type="pct"/>
            <w:gridSpan w:val="2"/>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污染治理项目</w:t>
            </w:r>
          </w:p>
        </w:tc>
        <w:tc>
          <w:tcPr>
            <w:tcW w:w="2075"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采取措施及工程</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环保投资（万元）</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0" w:type="pct"/>
            <w:vMerge w:val="restar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废气治理</w:t>
            </w:r>
          </w:p>
        </w:tc>
        <w:tc>
          <w:tcPr>
            <w:tcW w:w="771"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填埋区废气</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sz w:val="21"/>
              </w:rPr>
              <w:t>填埋气体通过导气石笼有序导排。</w:t>
            </w:r>
            <w:r>
              <w:rPr>
                <w:rFonts w:hint="eastAsia" w:ascii="宋体" w:cs="宋体"/>
                <w:kern w:val="0"/>
                <w:sz w:val="21"/>
              </w:rPr>
              <w:t>填埋作业时减少垃圾的暴露面积，缩短垃圾暴露时间；及时摊铺、压实、覆盖，定期喷洒消臭、脱臭剂。</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1</w:t>
            </w:r>
            <w:r>
              <w:rPr>
                <w:rFonts w:cs="Times New Roman"/>
                <w:sz w:val="21"/>
              </w:rPr>
              <w:t>1</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0" w:type="pct"/>
            <w:vMerge w:val="continue"/>
            <w:vAlign w:val="center"/>
          </w:tcPr>
          <w:p>
            <w:pPr>
              <w:pStyle w:val="44"/>
              <w:adjustRightInd w:val="0"/>
              <w:snapToGrid w:val="0"/>
              <w:spacing w:line="240" w:lineRule="auto"/>
              <w:ind w:firstLine="0" w:firstLineChars="0"/>
              <w:jc w:val="center"/>
              <w:rPr>
                <w:rFonts w:cs="Times New Roman"/>
                <w:sz w:val="21"/>
              </w:rPr>
            </w:pPr>
          </w:p>
        </w:tc>
        <w:tc>
          <w:tcPr>
            <w:tcW w:w="771" w:type="pct"/>
            <w:vAlign w:val="center"/>
          </w:tcPr>
          <w:p>
            <w:pPr>
              <w:pStyle w:val="44"/>
              <w:adjustRightInd w:val="0"/>
              <w:snapToGrid w:val="0"/>
              <w:spacing w:line="240" w:lineRule="auto"/>
              <w:ind w:firstLine="0" w:firstLineChars="0"/>
              <w:jc w:val="center"/>
              <w:rPr>
                <w:rFonts w:cs="Times New Roman"/>
                <w:color w:val="FF0000"/>
                <w:sz w:val="21"/>
              </w:rPr>
            </w:pPr>
            <w:r>
              <w:rPr>
                <w:rFonts w:hint="eastAsia" w:cs="Times New Roman"/>
                <w:color w:val="FF0000"/>
                <w:sz w:val="21"/>
              </w:rPr>
              <w:t>渗滤液处理站废气</w:t>
            </w:r>
          </w:p>
        </w:tc>
        <w:tc>
          <w:tcPr>
            <w:tcW w:w="2075" w:type="pct"/>
            <w:vAlign w:val="center"/>
          </w:tcPr>
          <w:p>
            <w:pPr>
              <w:pStyle w:val="44"/>
              <w:adjustRightInd w:val="0"/>
              <w:snapToGrid w:val="0"/>
              <w:spacing w:line="240" w:lineRule="auto"/>
              <w:ind w:firstLine="0" w:firstLineChars="0"/>
              <w:rPr>
                <w:rFonts w:cs="Times New Roman"/>
                <w:color w:val="FF0000"/>
                <w:sz w:val="21"/>
              </w:rPr>
            </w:pPr>
            <w:r>
              <w:rPr>
                <w:rFonts w:hint="eastAsia" w:cs="Times New Roman"/>
                <w:color w:val="FF0000"/>
                <w:sz w:val="21"/>
              </w:rPr>
              <w:t>密闭，减少无组织恶臭逸散</w:t>
            </w:r>
          </w:p>
        </w:tc>
        <w:tc>
          <w:tcPr>
            <w:tcW w:w="857" w:type="pct"/>
            <w:vAlign w:val="center"/>
          </w:tcPr>
          <w:p>
            <w:pPr>
              <w:pStyle w:val="44"/>
              <w:adjustRightInd w:val="0"/>
              <w:snapToGrid w:val="0"/>
              <w:spacing w:line="240" w:lineRule="auto"/>
              <w:ind w:firstLine="0" w:firstLineChars="0"/>
              <w:jc w:val="center"/>
              <w:rPr>
                <w:rFonts w:cs="Times New Roman"/>
                <w:color w:val="FF0000"/>
                <w:sz w:val="21"/>
              </w:rPr>
            </w:pPr>
            <w:r>
              <w:rPr>
                <w:rFonts w:cs="Times New Roman"/>
                <w:color w:val="FF0000"/>
                <w:sz w:val="21"/>
              </w:rPr>
              <w:t>5</w:t>
            </w:r>
          </w:p>
        </w:tc>
        <w:tc>
          <w:tcPr>
            <w:tcW w:w="726" w:type="pct"/>
            <w:vAlign w:val="center"/>
          </w:tcPr>
          <w:p>
            <w:pPr>
              <w:pStyle w:val="44"/>
              <w:adjustRightInd w:val="0"/>
              <w:snapToGrid w:val="0"/>
              <w:spacing w:line="240" w:lineRule="auto"/>
              <w:ind w:firstLine="0" w:firstLineChars="0"/>
              <w:jc w:val="center"/>
              <w:rPr>
                <w:rFonts w:cs="Times New Roman"/>
                <w:color w:val="FF0000"/>
                <w:sz w:val="21"/>
              </w:rPr>
            </w:pPr>
            <w:r>
              <w:rPr>
                <w:rFonts w:hint="eastAsia" w:cs="Times New Roman"/>
                <w:color w:val="FF0000"/>
                <w:sz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71" w:type="pct"/>
            <w:vMerge w:val="restar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废水治理</w:t>
            </w:r>
          </w:p>
        </w:tc>
        <w:tc>
          <w:tcPr>
            <w:tcW w:w="771"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渗滤液</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cs="Times New Roman"/>
                <w:sz w:val="21"/>
              </w:rPr>
              <w:t>设置2个渗滤液调节池，分别布置在填埋场北侧及南侧。每个调节池的有效容积为500m</w:t>
            </w:r>
            <w:r>
              <w:rPr>
                <w:rFonts w:hint="eastAsia" w:cs="Times New Roman"/>
                <w:sz w:val="21"/>
                <w:vertAlign w:val="superscript"/>
              </w:rPr>
              <w:t>3</w:t>
            </w:r>
            <w:r>
              <w:rPr>
                <w:rFonts w:hint="eastAsia" w:cs="Times New Roman"/>
                <w:sz w:val="21"/>
              </w:rPr>
              <w:t>，设1座渗滤液处理站，渗滤液处理达标后回用。</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cs="Times New Roman"/>
                <w:sz w:val="21"/>
              </w:rPr>
              <w:t>115</w:t>
            </w:r>
          </w:p>
        </w:tc>
        <w:tc>
          <w:tcPr>
            <w:tcW w:w="72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调节池已建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0" w:type="pct"/>
            <w:vMerge w:val="continue"/>
            <w:vAlign w:val="center"/>
          </w:tcPr>
          <w:p>
            <w:pPr>
              <w:pStyle w:val="44"/>
              <w:adjustRightInd w:val="0"/>
              <w:snapToGrid w:val="0"/>
              <w:spacing w:line="240" w:lineRule="auto"/>
              <w:ind w:firstLine="0" w:firstLineChars="0"/>
              <w:jc w:val="center"/>
              <w:rPr>
                <w:rFonts w:cs="Times New Roman"/>
                <w:sz w:val="21"/>
              </w:rPr>
            </w:pPr>
          </w:p>
        </w:tc>
        <w:tc>
          <w:tcPr>
            <w:tcW w:w="771"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生活污水</w:t>
            </w:r>
          </w:p>
        </w:tc>
        <w:tc>
          <w:tcPr>
            <w:tcW w:w="2075" w:type="pct"/>
            <w:vAlign w:val="center"/>
          </w:tcPr>
          <w:p>
            <w:pPr>
              <w:pStyle w:val="44"/>
              <w:adjustRightInd w:val="0"/>
              <w:snapToGrid w:val="0"/>
              <w:spacing w:line="240" w:lineRule="auto"/>
              <w:ind w:firstLine="0" w:firstLineChars="0"/>
              <w:rPr>
                <w:rFonts w:cs="Times New Roman"/>
                <w:sz w:val="21"/>
              </w:rPr>
            </w:pPr>
            <w:r>
              <w:rPr>
                <w:rFonts w:cs="Times New Roman"/>
                <w:sz w:val="21"/>
              </w:rPr>
              <w:t>1 座化粪池，生活污水经化粪池处理后，与生活垃圾填埋区渗滤液一并进入渗滤液调节池，送入渗滤液处理站处理。</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1</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0" w:type="pct"/>
            <w:vMerge w:val="continue"/>
            <w:vAlign w:val="center"/>
          </w:tcPr>
          <w:p>
            <w:pPr>
              <w:pStyle w:val="44"/>
              <w:adjustRightInd w:val="0"/>
              <w:snapToGrid w:val="0"/>
              <w:spacing w:line="240" w:lineRule="auto"/>
              <w:ind w:firstLine="0" w:firstLineChars="0"/>
              <w:jc w:val="center"/>
              <w:rPr>
                <w:rFonts w:cs="Times New Roman"/>
                <w:sz w:val="21"/>
              </w:rPr>
            </w:pPr>
          </w:p>
        </w:tc>
        <w:tc>
          <w:tcPr>
            <w:tcW w:w="771" w:type="pct"/>
            <w:vAlign w:val="center"/>
          </w:tcPr>
          <w:p>
            <w:pPr>
              <w:pStyle w:val="44"/>
              <w:adjustRightInd w:val="0"/>
              <w:snapToGrid w:val="0"/>
              <w:spacing w:line="240" w:lineRule="auto"/>
              <w:ind w:firstLine="0" w:firstLineChars="0"/>
              <w:jc w:val="center"/>
              <w:rPr>
                <w:rFonts w:hint="eastAsia" w:cs="Times New Roman"/>
                <w:sz w:val="21"/>
              </w:rPr>
            </w:pPr>
            <w:r>
              <w:rPr>
                <w:rFonts w:hint="eastAsia" w:cs="Times New Roman"/>
                <w:sz w:val="21"/>
              </w:rPr>
              <w:t>反渗透膜冲洗废水</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cs="Times New Roman"/>
                <w:sz w:val="21"/>
              </w:rPr>
              <w:t>反渗透膜冲洗水送入渗滤液处理站，处理达标后用于填埋场洒水抑尘、绿化等。</w:t>
            </w:r>
          </w:p>
        </w:tc>
        <w:tc>
          <w:tcPr>
            <w:tcW w:w="857" w:type="pct"/>
            <w:vAlign w:val="center"/>
          </w:tcPr>
          <w:p>
            <w:pPr>
              <w:pStyle w:val="44"/>
              <w:adjustRightInd w:val="0"/>
              <w:snapToGrid w:val="0"/>
              <w:spacing w:line="240" w:lineRule="auto"/>
              <w:ind w:firstLine="0" w:firstLineChars="0"/>
              <w:jc w:val="center"/>
              <w:rPr>
                <w:rFonts w:hint="eastAsia" w:cs="Times New Roman"/>
                <w:sz w:val="21"/>
              </w:rPr>
            </w:pPr>
            <w:r>
              <w:rPr>
                <w:rFonts w:hint="eastAsia" w:cs="Times New Roman"/>
                <w:sz w:val="21"/>
              </w:rPr>
              <w:t>/</w:t>
            </w:r>
          </w:p>
        </w:tc>
        <w:tc>
          <w:tcPr>
            <w:tcW w:w="726" w:type="pct"/>
            <w:vAlign w:val="center"/>
          </w:tcPr>
          <w:p>
            <w:pPr>
              <w:pStyle w:val="44"/>
              <w:adjustRightInd w:val="0"/>
              <w:snapToGrid w:val="0"/>
              <w:spacing w:line="240" w:lineRule="auto"/>
              <w:ind w:firstLine="0" w:firstLineChars="0"/>
              <w:jc w:val="center"/>
              <w:rPr>
                <w:rFonts w:hint="eastAsia" w:cs="Times New Roman"/>
                <w:sz w:val="21"/>
              </w:rPr>
            </w:pPr>
            <w:r>
              <w:rPr>
                <w:rFonts w:hint="eastAsia" w:cs="Times New Roman"/>
                <w:sz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0" w:type="pct"/>
            <w:vMerge w:val="restar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固废</w:t>
            </w:r>
          </w:p>
        </w:tc>
        <w:tc>
          <w:tcPr>
            <w:tcW w:w="771"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生活垃圾</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cs="Times New Roman"/>
                <w:sz w:val="21"/>
              </w:rPr>
              <w:t>集中收集后，定期清运至本项目生活垃圾填埋区填埋处置。</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0</w:t>
            </w:r>
            <w:r>
              <w:rPr>
                <w:rFonts w:cs="Times New Roman"/>
                <w:sz w:val="21"/>
              </w:rPr>
              <w:t>.5</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0" w:type="pct"/>
            <w:vMerge w:val="continue"/>
            <w:vAlign w:val="center"/>
          </w:tcPr>
          <w:p>
            <w:pPr>
              <w:pStyle w:val="44"/>
              <w:adjustRightInd w:val="0"/>
              <w:snapToGrid w:val="0"/>
              <w:spacing w:line="240" w:lineRule="auto"/>
              <w:ind w:firstLine="0" w:firstLineChars="0"/>
              <w:jc w:val="center"/>
              <w:rPr>
                <w:rFonts w:cs="Times New Roman"/>
                <w:sz w:val="21"/>
              </w:rPr>
            </w:pPr>
          </w:p>
        </w:tc>
        <w:tc>
          <w:tcPr>
            <w:tcW w:w="771"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污泥</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cs="Times New Roman"/>
                <w:sz w:val="21"/>
              </w:rPr>
              <w:t>渗滤液调节池污泥经板框压滤机脱水后含水率小于60%，运至生活垃圾填埋库区填埋。</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1</w:t>
            </w:r>
            <w:r>
              <w:rPr>
                <w:rFonts w:cs="Times New Roman"/>
                <w:sz w:val="21"/>
              </w:rPr>
              <w:t>.5</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0"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噪声</w:t>
            </w:r>
          </w:p>
        </w:tc>
        <w:tc>
          <w:tcPr>
            <w:tcW w:w="771"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设备噪声</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cs="Times New Roman"/>
                <w:sz w:val="21"/>
              </w:rPr>
              <w:t>选用低噪声设备、安装减震垫、合理安排时间，避免夜间生产</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0</w:t>
            </w:r>
            <w:r>
              <w:rPr>
                <w:rFonts w:cs="Times New Roman"/>
                <w:sz w:val="21"/>
              </w:rPr>
              <w:t>.5</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0" w:type="pct"/>
            <w:vMerge w:val="restar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地下水防渗</w:t>
            </w:r>
          </w:p>
        </w:tc>
        <w:tc>
          <w:tcPr>
            <w:tcW w:w="771"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填埋区</w:t>
            </w:r>
          </w:p>
        </w:tc>
        <w:tc>
          <w:tcPr>
            <w:tcW w:w="2075" w:type="pct"/>
            <w:vAlign w:val="center"/>
          </w:tcPr>
          <w:p>
            <w:pPr>
              <w:adjustRightInd w:val="0"/>
              <w:snapToGrid w:val="0"/>
              <w:rPr>
                <w:szCs w:val="21"/>
              </w:rPr>
            </w:pPr>
            <w:r>
              <w:rPr>
                <w:rFonts w:hint="eastAsia"/>
                <w:szCs w:val="21"/>
              </w:rPr>
              <w:t>防渗层结构由上向下为：</w:t>
            </w:r>
          </w:p>
          <w:p>
            <w:pPr>
              <w:adjustRightInd w:val="0"/>
              <w:snapToGrid w:val="0"/>
              <w:rPr>
                <w:szCs w:val="21"/>
              </w:rPr>
            </w:pPr>
            <w:r>
              <w:rPr>
                <w:rFonts w:hint="eastAsia"/>
                <w:szCs w:val="21"/>
              </w:rPr>
              <w:t>① 600g/m</w:t>
            </w:r>
            <w:r>
              <w:rPr>
                <w:rFonts w:hint="eastAsia"/>
                <w:szCs w:val="21"/>
                <w:vertAlign w:val="superscript"/>
              </w:rPr>
              <w:t>2</w:t>
            </w:r>
            <w:r>
              <w:rPr>
                <w:rFonts w:hint="eastAsia"/>
                <w:szCs w:val="21"/>
              </w:rPr>
              <w:t>短纤非织造土工布作为保护层（边坡保护加装土编织袋满铺）②1.5mm厚HDPE土工膜为主防渗层③渗透系数为10</w:t>
            </w:r>
            <w:r>
              <w:rPr>
                <w:rFonts w:hint="eastAsia"/>
                <w:szCs w:val="21"/>
                <w:vertAlign w:val="superscript"/>
              </w:rPr>
              <w:t>-11</w:t>
            </w:r>
            <w:r>
              <w:rPr>
                <w:szCs w:val="21"/>
              </w:rPr>
              <w:t>cm</w:t>
            </w:r>
            <w:r>
              <w:rPr>
                <w:rFonts w:hint="eastAsia"/>
                <w:szCs w:val="21"/>
              </w:rPr>
              <w:t>/</w:t>
            </w:r>
            <w:r>
              <w:rPr>
                <w:szCs w:val="21"/>
              </w:rPr>
              <w:t>s</w:t>
            </w:r>
            <w:r>
              <w:rPr>
                <w:rFonts w:hint="eastAsia"/>
                <w:szCs w:val="21"/>
              </w:rPr>
              <w:t>的钠基膨润土防水毯。④复合土工膜⑤压实后的原土层满足《生活垃圾卫生填埋处理技术规范》（GB50869-2013）的防渗技术要求。</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cs="Times New Roman"/>
                <w:sz w:val="21"/>
              </w:rPr>
              <w:t>80</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70" w:type="pct"/>
            <w:vMerge w:val="continue"/>
            <w:vAlign w:val="center"/>
          </w:tcPr>
          <w:p>
            <w:pPr>
              <w:pStyle w:val="44"/>
              <w:adjustRightInd w:val="0"/>
              <w:snapToGrid w:val="0"/>
              <w:spacing w:line="240" w:lineRule="auto"/>
              <w:ind w:firstLine="0" w:firstLineChars="0"/>
              <w:jc w:val="center"/>
              <w:rPr>
                <w:rFonts w:cs="Times New Roman"/>
                <w:sz w:val="21"/>
              </w:rPr>
            </w:pPr>
          </w:p>
        </w:tc>
        <w:tc>
          <w:tcPr>
            <w:tcW w:w="771"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渗滤液调节池和渗滤液处理站</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cs="Times New Roman"/>
                <w:sz w:val="21"/>
              </w:rPr>
              <w:t>等效黏土防渗层Mb≥6m，渗透系数K≤1×10-7cm/s</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2</w:t>
            </w:r>
            <w:r>
              <w:rPr>
                <w:rFonts w:cs="Times New Roman"/>
                <w:sz w:val="21"/>
              </w:rPr>
              <w:t>0</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调节池已建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1" w:type="pct"/>
            <w:gridSpan w:val="2"/>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环境监测</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cs="Times New Roman"/>
                <w:sz w:val="21"/>
              </w:rPr>
              <w:t>地下水（5 口跟踪监测井）、大气、土壤、噪声、废水例行监测、</w:t>
            </w:r>
            <w:r>
              <w:rPr>
                <w:rFonts w:hint="eastAsia" w:cs="Times New Roman"/>
                <w:color w:val="FF0000"/>
                <w:sz w:val="21"/>
              </w:rPr>
              <w:t>便携式甲烷检测报警仪</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2</w:t>
            </w:r>
            <w:r>
              <w:rPr>
                <w:rFonts w:cs="Times New Roman"/>
                <w:sz w:val="21"/>
              </w:rPr>
              <w:t>0</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1" w:type="pct"/>
            <w:gridSpan w:val="2"/>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生态治理</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cs="Times New Roman"/>
                <w:sz w:val="21"/>
              </w:rPr>
              <w:t>四周设置绿化隔离带、办公区空地绿化</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3</w:t>
            </w:r>
            <w:r>
              <w:rPr>
                <w:rFonts w:cs="Times New Roman"/>
                <w:sz w:val="21"/>
              </w:rPr>
              <w:t>0</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1" w:type="pct"/>
            <w:gridSpan w:val="2"/>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填埋场建设</w:t>
            </w:r>
          </w:p>
        </w:tc>
        <w:tc>
          <w:tcPr>
            <w:tcW w:w="2075" w:type="pct"/>
            <w:vAlign w:val="center"/>
          </w:tcPr>
          <w:p>
            <w:pPr>
              <w:pStyle w:val="44"/>
              <w:adjustRightInd w:val="0"/>
              <w:snapToGrid w:val="0"/>
              <w:spacing w:line="240" w:lineRule="auto"/>
              <w:ind w:firstLine="0" w:firstLineChars="0"/>
              <w:rPr>
                <w:rFonts w:cs="Times New Roman"/>
                <w:sz w:val="21"/>
              </w:rPr>
            </w:pPr>
            <w:r>
              <w:rPr>
                <w:rFonts w:hint="eastAsia"/>
                <w:sz w:val="21"/>
              </w:rPr>
              <w:t>填埋库区占地面积41856m</w:t>
            </w:r>
            <w:r>
              <w:rPr>
                <w:sz w:val="21"/>
                <w:vertAlign w:val="superscript"/>
              </w:rPr>
              <w:t>2</w:t>
            </w:r>
            <w:r>
              <w:rPr>
                <w:rFonts w:hint="eastAsia"/>
                <w:sz w:val="21"/>
              </w:rPr>
              <w:t>，</w:t>
            </w:r>
            <w:r>
              <w:rPr>
                <w:rFonts w:hint="eastAsia"/>
                <w:kern w:val="0"/>
                <w:sz w:val="21"/>
              </w:rPr>
              <w:t>库容30.5万m</w:t>
            </w:r>
            <w:r>
              <w:rPr>
                <w:kern w:val="0"/>
                <w:sz w:val="21"/>
                <w:vertAlign w:val="superscript"/>
              </w:rPr>
              <w:t>3</w:t>
            </w:r>
          </w:p>
        </w:tc>
        <w:tc>
          <w:tcPr>
            <w:tcW w:w="857"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1812.5</w:t>
            </w:r>
          </w:p>
        </w:tc>
        <w:tc>
          <w:tcPr>
            <w:tcW w:w="726" w:type="pct"/>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已建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1" w:type="pct"/>
            <w:gridSpan w:val="2"/>
            <w:vAlign w:val="center"/>
          </w:tcPr>
          <w:p>
            <w:pPr>
              <w:pStyle w:val="44"/>
              <w:adjustRightInd w:val="0"/>
              <w:snapToGrid w:val="0"/>
              <w:spacing w:line="240" w:lineRule="auto"/>
              <w:ind w:firstLine="0" w:firstLineChars="0"/>
              <w:jc w:val="center"/>
              <w:rPr>
                <w:rFonts w:cs="Times New Roman"/>
                <w:sz w:val="21"/>
              </w:rPr>
            </w:pPr>
            <w:r>
              <w:rPr>
                <w:rFonts w:hint="eastAsia" w:cs="Times New Roman"/>
                <w:sz w:val="21"/>
              </w:rPr>
              <w:t>合计</w:t>
            </w:r>
          </w:p>
        </w:tc>
        <w:tc>
          <w:tcPr>
            <w:tcW w:w="2075" w:type="pct"/>
            <w:vAlign w:val="center"/>
          </w:tcPr>
          <w:p>
            <w:pPr>
              <w:pStyle w:val="44"/>
              <w:adjustRightInd w:val="0"/>
              <w:snapToGrid w:val="0"/>
              <w:spacing w:line="240" w:lineRule="auto"/>
              <w:ind w:firstLine="0" w:firstLineChars="0"/>
              <w:jc w:val="center"/>
              <w:rPr>
                <w:rFonts w:cs="Times New Roman"/>
                <w:sz w:val="21"/>
              </w:rPr>
            </w:pPr>
          </w:p>
        </w:tc>
        <w:tc>
          <w:tcPr>
            <w:tcW w:w="857" w:type="pct"/>
            <w:vAlign w:val="center"/>
          </w:tcPr>
          <w:p>
            <w:pPr>
              <w:pStyle w:val="44"/>
              <w:adjustRightInd w:val="0"/>
              <w:snapToGrid w:val="0"/>
              <w:spacing w:line="240" w:lineRule="auto"/>
              <w:ind w:firstLine="0" w:firstLineChars="0"/>
              <w:jc w:val="center"/>
              <w:rPr>
                <w:rFonts w:cs="Times New Roman"/>
                <w:sz w:val="21"/>
              </w:rPr>
            </w:pPr>
            <w:r>
              <w:rPr>
                <w:rFonts w:cs="Times New Roman"/>
                <w:color w:val="0000FF"/>
                <w:sz w:val="21"/>
              </w:rPr>
              <w:t>20</w:t>
            </w:r>
            <w:r>
              <w:rPr>
                <w:rFonts w:hint="eastAsia" w:cs="Times New Roman"/>
                <w:color w:val="0000FF"/>
                <w:sz w:val="21"/>
              </w:rPr>
              <w:t>9</w:t>
            </w:r>
            <w:r>
              <w:rPr>
                <w:rFonts w:cs="Times New Roman"/>
                <w:color w:val="0000FF"/>
                <w:sz w:val="21"/>
              </w:rPr>
              <w:t>7</w:t>
            </w:r>
          </w:p>
        </w:tc>
        <w:tc>
          <w:tcPr>
            <w:tcW w:w="726" w:type="pct"/>
            <w:vAlign w:val="center"/>
          </w:tcPr>
          <w:p>
            <w:pPr>
              <w:pStyle w:val="44"/>
              <w:adjustRightInd w:val="0"/>
              <w:snapToGrid w:val="0"/>
              <w:spacing w:line="240" w:lineRule="auto"/>
              <w:ind w:firstLine="0" w:firstLineChars="0"/>
              <w:jc w:val="center"/>
              <w:rPr>
                <w:rFonts w:cs="Times New Roman"/>
                <w:sz w:val="21"/>
              </w:rPr>
            </w:pPr>
          </w:p>
        </w:tc>
      </w:tr>
    </w:tbl>
    <w:p>
      <w:pPr>
        <w:spacing w:line="360" w:lineRule="auto"/>
        <w:rPr>
          <w:sz w:val="24"/>
        </w:rPr>
      </w:pPr>
      <w:bookmarkStart w:id="644" w:name="_Toc277336137"/>
      <w:bookmarkStart w:id="645" w:name="_Toc277238978"/>
      <w:bookmarkStart w:id="646" w:name="_Toc277244785"/>
      <w:bookmarkStart w:id="647" w:name="_Toc274251996"/>
      <w:bookmarkStart w:id="648" w:name="_Toc276333680"/>
      <w:bookmarkStart w:id="649" w:name="_Toc276105968"/>
      <w:bookmarkStart w:id="650" w:name="_Toc277949961"/>
      <w:bookmarkStart w:id="651" w:name="_Toc277196521"/>
      <w:bookmarkStart w:id="652" w:name="_Toc277632331"/>
      <w:bookmarkStart w:id="653" w:name="_Toc274251925"/>
      <w:bookmarkStart w:id="654" w:name="_Toc335828161"/>
      <w:bookmarkStart w:id="655" w:name="_Toc277949296"/>
      <w:bookmarkStart w:id="656" w:name="_Toc277228975"/>
    </w:p>
    <w:p>
      <w:pPr>
        <w:pStyle w:val="347"/>
        <w:keepNext w:val="0"/>
        <w:topLinePunct w:val="0"/>
        <w:spacing w:before="156" w:beforeLines="50" w:after="156" w:afterLines="50" w:line="360" w:lineRule="auto"/>
        <w:rPr>
          <w:rFonts w:cs="Times New Roman"/>
        </w:rPr>
      </w:pPr>
      <w:bookmarkStart w:id="657" w:name="_Toc143762393"/>
      <w:bookmarkStart w:id="658" w:name="_Toc424484749"/>
      <w:bookmarkStart w:id="659" w:name="_Toc489433151"/>
      <w:bookmarkStart w:id="660" w:name="_Toc423602397"/>
      <w:r>
        <w:rPr>
          <w:rFonts w:cs="Times New Roman"/>
        </w:rPr>
        <w:t>9.2 环境经济损益分析</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p>
    <w:p>
      <w:pPr>
        <w:keepNext/>
        <w:keepLines/>
        <w:spacing w:before="156" w:beforeLines="50" w:after="156" w:afterLines="50"/>
        <w:jc w:val="left"/>
        <w:outlineLvl w:val="2"/>
        <w:rPr>
          <w:b/>
          <w:bCs/>
          <w:kern w:val="0"/>
          <w:sz w:val="28"/>
          <w:szCs w:val="32"/>
        </w:rPr>
      </w:pPr>
      <w:bookmarkStart w:id="661" w:name="_Toc276105969"/>
      <w:bookmarkStart w:id="662" w:name="_Toc423602398"/>
      <w:bookmarkStart w:id="663" w:name="_Toc276333681"/>
      <w:bookmarkStart w:id="664" w:name="_Toc143762394"/>
      <w:bookmarkStart w:id="665" w:name="_Toc489433152"/>
      <w:bookmarkStart w:id="666" w:name="_Toc424484750"/>
      <w:r>
        <w:rPr>
          <w:b/>
          <w:bCs/>
          <w:kern w:val="0"/>
          <w:sz w:val="28"/>
          <w:szCs w:val="32"/>
        </w:rPr>
        <w:t>9.2.1 经济效益分析</w:t>
      </w:r>
      <w:bookmarkEnd w:id="661"/>
      <w:bookmarkEnd w:id="662"/>
      <w:bookmarkEnd w:id="663"/>
      <w:bookmarkEnd w:id="664"/>
      <w:bookmarkEnd w:id="665"/>
      <w:bookmarkEnd w:id="666"/>
    </w:p>
    <w:p>
      <w:pPr>
        <w:pStyle w:val="20"/>
        <w:ind w:firstLine="480" w:firstLineChars="200"/>
        <w:jc w:val="both"/>
        <w:rPr>
          <w:rFonts w:ascii="Times New Roman" w:hAnsi="Times New Roman"/>
        </w:rPr>
      </w:pPr>
      <w:bookmarkStart w:id="667" w:name="_Toc424484751"/>
      <w:bookmarkStart w:id="668" w:name="_Toc276105970"/>
      <w:bookmarkStart w:id="669" w:name="_Toc423602399"/>
      <w:bookmarkStart w:id="670" w:name="_Toc276333682"/>
      <w:r>
        <w:rPr>
          <w:rFonts w:ascii="Times New Roman" w:hAnsi="Times New Roman"/>
        </w:rPr>
        <w:t>本项目属于公用事业项目，本着无利原则，并能使项目财务内部收益率满足财务评价的要求。本项目垃圾收费标准，依据预测理论收费标准方法计算，收费标准确定为生活垃圾80元/吨。由年垃圾处置量计算出达到设计规模后年效益为228万元。</w:t>
      </w:r>
    </w:p>
    <w:p>
      <w:pPr>
        <w:keepNext/>
        <w:keepLines/>
        <w:spacing w:before="156" w:beforeLines="50" w:after="156" w:afterLines="50"/>
        <w:jc w:val="left"/>
        <w:outlineLvl w:val="2"/>
        <w:rPr>
          <w:b/>
          <w:bCs/>
          <w:kern w:val="0"/>
          <w:sz w:val="28"/>
          <w:szCs w:val="32"/>
        </w:rPr>
      </w:pPr>
      <w:bookmarkStart w:id="671" w:name="_Toc489433153"/>
      <w:bookmarkStart w:id="672" w:name="_Toc143762395"/>
      <w:r>
        <w:rPr>
          <w:b/>
          <w:bCs/>
          <w:kern w:val="0"/>
          <w:sz w:val="28"/>
          <w:szCs w:val="32"/>
        </w:rPr>
        <w:t>9.2.2 社会效益分析</w:t>
      </w:r>
      <w:bookmarkEnd w:id="667"/>
      <w:bookmarkEnd w:id="668"/>
      <w:bookmarkEnd w:id="669"/>
      <w:bookmarkEnd w:id="670"/>
      <w:bookmarkEnd w:id="671"/>
      <w:bookmarkEnd w:id="672"/>
    </w:p>
    <w:p>
      <w:pPr>
        <w:autoSpaceDE w:val="0"/>
        <w:autoSpaceDN w:val="0"/>
        <w:adjustRightInd w:val="0"/>
        <w:snapToGrid w:val="0"/>
        <w:spacing w:line="360" w:lineRule="auto"/>
        <w:ind w:firstLine="480" w:firstLineChars="200"/>
        <w:jc w:val="left"/>
        <w:rPr>
          <w:kern w:val="0"/>
          <w:sz w:val="24"/>
        </w:rPr>
      </w:pPr>
      <w:bookmarkStart w:id="673" w:name="_Toc489433154"/>
      <w:bookmarkStart w:id="674" w:name="_Toc424484752"/>
      <w:bookmarkStart w:id="675" w:name="_Toc423602400"/>
      <w:r>
        <w:rPr>
          <w:rFonts w:hint="eastAsia"/>
          <w:kern w:val="0"/>
          <w:sz w:val="24"/>
        </w:rPr>
        <w:t>城镇垃圾处理工程是一项保护城镇市容、建设清洁文明城镇和造福后代的公用市政工程。对经济的贡献主要表现为外部效果，所产生的效益除部分经济效益可以定量计算外，大部分则表现为难以用货币量化的社会效益。</w:t>
      </w:r>
    </w:p>
    <w:p>
      <w:pPr>
        <w:autoSpaceDE w:val="0"/>
        <w:autoSpaceDN w:val="0"/>
        <w:adjustRightInd w:val="0"/>
        <w:snapToGrid w:val="0"/>
        <w:spacing w:line="360" w:lineRule="auto"/>
        <w:ind w:firstLine="480" w:firstLineChars="200"/>
        <w:jc w:val="left"/>
        <w:rPr>
          <w:kern w:val="0"/>
          <w:sz w:val="24"/>
        </w:rPr>
      </w:pPr>
      <w:r>
        <w:rPr>
          <w:rFonts w:hint="eastAsia"/>
          <w:kern w:val="0"/>
          <w:sz w:val="24"/>
        </w:rPr>
        <w:t>（</w:t>
      </w:r>
      <w:r>
        <w:rPr>
          <w:kern w:val="0"/>
          <w:sz w:val="24"/>
        </w:rPr>
        <w:t>1</w:t>
      </w:r>
      <w:r>
        <w:rPr>
          <w:rFonts w:hint="eastAsia"/>
          <w:kern w:val="0"/>
          <w:sz w:val="24"/>
        </w:rPr>
        <w:t>）对市政基础建设的影响</w:t>
      </w:r>
    </w:p>
    <w:p>
      <w:pPr>
        <w:autoSpaceDE w:val="0"/>
        <w:autoSpaceDN w:val="0"/>
        <w:adjustRightInd w:val="0"/>
        <w:snapToGrid w:val="0"/>
        <w:spacing w:line="360" w:lineRule="auto"/>
        <w:ind w:firstLine="480" w:firstLineChars="200"/>
        <w:jc w:val="left"/>
        <w:rPr>
          <w:kern w:val="0"/>
          <w:sz w:val="24"/>
        </w:rPr>
      </w:pPr>
      <w:r>
        <w:rPr>
          <w:rFonts w:hint="eastAsia"/>
          <w:kern w:val="0"/>
          <w:sz w:val="24"/>
        </w:rPr>
        <w:t>众所周知，垃圾处理是一项城镇市政基础工程，其处理程度与水平是一个城镇文明程度的重要外在标志。它涉及到市容市貌是否美观、清洁；关系到居民居住环境是否卫生安全。该项工程的建设将使复兴镇、巴彦套海镇、塔尔湖镇、天吉泰镇、新公中镇、银定图镇、丰裕办事处等7个乡镇办事处260个村组7.5万农村居民生活垃圾填埋和污染防治有了可靠的保障。</w:t>
      </w:r>
    </w:p>
    <w:p>
      <w:pPr>
        <w:autoSpaceDE w:val="0"/>
        <w:autoSpaceDN w:val="0"/>
        <w:adjustRightInd w:val="0"/>
        <w:snapToGrid w:val="0"/>
        <w:spacing w:line="360" w:lineRule="auto"/>
        <w:ind w:firstLine="480" w:firstLineChars="200"/>
        <w:jc w:val="left"/>
        <w:rPr>
          <w:kern w:val="0"/>
          <w:sz w:val="24"/>
        </w:rPr>
      </w:pPr>
      <w:r>
        <w:rPr>
          <w:rFonts w:hint="eastAsia"/>
          <w:kern w:val="0"/>
          <w:sz w:val="24"/>
        </w:rPr>
        <w:t>（</w:t>
      </w:r>
      <w:r>
        <w:rPr>
          <w:kern w:val="0"/>
          <w:sz w:val="24"/>
        </w:rPr>
        <w:t>2</w:t>
      </w:r>
      <w:r>
        <w:rPr>
          <w:rFonts w:hint="eastAsia"/>
          <w:kern w:val="0"/>
          <w:sz w:val="24"/>
        </w:rPr>
        <w:t>）对公众健康安全的影响</w:t>
      </w:r>
    </w:p>
    <w:p>
      <w:pPr>
        <w:autoSpaceDE w:val="0"/>
        <w:autoSpaceDN w:val="0"/>
        <w:adjustRightInd w:val="0"/>
        <w:snapToGrid w:val="0"/>
        <w:spacing w:line="360" w:lineRule="auto"/>
        <w:ind w:firstLine="480" w:firstLineChars="200"/>
        <w:jc w:val="left"/>
        <w:rPr>
          <w:kern w:val="0"/>
          <w:sz w:val="24"/>
        </w:rPr>
      </w:pPr>
      <w:r>
        <w:rPr>
          <w:rFonts w:hint="eastAsia"/>
          <w:kern w:val="0"/>
          <w:sz w:val="24"/>
        </w:rPr>
        <w:t>该项工程的实施，将有利于改善复兴镇环境卫生和保证居民的身体健康。在乡镇内，可以有效地控制垃圾对居民生活环境的影响，控制蚊蝇滋生和鼠害，消除疾病传染；同时，垃圾收集、转运等逐步实行封闭式，大大降低了垃圾对居民感官上的刺激和疾病传播机率。填埋场应严格按规范建设，妥善解决防渗、导气、渗滤液处理等问题，对场区附近的居民健康不会造成污染威胁。</w:t>
      </w:r>
    </w:p>
    <w:p>
      <w:pPr>
        <w:keepNext/>
        <w:keepLines/>
        <w:spacing w:before="156" w:beforeLines="50" w:after="156" w:afterLines="50"/>
        <w:jc w:val="left"/>
        <w:outlineLvl w:val="2"/>
        <w:rPr>
          <w:b/>
          <w:bCs/>
          <w:kern w:val="0"/>
          <w:sz w:val="28"/>
          <w:szCs w:val="32"/>
        </w:rPr>
      </w:pPr>
      <w:bookmarkStart w:id="676" w:name="_Toc143762396"/>
      <w:r>
        <w:rPr>
          <w:b/>
          <w:bCs/>
          <w:kern w:val="0"/>
          <w:sz w:val="28"/>
          <w:szCs w:val="32"/>
        </w:rPr>
        <w:t>9.2.3 环境损益分析</w:t>
      </w:r>
      <w:bookmarkEnd w:id="673"/>
      <w:bookmarkEnd w:id="674"/>
      <w:bookmarkEnd w:id="675"/>
      <w:bookmarkEnd w:id="676"/>
    </w:p>
    <w:p>
      <w:pPr>
        <w:spacing w:line="360" w:lineRule="auto"/>
        <w:ind w:firstLine="482"/>
        <w:rPr>
          <w:kern w:val="0"/>
          <w:sz w:val="24"/>
        </w:rPr>
      </w:pPr>
      <w:r>
        <w:rPr>
          <w:rFonts w:hint="eastAsia"/>
          <w:kern w:val="0"/>
          <w:sz w:val="24"/>
        </w:rPr>
        <w:t>垃圾处理工程是一项改善城市基础设施的社会公益性事业，垃圾处理的好坏直接影响城市的经济发展和人民的生活水平。本项目的建设能够改善经济、市政基础设施建设、提高城市卫生环境水平，改善区域投资环境，因此具有良好的社会效益和巨大潜在经济效益。项目本身为一项处理固体废弃物的环保工程项目，在对污染物采取有效的防治和处理措施后，改善项目所在区域的卫生环境，对保护当地环境起到积极的作用，环境效益显著。因此，本工程带来的经济社会效益大于损益，该项目从环境经济损益的角度考虑是可行的。</w:t>
      </w:r>
    </w:p>
    <w:p>
      <w:pPr>
        <w:pStyle w:val="823"/>
        <w:adjustRightInd/>
        <w:spacing w:before="156" w:beforeLines="50" w:after="156" w:afterLines="50" w:line="360" w:lineRule="auto"/>
        <w:rPr>
          <w:rFonts w:cs="Times New Roman"/>
        </w:rPr>
      </w:pPr>
      <w:bookmarkStart w:id="677" w:name="_Toc489433156"/>
      <w:bookmarkStart w:id="678" w:name="_Toc143762397"/>
      <w:r>
        <w:rPr>
          <w:rFonts w:cs="Times New Roman"/>
        </w:rPr>
        <w:t>10环境管理与环境监测计划</w:t>
      </w:r>
      <w:bookmarkEnd w:id="611"/>
      <w:bookmarkEnd w:id="677"/>
      <w:bookmarkEnd w:id="678"/>
    </w:p>
    <w:p>
      <w:pPr>
        <w:spacing w:line="360" w:lineRule="auto"/>
        <w:ind w:firstLine="482"/>
        <w:rPr>
          <w:sz w:val="24"/>
        </w:rPr>
      </w:pPr>
      <w:bookmarkStart w:id="679" w:name="_Toc403316774"/>
      <w:r>
        <w:rPr>
          <w:sz w:val="24"/>
        </w:rPr>
        <w:t>环境管理是企业管理中的重要环节之一。在企业中，建立健全环保机构，加强环保管理工作，开展厂内环境监测、监督，并把环保工作纳入生产管理，对于减少企业污染物排放，促进资源的合理利用与回收，提高经济效益和环境效益有着重要意义。</w:t>
      </w:r>
      <w:bookmarkEnd w:id="679"/>
    </w:p>
    <w:p>
      <w:pPr>
        <w:spacing w:line="360" w:lineRule="auto"/>
        <w:ind w:firstLine="482"/>
        <w:rPr>
          <w:sz w:val="24"/>
        </w:rPr>
      </w:pPr>
      <w:bookmarkStart w:id="680" w:name="_Toc403316775"/>
      <w:r>
        <w:rPr>
          <w:sz w:val="24"/>
        </w:rPr>
        <w:t>环境监测是工业污染源监督管理的重要组成部分，是国家和行业了解并掌握排污状况和排污趋势的手段。监测数据是执行环境保护法规、标准，进行环境管理和污染防治的依据。因此，应建立并完善环境监测制度。</w:t>
      </w:r>
      <w:bookmarkEnd w:id="680"/>
    </w:p>
    <w:p>
      <w:pPr>
        <w:pStyle w:val="3"/>
        <w:rPr>
          <w:rFonts w:ascii="Times New Roman" w:hAnsi="Times New Roman" w:eastAsia="宋体"/>
        </w:rPr>
      </w:pPr>
      <w:bookmarkStart w:id="681" w:name="_Toc277196524"/>
      <w:bookmarkStart w:id="682" w:name="_Toc276105974"/>
      <w:bookmarkStart w:id="683" w:name="_Toc489433162"/>
      <w:bookmarkStart w:id="684" w:name="_Toc277244788"/>
      <w:bookmarkStart w:id="685" w:name="_Toc244334066"/>
      <w:bookmarkStart w:id="686" w:name="_Toc244333826"/>
      <w:bookmarkStart w:id="687" w:name="_Toc243541884"/>
      <w:bookmarkStart w:id="688" w:name="_Toc243714103"/>
      <w:bookmarkStart w:id="689" w:name="_Toc277632334"/>
      <w:bookmarkStart w:id="690" w:name="_Toc276333686"/>
      <w:bookmarkStart w:id="691" w:name="_Toc337465984"/>
      <w:bookmarkStart w:id="692" w:name="_Toc244506055"/>
      <w:bookmarkStart w:id="693" w:name="_Toc274251999"/>
      <w:bookmarkStart w:id="694" w:name="_Toc249261691"/>
      <w:bookmarkStart w:id="695" w:name="_Toc236026366"/>
      <w:bookmarkStart w:id="696" w:name="_Toc277228978"/>
      <w:bookmarkStart w:id="697" w:name="_Toc277336140"/>
      <w:bookmarkStart w:id="698" w:name="_Toc274251928"/>
      <w:bookmarkStart w:id="699" w:name="_Toc243709473"/>
      <w:bookmarkStart w:id="700" w:name="_Toc243736215"/>
      <w:bookmarkStart w:id="701" w:name="_Toc246307308"/>
      <w:bookmarkStart w:id="702" w:name="_Toc143762398"/>
      <w:bookmarkStart w:id="703" w:name="_Toc277238981"/>
      <w:bookmarkStart w:id="704" w:name="_Toc277949299"/>
      <w:bookmarkStart w:id="705" w:name="_Toc277949964"/>
      <w:r>
        <w:rPr>
          <w:rFonts w:ascii="Times New Roman" w:hAnsi="Times New Roman" w:eastAsia="宋体"/>
        </w:rPr>
        <w:t>10.1 环境管理</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p>
    <w:p>
      <w:pPr>
        <w:spacing w:line="360" w:lineRule="auto"/>
        <w:outlineLvl w:val="2"/>
        <w:rPr>
          <w:b/>
          <w:sz w:val="28"/>
          <w:szCs w:val="28"/>
        </w:rPr>
      </w:pPr>
      <w:bookmarkStart w:id="706" w:name="_Toc143762399"/>
      <w:bookmarkStart w:id="707" w:name="_Toc489433163"/>
      <w:r>
        <w:rPr>
          <w:b/>
          <w:sz w:val="28"/>
          <w:szCs w:val="28"/>
        </w:rPr>
        <w:t>10.1.1环境管理目的和意义</w:t>
      </w:r>
      <w:bookmarkEnd w:id="706"/>
      <w:bookmarkEnd w:id="707"/>
    </w:p>
    <w:p>
      <w:pPr>
        <w:spacing w:line="360" w:lineRule="auto"/>
        <w:ind w:firstLine="480" w:firstLineChars="200"/>
        <w:rPr>
          <w:sz w:val="24"/>
        </w:rPr>
      </w:pPr>
      <w:r>
        <w:rPr>
          <w:sz w:val="24"/>
        </w:rPr>
        <w:t>环境管理目的是对损害环境质量的人为活动进行约束，以协调经济与环境的关系，达到既发展经济满足人类的需要，又不超出环境容量的限值。实践证明，要解决好企业的环境问题，首先必须强化企业的环境管理，由于企业的产品产出与“三废”的排放是生产过程同时存在的两个方面，因此，企业的环境管理实质上是生产管理的主要内容之一，其目的是在发展生产的同时，对污染物的排放实行必要的控制，保护环境质量，以实现环境效益、社会效益、经济效益的统一。</w:t>
      </w:r>
    </w:p>
    <w:p>
      <w:pPr>
        <w:spacing w:line="360" w:lineRule="auto"/>
        <w:outlineLvl w:val="2"/>
        <w:rPr>
          <w:b/>
          <w:sz w:val="28"/>
          <w:szCs w:val="28"/>
        </w:rPr>
      </w:pPr>
      <w:bookmarkStart w:id="708" w:name="_Toc143762400"/>
      <w:bookmarkStart w:id="709" w:name="_Toc489433164"/>
      <w:r>
        <w:rPr>
          <w:b/>
          <w:sz w:val="28"/>
          <w:szCs w:val="28"/>
        </w:rPr>
        <w:t>10.1.2环境管理任务</w:t>
      </w:r>
      <w:bookmarkEnd w:id="708"/>
      <w:bookmarkEnd w:id="709"/>
    </w:p>
    <w:p>
      <w:pPr>
        <w:pStyle w:val="2180"/>
      </w:pPr>
      <w:r>
        <w:t>本工程环境管理任务是组织落实、管理和监督工程环境保护工作。</w:t>
      </w:r>
    </w:p>
    <w:p>
      <w:pPr>
        <w:pStyle w:val="2180"/>
      </w:pPr>
      <w:r>
        <w:t>（1）贯彻执行国家及地方环境保护法律、法规和方针政策；</w:t>
      </w:r>
    </w:p>
    <w:p>
      <w:pPr>
        <w:pStyle w:val="2180"/>
      </w:pPr>
      <w:r>
        <w:t>（2）落实工程运行期环境保护措施，制定茂县凤南土水利工程环境管理办法和制度；</w:t>
      </w:r>
    </w:p>
    <w:p>
      <w:pPr>
        <w:pStyle w:val="2180"/>
      </w:pPr>
      <w:r>
        <w:t>（3）负责落实运行期的环境监测，并对结果进行统计分析；</w:t>
      </w:r>
    </w:p>
    <w:p>
      <w:pPr>
        <w:pStyle w:val="2180"/>
      </w:pPr>
      <w:r>
        <w:t>（4）监督和管理由于周围环境的变化引起的对工程的影响，并向有关部门反应，督促有关部门解决问题；</w:t>
      </w:r>
    </w:p>
    <w:p>
      <w:pPr>
        <w:pStyle w:val="2180"/>
      </w:pPr>
      <w:r>
        <w:t>（5）执行国家、地方和行业环保部门的环境保护要求。</w:t>
      </w:r>
    </w:p>
    <w:p>
      <w:pPr>
        <w:spacing w:line="360" w:lineRule="auto"/>
        <w:outlineLvl w:val="2"/>
        <w:rPr>
          <w:b/>
          <w:sz w:val="28"/>
          <w:szCs w:val="28"/>
        </w:rPr>
      </w:pPr>
      <w:bookmarkStart w:id="710" w:name="_Toc143762401"/>
      <w:bookmarkStart w:id="711" w:name="_Toc489433165"/>
      <w:r>
        <w:rPr>
          <w:b/>
          <w:sz w:val="28"/>
          <w:szCs w:val="28"/>
        </w:rPr>
        <w:t>10.1.3环境管理机构</w:t>
      </w:r>
      <w:bookmarkEnd w:id="710"/>
      <w:bookmarkEnd w:id="711"/>
    </w:p>
    <w:p>
      <w:pPr>
        <w:pStyle w:val="241"/>
        <w:ind w:firstLine="480"/>
        <w:rPr>
          <w:rFonts w:ascii="Times New Roman" w:hAnsi="Times New Roman"/>
          <w:color w:val="auto"/>
        </w:rPr>
      </w:pPr>
      <w:r>
        <w:rPr>
          <w:rFonts w:ascii="Times New Roman" w:hAnsi="Times New Roman"/>
          <w:color w:val="auto"/>
        </w:rPr>
        <w:t>本工程投产后环保工作由主管生产的总经理分管，环境保护主管部门为环保科，全部工作由其承担完成。各部门应成立相应的环保小组，设专职环保人员1～2名，负责生产单元的环境保护管理工作。</w:t>
      </w:r>
    </w:p>
    <w:p>
      <w:pPr>
        <w:pStyle w:val="3"/>
        <w:spacing w:before="156" w:beforeLines="50" w:after="156" w:afterLines="50" w:line="360" w:lineRule="auto"/>
        <w:rPr>
          <w:rFonts w:ascii="Times New Roman" w:hAnsi="Times New Roman" w:eastAsia="宋体"/>
        </w:rPr>
      </w:pPr>
      <w:bookmarkStart w:id="712" w:name="_Toc277238982"/>
      <w:bookmarkStart w:id="713" w:name="_Toc489433166"/>
      <w:bookmarkStart w:id="714" w:name="_Toc243541885"/>
      <w:bookmarkStart w:id="715" w:name="_Toc276105975"/>
      <w:bookmarkStart w:id="716" w:name="_Toc277949965"/>
      <w:bookmarkStart w:id="717" w:name="_Toc277228979"/>
      <w:bookmarkStart w:id="718" w:name="_Toc244333827"/>
      <w:bookmarkStart w:id="719" w:name="_Toc277196525"/>
      <w:bookmarkStart w:id="720" w:name="_Toc274251929"/>
      <w:bookmarkStart w:id="721" w:name="_Toc337465985"/>
      <w:bookmarkStart w:id="722" w:name="_Toc243736216"/>
      <w:bookmarkStart w:id="723" w:name="_Toc277949300"/>
      <w:bookmarkStart w:id="724" w:name="_Toc277632335"/>
      <w:bookmarkStart w:id="725" w:name="_Toc249261692"/>
      <w:bookmarkStart w:id="726" w:name="_Toc274252000"/>
      <w:bookmarkStart w:id="727" w:name="_Toc277244789"/>
      <w:bookmarkStart w:id="728" w:name="_Toc246307309"/>
      <w:bookmarkStart w:id="729" w:name="_Toc236026367"/>
      <w:bookmarkStart w:id="730" w:name="_Toc243709474"/>
      <w:bookmarkStart w:id="731" w:name="_Toc276333687"/>
      <w:bookmarkStart w:id="732" w:name="_Toc244506056"/>
      <w:bookmarkStart w:id="733" w:name="_Toc277336141"/>
      <w:bookmarkStart w:id="734" w:name="_Toc143762402"/>
      <w:bookmarkStart w:id="735" w:name="_Toc243714104"/>
      <w:bookmarkStart w:id="736" w:name="_Toc244334067"/>
      <w:r>
        <w:rPr>
          <w:rFonts w:ascii="Times New Roman" w:hAnsi="Times New Roman" w:eastAsia="宋体"/>
        </w:rPr>
        <w:t>10.2 环境监测</w:t>
      </w:r>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p>
    <w:p>
      <w:pPr>
        <w:spacing w:before="156" w:beforeLines="50" w:after="156" w:afterLines="50" w:line="360" w:lineRule="auto"/>
        <w:outlineLvl w:val="2"/>
        <w:rPr>
          <w:b/>
          <w:sz w:val="28"/>
          <w:szCs w:val="28"/>
        </w:rPr>
      </w:pPr>
      <w:bookmarkStart w:id="737" w:name="_Toc489433167"/>
      <w:bookmarkStart w:id="738" w:name="_Toc143762403"/>
      <w:r>
        <w:rPr>
          <w:b/>
          <w:sz w:val="28"/>
          <w:szCs w:val="28"/>
        </w:rPr>
        <w:t>10.2.1环境管理机构</w:t>
      </w:r>
      <w:bookmarkEnd w:id="737"/>
      <w:bookmarkEnd w:id="738"/>
    </w:p>
    <w:p>
      <w:pPr>
        <w:spacing w:line="360" w:lineRule="auto"/>
        <w:ind w:firstLine="480" w:firstLineChars="200"/>
        <w:rPr>
          <w:sz w:val="24"/>
        </w:rPr>
      </w:pPr>
      <w:r>
        <w:rPr>
          <w:sz w:val="24"/>
        </w:rPr>
        <w:t>环境监测是企业环境管理必不可少的一部分，也是环境管理规范化的主要手段，通过对企业主要污染物进行分析、资料整理、编制报告、建立技术文件档案；为上级环保部门进行环境规划、管理及执法提供依据。</w:t>
      </w:r>
    </w:p>
    <w:p>
      <w:pPr>
        <w:spacing w:line="360" w:lineRule="auto"/>
        <w:ind w:firstLine="480" w:firstLineChars="200"/>
        <w:rPr>
          <w:sz w:val="24"/>
        </w:rPr>
      </w:pPr>
      <w:r>
        <w:rPr>
          <w:sz w:val="24"/>
        </w:rPr>
        <w:t>环境监测可委托有资质的环保部门进行，并设立监测数据档案。环境监测方法、仪器设备的使用及监测频次时段等，应严格遵守国家有关技术规范文件的要求。</w:t>
      </w:r>
    </w:p>
    <w:p>
      <w:pPr>
        <w:spacing w:line="360" w:lineRule="auto"/>
        <w:outlineLvl w:val="2"/>
        <w:rPr>
          <w:b/>
          <w:sz w:val="28"/>
          <w:szCs w:val="28"/>
        </w:rPr>
      </w:pPr>
      <w:bookmarkStart w:id="739" w:name="_Toc489433168"/>
      <w:bookmarkStart w:id="740" w:name="_Toc143762404"/>
      <w:r>
        <w:rPr>
          <w:b/>
          <w:sz w:val="28"/>
          <w:szCs w:val="28"/>
        </w:rPr>
        <w:t>10.2.2监测</w:t>
      </w:r>
      <w:bookmarkEnd w:id="739"/>
      <w:r>
        <w:rPr>
          <w:rFonts w:hint="eastAsia"/>
          <w:b/>
          <w:sz w:val="28"/>
          <w:szCs w:val="28"/>
        </w:rPr>
        <w:t>计划</w:t>
      </w:r>
      <w:bookmarkEnd w:id="740"/>
    </w:p>
    <w:p>
      <w:pPr>
        <w:pStyle w:val="27"/>
        <w:adjustRightInd w:val="0"/>
        <w:snapToGrid w:val="0"/>
        <w:ind w:firstLine="480"/>
        <w:jc w:val="both"/>
        <w:rPr>
          <w:rFonts w:ascii="Times New Roman" w:hAnsi="Times New Roman"/>
        </w:rPr>
      </w:pPr>
      <w:r>
        <w:rPr>
          <w:rFonts w:ascii="Times New Roman" w:hAnsi="Times New Roman"/>
        </w:rPr>
        <w:t>根据《生活垃圾填埋场污染控制标准》（GB16889-2008），生活垃圾填埋场应安装污染物排放自动监控设备，与环保部门的监控中心联网，并保证设备正常运行。根据《生活垃圾卫生填埋场环境监测技术要求》 (GB/T 18772-2017)确定监测内容，具体如下：</w:t>
      </w:r>
    </w:p>
    <w:p>
      <w:pPr>
        <w:pStyle w:val="69"/>
        <w:adjustRightInd w:val="0"/>
        <w:snapToGrid w:val="0"/>
        <w:spacing w:after="0" w:line="360" w:lineRule="auto"/>
        <w:ind w:left="0" w:leftChars="0" w:firstLine="480" w:firstLineChars="200"/>
        <w:jc w:val="both"/>
        <w:rPr>
          <w:sz w:val="24"/>
          <w:szCs w:val="24"/>
        </w:rPr>
      </w:pPr>
      <w:r>
        <w:rPr>
          <w:sz w:val="24"/>
          <w:szCs w:val="24"/>
        </w:rPr>
        <w:t>（1）生活垃圾填埋场管理机构应每6个月进行一次防渗衬层完整性的监测。</w:t>
      </w:r>
    </w:p>
    <w:p>
      <w:pPr>
        <w:pStyle w:val="69"/>
        <w:adjustRightInd w:val="0"/>
        <w:snapToGrid w:val="0"/>
        <w:spacing w:after="0" w:line="360" w:lineRule="auto"/>
        <w:ind w:left="0" w:leftChars="0" w:firstLine="480" w:firstLineChars="200"/>
        <w:jc w:val="both"/>
        <w:rPr>
          <w:sz w:val="24"/>
          <w:szCs w:val="24"/>
        </w:rPr>
      </w:pPr>
      <w:r>
        <w:rPr>
          <w:sz w:val="24"/>
          <w:szCs w:val="24"/>
        </w:rPr>
        <w:t>（2）生活垃圾填埋场管理机构和地方环境保护行政主管部门均应对封场后的生活垃圾填埋场的污染物浓度进行测定。化学需氧量、生化需氧量、悬浮物、总氮、氨氮等指标每3个月测定一次，其他指标每年测定一次。</w:t>
      </w:r>
    </w:p>
    <w:p>
      <w:pPr>
        <w:pStyle w:val="69"/>
        <w:adjustRightInd w:val="0"/>
        <w:snapToGrid w:val="0"/>
        <w:spacing w:after="0" w:line="360" w:lineRule="auto"/>
        <w:ind w:left="0" w:leftChars="0" w:firstLine="480" w:firstLineChars="200"/>
        <w:jc w:val="both"/>
        <w:rPr>
          <w:sz w:val="24"/>
          <w:szCs w:val="24"/>
        </w:rPr>
      </w:pPr>
      <w:r>
        <w:rPr>
          <w:sz w:val="24"/>
          <w:szCs w:val="24"/>
        </w:rPr>
        <w:t>（3）蚊蝇监测</w:t>
      </w:r>
    </w:p>
    <w:p>
      <w:pPr>
        <w:pStyle w:val="69"/>
        <w:adjustRightInd w:val="0"/>
        <w:snapToGrid w:val="0"/>
        <w:spacing w:after="0" w:line="360" w:lineRule="auto"/>
        <w:ind w:left="0" w:leftChars="0" w:firstLine="480" w:firstLineChars="200"/>
        <w:jc w:val="both"/>
        <w:rPr>
          <w:sz w:val="24"/>
          <w:szCs w:val="24"/>
        </w:rPr>
      </w:pPr>
      <w:r>
        <w:rPr>
          <w:sz w:val="24"/>
          <w:szCs w:val="24"/>
        </w:rPr>
        <w:t>监测点：作业区和办公</w:t>
      </w:r>
      <w:r>
        <w:rPr>
          <w:rFonts w:hint="eastAsia"/>
          <w:sz w:val="24"/>
          <w:szCs w:val="24"/>
        </w:rPr>
        <w:t>区</w:t>
      </w:r>
      <w:r>
        <w:rPr>
          <w:sz w:val="24"/>
          <w:szCs w:val="24"/>
        </w:rPr>
        <w:t>；</w:t>
      </w:r>
    </w:p>
    <w:p>
      <w:pPr>
        <w:pStyle w:val="69"/>
        <w:adjustRightInd w:val="0"/>
        <w:snapToGrid w:val="0"/>
        <w:spacing w:after="0" w:line="360" w:lineRule="auto"/>
        <w:ind w:left="0" w:leftChars="0" w:firstLine="480" w:firstLineChars="200"/>
        <w:jc w:val="both"/>
        <w:rPr>
          <w:sz w:val="24"/>
          <w:szCs w:val="24"/>
        </w:rPr>
      </w:pPr>
      <w:r>
        <w:rPr>
          <w:sz w:val="24"/>
          <w:szCs w:val="24"/>
        </w:rPr>
        <w:t>项目：蚊、蝇；频次：夏季每月1次。</w:t>
      </w:r>
    </w:p>
    <w:p>
      <w:pPr>
        <w:pStyle w:val="69"/>
        <w:adjustRightInd w:val="0"/>
        <w:snapToGrid w:val="0"/>
        <w:spacing w:after="0" w:line="360" w:lineRule="auto"/>
        <w:ind w:left="0" w:leftChars="0" w:firstLine="480" w:firstLineChars="200"/>
        <w:jc w:val="both"/>
        <w:rPr>
          <w:sz w:val="24"/>
          <w:szCs w:val="24"/>
        </w:rPr>
      </w:pPr>
      <w:r>
        <w:rPr>
          <w:sz w:val="24"/>
          <w:szCs w:val="24"/>
        </w:rPr>
        <w:t>环境监测布点见</w:t>
      </w:r>
      <w:r>
        <w:rPr>
          <w:rFonts w:hint="eastAsia"/>
          <w:sz w:val="24"/>
          <w:szCs w:val="24"/>
        </w:rPr>
        <w:t>表</w:t>
      </w:r>
      <w:r>
        <w:rPr>
          <w:sz w:val="24"/>
          <w:szCs w:val="24"/>
        </w:rPr>
        <w:t>10.2-1</w:t>
      </w:r>
      <w:r>
        <w:rPr>
          <w:rFonts w:hint="eastAsia"/>
          <w:sz w:val="24"/>
          <w:szCs w:val="24"/>
        </w:rPr>
        <w:t>、</w:t>
      </w:r>
      <w:r>
        <w:rPr>
          <w:sz w:val="24"/>
          <w:szCs w:val="24"/>
        </w:rPr>
        <w:t>10.2-2。</w:t>
      </w:r>
    </w:p>
    <w:p>
      <w:pPr>
        <w:pStyle w:val="69"/>
        <w:spacing w:after="0" w:line="360" w:lineRule="auto"/>
        <w:ind w:left="0" w:leftChars="0"/>
        <w:jc w:val="both"/>
        <w:rPr>
          <w:sz w:val="24"/>
          <w:szCs w:val="24"/>
        </w:rPr>
        <w:sectPr>
          <w:headerReference r:id="rId16" w:type="default"/>
          <w:pgSz w:w="11906" w:h="16838"/>
          <w:pgMar w:top="1440" w:right="1800" w:bottom="1440" w:left="1800" w:header="851" w:footer="992" w:gutter="0"/>
          <w:cols w:space="720" w:num="1"/>
          <w:docGrid w:type="lines" w:linePitch="312" w:charSpace="0"/>
        </w:sectPr>
      </w:pPr>
    </w:p>
    <w:p>
      <w:pPr>
        <w:ind w:firstLine="482" w:firstLineChars="200"/>
        <w:jc w:val="center"/>
        <w:rPr>
          <w:b/>
          <w:sz w:val="24"/>
        </w:rPr>
      </w:pPr>
      <w:r>
        <w:rPr>
          <w:b/>
          <w:sz w:val="24"/>
        </w:rPr>
        <w:t>表</w:t>
      </w:r>
      <w:r>
        <w:rPr>
          <w:b/>
          <w:bCs/>
          <w:sz w:val="24"/>
        </w:rPr>
        <w:t xml:space="preserve">10.2-1 </w:t>
      </w:r>
      <w:r>
        <w:rPr>
          <w:b/>
          <w:sz w:val="24"/>
        </w:rPr>
        <w:t>本项目</w:t>
      </w:r>
      <w:r>
        <w:rPr>
          <w:rFonts w:hint="eastAsia"/>
          <w:b/>
          <w:sz w:val="24"/>
        </w:rPr>
        <w:t>污染源</w:t>
      </w:r>
      <w:r>
        <w:rPr>
          <w:b/>
          <w:sz w:val="24"/>
        </w:rPr>
        <w:t>监测计划</w:t>
      </w:r>
    </w:p>
    <w:tbl>
      <w:tblPr>
        <w:tblStyle w:val="87"/>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48"/>
        <w:gridCol w:w="4028"/>
        <w:gridCol w:w="5105"/>
        <w:gridCol w:w="349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46" w:type="pct"/>
            <w:tcBorders>
              <w:top w:val="single" w:color="auto" w:sz="12" w:space="0"/>
              <w:left w:val="single" w:color="auto" w:sz="12" w:space="0"/>
              <w:bottom w:val="single" w:color="auto" w:sz="4" w:space="0"/>
              <w:right w:val="single" w:color="auto" w:sz="4" w:space="0"/>
            </w:tcBorders>
            <w:vAlign w:val="center"/>
          </w:tcPr>
          <w:p>
            <w:pPr>
              <w:adjustRightInd w:val="0"/>
              <w:snapToGrid w:val="0"/>
              <w:jc w:val="center"/>
              <w:rPr>
                <w:kern w:val="0"/>
                <w:szCs w:val="21"/>
              </w:rPr>
            </w:pPr>
            <w:r>
              <w:rPr>
                <w:kern w:val="0"/>
                <w:szCs w:val="21"/>
              </w:rPr>
              <w:t>类型</w:t>
            </w:r>
          </w:p>
        </w:tc>
        <w:tc>
          <w:tcPr>
            <w:tcW w:w="1421"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监测对象</w:t>
            </w:r>
          </w:p>
        </w:tc>
        <w:tc>
          <w:tcPr>
            <w:tcW w:w="1801"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监测项目</w:t>
            </w:r>
          </w:p>
        </w:tc>
        <w:tc>
          <w:tcPr>
            <w:tcW w:w="1232"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监测频率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46" w:type="pct"/>
            <w:vMerge w:val="restart"/>
            <w:tcBorders>
              <w:left w:val="single" w:color="auto" w:sz="12" w:space="0"/>
              <w:right w:val="single" w:color="auto" w:sz="4" w:space="0"/>
            </w:tcBorders>
            <w:vAlign w:val="center"/>
          </w:tcPr>
          <w:p>
            <w:pPr>
              <w:adjustRightInd w:val="0"/>
              <w:snapToGrid w:val="0"/>
              <w:jc w:val="center"/>
              <w:rPr>
                <w:kern w:val="0"/>
                <w:szCs w:val="21"/>
              </w:rPr>
            </w:pPr>
            <w:r>
              <w:rPr>
                <w:rFonts w:hint="eastAsia"/>
                <w:kern w:val="0"/>
                <w:szCs w:val="21"/>
              </w:rPr>
              <w:t>废气</w:t>
            </w:r>
          </w:p>
        </w:tc>
        <w:tc>
          <w:tcPr>
            <w:tcW w:w="142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rFonts w:hint="eastAsia"/>
                <w:kern w:val="0"/>
                <w:szCs w:val="21"/>
              </w:rPr>
              <w:t>填埋场工作面</w:t>
            </w:r>
          </w:p>
        </w:tc>
        <w:tc>
          <w:tcPr>
            <w:tcW w:w="180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rFonts w:hint="eastAsia"/>
                <w:kern w:val="0"/>
                <w:szCs w:val="21"/>
              </w:rPr>
              <w:t>甲烷体积分数</w:t>
            </w:r>
          </w:p>
        </w:tc>
        <w:tc>
          <w:tcPr>
            <w:tcW w:w="1232" w:type="pct"/>
            <w:tcBorders>
              <w:right w:val="single" w:color="auto" w:sz="4" w:space="0"/>
            </w:tcBorders>
            <w:vAlign w:val="center"/>
          </w:tcPr>
          <w:p>
            <w:pPr>
              <w:adjustRightInd w:val="0"/>
              <w:snapToGrid w:val="0"/>
              <w:jc w:val="center"/>
              <w:rPr>
                <w:kern w:val="0"/>
                <w:szCs w:val="21"/>
              </w:rPr>
            </w:pPr>
            <w:r>
              <w:rPr>
                <w:rFonts w:hint="eastAsia"/>
                <w:kern w:val="0"/>
                <w:szCs w:val="21"/>
              </w:rPr>
              <w:t>每日一次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46" w:type="pct"/>
            <w:vMerge w:val="continue"/>
            <w:tcBorders>
              <w:left w:val="single" w:color="auto" w:sz="12" w:space="0"/>
              <w:right w:val="single" w:color="auto" w:sz="4" w:space="0"/>
            </w:tcBorders>
            <w:vAlign w:val="center"/>
          </w:tcPr>
          <w:p>
            <w:pPr>
              <w:adjustRightInd w:val="0"/>
              <w:snapToGrid w:val="0"/>
              <w:jc w:val="center"/>
              <w:rPr>
                <w:kern w:val="0"/>
                <w:szCs w:val="21"/>
              </w:rPr>
            </w:pPr>
          </w:p>
        </w:tc>
        <w:tc>
          <w:tcPr>
            <w:tcW w:w="142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厂</w:t>
            </w:r>
            <w:r>
              <w:rPr>
                <w:rFonts w:hint="eastAsia"/>
                <w:kern w:val="0"/>
                <w:szCs w:val="21"/>
              </w:rPr>
              <w:t>界</w:t>
            </w:r>
            <w:r>
              <w:rPr>
                <w:kern w:val="0"/>
                <w:szCs w:val="21"/>
              </w:rPr>
              <w:t>监控点</w:t>
            </w:r>
          </w:p>
        </w:tc>
        <w:tc>
          <w:tcPr>
            <w:tcW w:w="180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szCs w:val="21"/>
              </w:rPr>
              <w:t>NH</w:t>
            </w:r>
            <w:r>
              <w:rPr>
                <w:szCs w:val="21"/>
                <w:vertAlign w:val="subscript"/>
              </w:rPr>
              <w:t>3</w:t>
            </w:r>
            <w:r>
              <w:rPr>
                <w:szCs w:val="21"/>
              </w:rPr>
              <w:t>、H</w:t>
            </w:r>
            <w:r>
              <w:rPr>
                <w:szCs w:val="21"/>
                <w:vertAlign w:val="subscript"/>
              </w:rPr>
              <w:t>2</w:t>
            </w:r>
            <w:r>
              <w:rPr>
                <w:szCs w:val="21"/>
              </w:rPr>
              <w:t>S、TSP、臭气浓度</w:t>
            </w:r>
          </w:p>
        </w:tc>
        <w:tc>
          <w:tcPr>
            <w:tcW w:w="1232" w:type="pct"/>
            <w:tcBorders>
              <w:right w:val="single" w:color="auto" w:sz="4" w:space="0"/>
            </w:tcBorders>
            <w:vAlign w:val="center"/>
          </w:tcPr>
          <w:p>
            <w:pPr>
              <w:adjustRightInd w:val="0"/>
              <w:snapToGrid w:val="0"/>
              <w:jc w:val="center"/>
              <w:rPr>
                <w:kern w:val="0"/>
                <w:szCs w:val="21"/>
              </w:rPr>
            </w:pPr>
            <w:r>
              <w:rPr>
                <w:rFonts w:hint="eastAsia"/>
                <w:kern w:val="0"/>
                <w:szCs w:val="21"/>
              </w:rPr>
              <w:t>每月</w:t>
            </w:r>
            <w:r>
              <w:rPr>
                <w:kern w:val="0"/>
                <w:szCs w:val="21"/>
              </w:rPr>
              <w:t>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46"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kern w:val="0"/>
                <w:szCs w:val="21"/>
              </w:rPr>
            </w:pPr>
            <w:r>
              <w:rPr>
                <w:kern w:val="0"/>
                <w:szCs w:val="21"/>
              </w:rPr>
              <w:t>废水</w:t>
            </w:r>
          </w:p>
        </w:tc>
        <w:tc>
          <w:tcPr>
            <w:tcW w:w="142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rFonts w:hint="eastAsia"/>
                <w:kern w:val="0"/>
                <w:szCs w:val="21"/>
              </w:rPr>
              <w:t>渗滤液处理站出水</w:t>
            </w:r>
          </w:p>
        </w:tc>
        <w:tc>
          <w:tcPr>
            <w:tcW w:w="180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pH</w:t>
            </w:r>
            <w:r>
              <w:rPr>
                <w:rFonts w:hint="eastAsia"/>
                <w:kern w:val="0"/>
                <w:szCs w:val="21"/>
              </w:rPr>
              <w:t>、色度、COD、BOD</w:t>
            </w:r>
            <w:r>
              <w:rPr>
                <w:rFonts w:hint="eastAsia"/>
                <w:kern w:val="0"/>
                <w:szCs w:val="21"/>
                <w:vertAlign w:val="subscript"/>
              </w:rPr>
              <w:t>5</w:t>
            </w:r>
            <w:r>
              <w:rPr>
                <w:rFonts w:hint="eastAsia"/>
                <w:kern w:val="0"/>
                <w:szCs w:val="21"/>
              </w:rPr>
              <w:t>、SS、氨氮、总氮、总磷、总汞、总镉、总铬、六价铬、总砷、总铅、粪大肠菌群</w:t>
            </w:r>
          </w:p>
        </w:tc>
        <w:tc>
          <w:tcPr>
            <w:tcW w:w="123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rFonts w:hint="eastAsia"/>
                <w:color w:val="FF0000"/>
                <w:kern w:val="0"/>
                <w:szCs w:val="21"/>
              </w:rPr>
              <w:t>由于渗滤液处理站不是持续运行，因此</w:t>
            </w:r>
            <w:r>
              <w:rPr>
                <w:color w:val="FF0000"/>
                <w:kern w:val="0"/>
                <w:szCs w:val="21"/>
              </w:rPr>
              <w:t xml:space="preserve"> pH</w:t>
            </w:r>
            <w:r>
              <w:rPr>
                <w:rFonts w:hint="eastAsia"/>
                <w:color w:val="FF0000"/>
                <w:kern w:val="0"/>
                <w:szCs w:val="21"/>
              </w:rPr>
              <w:t>、化学需氧量、总氮、氨氮运行时每日监测一次</w:t>
            </w:r>
            <w:r>
              <w:rPr>
                <w:rFonts w:hint="eastAsia"/>
                <w:kern w:val="0"/>
                <w:szCs w:val="21"/>
              </w:rPr>
              <w:t>，其他项目</w:t>
            </w:r>
            <w:r>
              <w:rPr>
                <w:kern w:val="0"/>
                <w:szCs w:val="21"/>
              </w:rPr>
              <w:t>每季1次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46"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kern w:val="0"/>
                <w:szCs w:val="21"/>
              </w:rPr>
            </w:pPr>
            <w:r>
              <w:rPr>
                <w:kern w:val="0"/>
                <w:szCs w:val="21"/>
              </w:rPr>
              <w:t>噪声</w:t>
            </w:r>
          </w:p>
        </w:tc>
        <w:tc>
          <w:tcPr>
            <w:tcW w:w="142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厂界外1m处</w:t>
            </w:r>
          </w:p>
        </w:tc>
        <w:tc>
          <w:tcPr>
            <w:tcW w:w="180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Lep（A）</w:t>
            </w:r>
          </w:p>
        </w:tc>
        <w:tc>
          <w:tcPr>
            <w:tcW w:w="123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rFonts w:hint="eastAsia"/>
                <w:kern w:val="0"/>
                <w:szCs w:val="21"/>
              </w:rPr>
              <w:t>每月1次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46"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kern w:val="0"/>
                <w:szCs w:val="21"/>
              </w:rPr>
            </w:pPr>
            <w:r>
              <w:rPr>
                <w:kern w:val="0"/>
                <w:szCs w:val="21"/>
              </w:rPr>
              <w:t>固废</w:t>
            </w:r>
          </w:p>
        </w:tc>
        <w:tc>
          <w:tcPr>
            <w:tcW w:w="142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统计全厂各类固废量</w:t>
            </w:r>
          </w:p>
        </w:tc>
        <w:tc>
          <w:tcPr>
            <w:tcW w:w="180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kern w:val="0"/>
                <w:szCs w:val="21"/>
              </w:rPr>
            </w:pPr>
            <w:r>
              <w:rPr>
                <w:kern w:val="0"/>
                <w:szCs w:val="21"/>
              </w:rPr>
              <w:t>统计其种类、产生量、处理方式、去向</w:t>
            </w:r>
          </w:p>
        </w:tc>
        <w:tc>
          <w:tcPr>
            <w:tcW w:w="1232" w:type="pct"/>
            <w:tcBorders>
              <w:right w:val="single" w:color="auto" w:sz="4" w:space="0"/>
            </w:tcBorders>
            <w:vAlign w:val="center"/>
          </w:tcPr>
          <w:p>
            <w:pPr>
              <w:adjustRightInd w:val="0"/>
              <w:snapToGrid w:val="0"/>
              <w:jc w:val="center"/>
              <w:rPr>
                <w:kern w:val="0"/>
                <w:szCs w:val="21"/>
              </w:rPr>
            </w:pPr>
          </w:p>
        </w:tc>
      </w:tr>
    </w:tbl>
    <w:p>
      <w:pPr>
        <w:pStyle w:val="69"/>
        <w:spacing w:after="0" w:line="360" w:lineRule="auto"/>
        <w:ind w:left="0" w:leftChars="0" w:firstLine="480" w:firstLineChars="200"/>
        <w:jc w:val="both"/>
        <w:rPr>
          <w:sz w:val="24"/>
          <w:szCs w:val="24"/>
        </w:rPr>
      </w:pPr>
    </w:p>
    <w:p>
      <w:pPr>
        <w:pStyle w:val="69"/>
        <w:spacing w:after="0" w:line="360" w:lineRule="auto"/>
        <w:ind w:left="0" w:leftChars="0" w:firstLine="480" w:firstLineChars="200"/>
        <w:jc w:val="both"/>
        <w:rPr>
          <w:sz w:val="24"/>
          <w:szCs w:val="24"/>
        </w:rPr>
      </w:pPr>
    </w:p>
    <w:p>
      <w:pPr>
        <w:ind w:firstLine="482" w:firstLineChars="200"/>
        <w:jc w:val="center"/>
        <w:rPr>
          <w:b/>
          <w:sz w:val="24"/>
        </w:rPr>
      </w:pPr>
      <w:r>
        <w:rPr>
          <w:b/>
          <w:sz w:val="24"/>
        </w:rPr>
        <w:t>表</w:t>
      </w:r>
      <w:r>
        <w:rPr>
          <w:b/>
          <w:bCs/>
          <w:sz w:val="24"/>
        </w:rPr>
        <w:t xml:space="preserve">10.2-2 </w:t>
      </w:r>
      <w:r>
        <w:rPr>
          <w:b/>
          <w:sz w:val="24"/>
        </w:rPr>
        <w:t>本项目环境质量现状监测计划</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3680"/>
        <w:gridCol w:w="3915"/>
        <w:gridCol w:w="2670"/>
        <w:gridCol w:w="26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7" w:type="pct"/>
            <w:vAlign w:val="center"/>
          </w:tcPr>
          <w:p>
            <w:pPr>
              <w:adjustRightInd w:val="0"/>
              <w:snapToGrid w:val="0"/>
              <w:jc w:val="center"/>
              <w:rPr>
                <w:szCs w:val="21"/>
              </w:rPr>
            </w:pPr>
            <w:r>
              <w:rPr>
                <w:szCs w:val="21"/>
              </w:rPr>
              <w:t>环境要素</w:t>
            </w:r>
          </w:p>
        </w:tc>
        <w:tc>
          <w:tcPr>
            <w:tcW w:w="1298" w:type="pct"/>
            <w:vAlign w:val="center"/>
          </w:tcPr>
          <w:p>
            <w:pPr>
              <w:adjustRightInd w:val="0"/>
              <w:snapToGrid w:val="0"/>
              <w:jc w:val="center"/>
              <w:rPr>
                <w:szCs w:val="21"/>
              </w:rPr>
            </w:pPr>
            <w:r>
              <w:rPr>
                <w:szCs w:val="21"/>
              </w:rPr>
              <w:t>监测位置</w:t>
            </w:r>
          </w:p>
        </w:tc>
        <w:tc>
          <w:tcPr>
            <w:tcW w:w="1381" w:type="pct"/>
            <w:vAlign w:val="center"/>
          </w:tcPr>
          <w:p>
            <w:pPr>
              <w:adjustRightInd w:val="0"/>
              <w:snapToGrid w:val="0"/>
              <w:jc w:val="center"/>
              <w:rPr>
                <w:szCs w:val="21"/>
              </w:rPr>
            </w:pPr>
            <w:r>
              <w:rPr>
                <w:szCs w:val="21"/>
              </w:rPr>
              <w:t>监测项目</w:t>
            </w:r>
          </w:p>
        </w:tc>
        <w:tc>
          <w:tcPr>
            <w:tcW w:w="942" w:type="pct"/>
            <w:vAlign w:val="center"/>
          </w:tcPr>
          <w:p>
            <w:pPr>
              <w:adjustRightInd w:val="0"/>
              <w:snapToGrid w:val="0"/>
              <w:jc w:val="center"/>
              <w:rPr>
                <w:szCs w:val="21"/>
              </w:rPr>
            </w:pPr>
            <w:r>
              <w:rPr>
                <w:szCs w:val="21"/>
              </w:rPr>
              <w:t>监测频率</w:t>
            </w:r>
          </w:p>
        </w:tc>
        <w:tc>
          <w:tcPr>
            <w:tcW w:w="942" w:type="pct"/>
          </w:tcPr>
          <w:p>
            <w:pPr>
              <w:adjustRightInd w:val="0"/>
              <w:snapToGrid w:val="0"/>
              <w:jc w:val="center"/>
              <w:rPr>
                <w:szCs w:val="21"/>
              </w:rPr>
            </w:pPr>
            <w:r>
              <w:rPr>
                <w:rFonts w:hint="eastAsia"/>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437" w:type="pct"/>
            <w:vAlign w:val="center"/>
          </w:tcPr>
          <w:p>
            <w:pPr>
              <w:adjustRightInd w:val="0"/>
              <w:snapToGrid w:val="0"/>
              <w:jc w:val="center"/>
              <w:rPr>
                <w:szCs w:val="21"/>
              </w:rPr>
            </w:pPr>
            <w:r>
              <w:rPr>
                <w:szCs w:val="21"/>
              </w:rPr>
              <w:t>环境空气</w:t>
            </w:r>
          </w:p>
        </w:tc>
        <w:tc>
          <w:tcPr>
            <w:tcW w:w="1298" w:type="pct"/>
            <w:vAlign w:val="center"/>
          </w:tcPr>
          <w:p>
            <w:pPr>
              <w:adjustRightInd w:val="0"/>
              <w:snapToGrid w:val="0"/>
              <w:jc w:val="center"/>
              <w:rPr>
                <w:szCs w:val="21"/>
              </w:rPr>
            </w:pPr>
            <w:r>
              <w:rPr>
                <w:szCs w:val="21"/>
              </w:rPr>
              <w:t>厂区下风向监控</w:t>
            </w:r>
          </w:p>
        </w:tc>
        <w:tc>
          <w:tcPr>
            <w:tcW w:w="1381" w:type="pct"/>
            <w:vAlign w:val="center"/>
          </w:tcPr>
          <w:p>
            <w:pPr>
              <w:adjustRightInd w:val="0"/>
              <w:snapToGrid w:val="0"/>
              <w:jc w:val="center"/>
              <w:rPr>
                <w:szCs w:val="21"/>
              </w:rPr>
            </w:pPr>
            <w:r>
              <w:rPr>
                <w:szCs w:val="21"/>
              </w:rPr>
              <w:t>NH</w:t>
            </w:r>
            <w:r>
              <w:rPr>
                <w:szCs w:val="21"/>
                <w:vertAlign w:val="subscript"/>
              </w:rPr>
              <w:t>3</w:t>
            </w:r>
            <w:r>
              <w:rPr>
                <w:szCs w:val="21"/>
              </w:rPr>
              <w:t>、H</w:t>
            </w:r>
            <w:r>
              <w:rPr>
                <w:szCs w:val="21"/>
                <w:vertAlign w:val="subscript"/>
              </w:rPr>
              <w:t>2</w:t>
            </w:r>
            <w:r>
              <w:rPr>
                <w:szCs w:val="21"/>
              </w:rPr>
              <w:t>S</w:t>
            </w:r>
            <w:r>
              <w:rPr>
                <w:rFonts w:hint="eastAsia"/>
                <w:szCs w:val="21"/>
              </w:rPr>
              <w:t>、臭气浓度</w:t>
            </w:r>
          </w:p>
        </w:tc>
        <w:tc>
          <w:tcPr>
            <w:tcW w:w="942" w:type="pct"/>
            <w:vAlign w:val="center"/>
          </w:tcPr>
          <w:p>
            <w:pPr>
              <w:adjustRightInd w:val="0"/>
              <w:snapToGrid w:val="0"/>
              <w:jc w:val="center"/>
              <w:rPr>
                <w:szCs w:val="21"/>
              </w:rPr>
            </w:pPr>
            <w:r>
              <w:rPr>
                <w:szCs w:val="21"/>
              </w:rPr>
              <w:t>1次/年</w:t>
            </w:r>
          </w:p>
        </w:tc>
        <w:tc>
          <w:tcPr>
            <w:tcW w:w="942" w:type="pct"/>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7" w:type="pct"/>
            <w:vAlign w:val="center"/>
          </w:tcPr>
          <w:p>
            <w:pPr>
              <w:adjustRightInd w:val="0"/>
              <w:snapToGrid w:val="0"/>
              <w:jc w:val="center"/>
              <w:rPr>
                <w:szCs w:val="21"/>
              </w:rPr>
            </w:pPr>
            <w:r>
              <w:rPr>
                <w:szCs w:val="21"/>
              </w:rPr>
              <w:t>地下水</w:t>
            </w:r>
          </w:p>
        </w:tc>
        <w:tc>
          <w:tcPr>
            <w:tcW w:w="1298" w:type="pct"/>
            <w:vAlign w:val="center"/>
          </w:tcPr>
          <w:p>
            <w:pPr>
              <w:adjustRightInd w:val="0"/>
              <w:snapToGrid w:val="0"/>
              <w:jc w:val="center"/>
              <w:rPr>
                <w:szCs w:val="21"/>
              </w:rPr>
            </w:pPr>
            <w:r>
              <w:rPr>
                <w:szCs w:val="21"/>
              </w:rPr>
              <w:t>布置5眼地下水监控井</w:t>
            </w:r>
          </w:p>
        </w:tc>
        <w:tc>
          <w:tcPr>
            <w:tcW w:w="1381" w:type="pct"/>
            <w:vAlign w:val="center"/>
          </w:tcPr>
          <w:p>
            <w:pPr>
              <w:adjustRightInd w:val="0"/>
              <w:snapToGrid w:val="0"/>
              <w:jc w:val="center"/>
              <w:rPr>
                <w:szCs w:val="21"/>
              </w:rPr>
            </w:pPr>
            <w:r>
              <w:rPr>
                <w:rFonts w:hint="eastAsia"/>
                <w:szCs w:val="21"/>
              </w:rPr>
              <w:t>pH、总硬度、溶解性总固体、耗氧量、氨氮、硝酸盐、亚硝酸盐、硫酸盐、氯化物、挥发性酚类、氰化物、砷、汞、六价铬、铅、氟化物、镉、铁、锰、铜、锌、粪大肠菌群等</w:t>
            </w:r>
          </w:p>
        </w:tc>
        <w:tc>
          <w:tcPr>
            <w:tcW w:w="942" w:type="pct"/>
            <w:vAlign w:val="center"/>
          </w:tcPr>
          <w:p>
            <w:pPr>
              <w:adjustRightInd w:val="0"/>
              <w:snapToGrid w:val="0"/>
              <w:jc w:val="center"/>
              <w:rPr>
                <w:szCs w:val="21"/>
              </w:rPr>
            </w:pPr>
            <w:r>
              <w:rPr>
                <w:rFonts w:hint="eastAsia"/>
                <w:szCs w:val="21"/>
              </w:rPr>
              <w:t>污染扩散井和污染监测井的水质监测频率不少于每2周1次，对本底井的水质监测频率每个月一次</w:t>
            </w:r>
          </w:p>
        </w:tc>
        <w:tc>
          <w:tcPr>
            <w:tcW w:w="942" w:type="pct"/>
          </w:tcPr>
          <w:p>
            <w:pPr>
              <w:adjustRightInd w:val="0"/>
              <w:snapToGrid w:val="0"/>
              <w:jc w:val="center"/>
              <w:rPr>
                <w:szCs w:val="21"/>
              </w:rPr>
            </w:pPr>
            <w:r>
              <w:rPr>
                <w:rFonts w:hint="eastAsia"/>
                <w:szCs w:val="21"/>
              </w:rPr>
              <w:t>直至封场后填埋产生的渗滤液中水污染物浓度连续两年低于《生活垃圾填埋场污染控制标准》（GB16889-2008）表2中的限值时为止。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7" w:type="pct"/>
            <w:vAlign w:val="center"/>
          </w:tcPr>
          <w:p>
            <w:pPr>
              <w:adjustRightInd w:val="0"/>
              <w:snapToGrid w:val="0"/>
              <w:jc w:val="center"/>
              <w:rPr>
                <w:szCs w:val="21"/>
              </w:rPr>
            </w:pPr>
            <w:r>
              <w:rPr>
                <w:szCs w:val="21"/>
              </w:rPr>
              <w:t>土壤</w:t>
            </w:r>
          </w:p>
        </w:tc>
        <w:tc>
          <w:tcPr>
            <w:tcW w:w="1298" w:type="pct"/>
            <w:vAlign w:val="center"/>
          </w:tcPr>
          <w:p>
            <w:pPr>
              <w:adjustRightInd w:val="0"/>
              <w:snapToGrid w:val="0"/>
              <w:jc w:val="center"/>
              <w:rPr>
                <w:szCs w:val="21"/>
              </w:rPr>
            </w:pPr>
            <w:r>
              <w:rPr>
                <w:rFonts w:hint="eastAsia"/>
                <w:szCs w:val="21"/>
              </w:rPr>
              <w:t>调节池下游1个、填埋场垃圾坝下游1个、填埋场外东北侧耕地1个</w:t>
            </w:r>
          </w:p>
        </w:tc>
        <w:tc>
          <w:tcPr>
            <w:tcW w:w="1381" w:type="pct"/>
            <w:vAlign w:val="center"/>
          </w:tcPr>
          <w:p>
            <w:pPr>
              <w:adjustRightInd w:val="0"/>
              <w:snapToGrid w:val="0"/>
              <w:jc w:val="center"/>
              <w:rPr>
                <w:szCs w:val="21"/>
              </w:rPr>
            </w:pPr>
            <w:r>
              <w:rPr>
                <w:rFonts w:hint="eastAsia"/>
                <w:szCs w:val="21"/>
              </w:rPr>
              <w:t xml:space="preserve"> pH 、砷、镉、六价铬 铜、铅、汞、镍、锌、总铬</w:t>
            </w:r>
          </w:p>
        </w:tc>
        <w:tc>
          <w:tcPr>
            <w:tcW w:w="942" w:type="pct"/>
            <w:vAlign w:val="center"/>
          </w:tcPr>
          <w:p>
            <w:pPr>
              <w:adjustRightInd w:val="0"/>
              <w:snapToGrid w:val="0"/>
              <w:jc w:val="center"/>
              <w:rPr>
                <w:szCs w:val="21"/>
              </w:rPr>
            </w:pPr>
            <w:r>
              <w:rPr>
                <w:szCs w:val="21"/>
              </w:rPr>
              <w:t>每5年开展1次监测工作</w:t>
            </w:r>
          </w:p>
        </w:tc>
        <w:tc>
          <w:tcPr>
            <w:tcW w:w="942" w:type="pct"/>
          </w:tcPr>
          <w:p>
            <w:pPr>
              <w:adjustRightInd w:val="0"/>
              <w:snapToGrid w:val="0"/>
              <w:jc w:val="center"/>
              <w:rPr>
                <w:szCs w:val="21"/>
              </w:rPr>
            </w:pPr>
          </w:p>
        </w:tc>
      </w:tr>
    </w:tbl>
    <w:p>
      <w:pPr>
        <w:pStyle w:val="69"/>
        <w:spacing w:after="0" w:line="360" w:lineRule="auto"/>
        <w:ind w:left="0" w:leftChars="0" w:firstLine="480" w:firstLineChars="200"/>
        <w:jc w:val="both"/>
        <w:rPr>
          <w:sz w:val="24"/>
          <w:szCs w:val="24"/>
        </w:rPr>
        <w:sectPr>
          <w:pgSz w:w="16838" w:h="11906" w:orient="landscape"/>
          <w:pgMar w:top="1800" w:right="1440" w:bottom="1800" w:left="1440" w:header="851" w:footer="992" w:gutter="0"/>
          <w:cols w:space="720" w:num="1"/>
          <w:docGrid w:type="lines" w:linePitch="312" w:charSpace="0"/>
        </w:sectPr>
      </w:pPr>
    </w:p>
    <w:p>
      <w:pPr>
        <w:spacing w:line="360" w:lineRule="auto"/>
        <w:outlineLvl w:val="2"/>
        <w:rPr>
          <w:b/>
          <w:sz w:val="28"/>
          <w:szCs w:val="28"/>
        </w:rPr>
      </w:pPr>
      <w:bookmarkStart w:id="741" w:name="_Toc387050241"/>
      <w:bookmarkStart w:id="742" w:name="_Toc381444466"/>
      <w:bookmarkStart w:id="743" w:name="_Toc434572630"/>
      <w:bookmarkStart w:id="744" w:name="_Toc143762405"/>
      <w:bookmarkStart w:id="745" w:name="_Toc381522770"/>
      <w:bookmarkStart w:id="746" w:name="_Toc489433169"/>
      <w:r>
        <w:rPr>
          <w:b/>
          <w:sz w:val="28"/>
          <w:szCs w:val="28"/>
        </w:rPr>
        <w:t>10.2.3 监测资料管理</w:t>
      </w:r>
      <w:bookmarkEnd w:id="741"/>
      <w:bookmarkEnd w:id="742"/>
      <w:bookmarkEnd w:id="743"/>
      <w:bookmarkEnd w:id="744"/>
      <w:bookmarkEnd w:id="745"/>
      <w:bookmarkEnd w:id="746"/>
    </w:p>
    <w:p>
      <w:pPr>
        <w:pStyle w:val="69"/>
        <w:spacing w:line="360" w:lineRule="auto"/>
        <w:ind w:left="0" w:leftChars="0" w:firstLine="480" w:firstLineChars="200"/>
        <w:jc w:val="both"/>
        <w:rPr>
          <w:sz w:val="24"/>
          <w:szCs w:val="24"/>
        </w:rPr>
      </w:pPr>
      <w:r>
        <w:rPr>
          <w:sz w:val="24"/>
          <w:szCs w:val="24"/>
        </w:rPr>
        <w:t>每次监测都应有完整的记录。监测数据应及时整理、统计，按时向市环保局报告，并及时建立档案。如有污染情况出现，也应及时向环境保护主管部门报告。</w:t>
      </w:r>
    </w:p>
    <w:p>
      <w:pPr>
        <w:pStyle w:val="3"/>
        <w:rPr>
          <w:rFonts w:ascii="Times New Roman" w:hAnsi="Times New Roman" w:eastAsia="宋体"/>
          <w:szCs w:val="28"/>
        </w:rPr>
      </w:pPr>
      <w:bookmarkStart w:id="747" w:name="_Toc243736217"/>
      <w:bookmarkStart w:id="748" w:name="_Toc277228980"/>
      <w:bookmarkStart w:id="749" w:name="_Toc277244790"/>
      <w:bookmarkStart w:id="750" w:name="_Toc489433171"/>
      <w:bookmarkStart w:id="751" w:name="_Toc244333828"/>
      <w:bookmarkStart w:id="752" w:name="_Toc244506057"/>
      <w:bookmarkStart w:id="753" w:name="_Toc243541887"/>
      <w:bookmarkStart w:id="754" w:name="_Toc244334068"/>
      <w:bookmarkStart w:id="755" w:name="_Toc277336142"/>
      <w:bookmarkStart w:id="756" w:name="_Toc249261693"/>
      <w:bookmarkStart w:id="757" w:name="_Toc274252001"/>
      <w:bookmarkStart w:id="758" w:name="_Toc277196526"/>
      <w:bookmarkStart w:id="759" w:name="_Toc276333688"/>
      <w:bookmarkStart w:id="760" w:name="_Toc274251930"/>
      <w:bookmarkStart w:id="761" w:name="_Toc277949966"/>
      <w:bookmarkStart w:id="762" w:name="_Toc243709475"/>
      <w:bookmarkStart w:id="763" w:name="_Toc337465986"/>
      <w:bookmarkStart w:id="764" w:name="_Toc277949301"/>
      <w:bookmarkStart w:id="765" w:name="_Toc243714105"/>
      <w:bookmarkStart w:id="766" w:name="_Toc277238983"/>
      <w:bookmarkStart w:id="767" w:name="_Toc277632336"/>
      <w:bookmarkStart w:id="768" w:name="_Toc246307310"/>
      <w:bookmarkStart w:id="769" w:name="_Toc276105976"/>
      <w:bookmarkStart w:id="770" w:name="_Toc236026369"/>
      <w:bookmarkStart w:id="771" w:name="_Toc143762406"/>
      <w:r>
        <w:rPr>
          <w:rFonts w:ascii="Times New Roman" w:hAnsi="Times New Roman" w:eastAsia="宋体"/>
          <w:szCs w:val="28"/>
        </w:rPr>
        <w:t>10.3建设项目竣工环境保护验收清单</w:t>
      </w:r>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p>
    <w:p>
      <w:pPr>
        <w:spacing w:line="360" w:lineRule="auto"/>
        <w:ind w:firstLine="480" w:firstLineChars="200"/>
        <w:rPr>
          <w:sz w:val="24"/>
        </w:rPr>
      </w:pPr>
      <w:r>
        <w:rPr>
          <w:sz w:val="24"/>
        </w:rPr>
        <w:t>本项目环境保护竣工验收一览表10.3-1。</w:t>
      </w:r>
    </w:p>
    <w:p>
      <w:pPr>
        <w:pStyle w:val="44"/>
        <w:ind w:firstLine="361" w:firstLineChars="150"/>
        <w:jc w:val="center"/>
        <w:rPr>
          <w:rFonts w:cs="Times New Roman"/>
          <w:b/>
          <w:szCs w:val="24"/>
        </w:rPr>
      </w:pPr>
      <w:r>
        <w:rPr>
          <w:rFonts w:cs="Times New Roman"/>
          <w:b/>
          <w:szCs w:val="24"/>
        </w:rPr>
        <w:t>表10.3-1 环境污染防治设施竣工验收一览表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62"/>
        <w:gridCol w:w="457"/>
        <w:gridCol w:w="783"/>
        <w:gridCol w:w="1406"/>
        <w:gridCol w:w="2813"/>
        <w:gridCol w:w="25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Align w:val="center"/>
          </w:tcPr>
          <w:p>
            <w:pPr>
              <w:kinsoku w:val="0"/>
              <w:overflowPunct w:val="0"/>
              <w:autoSpaceDE w:val="0"/>
              <w:autoSpaceDN w:val="0"/>
              <w:adjustRightInd w:val="0"/>
              <w:snapToGrid w:val="0"/>
              <w:jc w:val="center"/>
              <w:textAlignment w:val="center"/>
              <w:rPr>
                <w:kern w:val="0"/>
              </w:rPr>
            </w:pPr>
            <w:r>
              <w:rPr>
                <w:kern w:val="0"/>
              </w:rPr>
              <w:t>序号</w:t>
            </w:r>
          </w:p>
        </w:tc>
        <w:tc>
          <w:tcPr>
            <w:tcW w:w="727" w:type="pct"/>
            <w:gridSpan w:val="2"/>
            <w:vAlign w:val="center"/>
          </w:tcPr>
          <w:p>
            <w:pPr>
              <w:kinsoku w:val="0"/>
              <w:overflowPunct w:val="0"/>
              <w:autoSpaceDE w:val="0"/>
              <w:autoSpaceDN w:val="0"/>
              <w:adjustRightInd w:val="0"/>
              <w:snapToGrid w:val="0"/>
              <w:jc w:val="center"/>
              <w:textAlignment w:val="center"/>
              <w:rPr>
                <w:kern w:val="0"/>
              </w:rPr>
            </w:pPr>
            <w:r>
              <w:rPr>
                <w:kern w:val="0"/>
              </w:rPr>
              <w:t>污染</w:t>
            </w:r>
          </w:p>
        </w:tc>
        <w:tc>
          <w:tcPr>
            <w:tcW w:w="2475" w:type="pct"/>
            <w:gridSpan w:val="2"/>
            <w:vAlign w:val="center"/>
          </w:tcPr>
          <w:p>
            <w:pPr>
              <w:kinsoku w:val="0"/>
              <w:overflowPunct w:val="0"/>
              <w:autoSpaceDE w:val="0"/>
              <w:autoSpaceDN w:val="0"/>
              <w:adjustRightInd w:val="0"/>
              <w:snapToGrid w:val="0"/>
              <w:jc w:val="center"/>
              <w:textAlignment w:val="center"/>
              <w:rPr>
                <w:kern w:val="0"/>
              </w:rPr>
            </w:pPr>
            <w:r>
              <w:rPr>
                <w:kern w:val="0"/>
              </w:rPr>
              <w:t>项目</w:t>
            </w:r>
          </w:p>
        </w:tc>
        <w:tc>
          <w:tcPr>
            <w:tcW w:w="1467" w:type="pct"/>
            <w:vAlign w:val="center"/>
          </w:tcPr>
          <w:p>
            <w:pPr>
              <w:kinsoku w:val="0"/>
              <w:overflowPunct w:val="0"/>
              <w:autoSpaceDE w:val="0"/>
              <w:autoSpaceDN w:val="0"/>
              <w:adjustRightInd w:val="0"/>
              <w:snapToGrid w:val="0"/>
              <w:jc w:val="center"/>
              <w:textAlignment w:val="center"/>
              <w:rPr>
                <w:kern w:val="0"/>
              </w:rPr>
            </w:pPr>
            <w:r>
              <w:rPr>
                <w:kern w:val="0"/>
              </w:rPr>
              <w:t>验收指标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restart"/>
            <w:vAlign w:val="center"/>
          </w:tcPr>
          <w:p>
            <w:pPr>
              <w:kinsoku w:val="0"/>
              <w:overflowPunct w:val="0"/>
              <w:autoSpaceDE w:val="0"/>
              <w:autoSpaceDN w:val="0"/>
              <w:adjustRightInd w:val="0"/>
              <w:snapToGrid w:val="0"/>
              <w:jc w:val="center"/>
              <w:textAlignment w:val="center"/>
              <w:rPr>
                <w:kern w:val="0"/>
              </w:rPr>
            </w:pPr>
            <w:r>
              <w:rPr>
                <w:kern w:val="0"/>
              </w:rPr>
              <w:t>一</w:t>
            </w:r>
          </w:p>
        </w:tc>
        <w:tc>
          <w:tcPr>
            <w:tcW w:w="268" w:type="pct"/>
            <w:vMerge w:val="restart"/>
            <w:vAlign w:val="center"/>
          </w:tcPr>
          <w:p>
            <w:pPr>
              <w:kinsoku w:val="0"/>
              <w:overflowPunct w:val="0"/>
              <w:autoSpaceDE w:val="0"/>
              <w:autoSpaceDN w:val="0"/>
              <w:adjustRightInd w:val="0"/>
              <w:snapToGrid w:val="0"/>
              <w:jc w:val="center"/>
              <w:textAlignment w:val="center"/>
              <w:rPr>
                <w:kern w:val="0"/>
              </w:rPr>
            </w:pPr>
            <w:r>
              <w:rPr>
                <w:kern w:val="0"/>
              </w:rPr>
              <w:t>污染防治</w:t>
            </w:r>
          </w:p>
        </w:tc>
        <w:tc>
          <w:tcPr>
            <w:tcW w:w="459" w:type="pct"/>
            <w:vAlign w:val="center"/>
          </w:tcPr>
          <w:p>
            <w:pPr>
              <w:kinsoku w:val="0"/>
              <w:overflowPunct w:val="0"/>
              <w:autoSpaceDE w:val="0"/>
              <w:autoSpaceDN w:val="0"/>
              <w:adjustRightInd w:val="0"/>
              <w:snapToGrid w:val="0"/>
              <w:textAlignment w:val="center"/>
              <w:rPr>
                <w:kern w:val="0"/>
              </w:rPr>
            </w:pPr>
            <w:r>
              <w:rPr>
                <w:kern w:val="0"/>
              </w:rPr>
              <w:t>废气</w:t>
            </w:r>
          </w:p>
        </w:tc>
        <w:tc>
          <w:tcPr>
            <w:tcW w:w="825" w:type="pct"/>
            <w:tcBorders>
              <w:right w:val="single" w:color="auto" w:sz="4" w:space="0"/>
            </w:tcBorders>
            <w:vAlign w:val="center"/>
          </w:tcPr>
          <w:p>
            <w:pPr>
              <w:kinsoku w:val="0"/>
              <w:overflowPunct w:val="0"/>
              <w:autoSpaceDE w:val="0"/>
              <w:autoSpaceDN w:val="0"/>
              <w:adjustRightInd w:val="0"/>
              <w:snapToGrid w:val="0"/>
              <w:jc w:val="center"/>
              <w:textAlignment w:val="center"/>
              <w:rPr>
                <w:kern w:val="0"/>
              </w:rPr>
            </w:pPr>
            <w:r>
              <w:rPr>
                <w:szCs w:val="21"/>
              </w:rPr>
              <w:t>NH</w:t>
            </w:r>
            <w:r>
              <w:rPr>
                <w:szCs w:val="21"/>
                <w:vertAlign w:val="subscript"/>
              </w:rPr>
              <w:t>3</w:t>
            </w:r>
            <w:r>
              <w:rPr>
                <w:szCs w:val="21"/>
              </w:rPr>
              <w:t>、H</w:t>
            </w:r>
            <w:r>
              <w:rPr>
                <w:szCs w:val="21"/>
                <w:vertAlign w:val="subscript"/>
              </w:rPr>
              <w:t>2</w:t>
            </w:r>
            <w:r>
              <w:rPr>
                <w:szCs w:val="21"/>
              </w:rPr>
              <w:t>S、CH</w:t>
            </w:r>
            <w:r>
              <w:rPr>
                <w:szCs w:val="21"/>
                <w:vertAlign w:val="subscript"/>
              </w:rPr>
              <w:t>4</w:t>
            </w:r>
            <w:r>
              <w:rPr>
                <w:szCs w:val="21"/>
              </w:rPr>
              <w:t>、臭气浓度</w:t>
            </w:r>
            <w:r>
              <w:rPr>
                <w:rFonts w:hint="eastAsia"/>
                <w:szCs w:val="21"/>
              </w:rPr>
              <w:t>、</w:t>
            </w:r>
            <w:r>
              <w:rPr>
                <w:szCs w:val="21"/>
              </w:rPr>
              <w:t>TSP</w:t>
            </w:r>
          </w:p>
        </w:tc>
        <w:tc>
          <w:tcPr>
            <w:tcW w:w="1650" w:type="pct"/>
            <w:tcBorders>
              <w:left w:val="single" w:color="auto" w:sz="4" w:space="0"/>
            </w:tcBorders>
            <w:vAlign w:val="center"/>
          </w:tcPr>
          <w:p>
            <w:pPr>
              <w:kinsoku w:val="0"/>
              <w:overflowPunct w:val="0"/>
              <w:autoSpaceDE w:val="0"/>
              <w:autoSpaceDN w:val="0"/>
              <w:adjustRightInd w:val="0"/>
              <w:snapToGrid w:val="0"/>
              <w:jc w:val="center"/>
              <w:textAlignment w:val="center"/>
              <w:rPr>
                <w:kern w:val="0"/>
              </w:rPr>
            </w:pPr>
            <w:r>
              <w:rPr>
                <w:rFonts w:hint="eastAsia"/>
                <w:kern w:val="0"/>
              </w:rPr>
              <w:t>填埋气体通过导气石笼有序导排。填埋作业时减少垃圾的暴露面积，缩短垃圾暴露时间；及时摊铺、压实、覆盖，定期喷洒消臭、脱臭剂</w:t>
            </w:r>
          </w:p>
        </w:tc>
        <w:tc>
          <w:tcPr>
            <w:tcW w:w="1467" w:type="pct"/>
            <w:vAlign w:val="center"/>
          </w:tcPr>
          <w:p>
            <w:pPr>
              <w:kinsoku w:val="0"/>
              <w:overflowPunct w:val="0"/>
              <w:autoSpaceDE w:val="0"/>
              <w:autoSpaceDN w:val="0"/>
              <w:adjustRightInd w:val="0"/>
              <w:snapToGrid w:val="0"/>
              <w:jc w:val="center"/>
              <w:textAlignment w:val="center"/>
              <w:rPr>
                <w:kern w:val="0"/>
              </w:rPr>
            </w:pPr>
            <w:r>
              <w:rPr>
                <w:szCs w:val="21"/>
              </w:rPr>
              <w:t>《大气污染物综合排放标准》（GB13297-1996）中无组织排放监控浓度限值及《恶臭污染物排放标准》（GB14554-93）中厂界标准值的二级标准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0" w:hRule="atLeast"/>
          <w:jc w:val="center"/>
        </w:trPr>
        <w:tc>
          <w:tcPr>
            <w:tcW w:w="331"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Merge w:val="restart"/>
            <w:vAlign w:val="center"/>
          </w:tcPr>
          <w:p>
            <w:pPr>
              <w:kinsoku w:val="0"/>
              <w:overflowPunct w:val="0"/>
              <w:autoSpaceDE w:val="0"/>
              <w:autoSpaceDN w:val="0"/>
              <w:adjustRightInd w:val="0"/>
              <w:snapToGrid w:val="0"/>
              <w:jc w:val="center"/>
              <w:textAlignment w:val="center"/>
              <w:rPr>
                <w:kern w:val="0"/>
              </w:rPr>
            </w:pPr>
            <w:r>
              <w:rPr>
                <w:kern w:val="0"/>
              </w:rPr>
              <w:t>污水处理</w:t>
            </w:r>
          </w:p>
        </w:tc>
        <w:tc>
          <w:tcPr>
            <w:tcW w:w="825" w:type="pct"/>
            <w:tcBorders>
              <w:right w:val="single" w:color="auto" w:sz="4" w:space="0"/>
            </w:tcBorders>
            <w:vAlign w:val="center"/>
          </w:tcPr>
          <w:p>
            <w:pPr>
              <w:kinsoku w:val="0"/>
              <w:overflowPunct w:val="0"/>
              <w:autoSpaceDE w:val="0"/>
              <w:autoSpaceDN w:val="0"/>
              <w:adjustRightInd w:val="0"/>
              <w:snapToGrid w:val="0"/>
              <w:jc w:val="center"/>
              <w:textAlignment w:val="center"/>
              <w:rPr>
                <w:kern w:val="0"/>
              </w:rPr>
            </w:pPr>
            <w:r>
              <w:rPr>
                <w:kern w:val="0"/>
              </w:rPr>
              <w:t>渗滤液</w:t>
            </w:r>
          </w:p>
        </w:tc>
        <w:tc>
          <w:tcPr>
            <w:tcW w:w="1650" w:type="pct"/>
            <w:tcBorders>
              <w:left w:val="single" w:color="auto" w:sz="4" w:space="0"/>
            </w:tcBorders>
            <w:vAlign w:val="center"/>
          </w:tcPr>
          <w:p>
            <w:pPr>
              <w:kinsoku w:val="0"/>
              <w:overflowPunct w:val="0"/>
              <w:autoSpaceDE w:val="0"/>
              <w:autoSpaceDN w:val="0"/>
              <w:adjustRightInd w:val="0"/>
              <w:snapToGrid w:val="0"/>
              <w:jc w:val="center"/>
              <w:textAlignment w:val="center"/>
              <w:rPr>
                <w:kern w:val="0"/>
              </w:rPr>
            </w:pPr>
            <w:r>
              <w:rPr>
                <w:rFonts w:hint="eastAsia"/>
                <w:kern w:val="0"/>
              </w:rPr>
              <w:t>设置2个渗滤液调节池，分别布置在填埋场北侧及南侧。每个调节池的有效容积为500m</w:t>
            </w:r>
            <w:r>
              <w:rPr>
                <w:rFonts w:hint="eastAsia"/>
                <w:kern w:val="0"/>
                <w:vertAlign w:val="superscript"/>
              </w:rPr>
              <w:t>3</w:t>
            </w:r>
            <w:r>
              <w:rPr>
                <w:rFonts w:hint="eastAsia"/>
                <w:kern w:val="0"/>
              </w:rPr>
              <w:t>，设1座渗滤液处理站，渗滤液处理达标后用于绿化及抑尘</w:t>
            </w:r>
          </w:p>
        </w:tc>
        <w:tc>
          <w:tcPr>
            <w:tcW w:w="1467" w:type="pct"/>
            <w:vMerge w:val="restart"/>
            <w:vAlign w:val="center"/>
          </w:tcPr>
          <w:p>
            <w:pPr>
              <w:kinsoku w:val="0"/>
              <w:overflowPunct w:val="0"/>
              <w:autoSpaceDE w:val="0"/>
              <w:autoSpaceDN w:val="0"/>
              <w:adjustRightInd w:val="0"/>
              <w:snapToGrid w:val="0"/>
              <w:jc w:val="center"/>
              <w:textAlignment w:val="center"/>
              <w:rPr>
                <w:kern w:val="0"/>
              </w:rPr>
            </w:pPr>
            <w:r>
              <w:rPr>
                <w:rFonts w:hint="eastAsia"/>
                <w:kern w:val="0"/>
              </w:rPr>
              <w:t>《生活垃圾填埋场污染控制标准》(GB16889-2008)、</w:t>
            </w:r>
            <w:r>
              <w:rPr>
                <w:rFonts w:hint="eastAsia"/>
                <w:color w:val="FF0000"/>
                <w:kern w:val="0"/>
              </w:rPr>
              <w:t>废水回用参照执行《城市污水再生利用城市杂用水水质》（GB/T18920-2020）城市绿化标准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Merge w:val="continue"/>
            <w:vAlign w:val="center"/>
          </w:tcPr>
          <w:p>
            <w:pPr>
              <w:kinsoku w:val="0"/>
              <w:overflowPunct w:val="0"/>
              <w:autoSpaceDE w:val="0"/>
              <w:autoSpaceDN w:val="0"/>
              <w:adjustRightInd w:val="0"/>
              <w:snapToGrid w:val="0"/>
              <w:jc w:val="center"/>
              <w:textAlignment w:val="center"/>
              <w:rPr>
                <w:kern w:val="0"/>
              </w:rPr>
            </w:pPr>
          </w:p>
        </w:tc>
        <w:tc>
          <w:tcPr>
            <w:tcW w:w="825" w:type="pct"/>
            <w:tcBorders>
              <w:right w:val="single" w:color="auto" w:sz="4" w:space="0"/>
            </w:tcBorders>
            <w:vAlign w:val="center"/>
          </w:tcPr>
          <w:p>
            <w:pPr>
              <w:kinsoku w:val="0"/>
              <w:overflowPunct w:val="0"/>
              <w:autoSpaceDE w:val="0"/>
              <w:autoSpaceDN w:val="0"/>
              <w:adjustRightInd w:val="0"/>
              <w:snapToGrid w:val="0"/>
              <w:jc w:val="center"/>
              <w:textAlignment w:val="center"/>
              <w:rPr>
                <w:kern w:val="0"/>
              </w:rPr>
            </w:pPr>
            <w:r>
              <w:rPr>
                <w:kern w:val="0"/>
              </w:rPr>
              <w:t>生活污水</w:t>
            </w:r>
          </w:p>
        </w:tc>
        <w:tc>
          <w:tcPr>
            <w:tcW w:w="1650" w:type="pct"/>
            <w:tcBorders>
              <w:left w:val="single" w:color="auto" w:sz="4" w:space="0"/>
            </w:tcBorders>
            <w:vAlign w:val="center"/>
          </w:tcPr>
          <w:p>
            <w:pPr>
              <w:kinsoku w:val="0"/>
              <w:overflowPunct w:val="0"/>
              <w:autoSpaceDE w:val="0"/>
              <w:autoSpaceDN w:val="0"/>
              <w:adjustRightInd w:val="0"/>
              <w:snapToGrid w:val="0"/>
              <w:jc w:val="center"/>
              <w:textAlignment w:val="center"/>
              <w:rPr>
                <w:kern w:val="0"/>
              </w:rPr>
            </w:pPr>
            <w:r>
              <w:rPr>
                <w:color w:val="FF0000"/>
                <w:kern w:val="0"/>
              </w:rPr>
              <w:t>化粪池1座，经化粪池收集后</w:t>
            </w:r>
            <w:r>
              <w:rPr>
                <w:rFonts w:hint="eastAsia"/>
                <w:color w:val="FF0000"/>
                <w:szCs w:val="21"/>
              </w:rPr>
              <w:t>进入渗滤液处理站处理</w:t>
            </w:r>
            <w:r>
              <w:rPr>
                <w:color w:val="FF0000"/>
                <w:szCs w:val="21"/>
              </w:rPr>
              <w:t>；</w:t>
            </w:r>
            <w:r>
              <w:rPr>
                <w:szCs w:val="21"/>
              </w:rPr>
              <w:t>化粪池底层和侧壁做防渗处理，防渗系数应小于1.0×10</w:t>
            </w:r>
            <w:r>
              <w:rPr>
                <w:szCs w:val="21"/>
                <w:vertAlign w:val="superscript"/>
              </w:rPr>
              <w:t>-10</w:t>
            </w:r>
            <w:r>
              <w:rPr>
                <w:szCs w:val="21"/>
              </w:rPr>
              <w:t>cm/s，顶部加盖。</w:t>
            </w:r>
          </w:p>
        </w:tc>
        <w:tc>
          <w:tcPr>
            <w:tcW w:w="1467" w:type="pct"/>
            <w:vMerge w:val="continue"/>
            <w:vAlign w:val="center"/>
          </w:tcPr>
          <w:p>
            <w:pPr>
              <w:kinsoku w:val="0"/>
              <w:overflowPunct w:val="0"/>
              <w:autoSpaceDE w:val="0"/>
              <w:autoSpaceDN w:val="0"/>
              <w:adjustRightInd w:val="0"/>
              <w:snapToGrid w:val="0"/>
              <w:jc w:val="center"/>
              <w:textAlignment w:val="center"/>
              <w:rPr>
                <w:kern w:val="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Merge w:val="continue"/>
            <w:vAlign w:val="center"/>
          </w:tcPr>
          <w:p>
            <w:pPr>
              <w:kinsoku w:val="0"/>
              <w:overflowPunct w:val="0"/>
              <w:autoSpaceDE w:val="0"/>
              <w:autoSpaceDN w:val="0"/>
              <w:adjustRightInd w:val="0"/>
              <w:snapToGrid w:val="0"/>
              <w:jc w:val="center"/>
              <w:textAlignment w:val="center"/>
              <w:rPr>
                <w:kern w:val="0"/>
              </w:rPr>
            </w:pPr>
          </w:p>
        </w:tc>
        <w:tc>
          <w:tcPr>
            <w:tcW w:w="825" w:type="pct"/>
            <w:tcBorders>
              <w:right w:val="single" w:color="auto" w:sz="4" w:space="0"/>
            </w:tcBorders>
            <w:vAlign w:val="center"/>
          </w:tcPr>
          <w:p>
            <w:pPr>
              <w:kinsoku w:val="0"/>
              <w:overflowPunct w:val="0"/>
              <w:autoSpaceDE w:val="0"/>
              <w:autoSpaceDN w:val="0"/>
              <w:adjustRightInd w:val="0"/>
              <w:snapToGrid w:val="0"/>
              <w:jc w:val="center"/>
              <w:textAlignment w:val="center"/>
              <w:rPr>
                <w:color w:val="548235" w:themeColor="accent6" w:themeShade="BF"/>
                <w:kern w:val="0"/>
              </w:rPr>
            </w:pPr>
            <w:r>
              <w:rPr>
                <w:rFonts w:hint="eastAsia"/>
                <w:color w:val="548235" w:themeColor="accent6" w:themeShade="BF"/>
                <w:kern w:val="0"/>
              </w:rPr>
              <w:t>反渗透膜冲洗废水</w:t>
            </w:r>
          </w:p>
        </w:tc>
        <w:tc>
          <w:tcPr>
            <w:tcW w:w="1650" w:type="pct"/>
            <w:tcBorders>
              <w:left w:val="single" w:color="auto" w:sz="4" w:space="0"/>
            </w:tcBorders>
            <w:vAlign w:val="center"/>
          </w:tcPr>
          <w:p>
            <w:pPr>
              <w:kinsoku w:val="0"/>
              <w:overflowPunct w:val="0"/>
              <w:autoSpaceDE w:val="0"/>
              <w:autoSpaceDN w:val="0"/>
              <w:adjustRightInd w:val="0"/>
              <w:snapToGrid w:val="0"/>
              <w:jc w:val="center"/>
              <w:textAlignment w:val="center"/>
              <w:rPr>
                <w:color w:val="548235" w:themeColor="accent6" w:themeShade="BF"/>
                <w:kern w:val="0"/>
              </w:rPr>
            </w:pPr>
            <w:r>
              <w:rPr>
                <w:rFonts w:hint="eastAsia"/>
                <w:color w:val="548235" w:themeColor="accent6" w:themeShade="BF"/>
                <w:kern w:val="0"/>
              </w:rPr>
              <w:t>排入渗滤液处理站处理，废水处理达标后用于绿化、填埋场洒水抑尘等。</w:t>
            </w:r>
          </w:p>
        </w:tc>
        <w:tc>
          <w:tcPr>
            <w:tcW w:w="1467" w:type="pct"/>
            <w:vMerge w:val="continue"/>
            <w:vAlign w:val="center"/>
          </w:tcPr>
          <w:p>
            <w:pPr>
              <w:kinsoku w:val="0"/>
              <w:overflowPunct w:val="0"/>
              <w:autoSpaceDE w:val="0"/>
              <w:autoSpaceDN w:val="0"/>
              <w:adjustRightInd w:val="0"/>
              <w:snapToGrid w:val="0"/>
              <w:jc w:val="center"/>
              <w:textAlignment w:val="center"/>
              <w:rPr>
                <w:kern w:val="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Merge w:val="restart"/>
            <w:vAlign w:val="center"/>
          </w:tcPr>
          <w:p>
            <w:pPr>
              <w:kinsoku w:val="0"/>
              <w:overflowPunct w:val="0"/>
              <w:autoSpaceDE w:val="0"/>
              <w:autoSpaceDN w:val="0"/>
              <w:adjustRightInd w:val="0"/>
              <w:snapToGrid w:val="0"/>
              <w:jc w:val="center"/>
              <w:textAlignment w:val="center"/>
              <w:rPr>
                <w:kern w:val="0"/>
              </w:rPr>
            </w:pPr>
            <w:r>
              <w:rPr>
                <w:kern w:val="0"/>
              </w:rPr>
              <w:t>固废</w:t>
            </w:r>
          </w:p>
        </w:tc>
        <w:tc>
          <w:tcPr>
            <w:tcW w:w="825" w:type="pct"/>
            <w:tcBorders>
              <w:right w:val="single" w:color="auto" w:sz="4" w:space="0"/>
            </w:tcBorders>
            <w:vAlign w:val="center"/>
          </w:tcPr>
          <w:p>
            <w:pPr>
              <w:kinsoku w:val="0"/>
              <w:overflowPunct w:val="0"/>
              <w:autoSpaceDE w:val="0"/>
              <w:autoSpaceDN w:val="0"/>
              <w:adjustRightInd w:val="0"/>
              <w:snapToGrid w:val="0"/>
              <w:jc w:val="center"/>
              <w:rPr>
                <w:szCs w:val="21"/>
              </w:rPr>
            </w:pPr>
            <w:r>
              <w:rPr>
                <w:szCs w:val="21"/>
              </w:rPr>
              <w:t>生活垃圾处理</w:t>
            </w:r>
          </w:p>
        </w:tc>
        <w:tc>
          <w:tcPr>
            <w:tcW w:w="1650" w:type="pct"/>
            <w:tcBorders>
              <w:left w:val="single" w:color="auto" w:sz="4" w:space="0"/>
            </w:tcBorders>
            <w:vAlign w:val="center"/>
          </w:tcPr>
          <w:p>
            <w:pPr>
              <w:kinsoku w:val="0"/>
              <w:overflowPunct w:val="0"/>
              <w:autoSpaceDE w:val="0"/>
              <w:autoSpaceDN w:val="0"/>
              <w:adjustRightInd w:val="0"/>
              <w:snapToGrid w:val="0"/>
              <w:jc w:val="center"/>
              <w:rPr>
                <w:szCs w:val="21"/>
              </w:rPr>
            </w:pPr>
            <w:r>
              <w:rPr>
                <w:szCs w:val="21"/>
              </w:rPr>
              <w:t>设置垃圾箱3个，</w:t>
            </w:r>
            <w:r>
              <w:rPr>
                <w:kern w:val="0"/>
              </w:rPr>
              <w:t>生活垃圾集中收集后排入填埋区填埋</w:t>
            </w:r>
          </w:p>
        </w:tc>
        <w:tc>
          <w:tcPr>
            <w:tcW w:w="1467" w:type="pct"/>
            <w:vMerge w:val="restart"/>
            <w:vAlign w:val="center"/>
          </w:tcPr>
          <w:p>
            <w:pPr>
              <w:kinsoku w:val="0"/>
              <w:overflowPunct w:val="0"/>
              <w:autoSpaceDE w:val="0"/>
              <w:autoSpaceDN w:val="0"/>
              <w:adjustRightInd w:val="0"/>
              <w:snapToGrid w:val="0"/>
              <w:jc w:val="center"/>
              <w:textAlignment w:val="center"/>
              <w:rPr>
                <w:kern w:val="0"/>
              </w:rPr>
            </w:pPr>
            <w:r>
              <w:rPr>
                <w:szCs w:val="21"/>
              </w:rPr>
              <w:t>生活垃圾处置参照《生活垃圾填埋场污染控制标准》（</w:t>
            </w:r>
            <w:r>
              <w:rPr>
                <w:bCs/>
                <w:szCs w:val="21"/>
              </w:rPr>
              <w:t>GB16889-2008</w:t>
            </w:r>
            <w:r>
              <w:rPr>
                <w:szCs w:val="21"/>
              </w:rPr>
              <w:t>）中要求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Merge w:val="continue"/>
            <w:vAlign w:val="center"/>
          </w:tcPr>
          <w:p>
            <w:pPr>
              <w:kinsoku w:val="0"/>
              <w:overflowPunct w:val="0"/>
              <w:autoSpaceDE w:val="0"/>
              <w:autoSpaceDN w:val="0"/>
              <w:adjustRightInd w:val="0"/>
              <w:snapToGrid w:val="0"/>
              <w:jc w:val="center"/>
              <w:textAlignment w:val="center"/>
              <w:rPr>
                <w:kern w:val="0"/>
              </w:rPr>
            </w:pPr>
          </w:p>
        </w:tc>
        <w:tc>
          <w:tcPr>
            <w:tcW w:w="825" w:type="pct"/>
            <w:tcBorders>
              <w:right w:val="single" w:color="auto" w:sz="4" w:space="0"/>
            </w:tcBorders>
            <w:vAlign w:val="center"/>
          </w:tcPr>
          <w:p>
            <w:pPr>
              <w:kinsoku w:val="0"/>
              <w:overflowPunct w:val="0"/>
              <w:autoSpaceDE w:val="0"/>
              <w:autoSpaceDN w:val="0"/>
              <w:adjustRightInd w:val="0"/>
              <w:snapToGrid w:val="0"/>
              <w:jc w:val="center"/>
              <w:rPr>
                <w:szCs w:val="21"/>
              </w:rPr>
            </w:pPr>
            <w:r>
              <w:rPr>
                <w:rFonts w:hint="eastAsia"/>
                <w:szCs w:val="21"/>
              </w:rPr>
              <w:t>污泥</w:t>
            </w:r>
          </w:p>
        </w:tc>
        <w:tc>
          <w:tcPr>
            <w:tcW w:w="1650" w:type="pct"/>
            <w:tcBorders>
              <w:left w:val="single" w:color="auto" w:sz="4" w:space="0"/>
            </w:tcBorders>
            <w:vAlign w:val="center"/>
          </w:tcPr>
          <w:p>
            <w:pPr>
              <w:kinsoku w:val="0"/>
              <w:overflowPunct w:val="0"/>
              <w:autoSpaceDE w:val="0"/>
              <w:autoSpaceDN w:val="0"/>
              <w:adjustRightInd w:val="0"/>
              <w:snapToGrid w:val="0"/>
              <w:jc w:val="center"/>
              <w:rPr>
                <w:szCs w:val="21"/>
              </w:rPr>
            </w:pPr>
            <w:r>
              <w:rPr>
                <w:rFonts w:hint="eastAsia"/>
                <w:szCs w:val="21"/>
              </w:rPr>
              <w:t>渗滤液调节池污泥经板框压滤机脱水后含水率小于60%，运至生活垃圾填埋库区填埋。</w:t>
            </w:r>
          </w:p>
        </w:tc>
        <w:tc>
          <w:tcPr>
            <w:tcW w:w="1467" w:type="pct"/>
            <w:vMerge w:val="continue"/>
            <w:vAlign w:val="center"/>
          </w:tcPr>
          <w:p>
            <w:pPr>
              <w:kinsoku w:val="0"/>
              <w:overflowPunct w:val="0"/>
              <w:autoSpaceDE w:val="0"/>
              <w:autoSpaceDN w:val="0"/>
              <w:adjustRightInd w:val="0"/>
              <w:snapToGrid w:val="0"/>
              <w:jc w:val="center"/>
              <w:textAlignment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Merge w:val="continue"/>
            <w:vAlign w:val="center"/>
          </w:tcPr>
          <w:p>
            <w:pPr>
              <w:kinsoku w:val="0"/>
              <w:overflowPunct w:val="0"/>
              <w:autoSpaceDE w:val="0"/>
              <w:autoSpaceDN w:val="0"/>
              <w:adjustRightInd w:val="0"/>
              <w:snapToGrid w:val="0"/>
              <w:jc w:val="center"/>
              <w:textAlignment w:val="center"/>
              <w:rPr>
                <w:kern w:val="0"/>
              </w:rPr>
            </w:pPr>
          </w:p>
        </w:tc>
        <w:tc>
          <w:tcPr>
            <w:tcW w:w="825" w:type="pct"/>
            <w:tcBorders>
              <w:right w:val="single" w:color="auto" w:sz="4" w:space="0"/>
            </w:tcBorders>
            <w:vAlign w:val="center"/>
          </w:tcPr>
          <w:p>
            <w:pPr>
              <w:kinsoku w:val="0"/>
              <w:overflowPunct w:val="0"/>
              <w:autoSpaceDE w:val="0"/>
              <w:autoSpaceDN w:val="0"/>
              <w:adjustRightInd w:val="0"/>
              <w:snapToGrid w:val="0"/>
              <w:jc w:val="center"/>
              <w:rPr>
                <w:color w:val="FF0000"/>
                <w:szCs w:val="21"/>
              </w:rPr>
            </w:pPr>
            <w:r>
              <w:rPr>
                <w:rFonts w:hint="eastAsia"/>
                <w:color w:val="FF0000"/>
                <w:szCs w:val="21"/>
              </w:rPr>
              <w:t>废旧反渗透膜</w:t>
            </w:r>
          </w:p>
        </w:tc>
        <w:tc>
          <w:tcPr>
            <w:tcW w:w="1650" w:type="pct"/>
            <w:tcBorders>
              <w:left w:val="single" w:color="auto" w:sz="4" w:space="0"/>
            </w:tcBorders>
            <w:vAlign w:val="center"/>
          </w:tcPr>
          <w:p>
            <w:pPr>
              <w:kinsoku w:val="0"/>
              <w:overflowPunct w:val="0"/>
              <w:autoSpaceDE w:val="0"/>
              <w:autoSpaceDN w:val="0"/>
              <w:adjustRightInd w:val="0"/>
              <w:snapToGrid w:val="0"/>
              <w:jc w:val="center"/>
              <w:rPr>
                <w:color w:val="FF0000"/>
                <w:szCs w:val="21"/>
              </w:rPr>
            </w:pPr>
            <w:r>
              <w:rPr>
                <w:rFonts w:hint="eastAsia"/>
                <w:color w:val="FF0000"/>
                <w:szCs w:val="21"/>
              </w:rPr>
              <w:t>渗滤液处理站处理过程产生的废旧反渗透膜，由厂家定期更换回收，不在项目区存储</w:t>
            </w:r>
          </w:p>
        </w:tc>
        <w:tc>
          <w:tcPr>
            <w:tcW w:w="1467" w:type="pct"/>
            <w:vAlign w:val="center"/>
          </w:tcPr>
          <w:p>
            <w:pPr>
              <w:kinsoku w:val="0"/>
              <w:overflowPunct w:val="0"/>
              <w:autoSpaceDE w:val="0"/>
              <w:autoSpaceDN w:val="0"/>
              <w:adjustRightInd w:val="0"/>
              <w:snapToGrid w:val="0"/>
              <w:jc w:val="center"/>
              <w:textAlignment w:val="center"/>
              <w:rPr>
                <w:color w:val="FF0000"/>
                <w:szCs w:val="21"/>
              </w:rPr>
            </w:pPr>
            <w:r>
              <w:rPr>
                <w:rFonts w:hint="eastAsia"/>
                <w:color w:val="FF0000"/>
                <w:szCs w:val="21"/>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Align w:val="center"/>
          </w:tcPr>
          <w:p>
            <w:pPr>
              <w:kinsoku w:val="0"/>
              <w:overflowPunct w:val="0"/>
              <w:autoSpaceDE w:val="0"/>
              <w:autoSpaceDN w:val="0"/>
              <w:adjustRightInd w:val="0"/>
              <w:snapToGrid w:val="0"/>
              <w:textAlignment w:val="center"/>
              <w:rPr>
                <w:kern w:val="0"/>
              </w:rPr>
            </w:pPr>
            <w:r>
              <w:rPr>
                <w:kern w:val="0"/>
              </w:rPr>
              <w:t>噪声治理</w:t>
            </w:r>
          </w:p>
        </w:tc>
        <w:tc>
          <w:tcPr>
            <w:tcW w:w="825" w:type="pct"/>
            <w:vAlign w:val="center"/>
          </w:tcPr>
          <w:p>
            <w:pPr>
              <w:kinsoku w:val="0"/>
              <w:overflowPunct w:val="0"/>
              <w:autoSpaceDE w:val="0"/>
              <w:autoSpaceDN w:val="0"/>
              <w:adjustRightInd w:val="0"/>
              <w:snapToGrid w:val="0"/>
              <w:jc w:val="center"/>
              <w:textAlignment w:val="center"/>
              <w:rPr>
                <w:kern w:val="0"/>
              </w:rPr>
            </w:pPr>
            <w:r>
              <w:rPr>
                <w:kern w:val="0"/>
              </w:rPr>
              <w:t>噪声</w:t>
            </w:r>
          </w:p>
        </w:tc>
        <w:tc>
          <w:tcPr>
            <w:tcW w:w="1650" w:type="pct"/>
            <w:vAlign w:val="center"/>
          </w:tcPr>
          <w:p>
            <w:pPr>
              <w:kinsoku w:val="0"/>
              <w:overflowPunct w:val="0"/>
              <w:autoSpaceDE w:val="0"/>
              <w:autoSpaceDN w:val="0"/>
              <w:adjustRightInd w:val="0"/>
              <w:snapToGrid w:val="0"/>
              <w:rPr>
                <w:szCs w:val="21"/>
              </w:rPr>
            </w:pPr>
            <w:r>
              <w:rPr>
                <w:rFonts w:hint="eastAsia"/>
                <w:spacing w:val="8"/>
                <w:szCs w:val="21"/>
              </w:rPr>
              <w:t>选用低噪声设备、安装减震垫、合理安排时间，避免夜间生产</w:t>
            </w:r>
          </w:p>
        </w:tc>
        <w:tc>
          <w:tcPr>
            <w:tcW w:w="1467" w:type="pct"/>
            <w:vAlign w:val="center"/>
          </w:tcPr>
          <w:p>
            <w:pPr>
              <w:kinsoku w:val="0"/>
              <w:overflowPunct w:val="0"/>
              <w:autoSpaceDE w:val="0"/>
              <w:autoSpaceDN w:val="0"/>
              <w:adjustRightInd w:val="0"/>
              <w:snapToGrid w:val="0"/>
              <w:jc w:val="center"/>
              <w:textAlignment w:val="center"/>
              <w:rPr>
                <w:kern w:val="0"/>
                <w:szCs w:val="21"/>
              </w:rPr>
            </w:pPr>
            <w:r>
              <w:rPr>
                <w:szCs w:val="21"/>
              </w:rPr>
              <w:t>《声环境质量标准》（GB3096-2008）2类区标准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Align w:val="center"/>
          </w:tcPr>
          <w:p>
            <w:pPr>
              <w:kinsoku w:val="0"/>
              <w:overflowPunct w:val="0"/>
              <w:autoSpaceDE w:val="0"/>
              <w:autoSpaceDN w:val="0"/>
              <w:adjustRightInd w:val="0"/>
              <w:snapToGrid w:val="0"/>
              <w:textAlignment w:val="center"/>
              <w:rPr>
                <w:kern w:val="0"/>
              </w:rPr>
            </w:pPr>
            <w:r>
              <w:rPr>
                <w:kern w:val="0"/>
              </w:rPr>
              <w:t>绿化</w:t>
            </w:r>
          </w:p>
        </w:tc>
        <w:tc>
          <w:tcPr>
            <w:tcW w:w="825" w:type="pct"/>
            <w:vAlign w:val="center"/>
          </w:tcPr>
          <w:p>
            <w:pPr>
              <w:kinsoku w:val="0"/>
              <w:overflowPunct w:val="0"/>
              <w:autoSpaceDE w:val="0"/>
              <w:autoSpaceDN w:val="0"/>
              <w:adjustRightInd w:val="0"/>
              <w:snapToGrid w:val="0"/>
              <w:jc w:val="center"/>
              <w:textAlignment w:val="center"/>
              <w:rPr>
                <w:kern w:val="0"/>
              </w:rPr>
            </w:pPr>
            <w:r>
              <w:rPr>
                <w:kern w:val="0"/>
              </w:rPr>
              <w:t>植被恢复</w:t>
            </w:r>
          </w:p>
        </w:tc>
        <w:tc>
          <w:tcPr>
            <w:tcW w:w="1650" w:type="pct"/>
            <w:vAlign w:val="center"/>
          </w:tcPr>
          <w:p>
            <w:pPr>
              <w:kinsoku w:val="0"/>
              <w:overflowPunct w:val="0"/>
              <w:autoSpaceDE w:val="0"/>
              <w:autoSpaceDN w:val="0"/>
              <w:adjustRightInd w:val="0"/>
              <w:snapToGrid w:val="0"/>
              <w:jc w:val="center"/>
              <w:rPr>
                <w:spacing w:val="8"/>
                <w:szCs w:val="21"/>
              </w:rPr>
            </w:pPr>
            <w:r>
              <w:rPr>
                <w:rFonts w:hint="eastAsia"/>
                <w:spacing w:val="8"/>
                <w:szCs w:val="21"/>
              </w:rPr>
              <w:t>四周设置绿化隔离带、办公区空地绿化</w:t>
            </w:r>
          </w:p>
        </w:tc>
        <w:tc>
          <w:tcPr>
            <w:tcW w:w="1467" w:type="pct"/>
            <w:vAlign w:val="center"/>
          </w:tcPr>
          <w:p>
            <w:pPr>
              <w:kinsoku w:val="0"/>
              <w:overflowPunct w:val="0"/>
              <w:autoSpaceDE w:val="0"/>
              <w:autoSpaceDN w:val="0"/>
              <w:adjustRightInd w:val="0"/>
              <w:snapToGrid w:val="0"/>
              <w:jc w:val="center"/>
              <w:textAlignment w:val="center"/>
              <w:rPr>
                <w:szCs w:val="21"/>
              </w:rPr>
            </w:pPr>
            <w:r>
              <w:rPr>
                <w:szCs w:val="21"/>
              </w:rPr>
              <w:t>《生活垃圾卫生填埋场封场技术规</w:t>
            </w:r>
            <w:r>
              <w:rPr>
                <w:rFonts w:hint="eastAsia"/>
                <w:szCs w:val="21"/>
              </w:rPr>
              <w:t>范</w:t>
            </w:r>
            <w:r>
              <w:rPr>
                <w:szCs w:val="21"/>
              </w:rPr>
              <w:t>》（GB51220-2017）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restart"/>
            <w:vAlign w:val="center"/>
          </w:tcPr>
          <w:p>
            <w:pPr>
              <w:kinsoku w:val="0"/>
              <w:overflowPunct w:val="0"/>
              <w:autoSpaceDE w:val="0"/>
              <w:autoSpaceDN w:val="0"/>
              <w:adjustRightInd w:val="0"/>
              <w:snapToGrid w:val="0"/>
              <w:jc w:val="center"/>
              <w:textAlignment w:val="center"/>
              <w:rPr>
                <w:kern w:val="0"/>
              </w:rPr>
            </w:pPr>
            <w:r>
              <w:rPr>
                <w:kern w:val="0"/>
              </w:rPr>
              <w:t>二</w:t>
            </w:r>
          </w:p>
        </w:tc>
        <w:tc>
          <w:tcPr>
            <w:tcW w:w="268" w:type="pct"/>
            <w:vMerge w:val="restart"/>
            <w:vAlign w:val="center"/>
          </w:tcPr>
          <w:p>
            <w:pPr>
              <w:kinsoku w:val="0"/>
              <w:overflowPunct w:val="0"/>
              <w:autoSpaceDE w:val="0"/>
              <w:autoSpaceDN w:val="0"/>
              <w:adjustRightInd w:val="0"/>
              <w:snapToGrid w:val="0"/>
              <w:jc w:val="center"/>
              <w:textAlignment w:val="center"/>
              <w:rPr>
                <w:kern w:val="0"/>
              </w:rPr>
            </w:pPr>
            <w:r>
              <w:rPr>
                <w:kern w:val="0"/>
              </w:rPr>
              <w:t>环境管理</w:t>
            </w:r>
          </w:p>
        </w:tc>
        <w:tc>
          <w:tcPr>
            <w:tcW w:w="459" w:type="pct"/>
            <w:vAlign w:val="center"/>
          </w:tcPr>
          <w:p>
            <w:pPr>
              <w:kinsoku w:val="0"/>
              <w:overflowPunct w:val="0"/>
              <w:autoSpaceDE w:val="0"/>
              <w:autoSpaceDN w:val="0"/>
              <w:adjustRightInd w:val="0"/>
              <w:snapToGrid w:val="0"/>
              <w:jc w:val="center"/>
              <w:textAlignment w:val="center"/>
              <w:rPr>
                <w:kern w:val="0"/>
              </w:rPr>
            </w:pPr>
            <w:r>
              <w:rPr>
                <w:kern w:val="0"/>
              </w:rPr>
              <w:t>环境管理</w:t>
            </w:r>
          </w:p>
        </w:tc>
        <w:tc>
          <w:tcPr>
            <w:tcW w:w="2475" w:type="pct"/>
            <w:gridSpan w:val="2"/>
            <w:vAlign w:val="center"/>
          </w:tcPr>
          <w:p>
            <w:pPr>
              <w:kinsoku w:val="0"/>
              <w:overflowPunct w:val="0"/>
              <w:autoSpaceDE w:val="0"/>
              <w:autoSpaceDN w:val="0"/>
              <w:adjustRightInd w:val="0"/>
              <w:snapToGrid w:val="0"/>
              <w:textAlignment w:val="center"/>
              <w:rPr>
                <w:kern w:val="0"/>
              </w:rPr>
            </w:pPr>
            <w:r>
              <w:rPr>
                <w:szCs w:val="21"/>
              </w:rPr>
              <w:t>设置环保机构，建立健全各项环境管理制度，制定工作计划，提出管理要求</w:t>
            </w:r>
          </w:p>
        </w:tc>
        <w:tc>
          <w:tcPr>
            <w:tcW w:w="1467" w:type="pct"/>
            <w:vMerge w:val="restart"/>
            <w:vAlign w:val="center"/>
          </w:tcPr>
          <w:p>
            <w:pPr>
              <w:kinsoku w:val="0"/>
              <w:overflowPunct w:val="0"/>
              <w:autoSpaceDE w:val="0"/>
              <w:autoSpaceDN w:val="0"/>
              <w:adjustRightInd w:val="0"/>
              <w:snapToGrid w:val="0"/>
              <w:jc w:val="center"/>
              <w:rPr>
                <w:szCs w:val="21"/>
              </w:rPr>
            </w:pPr>
            <w:r>
              <w:rPr>
                <w:szCs w:val="21"/>
              </w:rPr>
              <w:t>《生活垃圾填埋污染控制标准》（GB16889-2008）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Merge w:val="continue"/>
            <w:vAlign w:val="center"/>
          </w:tcPr>
          <w:p>
            <w:pPr>
              <w:kinsoku w:val="0"/>
              <w:overflowPunct w:val="0"/>
              <w:autoSpaceDE w:val="0"/>
              <w:autoSpaceDN w:val="0"/>
              <w:adjustRightInd w:val="0"/>
              <w:snapToGrid w:val="0"/>
              <w:jc w:val="center"/>
              <w:textAlignment w:val="center"/>
              <w:rPr>
                <w:kern w:val="0"/>
              </w:rPr>
            </w:pPr>
          </w:p>
        </w:tc>
        <w:tc>
          <w:tcPr>
            <w:tcW w:w="268" w:type="pct"/>
            <w:vMerge w:val="continue"/>
            <w:vAlign w:val="center"/>
          </w:tcPr>
          <w:p>
            <w:pPr>
              <w:kinsoku w:val="0"/>
              <w:overflowPunct w:val="0"/>
              <w:autoSpaceDE w:val="0"/>
              <w:autoSpaceDN w:val="0"/>
              <w:adjustRightInd w:val="0"/>
              <w:snapToGrid w:val="0"/>
              <w:jc w:val="center"/>
              <w:textAlignment w:val="center"/>
              <w:rPr>
                <w:kern w:val="0"/>
              </w:rPr>
            </w:pPr>
          </w:p>
        </w:tc>
        <w:tc>
          <w:tcPr>
            <w:tcW w:w="459" w:type="pct"/>
            <w:vAlign w:val="center"/>
          </w:tcPr>
          <w:p>
            <w:pPr>
              <w:kinsoku w:val="0"/>
              <w:overflowPunct w:val="0"/>
              <w:autoSpaceDE w:val="0"/>
              <w:autoSpaceDN w:val="0"/>
              <w:adjustRightInd w:val="0"/>
              <w:snapToGrid w:val="0"/>
              <w:jc w:val="center"/>
              <w:textAlignment w:val="center"/>
              <w:rPr>
                <w:kern w:val="0"/>
              </w:rPr>
            </w:pPr>
            <w:r>
              <w:rPr>
                <w:kern w:val="0"/>
              </w:rPr>
              <w:t>环境监测</w:t>
            </w:r>
          </w:p>
        </w:tc>
        <w:tc>
          <w:tcPr>
            <w:tcW w:w="2475" w:type="pct"/>
            <w:gridSpan w:val="2"/>
            <w:vAlign w:val="center"/>
          </w:tcPr>
          <w:p>
            <w:pPr>
              <w:kinsoku w:val="0"/>
              <w:overflowPunct w:val="0"/>
              <w:autoSpaceDE w:val="0"/>
              <w:autoSpaceDN w:val="0"/>
              <w:adjustRightInd w:val="0"/>
              <w:snapToGrid w:val="0"/>
              <w:jc w:val="center"/>
              <w:textAlignment w:val="center"/>
              <w:rPr>
                <w:kern w:val="0"/>
              </w:rPr>
            </w:pPr>
            <w:r>
              <w:rPr>
                <w:szCs w:val="21"/>
              </w:rPr>
              <w:t>企业委托当地监测站，定期对厂区环境质量进行监测；及时掌握工程运行情况，及时反馈、及时解决；配合环保部门做好环境监管工作</w:t>
            </w:r>
          </w:p>
        </w:tc>
        <w:tc>
          <w:tcPr>
            <w:tcW w:w="1467" w:type="pct"/>
            <w:vMerge w:val="continue"/>
            <w:vAlign w:val="center"/>
          </w:tcPr>
          <w:p>
            <w:pPr>
              <w:kinsoku w:val="0"/>
              <w:overflowPunct w:val="0"/>
              <w:autoSpaceDE w:val="0"/>
              <w:autoSpaceDN w:val="0"/>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30" w:type="pct"/>
            <w:vAlign w:val="center"/>
          </w:tcPr>
          <w:p>
            <w:pPr>
              <w:kinsoku w:val="0"/>
              <w:overflowPunct w:val="0"/>
              <w:autoSpaceDE w:val="0"/>
              <w:autoSpaceDN w:val="0"/>
              <w:adjustRightInd w:val="0"/>
              <w:snapToGrid w:val="0"/>
              <w:jc w:val="center"/>
              <w:textAlignment w:val="center"/>
              <w:rPr>
                <w:color w:val="FF0000"/>
                <w:kern w:val="0"/>
              </w:rPr>
            </w:pPr>
            <w:r>
              <w:rPr>
                <w:rFonts w:hint="eastAsia"/>
                <w:color w:val="FF0000"/>
                <w:kern w:val="0"/>
              </w:rPr>
              <w:t>三</w:t>
            </w:r>
          </w:p>
        </w:tc>
        <w:tc>
          <w:tcPr>
            <w:tcW w:w="727" w:type="pct"/>
            <w:gridSpan w:val="2"/>
            <w:vAlign w:val="center"/>
          </w:tcPr>
          <w:p>
            <w:pPr>
              <w:kinsoku w:val="0"/>
              <w:overflowPunct w:val="0"/>
              <w:autoSpaceDE w:val="0"/>
              <w:autoSpaceDN w:val="0"/>
              <w:adjustRightInd w:val="0"/>
              <w:snapToGrid w:val="0"/>
              <w:jc w:val="center"/>
              <w:textAlignment w:val="center"/>
              <w:rPr>
                <w:color w:val="FF0000"/>
                <w:kern w:val="0"/>
              </w:rPr>
            </w:pPr>
            <w:r>
              <w:rPr>
                <w:rFonts w:hint="eastAsia"/>
                <w:color w:val="FF0000"/>
                <w:kern w:val="0"/>
              </w:rPr>
              <w:t>环境风险</w:t>
            </w:r>
          </w:p>
        </w:tc>
        <w:tc>
          <w:tcPr>
            <w:tcW w:w="2475" w:type="pct"/>
            <w:gridSpan w:val="2"/>
            <w:vAlign w:val="center"/>
          </w:tcPr>
          <w:p>
            <w:pPr>
              <w:kinsoku w:val="0"/>
              <w:overflowPunct w:val="0"/>
              <w:autoSpaceDE w:val="0"/>
              <w:autoSpaceDN w:val="0"/>
              <w:adjustRightInd w:val="0"/>
              <w:snapToGrid w:val="0"/>
              <w:jc w:val="center"/>
              <w:textAlignment w:val="center"/>
              <w:rPr>
                <w:color w:val="FF0000"/>
                <w:szCs w:val="21"/>
              </w:rPr>
            </w:pPr>
            <w:r>
              <w:rPr>
                <w:rFonts w:hint="eastAsia"/>
                <w:color w:val="FF0000"/>
                <w:szCs w:val="21"/>
              </w:rPr>
              <w:t>制定环境风险事故应急预案、灭火器等环境风险应急设施。</w:t>
            </w:r>
          </w:p>
        </w:tc>
        <w:tc>
          <w:tcPr>
            <w:tcW w:w="1467" w:type="pct"/>
            <w:vAlign w:val="center"/>
          </w:tcPr>
          <w:p>
            <w:pPr>
              <w:kinsoku w:val="0"/>
              <w:overflowPunct w:val="0"/>
              <w:autoSpaceDE w:val="0"/>
              <w:autoSpaceDN w:val="0"/>
              <w:adjustRightInd w:val="0"/>
              <w:snapToGrid w:val="0"/>
              <w:jc w:val="center"/>
              <w:rPr>
                <w:color w:val="FF0000"/>
                <w:szCs w:val="21"/>
              </w:rPr>
            </w:pPr>
            <w:r>
              <w:rPr>
                <w:rFonts w:hint="eastAsia" w:ascii="宋体" w:cs="宋体"/>
                <w:color w:val="FF0000"/>
                <w:kern w:val="0"/>
                <w:szCs w:val="21"/>
              </w:rPr>
              <w:t>环境风险事故应急预案到当地生态环境主管部门备案</w:t>
            </w:r>
          </w:p>
        </w:tc>
      </w:tr>
    </w:tbl>
    <w:p>
      <w:pPr>
        <w:pStyle w:val="347"/>
        <w:keepNext w:val="0"/>
        <w:topLinePunct w:val="0"/>
        <w:spacing w:before="0" w:after="0" w:line="360" w:lineRule="auto"/>
        <w:outlineLvl w:val="9"/>
        <w:rPr>
          <w:rFonts w:cs="Times New Roman"/>
          <w:b w:val="0"/>
          <w:sz w:val="24"/>
          <w:szCs w:val="24"/>
        </w:rPr>
      </w:pPr>
    </w:p>
    <w:p>
      <w:pPr>
        <w:pStyle w:val="3"/>
        <w:adjustRightInd w:val="0"/>
        <w:snapToGrid w:val="0"/>
        <w:spacing w:before="0" w:after="0" w:line="360" w:lineRule="auto"/>
        <w:rPr>
          <w:rFonts w:ascii="Times New Roman" w:hAnsi="Times New Roman" w:eastAsia="宋体"/>
          <w:szCs w:val="28"/>
        </w:rPr>
      </w:pPr>
      <w:bookmarkStart w:id="772" w:name="_Toc143762407"/>
      <w:r>
        <w:rPr>
          <w:rFonts w:ascii="Times New Roman" w:hAnsi="Times New Roman" w:eastAsia="宋体"/>
          <w:szCs w:val="28"/>
        </w:rPr>
        <w:t>10.4</w:t>
      </w:r>
      <w:r>
        <w:rPr>
          <w:rFonts w:hint="eastAsia" w:ascii="Times New Roman" w:hAnsi="Times New Roman" w:eastAsia="宋体"/>
          <w:szCs w:val="28"/>
        </w:rPr>
        <w:t>污染物排放清单</w:t>
      </w:r>
      <w:bookmarkEnd w:id="772"/>
    </w:p>
    <w:p>
      <w:pPr>
        <w:pStyle w:val="347"/>
        <w:keepNext w:val="0"/>
        <w:topLinePunct w:val="0"/>
        <w:adjustRightInd w:val="0"/>
        <w:snapToGrid w:val="0"/>
        <w:spacing w:before="0" w:after="0" w:line="360" w:lineRule="auto"/>
        <w:ind w:firstLine="480" w:firstLineChars="200"/>
        <w:outlineLvl w:val="9"/>
        <w:rPr>
          <w:rFonts w:cs="Times New Roman"/>
          <w:b w:val="0"/>
          <w:sz w:val="24"/>
          <w:szCs w:val="24"/>
        </w:rPr>
        <w:sectPr>
          <w:pgSz w:w="11906" w:h="16838"/>
          <w:pgMar w:top="1440" w:right="1800" w:bottom="1440" w:left="1800" w:header="851" w:footer="992" w:gutter="0"/>
          <w:cols w:space="720" w:num="1"/>
          <w:docGrid w:type="lines" w:linePitch="312" w:charSpace="0"/>
        </w:sectPr>
      </w:pPr>
      <w:r>
        <w:rPr>
          <w:rFonts w:hint="eastAsia" w:cs="Times New Roman"/>
          <w:b w:val="0"/>
          <w:sz w:val="24"/>
          <w:szCs w:val="24"/>
        </w:rPr>
        <w:t>污染物排放清单及相关管理要求见表</w:t>
      </w:r>
      <w:r>
        <w:rPr>
          <w:rFonts w:cs="Times New Roman"/>
          <w:b w:val="0"/>
          <w:sz w:val="24"/>
          <w:szCs w:val="24"/>
        </w:rPr>
        <w:t>10.4</w:t>
      </w:r>
      <w:r>
        <w:rPr>
          <w:rFonts w:hint="eastAsia" w:cs="Times New Roman"/>
          <w:b w:val="0"/>
          <w:sz w:val="24"/>
          <w:szCs w:val="24"/>
        </w:rPr>
        <w:t>-</w:t>
      </w:r>
      <w:r>
        <w:rPr>
          <w:rFonts w:cs="Times New Roman"/>
          <w:b w:val="0"/>
          <w:sz w:val="24"/>
          <w:szCs w:val="24"/>
        </w:rPr>
        <w:t>1</w:t>
      </w:r>
      <w:r>
        <w:rPr>
          <w:rFonts w:hint="eastAsia" w:cs="Times New Roman"/>
          <w:b w:val="0"/>
          <w:sz w:val="24"/>
          <w:szCs w:val="24"/>
        </w:rPr>
        <w:t>。</w:t>
      </w:r>
    </w:p>
    <w:p>
      <w:pPr>
        <w:pStyle w:val="347"/>
        <w:keepNext w:val="0"/>
        <w:topLinePunct w:val="0"/>
        <w:spacing w:before="0" w:after="0" w:line="360" w:lineRule="auto"/>
        <w:jc w:val="center"/>
        <w:outlineLvl w:val="9"/>
        <w:rPr>
          <w:rFonts w:cs="Times New Roman"/>
          <w:sz w:val="24"/>
          <w:szCs w:val="24"/>
        </w:rPr>
      </w:pPr>
      <w:r>
        <w:rPr>
          <w:rFonts w:hint="eastAsia" w:cs="Times New Roman"/>
          <w:sz w:val="24"/>
          <w:szCs w:val="24"/>
        </w:rPr>
        <w:t>表10.4-1</w:t>
      </w:r>
      <w:r>
        <w:rPr>
          <w:rFonts w:cs="Times New Roman"/>
          <w:sz w:val="24"/>
          <w:szCs w:val="24"/>
        </w:rPr>
        <w:t xml:space="preserve"> </w:t>
      </w:r>
      <w:r>
        <w:rPr>
          <w:rFonts w:hint="eastAsia" w:cs="Times New Roman"/>
          <w:sz w:val="24"/>
          <w:szCs w:val="24"/>
        </w:rPr>
        <w:t>污染物排放清单一览表</w:t>
      </w:r>
    </w:p>
    <w:tbl>
      <w:tblPr>
        <w:tblStyle w:val="88"/>
        <w:tblW w:w="0" w:type="auto"/>
        <w:tblInd w:w="12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35"/>
        <w:gridCol w:w="709"/>
        <w:gridCol w:w="1010"/>
        <w:gridCol w:w="1073"/>
        <w:gridCol w:w="1351"/>
        <w:gridCol w:w="1701"/>
        <w:gridCol w:w="850"/>
        <w:gridCol w:w="993"/>
        <w:gridCol w:w="3705"/>
        <w:gridCol w:w="18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44" w:type="dxa"/>
            <w:gridSpan w:val="2"/>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污染物种类</w:t>
            </w:r>
          </w:p>
        </w:tc>
        <w:tc>
          <w:tcPr>
            <w:tcW w:w="1010"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污染因子</w:t>
            </w:r>
          </w:p>
        </w:tc>
        <w:tc>
          <w:tcPr>
            <w:tcW w:w="1073"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rFonts w:hint="eastAsia" w:cs="Times New Roman"/>
                <w:b w:val="0"/>
                <w:color w:val="FF0000"/>
                <w:sz w:val="21"/>
                <w:szCs w:val="21"/>
              </w:rPr>
              <w:t>排放量（t/a）</w:t>
            </w:r>
          </w:p>
        </w:tc>
        <w:tc>
          <w:tcPr>
            <w:tcW w:w="1351"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排放浓度</w:t>
            </w:r>
            <w:r>
              <w:rPr>
                <w:rFonts w:cs="Times New Roman"/>
                <w:b w:val="0"/>
                <w:sz w:val="21"/>
                <w:szCs w:val="21"/>
              </w:rPr>
              <w:t>(mg/l)</w:t>
            </w:r>
          </w:p>
        </w:tc>
        <w:tc>
          <w:tcPr>
            <w:tcW w:w="1701"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污染治理设施</w:t>
            </w:r>
          </w:p>
        </w:tc>
        <w:tc>
          <w:tcPr>
            <w:tcW w:w="850"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排放方式</w:t>
            </w:r>
          </w:p>
        </w:tc>
        <w:tc>
          <w:tcPr>
            <w:tcW w:w="993"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排放口类型</w:t>
            </w:r>
          </w:p>
        </w:tc>
        <w:tc>
          <w:tcPr>
            <w:tcW w:w="3705"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污染物排放标准</w:t>
            </w:r>
          </w:p>
        </w:tc>
        <w:tc>
          <w:tcPr>
            <w:tcW w:w="1874"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监测要求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535" w:type="dxa"/>
            <w:vMerge w:val="restart"/>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rFonts w:hint="eastAsia" w:cs="Times New Roman"/>
                <w:b w:val="0"/>
                <w:color w:val="FF0000"/>
                <w:sz w:val="21"/>
                <w:szCs w:val="21"/>
              </w:rPr>
              <w:t>废水</w:t>
            </w:r>
          </w:p>
        </w:tc>
        <w:tc>
          <w:tcPr>
            <w:tcW w:w="709" w:type="dxa"/>
            <w:vMerge w:val="restart"/>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rFonts w:hint="eastAsia" w:cs="Times New Roman"/>
                <w:b w:val="0"/>
                <w:color w:val="FF0000"/>
                <w:sz w:val="21"/>
                <w:szCs w:val="21"/>
              </w:rPr>
              <w:t>渗滤液、反渗透膜冲洗废水、生活废水</w:t>
            </w:r>
          </w:p>
        </w:tc>
        <w:tc>
          <w:tcPr>
            <w:tcW w:w="1010"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b w:val="0"/>
                <w:color w:val="FF0000"/>
                <w:spacing w:val="-4"/>
                <w:sz w:val="21"/>
                <w:szCs w:val="21"/>
              </w:rPr>
              <w:t>COD</w:t>
            </w:r>
            <w:r>
              <w:rPr>
                <w:b w:val="0"/>
                <w:color w:val="FF0000"/>
                <w:spacing w:val="-4"/>
                <w:sz w:val="21"/>
                <w:szCs w:val="21"/>
                <w:vertAlign w:val="subscript"/>
              </w:rPr>
              <w:t>Cr</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z w:val="21"/>
                <w:szCs w:val="21"/>
              </w:rPr>
              <w:t>0.0475</w:t>
            </w:r>
          </w:p>
        </w:tc>
        <w:tc>
          <w:tcPr>
            <w:tcW w:w="1351"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b w:val="0"/>
                <w:color w:val="FF0000"/>
                <w:sz w:val="21"/>
                <w:szCs w:val="21"/>
              </w:rPr>
              <w:t>100</w:t>
            </w:r>
          </w:p>
        </w:tc>
        <w:tc>
          <w:tcPr>
            <w:tcW w:w="1701"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渗滤液处理站</w:t>
            </w:r>
          </w:p>
        </w:tc>
        <w:tc>
          <w:tcPr>
            <w:tcW w:w="850"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回用</w:t>
            </w:r>
          </w:p>
        </w:tc>
        <w:tc>
          <w:tcPr>
            <w:tcW w:w="993"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3705"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《生活垃圾填埋场污染控制标准》(GB16889-2008) 、</w:t>
            </w:r>
            <w:r>
              <w:rPr>
                <w:rFonts w:hint="eastAsia" w:cs="Times New Roman"/>
                <w:b w:val="0"/>
                <w:color w:val="FF0000"/>
                <w:sz w:val="21"/>
                <w:szCs w:val="21"/>
              </w:rPr>
              <w:t>废水回用参照《城市污水再生利用城市杂用水水质》（GB/T18920-2020）城市绿化标准</w:t>
            </w:r>
          </w:p>
        </w:tc>
        <w:tc>
          <w:tcPr>
            <w:tcW w:w="1874" w:type="dxa"/>
            <w:vMerge w:val="restart"/>
            <w:vAlign w:val="center"/>
          </w:tcPr>
          <w:p>
            <w:pPr>
              <w:pStyle w:val="347"/>
              <w:keepNext w:val="0"/>
              <w:topLinePunct w:val="0"/>
              <w:adjustRightInd w:val="0"/>
              <w:snapToGrid w:val="0"/>
              <w:spacing w:before="0" w:after="0" w:line="240" w:lineRule="auto"/>
              <w:jc w:val="both"/>
              <w:rPr>
                <w:rFonts w:cs="Times New Roman"/>
                <w:b w:val="0"/>
                <w:sz w:val="21"/>
                <w:szCs w:val="21"/>
              </w:rPr>
            </w:pPr>
            <w:r>
              <w:rPr>
                <w:rFonts w:hint="eastAsia" w:cs="Times New Roman"/>
                <w:b w:val="0"/>
                <w:sz w:val="21"/>
                <w:szCs w:val="21"/>
              </w:rPr>
              <w:t>由于渗滤液处理站不是持续运行，因此 pH、化学需氧量、总氮、氨氮运行时每日监测一次，其他项目每季1次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535" w:type="dxa"/>
            <w:vMerge w:val="continue"/>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p>
        </w:tc>
        <w:tc>
          <w:tcPr>
            <w:tcW w:w="709" w:type="dxa"/>
            <w:vMerge w:val="continue"/>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p>
        </w:tc>
        <w:tc>
          <w:tcPr>
            <w:tcW w:w="1010"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b w:val="0"/>
                <w:color w:val="FF0000"/>
                <w:spacing w:val="-4"/>
                <w:sz w:val="21"/>
                <w:szCs w:val="21"/>
              </w:rPr>
              <w:t>BOD</w:t>
            </w:r>
            <w:r>
              <w:rPr>
                <w:b w:val="0"/>
                <w:color w:val="FF0000"/>
                <w:spacing w:val="-4"/>
                <w:sz w:val="21"/>
                <w:szCs w:val="21"/>
                <w:vertAlign w:val="subscript"/>
              </w:rPr>
              <w:t>5</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z w:val="21"/>
                <w:szCs w:val="21"/>
              </w:rPr>
              <w:t>0.0047</w:t>
            </w:r>
          </w:p>
        </w:tc>
        <w:tc>
          <w:tcPr>
            <w:tcW w:w="1351"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b w:val="0"/>
                <w:color w:val="FF0000"/>
                <w:sz w:val="21"/>
                <w:szCs w:val="21"/>
              </w:rPr>
              <w:t>10</w:t>
            </w:r>
          </w:p>
        </w:tc>
        <w:tc>
          <w:tcPr>
            <w:tcW w:w="1701"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850"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993"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370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874"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535" w:type="dxa"/>
            <w:vMerge w:val="continue"/>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p>
        </w:tc>
        <w:tc>
          <w:tcPr>
            <w:tcW w:w="709" w:type="dxa"/>
            <w:vMerge w:val="continue"/>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p>
        </w:tc>
        <w:tc>
          <w:tcPr>
            <w:tcW w:w="1010"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b w:val="0"/>
                <w:color w:val="FF0000"/>
                <w:spacing w:val="-4"/>
                <w:sz w:val="21"/>
                <w:szCs w:val="21"/>
              </w:rPr>
              <w:t>SS</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z w:val="21"/>
                <w:szCs w:val="21"/>
              </w:rPr>
              <w:t>0.0142</w:t>
            </w:r>
          </w:p>
        </w:tc>
        <w:tc>
          <w:tcPr>
            <w:tcW w:w="1351"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b w:val="0"/>
                <w:color w:val="FF0000"/>
                <w:sz w:val="21"/>
                <w:szCs w:val="21"/>
              </w:rPr>
              <w:t>30</w:t>
            </w:r>
          </w:p>
        </w:tc>
        <w:tc>
          <w:tcPr>
            <w:tcW w:w="1701"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850"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993"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370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874"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535" w:type="dxa"/>
            <w:vMerge w:val="continue"/>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p>
        </w:tc>
        <w:tc>
          <w:tcPr>
            <w:tcW w:w="709" w:type="dxa"/>
            <w:vMerge w:val="continue"/>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p>
        </w:tc>
        <w:tc>
          <w:tcPr>
            <w:tcW w:w="1010"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b w:val="0"/>
                <w:color w:val="FF0000"/>
                <w:spacing w:val="-4"/>
                <w:sz w:val="21"/>
                <w:szCs w:val="21"/>
              </w:rPr>
              <w:t>NH</w:t>
            </w:r>
            <w:r>
              <w:rPr>
                <w:b w:val="0"/>
                <w:color w:val="FF0000"/>
                <w:spacing w:val="-4"/>
                <w:sz w:val="21"/>
                <w:szCs w:val="21"/>
                <w:vertAlign w:val="subscript"/>
              </w:rPr>
              <w:t>3</w:t>
            </w:r>
            <w:r>
              <w:rPr>
                <w:b w:val="0"/>
                <w:color w:val="FF0000"/>
                <w:spacing w:val="-4"/>
                <w:sz w:val="21"/>
                <w:szCs w:val="21"/>
              </w:rPr>
              <w:t>-N</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z w:val="21"/>
                <w:szCs w:val="21"/>
              </w:rPr>
              <w:t>0.0038</w:t>
            </w:r>
          </w:p>
        </w:tc>
        <w:tc>
          <w:tcPr>
            <w:tcW w:w="1351" w:type="dxa"/>
            <w:vAlign w:val="center"/>
          </w:tcPr>
          <w:p>
            <w:pPr>
              <w:pStyle w:val="347"/>
              <w:keepNext w:val="0"/>
              <w:topLinePunct w:val="0"/>
              <w:adjustRightInd w:val="0"/>
              <w:snapToGrid w:val="0"/>
              <w:spacing w:before="0" w:after="0" w:line="240" w:lineRule="auto"/>
              <w:jc w:val="center"/>
              <w:rPr>
                <w:rFonts w:cs="Times New Roman"/>
                <w:b w:val="0"/>
                <w:color w:val="FF0000"/>
                <w:sz w:val="21"/>
                <w:szCs w:val="21"/>
              </w:rPr>
            </w:pPr>
            <w:r>
              <w:rPr>
                <w:b w:val="0"/>
                <w:color w:val="FF0000"/>
                <w:sz w:val="21"/>
                <w:szCs w:val="21"/>
              </w:rPr>
              <w:t>8</w:t>
            </w:r>
          </w:p>
        </w:tc>
        <w:tc>
          <w:tcPr>
            <w:tcW w:w="1701"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850"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993"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370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874"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35"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废气</w:t>
            </w:r>
          </w:p>
        </w:tc>
        <w:tc>
          <w:tcPr>
            <w:tcW w:w="709"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填埋区</w:t>
            </w:r>
          </w:p>
        </w:tc>
        <w:tc>
          <w:tcPr>
            <w:tcW w:w="1010" w:type="dxa"/>
            <w:vAlign w:val="center"/>
          </w:tcPr>
          <w:p>
            <w:pPr>
              <w:pStyle w:val="347"/>
              <w:keepNext w:val="0"/>
              <w:topLinePunct w:val="0"/>
              <w:adjustRightInd w:val="0"/>
              <w:snapToGrid w:val="0"/>
              <w:spacing w:before="0" w:after="0" w:line="240" w:lineRule="auto"/>
              <w:jc w:val="center"/>
              <w:rPr>
                <w:b w:val="0"/>
                <w:spacing w:val="-4"/>
                <w:sz w:val="21"/>
                <w:szCs w:val="21"/>
              </w:rPr>
            </w:pPr>
            <w:r>
              <w:rPr>
                <w:b w:val="0"/>
                <w:spacing w:val="-4"/>
                <w:sz w:val="21"/>
                <w:szCs w:val="21"/>
              </w:rPr>
              <w:t>H</w:t>
            </w:r>
            <w:r>
              <w:rPr>
                <w:b w:val="0"/>
                <w:spacing w:val="-4"/>
                <w:sz w:val="21"/>
                <w:szCs w:val="21"/>
                <w:vertAlign w:val="subscript"/>
              </w:rPr>
              <w:t>2</w:t>
            </w:r>
            <w:r>
              <w:rPr>
                <w:b w:val="0"/>
                <w:spacing w:val="-4"/>
                <w:sz w:val="21"/>
                <w:szCs w:val="21"/>
              </w:rPr>
              <w:t>S</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z w:val="21"/>
                <w:szCs w:val="21"/>
              </w:rPr>
              <w:t>0.0819</w:t>
            </w:r>
          </w:p>
        </w:tc>
        <w:tc>
          <w:tcPr>
            <w:tcW w:w="1351"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w:t>
            </w:r>
          </w:p>
        </w:tc>
        <w:tc>
          <w:tcPr>
            <w:tcW w:w="1701"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通过渗滤液导排气系统和导气石笼有序导排</w:t>
            </w:r>
          </w:p>
        </w:tc>
        <w:tc>
          <w:tcPr>
            <w:tcW w:w="850"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无组织</w:t>
            </w:r>
          </w:p>
        </w:tc>
        <w:tc>
          <w:tcPr>
            <w:tcW w:w="993"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3705"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《恶臭污染物排放标准》（GB14554-93）中厂界标准值的二级标准</w:t>
            </w:r>
          </w:p>
        </w:tc>
        <w:tc>
          <w:tcPr>
            <w:tcW w:w="1874"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每月1次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53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709"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010" w:type="dxa"/>
            <w:vAlign w:val="center"/>
          </w:tcPr>
          <w:p>
            <w:pPr>
              <w:pStyle w:val="347"/>
              <w:keepNext w:val="0"/>
              <w:topLinePunct w:val="0"/>
              <w:adjustRightInd w:val="0"/>
              <w:snapToGrid w:val="0"/>
              <w:spacing w:before="0" w:after="0" w:line="240" w:lineRule="auto"/>
              <w:jc w:val="center"/>
              <w:rPr>
                <w:b w:val="0"/>
                <w:spacing w:val="-4"/>
                <w:sz w:val="21"/>
                <w:szCs w:val="21"/>
              </w:rPr>
            </w:pPr>
            <w:r>
              <w:rPr>
                <w:b w:val="0"/>
                <w:spacing w:val="-4"/>
                <w:sz w:val="21"/>
                <w:szCs w:val="21"/>
              </w:rPr>
              <w:t>NH</w:t>
            </w:r>
            <w:r>
              <w:rPr>
                <w:b w:val="0"/>
                <w:spacing w:val="-4"/>
                <w:sz w:val="21"/>
                <w:szCs w:val="21"/>
                <w:vertAlign w:val="subscript"/>
              </w:rPr>
              <w:t>3</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z w:val="21"/>
                <w:szCs w:val="21"/>
              </w:rPr>
              <w:t>1.1675</w:t>
            </w:r>
          </w:p>
        </w:tc>
        <w:tc>
          <w:tcPr>
            <w:tcW w:w="1351"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w:t>
            </w:r>
          </w:p>
        </w:tc>
        <w:tc>
          <w:tcPr>
            <w:tcW w:w="1701"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850"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993"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370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874"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53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709"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渗滤液处理站</w:t>
            </w:r>
          </w:p>
        </w:tc>
        <w:tc>
          <w:tcPr>
            <w:tcW w:w="1010" w:type="dxa"/>
            <w:vAlign w:val="center"/>
          </w:tcPr>
          <w:p>
            <w:pPr>
              <w:pStyle w:val="347"/>
              <w:keepNext w:val="0"/>
              <w:topLinePunct w:val="0"/>
              <w:adjustRightInd w:val="0"/>
              <w:snapToGrid w:val="0"/>
              <w:spacing w:before="0" w:after="0" w:line="240" w:lineRule="auto"/>
              <w:jc w:val="center"/>
              <w:rPr>
                <w:b w:val="0"/>
                <w:spacing w:val="-4"/>
                <w:sz w:val="21"/>
                <w:szCs w:val="21"/>
              </w:rPr>
            </w:pPr>
            <w:r>
              <w:rPr>
                <w:b w:val="0"/>
                <w:spacing w:val="-4"/>
                <w:sz w:val="21"/>
                <w:szCs w:val="21"/>
              </w:rPr>
              <w:t>H</w:t>
            </w:r>
            <w:r>
              <w:rPr>
                <w:b w:val="0"/>
                <w:spacing w:val="-4"/>
                <w:sz w:val="21"/>
                <w:szCs w:val="21"/>
                <w:vertAlign w:val="subscript"/>
              </w:rPr>
              <w:t>2</w:t>
            </w:r>
            <w:r>
              <w:rPr>
                <w:b w:val="0"/>
                <w:spacing w:val="-4"/>
                <w:sz w:val="21"/>
                <w:szCs w:val="21"/>
              </w:rPr>
              <w:t>S</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z w:val="21"/>
                <w:szCs w:val="21"/>
              </w:rPr>
              <w:t>0.00085</w:t>
            </w:r>
          </w:p>
        </w:tc>
        <w:tc>
          <w:tcPr>
            <w:tcW w:w="1351"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w:t>
            </w:r>
          </w:p>
        </w:tc>
        <w:tc>
          <w:tcPr>
            <w:tcW w:w="1701"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加盖密闭</w:t>
            </w:r>
          </w:p>
        </w:tc>
        <w:tc>
          <w:tcPr>
            <w:tcW w:w="850"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无组织</w:t>
            </w:r>
          </w:p>
        </w:tc>
        <w:tc>
          <w:tcPr>
            <w:tcW w:w="993" w:type="dxa"/>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370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874"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53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709"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010" w:type="dxa"/>
            <w:vAlign w:val="center"/>
          </w:tcPr>
          <w:p>
            <w:pPr>
              <w:pStyle w:val="347"/>
              <w:keepNext w:val="0"/>
              <w:topLinePunct w:val="0"/>
              <w:adjustRightInd w:val="0"/>
              <w:snapToGrid w:val="0"/>
              <w:spacing w:before="0" w:after="0" w:line="240" w:lineRule="auto"/>
              <w:jc w:val="center"/>
              <w:rPr>
                <w:b w:val="0"/>
                <w:spacing w:val="-4"/>
                <w:sz w:val="21"/>
                <w:szCs w:val="21"/>
              </w:rPr>
            </w:pPr>
            <w:r>
              <w:rPr>
                <w:b w:val="0"/>
                <w:spacing w:val="-4"/>
                <w:sz w:val="21"/>
                <w:szCs w:val="21"/>
              </w:rPr>
              <w:t>NH</w:t>
            </w:r>
            <w:r>
              <w:rPr>
                <w:b w:val="0"/>
                <w:spacing w:val="-4"/>
                <w:sz w:val="21"/>
                <w:szCs w:val="21"/>
                <w:vertAlign w:val="subscript"/>
              </w:rPr>
              <w:t>3</w:t>
            </w:r>
          </w:p>
        </w:tc>
        <w:tc>
          <w:tcPr>
            <w:tcW w:w="1073" w:type="dxa"/>
            <w:vAlign w:val="center"/>
          </w:tcPr>
          <w:p>
            <w:pPr>
              <w:pStyle w:val="347"/>
              <w:keepNext w:val="0"/>
              <w:topLinePunct w:val="0"/>
              <w:adjustRightInd w:val="0"/>
              <w:snapToGrid w:val="0"/>
              <w:spacing w:before="0" w:after="0" w:line="240" w:lineRule="auto"/>
              <w:jc w:val="center"/>
              <w:rPr>
                <w:b w:val="0"/>
                <w:color w:val="FF0000"/>
                <w:spacing w:val="-4"/>
                <w:sz w:val="21"/>
                <w:szCs w:val="21"/>
              </w:rPr>
            </w:pPr>
            <w:r>
              <w:rPr>
                <w:b w:val="0"/>
                <w:color w:val="FF0000"/>
                <w:spacing w:val="-4"/>
                <w:sz w:val="21"/>
                <w:szCs w:val="21"/>
              </w:rPr>
              <w:t>0.0000001</w:t>
            </w:r>
          </w:p>
        </w:tc>
        <w:tc>
          <w:tcPr>
            <w:tcW w:w="1351" w:type="dxa"/>
            <w:vAlign w:val="center"/>
          </w:tcPr>
          <w:p>
            <w:pPr>
              <w:pStyle w:val="347"/>
              <w:keepNext w:val="0"/>
              <w:topLinePunct w:val="0"/>
              <w:adjustRightInd w:val="0"/>
              <w:snapToGrid w:val="0"/>
              <w:spacing w:before="0" w:after="0" w:line="240" w:lineRule="auto"/>
              <w:jc w:val="center"/>
              <w:rPr>
                <w:b w:val="0"/>
                <w:spacing w:val="-4"/>
                <w:sz w:val="21"/>
                <w:szCs w:val="21"/>
              </w:rPr>
            </w:pPr>
            <w:r>
              <w:rPr>
                <w:rFonts w:hint="eastAsia"/>
                <w:b w:val="0"/>
                <w:sz w:val="21"/>
                <w:szCs w:val="21"/>
              </w:rPr>
              <w:t>/</w:t>
            </w:r>
          </w:p>
        </w:tc>
        <w:tc>
          <w:tcPr>
            <w:tcW w:w="1701"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850"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993"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370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874"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4" w:hRule="atLeast"/>
        </w:trPr>
        <w:tc>
          <w:tcPr>
            <w:tcW w:w="535" w:type="dxa"/>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709"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填埋作业</w:t>
            </w:r>
          </w:p>
        </w:tc>
        <w:tc>
          <w:tcPr>
            <w:tcW w:w="1010" w:type="dxa"/>
            <w:vAlign w:val="center"/>
          </w:tcPr>
          <w:p>
            <w:pPr>
              <w:pStyle w:val="347"/>
              <w:keepNext w:val="0"/>
              <w:topLinePunct w:val="0"/>
              <w:adjustRightInd w:val="0"/>
              <w:snapToGrid w:val="0"/>
              <w:spacing w:before="0" w:after="0" w:line="240" w:lineRule="auto"/>
              <w:jc w:val="center"/>
              <w:rPr>
                <w:b w:val="0"/>
                <w:spacing w:val="-4"/>
                <w:sz w:val="21"/>
                <w:szCs w:val="21"/>
              </w:rPr>
            </w:pPr>
            <w:r>
              <w:rPr>
                <w:rFonts w:hint="eastAsia"/>
                <w:b w:val="0"/>
                <w:spacing w:val="-4"/>
                <w:sz w:val="21"/>
                <w:szCs w:val="21"/>
              </w:rPr>
              <w:t>T</w:t>
            </w:r>
            <w:r>
              <w:rPr>
                <w:b w:val="0"/>
                <w:spacing w:val="-4"/>
                <w:sz w:val="21"/>
                <w:szCs w:val="21"/>
              </w:rPr>
              <w:t>SP</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rFonts w:hint="eastAsia"/>
                <w:b w:val="0"/>
                <w:color w:val="FF0000"/>
                <w:sz w:val="21"/>
                <w:szCs w:val="21"/>
              </w:rPr>
              <w:t>0</w:t>
            </w:r>
            <w:r>
              <w:rPr>
                <w:b w:val="0"/>
                <w:color w:val="FF0000"/>
                <w:sz w:val="21"/>
                <w:szCs w:val="21"/>
              </w:rPr>
              <w:t>.08</w:t>
            </w:r>
          </w:p>
        </w:tc>
        <w:tc>
          <w:tcPr>
            <w:tcW w:w="1351"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w:t>
            </w:r>
          </w:p>
        </w:tc>
        <w:tc>
          <w:tcPr>
            <w:tcW w:w="1701"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防飞散网、洒水抑尘</w:t>
            </w:r>
          </w:p>
        </w:tc>
        <w:tc>
          <w:tcPr>
            <w:tcW w:w="850"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无组织</w:t>
            </w:r>
          </w:p>
        </w:tc>
        <w:tc>
          <w:tcPr>
            <w:tcW w:w="993"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3705"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cs="Times New Roman"/>
                <w:b w:val="0"/>
                <w:sz w:val="21"/>
                <w:szCs w:val="21"/>
              </w:rPr>
              <w:t>《大气污染物</w:t>
            </w:r>
            <w:r>
              <w:rPr>
                <w:rFonts w:hint="eastAsia" w:cs="Times New Roman"/>
                <w:b w:val="0"/>
                <w:sz w:val="21"/>
                <w:szCs w:val="21"/>
              </w:rPr>
              <w:t>综合</w:t>
            </w:r>
            <w:r>
              <w:rPr>
                <w:rFonts w:cs="Times New Roman"/>
                <w:b w:val="0"/>
                <w:sz w:val="21"/>
                <w:szCs w:val="21"/>
              </w:rPr>
              <w:t>排放标准》（GB16297-1996）中新污染源大气污染物排放限值表中关于颗粒物无组织排放监控浓度限值标准</w:t>
            </w:r>
          </w:p>
        </w:tc>
        <w:tc>
          <w:tcPr>
            <w:tcW w:w="1874"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每月1次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44" w:type="dxa"/>
            <w:gridSpan w:val="2"/>
            <w:vMerge w:val="restart"/>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固废</w:t>
            </w:r>
          </w:p>
        </w:tc>
        <w:tc>
          <w:tcPr>
            <w:tcW w:w="1010"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职工生活垃圾</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pacing w:val="-4"/>
                <w:sz w:val="21"/>
                <w:szCs w:val="21"/>
              </w:rPr>
              <w:t>0.37</w:t>
            </w:r>
          </w:p>
        </w:tc>
        <w:tc>
          <w:tcPr>
            <w:tcW w:w="1351"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w:t>
            </w:r>
          </w:p>
        </w:tc>
        <w:tc>
          <w:tcPr>
            <w:tcW w:w="1701"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进入本项目填埋区填埋</w:t>
            </w:r>
          </w:p>
        </w:tc>
        <w:tc>
          <w:tcPr>
            <w:tcW w:w="850"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993"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3705"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《生活垃圾填埋场污染控制标准》(GB16889-2008)</w:t>
            </w:r>
          </w:p>
        </w:tc>
        <w:tc>
          <w:tcPr>
            <w:tcW w:w="1874"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44" w:type="dxa"/>
            <w:gridSpan w:val="2"/>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010"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调节池污泥</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b w:val="0"/>
                <w:color w:val="FF0000"/>
                <w:sz w:val="21"/>
                <w:szCs w:val="21"/>
              </w:rPr>
              <w:t>18.25</w:t>
            </w:r>
          </w:p>
        </w:tc>
        <w:tc>
          <w:tcPr>
            <w:tcW w:w="1351"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w:t>
            </w:r>
          </w:p>
        </w:tc>
        <w:tc>
          <w:tcPr>
            <w:tcW w:w="1701"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进入本项目填埋区填埋</w:t>
            </w:r>
          </w:p>
        </w:tc>
        <w:tc>
          <w:tcPr>
            <w:tcW w:w="850"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993"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3705"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《生活垃圾填埋场污染控制标准》(GB16889-2008)</w:t>
            </w:r>
          </w:p>
        </w:tc>
        <w:tc>
          <w:tcPr>
            <w:tcW w:w="1874"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44" w:type="dxa"/>
            <w:gridSpan w:val="2"/>
            <w:vMerge w:val="continue"/>
            <w:vAlign w:val="center"/>
          </w:tcPr>
          <w:p>
            <w:pPr>
              <w:pStyle w:val="347"/>
              <w:keepNext w:val="0"/>
              <w:topLinePunct w:val="0"/>
              <w:adjustRightInd w:val="0"/>
              <w:snapToGrid w:val="0"/>
              <w:spacing w:before="0" w:after="0" w:line="240" w:lineRule="auto"/>
              <w:jc w:val="center"/>
              <w:rPr>
                <w:rFonts w:cs="Times New Roman"/>
                <w:b w:val="0"/>
                <w:sz w:val="21"/>
                <w:szCs w:val="21"/>
              </w:rPr>
            </w:pPr>
          </w:p>
        </w:tc>
        <w:tc>
          <w:tcPr>
            <w:tcW w:w="1010"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废旧反渗透膜</w:t>
            </w:r>
          </w:p>
        </w:tc>
        <w:tc>
          <w:tcPr>
            <w:tcW w:w="1073" w:type="dxa"/>
            <w:vAlign w:val="center"/>
          </w:tcPr>
          <w:p>
            <w:pPr>
              <w:pStyle w:val="347"/>
              <w:keepNext w:val="0"/>
              <w:topLinePunct w:val="0"/>
              <w:adjustRightInd w:val="0"/>
              <w:snapToGrid w:val="0"/>
              <w:spacing w:before="0" w:after="0" w:line="240" w:lineRule="auto"/>
              <w:jc w:val="center"/>
              <w:rPr>
                <w:b w:val="0"/>
                <w:color w:val="FF0000"/>
                <w:sz w:val="21"/>
                <w:szCs w:val="21"/>
              </w:rPr>
            </w:pPr>
            <w:r>
              <w:rPr>
                <w:rFonts w:hint="eastAsia"/>
                <w:b w:val="0"/>
                <w:color w:val="FF0000"/>
                <w:sz w:val="21"/>
                <w:szCs w:val="21"/>
              </w:rPr>
              <w:t>0</w:t>
            </w:r>
            <w:r>
              <w:rPr>
                <w:b w:val="0"/>
                <w:color w:val="FF0000"/>
                <w:sz w:val="21"/>
                <w:szCs w:val="21"/>
              </w:rPr>
              <w:t>.1</w:t>
            </w:r>
          </w:p>
        </w:tc>
        <w:tc>
          <w:tcPr>
            <w:tcW w:w="1351" w:type="dxa"/>
            <w:vAlign w:val="center"/>
          </w:tcPr>
          <w:p>
            <w:pPr>
              <w:pStyle w:val="347"/>
              <w:keepNext w:val="0"/>
              <w:topLinePunct w:val="0"/>
              <w:adjustRightInd w:val="0"/>
              <w:snapToGrid w:val="0"/>
              <w:spacing w:before="0" w:after="0" w:line="240" w:lineRule="auto"/>
              <w:jc w:val="center"/>
              <w:rPr>
                <w:b w:val="0"/>
                <w:sz w:val="21"/>
                <w:szCs w:val="21"/>
              </w:rPr>
            </w:pPr>
            <w:r>
              <w:rPr>
                <w:rFonts w:hint="eastAsia"/>
                <w:b w:val="0"/>
                <w:sz w:val="21"/>
                <w:szCs w:val="21"/>
              </w:rPr>
              <w:t>/</w:t>
            </w:r>
          </w:p>
        </w:tc>
        <w:tc>
          <w:tcPr>
            <w:tcW w:w="1701"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厂家定期更换回收，不在项目区存储</w:t>
            </w:r>
          </w:p>
        </w:tc>
        <w:tc>
          <w:tcPr>
            <w:tcW w:w="850"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993"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3705" w:type="dxa"/>
            <w:vAlign w:val="center"/>
          </w:tcPr>
          <w:p>
            <w:pPr>
              <w:pStyle w:val="347"/>
              <w:keepNext w:val="0"/>
              <w:topLinePunct w:val="0"/>
              <w:adjustRightInd w:val="0"/>
              <w:snapToGrid w:val="0"/>
              <w:spacing w:before="0" w:after="0" w:line="240" w:lineRule="auto"/>
              <w:jc w:val="center"/>
              <w:rPr>
                <w:rFonts w:cs="Times New Roman"/>
                <w:b w:val="0"/>
                <w:sz w:val="21"/>
                <w:szCs w:val="21"/>
              </w:rPr>
            </w:pPr>
            <w:r>
              <w:rPr>
                <w:rFonts w:hint="eastAsia" w:cs="Times New Roman"/>
                <w:b w:val="0"/>
                <w:sz w:val="21"/>
                <w:szCs w:val="21"/>
              </w:rPr>
              <w:t>/</w:t>
            </w:r>
          </w:p>
        </w:tc>
        <w:tc>
          <w:tcPr>
            <w:tcW w:w="1874" w:type="dxa"/>
            <w:vAlign w:val="center"/>
          </w:tcPr>
          <w:p>
            <w:pPr>
              <w:pStyle w:val="347"/>
              <w:keepNext w:val="0"/>
              <w:topLinePunct w:val="0"/>
              <w:adjustRightInd w:val="0"/>
              <w:snapToGrid w:val="0"/>
              <w:spacing w:before="0" w:after="0" w:line="240" w:lineRule="auto"/>
              <w:jc w:val="center"/>
              <w:rPr>
                <w:rFonts w:cs="Times New Roman"/>
                <w:b w:val="0"/>
                <w:sz w:val="21"/>
                <w:szCs w:val="21"/>
              </w:rPr>
            </w:pPr>
          </w:p>
        </w:tc>
      </w:tr>
    </w:tbl>
    <w:p>
      <w:pPr>
        <w:pStyle w:val="347"/>
        <w:keepNext w:val="0"/>
        <w:topLinePunct w:val="0"/>
        <w:spacing w:before="0" w:after="0" w:line="360" w:lineRule="auto"/>
        <w:outlineLvl w:val="9"/>
        <w:rPr>
          <w:rFonts w:cs="Times New Roman"/>
          <w:b w:val="0"/>
          <w:sz w:val="24"/>
          <w:szCs w:val="24"/>
        </w:rPr>
        <w:sectPr>
          <w:pgSz w:w="16838" w:h="11906" w:orient="landscape"/>
          <w:pgMar w:top="1800" w:right="1440" w:bottom="1800" w:left="1440" w:header="851" w:footer="992" w:gutter="0"/>
          <w:cols w:space="720" w:num="1"/>
          <w:docGrid w:type="lines" w:linePitch="312" w:charSpace="0"/>
        </w:sectPr>
      </w:pPr>
    </w:p>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Pr>
        <w:pStyle w:val="823"/>
        <w:adjustRightInd/>
        <w:spacing w:before="156" w:beforeLines="50" w:after="156" w:afterLines="50" w:line="360" w:lineRule="auto"/>
        <w:rPr>
          <w:rFonts w:cs="Times New Roman"/>
        </w:rPr>
      </w:pPr>
      <w:bookmarkStart w:id="773" w:name="_Toc489433172"/>
      <w:bookmarkStart w:id="774" w:name="_Toc143762408"/>
      <w:bookmarkStart w:id="775" w:name="_Toc424484770"/>
      <w:r>
        <w:rPr>
          <w:rFonts w:cs="Times New Roman"/>
        </w:rPr>
        <w:t>11结论与建议</w:t>
      </w:r>
      <w:bookmarkEnd w:id="773"/>
      <w:bookmarkEnd w:id="774"/>
      <w:bookmarkEnd w:id="775"/>
    </w:p>
    <w:p>
      <w:pPr>
        <w:pStyle w:val="347"/>
        <w:keepNext w:val="0"/>
        <w:topLinePunct w:val="0"/>
        <w:spacing w:before="156" w:beforeLines="50" w:after="156" w:afterLines="50" w:line="360" w:lineRule="auto"/>
        <w:rPr>
          <w:rFonts w:cs="Times New Roman"/>
        </w:rPr>
      </w:pPr>
      <w:bookmarkStart w:id="776" w:name="_Toc196468678"/>
      <w:bookmarkStart w:id="777" w:name="_Toc143762409"/>
      <w:bookmarkStart w:id="778" w:name="_Toc424484771"/>
      <w:bookmarkStart w:id="779" w:name="_Toc489433173"/>
      <w:r>
        <w:rPr>
          <w:rFonts w:cs="Times New Roman"/>
        </w:rPr>
        <w:t>11.1项目</w:t>
      </w:r>
      <w:bookmarkEnd w:id="776"/>
      <w:r>
        <w:rPr>
          <w:rFonts w:cs="Times New Roman"/>
        </w:rPr>
        <w:t>概况</w:t>
      </w:r>
      <w:bookmarkEnd w:id="777"/>
      <w:bookmarkEnd w:id="778"/>
      <w:bookmarkEnd w:id="779"/>
    </w:p>
    <w:p>
      <w:pPr>
        <w:spacing w:line="360" w:lineRule="auto"/>
        <w:ind w:firstLine="480" w:firstLineChars="200"/>
        <w:rPr>
          <w:kern w:val="0"/>
          <w:sz w:val="24"/>
        </w:rPr>
      </w:pPr>
      <w:bookmarkStart w:id="780" w:name="_Toc277228990"/>
      <w:bookmarkStart w:id="781" w:name="_Toc424484775"/>
      <w:bookmarkStart w:id="782" w:name="_Toc277196536"/>
      <w:bookmarkStart w:id="783" w:name="_Toc277336152"/>
      <w:bookmarkStart w:id="784" w:name="_Toc277238993"/>
      <w:bookmarkStart w:id="785" w:name="_Toc277632346"/>
      <w:bookmarkStart w:id="786" w:name="_Toc423602425"/>
      <w:bookmarkStart w:id="787" w:name="_Toc277949311"/>
      <w:bookmarkStart w:id="788" w:name="_Toc277244800"/>
      <w:bookmarkStart w:id="789" w:name="_Toc276333700"/>
      <w:bookmarkStart w:id="790" w:name="_Toc335828176"/>
      <w:bookmarkStart w:id="791" w:name="_Toc489433174"/>
      <w:bookmarkStart w:id="792" w:name="_Toc277949976"/>
      <w:r>
        <w:rPr>
          <w:rFonts w:hint="eastAsia"/>
          <w:kern w:val="0"/>
          <w:sz w:val="24"/>
        </w:rPr>
        <w:t>五原县复兴镇生活垃圾填埋处理场位于县城西南32公里处，总投资2097万元，</w:t>
      </w:r>
      <w:r>
        <w:rPr>
          <w:rFonts w:hint="eastAsia"/>
          <w:sz w:val="24"/>
        </w:rPr>
        <w:t>填埋库区占地面积41856平方米，</w:t>
      </w:r>
      <w:r>
        <w:rPr>
          <w:rFonts w:hint="eastAsia"/>
          <w:kern w:val="0"/>
          <w:sz w:val="24"/>
        </w:rPr>
        <w:t>库容30.5万立方米，设计规模为日处理生活垃圾50吨，已填埋量4.05万m</w:t>
      </w:r>
      <w:r>
        <w:rPr>
          <w:rFonts w:hint="eastAsia"/>
          <w:kern w:val="0"/>
          <w:sz w:val="24"/>
          <w:vertAlign w:val="superscript"/>
        </w:rPr>
        <w:t>3</w:t>
      </w:r>
      <w:r>
        <w:rPr>
          <w:rFonts w:hint="eastAsia"/>
          <w:kern w:val="0"/>
          <w:sz w:val="24"/>
        </w:rPr>
        <w:t>，设计剩余使用期限为12年。</w:t>
      </w:r>
    </w:p>
    <w:p>
      <w:pPr>
        <w:pStyle w:val="3"/>
        <w:spacing w:before="120" w:after="120"/>
        <w:rPr>
          <w:rFonts w:ascii="Times New Roman" w:hAnsi="Times New Roman" w:eastAsia="宋体"/>
        </w:rPr>
      </w:pPr>
      <w:bookmarkStart w:id="793" w:name="_Toc143762410"/>
      <w:r>
        <w:rPr>
          <w:rFonts w:ascii="Times New Roman" w:hAnsi="Times New Roman" w:eastAsia="宋体"/>
        </w:rPr>
        <w:t>11.2 环境质量现状</w:t>
      </w:r>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pPr>
        <w:pStyle w:val="4"/>
        <w:spacing w:before="120" w:after="120"/>
      </w:pPr>
      <w:bookmarkStart w:id="794" w:name="_Toc489433175"/>
      <w:bookmarkStart w:id="795" w:name="_Toc423602426"/>
      <w:bookmarkStart w:id="796" w:name="_Toc143762411"/>
      <w:bookmarkStart w:id="797" w:name="_Toc424484776"/>
      <w:r>
        <w:t>11.2.1大气环境</w:t>
      </w:r>
      <w:bookmarkEnd w:id="794"/>
      <w:bookmarkEnd w:id="795"/>
      <w:bookmarkEnd w:id="796"/>
      <w:bookmarkEnd w:id="797"/>
    </w:p>
    <w:p>
      <w:pPr>
        <w:pStyle w:val="2248"/>
        <w:adjustRightInd w:val="0"/>
        <w:snapToGrid w:val="0"/>
        <w:spacing w:line="360" w:lineRule="auto"/>
        <w:ind w:firstLine="480" w:firstLineChars="200"/>
        <w:rPr>
          <w:color w:val="FF0000"/>
          <w:sz w:val="24"/>
          <w:szCs w:val="24"/>
        </w:rPr>
      </w:pPr>
      <w:bookmarkStart w:id="798" w:name="_Toc423602427"/>
      <w:bookmarkStart w:id="799" w:name="_Toc489433176"/>
      <w:bookmarkStart w:id="800" w:name="_Toc424484777"/>
      <w:r>
        <w:rPr>
          <w:sz w:val="24"/>
        </w:rPr>
        <w:t>项目区域为达标区，</w:t>
      </w:r>
      <w:r>
        <w:rPr>
          <w:rFonts w:hint="eastAsia"/>
          <w:color w:val="FF0000"/>
          <w:sz w:val="24"/>
        </w:rPr>
        <w:t>五原县隆兴昌镇</w:t>
      </w:r>
      <w:r>
        <w:rPr>
          <w:color w:val="FF0000"/>
          <w:sz w:val="24"/>
        </w:rPr>
        <w:t>2022年SO</w:t>
      </w:r>
      <w:r>
        <w:rPr>
          <w:color w:val="FF0000"/>
          <w:sz w:val="24"/>
          <w:vertAlign w:val="subscript"/>
        </w:rPr>
        <w:t>2</w:t>
      </w:r>
      <w:r>
        <w:rPr>
          <w:color w:val="FF0000"/>
          <w:sz w:val="24"/>
        </w:rPr>
        <w:t>、NO</w:t>
      </w:r>
      <w:r>
        <w:rPr>
          <w:color w:val="FF0000"/>
          <w:sz w:val="24"/>
          <w:vertAlign w:val="subscript"/>
        </w:rPr>
        <w:t>2</w:t>
      </w:r>
      <w:r>
        <w:rPr>
          <w:color w:val="FF0000"/>
          <w:sz w:val="24"/>
        </w:rPr>
        <w:t>、PM</w:t>
      </w:r>
      <w:r>
        <w:rPr>
          <w:color w:val="FF0000"/>
          <w:sz w:val="24"/>
          <w:vertAlign w:val="subscript"/>
        </w:rPr>
        <w:t>10</w:t>
      </w:r>
      <w:r>
        <w:rPr>
          <w:color w:val="FF0000"/>
          <w:sz w:val="24"/>
        </w:rPr>
        <w:t>、PM</w:t>
      </w:r>
      <w:r>
        <w:rPr>
          <w:color w:val="FF0000"/>
          <w:sz w:val="24"/>
          <w:vertAlign w:val="subscript"/>
        </w:rPr>
        <w:t>2.5</w:t>
      </w:r>
      <w:r>
        <w:rPr>
          <w:color w:val="FF0000"/>
          <w:sz w:val="24"/>
        </w:rPr>
        <w:t>年均浓度分别为12 ug/m</w:t>
      </w:r>
      <w:r>
        <w:rPr>
          <w:color w:val="FF0000"/>
          <w:sz w:val="24"/>
          <w:vertAlign w:val="superscript"/>
        </w:rPr>
        <w:t>3</w:t>
      </w:r>
      <w:r>
        <w:rPr>
          <w:color w:val="FF0000"/>
          <w:sz w:val="24"/>
        </w:rPr>
        <w:t>、20 ug/m</w:t>
      </w:r>
      <w:r>
        <w:rPr>
          <w:color w:val="FF0000"/>
          <w:sz w:val="24"/>
          <w:vertAlign w:val="superscript"/>
        </w:rPr>
        <w:t>3</w:t>
      </w:r>
      <w:r>
        <w:rPr>
          <w:color w:val="FF0000"/>
          <w:sz w:val="24"/>
        </w:rPr>
        <w:t>、56 ug/m</w:t>
      </w:r>
      <w:r>
        <w:rPr>
          <w:color w:val="FF0000"/>
          <w:sz w:val="24"/>
          <w:vertAlign w:val="superscript"/>
        </w:rPr>
        <w:t>3</w:t>
      </w:r>
      <w:r>
        <w:rPr>
          <w:color w:val="FF0000"/>
          <w:sz w:val="24"/>
        </w:rPr>
        <w:t>、27 ug/m</w:t>
      </w:r>
      <w:r>
        <w:rPr>
          <w:color w:val="FF0000"/>
          <w:sz w:val="24"/>
          <w:vertAlign w:val="superscript"/>
        </w:rPr>
        <w:t>3</w:t>
      </w:r>
      <w:r>
        <w:rPr>
          <w:color w:val="FF0000"/>
          <w:sz w:val="24"/>
        </w:rPr>
        <w:t>；CO 24小时平均第95百分位数为1.4mg/m</w:t>
      </w:r>
      <w:r>
        <w:rPr>
          <w:color w:val="FF0000"/>
          <w:sz w:val="24"/>
          <w:vertAlign w:val="superscript"/>
        </w:rPr>
        <w:t>3</w:t>
      </w:r>
      <w:r>
        <w:rPr>
          <w:color w:val="FF0000"/>
          <w:sz w:val="24"/>
        </w:rPr>
        <w:t>，O</w:t>
      </w:r>
      <w:r>
        <w:rPr>
          <w:color w:val="FF0000"/>
          <w:sz w:val="24"/>
          <w:vertAlign w:val="subscript"/>
        </w:rPr>
        <w:t>3</w:t>
      </w:r>
      <w:r>
        <w:rPr>
          <w:color w:val="FF0000"/>
          <w:sz w:val="24"/>
        </w:rPr>
        <w:t>日最大8小时平均第90百分位数为145 ug/m</w:t>
      </w:r>
      <w:r>
        <w:rPr>
          <w:color w:val="FF0000"/>
          <w:sz w:val="24"/>
          <w:vertAlign w:val="superscript"/>
        </w:rPr>
        <w:t>3</w:t>
      </w:r>
      <w:r>
        <w:rPr>
          <w:rFonts w:hint="eastAsia"/>
          <w:color w:val="FF0000"/>
          <w:sz w:val="24"/>
        </w:rPr>
        <w:t>，均满足《环境空气质量标准》（GB3095—2012）中二级标准的限值，</w:t>
      </w:r>
      <w:r>
        <w:rPr>
          <w:color w:val="FF0000"/>
          <w:sz w:val="24"/>
        </w:rPr>
        <w:t>区域判定结果为达标区。</w:t>
      </w:r>
    </w:p>
    <w:p>
      <w:pPr>
        <w:adjustRightInd w:val="0"/>
        <w:snapToGrid w:val="0"/>
        <w:spacing w:line="360" w:lineRule="auto"/>
        <w:ind w:firstLine="480" w:firstLineChars="200"/>
        <w:rPr>
          <w:bCs/>
          <w:sz w:val="24"/>
        </w:rPr>
      </w:pPr>
      <w:r>
        <w:rPr>
          <w:bCs/>
          <w:sz w:val="24"/>
        </w:rPr>
        <w:t>根据内蒙古</w:t>
      </w:r>
      <w:r>
        <w:rPr>
          <w:rFonts w:hint="eastAsia"/>
          <w:bCs/>
          <w:sz w:val="24"/>
        </w:rPr>
        <w:t>航峰检测</w:t>
      </w:r>
      <w:r>
        <w:rPr>
          <w:bCs/>
          <w:sz w:val="24"/>
        </w:rPr>
        <w:t>技术有限公司于</w:t>
      </w:r>
      <w:r>
        <w:rPr>
          <w:rFonts w:hint="eastAsia"/>
          <w:bCs/>
          <w:sz w:val="24"/>
        </w:rPr>
        <w:t>于2023年3月28日至2023年4月3日进行监测</w:t>
      </w:r>
      <w:r>
        <w:rPr>
          <w:bCs/>
          <w:sz w:val="24"/>
        </w:rPr>
        <w:t>为项目进行的</w:t>
      </w:r>
      <w:r>
        <w:rPr>
          <w:rFonts w:hint="eastAsia"/>
          <w:bCs/>
          <w:sz w:val="24"/>
        </w:rPr>
        <w:t>特征因子NH</w:t>
      </w:r>
      <w:r>
        <w:rPr>
          <w:rFonts w:hint="eastAsia"/>
          <w:bCs/>
          <w:sz w:val="24"/>
          <w:vertAlign w:val="subscript"/>
        </w:rPr>
        <w:t>3</w:t>
      </w:r>
      <w:r>
        <w:rPr>
          <w:rFonts w:hint="eastAsia"/>
          <w:bCs/>
          <w:sz w:val="24"/>
        </w:rPr>
        <w:t>、H</w:t>
      </w:r>
      <w:r>
        <w:rPr>
          <w:rFonts w:hint="eastAsia"/>
          <w:bCs/>
          <w:sz w:val="24"/>
          <w:vertAlign w:val="subscript"/>
        </w:rPr>
        <w:t>2</w:t>
      </w:r>
      <w:r>
        <w:rPr>
          <w:rFonts w:hint="eastAsia"/>
          <w:bCs/>
          <w:sz w:val="24"/>
        </w:rPr>
        <w:t>S、臭气浓度、T</w:t>
      </w:r>
      <w:r>
        <w:rPr>
          <w:bCs/>
          <w:sz w:val="24"/>
        </w:rPr>
        <w:t>SP监测，监测结果</w:t>
      </w:r>
      <w:r>
        <w:rPr>
          <w:rFonts w:hint="eastAsia"/>
          <w:bCs/>
          <w:sz w:val="24"/>
        </w:rPr>
        <w:t>表明TSP</w:t>
      </w:r>
      <w:r>
        <w:rPr>
          <w:bCs/>
          <w:sz w:val="24"/>
        </w:rPr>
        <w:t>现状值符合《环境空气质量标准》（GB3095-2012）中二级标准要求</w:t>
      </w:r>
      <w:r>
        <w:rPr>
          <w:rFonts w:hint="eastAsia"/>
          <w:bCs/>
          <w:sz w:val="24"/>
        </w:rPr>
        <w:t>，</w:t>
      </w:r>
      <w:r>
        <w:rPr>
          <w:bCs/>
          <w:sz w:val="24"/>
        </w:rPr>
        <w:t xml:space="preserve"> NH</w:t>
      </w:r>
      <w:r>
        <w:rPr>
          <w:bCs/>
          <w:sz w:val="24"/>
          <w:vertAlign w:val="subscript"/>
        </w:rPr>
        <w:t>3</w:t>
      </w:r>
      <w:r>
        <w:rPr>
          <w:bCs/>
          <w:sz w:val="24"/>
        </w:rPr>
        <w:t>和H</w:t>
      </w:r>
      <w:r>
        <w:rPr>
          <w:bCs/>
          <w:sz w:val="24"/>
          <w:vertAlign w:val="subscript"/>
        </w:rPr>
        <w:t>2</w:t>
      </w:r>
      <w:r>
        <w:rPr>
          <w:bCs/>
          <w:sz w:val="24"/>
        </w:rPr>
        <w:t>S满足</w:t>
      </w:r>
      <w:r>
        <w:rPr>
          <w:rFonts w:hint="eastAsia"/>
          <w:bCs/>
          <w:sz w:val="24"/>
        </w:rPr>
        <w:t>《环境影响评价技术导则-大气环境》（HJ2.2-2018）附录D 中表D.1 其他污染物空气质量浓度参考限值</w:t>
      </w:r>
      <w:r>
        <w:rPr>
          <w:bCs/>
          <w:sz w:val="24"/>
        </w:rPr>
        <w:t>。</w:t>
      </w:r>
      <w:r>
        <w:rPr>
          <w:rFonts w:hint="eastAsia"/>
          <w:bCs/>
          <w:sz w:val="24"/>
        </w:rPr>
        <w:t>臭气浓度满足《恶臭污染物排放标准》（GB14554-93）限值要求。</w:t>
      </w:r>
    </w:p>
    <w:p>
      <w:pPr>
        <w:pStyle w:val="4"/>
        <w:spacing w:before="120" w:after="120"/>
      </w:pPr>
      <w:bookmarkStart w:id="801" w:name="_Toc143762412"/>
      <w:r>
        <w:t>11.2.2地下水</w:t>
      </w:r>
      <w:bookmarkEnd w:id="798"/>
      <w:bookmarkEnd w:id="799"/>
      <w:bookmarkEnd w:id="800"/>
      <w:bookmarkEnd w:id="801"/>
    </w:p>
    <w:p>
      <w:pPr>
        <w:spacing w:before="156" w:beforeLines="50" w:line="360" w:lineRule="auto"/>
        <w:ind w:firstLine="480" w:firstLineChars="200"/>
        <w:rPr>
          <w:sz w:val="24"/>
        </w:rPr>
      </w:pPr>
      <w:r>
        <w:rPr>
          <w:sz w:val="24"/>
        </w:rPr>
        <w:t>本次对</w:t>
      </w:r>
      <w:r>
        <w:rPr>
          <w:rFonts w:hint="eastAsia"/>
          <w:sz w:val="24"/>
        </w:rPr>
        <w:t>项目周边</w:t>
      </w:r>
      <w:r>
        <w:rPr>
          <w:sz w:val="24"/>
        </w:rPr>
        <w:t>7个</w:t>
      </w:r>
      <w:r>
        <w:rPr>
          <w:rFonts w:hint="eastAsia"/>
          <w:sz w:val="24"/>
        </w:rPr>
        <w:t>水井进行了监测，监测因子为</w:t>
      </w:r>
      <w:r>
        <w:rPr>
          <w:sz w:val="24"/>
        </w:rPr>
        <w:t xml:space="preserve">pH、总硬度、耗氧量、氨氮、铁、总大肠菌群、汞、镉、铬 （六价）、砷、铅、K </w:t>
      </w:r>
      <w:r>
        <w:rPr>
          <w:sz w:val="24"/>
          <w:vertAlign w:val="superscript"/>
        </w:rPr>
        <w:t>+</w:t>
      </w:r>
      <w:r>
        <w:rPr>
          <w:sz w:val="24"/>
        </w:rPr>
        <w:t xml:space="preserve">、Na </w:t>
      </w:r>
      <w:r>
        <w:rPr>
          <w:sz w:val="24"/>
          <w:vertAlign w:val="superscript"/>
        </w:rPr>
        <w:t>+</w:t>
      </w:r>
      <w:r>
        <w:rPr>
          <w:sz w:val="24"/>
        </w:rPr>
        <w:t>、Ca</w:t>
      </w:r>
      <w:r>
        <w:rPr>
          <w:sz w:val="24"/>
          <w:vertAlign w:val="superscript"/>
        </w:rPr>
        <w:t>2+</w:t>
      </w:r>
      <w:r>
        <w:rPr>
          <w:sz w:val="24"/>
        </w:rPr>
        <w:t xml:space="preserve"> 、Mg</w:t>
      </w:r>
      <w:r>
        <w:rPr>
          <w:sz w:val="24"/>
          <w:vertAlign w:val="superscript"/>
        </w:rPr>
        <w:t>2+</w:t>
      </w:r>
      <w:r>
        <w:rPr>
          <w:sz w:val="24"/>
        </w:rPr>
        <w:t xml:space="preserve"> 、CO</w:t>
      </w:r>
      <w:r>
        <w:rPr>
          <w:sz w:val="24"/>
          <w:vertAlign w:val="subscript"/>
        </w:rPr>
        <w:t>3</w:t>
      </w:r>
      <w:r>
        <w:rPr>
          <w:sz w:val="24"/>
        </w:rPr>
        <w:t xml:space="preserve"> </w:t>
      </w:r>
      <w:r>
        <w:rPr>
          <w:sz w:val="24"/>
          <w:vertAlign w:val="superscript"/>
        </w:rPr>
        <w:t>2-</w:t>
      </w:r>
      <w:r>
        <w:rPr>
          <w:sz w:val="24"/>
        </w:rPr>
        <w:t xml:space="preserve"> 、HCO</w:t>
      </w:r>
      <w:r>
        <w:rPr>
          <w:sz w:val="24"/>
          <w:vertAlign w:val="superscript"/>
        </w:rPr>
        <w:t>3-</w:t>
      </w:r>
      <w:r>
        <w:rPr>
          <w:sz w:val="24"/>
        </w:rPr>
        <w:t xml:space="preserve"> 、Cl</w:t>
      </w:r>
      <w:r>
        <w:rPr>
          <w:sz w:val="24"/>
          <w:vertAlign w:val="superscript"/>
        </w:rPr>
        <w:t>-</w:t>
      </w:r>
      <w:r>
        <w:rPr>
          <w:sz w:val="24"/>
        </w:rPr>
        <w:t xml:space="preserve"> 、SO</w:t>
      </w:r>
      <w:r>
        <w:rPr>
          <w:sz w:val="24"/>
          <w:vertAlign w:val="subscript"/>
        </w:rPr>
        <w:t>4</w:t>
      </w:r>
      <w:r>
        <w:rPr>
          <w:sz w:val="24"/>
          <w:vertAlign w:val="superscript"/>
        </w:rPr>
        <w:t>2-</w:t>
      </w:r>
      <w:r>
        <w:rPr>
          <w:sz w:val="24"/>
        </w:rPr>
        <w:t>、</w:t>
      </w:r>
      <w:r>
        <w:rPr>
          <w:rFonts w:hint="eastAsia"/>
          <w:sz w:val="24"/>
        </w:rPr>
        <w:t>总</w:t>
      </w:r>
      <w:r>
        <w:rPr>
          <w:sz w:val="24"/>
        </w:rPr>
        <w:t>铬、溶解性总固体、硫酸盐、氯化物、硝酸盐氮、亚硝酸盐氮、挥发酚、氰化物、锰、铜、锌、氟化物。</w:t>
      </w:r>
      <w:r>
        <w:rPr>
          <w:rFonts w:hint="eastAsia"/>
          <w:sz w:val="24"/>
        </w:rPr>
        <w:t>根据</w:t>
      </w:r>
      <w:r>
        <w:rPr>
          <w:sz w:val="24"/>
        </w:rPr>
        <w:t>评价</w:t>
      </w:r>
      <w:r>
        <w:rPr>
          <w:rFonts w:hint="eastAsia"/>
          <w:sz w:val="24"/>
        </w:rPr>
        <w:t>结果， D7监测井氨氮、总硬度、溶解性总固体出现超标，超标原因为该水井为养羊场内取水井，可能受到养殖污染，其他各监测点监测因子均满足《地下水质量标准》（GB/T14848-2017）III类标准。</w:t>
      </w:r>
    </w:p>
    <w:p>
      <w:pPr>
        <w:pStyle w:val="2235"/>
        <w:ind w:firstLine="480"/>
        <w:rPr>
          <w:rFonts w:ascii="Times New Roman" w:hAnsi="Times New Roman"/>
          <w:color w:val="FF0000"/>
          <w:kern w:val="2"/>
          <w:szCs w:val="24"/>
        </w:rPr>
      </w:pPr>
      <w:r>
        <w:rPr>
          <w:rFonts w:hint="eastAsia" w:ascii="Times New Roman" w:hAnsi="Times New Roman"/>
          <w:color w:val="FF0000"/>
          <w:kern w:val="2"/>
          <w:szCs w:val="24"/>
        </w:rPr>
        <w:t>由于本项目已投入运行，本次评价委托内蒙古航峰检测技术有限公司于2023年</w:t>
      </w:r>
      <w:r>
        <w:rPr>
          <w:rFonts w:ascii="Times New Roman" w:hAnsi="Times New Roman"/>
          <w:color w:val="FF0000"/>
          <w:kern w:val="2"/>
          <w:szCs w:val="24"/>
        </w:rPr>
        <w:t>8</w:t>
      </w:r>
      <w:r>
        <w:rPr>
          <w:rFonts w:hint="eastAsia" w:ascii="Times New Roman" w:hAnsi="Times New Roman"/>
          <w:color w:val="FF0000"/>
          <w:kern w:val="2"/>
          <w:szCs w:val="24"/>
        </w:rPr>
        <w:t>月</w:t>
      </w:r>
      <w:r>
        <w:rPr>
          <w:rFonts w:ascii="Times New Roman" w:hAnsi="Times New Roman"/>
          <w:color w:val="FF0000"/>
          <w:kern w:val="2"/>
          <w:szCs w:val="24"/>
        </w:rPr>
        <w:t>11</w:t>
      </w:r>
      <w:r>
        <w:rPr>
          <w:rFonts w:hint="eastAsia" w:ascii="Times New Roman" w:hAnsi="Times New Roman"/>
          <w:color w:val="FF0000"/>
          <w:kern w:val="2"/>
          <w:szCs w:val="24"/>
        </w:rPr>
        <w:t>日</w:t>
      </w:r>
      <w:r>
        <w:rPr>
          <w:rFonts w:ascii="Times New Roman" w:hAnsi="Times New Roman"/>
          <w:color w:val="FF0000"/>
          <w:kern w:val="2"/>
          <w:szCs w:val="24"/>
        </w:rPr>
        <w:t>开展</w:t>
      </w:r>
      <w:r>
        <w:rPr>
          <w:rFonts w:hint="eastAsia" w:ascii="Times New Roman" w:hAnsi="Times New Roman"/>
          <w:color w:val="FF0000"/>
          <w:kern w:val="2"/>
          <w:szCs w:val="24"/>
        </w:rPr>
        <w:t>了填埋区</w:t>
      </w:r>
      <w:r>
        <w:rPr>
          <w:rFonts w:ascii="Times New Roman" w:hAnsi="Times New Roman"/>
          <w:color w:val="FF0000"/>
          <w:kern w:val="2"/>
          <w:szCs w:val="24"/>
        </w:rPr>
        <w:t>的包气带污染现状调查。</w:t>
      </w:r>
      <w:r>
        <w:rPr>
          <w:rFonts w:hint="eastAsia" w:ascii="Times New Roman" w:hAnsi="Times New Roman"/>
          <w:color w:val="FF0000"/>
          <w:kern w:val="2"/>
          <w:szCs w:val="24"/>
        </w:rPr>
        <w:t>本次评价共布设3个监测点位，监测项目为pH、总硬度、硝酸盐氮、亚硝酸盐氮、氨氮、耗氧量、氟化物、氰化物、溶解性总固体、挥发性酚类、铬（六价）、总大肠菌群、菌落总数、砷、汞、铅、铁、锰、镉、锌、铜、总铬。监测结果表明可能受到污染点（调节池北侧点位、填埋场东侧点位）与背景点（厂区外监测点）各监测因子对比无明显差异，表明包气带环境未受到污染。</w:t>
      </w:r>
    </w:p>
    <w:p>
      <w:pPr>
        <w:pStyle w:val="4"/>
        <w:spacing w:before="120" w:after="120"/>
      </w:pPr>
      <w:bookmarkStart w:id="802" w:name="_Toc489433177"/>
      <w:bookmarkStart w:id="803" w:name="_Toc143762413"/>
      <w:r>
        <w:t>11.2.3土壤</w:t>
      </w:r>
      <w:bookmarkEnd w:id="802"/>
      <w:bookmarkEnd w:id="803"/>
    </w:p>
    <w:p>
      <w:pPr>
        <w:spacing w:line="360" w:lineRule="auto"/>
        <w:ind w:firstLine="480" w:firstLineChars="200"/>
        <w:rPr>
          <w:sz w:val="24"/>
        </w:rPr>
      </w:pPr>
      <w:bookmarkStart w:id="804" w:name="_Toc424484778"/>
      <w:bookmarkStart w:id="805" w:name="_Toc423602428"/>
      <w:bookmarkStart w:id="806" w:name="_Toc489433178"/>
      <w:r>
        <w:rPr>
          <w:sz w:val="24"/>
        </w:rPr>
        <w:t>本次土壤质量现状监测</w:t>
      </w:r>
      <w:r>
        <w:rPr>
          <w:rFonts w:hint="eastAsia"/>
          <w:sz w:val="24"/>
        </w:rPr>
        <w:t>委托</w:t>
      </w:r>
      <w:r>
        <w:rPr>
          <w:sz w:val="24"/>
        </w:rPr>
        <w:t>内蒙古航峰检测技术有限公司于2023年3月28日在</w:t>
      </w:r>
      <w:r>
        <w:rPr>
          <w:rFonts w:hint="eastAsia"/>
          <w:sz w:val="24"/>
        </w:rPr>
        <w:t>进行了监测</w:t>
      </w:r>
      <w:r>
        <w:rPr>
          <w:sz w:val="24"/>
        </w:rPr>
        <w:t>。</w:t>
      </w:r>
      <w:r>
        <w:rPr>
          <w:kern w:val="0"/>
          <w:sz w:val="24"/>
        </w:rPr>
        <w:t>在项目占地范围内共布设3个柱状样，1个表层样，占地范围外布设2个表层样</w:t>
      </w:r>
      <w:r>
        <w:rPr>
          <w:sz w:val="24"/>
        </w:rPr>
        <w:t>。</w:t>
      </w:r>
    </w:p>
    <w:p>
      <w:pPr>
        <w:spacing w:line="360" w:lineRule="auto"/>
        <w:ind w:firstLine="480" w:firstLineChars="200"/>
        <w:rPr>
          <w:sz w:val="24"/>
        </w:rPr>
      </w:pPr>
      <w:r>
        <w:rPr>
          <w:sz w:val="24"/>
        </w:rPr>
        <w:t>根据监测结果表明，</w:t>
      </w:r>
      <w:r>
        <w:rPr>
          <w:rFonts w:hint="eastAsia"/>
          <w:sz w:val="24"/>
        </w:rPr>
        <w:t>占地范围内</w:t>
      </w:r>
      <w:r>
        <w:rPr>
          <w:sz w:val="24"/>
        </w:rPr>
        <w:t>各监测点各项指标均能达到《土壤环境质量建设用地土壤污染风险管控标准（试行）》（GB/36600-2018）》中风险筛选值标准，</w:t>
      </w:r>
      <w:r>
        <w:rPr>
          <w:rFonts w:hint="eastAsia"/>
          <w:sz w:val="24"/>
        </w:rPr>
        <w:t>占地范围外</w:t>
      </w:r>
      <w:r>
        <w:rPr>
          <w:sz w:val="24"/>
        </w:rPr>
        <w:t>各项指标均能达到《土壤环境质量 农用地土壤污染风险管控标准（试行）》（GB/15618-2018）中的风险筛选值标准</w:t>
      </w:r>
      <w:r>
        <w:rPr>
          <w:rFonts w:hint="eastAsia"/>
          <w:sz w:val="24"/>
        </w:rPr>
        <w:t>，</w:t>
      </w:r>
      <w:r>
        <w:rPr>
          <w:sz w:val="24"/>
        </w:rPr>
        <w:t>表明</w:t>
      </w:r>
      <w:r>
        <w:rPr>
          <w:rFonts w:hint="eastAsia"/>
          <w:sz w:val="24"/>
        </w:rPr>
        <w:t>调节池周边、办公区</w:t>
      </w:r>
      <w:r>
        <w:rPr>
          <w:sz w:val="24"/>
        </w:rPr>
        <w:t>等各占地范围内及评价范围内土壤环境质量良好。</w:t>
      </w:r>
    </w:p>
    <w:p>
      <w:pPr>
        <w:pStyle w:val="4"/>
        <w:spacing w:before="120" w:after="120"/>
      </w:pPr>
      <w:bookmarkStart w:id="807" w:name="_Toc143762414"/>
      <w:r>
        <w:t>11.2.4声环境</w:t>
      </w:r>
      <w:bookmarkEnd w:id="804"/>
      <w:bookmarkEnd w:id="805"/>
      <w:bookmarkEnd w:id="806"/>
      <w:bookmarkEnd w:id="807"/>
    </w:p>
    <w:p>
      <w:pPr>
        <w:spacing w:line="360" w:lineRule="auto"/>
        <w:ind w:firstLine="480" w:firstLineChars="200"/>
        <w:rPr>
          <w:sz w:val="24"/>
        </w:rPr>
        <w:sectPr>
          <w:pgSz w:w="11906" w:h="16838"/>
          <w:pgMar w:top="1440" w:right="1800" w:bottom="1440" w:left="1800" w:header="851" w:footer="992" w:gutter="0"/>
          <w:cols w:space="720" w:num="1"/>
          <w:docGrid w:type="lines" w:linePitch="312" w:charSpace="0"/>
        </w:sectPr>
      </w:pPr>
      <w:bookmarkStart w:id="808" w:name="_Toc98941669"/>
      <w:bookmarkStart w:id="809" w:name="_Toc422845172"/>
      <w:bookmarkStart w:id="810" w:name="_Toc409114619"/>
      <w:r>
        <w:rPr>
          <w:sz w:val="24"/>
        </w:rPr>
        <w:t>垃圾处理场的噪声现状监测值昼间在52～54dB（A）之间、夜间在42～44dB（A）之间；监测点均未超过《声环境质量标准》（GB3096-2008）2类标准限值，说明本项目所处地区声环境质量良好。</w:t>
      </w:r>
    </w:p>
    <w:p>
      <w:pPr>
        <w:pStyle w:val="3"/>
        <w:spacing w:before="120" w:after="120"/>
        <w:rPr>
          <w:rFonts w:ascii="Times New Roman" w:hAnsi="Times New Roman" w:eastAsia="宋体"/>
        </w:rPr>
      </w:pPr>
      <w:bookmarkStart w:id="811" w:name="_Toc489433179"/>
      <w:bookmarkStart w:id="812" w:name="_Toc143762415"/>
      <w:r>
        <w:rPr>
          <w:rFonts w:ascii="Times New Roman" w:hAnsi="Times New Roman" w:eastAsia="宋体"/>
        </w:rPr>
        <w:t>11.3污染</w:t>
      </w:r>
      <w:bookmarkEnd w:id="808"/>
      <w:bookmarkEnd w:id="809"/>
      <w:bookmarkEnd w:id="810"/>
      <w:r>
        <w:rPr>
          <w:rFonts w:ascii="Times New Roman" w:hAnsi="Times New Roman" w:eastAsia="宋体"/>
        </w:rPr>
        <w:t>防治措施</w:t>
      </w:r>
      <w:bookmarkEnd w:id="811"/>
      <w:bookmarkEnd w:id="812"/>
    </w:p>
    <w:p>
      <w:pPr>
        <w:pStyle w:val="4"/>
        <w:spacing w:before="120" w:after="120"/>
      </w:pPr>
      <w:bookmarkStart w:id="813" w:name="_Toc422845173"/>
      <w:bookmarkStart w:id="814" w:name="_Toc347090119"/>
      <w:bookmarkStart w:id="815" w:name="_Toc409114620"/>
      <w:bookmarkStart w:id="816" w:name="_Toc98941670"/>
      <w:bookmarkStart w:id="817" w:name="_Toc489433180"/>
      <w:bookmarkStart w:id="818" w:name="_Toc143762416"/>
      <w:r>
        <w:t>11.3.1</w:t>
      </w:r>
      <w:bookmarkEnd w:id="813"/>
      <w:bookmarkEnd w:id="814"/>
      <w:bookmarkEnd w:id="815"/>
      <w:bookmarkEnd w:id="816"/>
      <w:r>
        <w:t>环境空气污染防治措施</w:t>
      </w:r>
      <w:bookmarkEnd w:id="817"/>
      <w:bookmarkEnd w:id="818"/>
    </w:p>
    <w:p>
      <w:pPr>
        <w:pStyle w:val="69"/>
        <w:spacing w:after="0" w:line="360" w:lineRule="auto"/>
        <w:ind w:left="0" w:leftChars="0" w:firstLine="480" w:firstLineChars="200"/>
        <w:jc w:val="both"/>
        <w:rPr>
          <w:sz w:val="24"/>
          <w:szCs w:val="24"/>
        </w:rPr>
      </w:pPr>
      <w:r>
        <w:rPr>
          <w:sz w:val="24"/>
          <w:szCs w:val="24"/>
        </w:rPr>
        <w:fldChar w:fldCharType="begin"/>
      </w:r>
      <w:r>
        <w:rPr>
          <w:sz w:val="24"/>
          <w:szCs w:val="24"/>
        </w:rPr>
        <w:instrText xml:space="preserve"> = 1 \* Arabic </w:instrText>
      </w:r>
      <w:r>
        <w:rPr>
          <w:sz w:val="24"/>
          <w:szCs w:val="24"/>
        </w:rPr>
        <w:fldChar w:fldCharType="separate"/>
      </w:r>
      <w:r>
        <w:rPr>
          <w:sz w:val="24"/>
          <w:szCs w:val="24"/>
        </w:rPr>
        <w:t>1</w:t>
      </w:r>
      <w:r>
        <w:rPr>
          <w:sz w:val="24"/>
          <w:szCs w:val="24"/>
        </w:rPr>
        <w:fldChar w:fldCharType="end"/>
      </w:r>
      <w:r>
        <w:rPr>
          <w:sz w:val="24"/>
          <w:szCs w:val="24"/>
        </w:rPr>
        <w:t>、填埋区NH</w:t>
      </w:r>
      <w:r>
        <w:rPr>
          <w:sz w:val="24"/>
          <w:szCs w:val="24"/>
          <w:vertAlign w:val="subscript"/>
        </w:rPr>
        <w:t>3</w:t>
      </w:r>
      <w:r>
        <w:rPr>
          <w:sz w:val="24"/>
          <w:szCs w:val="24"/>
        </w:rPr>
        <w:t>、H</w:t>
      </w:r>
      <w:r>
        <w:rPr>
          <w:sz w:val="24"/>
          <w:szCs w:val="24"/>
          <w:vertAlign w:val="subscript"/>
        </w:rPr>
        <w:t>2</w:t>
      </w:r>
      <w:r>
        <w:rPr>
          <w:sz w:val="24"/>
          <w:szCs w:val="24"/>
        </w:rPr>
        <w:t>S</w:t>
      </w:r>
      <w:r>
        <w:rPr>
          <w:rFonts w:hint="eastAsia"/>
          <w:sz w:val="24"/>
          <w:szCs w:val="24"/>
        </w:rPr>
        <w:t>恶臭气体</w:t>
      </w:r>
      <w:r>
        <w:rPr>
          <w:sz w:val="24"/>
          <w:szCs w:val="24"/>
        </w:rPr>
        <w:t>和CH</w:t>
      </w:r>
      <w:r>
        <w:rPr>
          <w:sz w:val="24"/>
          <w:szCs w:val="24"/>
          <w:vertAlign w:val="subscript"/>
        </w:rPr>
        <w:t>4</w:t>
      </w:r>
      <w:r>
        <w:rPr>
          <w:sz w:val="24"/>
          <w:szCs w:val="24"/>
        </w:rPr>
        <w:t>的控制措施</w:t>
      </w:r>
    </w:p>
    <w:p>
      <w:pPr>
        <w:pStyle w:val="69"/>
        <w:spacing w:after="0" w:line="360" w:lineRule="auto"/>
        <w:ind w:left="0" w:leftChars="0" w:firstLine="480" w:firstLineChars="200"/>
        <w:jc w:val="both"/>
        <w:rPr>
          <w:sz w:val="24"/>
          <w:szCs w:val="24"/>
        </w:rPr>
      </w:pPr>
      <w:r>
        <w:rPr>
          <w:rFonts w:hint="eastAsia" w:ascii="宋体" w:hAnsi="宋体" w:cs="宋体"/>
          <w:sz w:val="24"/>
          <w:szCs w:val="24"/>
        </w:rPr>
        <w:t>①</w:t>
      </w:r>
      <w:r>
        <w:rPr>
          <w:sz w:val="24"/>
          <w:szCs w:val="24"/>
        </w:rPr>
        <w:t>严格按照垃圾填埋工艺填埋垃圾，分层压实，并及时覆土；终场覆土1.0m以上，并在四周设置绿化隔离带。</w:t>
      </w:r>
    </w:p>
    <w:p>
      <w:pPr>
        <w:pStyle w:val="69"/>
        <w:spacing w:after="0" w:line="360" w:lineRule="auto"/>
        <w:ind w:left="0" w:leftChars="0" w:firstLine="480" w:firstLineChars="200"/>
        <w:jc w:val="both"/>
        <w:rPr>
          <w:sz w:val="24"/>
          <w:szCs w:val="24"/>
        </w:rPr>
      </w:pPr>
      <w:r>
        <w:rPr>
          <w:rFonts w:hint="eastAsia" w:ascii="宋体" w:hAnsi="宋体" w:cs="宋体"/>
          <w:sz w:val="24"/>
          <w:szCs w:val="24"/>
        </w:rPr>
        <w:t>②</w:t>
      </w:r>
      <w:r>
        <w:rPr>
          <w:sz w:val="24"/>
          <w:szCs w:val="24"/>
        </w:rPr>
        <w:t>在垃圾填埋场隔30m设一个导气石笼，设置高度必须高出垃圾填埋场填埋面1m以上。</w:t>
      </w:r>
    </w:p>
    <w:p>
      <w:pPr>
        <w:pStyle w:val="69"/>
        <w:adjustRightInd w:val="0"/>
        <w:snapToGrid w:val="0"/>
        <w:spacing w:after="0" w:line="360" w:lineRule="auto"/>
        <w:ind w:left="0" w:leftChars="0" w:firstLine="480" w:firstLineChars="200"/>
        <w:jc w:val="both"/>
        <w:rPr>
          <w:sz w:val="24"/>
          <w:szCs w:val="24"/>
        </w:rPr>
      </w:pPr>
      <w:r>
        <w:rPr>
          <w:sz w:val="24"/>
          <w:szCs w:val="24"/>
        </w:rPr>
        <w:fldChar w:fldCharType="begin"/>
      </w:r>
      <w:r>
        <w:rPr>
          <w:sz w:val="24"/>
          <w:szCs w:val="24"/>
        </w:rPr>
        <w:instrText xml:space="preserve"> </w:instrText>
      </w:r>
      <w:r>
        <w:rPr>
          <w:rFonts w:hint="eastAsia"/>
          <w:sz w:val="24"/>
          <w:szCs w:val="24"/>
        </w:rPr>
        <w:instrText xml:space="preserve">= 3 \* GB3</w:instrText>
      </w:r>
      <w:r>
        <w:rPr>
          <w:sz w:val="24"/>
          <w:szCs w:val="24"/>
        </w:rPr>
        <w:instrText xml:space="preserve"> </w:instrText>
      </w:r>
      <w:r>
        <w:rPr>
          <w:sz w:val="24"/>
          <w:szCs w:val="24"/>
        </w:rPr>
        <w:fldChar w:fldCharType="separate"/>
      </w:r>
      <w:r>
        <w:rPr>
          <w:rFonts w:hint="eastAsia"/>
          <w:sz w:val="24"/>
          <w:szCs w:val="24"/>
        </w:rPr>
        <w:t>③</w:t>
      </w:r>
      <w:r>
        <w:rPr>
          <w:sz w:val="24"/>
          <w:szCs w:val="24"/>
        </w:rPr>
        <w:fldChar w:fldCharType="end"/>
      </w:r>
      <w:r>
        <w:rPr>
          <w:sz w:val="24"/>
          <w:szCs w:val="24"/>
        </w:rPr>
        <w:t>填埋区域定期喷洒除臭剂。</w:t>
      </w:r>
    </w:p>
    <w:p>
      <w:pPr>
        <w:autoSpaceDE w:val="0"/>
        <w:autoSpaceDN w:val="0"/>
        <w:adjustRightInd w:val="0"/>
        <w:snapToGrid w:val="0"/>
        <w:spacing w:line="360" w:lineRule="auto"/>
        <w:ind w:firstLine="480" w:firstLineChars="200"/>
        <w:rPr>
          <w:sz w:val="24"/>
        </w:rPr>
      </w:pPr>
      <w:r>
        <w:rPr>
          <w:rFonts w:hint="eastAsia"/>
          <w:sz w:val="24"/>
        </w:rPr>
        <w:t>①</w:t>
      </w:r>
      <w:r>
        <w:rPr>
          <w:sz w:val="24"/>
        </w:rPr>
        <w:t>严格按照垃圾填埋工艺填埋垃圾，分层压实，分层填埋填埋厚度为2.0米左右，</w:t>
      </w:r>
      <w:r>
        <w:rPr>
          <w:rFonts w:hint="eastAsia"/>
          <w:sz w:val="24"/>
        </w:rPr>
        <w:t>并及时覆土。土覆盖压实不仅抑制臭气的散发，同时可以增强土壤中的微生物本身的脱臭除臭作用。</w:t>
      </w:r>
    </w:p>
    <w:p>
      <w:pPr>
        <w:autoSpaceDE w:val="0"/>
        <w:autoSpaceDN w:val="0"/>
        <w:adjustRightInd w:val="0"/>
        <w:snapToGrid w:val="0"/>
        <w:spacing w:line="360" w:lineRule="auto"/>
        <w:ind w:firstLine="480" w:firstLineChars="200"/>
        <w:rPr>
          <w:sz w:val="24"/>
        </w:rPr>
      </w:pPr>
      <w:r>
        <w:rPr>
          <w:rFonts w:hint="eastAsia" w:ascii="宋体" w:hAnsi="宋体" w:cs="宋体"/>
          <w:sz w:val="24"/>
        </w:rPr>
        <w:t>②</w:t>
      </w:r>
      <w:r>
        <w:rPr>
          <w:sz w:val="24"/>
        </w:rPr>
        <w:t>在垃圾填埋场隔30米设一个导气石笼，设置高度必须高出垃圾填埋场填埋面1m以上。</w:t>
      </w:r>
    </w:p>
    <w:p>
      <w:pPr>
        <w:autoSpaceDE w:val="0"/>
        <w:autoSpaceDN w:val="0"/>
        <w:adjustRightInd w:val="0"/>
        <w:snapToGrid w:val="0"/>
        <w:spacing w:line="360" w:lineRule="auto"/>
        <w:ind w:firstLine="480" w:firstLineChars="200"/>
        <w:rPr>
          <w:sz w:val="24"/>
        </w:rPr>
      </w:pPr>
      <w:r>
        <w:rPr>
          <w:rFonts w:hint="eastAsia"/>
          <w:sz w:val="24"/>
        </w:rPr>
        <w:t>③定期喷洒药物，采用喷洒消臭、脱臭剂的方式，可以起到掩蔽、中和及消除恶臭的作用，把恶臭气体强度降到人们嗅觉所能接受的水平以下。</w:t>
      </w:r>
    </w:p>
    <w:p>
      <w:pPr>
        <w:autoSpaceDE w:val="0"/>
        <w:autoSpaceDN w:val="0"/>
        <w:adjustRightInd w:val="0"/>
        <w:snapToGrid w:val="0"/>
        <w:spacing w:line="360" w:lineRule="auto"/>
        <w:ind w:firstLine="480" w:firstLineChars="200"/>
        <w:rPr>
          <w:sz w:val="24"/>
        </w:rPr>
      </w:pPr>
      <w:r>
        <w:rPr>
          <w:rFonts w:hint="eastAsia"/>
          <w:sz w:val="24"/>
        </w:rPr>
        <w:t>④使用杀菌剂、防腐剂，降低垃圾等有机物腐败分解的速度。</w:t>
      </w:r>
    </w:p>
    <w:p>
      <w:pPr>
        <w:autoSpaceDE w:val="0"/>
        <w:autoSpaceDN w:val="0"/>
        <w:adjustRightInd w:val="0"/>
        <w:snapToGrid w:val="0"/>
        <w:spacing w:line="360" w:lineRule="auto"/>
        <w:ind w:firstLine="480" w:firstLineChars="200"/>
        <w:jc w:val="left"/>
        <w:rPr>
          <w:rFonts w:ascii="宋体" w:hAnsi="宋体" w:cs="宋体"/>
          <w:kern w:val="0"/>
          <w:sz w:val="24"/>
        </w:rPr>
      </w:pPr>
      <w:r>
        <w:rPr>
          <w:rFonts w:hint="eastAsia" w:ascii="宋体" w:hAnsi="宋体" w:cs="宋体"/>
          <w:kern w:val="0"/>
          <w:sz w:val="24"/>
        </w:rPr>
        <w:t xml:space="preserve">⑤终场覆土 </w:t>
      </w:r>
      <w:r>
        <w:rPr>
          <w:rFonts w:cs="宋体"/>
          <w:kern w:val="0"/>
          <w:sz w:val="24"/>
        </w:rPr>
        <w:t xml:space="preserve">1.0m </w:t>
      </w:r>
      <w:r>
        <w:rPr>
          <w:rFonts w:hint="eastAsia" w:ascii="宋体" w:hAnsi="宋体" w:cs="宋体"/>
          <w:kern w:val="0"/>
          <w:sz w:val="24"/>
        </w:rPr>
        <w:t>以上并及时恢复绿化。</w:t>
      </w:r>
    </w:p>
    <w:p>
      <w:pPr>
        <w:autoSpaceDE w:val="0"/>
        <w:autoSpaceDN w:val="0"/>
        <w:adjustRightInd w:val="0"/>
        <w:snapToGrid w:val="0"/>
        <w:spacing w:line="360" w:lineRule="auto"/>
        <w:ind w:firstLine="480" w:firstLineChars="200"/>
        <w:jc w:val="left"/>
        <w:rPr>
          <w:rFonts w:ascii="宋体" w:hAnsi="宋体" w:cs="宋体"/>
          <w:kern w:val="0"/>
          <w:sz w:val="24"/>
        </w:rPr>
      </w:pPr>
      <w:r>
        <w:rPr>
          <w:rFonts w:ascii="宋体" w:hAnsi="宋体" w:cs="宋体"/>
          <w:kern w:val="0"/>
          <w:sz w:val="24"/>
        </w:rPr>
        <w:fldChar w:fldCharType="begin"/>
      </w:r>
      <w:r>
        <w:rPr>
          <w:rFonts w:ascii="宋体" w:hAnsi="宋体" w:cs="宋体"/>
          <w:kern w:val="0"/>
          <w:sz w:val="24"/>
        </w:rPr>
        <w:instrText xml:space="preserve"> </w:instrText>
      </w:r>
      <w:r>
        <w:rPr>
          <w:rFonts w:hint="eastAsia" w:ascii="宋体" w:hAnsi="宋体" w:cs="宋体"/>
          <w:kern w:val="0"/>
          <w:sz w:val="24"/>
        </w:rPr>
        <w:instrText xml:space="preserve">= 6 \* GB3</w:instrText>
      </w:r>
      <w:r>
        <w:rPr>
          <w:rFonts w:ascii="宋体" w:hAnsi="宋体" w:cs="宋体"/>
          <w:kern w:val="0"/>
          <w:sz w:val="24"/>
        </w:rPr>
        <w:instrText xml:space="preserve"> </w:instrText>
      </w:r>
      <w:r>
        <w:rPr>
          <w:rFonts w:ascii="宋体" w:hAnsi="宋体" w:cs="宋体"/>
          <w:kern w:val="0"/>
          <w:sz w:val="24"/>
        </w:rPr>
        <w:fldChar w:fldCharType="separate"/>
      </w:r>
      <w:r>
        <w:rPr>
          <w:rFonts w:hint="eastAsia" w:ascii="宋体" w:hAnsi="宋体" w:cs="宋体"/>
          <w:kern w:val="0"/>
          <w:sz w:val="24"/>
        </w:rPr>
        <w:t>⑥</w:t>
      </w:r>
      <w:r>
        <w:rPr>
          <w:rFonts w:ascii="宋体" w:hAnsi="宋体" w:cs="宋体"/>
          <w:kern w:val="0"/>
          <w:sz w:val="24"/>
        </w:rPr>
        <w:fldChar w:fldCharType="end"/>
      </w:r>
      <w:r>
        <w:rPr>
          <w:rFonts w:hint="eastAsia" w:ascii="宋体" w:hAnsi="宋体" w:cs="宋体"/>
          <w:kern w:val="0"/>
          <w:sz w:val="24"/>
        </w:rPr>
        <w:t>填埋场区和填埋气体排放口的甲烷体积分数监测。</w:t>
      </w:r>
    </w:p>
    <w:p>
      <w:pPr>
        <w:adjustRightInd w:val="0"/>
        <w:snapToGrid w:val="0"/>
        <w:spacing w:line="360" w:lineRule="auto"/>
        <w:ind w:firstLine="480" w:firstLineChars="200"/>
        <w:rPr>
          <w:sz w:val="24"/>
        </w:rPr>
      </w:pPr>
      <w:r>
        <w:rPr>
          <w:sz w:val="24"/>
        </w:rPr>
        <w:t>2</w:t>
      </w:r>
      <w:r>
        <w:rPr>
          <w:rFonts w:hint="eastAsia"/>
          <w:sz w:val="24"/>
        </w:rPr>
        <w:t>、渗滤液处理系统恶臭气体的控制措施</w:t>
      </w:r>
    </w:p>
    <w:p>
      <w:pPr>
        <w:adjustRightInd w:val="0"/>
        <w:snapToGrid w:val="0"/>
        <w:spacing w:line="360" w:lineRule="auto"/>
        <w:ind w:firstLine="480" w:firstLineChars="200"/>
        <w:rPr>
          <w:color w:val="FF0000"/>
          <w:sz w:val="24"/>
        </w:rPr>
      </w:pPr>
      <w:r>
        <w:rPr>
          <w:rFonts w:hint="eastAsia"/>
          <w:color w:val="FF0000"/>
          <w:sz w:val="24"/>
        </w:rPr>
        <w:t xml:space="preserve">项目调节池采用地埋式密封，形成了一个很好的厌氧环境，通过调节池的长时间停留可以将渗滤液均质，并通过厌氧处理大量降解污染物。调节池采用密封的形式，使得整个调节池呈封闭厌氧状态，在去除臭味的同时，可对 </w:t>
      </w:r>
      <w:r>
        <w:rPr>
          <w:color w:val="FF0000"/>
          <w:sz w:val="24"/>
        </w:rPr>
        <w:t xml:space="preserve">COD </w:t>
      </w:r>
      <w:r>
        <w:rPr>
          <w:rFonts w:hint="eastAsia"/>
          <w:color w:val="FF0000"/>
          <w:sz w:val="24"/>
        </w:rPr>
        <w:t>有一定的去除率，同时可避免雨季过多的雨水注入调节池，控制蚊蝇滋生、臭气外逸。项目渗滤液处理站采取封闭、喷洒除臭剂。不会导致填埋场及周边地区臭气污染。</w:t>
      </w:r>
    </w:p>
    <w:p>
      <w:pPr>
        <w:adjustRightInd w:val="0"/>
        <w:snapToGrid w:val="0"/>
        <w:spacing w:line="360" w:lineRule="auto"/>
        <w:ind w:firstLine="480" w:firstLineChars="200"/>
        <w:rPr>
          <w:sz w:val="24"/>
        </w:rPr>
      </w:pPr>
      <w:r>
        <w:rPr>
          <w:sz w:val="24"/>
        </w:rPr>
        <w:t>3</w:t>
      </w:r>
      <w:r>
        <w:rPr>
          <w:rFonts w:hint="eastAsia"/>
          <w:sz w:val="24"/>
        </w:rPr>
        <w:t>、填埋作业粉尘控制</w:t>
      </w:r>
    </w:p>
    <w:p>
      <w:pPr>
        <w:adjustRightInd w:val="0"/>
        <w:snapToGrid w:val="0"/>
        <w:spacing w:line="360" w:lineRule="auto"/>
        <w:ind w:firstLine="480" w:firstLineChars="200"/>
        <w:rPr>
          <w:sz w:val="24"/>
        </w:rPr>
      </w:pPr>
      <w:r>
        <w:rPr>
          <w:kern w:val="0"/>
          <w:sz w:val="24"/>
        </w:rPr>
        <w:t>本项目在填埋区四周设置高6.0m防飞散网对填埋过程可能飞散的垃圾进行有效阻隔。生活垃圾填埋区采取分区、分单元进行填埋作业，降低卸车高度、速率，每日填埋作业结束后，对作业面进行覆盖抑尘，定期洒水抑尘。</w:t>
      </w:r>
    </w:p>
    <w:p>
      <w:pPr>
        <w:pStyle w:val="4"/>
        <w:spacing w:before="120" w:after="120"/>
      </w:pPr>
      <w:bookmarkStart w:id="819" w:name="_Toc98941671"/>
      <w:bookmarkStart w:id="820" w:name="_Toc422845174"/>
      <w:bookmarkStart w:id="821" w:name="_Toc409114621"/>
      <w:bookmarkStart w:id="822" w:name="_Toc347090120"/>
      <w:bookmarkStart w:id="823" w:name="_Toc489433181"/>
      <w:bookmarkStart w:id="824" w:name="_Toc143762417"/>
      <w:r>
        <w:t>11.3.2</w:t>
      </w:r>
      <w:bookmarkEnd w:id="819"/>
      <w:bookmarkEnd w:id="820"/>
      <w:bookmarkEnd w:id="821"/>
      <w:bookmarkEnd w:id="822"/>
      <w:r>
        <w:t>水污染防治措施</w:t>
      </w:r>
      <w:bookmarkEnd w:id="823"/>
      <w:bookmarkEnd w:id="824"/>
    </w:p>
    <w:p>
      <w:pPr>
        <w:pStyle w:val="939"/>
        <w:adjustRightInd w:val="0"/>
        <w:snapToGrid w:val="0"/>
        <w:ind w:firstLine="480"/>
        <w:jc w:val="left"/>
      </w:pPr>
      <w:r>
        <w:t>运营期废水为</w:t>
      </w:r>
      <w:r>
        <w:rPr>
          <w:rFonts w:hint="eastAsia"/>
        </w:rPr>
        <w:t>填埋场</w:t>
      </w:r>
      <w:r>
        <w:t>渗滤液、</w:t>
      </w:r>
      <w:r>
        <w:rPr>
          <w:rFonts w:hint="eastAsia"/>
        </w:rPr>
        <w:t>反渗透膜</w:t>
      </w:r>
      <w:r>
        <w:t>冲洗废水和工作人员的生活污水。</w:t>
      </w:r>
    </w:p>
    <w:p>
      <w:pPr>
        <w:pStyle w:val="939"/>
        <w:adjustRightInd w:val="0"/>
        <w:snapToGrid w:val="0"/>
        <w:ind w:firstLine="480"/>
      </w:pPr>
      <w:r>
        <w:t>渗滤液产量为1.2m</w:t>
      </w:r>
      <w:r>
        <w:rPr>
          <w:vertAlign w:val="superscript"/>
        </w:rPr>
        <w:t>3</w:t>
      </w:r>
      <w:r>
        <w:t>/d，年产量为438t</w:t>
      </w:r>
      <w:r>
        <w:rPr>
          <w:rFonts w:hint="eastAsia"/>
        </w:rPr>
        <w:t>，处理达标后回用于绿化、抑尘等</w:t>
      </w:r>
      <w:r>
        <w:t>。</w:t>
      </w:r>
    </w:p>
    <w:p>
      <w:pPr>
        <w:adjustRightInd w:val="0"/>
        <w:snapToGrid w:val="0"/>
        <w:spacing w:line="360" w:lineRule="auto"/>
        <w:ind w:firstLine="480" w:firstLineChars="200"/>
        <w:rPr>
          <w:color w:val="FF0000"/>
          <w:sz w:val="24"/>
        </w:rPr>
      </w:pPr>
      <w:r>
        <w:rPr>
          <w:sz w:val="24"/>
        </w:rPr>
        <w:t>生活污水年污水产量为52m</w:t>
      </w:r>
      <w:r>
        <w:rPr>
          <w:sz w:val="24"/>
          <w:vertAlign w:val="superscript"/>
        </w:rPr>
        <w:t>3</w:t>
      </w:r>
      <w:r>
        <w:rPr>
          <w:sz w:val="24"/>
        </w:rPr>
        <w:t>。通过自建的化粪池预处理后</w:t>
      </w:r>
      <w:r>
        <w:rPr>
          <w:rFonts w:hint="eastAsia"/>
          <w:sz w:val="24"/>
        </w:rPr>
        <w:t>进入渗滤液处理站处理达标后回用</w:t>
      </w:r>
      <w:r>
        <w:rPr>
          <w:sz w:val="24"/>
        </w:rPr>
        <w:t>。</w:t>
      </w:r>
      <w:r>
        <w:rPr>
          <w:rFonts w:hint="eastAsia"/>
          <w:color w:val="FF0000"/>
          <w:sz w:val="24"/>
        </w:rPr>
        <w:t>项目反渗透膜冲洗废水产生量约</w:t>
      </w:r>
      <w:r>
        <w:rPr>
          <w:color w:val="FF0000"/>
          <w:sz w:val="24"/>
        </w:rPr>
        <w:t>0.1m</w:t>
      </w:r>
      <w:r>
        <w:rPr>
          <w:color w:val="FF0000"/>
          <w:sz w:val="24"/>
          <w:vertAlign w:val="superscript"/>
        </w:rPr>
        <w:t>3</w:t>
      </w:r>
      <w:r>
        <w:rPr>
          <w:color w:val="FF0000"/>
          <w:sz w:val="24"/>
        </w:rPr>
        <w:t>/d</w:t>
      </w:r>
      <w:r>
        <w:rPr>
          <w:rFonts w:hint="eastAsia"/>
          <w:color w:val="FF0000"/>
          <w:sz w:val="24"/>
        </w:rPr>
        <w:t>（</w:t>
      </w:r>
      <w:r>
        <w:rPr>
          <w:color w:val="FF0000"/>
          <w:sz w:val="24"/>
        </w:rPr>
        <w:t>36.5m</w:t>
      </w:r>
      <w:r>
        <w:rPr>
          <w:color w:val="FF0000"/>
          <w:sz w:val="24"/>
          <w:vertAlign w:val="superscript"/>
        </w:rPr>
        <w:t>3</w:t>
      </w:r>
      <w:r>
        <w:rPr>
          <w:color w:val="FF0000"/>
          <w:sz w:val="24"/>
        </w:rPr>
        <w:t>/a</w:t>
      </w:r>
      <w:r>
        <w:rPr>
          <w:rFonts w:hint="eastAsia"/>
          <w:color w:val="FF0000"/>
          <w:sz w:val="24"/>
        </w:rPr>
        <w:t>），水质较渗滤液水质各指标较低，排入渗滤液处理站处理，废水处理达标符合要求后用于绿化、填埋场洒水抑尘。</w:t>
      </w:r>
    </w:p>
    <w:p>
      <w:pPr>
        <w:pStyle w:val="4"/>
        <w:spacing w:before="120" w:after="120"/>
      </w:pPr>
      <w:bookmarkStart w:id="825" w:name="_Toc143762418"/>
      <w:bookmarkStart w:id="826" w:name="_Toc489433182"/>
      <w:r>
        <w:t>11.3.3 噪声污染防治措施</w:t>
      </w:r>
      <w:bookmarkEnd w:id="825"/>
      <w:bookmarkEnd w:id="826"/>
    </w:p>
    <w:p>
      <w:pPr>
        <w:spacing w:line="360" w:lineRule="auto"/>
        <w:ind w:firstLine="480" w:firstLineChars="200"/>
        <w:rPr>
          <w:sz w:val="24"/>
        </w:rPr>
      </w:pPr>
      <w:r>
        <w:rPr>
          <w:sz w:val="24"/>
        </w:rPr>
        <w:t>采用低噪声设备并将设备置于室内；车辆尽量少鸣笛；加强绿化，形成绿化隔离带。</w:t>
      </w:r>
    </w:p>
    <w:p>
      <w:pPr>
        <w:pStyle w:val="4"/>
        <w:spacing w:before="120" w:after="120"/>
      </w:pPr>
      <w:bookmarkStart w:id="827" w:name="_Toc143762419"/>
      <w:bookmarkStart w:id="828" w:name="_Toc489433183"/>
      <w:r>
        <w:t>11.3.4 固废污染防治措施</w:t>
      </w:r>
      <w:bookmarkEnd w:id="827"/>
      <w:bookmarkEnd w:id="828"/>
    </w:p>
    <w:p>
      <w:pPr>
        <w:tabs>
          <w:tab w:val="left" w:pos="1320"/>
        </w:tabs>
        <w:spacing w:line="360" w:lineRule="auto"/>
        <w:ind w:firstLine="480"/>
        <w:rPr>
          <w:color w:val="FF0000"/>
          <w:sz w:val="24"/>
        </w:rPr>
      </w:pPr>
      <w:bookmarkStart w:id="829" w:name="_Toc489433184"/>
      <w:bookmarkStart w:id="830" w:name="_Toc277244802"/>
      <w:bookmarkStart w:id="831" w:name="_Toc335828178"/>
      <w:bookmarkStart w:id="832" w:name="_Toc277949978"/>
      <w:bookmarkStart w:id="833" w:name="_Toc423602434"/>
      <w:bookmarkStart w:id="834" w:name="_Toc276105993"/>
      <w:bookmarkStart w:id="835" w:name="_Toc276333706"/>
      <w:bookmarkStart w:id="836" w:name="_Toc277949313"/>
      <w:bookmarkStart w:id="837" w:name="_Toc424484784"/>
      <w:bookmarkStart w:id="838" w:name="_Toc274252006"/>
      <w:bookmarkStart w:id="839" w:name="_Toc277196538"/>
      <w:bookmarkStart w:id="840" w:name="_Toc277228992"/>
      <w:bookmarkStart w:id="841" w:name="_Toc277632348"/>
      <w:bookmarkStart w:id="842" w:name="_Toc277336154"/>
      <w:bookmarkStart w:id="843" w:name="_Toc274251935"/>
      <w:bookmarkStart w:id="844" w:name="_Toc277238995"/>
      <w:r>
        <w:rPr>
          <w:color w:val="FF0000"/>
          <w:sz w:val="24"/>
        </w:rPr>
        <w:t>固体废弃物为生活垃圾</w:t>
      </w:r>
      <w:r>
        <w:rPr>
          <w:rFonts w:hint="eastAsia"/>
          <w:color w:val="FF0000"/>
          <w:sz w:val="24"/>
        </w:rPr>
        <w:t>、</w:t>
      </w:r>
      <w:r>
        <w:rPr>
          <w:color w:val="FF0000"/>
          <w:sz w:val="24"/>
        </w:rPr>
        <w:t>渗滤液调节池污泥</w:t>
      </w:r>
      <w:r>
        <w:rPr>
          <w:rFonts w:hint="eastAsia"/>
          <w:color w:val="FF0000"/>
          <w:sz w:val="24"/>
        </w:rPr>
        <w:t>及废旧反渗透膜</w:t>
      </w:r>
      <w:r>
        <w:rPr>
          <w:color w:val="FF0000"/>
          <w:sz w:val="24"/>
        </w:rPr>
        <w:t>。生活垃圾产生量0.37t/a（1kg/d）。集中收集后进入垃圾填埋场填埋处理</w:t>
      </w:r>
      <w:r>
        <w:rPr>
          <w:rFonts w:hint="eastAsia"/>
          <w:color w:val="FF0000"/>
          <w:sz w:val="24"/>
        </w:rPr>
        <w:t>；</w:t>
      </w:r>
      <w:r>
        <w:rPr>
          <w:color w:val="FF0000"/>
          <w:sz w:val="24"/>
        </w:rPr>
        <w:t>渗滤液调节池污泥</w:t>
      </w:r>
      <w:r>
        <w:rPr>
          <w:rFonts w:hint="eastAsia"/>
          <w:color w:val="FF0000"/>
          <w:sz w:val="24"/>
        </w:rPr>
        <w:t>产生量约0</w:t>
      </w:r>
      <w:r>
        <w:rPr>
          <w:color w:val="FF0000"/>
          <w:sz w:val="24"/>
        </w:rPr>
        <w:t>.05t/d</w:t>
      </w:r>
      <w:r>
        <w:rPr>
          <w:rFonts w:hint="eastAsia"/>
          <w:color w:val="FF0000"/>
          <w:sz w:val="24"/>
        </w:rPr>
        <w:t>（1</w:t>
      </w:r>
      <w:r>
        <w:rPr>
          <w:color w:val="FF0000"/>
          <w:sz w:val="24"/>
        </w:rPr>
        <w:t>8.25 t/a</w:t>
      </w:r>
      <w:r>
        <w:rPr>
          <w:rFonts w:hint="eastAsia"/>
          <w:color w:val="FF0000"/>
          <w:sz w:val="24"/>
        </w:rPr>
        <w:t>），</w:t>
      </w:r>
      <w:r>
        <w:rPr>
          <w:color w:val="FF0000"/>
          <w:kern w:val="0"/>
          <w:sz w:val="24"/>
        </w:rPr>
        <w:t>泥经压滤机压滤后，含水率＜60%，直接送入本项目生活垃圾填埋场进行填埋处理。</w:t>
      </w:r>
      <w:r>
        <w:rPr>
          <w:rFonts w:hint="eastAsia"/>
          <w:color w:val="FF0000"/>
          <w:sz w:val="24"/>
        </w:rPr>
        <w:t>废旧反渗透膜年产生量约</w:t>
      </w:r>
      <w:r>
        <w:rPr>
          <w:color w:val="FF0000"/>
          <w:sz w:val="24"/>
        </w:rPr>
        <w:t>0.1t/a</w:t>
      </w:r>
      <w:r>
        <w:rPr>
          <w:rFonts w:hint="eastAsia"/>
          <w:color w:val="FF0000"/>
          <w:sz w:val="24"/>
        </w:rPr>
        <w:t>，由厂家定期更换回收，不在项目区存储。</w:t>
      </w:r>
    </w:p>
    <w:p>
      <w:pPr>
        <w:pStyle w:val="3"/>
        <w:spacing w:before="120" w:after="120"/>
        <w:rPr>
          <w:rFonts w:ascii="Times New Roman" w:hAnsi="Times New Roman" w:eastAsia="宋体"/>
        </w:rPr>
      </w:pPr>
      <w:bookmarkStart w:id="845" w:name="_Toc143762420"/>
      <w:r>
        <w:rPr>
          <w:rFonts w:ascii="Times New Roman" w:hAnsi="Times New Roman" w:eastAsia="宋体"/>
        </w:rPr>
        <w:t>11.4环境影响预测评价</w:t>
      </w:r>
      <w:bookmarkEnd w:id="829"/>
      <w:bookmarkEnd w:id="845"/>
    </w:p>
    <w:p>
      <w:pPr>
        <w:pStyle w:val="4"/>
        <w:spacing w:before="120" w:after="120"/>
      </w:pPr>
      <w:bookmarkStart w:id="846" w:name="_Toc276105989"/>
      <w:bookmarkStart w:id="847" w:name="_Toc237419509"/>
      <w:bookmarkStart w:id="848" w:name="_Toc423602430"/>
      <w:bookmarkStart w:id="849" w:name="_Toc276333702"/>
      <w:bookmarkStart w:id="850" w:name="_Toc424484780"/>
      <w:bookmarkStart w:id="851" w:name="_Toc237417477"/>
      <w:bookmarkStart w:id="852" w:name="_Toc489433185"/>
      <w:bookmarkStart w:id="853" w:name="_Toc428237281"/>
      <w:bookmarkStart w:id="854" w:name="_Toc143762421"/>
      <w:r>
        <w:t>11.4.1 环境空气影响</w:t>
      </w:r>
      <w:bookmarkEnd w:id="846"/>
      <w:bookmarkEnd w:id="847"/>
      <w:bookmarkEnd w:id="848"/>
      <w:bookmarkEnd w:id="849"/>
      <w:bookmarkEnd w:id="850"/>
      <w:bookmarkEnd w:id="851"/>
      <w:r>
        <w:t>评价结论</w:t>
      </w:r>
      <w:bookmarkEnd w:id="852"/>
      <w:bookmarkEnd w:id="853"/>
      <w:bookmarkEnd w:id="854"/>
    </w:p>
    <w:p>
      <w:pPr>
        <w:adjustRightInd w:val="0"/>
        <w:snapToGrid w:val="0"/>
        <w:spacing w:line="360" w:lineRule="auto"/>
        <w:ind w:firstLine="480" w:firstLineChars="200"/>
        <w:rPr>
          <w:color w:val="FF0000"/>
          <w:sz w:val="24"/>
        </w:rPr>
      </w:pPr>
      <w:r>
        <w:rPr>
          <w:sz w:val="24"/>
        </w:rPr>
        <w:t>由预测结果可知，</w:t>
      </w:r>
      <w:r>
        <w:rPr>
          <w:color w:val="FF0000"/>
          <w:sz w:val="24"/>
        </w:rPr>
        <w:t>本项目</w:t>
      </w:r>
      <w:r>
        <w:rPr>
          <w:rFonts w:hint="eastAsia"/>
          <w:color w:val="FF0000"/>
          <w:sz w:val="24"/>
        </w:rPr>
        <w:t>填埋场</w:t>
      </w:r>
      <w:r>
        <w:rPr>
          <w:color w:val="FF0000"/>
          <w:sz w:val="24"/>
        </w:rPr>
        <w:t>产生的无组织H</w:t>
      </w:r>
      <w:r>
        <w:rPr>
          <w:color w:val="FF0000"/>
          <w:sz w:val="24"/>
          <w:vertAlign w:val="subscript"/>
        </w:rPr>
        <w:t>2</w:t>
      </w:r>
      <w:r>
        <w:rPr>
          <w:color w:val="FF0000"/>
          <w:sz w:val="24"/>
        </w:rPr>
        <w:t>S最大占标率为5.54%</w:t>
      </w:r>
      <w:r>
        <w:rPr>
          <w:rFonts w:hint="eastAsia"/>
          <w:color w:val="FF0000"/>
          <w:sz w:val="24"/>
        </w:rPr>
        <w:t>、</w:t>
      </w:r>
      <w:r>
        <w:rPr>
          <w:color w:val="FF0000"/>
          <w:sz w:val="24"/>
        </w:rPr>
        <w:t>最大落地浓度为</w:t>
      </w:r>
      <w:r>
        <w:rPr>
          <w:color w:val="FF0000"/>
          <w:sz w:val="24"/>
          <w:lang w:bidi="ar"/>
        </w:rPr>
        <w:t>0.54</w:t>
      </w:r>
      <w:r>
        <w:rPr>
          <w:color w:val="FF0000"/>
          <w:sz w:val="24"/>
        </w:rPr>
        <w:t>ug/m³</w:t>
      </w:r>
      <w:r>
        <w:rPr>
          <w:rFonts w:hint="eastAsia"/>
          <w:color w:val="FF0000"/>
          <w:sz w:val="24"/>
        </w:rPr>
        <w:t>，</w:t>
      </w:r>
      <w:r>
        <w:rPr>
          <w:color w:val="FF0000"/>
          <w:sz w:val="24"/>
        </w:rPr>
        <w:t>NH</w:t>
      </w:r>
      <w:r>
        <w:rPr>
          <w:color w:val="FF0000"/>
          <w:sz w:val="24"/>
          <w:vertAlign w:val="subscript"/>
        </w:rPr>
        <w:t>3</w:t>
      </w:r>
      <w:r>
        <w:rPr>
          <w:color w:val="FF0000"/>
          <w:sz w:val="24"/>
        </w:rPr>
        <w:t>最大占标率为3.86%</w:t>
      </w:r>
      <w:r>
        <w:rPr>
          <w:rFonts w:hint="eastAsia"/>
          <w:color w:val="FF0000"/>
          <w:sz w:val="24"/>
        </w:rPr>
        <w:t>、</w:t>
      </w:r>
      <w:r>
        <w:rPr>
          <w:color w:val="FF0000"/>
          <w:sz w:val="24"/>
        </w:rPr>
        <w:t>最大落地浓度为</w:t>
      </w:r>
      <w:r>
        <w:rPr>
          <w:color w:val="FF0000"/>
          <w:sz w:val="24"/>
          <w:lang w:bidi="ar"/>
        </w:rPr>
        <w:t>7.73ug/m³</w:t>
      </w:r>
      <w:r>
        <w:rPr>
          <w:color w:val="FF0000"/>
          <w:sz w:val="24"/>
        </w:rPr>
        <w:t>；</w:t>
      </w:r>
      <w:r>
        <w:rPr>
          <w:rFonts w:hint="eastAsia"/>
          <w:color w:val="FF0000"/>
          <w:sz w:val="24"/>
        </w:rPr>
        <w:t>作业区</w:t>
      </w:r>
      <w:r>
        <w:rPr>
          <w:color w:val="FF0000"/>
          <w:sz w:val="24"/>
        </w:rPr>
        <w:t>产生的无组织</w:t>
      </w:r>
      <w:r>
        <w:rPr>
          <w:rFonts w:hint="eastAsia"/>
          <w:color w:val="FF0000"/>
          <w:sz w:val="24"/>
        </w:rPr>
        <w:t>粉尘</w:t>
      </w:r>
      <w:r>
        <w:rPr>
          <w:color w:val="FF0000"/>
          <w:sz w:val="24"/>
        </w:rPr>
        <w:t>最大占标率为3.03%</w:t>
      </w:r>
      <w:r>
        <w:rPr>
          <w:rFonts w:hint="eastAsia"/>
          <w:color w:val="FF0000"/>
          <w:sz w:val="24"/>
        </w:rPr>
        <w:t>、</w:t>
      </w:r>
      <w:r>
        <w:rPr>
          <w:color w:val="FF0000"/>
          <w:sz w:val="24"/>
        </w:rPr>
        <w:t>最大落地浓度为</w:t>
      </w:r>
      <w:r>
        <w:rPr>
          <w:color w:val="FF0000"/>
          <w:sz w:val="24"/>
          <w:lang w:bidi="ar"/>
        </w:rPr>
        <w:t>27.31</w:t>
      </w:r>
      <w:r>
        <w:rPr>
          <w:color w:val="FF0000"/>
          <w:sz w:val="24"/>
        </w:rPr>
        <w:t>ug/m³；</w:t>
      </w:r>
      <w:r>
        <w:rPr>
          <w:rFonts w:hint="eastAsia"/>
          <w:color w:val="FF0000"/>
          <w:sz w:val="24"/>
        </w:rPr>
        <w:t>渗滤液处理站产生的无组织</w:t>
      </w:r>
      <w:r>
        <w:rPr>
          <w:color w:val="FF0000"/>
          <w:sz w:val="24"/>
        </w:rPr>
        <w:t>NH</w:t>
      </w:r>
      <w:r>
        <w:rPr>
          <w:color w:val="FF0000"/>
          <w:sz w:val="24"/>
          <w:vertAlign w:val="subscript"/>
        </w:rPr>
        <w:t>3</w:t>
      </w:r>
      <w:r>
        <w:rPr>
          <w:rFonts w:hint="eastAsia"/>
          <w:color w:val="FF0000"/>
          <w:sz w:val="24"/>
        </w:rPr>
        <w:t>最大占标率为</w:t>
      </w:r>
      <w:r>
        <w:rPr>
          <w:color w:val="FF0000"/>
          <w:sz w:val="24"/>
        </w:rPr>
        <w:t>0.37</w:t>
      </w:r>
      <w:r>
        <w:rPr>
          <w:rFonts w:hint="eastAsia"/>
          <w:color w:val="FF0000"/>
          <w:sz w:val="24"/>
        </w:rPr>
        <w:t>%，</w:t>
      </w:r>
      <w:r>
        <w:rPr>
          <w:color w:val="FF0000"/>
          <w:sz w:val="24"/>
        </w:rPr>
        <w:t>最大落地浓度为</w:t>
      </w:r>
      <w:r>
        <w:rPr>
          <w:color w:val="FF0000"/>
          <w:sz w:val="24"/>
          <w:lang w:bidi="ar"/>
        </w:rPr>
        <w:t>0.19ug/m³</w:t>
      </w:r>
      <w:r>
        <w:rPr>
          <w:rFonts w:hint="eastAsia"/>
          <w:color w:val="FF0000"/>
          <w:sz w:val="24"/>
          <w:lang w:bidi="ar"/>
        </w:rPr>
        <w:t>。</w:t>
      </w:r>
      <w:r>
        <w:rPr>
          <w:rFonts w:hint="eastAsia"/>
          <w:color w:val="FF0000"/>
          <w:sz w:val="24"/>
        </w:rPr>
        <w:t>污染物最大落地浓度均小于</w:t>
      </w:r>
      <w:r>
        <w:rPr>
          <w:color w:val="FF0000"/>
          <w:sz w:val="24"/>
        </w:rPr>
        <w:t>《环境影响评价技术导则 大气环境》（HJ2.2-2018）附录D其他污染物空气质量浓度参考限值及《恶臭污染物排放标准》（GB14554-93）中规定的限值要求</w:t>
      </w:r>
      <w:r>
        <w:rPr>
          <w:rFonts w:hint="eastAsia"/>
          <w:color w:val="FF0000"/>
          <w:sz w:val="24"/>
        </w:rPr>
        <w:t>，</w:t>
      </w:r>
      <w:r>
        <w:rPr>
          <w:color w:val="FF0000"/>
          <w:sz w:val="24"/>
        </w:rPr>
        <w:t>可不设置大气防护距离</w:t>
      </w:r>
      <w:r>
        <w:rPr>
          <w:rFonts w:hint="eastAsia"/>
          <w:color w:val="FF0000"/>
          <w:sz w:val="24"/>
        </w:rPr>
        <w:t>。</w:t>
      </w:r>
    </w:p>
    <w:p>
      <w:pPr>
        <w:autoSpaceDE w:val="0"/>
        <w:autoSpaceDN w:val="0"/>
        <w:adjustRightInd w:val="0"/>
        <w:snapToGrid w:val="0"/>
        <w:spacing w:line="360" w:lineRule="auto"/>
        <w:ind w:firstLine="480" w:firstLineChars="200"/>
        <w:jc w:val="left"/>
        <w:rPr>
          <w:sz w:val="24"/>
        </w:rPr>
      </w:pPr>
      <w:r>
        <w:rPr>
          <w:rFonts w:hint="eastAsia"/>
          <w:sz w:val="24"/>
        </w:rPr>
        <w:t>经预测，在正常工况下，本项目所有污染源排放的各种污染物在厂界外的短期最大浓度占标率均小于</w:t>
      </w:r>
      <w:r>
        <w:rPr>
          <w:sz w:val="24"/>
        </w:rPr>
        <w:t>100%</w:t>
      </w:r>
      <w:r>
        <w:rPr>
          <w:rFonts w:hint="eastAsia"/>
          <w:sz w:val="24"/>
        </w:rPr>
        <w:t>，短期贡献质量浓度均未出现超标现象。因此，本项目不设大气环境防护距离。</w:t>
      </w:r>
    </w:p>
    <w:p>
      <w:pPr>
        <w:autoSpaceDE w:val="0"/>
        <w:autoSpaceDN w:val="0"/>
        <w:adjustRightInd w:val="0"/>
        <w:snapToGrid w:val="0"/>
        <w:spacing w:line="360" w:lineRule="auto"/>
        <w:ind w:firstLine="480" w:firstLineChars="200"/>
        <w:jc w:val="left"/>
        <w:rPr>
          <w:sz w:val="24"/>
        </w:rPr>
      </w:pPr>
      <w:r>
        <w:rPr>
          <w:rFonts w:hint="eastAsia"/>
          <w:sz w:val="24"/>
        </w:rPr>
        <w:t>本项目设置</w:t>
      </w:r>
      <w:r>
        <w:rPr>
          <w:sz w:val="24"/>
        </w:rPr>
        <w:t xml:space="preserve">500m </w:t>
      </w:r>
      <w:r>
        <w:rPr>
          <w:rFonts w:hint="eastAsia"/>
          <w:sz w:val="24"/>
        </w:rPr>
        <w:t>的卫生防护距离，卫生防护距离内无环境空气敏感点，此范围内用地禁止用于居住、医疗、学校等环境敏感设施的建设。</w:t>
      </w:r>
    </w:p>
    <w:p>
      <w:pPr>
        <w:pStyle w:val="4"/>
        <w:spacing w:before="120" w:after="120"/>
      </w:pPr>
      <w:bookmarkStart w:id="855" w:name="_Toc276333704"/>
      <w:bookmarkStart w:id="856" w:name="_Toc276105991"/>
      <w:bookmarkStart w:id="857" w:name="_Toc424484782"/>
      <w:bookmarkStart w:id="858" w:name="_Toc423602432"/>
      <w:bookmarkStart w:id="859" w:name="_Toc428237282"/>
      <w:bookmarkStart w:id="860" w:name="_Toc143762422"/>
      <w:bookmarkStart w:id="861" w:name="_Toc489433186"/>
      <w:r>
        <w:t>11.4.2 水环境影响</w:t>
      </w:r>
      <w:bookmarkEnd w:id="855"/>
      <w:bookmarkEnd w:id="856"/>
      <w:bookmarkEnd w:id="857"/>
      <w:bookmarkEnd w:id="858"/>
      <w:r>
        <w:t>分析结论</w:t>
      </w:r>
      <w:bookmarkEnd w:id="859"/>
      <w:bookmarkEnd w:id="860"/>
      <w:bookmarkEnd w:id="861"/>
    </w:p>
    <w:p>
      <w:pPr>
        <w:pStyle w:val="939"/>
        <w:ind w:firstLine="480"/>
      </w:pPr>
      <w:bookmarkStart w:id="862" w:name="_Toc276105992"/>
      <w:bookmarkStart w:id="863" w:name="_Toc276333705"/>
      <w:bookmarkStart w:id="864" w:name="_Toc424484783"/>
      <w:bookmarkStart w:id="865" w:name="_Toc423602433"/>
      <w:r>
        <w:t>本项目废水为垃圾渗滤液、</w:t>
      </w:r>
      <w:r>
        <w:rPr>
          <w:rFonts w:hint="eastAsia"/>
        </w:rPr>
        <w:t>反渗透膜</w:t>
      </w:r>
      <w:r>
        <w:t>冲洗废水</w:t>
      </w:r>
      <w:r>
        <w:rPr>
          <w:rFonts w:hint="eastAsia"/>
        </w:rPr>
        <w:t>、</w:t>
      </w:r>
      <w:r>
        <w:t>生活污水</w:t>
      </w:r>
      <w:r>
        <w:rPr>
          <w:rFonts w:hint="eastAsia"/>
        </w:rPr>
        <w:t>，</w:t>
      </w:r>
      <w:r>
        <w:t>经渗滤液处理站处理后用于场区降尘用水。</w:t>
      </w:r>
    </w:p>
    <w:p>
      <w:pPr>
        <w:spacing w:line="360" w:lineRule="auto"/>
        <w:ind w:firstLine="480" w:firstLineChars="200"/>
        <w:rPr>
          <w:sz w:val="24"/>
        </w:rPr>
      </w:pPr>
      <w:r>
        <w:rPr>
          <w:sz w:val="24"/>
        </w:rPr>
        <w:t>对地下水的影响：</w:t>
      </w:r>
    </w:p>
    <w:p>
      <w:pPr>
        <w:pStyle w:val="939"/>
        <w:ind w:firstLine="480"/>
        <w:rPr>
          <w:szCs w:val="21"/>
          <w:lang w:val="zh-CN"/>
        </w:rPr>
      </w:pPr>
      <w:r>
        <w:t>建设单位严格按照规范要求对厂区按重点防渗区和一般防渗区进行防渗，设计、施工和维护。在正常工况下无废水外排，不会对当地地下水产生直接影响。在非正常工况下，例如渗滤液收集或处理系统泄露，造成污染物进入地下水环境的情况</w:t>
      </w:r>
      <w:r>
        <w:rPr>
          <w:szCs w:val="21"/>
          <w:lang w:val="zh-CN"/>
        </w:rPr>
        <w:t>。</w:t>
      </w:r>
    </w:p>
    <w:p>
      <w:pPr>
        <w:pStyle w:val="939"/>
        <w:ind w:firstLine="480"/>
      </w:pPr>
      <w:bookmarkStart w:id="866" w:name="_Toc428237283"/>
      <w:r>
        <w:t>根据预测可知，</w:t>
      </w:r>
      <w:bookmarkStart w:id="867" w:name="_Toc489433187"/>
      <w:r>
        <w:rPr>
          <w:rFonts w:hint="eastAsia"/>
        </w:rPr>
        <w:t>事故状况情景下污染物对地下水含水层造成一定的污染，出现了超标现象，但超标范围有限。不会造成地下水环境质量的恶化，也不会影响地下水利用现状。另外，本次模型预测是考虑污染物直接进入地下水，未考虑防渗层和包气带，在实际情况中，由于污染物超标十分有限，在穿过防渗层和包气带过程中可能就被吸附、降解为标准值以下，难以对地下水产生影响。因此，从地下水环境保护的角度上而言，本项目建设可行。</w:t>
      </w:r>
    </w:p>
    <w:p>
      <w:pPr>
        <w:pStyle w:val="4"/>
        <w:spacing w:before="120" w:after="120"/>
      </w:pPr>
      <w:bookmarkStart w:id="868" w:name="_Toc143762423"/>
      <w:r>
        <w:t>11.4.3 固体废弃物</w:t>
      </w:r>
      <w:bookmarkEnd w:id="867"/>
      <w:bookmarkEnd w:id="868"/>
    </w:p>
    <w:p>
      <w:pPr>
        <w:tabs>
          <w:tab w:val="left" w:pos="1320"/>
        </w:tabs>
        <w:spacing w:line="360" w:lineRule="auto"/>
        <w:ind w:firstLine="480"/>
        <w:rPr>
          <w:color w:val="FF0000"/>
          <w:sz w:val="24"/>
        </w:rPr>
      </w:pPr>
      <w:bookmarkStart w:id="869" w:name="_Toc428237284"/>
      <w:r>
        <w:rPr>
          <w:color w:val="FF0000"/>
          <w:sz w:val="24"/>
        </w:rPr>
        <w:t>固体废弃物为生活垃圾</w:t>
      </w:r>
      <w:r>
        <w:rPr>
          <w:rFonts w:hint="eastAsia"/>
          <w:color w:val="FF0000"/>
          <w:sz w:val="24"/>
        </w:rPr>
        <w:t>、</w:t>
      </w:r>
      <w:r>
        <w:rPr>
          <w:color w:val="FF0000"/>
          <w:sz w:val="24"/>
        </w:rPr>
        <w:t>渗滤液调节池污泥</w:t>
      </w:r>
      <w:r>
        <w:rPr>
          <w:rFonts w:hint="eastAsia"/>
          <w:color w:val="FF0000"/>
          <w:sz w:val="24"/>
        </w:rPr>
        <w:t>及废旧反渗透膜</w:t>
      </w:r>
      <w:r>
        <w:rPr>
          <w:color w:val="FF0000"/>
          <w:sz w:val="24"/>
        </w:rPr>
        <w:t>。生活垃圾产生量0.37t/a（1kg/d）。集中收集后进入垃圾填埋场填埋处理</w:t>
      </w:r>
      <w:r>
        <w:rPr>
          <w:rFonts w:hint="eastAsia"/>
          <w:color w:val="FF0000"/>
          <w:sz w:val="24"/>
        </w:rPr>
        <w:t>；</w:t>
      </w:r>
      <w:r>
        <w:rPr>
          <w:color w:val="FF0000"/>
          <w:sz w:val="24"/>
        </w:rPr>
        <w:t>渗滤液调节池污泥</w:t>
      </w:r>
      <w:r>
        <w:rPr>
          <w:rFonts w:hint="eastAsia"/>
          <w:color w:val="FF0000"/>
          <w:sz w:val="24"/>
        </w:rPr>
        <w:t>产生量约0</w:t>
      </w:r>
      <w:r>
        <w:rPr>
          <w:color w:val="FF0000"/>
          <w:sz w:val="24"/>
        </w:rPr>
        <w:t>.05t/d</w:t>
      </w:r>
      <w:r>
        <w:rPr>
          <w:rFonts w:hint="eastAsia"/>
          <w:color w:val="FF0000"/>
          <w:sz w:val="24"/>
        </w:rPr>
        <w:t>（1</w:t>
      </w:r>
      <w:r>
        <w:rPr>
          <w:color w:val="FF0000"/>
          <w:sz w:val="24"/>
        </w:rPr>
        <w:t>8.25 t/a</w:t>
      </w:r>
      <w:r>
        <w:rPr>
          <w:rFonts w:hint="eastAsia"/>
          <w:color w:val="FF0000"/>
          <w:sz w:val="24"/>
        </w:rPr>
        <w:t>），</w:t>
      </w:r>
      <w:r>
        <w:rPr>
          <w:color w:val="FF0000"/>
          <w:kern w:val="0"/>
          <w:sz w:val="24"/>
        </w:rPr>
        <w:t>泥经压滤机压滤后，含水率＜60%，直接送入本项目生活垃圾填埋场进行填埋处理。</w:t>
      </w:r>
      <w:r>
        <w:rPr>
          <w:rFonts w:hint="eastAsia"/>
          <w:color w:val="FF0000"/>
          <w:sz w:val="24"/>
        </w:rPr>
        <w:t>废旧反渗透膜年产生量约</w:t>
      </w:r>
      <w:r>
        <w:rPr>
          <w:color w:val="FF0000"/>
          <w:sz w:val="24"/>
        </w:rPr>
        <w:t>0.1t/a</w:t>
      </w:r>
      <w:r>
        <w:rPr>
          <w:rFonts w:hint="eastAsia"/>
          <w:color w:val="FF0000"/>
          <w:sz w:val="24"/>
        </w:rPr>
        <w:t>，由厂家定期更换回收，不在项目区存储。</w:t>
      </w:r>
      <w:r>
        <w:rPr>
          <w:sz w:val="24"/>
        </w:rPr>
        <w:t>因此本项目排放的固体废物基本不会对周围环境产生影响。</w:t>
      </w:r>
    </w:p>
    <w:p>
      <w:pPr>
        <w:pStyle w:val="4"/>
        <w:spacing w:before="120" w:after="120"/>
      </w:pPr>
      <w:bookmarkStart w:id="870" w:name="_Toc489433188"/>
      <w:bookmarkStart w:id="871" w:name="_Toc143762424"/>
      <w:r>
        <w:t>11.4.4 噪声</w:t>
      </w:r>
      <w:bookmarkEnd w:id="869"/>
      <w:bookmarkEnd w:id="870"/>
      <w:bookmarkEnd w:id="871"/>
    </w:p>
    <w:p>
      <w:pPr>
        <w:pStyle w:val="825"/>
        <w:ind w:firstLine="480"/>
        <w:rPr>
          <w:lang w:val="de-DE"/>
        </w:rPr>
      </w:pPr>
      <w:bookmarkStart w:id="872" w:name="_Toc489433189"/>
      <w:r>
        <w:rPr>
          <w:rFonts w:hint="eastAsia"/>
          <w:lang w:val="de-DE"/>
        </w:rPr>
        <w:t>经预测，填埋场厂界四周</w:t>
      </w:r>
      <w:r>
        <w:t>噪声</w:t>
      </w:r>
      <w:r>
        <w:rPr>
          <w:rFonts w:hint="eastAsia"/>
        </w:rPr>
        <w:t>排放满足</w:t>
      </w:r>
      <w:r>
        <w:t>《工业企业厂界环境噪声排放标准》(GB12348-2008)2类声功能区限值</w:t>
      </w:r>
      <w:r>
        <w:rPr>
          <w:rFonts w:hint="eastAsia"/>
          <w:lang w:val="de-DE"/>
        </w:rPr>
        <w:t>，且项目厂界2</w:t>
      </w:r>
      <w:r>
        <w:rPr>
          <w:lang w:val="de-DE"/>
        </w:rPr>
        <w:t>00m</w:t>
      </w:r>
      <w:r>
        <w:rPr>
          <w:rFonts w:hint="eastAsia"/>
          <w:lang w:val="de-DE"/>
        </w:rPr>
        <w:t>范围内无声环境敏感目标，项目运行对环境影响小</w:t>
      </w:r>
      <w:r>
        <w:rPr>
          <w:lang w:val="de-DE"/>
        </w:rPr>
        <w:t>。</w:t>
      </w:r>
    </w:p>
    <w:p>
      <w:pPr>
        <w:pStyle w:val="4"/>
        <w:spacing w:before="120" w:after="120"/>
      </w:pPr>
      <w:bookmarkStart w:id="873" w:name="_Toc143762425"/>
      <w:r>
        <w:t xml:space="preserve">11.4.5 </w:t>
      </w:r>
      <w:r>
        <w:rPr>
          <w:rFonts w:hint="eastAsia"/>
        </w:rPr>
        <w:t>土壤环境</w:t>
      </w:r>
      <w:bookmarkEnd w:id="873"/>
    </w:p>
    <w:p>
      <w:pPr>
        <w:pStyle w:val="2235"/>
        <w:ind w:firstLine="480"/>
        <w:rPr>
          <w:szCs w:val="24"/>
        </w:rPr>
      </w:pPr>
      <w:r>
        <w:rPr>
          <w:rFonts w:hint="eastAsia"/>
          <w:szCs w:val="24"/>
        </w:rPr>
        <w:t>项目正常生产时，填埋区、各污水收集及处理设施等均采取严格防渗措施，正常生产时，不会发生渗漏或漫流影响土壤环境。事故状态下渗滤液发生渗漏或漫流，会污染周边土壤。根据对渗滤液中重金属砷泄露进行预测，项目用地内单位质量土壤中重金属砷预测因子的预测值可满足《土壤环境质量建设用地土壤污染风险管控标准》（试行）（GB36600-2018）中的第二类用地标准；及《土壤环境质量农用地土壤污染风险管控标准》（试行）（GB15618-2018）的要求。因此，从土壤环境保护的角度上而言，本项目建设可行。</w:t>
      </w:r>
    </w:p>
    <w:p>
      <w:pPr>
        <w:pStyle w:val="3"/>
        <w:spacing w:before="120" w:after="120"/>
        <w:rPr>
          <w:rFonts w:ascii="Times New Roman" w:hAnsi="Times New Roman" w:eastAsia="宋体"/>
        </w:rPr>
      </w:pPr>
      <w:bookmarkStart w:id="874" w:name="_Toc143762426"/>
      <w:r>
        <w:rPr>
          <w:rFonts w:ascii="Times New Roman" w:hAnsi="Times New Roman" w:eastAsia="宋体"/>
        </w:rPr>
        <w:t>11.5环境风险结论</w:t>
      </w:r>
      <w:bookmarkEnd w:id="872"/>
      <w:bookmarkEnd w:id="874"/>
    </w:p>
    <w:p>
      <w:pPr>
        <w:pStyle w:val="939"/>
        <w:keepNext/>
        <w:ind w:firstLine="480"/>
      </w:pPr>
      <w:r>
        <w:t>根据项目所在区域工程地质、水文地质，以及工程设计实施方案综合分析</w:t>
      </w:r>
      <w:bookmarkEnd w:id="866"/>
      <w:r>
        <w:t>本评价认为，在工程按照规范建设，填埋作业按规范运行情况下，本项目填埋场的不会对该区域自然环境造成不利影响。</w:t>
      </w:r>
    </w:p>
    <w:p>
      <w:pPr>
        <w:keepNext/>
        <w:spacing w:line="360" w:lineRule="auto"/>
        <w:ind w:firstLine="480" w:firstLineChars="200"/>
        <w:rPr>
          <w:sz w:val="24"/>
        </w:rPr>
      </w:pPr>
      <w:r>
        <w:rPr>
          <w:sz w:val="24"/>
        </w:rPr>
        <w:t>但在施工质量出现问题、防渗层受到破坏，以及遭遇极端强降雨、地震等自然灾害的情况下，本项目填埋场还是存在一定的环境风险。需要项目管理方从施工建设、运营管理等各方面做好环境风险防护工作。</w:t>
      </w:r>
    </w:p>
    <w:p>
      <w:pPr>
        <w:pStyle w:val="3"/>
        <w:spacing w:before="120" w:after="120"/>
        <w:rPr>
          <w:rFonts w:ascii="Times New Roman" w:hAnsi="Times New Roman" w:eastAsia="宋体"/>
        </w:rPr>
      </w:pPr>
      <w:bookmarkStart w:id="875" w:name="_Toc143762427"/>
      <w:r>
        <w:rPr>
          <w:rFonts w:hint="eastAsia" w:ascii="Times New Roman" w:hAnsi="Times New Roman" w:eastAsia="宋体"/>
        </w:rPr>
        <w:t>11.</w:t>
      </w:r>
      <w:r>
        <w:rPr>
          <w:rFonts w:ascii="Times New Roman" w:hAnsi="Times New Roman" w:eastAsia="宋体"/>
        </w:rPr>
        <w:t>6</w:t>
      </w:r>
      <w:r>
        <w:rPr>
          <w:rFonts w:hint="eastAsia" w:ascii="Times New Roman" w:hAnsi="Times New Roman" w:eastAsia="宋体"/>
        </w:rPr>
        <w:t>公众参与调查分析结论</w:t>
      </w:r>
      <w:bookmarkEnd w:id="875"/>
      <w:r>
        <w:rPr>
          <w:rFonts w:hint="eastAsia" w:ascii="Times New Roman" w:hAnsi="Times New Roman" w:eastAsia="宋体"/>
        </w:rPr>
        <w:t xml:space="preserve"> </w:t>
      </w:r>
    </w:p>
    <w:p>
      <w:pPr>
        <w:pStyle w:val="80"/>
        <w:adjustRightInd w:val="0"/>
        <w:snapToGrid w:val="0"/>
        <w:spacing w:before="0" w:beforeAutospacing="0" w:after="0" w:afterAutospacing="0" w:line="360" w:lineRule="auto"/>
        <w:ind w:firstLine="480" w:firstLineChars="200"/>
        <w:rPr>
          <w:rFonts w:ascii="Times New Roman" w:hAnsi="Times New Roman"/>
        </w:rPr>
      </w:pPr>
      <w:r>
        <w:rPr>
          <w:rFonts w:hint="eastAsia"/>
          <w:kern w:val="2"/>
        </w:rPr>
        <w:t>建设单位</w:t>
      </w:r>
      <w:r>
        <w:rPr>
          <w:rFonts w:hint="eastAsia"/>
        </w:rPr>
        <w:t>依据《环评影响评价公众参与办法》（生态环境部令2</w:t>
      </w:r>
      <w:r>
        <w:t>018</w:t>
      </w:r>
      <w:r>
        <w:rPr>
          <w:rFonts w:hint="eastAsia"/>
        </w:rPr>
        <w:t>年第4号）中的相关要求，开展了公众参与调查工作，并形成了《五原县复兴镇生活垃圾处理场工程公众参与说明》。本评价引用报告中的相关内容：</w:t>
      </w:r>
      <w:r>
        <w:rPr>
          <w:rFonts w:ascii="Times New Roman" w:hAnsi="Times New Roman"/>
        </w:rPr>
        <w:t>2023年3月28日</w:t>
      </w:r>
      <w:r>
        <w:rPr>
          <w:rFonts w:ascii="Times New Roman" w:hAnsi="Times New Roman"/>
          <w:szCs w:val="22"/>
        </w:rPr>
        <w:t>，</w:t>
      </w:r>
      <w:r>
        <w:rPr>
          <w:rFonts w:hint="eastAsia" w:ascii="Times New Roman" w:hAnsi="Times New Roman"/>
        </w:rPr>
        <w:t>五原县环境卫生服务中心</w:t>
      </w:r>
      <w:r>
        <w:rPr>
          <w:rFonts w:ascii="Times New Roman" w:hAnsi="Times New Roman"/>
          <w:szCs w:val="22"/>
        </w:rPr>
        <w:t>在五原县人民政府网站以</w:t>
      </w:r>
      <w:r>
        <w:rPr>
          <w:rFonts w:ascii="Times New Roman" w:hAnsi="Times New Roman"/>
        </w:rPr>
        <w:t>网络平台的方式向公众公示了拟建项目的环境影响公示材料，</w:t>
      </w:r>
      <w:r>
        <w:rPr>
          <w:rFonts w:ascii="Times New Roman" w:hAnsi="Times New Roman"/>
          <w:kern w:val="2"/>
          <w:szCs w:val="22"/>
        </w:rPr>
        <w:t>在公示期间，建设单位未收到任何群众来电、来信、来访等形式的有关五原县复兴镇生活垃圾无害化处理项目环境影响的意见。</w:t>
      </w:r>
      <w:r>
        <w:rPr>
          <w:rFonts w:ascii="Times New Roman" w:hAnsi="Times New Roman"/>
        </w:rPr>
        <w:t>2023年4月25日至2023年5月11日间</w:t>
      </w:r>
      <w:r>
        <w:rPr>
          <w:rFonts w:hint="eastAsia" w:ascii="Times New Roman" w:hAnsi="Times New Roman"/>
        </w:rPr>
        <w:t>五原县环境卫生服务中心</w:t>
      </w:r>
      <w:r>
        <w:rPr>
          <w:rFonts w:ascii="Times New Roman" w:hAnsi="Times New Roman"/>
        </w:rPr>
        <w:t>在</w:t>
      </w:r>
      <w:r>
        <w:rPr>
          <w:rFonts w:hint="eastAsia" w:ascii="Times New Roman" w:hAnsi="Times New Roman"/>
        </w:rPr>
        <w:t>环评第一网</w:t>
      </w:r>
      <w:r>
        <w:rPr>
          <w:rFonts w:ascii="Times New Roman" w:hAnsi="Times New Roman"/>
          <w:szCs w:val="22"/>
        </w:rPr>
        <w:t>以</w:t>
      </w:r>
      <w:r>
        <w:rPr>
          <w:rFonts w:ascii="Times New Roman" w:hAnsi="Times New Roman"/>
        </w:rPr>
        <w:t>网络形式进行了《五原县复兴镇生活垃圾无害化处理项目环境影响报告书（征求意见稿）》全文公示；</w:t>
      </w:r>
      <w:r>
        <w:rPr>
          <w:rFonts w:ascii="Times New Roman" w:hAnsi="Times New Roman"/>
          <w:szCs w:val="22"/>
        </w:rPr>
        <w:t>2023年4月26日、2023年4月27日</w:t>
      </w:r>
      <w:r>
        <w:rPr>
          <w:rFonts w:ascii="Times New Roman" w:hAnsi="Times New Roman"/>
        </w:rPr>
        <w:t>在</w:t>
      </w:r>
      <w:r>
        <w:rPr>
          <w:rFonts w:ascii="Times New Roman" w:hAnsi="Times New Roman"/>
          <w:szCs w:val="22"/>
        </w:rPr>
        <w:t>巴彦淖尔日报进行了报纸</w:t>
      </w:r>
      <w:r>
        <w:rPr>
          <w:rFonts w:ascii="Times New Roman" w:hAnsi="Times New Roman"/>
        </w:rPr>
        <w:t>公示，2023年4月25日至2023年5月11日在项目所在地进行了张贴公告公示，</w:t>
      </w:r>
      <w:r>
        <w:rPr>
          <w:rFonts w:ascii="Times New Roman" w:hAnsi="Times New Roman"/>
          <w:kern w:val="2"/>
          <w:szCs w:val="22"/>
        </w:rPr>
        <w:t>在公示期间，建设单位未收到任何群众来电、来信、来访等形式的有关五原县复兴镇生活垃圾无害化处理项目环境影响的意见。</w:t>
      </w:r>
      <w:bookmarkStart w:id="876" w:name="_Toc8205"/>
    </w:p>
    <w:bookmarkEnd w:id="876"/>
    <w:p>
      <w:pPr>
        <w:autoSpaceDE w:val="0"/>
        <w:autoSpaceDN w:val="0"/>
        <w:adjustRightInd w:val="0"/>
        <w:snapToGrid w:val="0"/>
        <w:spacing w:line="360" w:lineRule="auto"/>
        <w:ind w:firstLine="480" w:firstLineChars="200"/>
        <w:jc w:val="left"/>
        <w:rPr>
          <w:sz w:val="24"/>
        </w:rPr>
      </w:pPr>
      <w:r>
        <w:rPr>
          <w:rFonts w:ascii="宋体" w:hAnsi="宋体"/>
          <w:sz w:val="24"/>
        </w:rPr>
        <w:t>从总体上看，公众对项目选址、建设和投产运行后从环境保护角度所提出的意见、要求和建议是认同的。</w:t>
      </w:r>
    </w:p>
    <w:p>
      <w:pPr>
        <w:pStyle w:val="3"/>
        <w:spacing w:before="120" w:after="120"/>
        <w:rPr>
          <w:rFonts w:ascii="Times New Roman" w:hAnsi="Times New Roman" w:eastAsia="宋体"/>
        </w:rPr>
      </w:pPr>
      <w:bookmarkStart w:id="877" w:name="_Toc489433191"/>
      <w:bookmarkStart w:id="878" w:name="_Toc143762428"/>
      <w:r>
        <w:rPr>
          <w:rFonts w:ascii="Times New Roman" w:hAnsi="Times New Roman" w:eastAsia="宋体"/>
        </w:rPr>
        <w:t>11.7总结论</w:t>
      </w:r>
      <w:bookmarkEnd w:id="877"/>
      <w:bookmarkEnd w:id="878"/>
    </w:p>
    <w:p>
      <w:pPr>
        <w:pStyle w:val="2215"/>
        <w:adjustRightInd/>
        <w:snapToGrid/>
        <w:ind w:firstLine="480"/>
        <w:jc w:val="left"/>
        <w:rPr>
          <w:rFonts w:ascii="Times New Roman" w:hAnsi="Times New Roman" w:eastAsia="宋体"/>
          <w:szCs w:val="24"/>
        </w:rPr>
      </w:pPr>
      <w:r>
        <w:rPr>
          <w:rFonts w:ascii="Times New Roman" w:hAnsi="Times New Roman" w:eastAsia="宋体"/>
          <w:kern w:val="2"/>
          <w:szCs w:val="24"/>
        </w:rPr>
        <w:t>本项目的建设符合国家产业政策，项目选址和场区平面布局合理，项目采用的各种环保措施合理可行。在建设单位认真落实各项环保对策措施后:渗滤液经渗滤液处理站处理达标后回用，生活污水经化粪池收集后</w:t>
      </w:r>
      <w:r>
        <w:rPr>
          <w:rFonts w:hint="eastAsia" w:ascii="Times New Roman" w:hAnsi="Times New Roman" w:eastAsia="宋体"/>
          <w:kern w:val="2"/>
          <w:szCs w:val="24"/>
        </w:rPr>
        <w:t>进入渗滤液处理站处理达标回用</w:t>
      </w:r>
      <w:r>
        <w:rPr>
          <w:rFonts w:hint="eastAsia" w:ascii="宋体" w:hAnsi="宋体" w:eastAsia="宋体" w:cs="宋体"/>
        </w:rPr>
        <w:t>，不外排；</w:t>
      </w:r>
      <w:r>
        <w:rPr>
          <w:rFonts w:ascii="Times New Roman" w:hAnsi="Times New Roman" w:eastAsia="宋体"/>
          <w:kern w:val="2"/>
          <w:szCs w:val="24"/>
        </w:rPr>
        <w:t>填埋场废气经除臭剂除臭后，可得到有效控制；噪声在采用低噪声设备、隔声措施的使用等方式下可以达到标准要求；不会导致该区域的环境功能现状发生显著的变化。本项目是一项环保公益事业，具有较好的社会效益和环境效益。因此，该项目在严格遵守“三同时”等环保制度，认真落实本报告书所提出的环保措施和加强环境管理，保证各环保设施的“三同时”及正常运行的前提下，可将项目运行期对环境不利影响降低到最小程度或允许限度。从环境保护角度分析论证，本项目的建设是可行的。</w:t>
      </w:r>
    </w:p>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62"/>
    <w:bookmarkEnd w:id="863"/>
    <w:bookmarkEnd w:id="864"/>
    <w:bookmarkEnd w:id="865"/>
    <w:p>
      <w:pPr>
        <w:pStyle w:val="3"/>
        <w:spacing w:before="120" w:after="120"/>
        <w:rPr>
          <w:rFonts w:ascii="Times New Roman" w:hAnsi="Times New Roman" w:eastAsia="宋体"/>
        </w:rPr>
      </w:pPr>
      <w:bookmarkStart w:id="879" w:name="_Toc335828181"/>
      <w:bookmarkStart w:id="880" w:name="_Toc424484791"/>
      <w:bookmarkStart w:id="881" w:name="_Toc277949316"/>
      <w:bookmarkStart w:id="882" w:name="_Toc143762429"/>
      <w:bookmarkStart w:id="883" w:name="_Toc277632351"/>
      <w:bookmarkStart w:id="884" w:name="_Toc423602441"/>
      <w:bookmarkStart w:id="885" w:name="_Toc274251938"/>
      <w:bookmarkStart w:id="886" w:name="_Toc277196541"/>
      <w:bookmarkStart w:id="887" w:name="_Toc276333713"/>
      <w:bookmarkStart w:id="888" w:name="_Toc277336157"/>
      <w:bookmarkStart w:id="889" w:name="_Toc277228995"/>
      <w:bookmarkStart w:id="890" w:name="_Toc276106000"/>
      <w:bookmarkStart w:id="891" w:name="_Toc277949981"/>
      <w:bookmarkStart w:id="892" w:name="_Toc277238998"/>
      <w:bookmarkStart w:id="893" w:name="_Toc274252009"/>
      <w:bookmarkStart w:id="894" w:name="_Toc277244805"/>
      <w:bookmarkStart w:id="895" w:name="_Toc489433192"/>
      <w:r>
        <w:rPr>
          <w:rFonts w:ascii="Times New Roman" w:hAnsi="Times New Roman" w:eastAsia="宋体"/>
        </w:rPr>
        <w:t>11.8 建议</w:t>
      </w:r>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p>
    <w:p>
      <w:pPr>
        <w:pStyle w:val="69"/>
        <w:kinsoku w:val="0"/>
        <w:overflowPunct w:val="0"/>
        <w:autoSpaceDE w:val="0"/>
        <w:autoSpaceDN w:val="0"/>
        <w:adjustRightInd w:val="0"/>
        <w:snapToGrid w:val="0"/>
        <w:spacing w:after="0" w:line="360" w:lineRule="auto"/>
        <w:ind w:left="0" w:leftChars="0" w:firstLine="480" w:firstLineChars="200"/>
        <w:jc w:val="both"/>
        <w:rPr>
          <w:sz w:val="24"/>
          <w:szCs w:val="24"/>
        </w:rPr>
      </w:pPr>
      <w:r>
        <w:rPr>
          <w:rFonts w:hint="eastAsia"/>
          <w:sz w:val="24"/>
          <w:szCs w:val="24"/>
        </w:rPr>
        <w:t>（1）</w:t>
      </w:r>
      <w:r>
        <w:rPr>
          <w:sz w:val="24"/>
          <w:szCs w:val="24"/>
        </w:rPr>
        <w:t>加强管理，确保渗滤液处理系统稳定正常运行，杜绝事故排放，确保污水处理达标回用，不外排。</w:t>
      </w:r>
    </w:p>
    <w:p>
      <w:pPr>
        <w:pStyle w:val="69"/>
        <w:kinsoku w:val="0"/>
        <w:overflowPunct w:val="0"/>
        <w:autoSpaceDE w:val="0"/>
        <w:autoSpaceDN w:val="0"/>
        <w:adjustRightInd w:val="0"/>
        <w:snapToGrid w:val="0"/>
        <w:spacing w:after="0" w:line="360" w:lineRule="auto"/>
        <w:ind w:left="0" w:leftChars="0" w:firstLine="480" w:firstLineChars="200"/>
        <w:jc w:val="both"/>
        <w:rPr>
          <w:sz w:val="24"/>
          <w:szCs w:val="24"/>
        </w:rPr>
      </w:pPr>
      <w:r>
        <w:rPr>
          <w:sz w:val="24"/>
          <w:szCs w:val="24"/>
        </w:rPr>
        <w:t>（2）严格按照卫生填埋的要求进行操作，及时覆土、压实和喷药消毒，控制蝇类孽生繁衍。生活垃圾的收集、转运、填埋和填埋场封场全过程，加强卫生防疫工作。</w:t>
      </w:r>
    </w:p>
    <w:p>
      <w:pPr>
        <w:pStyle w:val="69"/>
        <w:kinsoku w:val="0"/>
        <w:overflowPunct w:val="0"/>
        <w:autoSpaceDE w:val="0"/>
        <w:autoSpaceDN w:val="0"/>
        <w:adjustRightInd w:val="0"/>
        <w:snapToGrid w:val="0"/>
        <w:spacing w:after="0" w:line="360" w:lineRule="auto"/>
        <w:ind w:left="0" w:leftChars="0" w:firstLine="480" w:firstLineChars="200"/>
        <w:jc w:val="both"/>
        <w:rPr>
          <w:sz w:val="24"/>
          <w:szCs w:val="24"/>
        </w:rPr>
      </w:pPr>
      <w:r>
        <w:rPr>
          <w:sz w:val="24"/>
          <w:szCs w:val="24"/>
        </w:rPr>
        <w:t>（3）重视公众参与反映出来的代表性意见，并将其切实落实到项目的设计和建设中，后期接受公众的监督。</w:t>
      </w:r>
    </w:p>
    <w:p>
      <w:pPr>
        <w:kinsoku w:val="0"/>
        <w:overflowPunct w:val="0"/>
        <w:autoSpaceDE w:val="0"/>
        <w:autoSpaceDN w:val="0"/>
        <w:adjustRightInd w:val="0"/>
        <w:snapToGrid w:val="0"/>
        <w:spacing w:line="360" w:lineRule="auto"/>
        <w:ind w:firstLine="480" w:firstLineChars="200"/>
        <w:rPr>
          <w:sz w:val="24"/>
        </w:rPr>
      </w:pPr>
      <w:r>
        <w:rPr>
          <w:sz w:val="24"/>
        </w:rPr>
        <w:t>（4）按照要求，定期进行环境监测，并设立监测数据库，便于管理并及时发现问题，避免出现渗滤液泄露和火灾等事故。</w:t>
      </w:r>
    </w:p>
    <w:p>
      <w:pPr>
        <w:spacing w:line="360" w:lineRule="auto"/>
        <w:rPr>
          <w:sz w:val="24"/>
          <w:szCs w:val="20"/>
        </w:rPr>
      </w:pPr>
    </w:p>
    <w:p>
      <w:pPr>
        <w:pStyle w:val="1136"/>
        <w:ind w:firstLine="0" w:firstLineChars="0"/>
        <w:outlineLvl w:val="0"/>
        <w:rPr>
          <w:rFonts w:ascii="Times New Roman" w:hAnsi="Times New Roman" w:cs="Times New Roman"/>
          <w:sz w:val="24"/>
          <w:szCs w:val="24"/>
        </w:rPr>
      </w:pPr>
      <w:bookmarkStart w:id="896" w:name="_Toc143762430"/>
      <w:r>
        <w:rPr>
          <w:rFonts w:ascii="Times New Roman" w:hAnsi="Times New Roman" w:cs="Times New Roman"/>
          <w:sz w:val="24"/>
          <w:szCs w:val="24"/>
        </w:rPr>
        <w:t xml:space="preserve">附件1 </w:t>
      </w:r>
      <w:r>
        <w:rPr>
          <w:rFonts w:hint="eastAsia" w:ascii="Times New Roman" w:hAnsi="Times New Roman" w:cs="Times New Roman"/>
          <w:sz w:val="24"/>
          <w:szCs w:val="24"/>
        </w:rPr>
        <w:t>委托书</w:t>
      </w:r>
      <w:bookmarkEnd w:id="896"/>
    </w:p>
    <w:p>
      <w:pPr>
        <w:pStyle w:val="939"/>
        <w:ind w:firstLine="480"/>
        <w:sectPr>
          <w:footerReference r:id="rId17" w:type="default"/>
          <w:pgSz w:w="11906" w:h="16838"/>
          <w:pgMar w:top="1440" w:right="1800" w:bottom="1440" w:left="1800" w:header="851" w:footer="992" w:gutter="0"/>
          <w:cols w:space="720" w:num="1"/>
          <w:docGrid w:type="lines" w:linePitch="312" w:charSpace="0"/>
        </w:sectPr>
      </w:pPr>
      <w:r>
        <w:rPr>
          <w:rFonts w:hint="eastAsia"/>
        </w:rPr>
        <w:drawing>
          <wp:anchor distT="0" distB="0" distL="114300" distR="114300" simplePos="0" relativeHeight="251681792" behindDoc="0" locked="0" layoutInCell="1" allowOverlap="1">
            <wp:simplePos x="0" y="0"/>
            <wp:positionH relativeFrom="column">
              <wp:posOffset>0</wp:posOffset>
            </wp:positionH>
            <wp:positionV relativeFrom="paragraph">
              <wp:posOffset>5715</wp:posOffset>
            </wp:positionV>
            <wp:extent cx="5274310" cy="7026275"/>
            <wp:effectExtent l="0" t="0" r="2540" b="3810"/>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5274310" cy="7026046"/>
                    </a:xfrm>
                    <a:prstGeom prst="rect">
                      <a:avLst/>
                    </a:prstGeom>
                    <a:noFill/>
                    <a:ln>
                      <a:noFill/>
                    </a:ln>
                  </pic:spPr>
                </pic:pic>
              </a:graphicData>
            </a:graphic>
          </wp:anchor>
        </w:drawing>
      </w:r>
    </w:p>
    <w:p>
      <w:pPr>
        <w:pStyle w:val="1136"/>
        <w:ind w:firstLine="0" w:firstLineChars="0"/>
        <w:outlineLvl w:val="0"/>
        <w:rPr>
          <w:rFonts w:ascii="Times New Roman" w:hAnsi="Times New Roman" w:cs="Times New Roman"/>
          <w:sz w:val="24"/>
          <w:szCs w:val="24"/>
        </w:rPr>
      </w:pPr>
      <w:bookmarkStart w:id="897" w:name="_Toc143762431"/>
      <w:r>
        <w:rPr>
          <w:rFonts w:ascii="Times New Roman" w:hAnsi="Times New Roman" w:cs="Times New Roman"/>
          <w:sz w:val="24"/>
          <w:szCs w:val="24"/>
        </w:rPr>
        <w:t>附件2 用地手续</w:t>
      </w:r>
      <w:bookmarkEnd w:id="897"/>
    </w:p>
    <w:p>
      <w:pPr>
        <w:pStyle w:val="939"/>
        <w:ind w:firstLine="480"/>
      </w:pPr>
      <w:r>
        <w:drawing>
          <wp:inline distT="0" distB="0" distL="0" distR="0">
            <wp:extent cx="4151630" cy="6012180"/>
            <wp:effectExtent l="0" t="0" r="1270" b="7620"/>
            <wp:docPr id="1" name="图片 1" descr="C:\Users\众成环境\AppData\Local\Temp\WeChat Files\41b9f72c149e3b7c3cd93f2c2dedc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众成环境\AppData\Local\Temp\WeChat Files\41b9f72c149e3b7c3cd93f2c2dedcac.jpg"/>
                    <pic:cNvPicPr>
                      <a:picLocks noChangeAspect="1" noChangeArrowheads="1"/>
                    </pic:cNvPicPr>
                  </pic:nvPicPr>
                  <pic:blipFill>
                    <a:blip r:embed="rId103" cstate="print">
                      <a:extLst>
                        <a:ext uri="{28A0092B-C50C-407E-A947-70E740481C1C}">
                          <a14:useLocalDpi xmlns:a14="http://schemas.microsoft.com/office/drawing/2010/main" val="0"/>
                        </a:ext>
                      </a:extLst>
                    </a:blip>
                    <a:srcRect t="7366" b="11147"/>
                    <a:stretch>
                      <a:fillRect/>
                    </a:stretch>
                  </pic:blipFill>
                  <pic:spPr>
                    <a:xfrm>
                      <a:off x="0" y="0"/>
                      <a:ext cx="4154953" cy="6016514"/>
                    </a:xfrm>
                    <a:prstGeom prst="rect">
                      <a:avLst/>
                    </a:prstGeom>
                    <a:noFill/>
                    <a:ln>
                      <a:noFill/>
                    </a:ln>
                  </pic:spPr>
                </pic:pic>
              </a:graphicData>
            </a:graphic>
          </wp:inline>
        </w:drawing>
      </w:r>
    </w:p>
    <w:p>
      <w:pPr>
        <w:pStyle w:val="939"/>
        <w:adjustRightInd w:val="0"/>
        <w:snapToGrid w:val="0"/>
        <w:ind w:firstLine="0" w:firstLineChars="0"/>
        <w:jc w:val="center"/>
      </w:pPr>
      <w:r>
        <w:drawing>
          <wp:inline distT="0" distB="0" distL="0" distR="0">
            <wp:extent cx="4712335" cy="7960995"/>
            <wp:effectExtent l="0" t="0" r="0" b="1905"/>
            <wp:docPr id="2" name="图片 2" descr="C:\Users\众成环境\AppData\Local\Temp\WeChat Files\10ebf6c469ef9ee7633c92f6edcaa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众成环境\AppData\Local\Temp\WeChat Files\10ebf6c469ef9ee7633c92f6edcaa4c.jpg"/>
                    <pic:cNvPicPr>
                      <a:picLocks noChangeAspect="1" noChangeArrowheads="1"/>
                    </pic:cNvPicPr>
                  </pic:nvPicPr>
                  <pic:blipFill>
                    <a:blip r:embed="rId104">
                      <a:extLst>
                        <a:ext uri="{28A0092B-C50C-407E-A947-70E740481C1C}">
                          <a14:useLocalDpi xmlns:a14="http://schemas.microsoft.com/office/drawing/2010/main" val="0"/>
                        </a:ext>
                      </a:extLst>
                    </a:blip>
                    <a:srcRect t="5063" r="3654" b="3341"/>
                    <a:stretch>
                      <a:fillRect/>
                    </a:stretch>
                  </pic:blipFill>
                  <pic:spPr>
                    <a:xfrm>
                      <a:off x="0" y="0"/>
                      <a:ext cx="4717499" cy="7969826"/>
                    </a:xfrm>
                    <a:prstGeom prst="rect">
                      <a:avLst/>
                    </a:prstGeom>
                    <a:noFill/>
                    <a:ln>
                      <a:noFill/>
                    </a:ln>
                  </pic:spPr>
                </pic:pic>
              </a:graphicData>
            </a:graphic>
          </wp:inline>
        </w:drawing>
      </w:r>
    </w:p>
    <w:p>
      <w:pPr>
        <w:pStyle w:val="939"/>
        <w:adjustRightInd w:val="0"/>
        <w:snapToGrid w:val="0"/>
        <w:ind w:firstLine="0" w:firstLineChars="0"/>
        <w:jc w:val="center"/>
        <w:sectPr>
          <w:pgSz w:w="11906" w:h="16838"/>
          <w:pgMar w:top="1440" w:right="1800" w:bottom="1440" w:left="1800" w:header="851" w:footer="992" w:gutter="0"/>
          <w:cols w:space="720" w:num="1"/>
          <w:docGrid w:type="lines" w:linePitch="312" w:charSpace="0"/>
        </w:sectPr>
      </w:pPr>
      <w:r>
        <w:drawing>
          <wp:inline distT="0" distB="0" distL="0" distR="0">
            <wp:extent cx="4934585" cy="8171815"/>
            <wp:effectExtent l="0" t="0" r="0" b="635"/>
            <wp:docPr id="3" name="图片 3" descr="C:\Users\众成环境\AppData\Local\Temp\WeChat Files\df9da2fc9b029ce04429acde59dde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众成环境\AppData\Local\Temp\WeChat Files\df9da2fc9b029ce04429acde59ddebc.jpg"/>
                    <pic:cNvPicPr>
                      <a:picLocks noChangeAspect="1" noChangeArrowheads="1"/>
                    </pic:cNvPicPr>
                  </pic:nvPicPr>
                  <pic:blipFill>
                    <a:blip r:embed="rId105">
                      <a:extLst>
                        <a:ext uri="{28A0092B-C50C-407E-A947-70E740481C1C}">
                          <a14:useLocalDpi xmlns:a14="http://schemas.microsoft.com/office/drawing/2010/main" val="0"/>
                        </a:ext>
                      </a:extLst>
                    </a:blip>
                    <a:srcRect l="1472" t="7456" r="-1472" b="-644"/>
                    <a:stretch>
                      <a:fillRect/>
                    </a:stretch>
                  </pic:blipFill>
                  <pic:spPr>
                    <a:xfrm>
                      <a:off x="0" y="0"/>
                      <a:ext cx="4940838" cy="8181888"/>
                    </a:xfrm>
                    <a:prstGeom prst="rect">
                      <a:avLst/>
                    </a:prstGeom>
                    <a:noFill/>
                    <a:ln>
                      <a:noFill/>
                    </a:ln>
                  </pic:spPr>
                </pic:pic>
              </a:graphicData>
            </a:graphic>
          </wp:inline>
        </w:drawing>
      </w:r>
    </w:p>
    <w:p>
      <w:pPr>
        <w:pStyle w:val="1136"/>
        <w:ind w:firstLine="0" w:firstLineChars="0"/>
        <w:outlineLvl w:val="0"/>
        <w:rPr>
          <w:rFonts w:ascii="Times New Roman" w:hAnsi="Times New Roman" w:cs="Times New Roman"/>
          <w:sz w:val="24"/>
          <w:szCs w:val="24"/>
        </w:rPr>
      </w:pPr>
      <w:bookmarkStart w:id="898" w:name="_Toc143762432"/>
      <w:r>
        <w:rPr>
          <w:rFonts w:ascii="Times New Roman" w:hAnsi="Times New Roman" w:cs="Times New Roman"/>
          <w:sz w:val="24"/>
          <w:szCs w:val="24"/>
        </w:rPr>
        <w:t xml:space="preserve">附件3 </w:t>
      </w:r>
      <w:r>
        <w:rPr>
          <w:rFonts w:hint="eastAsia" w:ascii="Times New Roman" w:hAnsi="Times New Roman" w:cs="Times New Roman"/>
          <w:sz w:val="24"/>
          <w:szCs w:val="24"/>
        </w:rPr>
        <w:t>备案表</w:t>
      </w:r>
      <w:bookmarkEnd w:id="898"/>
    </w:p>
    <w:p>
      <w:pPr>
        <w:pStyle w:val="2235"/>
        <w:ind w:firstLine="480"/>
        <w:rPr>
          <w:b/>
        </w:rPr>
      </w:pPr>
      <w:r>
        <w:drawing>
          <wp:inline distT="0" distB="0" distL="0" distR="0">
            <wp:extent cx="4928235" cy="6693535"/>
            <wp:effectExtent l="0" t="0" r="5715" b="0"/>
            <wp:docPr id="6" name="图片 6" descr="C:\Users\众成环境\AppData\Local\Temp\WeChat Files\d3b31d12cbd8ed67885599e0c8c5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众成环境\AppData\Local\Temp\WeChat Files\d3b31d12cbd8ed67885599e0c8c5284.jpg"/>
                    <pic:cNvPicPr>
                      <a:picLocks noChangeAspect="1" noChangeArrowheads="1"/>
                    </pic:cNvPicPr>
                  </pic:nvPicPr>
                  <pic:blipFill>
                    <a:blip r:embed="rId106">
                      <a:extLst>
                        <a:ext uri="{28A0092B-C50C-407E-A947-70E740481C1C}">
                          <a14:useLocalDpi xmlns:a14="http://schemas.microsoft.com/office/drawing/2010/main" val="0"/>
                        </a:ext>
                      </a:extLst>
                    </a:blip>
                    <a:srcRect t="10539" b="13030"/>
                    <a:stretch>
                      <a:fillRect/>
                    </a:stretch>
                  </pic:blipFill>
                  <pic:spPr>
                    <a:xfrm>
                      <a:off x="0" y="0"/>
                      <a:ext cx="4933235" cy="6700335"/>
                    </a:xfrm>
                    <a:prstGeom prst="rect">
                      <a:avLst/>
                    </a:prstGeom>
                    <a:noFill/>
                    <a:ln>
                      <a:noFill/>
                    </a:ln>
                  </pic:spPr>
                </pic:pic>
              </a:graphicData>
            </a:graphic>
          </wp:inline>
        </w:drawing>
      </w:r>
    </w:p>
    <w:p>
      <w:pPr>
        <w:pStyle w:val="939"/>
        <w:adjustRightInd w:val="0"/>
        <w:snapToGrid w:val="0"/>
        <w:ind w:firstLine="0" w:firstLineChars="0"/>
        <w:jc w:val="center"/>
        <w:sectPr>
          <w:pgSz w:w="11906" w:h="16838"/>
          <w:pgMar w:top="1440" w:right="1800" w:bottom="1440" w:left="1800" w:header="851" w:footer="992" w:gutter="0"/>
          <w:cols w:space="720" w:num="1"/>
          <w:docGrid w:type="lines" w:linePitch="312" w:charSpace="0"/>
        </w:sectPr>
      </w:pPr>
    </w:p>
    <w:p>
      <w:pPr>
        <w:pStyle w:val="1136"/>
        <w:ind w:firstLine="0" w:firstLineChars="0"/>
        <w:outlineLvl w:val="0"/>
        <w:rPr>
          <w:rFonts w:ascii="Times New Roman" w:hAnsi="Times New Roman" w:cs="Times New Roman"/>
          <w:sz w:val="24"/>
          <w:szCs w:val="24"/>
        </w:rPr>
      </w:pPr>
      <w:bookmarkStart w:id="899" w:name="_Toc143762433"/>
      <w:r>
        <w:rPr>
          <w:rFonts w:ascii="Times New Roman" w:hAnsi="Times New Roman" w:cs="Times New Roman"/>
          <w:sz w:val="24"/>
          <w:szCs w:val="24"/>
        </w:rPr>
        <w:t xml:space="preserve">附件4 </w:t>
      </w:r>
      <w:r>
        <w:rPr>
          <w:rFonts w:hint="eastAsia" w:ascii="Times New Roman" w:hAnsi="Times New Roman" w:cs="Times New Roman"/>
          <w:sz w:val="24"/>
          <w:szCs w:val="24"/>
        </w:rPr>
        <w:t>立项文件</w:t>
      </w:r>
      <w:bookmarkEnd w:id="899"/>
    </w:p>
    <w:p>
      <w:pPr>
        <w:pStyle w:val="939"/>
        <w:ind w:firstLine="480"/>
      </w:pPr>
    </w:p>
    <w:p>
      <w:pPr>
        <w:pStyle w:val="939"/>
        <w:adjustRightInd w:val="0"/>
        <w:snapToGrid w:val="0"/>
        <w:ind w:firstLine="0" w:firstLineChars="0"/>
        <w:jc w:val="center"/>
        <w:sectPr>
          <w:pgSz w:w="11906" w:h="16838"/>
          <w:pgMar w:top="1440" w:right="1800" w:bottom="1440" w:left="1800" w:header="851" w:footer="992" w:gutter="0"/>
          <w:cols w:space="720" w:num="1"/>
          <w:docGrid w:type="lines" w:linePitch="312" w:charSpace="0"/>
        </w:sectPr>
      </w:pPr>
      <w:r>
        <w:drawing>
          <wp:inline distT="0" distB="0" distL="0" distR="0">
            <wp:extent cx="5274310" cy="7465695"/>
            <wp:effectExtent l="0" t="0" r="254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274310" cy="7466065"/>
                    </a:xfrm>
                    <a:prstGeom prst="rect">
                      <a:avLst/>
                    </a:prstGeom>
                    <a:noFill/>
                    <a:ln>
                      <a:noFill/>
                    </a:ln>
                  </pic:spPr>
                </pic:pic>
              </a:graphicData>
            </a:graphic>
          </wp:inline>
        </w:drawing>
      </w:r>
      <w:r>
        <w:t xml:space="preserve"> </w:t>
      </w:r>
      <w:r>
        <w:drawing>
          <wp:inline distT="0" distB="0" distL="0" distR="0">
            <wp:extent cx="5274310" cy="7465695"/>
            <wp:effectExtent l="0" t="0" r="254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274310" cy="7466065"/>
                    </a:xfrm>
                    <a:prstGeom prst="rect">
                      <a:avLst/>
                    </a:prstGeom>
                    <a:noFill/>
                    <a:ln>
                      <a:noFill/>
                    </a:ln>
                  </pic:spPr>
                </pic:pic>
              </a:graphicData>
            </a:graphic>
          </wp:inline>
        </w:drawing>
      </w:r>
    </w:p>
    <w:p>
      <w:pPr>
        <w:pStyle w:val="1136"/>
        <w:ind w:firstLine="0" w:firstLineChars="0"/>
        <w:outlineLvl w:val="0"/>
        <w:rPr>
          <w:rFonts w:ascii="Times New Roman" w:hAnsi="Times New Roman" w:cs="Times New Roman"/>
          <w:sz w:val="24"/>
          <w:szCs w:val="24"/>
        </w:rPr>
      </w:pPr>
      <w:bookmarkStart w:id="900" w:name="_Toc143762434"/>
      <w:r>
        <w:rPr>
          <w:rFonts w:ascii="Times New Roman" w:hAnsi="Times New Roman" w:cs="Times New Roman"/>
          <w:sz w:val="24"/>
          <w:szCs w:val="24"/>
        </w:rPr>
        <w:t xml:space="preserve">附件5 </w:t>
      </w:r>
      <w:r>
        <w:rPr>
          <w:rFonts w:hint="eastAsia" w:ascii="Times New Roman" w:hAnsi="Times New Roman" w:cs="Times New Roman"/>
          <w:sz w:val="24"/>
          <w:szCs w:val="24"/>
        </w:rPr>
        <w:t>营业执照</w:t>
      </w:r>
      <w:bookmarkEnd w:id="900"/>
    </w:p>
    <w:p>
      <w:pPr>
        <w:pStyle w:val="939"/>
        <w:adjustRightInd w:val="0"/>
        <w:snapToGrid w:val="0"/>
        <w:ind w:firstLine="0" w:firstLineChars="0"/>
        <w:jc w:val="center"/>
      </w:pPr>
      <w:r>
        <w:drawing>
          <wp:inline distT="0" distB="0" distL="0" distR="0">
            <wp:extent cx="4899660" cy="6640195"/>
            <wp:effectExtent l="6032" t="0" r="2223" b="2222"/>
            <wp:docPr id="37" name="图片 37" descr="C:\Users\众成环境\AppData\Local\Temp\WeChat Files\ccebb6faac3af729d99f429005c33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众成环境\AppData\Local\Temp\WeChat Files\ccebb6faac3af729d99f429005c33a9.jpg"/>
                    <pic:cNvPicPr>
                      <a:picLocks noChangeAspect="1" noChangeArrowheads="1"/>
                    </pic:cNvPicPr>
                  </pic:nvPicPr>
                  <pic:blipFill>
                    <a:blip r:embed="rId109">
                      <a:extLst>
                        <a:ext uri="{28A0092B-C50C-407E-A947-70E740481C1C}">
                          <a14:useLocalDpi xmlns:a14="http://schemas.microsoft.com/office/drawing/2010/main" val="0"/>
                        </a:ext>
                      </a:extLst>
                    </a:blip>
                    <a:srcRect l="18592" t="8706" b="8558"/>
                    <a:stretch>
                      <a:fillRect/>
                    </a:stretch>
                  </pic:blipFill>
                  <pic:spPr>
                    <a:xfrm rot="5400000">
                      <a:off x="0" y="0"/>
                      <a:ext cx="4916871" cy="6662780"/>
                    </a:xfrm>
                    <a:prstGeom prst="rect">
                      <a:avLst/>
                    </a:prstGeom>
                    <a:noFill/>
                    <a:ln>
                      <a:noFill/>
                    </a:ln>
                  </pic:spPr>
                </pic:pic>
              </a:graphicData>
            </a:graphic>
          </wp:inline>
        </w:drawing>
      </w:r>
    </w:p>
    <w:p>
      <w:pPr>
        <w:pStyle w:val="1136"/>
        <w:ind w:firstLine="0" w:firstLineChars="0"/>
        <w:outlineLvl w:val="0"/>
        <w:rPr>
          <w:rFonts w:ascii="Times New Roman" w:hAnsi="Times New Roman" w:cs="Times New Roman"/>
          <w:sz w:val="24"/>
          <w:szCs w:val="24"/>
        </w:rPr>
        <w:sectPr>
          <w:pgSz w:w="16838" w:h="11906" w:orient="landscape"/>
          <w:pgMar w:top="1800" w:right="1440" w:bottom="1800" w:left="1440" w:header="851" w:footer="992" w:gutter="0"/>
          <w:cols w:space="720" w:num="1"/>
          <w:docGrid w:type="lines" w:linePitch="312" w:charSpace="0"/>
        </w:sectPr>
      </w:pPr>
    </w:p>
    <w:p>
      <w:pPr>
        <w:pStyle w:val="1136"/>
        <w:ind w:firstLine="0" w:firstLineChars="0"/>
        <w:outlineLvl w:val="0"/>
        <w:rPr>
          <w:rFonts w:ascii="Times New Roman" w:hAnsi="Times New Roman" w:cs="Times New Roman"/>
          <w:sz w:val="24"/>
          <w:szCs w:val="24"/>
        </w:rPr>
      </w:pPr>
      <w:bookmarkStart w:id="901" w:name="_Toc143762435"/>
      <w:r>
        <w:rPr>
          <w:rFonts w:ascii="Times New Roman" w:hAnsi="Times New Roman" w:cs="Times New Roman"/>
          <w:sz w:val="24"/>
          <w:szCs w:val="24"/>
        </w:rPr>
        <w:t xml:space="preserve">附件6 </w:t>
      </w:r>
      <w:r>
        <w:rPr>
          <w:rFonts w:hint="eastAsia" w:ascii="Times New Roman" w:hAnsi="Times New Roman" w:cs="Times New Roman"/>
          <w:sz w:val="24"/>
          <w:szCs w:val="24"/>
        </w:rPr>
        <w:t>未批先建处罚情况</w:t>
      </w:r>
      <w:bookmarkEnd w:id="901"/>
    </w:p>
    <w:p>
      <w:pPr>
        <w:pStyle w:val="939"/>
        <w:adjustRightInd w:val="0"/>
        <w:snapToGrid w:val="0"/>
        <w:ind w:firstLine="0" w:firstLineChars="0"/>
      </w:pPr>
      <w:r>
        <w:rPr>
          <w:rFonts w:hint="eastAsia"/>
        </w:rPr>
        <w:drawing>
          <wp:inline distT="0" distB="0" distL="0" distR="0">
            <wp:extent cx="5274310" cy="751649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274310" cy="7517102"/>
                    </a:xfrm>
                    <a:prstGeom prst="rect">
                      <a:avLst/>
                    </a:prstGeom>
                    <a:noFill/>
                    <a:ln>
                      <a:noFill/>
                    </a:ln>
                  </pic:spPr>
                </pic:pic>
              </a:graphicData>
            </a:graphic>
          </wp:inline>
        </w:drawing>
      </w:r>
      <w:r>
        <w:rPr>
          <w:rFonts w:hint="eastAsia"/>
        </w:rPr>
        <w:t xml:space="preserve"> </w:t>
      </w:r>
      <w:r>
        <w:rPr>
          <w:rFonts w:hint="eastAsia"/>
        </w:rPr>
        <w:drawing>
          <wp:inline distT="0" distB="0" distL="0" distR="0">
            <wp:extent cx="5274310" cy="7516495"/>
            <wp:effectExtent l="0" t="0" r="2540" b="825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5274310" cy="7517102"/>
                    </a:xfrm>
                    <a:prstGeom prst="rect">
                      <a:avLst/>
                    </a:prstGeom>
                    <a:noFill/>
                    <a:ln>
                      <a:noFill/>
                    </a:ln>
                  </pic:spPr>
                </pic:pic>
              </a:graphicData>
            </a:graphic>
          </wp:inline>
        </w:drawing>
      </w:r>
    </w:p>
    <w:p>
      <w:pPr>
        <w:pStyle w:val="939"/>
        <w:adjustRightInd w:val="0"/>
        <w:snapToGrid w:val="0"/>
        <w:ind w:firstLine="0" w:firstLineChars="0"/>
        <w:jc w:val="center"/>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imes">
    <w:altName w:val="Times New Roman"/>
    <w:panose1 w:val="02020603050405020304"/>
    <w:charset w:val="00"/>
    <w:family w:val="roman"/>
    <w:pitch w:val="default"/>
    <w:sig w:usb0="00000000" w:usb1="00000000" w:usb2="00000009" w:usb3="00000000" w:csb0="000001FF" w:csb1="00000000"/>
  </w:font>
  <w:font w:name="汉鼎简书宋">
    <w:altName w:val="宋体"/>
    <w:panose1 w:val="00000000000000000000"/>
    <w:charset w:val="86"/>
    <w:family w:val="modern"/>
    <w:pitch w:val="default"/>
    <w:sig w:usb0="00000000" w:usb1="00000000" w:usb2="00000010" w:usb3="00000000" w:csb0="00040000" w:csb1="00000000"/>
  </w:font>
  <w:font w:name="System">
    <w:altName w:val="宋体"/>
    <w:panose1 w:val="00000000000000000000"/>
    <w:charset w:val="86"/>
    <w:family w:val="auto"/>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MingLiU">
    <w:panose1 w:val="02020509000000000000"/>
    <w:charset w:val="88"/>
    <w:family w:val="modern"/>
    <w:pitch w:val="default"/>
    <w:sig w:usb0="A00002FF" w:usb1="28CFFCFA" w:usb2="00000016" w:usb3="00000000" w:csb0="00100001" w:csb1="00000000"/>
  </w:font>
  <w:font w:name="隶书">
    <w:altName w:val="微软雅黑"/>
    <w:panose1 w:val="02010509060101010101"/>
    <w:charset w:val="86"/>
    <w:family w:val="modern"/>
    <w:pitch w:val="default"/>
    <w:sig w:usb0="00000000" w:usb1="00000000" w:usb2="00000000" w:usb3="00000000" w:csb0="00040000" w:csb1="00000000"/>
  </w:font>
  <w:font w:name="仿宋_GB2312">
    <w:altName w:val="仿宋"/>
    <w:panose1 w:val="00000000000000000000"/>
    <w:charset w:val="86"/>
    <w:family w:val="modern"/>
    <w:pitch w:val="default"/>
    <w:sig w:usb0="00000000" w:usb1="00000000" w:usb2="00000010" w:usb3="00000000" w:csb0="00040001" w:csb1="00000000"/>
  </w:font>
  <w:font w:name="Impact">
    <w:panose1 w:val="020B0806030902050204"/>
    <w:charset w:val="00"/>
    <w:family w:val="swiss"/>
    <w:pitch w:val="default"/>
    <w:sig w:usb0="00000287" w:usb1="00000000" w:usb2="00000000" w:usb3="00000000" w:csb0="2000009F" w:csb1="DFD70000"/>
  </w:font>
  <w:font w:name="Angsana New">
    <w:panose1 w:val="02020603050405020304"/>
    <w:charset w:val="DE"/>
    <w:family w:val="roman"/>
    <w:pitch w:val="default"/>
    <w:sig w:usb0="81000003" w:usb1="00000000" w:usb2="00000000" w:usb3="00000000" w:csb0="00010001" w:csb1="00000000"/>
  </w:font>
  <w:font w:name="方正宋三简体">
    <w:altName w:val="宋体"/>
    <w:panose1 w:val="00000000000000000000"/>
    <w:charset w:val="86"/>
    <w:family w:val="auto"/>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Microsoft JhengHei">
    <w:panose1 w:val="020B0604030504040204"/>
    <w:charset w:val="88"/>
    <w:family w:val="swiss"/>
    <w:pitch w:val="default"/>
    <w:sig w:usb0="00000087" w:usb1="28AF4000" w:usb2="00000016" w:usb3="00000000" w:csb0="00100009" w:csb1="00000000"/>
  </w:font>
  <w:font w:name="Arial Black">
    <w:panose1 w:val="020B0A04020102020204"/>
    <w:charset w:val="00"/>
    <w:family w:val="swiss"/>
    <w:pitch w:val="default"/>
    <w:sig w:usb0="00000287" w:usb1="00000000" w:usb2="00000000" w:usb3="00000000" w:csb0="2000009F" w:csb1="DFD70000"/>
  </w:font>
  <w:font w:name="Arial Narrow">
    <w:altName w:val="Arial"/>
    <w:panose1 w:val="020B0606020202030204"/>
    <w:charset w:val="00"/>
    <w:family w:val="swiss"/>
    <w:pitch w:val="default"/>
    <w:sig w:usb0="00000000" w:usb1="00000000" w:usb2="00000000" w:usb3="00000000" w:csb0="2000009F" w:csb1="DFD70000"/>
  </w:font>
  <w:font w:name="华文中宋">
    <w:altName w:val="宋体"/>
    <w:panose1 w:val="02010600040101010101"/>
    <w:charset w:val="86"/>
    <w:family w:val="auto"/>
    <w:pitch w:val="default"/>
    <w:sig w:usb0="00000000" w:usb1="00000000" w:usb2="00000000" w:usb3="00000000" w:csb0="0004009F" w:csb1="DFD70000"/>
  </w:font>
  <w:font w:name="Garamond">
    <w:altName w:val="PMingLiU-ExtB"/>
    <w:panose1 w:val="02020404030301010803"/>
    <w:charset w:val="00"/>
    <w:family w:val="roman"/>
    <w:pitch w:val="default"/>
    <w:sig w:usb0="00000000" w:usb1="00000000" w:usb2="00000000" w:usb3="00000000" w:csb0="0000009F" w:csb1="DFD70000"/>
  </w:font>
  <w:font w:name="新宋体">
    <w:panose1 w:val="02010609030101010101"/>
    <w:charset w:val="86"/>
    <w:family w:val="modern"/>
    <w:pitch w:val="default"/>
    <w:sig w:usb0="00000003" w:usb1="288F0000" w:usb2="00000006" w:usb3="00000000" w:csb0="00040001" w:csb1="00000000"/>
  </w:font>
  <w:font w:name="華康中楷體">
    <w:altName w:val="Microsoft JhengHei"/>
    <w:panose1 w:val="00000000000000000000"/>
    <w:charset w:val="88"/>
    <w:family w:val="modern"/>
    <w:pitch w:val="default"/>
    <w:sig w:usb0="00000000" w:usb1="00000000" w:usb2="00000010" w:usb3="00000000" w:csb0="00100000" w:csb1="00000000"/>
  </w:font>
  <w:font w:name="Batang">
    <w:panose1 w:val="02030600000101010101"/>
    <w:charset w:val="81"/>
    <w:family w:val="roman"/>
    <w:pitch w:val="default"/>
    <w:sig w:usb0="B00002AF" w:usb1="69D77CFB" w:usb2="00000030" w:usb3="00000000" w:csb0="4008009F" w:csb1="DFD70000"/>
  </w:font>
  <w:font w:name="昆仑仿宋">
    <w:altName w:val="黑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五">
    <w:altName w:val="黑体"/>
    <w:panose1 w:val="00000000000000000000"/>
    <w:charset w:val="86"/>
    <w:family w:val="auto"/>
    <w:pitch w:val="default"/>
    <w:sig w:usb0="00000000" w:usb1="00000000" w:usb2="00000010" w:usb3="00000000" w:csb0="00040000" w:csb1="00000000"/>
  </w:font>
  <w:font w:name="Arial,Bold">
    <w:altName w:val="Arial"/>
    <w:panose1 w:val="00000000000000000000"/>
    <w:charset w:val="00"/>
    <w:family w:val="swiss"/>
    <w:pitch w:val="default"/>
    <w:sig w:usb0="00000000" w:usb1="00000000" w:usb2="00000000" w:usb3="00000000" w:csb0="00000001" w:csb1="00000000"/>
  </w:font>
  <w:font w:name="华文仿宋">
    <w:altName w:val="仿宋"/>
    <w:panose1 w:val="02010600040101010101"/>
    <w:charset w:val="86"/>
    <w:family w:val="auto"/>
    <w:pitch w:val="default"/>
    <w:sig w:usb0="00000000" w:usb1="00000000" w:usb2="00000000" w:usb3="00000000" w:csb0="0004009F" w:csb1="DFD70000"/>
  </w:font>
  <w:font w:name="??">
    <w:altName w:val="Times New Roman"/>
    <w:panose1 w:val="00000000000000000000"/>
    <w:charset w:val="00"/>
    <w:family w:val="roma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
    <w:altName w:val="Malgun Gothic"/>
    <w:panose1 w:val="00000000000000000000"/>
    <w:charset w:val="81"/>
    <w:family w:val="auto"/>
    <w:pitch w:val="default"/>
    <w:sig w:usb0="00000000" w:usb1="00000000" w:usb2="00000010" w:usb3="00000000" w:csb0="00080000" w:csb1="00000000"/>
  </w:font>
  <w:font w:name="Gungsuh">
    <w:panose1 w:val="02030600000101010101"/>
    <w:charset w:val="81"/>
    <w:family w:val="roman"/>
    <w:pitch w:val="default"/>
    <w:sig w:usb0="B00002AF" w:usb1="69D77CFB" w:usb2="00000030" w:usb3="00000000" w:csb0="4008009F" w:csb1="DFD70000"/>
  </w:font>
  <w:font w:name="TimesNewRoman">
    <w:altName w:val="宋体"/>
    <w:panose1 w:val="00000000000000000000"/>
    <w:charset w:val="00"/>
    <w:family w:val="roman"/>
    <w:pitch w:val="default"/>
    <w:sig w:usb0="00000000" w:usb1="00000000" w:usb2="00000000" w:usb3="00000000" w:csb0="00000001" w:csb1="00000000"/>
  </w:font>
  <w:font w:name="MS Mincho">
    <w:panose1 w:val="02020609040205080304"/>
    <w:charset w:val="80"/>
    <w:family w:val="modern"/>
    <w:pitch w:val="default"/>
    <w:sig w:usb0="E00002FF" w:usb1="6AC7FDFB" w:usb2="00000012" w:usb3="00000000" w:csb0="4002009F" w:csb1="DFD70000"/>
  </w:font>
  <w:font w:name="Trebuchet MS">
    <w:panose1 w:val="020B0603020202020204"/>
    <w:charset w:val="00"/>
    <w:family w:val="swiss"/>
    <w:pitch w:val="default"/>
    <w:sig w:usb0="00000287" w:usb1="00000000" w:usb2="00000000" w:usb3="00000000" w:csb0="2000009F" w:csb1="00000000"/>
  </w:font>
  <w:font w:name="CG Times">
    <w:altName w:val="Times New Roman"/>
    <w:panose1 w:val="00000000000000000000"/>
    <w:charset w:val="00"/>
    <w:family w:val="roman"/>
    <w:pitch w:val="default"/>
    <w:sig w:usb0="00000000" w:usb1="00000000" w:usb2="00000000" w:usb3="00000000" w:csb0="00000001" w:csb1="00000000"/>
  </w:font>
  <w:font w:name="@黑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方正粗圆简体">
    <w:altName w:val="宋体"/>
    <w:panose1 w:val="00000000000000000000"/>
    <w:charset w:val="86"/>
    <w:family w:val="auto"/>
    <w:pitch w:val="default"/>
    <w:sig w:usb0="00000000" w:usb1="00000000" w:usb2="00000010" w:usb3="00000000" w:csb0="00040000" w:csb1="00000000"/>
  </w:font>
  <w:font w:name="方正大标宋简体">
    <w:altName w:val="微软雅黑"/>
    <w:panose1 w:val="00000000000000000000"/>
    <w:charset w:val="86"/>
    <w:family w:val="script"/>
    <w:pitch w:val="default"/>
    <w:sig w:usb0="00000000" w:usb1="00000000" w:usb2="00000010" w:usb3="00000000" w:csb0="00040000" w:csb1="00000000"/>
  </w:font>
  <w:font w:name="MS Shell Dlg">
    <w:altName w:val="Microsoft Sans Serif"/>
    <w:panose1 w:val="020B0604020202020204"/>
    <w:charset w:val="00"/>
    <w:family w:val="swiss"/>
    <w:pitch w:val="default"/>
    <w:sig w:usb0="00000000" w:usb1="00000000" w:usb2="00000029" w:usb3="00000000" w:csb0="000101FF" w:csb1="00000000"/>
  </w:font>
  <w:font w:name="华文细黑">
    <w:altName w:val="微软雅黑"/>
    <w:panose1 w:val="02010600040101010101"/>
    <w:charset w:val="86"/>
    <w:family w:val="auto"/>
    <w:pitch w:val="default"/>
    <w:sig w:usb0="00000000" w:usb1="00000000" w:usb2="00000000" w:usb3="00000000" w:csb0="0004009F" w:csb1="DFD70000"/>
  </w:font>
  <w:font w:name="Calibri Light">
    <w:panose1 w:val="020F0302020204030204"/>
    <w:charset w:val="00"/>
    <w:family w:val="swiss"/>
    <w:pitch w:val="default"/>
    <w:sig w:usb0="A00002EF" w:usb1="4000207B" w:usb2="00000000" w:usb3="00000000" w:csb0="2000019F" w:csb1="00000000"/>
  </w:font>
  <w:font w:name="TimesNewRomanPSMT">
    <w:altName w:val="Times New Roman"/>
    <w:panose1 w:val="00000000000000000000"/>
    <w:charset w:val="00"/>
    <w:family w:val="roman"/>
    <w:pitch w:val="default"/>
    <w:sig w:usb0="00000000" w:usb1="00000000" w:usb2="00000010" w:usb3="00000000" w:csb0="00060001" w:csb1="00000000"/>
  </w:font>
  <w:font w:name="等线">
    <w:altName w:val="微软雅黑"/>
    <w:panose1 w:val="02010600030101010101"/>
    <w:charset w:val="86"/>
    <w:family w:val="auto"/>
    <w:pitch w:val="default"/>
    <w:sig w:usb0="00000000" w:usb1="00000000" w:usb2="00000016" w:usb3="00000000" w:csb0="0004000F" w:csb1="00000000"/>
  </w:font>
  <w:font w:name="Wingdings 2">
    <w:altName w:val="Wingdings"/>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Wingdings">
    <w:panose1 w:val="05000000000000000000"/>
    <w:charset w:val="00"/>
    <w:family w:val="auto"/>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 w:name="PMingLiU">
    <w:panose1 w:val="02020500000000000000"/>
    <w:charset w:val="88"/>
    <w:family w:val="auto"/>
    <w:pitch w:val="default"/>
    <w:sig w:usb0="A00002FF" w:usb1="28CFFCFA" w:usb2="00000016" w:usb3="00000000" w:csb0="00100001" w:csb1="00000000"/>
  </w:font>
  <w:font w:name="Arial">
    <w:panose1 w:val="020B0604020202020204"/>
    <w:charset w:val="00"/>
    <w:family w:val="auto"/>
    <w:pitch w:val="default"/>
    <w:sig w:usb0="E0002AFF" w:usb1="C0007843" w:usb2="00000009" w:usb3="00000000" w:csb0="400001FF" w:csb1="FFFF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Malgun Gothic">
    <w:panose1 w:val="020B0503020000020004"/>
    <w:charset w:val="81"/>
    <w:family w:val="auto"/>
    <w:pitch w:val="default"/>
    <w:sig w:usb0="900002AF" w:usb1="01D77CFB" w:usb2="00000012" w:usb3="00000000" w:csb0="00080001" w:csb1="00000000"/>
  </w:font>
  <w:font w:name="Microsoft Sans Serif">
    <w:panose1 w:val="020B0604020202020204"/>
    <w:charset w:val="00"/>
    <w:family w:val="auto"/>
    <w:pitch w:val="default"/>
    <w:sig w:usb0="E1002AFF" w:usb1="C0000002" w:usb2="00000008"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rPr>
        <w:sz w:val="21"/>
        <w:szCs w:val="21"/>
      </w:rPr>
    </w:pPr>
    <w:r>
      <w:rPr>
        <w:rFonts w:hAnsi="宋体"/>
        <w:kern w:val="0"/>
        <w:sz w:val="21"/>
        <w:szCs w:val="21"/>
      </w:rPr>
      <w:t>内蒙古</w:t>
    </w:r>
    <w:r>
      <w:rPr>
        <w:rFonts w:hint="eastAsia" w:hAnsi="宋体"/>
        <w:kern w:val="0"/>
        <w:sz w:val="21"/>
        <w:szCs w:val="21"/>
      </w:rPr>
      <w:t xml:space="preserve">众成环境工程技术有限公司 </w:t>
    </w:r>
    <w:r>
      <w:rPr>
        <w:rFonts w:hAnsi="宋体"/>
        <w:kern w:val="0"/>
        <w:sz w:val="21"/>
        <w:szCs w:val="21"/>
      </w:rPr>
      <w:t xml:space="preserve">          </w:t>
    </w:r>
    <w:r>
      <w:rPr>
        <w:kern w:val="0"/>
        <w:sz w:val="21"/>
        <w:szCs w:val="21"/>
      </w:rPr>
      <w:fldChar w:fldCharType="begin"/>
    </w:r>
    <w:r>
      <w:rPr>
        <w:kern w:val="0"/>
        <w:sz w:val="21"/>
        <w:szCs w:val="21"/>
      </w:rPr>
      <w:instrText xml:space="preserve"> PAGE </w:instrText>
    </w:r>
    <w:r>
      <w:rPr>
        <w:kern w:val="0"/>
        <w:sz w:val="21"/>
        <w:szCs w:val="21"/>
      </w:rPr>
      <w:fldChar w:fldCharType="separate"/>
    </w:r>
    <w:r>
      <w:rPr>
        <w:kern w:val="0"/>
        <w:sz w:val="21"/>
        <w:szCs w:val="21"/>
      </w:rPr>
      <w:t>12</w:t>
    </w:r>
    <w:r>
      <w:rPr>
        <w:kern w:val="0"/>
        <w:sz w:val="21"/>
        <w:szCs w:val="21"/>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rPr>
        <w:sz w:val="21"/>
        <w:szCs w:val="21"/>
      </w:rPr>
    </w:pPr>
    <w:r>
      <w:rPr>
        <w:rFonts w:hAnsi="宋体"/>
        <w:kern w:val="0"/>
        <w:sz w:val="21"/>
        <w:szCs w:val="21"/>
      </w:rPr>
      <w:t>内蒙古</w:t>
    </w:r>
    <w:r>
      <w:rPr>
        <w:rFonts w:hint="eastAsia" w:hAnsi="宋体"/>
        <w:kern w:val="0"/>
        <w:sz w:val="21"/>
        <w:szCs w:val="21"/>
      </w:rPr>
      <w:t xml:space="preserve">众成环境工程技术有限公司 </w:t>
    </w:r>
    <w:r>
      <w:rPr>
        <w:rFonts w:hAnsi="宋体"/>
        <w:kern w:val="0"/>
        <w:sz w:val="21"/>
        <w:szCs w:val="21"/>
      </w:rPr>
      <w:t xml:space="preserve">          </w:t>
    </w:r>
    <w:r>
      <w:rPr>
        <w:kern w:val="0"/>
        <w:sz w:val="21"/>
        <w:szCs w:val="21"/>
      </w:rPr>
      <w:fldChar w:fldCharType="begin"/>
    </w:r>
    <w:r>
      <w:rPr>
        <w:kern w:val="0"/>
        <w:sz w:val="21"/>
        <w:szCs w:val="21"/>
      </w:rPr>
      <w:instrText xml:space="preserve"> PAGE </w:instrText>
    </w:r>
    <w:r>
      <w:rPr>
        <w:kern w:val="0"/>
        <w:sz w:val="21"/>
        <w:szCs w:val="21"/>
      </w:rPr>
      <w:fldChar w:fldCharType="separate"/>
    </w:r>
    <w:r>
      <w:rPr>
        <w:kern w:val="0"/>
        <w:sz w:val="21"/>
        <w:szCs w:val="21"/>
      </w:rPr>
      <w:t>189</w:t>
    </w:r>
    <w:r>
      <w:rPr>
        <w:kern w:val="0"/>
        <w:sz w:val="21"/>
        <w:szCs w:val="21"/>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rPr>
        <w:sz w:val="21"/>
        <w:szCs w:val="21"/>
      </w:rPr>
    </w:pPr>
    <w:r>
      <w:rPr>
        <w:rFonts w:hAnsi="宋体"/>
        <w:kern w:val="0"/>
        <w:sz w:val="21"/>
        <w:szCs w:val="21"/>
      </w:rPr>
      <w:t>内蒙古</w:t>
    </w:r>
    <w:r>
      <w:rPr>
        <w:rFonts w:hint="eastAsia" w:hAnsi="宋体"/>
        <w:kern w:val="0"/>
        <w:sz w:val="21"/>
        <w:szCs w:val="21"/>
      </w:rPr>
      <w:t xml:space="preserve">众成环境工程技术有限公司 </w:t>
    </w:r>
    <w:r>
      <w:rPr>
        <w:rFonts w:hAnsi="宋体"/>
        <w:kern w:val="0"/>
        <w:sz w:val="21"/>
        <w:szCs w:val="21"/>
      </w:rPr>
      <w:t xml:space="preserve">          </w:t>
    </w:r>
    <w:r>
      <w:rPr>
        <w:kern w:val="0"/>
        <w:sz w:val="21"/>
        <w:szCs w:val="21"/>
      </w:rPr>
      <w:fldChar w:fldCharType="begin"/>
    </w:r>
    <w:r>
      <w:rPr>
        <w:kern w:val="0"/>
        <w:sz w:val="21"/>
        <w:szCs w:val="21"/>
      </w:rPr>
      <w:instrText xml:space="preserve"> PAGE </w:instrText>
    </w:r>
    <w:r>
      <w:rPr>
        <w:kern w:val="0"/>
        <w:sz w:val="21"/>
        <w:szCs w:val="21"/>
      </w:rPr>
      <w:fldChar w:fldCharType="separate"/>
    </w:r>
    <w:r>
      <w:rPr>
        <w:kern w:val="0"/>
        <w:sz w:val="21"/>
        <w:szCs w:val="21"/>
      </w:rPr>
      <w:t>195</w:t>
    </w:r>
    <w:r>
      <w:rPr>
        <w:kern w:val="0"/>
        <w:sz w:val="21"/>
        <w:szCs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rPr>
        <w:szCs w:val="21"/>
      </w:rPr>
    </w:pPr>
    <w:r>
      <w:rPr>
        <w:rFonts w:hint="eastAsia"/>
      </w:rPr>
      <w:t>五原县复兴镇生活垃圾无害化处理项目</w:t>
    </w:r>
    <w:r>
      <w:rPr>
        <w:rFonts w:hint="eastAsia"/>
        <w:szCs w:val="21"/>
      </w:rPr>
      <w:t>环境影响评价报告书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rPr>
        <w:szCs w:val="21"/>
      </w:rPr>
    </w:pPr>
    <w:r>
      <w:rPr>
        <w:rFonts w:hint="eastAsia"/>
      </w:rPr>
      <w:t>五原县复兴镇生活垃圾无害化处理项目</w:t>
    </w:r>
    <w:r>
      <w:rPr>
        <w:rFonts w:hint="eastAsia"/>
        <w:szCs w:val="21"/>
      </w:rPr>
      <w:t>环境影响评价报告书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rPr>
        <w:szCs w:val="21"/>
      </w:rPr>
    </w:pPr>
    <w:r>
      <w:rPr>
        <w:rFonts w:hint="eastAsia"/>
      </w:rPr>
      <w:t>五原县复兴镇生活垃圾无害化处理项目</w:t>
    </w:r>
    <w:r>
      <w:rPr>
        <w:rFonts w:hint="eastAsia"/>
        <w:szCs w:val="21"/>
      </w:rPr>
      <w:t>环境影响评价报告书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rPr>
        <w:szCs w:val="21"/>
      </w:rPr>
    </w:pPr>
    <w:r>
      <w:rPr>
        <w:rFonts w:hint="eastAsia"/>
      </w:rPr>
      <w:t>五原县复兴镇生活垃圾无害化处理</w:t>
    </w:r>
    <w:r>
      <w:rPr>
        <w:rFonts w:hint="eastAsia"/>
        <w:szCs w:val="21"/>
      </w:rPr>
      <w:t>项目环境影响评价报告书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rPr>
        <w:szCs w:val="21"/>
      </w:rPr>
    </w:pPr>
    <w:r>
      <w:rPr>
        <w:rFonts w:hint="eastAsia"/>
      </w:rPr>
      <w:t>五原县复兴镇生活垃圾处理场工程</w:t>
    </w:r>
    <w:r>
      <w:rPr>
        <w:rFonts w:hint="eastAsia"/>
        <w:szCs w:val="21"/>
      </w:rPr>
      <w:t>项目环境影响评价报告书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rPr>
        <w:szCs w:val="21"/>
      </w:rPr>
    </w:pPr>
    <w:r>
      <w:rPr>
        <w:rFonts w:hint="eastAsia"/>
      </w:rPr>
      <w:t>五原县复兴镇生活垃圾无害化处理项目</w:t>
    </w:r>
    <w:r>
      <w:rPr>
        <w:rFonts w:hint="eastAsia"/>
        <w:szCs w:val="21"/>
      </w:rPr>
      <w:t>环境影响评价报告书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5C44441"/>
    <w:multiLevelType w:val="singleLevel"/>
    <w:tmpl w:val="15C44441"/>
    <w:lvl w:ilvl="0" w:tentative="0">
      <w:start w:val="1"/>
      <w:numFmt w:val="decimal"/>
      <w:suff w:val="nothing"/>
      <w:lvlText w:val="（%1）"/>
      <w:lvlJc w:val="left"/>
    </w:lvl>
  </w:abstractNum>
  <w:abstractNum w:abstractNumId="1">
    <w:nsid w:val="2A0C455C"/>
    <w:multiLevelType w:val="multilevel"/>
    <w:tmpl w:val="2A0C455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76E3D8F"/>
    <w:multiLevelType w:val="multilevel"/>
    <w:tmpl w:val="376E3D8F"/>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39610985"/>
    <w:multiLevelType w:val="multilevel"/>
    <w:tmpl w:val="39610985"/>
    <w:lvl w:ilvl="0" w:tentative="0">
      <w:start w:val="1"/>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QxNDRlYjFiNDhjNWFkOWM2MTlhODA0YzBmNDU5MjMifQ=="/>
  </w:docVars>
  <w:rsids>
    <w:rsidRoot w:val="00440156"/>
    <w:rsid w:val="00000286"/>
    <w:rsid w:val="000002C4"/>
    <w:rsid w:val="0000042B"/>
    <w:rsid w:val="000007CE"/>
    <w:rsid w:val="00000882"/>
    <w:rsid w:val="00000971"/>
    <w:rsid w:val="00000B39"/>
    <w:rsid w:val="0000134B"/>
    <w:rsid w:val="00001826"/>
    <w:rsid w:val="0000240A"/>
    <w:rsid w:val="00002CDE"/>
    <w:rsid w:val="00002E65"/>
    <w:rsid w:val="00003054"/>
    <w:rsid w:val="000030E3"/>
    <w:rsid w:val="000030F9"/>
    <w:rsid w:val="000031CB"/>
    <w:rsid w:val="000032DF"/>
    <w:rsid w:val="0000359C"/>
    <w:rsid w:val="000038C2"/>
    <w:rsid w:val="0000439F"/>
    <w:rsid w:val="00004408"/>
    <w:rsid w:val="00004492"/>
    <w:rsid w:val="00004C57"/>
    <w:rsid w:val="00005967"/>
    <w:rsid w:val="00005B3C"/>
    <w:rsid w:val="00005F06"/>
    <w:rsid w:val="0000627F"/>
    <w:rsid w:val="00006812"/>
    <w:rsid w:val="00006A01"/>
    <w:rsid w:val="00006B8F"/>
    <w:rsid w:val="000071F2"/>
    <w:rsid w:val="00007314"/>
    <w:rsid w:val="0000788C"/>
    <w:rsid w:val="00007A6E"/>
    <w:rsid w:val="00007B00"/>
    <w:rsid w:val="00007FF0"/>
    <w:rsid w:val="0001002A"/>
    <w:rsid w:val="00010433"/>
    <w:rsid w:val="00010500"/>
    <w:rsid w:val="00010778"/>
    <w:rsid w:val="00010B3E"/>
    <w:rsid w:val="00011459"/>
    <w:rsid w:val="00011D4F"/>
    <w:rsid w:val="00011EE3"/>
    <w:rsid w:val="00012092"/>
    <w:rsid w:val="00012CFE"/>
    <w:rsid w:val="00012DFE"/>
    <w:rsid w:val="000130F7"/>
    <w:rsid w:val="000131DB"/>
    <w:rsid w:val="000132AA"/>
    <w:rsid w:val="000133CB"/>
    <w:rsid w:val="000138D6"/>
    <w:rsid w:val="00013A4E"/>
    <w:rsid w:val="00013B0D"/>
    <w:rsid w:val="000142AB"/>
    <w:rsid w:val="00014E96"/>
    <w:rsid w:val="00015210"/>
    <w:rsid w:val="0001595C"/>
    <w:rsid w:val="00015A1A"/>
    <w:rsid w:val="00015B8A"/>
    <w:rsid w:val="00015CA1"/>
    <w:rsid w:val="00015DBF"/>
    <w:rsid w:val="00015F34"/>
    <w:rsid w:val="00016059"/>
    <w:rsid w:val="0001616B"/>
    <w:rsid w:val="00016418"/>
    <w:rsid w:val="0001646E"/>
    <w:rsid w:val="00016925"/>
    <w:rsid w:val="00016EEB"/>
    <w:rsid w:val="000170AF"/>
    <w:rsid w:val="000172F0"/>
    <w:rsid w:val="000174A5"/>
    <w:rsid w:val="000177B8"/>
    <w:rsid w:val="000177C2"/>
    <w:rsid w:val="000179F0"/>
    <w:rsid w:val="00017A91"/>
    <w:rsid w:val="000201FA"/>
    <w:rsid w:val="00020216"/>
    <w:rsid w:val="00020246"/>
    <w:rsid w:val="0002103A"/>
    <w:rsid w:val="000212D7"/>
    <w:rsid w:val="00021518"/>
    <w:rsid w:val="000216FF"/>
    <w:rsid w:val="00021938"/>
    <w:rsid w:val="0002193E"/>
    <w:rsid w:val="00021C10"/>
    <w:rsid w:val="00021C54"/>
    <w:rsid w:val="00021EE4"/>
    <w:rsid w:val="00021F14"/>
    <w:rsid w:val="000220AD"/>
    <w:rsid w:val="0002234D"/>
    <w:rsid w:val="0002259D"/>
    <w:rsid w:val="000225E9"/>
    <w:rsid w:val="0002265E"/>
    <w:rsid w:val="000227AF"/>
    <w:rsid w:val="000229DA"/>
    <w:rsid w:val="000229E3"/>
    <w:rsid w:val="00022AB8"/>
    <w:rsid w:val="00022D28"/>
    <w:rsid w:val="00022F17"/>
    <w:rsid w:val="00022F38"/>
    <w:rsid w:val="00023839"/>
    <w:rsid w:val="0002385A"/>
    <w:rsid w:val="00023D2C"/>
    <w:rsid w:val="00023D7C"/>
    <w:rsid w:val="00023DEA"/>
    <w:rsid w:val="00023F17"/>
    <w:rsid w:val="00023F6B"/>
    <w:rsid w:val="00024154"/>
    <w:rsid w:val="00024270"/>
    <w:rsid w:val="0002483E"/>
    <w:rsid w:val="000249B0"/>
    <w:rsid w:val="00025190"/>
    <w:rsid w:val="000256D2"/>
    <w:rsid w:val="000257D3"/>
    <w:rsid w:val="0002596C"/>
    <w:rsid w:val="00025F52"/>
    <w:rsid w:val="00026912"/>
    <w:rsid w:val="000270E9"/>
    <w:rsid w:val="00027748"/>
    <w:rsid w:val="00027753"/>
    <w:rsid w:val="000277D7"/>
    <w:rsid w:val="000278BB"/>
    <w:rsid w:val="0002797E"/>
    <w:rsid w:val="00027EA9"/>
    <w:rsid w:val="00027EC6"/>
    <w:rsid w:val="00027F40"/>
    <w:rsid w:val="00027F4F"/>
    <w:rsid w:val="00027FA7"/>
    <w:rsid w:val="00030092"/>
    <w:rsid w:val="000301E8"/>
    <w:rsid w:val="0003054E"/>
    <w:rsid w:val="00030595"/>
    <w:rsid w:val="00030645"/>
    <w:rsid w:val="0003069F"/>
    <w:rsid w:val="00030942"/>
    <w:rsid w:val="00030DF1"/>
    <w:rsid w:val="0003132B"/>
    <w:rsid w:val="000315EF"/>
    <w:rsid w:val="00031A09"/>
    <w:rsid w:val="00031C01"/>
    <w:rsid w:val="00031D44"/>
    <w:rsid w:val="00031F5F"/>
    <w:rsid w:val="0003209B"/>
    <w:rsid w:val="000320C7"/>
    <w:rsid w:val="000322FD"/>
    <w:rsid w:val="000326CB"/>
    <w:rsid w:val="00033256"/>
    <w:rsid w:val="0003342F"/>
    <w:rsid w:val="000338CE"/>
    <w:rsid w:val="000338E3"/>
    <w:rsid w:val="000339B6"/>
    <w:rsid w:val="00033CBB"/>
    <w:rsid w:val="0003419C"/>
    <w:rsid w:val="000342C2"/>
    <w:rsid w:val="000343BB"/>
    <w:rsid w:val="0003458F"/>
    <w:rsid w:val="0003483C"/>
    <w:rsid w:val="00034973"/>
    <w:rsid w:val="00034C41"/>
    <w:rsid w:val="000350D7"/>
    <w:rsid w:val="0003543F"/>
    <w:rsid w:val="000354E6"/>
    <w:rsid w:val="000355A8"/>
    <w:rsid w:val="0003568A"/>
    <w:rsid w:val="00035926"/>
    <w:rsid w:val="00035E27"/>
    <w:rsid w:val="00036860"/>
    <w:rsid w:val="00037184"/>
    <w:rsid w:val="000375FA"/>
    <w:rsid w:val="000377A4"/>
    <w:rsid w:val="0004084A"/>
    <w:rsid w:val="00040BD3"/>
    <w:rsid w:val="00040CD1"/>
    <w:rsid w:val="00040F86"/>
    <w:rsid w:val="000411CA"/>
    <w:rsid w:val="000413C6"/>
    <w:rsid w:val="00041407"/>
    <w:rsid w:val="00041457"/>
    <w:rsid w:val="0004165A"/>
    <w:rsid w:val="000416B0"/>
    <w:rsid w:val="00041CBD"/>
    <w:rsid w:val="00041E13"/>
    <w:rsid w:val="0004203A"/>
    <w:rsid w:val="000428F9"/>
    <w:rsid w:val="00042BB3"/>
    <w:rsid w:val="00042F11"/>
    <w:rsid w:val="00043C50"/>
    <w:rsid w:val="00043E86"/>
    <w:rsid w:val="00043F56"/>
    <w:rsid w:val="0004407C"/>
    <w:rsid w:val="000442B1"/>
    <w:rsid w:val="00044542"/>
    <w:rsid w:val="00044A89"/>
    <w:rsid w:val="00044BB1"/>
    <w:rsid w:val="00044DF1"/>
    <w:rsid w:val="000452F6"/>
    <w:rsid w:val="0004548E"/>
    <w:rsid w:val="00045506"/>
    <w:rsid w:val="00045886"/>
    <w:rsid w:val="00045A8D"/>
    <w:rsid w:val="00046519"/>
    <w:rsid w:val="0004682D"/>
    <w:rsid w:val="0004686D"/>
    <w:rsid w:val="00046CDD"/>
    <w:rsid w:val="000478EF"/>
    <w:rsid w:val="00047A13"/>
    <w:rsid w:val="0005020C"/>
    <w:rsid w:val="000502FB"/>
    <w:rsid w:val="000503FA"/>
    <w:rsid w:val="00050A42"/>
    <w:rsid w:val="0005121B"/>
    <w:rsid w:val="00051456"/>
    <w:rsid w:val="000520B7"/>
    <w:rsid w:val="00052294"/>
    <w:rsid w:val="000523F8"/>
    <w:rsid w:val="00052E42"/>
    <w:rsid w:val="00052F69"/>
    <w:rsid w:val="0005344A"/>
    <w:rsid w:val="0005355F"/>
    <w:rsid w:val="0005384D"/>
    <w:rsid w:val="000538AE"/>
    <w:rsid w:val="00053B0F"/>
    <w:rsid w:val="00053D3C"/>
    <w:rsid w:val="00053DC2"/>
    <w:rsid w:val="00053F36"/>
    <w:rsid w:val="00053F54"/>
    <w:rsid w:val="00054435"/>
    <w:rsid w:val="00054453"/>
    <w:rsid w:val="00054486"/>
    <w:rsid w:val="00054590"/>
    <w:rsid w:val="00054692"/>
    <w:rsid w:val="00054803"/>
    <w:rsid w:val="00054907"/>
    <w:rsid w:val="00054AA3"/>
    <w:rsid w:val="00054B8E"/>
    <w:rsid w:val="00054DAB"/>
    <w:rsid w:val="00054F11"/>
    <w:rsid w:val="0005518F"/>
    <w:rsid w:val="00055347"/>
    <w:rsid w:val="0005541A"/>
    <w:rsid w:val="00055B03"/>
    <w:rsid w:val="00055CDB"/>
    <w:rsid w:val="00055DCB"/>
    <w:rsid w:val="00055E92"/>
    <w:rsid w:val="0005616B"/>
    <w:rsid w:val="000561A2"/>
    <w:rsid w:val="0005673D"/>
    <w:rsid w:val="000567A4"/>
    <w:rsid w:val="0005697E"/>
    <w:rsid w:val="00057B7C"/>
    <w:rsid w:val="00057D7F"/>
    <w:rsid w:val="000600AC"/>
    <w:rsid w:val="000612CA"/>
    <w:rsid w:val="000612F1"/>
    <w:rsid w:val="000614F7"/>
    <w:rsid w:val="00061633"/>
    <w:rsid w:val="00061669"/>
    <w:rsid w:val="0006196F"/>
    <w:rsid w:val="00061A10"/>
    <w:rsid w:val="00061BD6"/>
    <w:rsid w:val="000627BA"/>
    <w:rsid w:val="000628A0"/>
    <w:rsid w:val="00062C4F"/>
    <w:rsid w:val="00062E11"/>
    <w:rsid w:val="00062F4E"/>
    <w:rsid w:val="000634C4"/>
    <w:rsid w:val="000637F9"/>
    <w:rsid w:val="00063C85"/>
    <w:rsid w:val="00063DE3"/>
    <w:rsid w:val="000646F4"/>
    <w:rsid w:val="000648E6"/>
    <w:rsid w:val="00064B5A"/>
    <w:rsid w:val="00064BBD"/>
    <w:rsid w:val="00064DEF"/>
    <w:rsid w:val="00064ED0"/>
    <w:rsid w:val="00064FA5"/>
    <w:rsid w:val="00065453"/>
    <w:rsid w:val="00065D5E"/>
    <w:rsid w:val="00066160"/>
    <w:rsid w:val="000661E2"/>
    <w:rsid w:val="000664FF"/>
    <w:rsid w:val="000666D8"/>
    <w:rsid w:val="000667F7"/>
    <w:rsid w:val="000668E5"/>
    <w:rsid w:val="000669C4"/>
    <w:rsid w:val="00066A69"/>
    <w:rsid w:val="00066E2B"/>
    <w:rsid w:val="000670C3"/>
    <w:rsid w:val="00067470"/>
    <w:rsid w:val="000675A3"/>
    <w:rsid w:val="00067735"/>
    <w:rsid w:val="00067969"/>
    <w:rsid w:val="00067BA1"/>
    <w:rsid w:val="00067BF4"/>
    <w:rsid w:val="00070234"/>
    <w:rsid w:val="00070A09"/>
    <w:rsid w:val="00070B34"/>
    <w:rsid w:val="00070E42"/>
    <w:rsid w:val="00070E5E"/>
    <w:rsid w:val="00071044"/>
    <w:rsid w:val="00071210"/>
    <w:rsid w:val="000714F9"/>
    <w:rsid w:val="00071809"/>
    <w:rsid w:val="00071997"/>
    <w:rsid w:val="00071AAC"/>
    <w:rsid w:val="00071F52"/>
    <w:rsid w:val="000720AB"/>
    <w:rsid w:val="0007224A"/>
    <w:rsid w:val="00072250"/>
    <w:rsid w:val="00072469"/>
    <w:rsid w:val="00072807"/>
    <w:rsid w:val="00072B4E"/>
    <w:rsid w:val="00072BC8"/>
    <w:rsid w:val="00072D20"/>
    <w:rsid w:val="00072E8F"/>
    <w:rsid w:val="00073185"/>
    <w:rsid w:val="00073350"/>
    <w:rsid w:val="00073AE8"/>
    <w:rsid w:val="00073BC6"/>
    <w:rsid w:val="00073FB5"/>
    <w:rsid w:val="00074106"/>
    <w:rsid w:val="0007414C"/>
    <w:rsid w:val="0007495C"/>
    <w:rsid w:val="00074BB5"/>
    <w:rsid w:val="00075017"/>
    <w:rsid w:val="000754DF"/>
    <w:rsid w:val="0007626F"/>
    <w:rsid w:val="0007654E"/>
    <w:rsid w:val="00076566"/>
    <w:rsid w:val="0007676F"/>
    <w:rsid w:val="000767EE"/>
    <w:rsid w:val="00076C00"/>
    <w:rsid w:val="00076C4A"/>
    <w:rsid w:val="00077318"/>
    <w:rsid w:val="00077560"/>
    <w:rsid w:val="00077BF8"/>
    <w:rsid w:val="00077ED2"/>
    <w:rsid w:val="00077FAE"/>
    <w:rsid w:val="00080110"/>
    <w:rsid w:val="00080131"/>
    <w:rsid w:val="000805F3"/>
    <w:rsid w:val="00080830"/>
    <w:rsid w:val="0008097B"/>
    <w:rsid w:val="00080A3B"/>
    <w:rsid w:val="00080AF8"/>
    <w:rsid w:val="00080BA6"/>
    <w:rsid w:val="00080F6E"/>
    <w:rsid w:val="00081029"/>
    <w:rsid w:val="000812B3"/>
    <w:rsid w:val="0008193F"/>
    <w:rsid w:val="00081BEF"/>
    <w:rsid w:val="00081BFA"/>
    <w:rsid w:val="00081C80"/>
    <w:rsid w:val="00081EE3"/>
    <w:rsid w:val="00081EF7"/>
    <w:rsid w:val="00082183"/>
    <w:rsid w:val="0008245F"/>
    <w:rsid w:val="000829FB"/>
    <w:rsid w:val="00082D14"/>
    <w:rsid w:val="0008344A"/>
    <w:rsid w:val="00083964"/>
    <w:rsid w:val="000839DD"/>
    <w:rsid w:val="000839FA"/>
    <w:rsid w:val="00083F05"/>
    <w:rsid w:val="00084017"/>
    <w:rsid w:val="000842AA"/>
    <w:rsid w:val="000848D4"/>
    <w:rsid w:val="00084C19"/>
    <w:rsid w:val="00084C43"/>
    <w:rsid w:val="00084CD7"/>
    <w:rsid w:val="00084D63"/>
    <w:rsid w:val="000851A4"/>
    <w:rsid w:val="000851CD"/>
    <w:rsid w:val="00085325"/>
    <w:rsid w:val="000856FE"/>
    <w:rsid w:val="0008570C"/>
    <w:rsid w:val="00085805"/>
    <w:rsid w:val="000859F6"/>
    <w:rsid w:val="00085B32"/>
    <w:rsid w:val="00085D54"/>
    <w:rsid w:val="00086000"/>
    <w:rsid w:val="00086153"/>
    <w:rsid w:val="0008673C"/>
    <w:rsid w:val="00086AFA"/>
    <w:rsid w:val="00086D85"/>
    <w:rsid w:val="00086DE4"/>
    <w:rsid w:val="00086FE2"/>
    <w:rsid w:val="00087235"/>
    <w:rsid w:val="00087396"/>
    <w:rsid w:val="0008751D"/>
    <w:rsid w:val="00087AFC"/>
    <w:rsid w:val="00087FBB"/>
    <w:rsid w:val="00090191"/>
    <w:rsid w:val="0009036F"/>
    <w:rsid w:val="000903BB"/>
    <w:rsid w:val="000904FB"/>
    <w:rsid w:val="00090548"/>
    <w:rsid w:val="00090EF2"/>
    <w:rsid w:val="0009142E"/>
    <w:rsid w:val="0009146E"/>
    <w:rsid w:val="00091673"/>
    <w:rsid w:val="00091690"/>
    <w:rsid w:val="00091762"/>
    <w:rsid w:val="00091A97"/>
    <w:rsid w:val="00091A9C"/>
    <w:rsid w:val="00091D06"/>
    <w:rsid w:val="00091FDB"/>
    <w:rsid w:val="000920B3"/>
    <w:rsid w:val="000920F1"/>
    <w:rsid w:val="0009234C"/>
    <w:rsid w:val="00092CB1"/>
    <w:rsid w:val="00093110"/>
    <w:rsid w:val="00093572"/>
    <w:rsid w:val="00093E1F"/>
    <w:rsid w:val="000948D7"/>
    <w:rsid w:val="000950C8"/>
    <w:rsid w:val="000950DD"/>
    <w:rsid w:val="000952FD"/>
    <w:rsid w:val="000957B9"/>
    <w:rsid w:val="000964B2"/>
    <w:rsid w:val="00096587"/>
    <w:rsid w:val="00096981"/>
    <w:rsid w:val="000971D4"/>
    <w:rsid w:val="00097904"/>
    <w:rsid w:val="00097AC8"/>
    <w:rsid w:val="00097F60"/>
    <w:rsid w:val="000A0B46"/>
    <w:rsid w:val="000A0CA9"/>
    <w:rsid w:val="000A1171"/>
    <w:rsid w:val="000A1669"/>
    <w:rsid w:val="000A1804"/>
    <w:rsid w:val="000A1BCB"/>
    <w:rsid w:val="000A287C"/>
    <w:rsid w:val="000A2C41"/>
    <w:rsid w:val="000A2D7F"/>
    <w:rsid w:val="000A2EF7"/>
    <w:rsid w:val="000A2F02"/>
    <w:rsid w:val="000A3569"/>
    <w:rsid w:val="000A3C4C"/>
    <w:rsid w:val="000A3FC1"/>
    <w:rsid w:val="000A4646"/>
    <w:rsid w:val="000A46BD"/>
    <w:rsid w:val="000A46CB"/>
    <w:rsid w:val="000A487B"/>
    <w:rsid w:val="000A495E"/>
    <w:rsid w:val="000A4AA4"/>
    <w:rsid w:val="000A4BEC"/>
    <w:rsid w:val="000A51B5"/>
    <w:rsid w:val="000A51B9"/>
    <w:rsid w:val="000A520F"/>
    <w:rsid w:val="000A5549"/>
    <w:rsid w:val="000A55AD"/>
    <w:rsid w:val="000A5934"/>
    <w:rsid w:val="000A5C86"/>
    <w:rsid w:val="000A5E1D"/>
    <w:rsid w:val="000A6292"/>
    <w:rsid w:val="000A64A6"/>
    <w:rsid w:val="000A67BD"/>
    <w:rsid w:val="000A73A1"/>
    <w:rsid w:val="000A750B"/>
    <w:rsid w:val="000A75F8"/>
    <w:rsid w:val="000A76AF"/>
    <w:rsid w:val="000A77C3"/>
    <w:rsid w:val="000A77E5"/>
    <w:rsid w:val="000A78D2"/>
    <w:rsid w:val="000A78E3"/>
    <w:rsid w:val="000A7A40"/>
    <w:rsid w:val="000B0058"/>
    <w:rsid w:val="000B069F"/>
    <w:rsid w:val="000B078F"/>
    <w:rsid w:val="000B0D92"/>
    <w:rsid w:val="000B0F29"/>
    <w:rsid w:val="000B0F47"/>
    <w:rsid w:val="000B12B3"/>
    <w:rsid w:val="000B1483"/>
    <w:rsid w:val="000B1941"/>
    <w:rsid w:val="000B1D8E"/>
    <w:rsid w:val="000B2121"/>
    <w:rsid w:val="000B2163"/>
    <w:rsid w:val="000B22A5"/>
    <w:rsid w:val="000B2878"/>
    <w:rsid w:val="000B2C51"/>
    <w:rsid w:val="000B2C56"/>
    <w:rsid w:val="000B3177"/>
    <w:rsid w:val="000B3183"/>
    <w:rsid w:val="000B36FD"/>
    <w:rsid w:val="000B37D7"/>
    <w:rsid w:val="000B46CC"/>
    <w:rsid w:val="000B4702"/>
    <w:rsid w:val="000B47C4"/>
    <w:rsid w:val="000B480A"/>
    <w:rsid w:val="000B48D3"/>
    <w:rsid w:val="000B4BC4"/>
    <w:rsid w:val="000B543E"/>
    <w:rsid w:val="000B56CA"/>
    <w:rsid w:val="000B57A4"/>
    <w:rsid w:val="000B5C2A"/>
    <w:rsid w:val="000B6097"/>
    <w:rsid w:val="000B61D9"/>
    <w:rsid w:val="000B6614"/>
    <w:rsid w:val="000B6835"/>
    <w:rsid w:val="000B688A"/>
    <w:rsid w:val="000B6E69"/>
    <w:rsid w:val="000B6FC3"/>
    <w:rsid w:val="000B7003"/>
    <w:rsid w:val="000B7ED2"/>
    <w:rsid w:val="000C081C"/>
    <w:rsid w:val="000C0DEA"/>
    <w:rsid w:val="000C138E"/>
    <w:rsid w:val="000C1703"/>
    <w:rsid w:val="000C1C84"/>
    <w:rsid w:val="000C2004"/>
    <w:rsid w:val="000C2431"/>
    <w:rsid w:val="000C298E"/>
    <w:rsid w:val="000C2B96"/>
    <w:rsid w:val="000C331B"/>
    <w:rsid w:val="000C3CC5"/>
    <w:rsid w:val="000C3EAC"/>
    <w:rsid w:val="000C466F"/>
    <w:rsid w:val="000C4956"/>
    <w:rsid w:val="000C4D6C"/>
    <w:rsid w:val="000C4E4F"/>
    <w:rsid w:val="000C515A"/>
    <w:rsid w:val="000C5C92"/>
    <w:rsid w:val="000C5FB5"/>
    <w:rsid w:val="000C61D1"/>
    <w:rsid w:val="000C67B3"/>
    <w:rsid w:val="000C6939"/>
    <w:rsid w:val="000C6BA0"/>
    <w:rsid w:val="000C70F7"/>
    <w:rsid w:val="000C7499"/>
    <w:rsid w:val="000C74AE"/>
    <w:rsid w:val="000C76F9"/>
    <w:rsid w:val="000C782C"/>
    <w:rsid w:val="000C7F7B"/>
    <w:rsid w:val="000D01B7"/>
    <w:rsid w:val="000D01BA"/>
    <w:rsid w:val="000D048C"/>
    <w:rsid w:val="000D04B2"/>
    <w:rsid w:val="000D04BF"/>
    <w:rsid w:val="000D0531"/>
    <w:rsid w:val="000D062B"/>
    <w:rsid w:val="000D0BDF"/>
    <w:rsid w:val="000D0C10"/>
    <w:rsid w:val="000D0C1D"/>
    <w:rsid w:val="000D0E84"/>
    <w:rsid w:val="000D1192"/>
    <w:rsid w:val="000D17D6"/>
    <w:rsid w:val="000D1AC2"/>
    <w:rsid w:val="000D1FD1"/>
    <w:rsid w:val="000D2898"/>
    <w:rsid w:val="000D2CCD"/>
    <w:rsid w:val="000D2E6C"/>
    <w:rsid w:val="000D3263"/>
    <w:rsid w:val="000D35B3"/>
    <w:rsid w:val="000D35BE"/>
    <w:rsid w:val="000D4340"/>
    <w:rsid w:val="000D4631"/>
    <w:rsid w:val="000D481A"/>
    <w:rsid w:val="000D49CA"/>
    <w:rsid w:val="000D4AB0"/>
    <w:rsid w:val="000D4FAD"/>
    <w:rsid w:val="000D5166"/>
    <w:rsid w:val="000D5265"/>
    <w:rsid w:val="000D526F"/>
    <w:rsid w:val="000D5730"/>
    <w:rsid w:val="000D6560"/>
    <w:rsid w:val="000D65CF"/>
    <w:rsid w:val="000D6738"/>
    <w:rsid w:val="000D697C"/>
    <w:rsid w:val="000D6BC5"/>
    <w:rsid w:val="000D70F3"/>
    <w:rsid w:val="000D7329"/>
    <w:rsid w:val="000D757C"/>
    <w:rsid w:val="000D7A4B"/>
    <w:rsid w:val="000D7B03"/>
    <w:rsid w:val="000D7F2C"/>
    <w:rsid w:val="000E010D"/>
    <w:rsid w:val="000E0997"/>
    <w:rsid w:val="000E0BAC"/>
    <w:rsid w:val="000E109A"/>
    <w:rsid w:val="000E11A4"/>
    <w:rsid w:val="000E1A4B"/>
    <w:rsid w:val="000E24C6"/>
    <w:rsid w:val="000E283C"/>
    <w:rsid w:val="000E28DA"/>
    <w:rsid w:val="000E28DE"/>
    <w:rsid w:val="000E2A12"/>
    <w:rsid w:val="000E2AA9"/>
    <w:rsid w:val="000E2D45"/>
    <w:rsid w:val="000E2D54"/>
    <w:rsid w:val="000E2E9D"/>
    <w:rsid w:val="000E334F"/>
    <w:rsid w:val="000E35CD"/>
    <w:rsid w:val="000E3C45"/>
    <w:rsid w:val="000E3CDD"/>
    <w:rsid w:val="000E3DDB"/>
    <w:rsid w:val="000E3E6D"/>
    <w:rsid w:val="000E421D"/>
    <w:rsid w:val="000E44D1"/>
    <w:rsid w:val="000E457C"/>
    <w:rsid w:val="000E4580"/>
    <w:rsid w:val="000E4D93"/>
    <w:rsid w:val="000E4E3D"/>
    <w:rsid w:val="000E552A"/>
    <w:rsid w:val="000E55E6"/>
    <w:rsid w:val="000E57E8"/>
    <w:rsid w:val="000E58A1"/>
    <w:rsid w:val="000E64E5"/>
    <w:rsid w:val="000E66DF"/>
    <w:rsid w:val="000E6A0A"/>
    <w:rsid w:val="000E6D00"/>
    <w:rsid w:val="000E6D43"/>
    <w:rsid w:val="000E71F6"/>
    <w:rsid w:val="000E72F7"/>
    <w:rsid w:val="000E74FB"/>
    <w:rsid w:val="000E7880"/>
    <w:rsid w:val="000E7AA6"/>
    <w:rsid w:val="000E7B12"/>
    <w:rsid w:val="000E7CC5"/>
    <w:rsid w:val="000E7F03"/>
    <w:rsid w:val="000E7F18"/>
    <w:rsid w:val="000F0587"/>
    <w:rsid w:val="000F0876"/>
    <w:rsid w:val="000F0E6B"/>
    <w:rsid w:val="000F0E9C"/>
    <w:rsid w:val="000F14F7"/>
    <w:rsid w:val="000F159F"/>
    <w:rsid w:val="000F1667"/>
    <w:rsid w:val="000F1780"/>
    <w:rsid w:val="000F1A42"/>
    <w:rsid w:val="000F1C58"/>
    <w:rsid w:val="000F1EAA"/>
    <w:rsid w:val="000F21F4"/>
    <w:rsid w:val="000F2515"/>
    <w:rsid w:val="000F2BBC"/>
    <w:rsid w:val="000F2F4A"/>
    <w:rsid w:val="000F30C4"/>
    <w:rsid w:val="000F3678"/>
    <w:rsid w:val="000F3813"/>
    <w:rsid w:val="000F3AAC"/>
    <w:rsid w:val="000F3D8B"/>
    <w:rsid w:val="000F48A5"/>
    <w:rsid w:val="000F4E2C"/>
    <w:rsid w:val="000F4ED8"/>
    <w:rsid w:val="000F51C8"/>
    <w:rsid w:val="000F5324"/>
    <w:rsid w:val="000F5482"/>
    <w:rsid w:val="000F5612"/>
    <w:rsid w:val="000F5640"/>
    <w:rsid w:val="000F574A"/>
    <w:rsid w:val="000F5BDA"/>
    <w:rsid w:val="000F5F61"/>
    <w:rsid w:val="000F63B0"/>
    <w:rsid w:val="000F679F"/>
    <w:rsid w:val="000F6B6C"/>
    <w:rsid w:val="000F70D1"/>
    <w:rsid w:val="000F73B0"/>
    <w:rsid w:val="000F74D6"/>
    <w:rsid w:val="000F7889"/>
    <w:rsid w:val="000F79AC"/>
    <w:rsid w:val="000F7A13"/>
    <w:rsid w:val="000F7BA7"/>
    <w:rsid w:val="000F7F2F"/>
    <w:rsid w:val="00100425"/>
    <w:rsid w:val="00100742"/>
    <w:rsid w:val="00100A8A"/>
    <w:rsid w:val="00100FF9"/>
    <w:rsid w:val="0010101E"/>
    <w:rsid w:val="001011A5"/>
    <w:rsid w:val="00101315"/>
    <w:rsid w:val="00101CF5"/>
    <w:rsid w:val="0010247D"/>
    <w:rsid w:val="001029B6"/>
    <w:rsid w:val="00102BC7"/>
    <w:rsid w:val="0010315F"/>
    <w:rsid w:val="0010352F"/>
    <w:rsid w:val="00103631"/>
    <w:rsid w:val="0010380D"/>
    <w:rsid w:val="00103A49"/>
    <w:rsid w:val="00103D89"/>
    <w:rsid w:val="00104134"/>
    <w:rsid w:val="00104B06"/>
    <w:rsid w:val="00105427"/>
    <w:rsid w:val="00105986"/>
    <w:rsid w:val="00105990"/>
    <w:rsid w:val="00106117"/>
    <w:rsid w:val="0010626C"/>
    <w:rsid w:val="001062A3"/>
    <w:rsid w:val="001062FE"/>
    <w:rsid w:val="001067D0"/>
    <w:rsid w:val="001069AF"/>
    <w:rsid w:val="00106A6F"/>
    <w:rsid w:val="00106C80"/>
    <w:rsid w:val="00106D48"/>
    <w:rsid w:val="00106D6B"/>
    <w:rsid w:val="00106F07"/>
    <w:rsid w:val="00107ACF"/>
    <w:rsid w:val="00107B89"/>
    <w:rsid w:val="00107BF0"/>
    <w:rsid w:val="00107F24"/>
    <w:rsid w:val="0011076A"/>
    <w:rsid w:val="001110CC"/>
    <w:rsid w:val="00111287"/>
    <w:rsid w:val="00111575"/>
    <w:rsid w:val="00111B51"/>
    <w:rsid w:val="00111DCC"/>
    <w:rsid w:val="00112158"/>
    <w:rsid w:val="0011246F"/>
    <w:rsid w:val="001128FD"/>
    <w:rsid w:val="00112909"/>
    <w:rsid w:val="00112A28"/>
    <w:rsid w:val="00112A9B"/>
    <w:rsid w:val="00112E00"/>
    <w:rsid w:val="00112F4B"/>
    <w:rsid w:val="00113A71"/>
    <w:rsid w:val="00113A9E"/>
    <w:rsid w:val="00114218"/>
    <w:rsid w:val="001144A5"/>
    <w:rsid w:val="001148F4"/>
    <w:rsid w:val="0011555F"/>
    <w:rsid w:val="00115C6B"/>
    <w:rsid w:val="00115E96"/>
    <w:rsid w:val="00115F56"/>
    <w:rsid w:val="001161AD"/>
    <w:rsid w:val="001161BD"/>
    <w:rsid w:val="00116698"/>
    <w:rsid w:val="00116AEA"/>
    <w:rsid w:val="00116B42"/>
    <w:rsid w:val="00117082"/>
    <w:rsid w:val="00117276"/>
    <w:rsid w:val="001174FC"/>
    <w:rsid w:val="0011765C"/>
    <w:rsid w:val="00117D6A"/>
    <w:rsid w:val="0012018F"/>
    <w:rsid w:val="00121205"/>
    <w:rsid w:val="001214A4"/>
    <w:rsid w:val="00121550"/>
    <w:rsid w:val="00121B94"/>
    <w:rsid w:val="00121E60"/>
    <w:rsid w:val="0012235F"/>
    <w:rsid w:val="00122AF0"/>
    <w:rsid w:val="00122CC2"/>
    <w:rsid w:val="00122EBB"/>
    <w:rsid w:val="00122EDC"/>
    <w:rsid w:val="00123290"/>
    <w:rsid w:val="001240AC"/>
    <w:rsid w:val="001244AF"/>
    <w:rsid w:val="001247BB"/>
    <w:rsid w:val="0012482F"/>
    <w:rsid w:val="00124B60"/>
    <w:rsid w:val="00124D8D"/>
    <w:rsid w:val="00124E9B"/>
    <w:rsid w:val="00125042"/>
    <w:rsid w:val="00125073"/>
    <w:rsid w:val="001250C8"/>
    <w:rsid w:val="001252BA"/>
    <w:rsid w:val="00125553"/>
    <w:rsid w:val="0012566B"/>
    <w:rsid w:val="001256EC"/>
    <w:rsid w:val="00125BC3"/>
    <w:rsid w:val="00125ECE"/>
    <w:rsid w:val="00126087"/>
    <w:rsid w:val="001262AD"/>
    <w:rsid w:val="00126408"/>
    <w:rsid w:val="0012646C"/>
    <w:rsid w:val="001267EF"/>
    <w:rsid w:val="00126AAD"/>
    <w:rsid w:val="00126B4C"/>
    <w:rsid w:val="00126B70"/>
    <w:rsid w:val="00126D99"/>
    <w:rsid w:val="00126DE6"/>
    <w:rsid w:val="0012720B"/>
    <w:rsid w:val="001272FE"/>
    <w:rsid w:val="0012731F"/>
    <w:rsid w:val="00127D6F"/>
    <w:rsid w:val="00127E3C"/>
    <w:rsid w:val="00127F51"/>
    <w:rsid w:val="00127FA5"/>
    <w:rsid w:val="00130058"/>
    <w:rsid w:val="0013034C"/>
    <w:rsid w:val="0013036F"/>
    <w:rsid w:val="00130595"/>
    <w:rsid w:val="00130783"/>
    <w:rsid w:val="001308C8"/>
    <w:rsid w:val="00130E2F"/>
    <w:rsid w:val="001311DD"/>
    <w:rsid w:val="00131559"/>
    <w:rsid w:val="00131B42"/>
    <w:rsid w:val="001322F2"/>
    <w:rsid w:val="001323A2"/>
    <w:rsid w:val="00133497"/>
    <w:rsid w:val="0013360C"/>
    <w:rsid w:val="0013367D"/>
    <w:rsid w:val="00133C07"/>
    <w:rsid w:val="001340CA"/>
    <w:rsid w:val="001340F2"/>
    <w:rsid w:val="001344E2"/>
    <w:rsid w:val="00134530"/>
    <w:rsid w:val="0013467E"/>
    <w:rsid w:val="00134A4E"/>
    <w:rsid w:val="00134D05"/>
    <w:rsid w:val="00135066"/>
    <w:rsid w:val="001352E1"/>
    <w:rsid w:val="00135821"/>
    <w:rsid w:val="00135CE8"/>
    <w:rsid w:val="001360A1"/>
    <w:rsid w:val="00136432"/>
    <w:rsid w:val="00136479"/>
    <w:rsid w:val="00136860"/>
    <w:rsid w:val="00136879"/>
    <w:rsid w:val="001368BE"/>
    <w:rsid w:val="0013692D"/>
    <w:rsid w:val="00136EA8"/>
    <w:rsid w:val="0013701B"/>
    <w:rsid w:val="00137229"/>
    <w:rsid w:val="00137C3D"/>
    <w:rsid w:val="00137CA2"/>
    <w:rsid w:val="00137CF3"/>
    <w:rsid w:val="00137D11"/>
    <w:rsid w:val="00137D3F"/>
    <w:rsid w:val="00137FC4"/>
    <w:rsid w:val="001405C3"/>
    <w:rsid w:val="001406A2"/>
    <w:rsid w:val="001406D6"/>
    <w:rsid w:val="00140A65"/>
    <w:rsid w:val="00140B46"/>
    <w:rsid w:val="001412CC"/>
    <w:rsid w:val="0014139C"/>
    <w:rsid w:val="0014145B"/>
    <w:rsid w:val="00141D9E"/>
    <w:rsid w:val="00141DB4"/>
    <w:rsid w:val="00141DDA"/>
    <w:rsid w:val="00141E91"/>
    <w:rsid w:val="00141F41"/>
    <w:rsid w:val="00141FD2"/>
    <w:rsid w:val="001424A7"/>
    <w:rsid w:val="00142634"/>
    <w:rsid w:val="0014273C"/>
    <w:rsid w:val="0014319A"/>
    <w:rsid w:val="001438C8"/>
    <w:rsid w:val="00143B75"/>
    <w:rsid w:val="00143D45"/>
    <w:rsid w:val="00143DC7"/>
    <w:rsid w:val="0014468F"/>
    <w:rsid w:val="00144750"/>
    <w:rsid w:val="00144F8A"/>
    <w:rsid w:val="0014555D"/>
    <w:rsid w:val="00145631"/>
    <w:rsid w:val="00145857"/>
    <w:rsid w:val="00145A87"/>
    <w:rsid w:val="00145B47"/>
    <w:rsid w:val="00145DA9"/>
    <w:rsid w:val="00145FED"/>
    <w:rsid w:val="0014642A"/>
    <w:rsid w:val="00146B83"/>
    <w:rsid w:val="001474BF"/>
    <w:rsid w:val="00147698"/>
    <w:rsid w:val="001477FF"/>
    <w:rsid w:val="00147A07"/>
    <w:rsid w:val="00147B2A"/>
    <w:rsid w:val="00147C18"/>
    <w:rsid w:val="00147CA3"/>
    <w:rsid w:val="00147D5A"/>
    <w:rsid w:val="00147DEF"/>
    <w:rsid w:val="001500F6"/>
    <w:rsid w:val="001503E5"/>
    <w:rsid w:val="00150AC6"/>
    <w:rsid w:val="00150D50"/>
    <w:rsid w:val="00151383"/>
    <w:rsid w:val="0015148B"/>
    <w:rsid w:val="00151760"/>
    <w:rsid w:val="00151A93"/>
    <w:rsid w:val="00151D43"/>
    <w:rsid w:val="00151E6F"/>
    <w:rsid w:val="00152165"/>
    <w:rsid w:val="001521D9"/>
    <w:rsid w:val="001529F2"/>
    <w:rsid w:val="00152EB4"/>
    <w:rsid w:val="00153014"/>
    <w:rsid w:val="00153695"/>
    <w:rsid w:val="00153955"/>
    <w:rsid w:val="00153994"/>
    <w:rsid w:val="00153C9B"/>
    <w:rsid w:val="00153D04"/>
    <w:rsid w:val="00153D35"/>
    <w:rsid w:val="001541C8"/>
    <w:rsid w:val="001542DA"/>
    <w:rsid w:val="001545C2"/>
    <w:rsid w:val="00154902"/>
    <w:rsid w:val="00154C73"/>
    <w:rsid w:val="00154DC4"/>
    <w:rsid w:val="00154DD6"/>
    <w:rsid w:val="00154DFC"/>
    <w:rsid w:val="00154FAC"/>
    <w:rsid w:val="00154FD8"/>
    <w:rsid w:val="00155351"/>
    <w:rsid w:val="001554B4"/>
    <w:rsid w:val="00155628"/>
    <w:rsid w:val="00155AEA"/>
    <w:rsid w:val="00156167"/>
    <w:rsid w:val="001569BC"/>
    <w:rsid w:val="00156D1B"/>
    <w:rsid w:val="00156DC5"/>
    <w:rsid w:val="0015728F"/>
    <w:rsid w:val="0015730C"/>
    <w:rsid w:val="001579FC"/>
    <w:rsid w:val="00157B37"/>
    <w:rsid w:val="0016027A"/>
    <w:rsid w:val="00160288"/>
    <w:rsid w:val="001603AC"/>
    <w:rsid w:val="00160429"/>
    <w:rsid w:val="001604D9"/>
    <w:rsid w:val="00160896"/>
    <w:rsid w:val="00160986"/>
    <w:rsid w:val="00160B4D"/>
    <w:rsid w:val="00160BA8"/>
    <w:rsid w:val="00160C69"/>
    <w:rsid w:val="001611E5"/>
    <w:rsid w:val="001616D9"/>
    <w:rsid w:val="001617A5"/>
    <w:rsid w:val="00161B47"/>
    <w:rsid w:val="00161B55"/>
    <w:rsid w:val="00161BF9"/>
    <w:rsid w:val="00161F6A"/>
    <w:rsid w:val="001622DE"/>
    <w:rsid w:val="00162576"/>
    <w:rsid w:val="00162AF8"/>
    <w:rsid w:val="00162DA8"/>
    <w:rsid w:val="00162E7D"/>
    <w:rsid w:val="00163492"/>
    <w:rsid w:val="001634D0"/>
    <w:rsid w:val="00163794"/>
    <w:rsid w:val="001637F2"/>
    <w:rsid w:val="00163827"/>
    <w:rsid w:val="00163A15"/>
    <w:rsid w:val="00163E4E"/>
    <w:rsid w:val="00164138"/>
    <w:rsid w:val="001646C7"/>
    <w:rsid w:val="00164BD9"/>
    <w:rsid w:val="001650C9"/>
    <w:rsid w:val="0016563C"/>
    <w:rsid w:val="00165685"/>
    <w:rsid w:val="00165D4E"/>
    <w:rsid w:val="00165DC7"/>
    <w:rsid w:val="00165E3E"/>
    <w:rsid w:val="00166187"/>
    <w:rsid w:val="001661AB"/>
    <w:rsid w:val="00166540"/>
    <w:rsid w:val="00166D03"/>
    <w:rsid w:val="00166D32"/>
    <w:rsid w:val="00167069"/>
    <w:rsid w:val="001674BE"/>
    <w:rsid w:val="00167882"/>
    <w:rsid w:val="00167D42"/>
    <w:rsid w:val="00167F46"/>
    <w:rsid w:val="00170540"/>
    <w:rsid w:val="001705DD"/>
    <w:rsid w:val="00170EDF"/>
    <w:rsid w:val="00171171"/>
    <w:rsid w:val="001716FE"/>
    <w:rsid w:val="0017171E"/>
    <w:rsid w:val="001717B6"/>
    <w:rsid w:val="00171CC6"/>
    <w:rsid w:val="00171FC0"/>
    <w:rsid w:val="00172858"/>
    <w:rsid w:val="00172C15"/>
    <w:rsid w:val="00173565"/>
    <w:rsid w:val="0017380A"/>
    <w:rsid w:val="00173A8A"/>
    <w:rsid w:val="00173D80"/>
    <w:rsid w:val="0017401D"/>
    <w:rsid w:val="001742AF"/>
    <w:rsid w:val="00174400"/>
    <w:rsid w:val="001746A3"/>
    <w:rsid w:val="00174C45"/>
    <w:rsid w:val="00174E52"/>
    <w:rsid w:val="001755B2"/>
    <w:rsid w:val="00175771"/>
    <w:rsid w:val="0017586E"/>
    <w:rsid w:val="001758A7"/>
    <w:rsid w:val="00175A3F"/>
    <w:rsid w:val="00175DEF"/>
    <w:rsid w:val="00175EF5"/>
    <w:rsid w:val="00176428"/>
    <w:rsid w:val="00176507"/>
    <w:rsid w:val="001769D9"/>
    <w:rsid w:val="00176C6A"/>
    <w:rsid w:val="00176C92"/>
    <w:rsid w:val="00176CB5"/>
    <w:rsid w:val="00176F10"/>
    <w:rsid w:val="0017708A"/>
    <w:rsid w:val="00177103"/>
    <w:rsid w:val="0017720F"/>
    <w:rsid w:val="001772A3"/>
    <w:rsid w:val="001774A3"/>
    <w:rsid w:val="0017795B"/>
    <w:rsid w:val="0018000F"/>
    <w:rsid w:val="0018020E"/>
    <w:rsid w:val="0018046E"/>
    <w:rsid w:val="0018064F"/>
    <w:rsid w:val="0018078F"/>
    <w:rsid w:val="00180AB0"/>
    <w:rsid w:val="00180B7E"/>
    <w:rsid w:val="00180F16"/>
    <w:rsid w:val="001810BD"/>
    <w:rsid w:val="00181586"/>
    <w:rsid w:val="001815F6"/>
    <w:rsid w:val="00181885"/>
    <w:rsid w:val="00181D7E"/>
    <w:rsid w:val="00182029"/>
    <w:rsid w:val="0018203E"/>
    <w:rsid w:val="00182506"/>
    <w:rsid w:val="001830A5"/>
    <w:rsid w:val="00183A23"/>
    <w:rsid w:val="00183B50"/>
    <w:rsid w:val="00183D1A"/>
    <w:rsid w:val="00183DC4"/>
    <w:rsid w:val="001840E5"/>
    <w:rsid w:val="001845DD"/>
    <w:rsid w:val="0018460F"/>
    <w:rsid w:val="0018496C"/>
    <w:rsid w:val="00184BB1"/>
    <w:rsid w:val="00184F4D"/>
    <w:rsid w:val="00184F64"/>
    <w:rsid w:val="00185CCE"/>
    <w:rsid w:val="00185F9F"/>
    <w:rsid w:val="00186068"/>
    <w:rsid w:val="00186130"/>
    <w:rsid w:val="001863BD"/>
    <w:rsid w:val="00186C9E"/>
    <w:rsid w:val="00186F74"/>
    <w:rsid w:val="00187441"/>
    <w:rsid w:val="001876D9"/>
    <w:rsid w:val="00187777"/>
    <w:rsid w:val="001877EA"/>
    <w:rsid w:val="001879EA"/>
    <w:rsid w:val="00187D6E"/>
    <w:rsid w:val="0019058F"/>
    <w:rsid w:val="00190665"/>
    <w:rsid w:val="00190C03"/>
    <w:rsid w:val="00190CA5"/>
    <w:rsid w:val="00190D43"/>
    <w:rsid w:val="001911F3"/>
    <w:rsid w:val="0019150B"/>
    <w:rsid w:val="00191715"/>
    <w:rsid w:val="00191719"/>
    <w:rsid w:val="0019179D"/>
    <w:rsid w:val="00191FA2"/>
    <w:rsid w:val="00191FCE"/>
    <w:rsid w:val="0019219E"/>
    <w:rsid w:val="0019229C"/>
    <w:rsid w:val="00192519"/>
    <w:rsid w:val="001929D7"/>
    <w:rsid w:val="00192C4E"/>
    <w:rsid w:val="00192C8E"/>
    <w:rsid w:val="00192CB6"/>
    <w:rsid w:val="00193137"/>
    <w:rsid w:val="00193368"/>
    <w:rsid w:val="00193650"/>
    <w:rsid w:val="00193696"/>
    <w:rsid w:val="00193972"/>
    <w:rsid w:val="001939A2"/>
    <w:rsid w:val="00193D37"/>
    <w:rsid w:val="00193DD8"/>
    <w:rsid w:val="00194005"/>
    <w:rsid w:val="0019420B"/>
    <w:rsid w:val="0019443F"/>
    <w:rsid w:val="00194457"/>
    <w:rsid w:val="00194C2A"/>
    <w:rsid w:val="00194C8A"/>
    <w:rsid w:val="00194CD9"/>
    <w:rsid w:val="00194D8F"/>
    <w:rsid w:val="00194E34"/>
    <w:rsid w:val="00195212"/>
    <w:rsid w:val="0019552C"/>
    <w:rsid w:val="00195762"/>
    <w:rsid w:val="0019580D"/>
    <w:rsid w:val="001961C6"/>
    <w:rsid w:val="001968F1"/>
    <w:rsid w:val="00196F27"/>
    <w:rsid w:val="001970C9"/>
    <w:rsid w:val="001973E0"/>
    <w:rsid w:val="001974FD"/>
    <w:rsid w:val="001975C0"/>
    <w:rsid w:val="001A02C3"/>
    <w:rsid w:val="001A04EA"/>
    <w:rsid w:val="001A084D"/>
    <w:rsid w:val="001A0A9F"/>
    <w:rsid w:val="001A0CB1"/>
    <w:rsid w:val="001A1908"/>
    <w:rsid w:val="001A1B7F"/>
    <w:rsid w:val="001A1DEF"/>
    <w:rsid w:val="001A20B0"/>
    <w:rsid w:val="001A291D"/>
    <w:rsid w:val="001A2928"/>
    <w:rsid w:val="001A2E2C"/>
    <w:rsid w:val="001A32E0"/>
    <w:rsid w:val="001A3501"/>
    <w:rsid w:val="001A36F8"/>
    <w:rsid w:val="001A3948"/>
    <w:rsid w:val="001A3B6B"/>
    <w:rsid w:val="001A3CA8"/>
    <w:rsid w:val="001A3D2B"/>
    <w:rsid w:val="001A492F"/>
    <w:rsid w:val="001A4F07"/>
    <w:rsid w:val="001A54AD"/>
    <w:rsid w:val="001A579E"/>
    <w:rsid w:val="001A6167"/>
    <w:rsid w:val="001A6458"/>
    <w:rsid w:val="001A66F6"/>
    <w:rsid w:val="001A6C6B"/>
    <w:rsid w:val="001A6FFE"/>
    <w:rsid w:val="001A7150"/>
    <w:rsid w:val="001A7BCF"/>
    <w:rsid w:val="001A7D9C"/>
    <w:rsid w:val="001B022A"/>
    <w:rsid w:val="001B0C4B"/>
    <w:rsid w:val="001B0E42"/>
    <w:rsid w:val="001B10EC"/>
    <w:rsid w:val="001B12A1"/>
    <w:rsid w:val="001B12EE"/>
    <w:rsid w:val="001B189A"/>
    <w:rsid w:val="001B1E0D"/>
    <w:rsid w:val="001B1EFD"/>
    <w:rsid w:val="001B22EE"/>
    <w:rsid w:val="001B248A"/>
    <w:rsid w:val="001B257F"/>
    <w:rsid w:val="001B2C9B"/>
    <w:rsid w:val="001B350E"/>
    <w:rsid w:val="001B3888"/>
    <w:rsid w:val="001B487C"/>
    <w:rsid w:val="001B49C9"/>
    <w:rsid w:val="001B4B2D"/>
    <w:rsid w:val="001B5248"/>
    <w:rsid w:val="001B57E2"/>
    <w:rsid w:val="001B61CB"/>
    <w:rsid w:val="001B64EF"/>
    <w:rsid w:val="001B688A"/>
    <w:rsid w:val="001B6AA3"/>
    <w:rsid w:val="001B6C7E"/>
    <w:rsid w:val="001B7183"/>
    <w:rsid w:val="001B7A3C"/>
    <w:rsid w:val="001C0497"/>
    <w:rsid w:val="001C078E"/>
    <w:rsid w:val="001C0D2A"/>
    <w:rsid w:val="001C0DED"/>
    <w:rsid w:val="001C1245"/>
    <w:rsid w:val="001C15EC"/>
    <w:rsid w:val="001C1698"/>
    <w:rsid w:val="001C169E"/>
    <w:rsid w:val="001C17D1"/>
    <w:rsid w:val="001C184C"/>
    <w:rsid w:val="001C19B3"/>
    <w:rsid w:val="001C22A7"/>
    <w:rsid w:val="001C251D"/>
    <w:rsid w:val="001C27CB"/>
    <w:rsid w:val="001C2BAB"/>
    <w:rsid w:val="001C2E44"/>
    <w:rsid w:val="001C3823"/>
    <w:rsid w:val="001C389A"/>
    <w:rsid w:val="001C38BE"/>
    <w:rsid w:val="001C3D28"/>
    <w:rsid w:val="001C43BB"/>
    <w:rsid w:val="001C4715"/>
    <w:rsid w:val="001C4861"/>
    <w:rsid w:val="001C4BAE"/>
    <w:rsid w:val="001C4CEB"/>
    <w:rsid w:val="001C52B6"/>
    <w:rsid w:val="001C5887"/>
    <w:rsid w:val="001C58BE"/>
    <w:rsid w:val="001C59CD"/>
    <w:rsid w:val="001C5B1B"/>
    <w:rsid w:val="001C5ED6"/>
    <w:rsid w:val="001C61C6"/>
    <w:rsid w:val="001C63F2"/>
    <w:rsid w:val="001C67FB"/>
    <w:rsid w:val="001C681A"/>
    <w:rsid w:val="001C69E7"/>
    <w:rsid w:val="001C70D7"/>
    <w:rsid w:val="001C7107"/>
    <w:rsid w:val="001C712B"/>
    <w:rsid w:val="001C7A7B"/>
    <w:rsid w:val="001C7B61"/>
    <w:rsid w:val="001C7E42"/>
    <w:rsid w:val="001C7EDD"/>
    <w:rsid w:val="001D01DB"/>
    <w:rsid w:val="001D02F0"/>
    <w:rsid w:val="001D095D"/>
    <w:rsid w:val="001D0DE0"/>
    <w:rsid w:val="001D0FC4"/>
    <w:rsid w:val="001D10A7"/>
    <w:rsid w:val="001D13BE"/>
    <w:rsid w:val="001D14B3"/>
    <w:rsid w:val="001D15E3"/>
    <w:rsid w:val="001D172D"/>
    <w:rsid w:val="001D19E2"/>
    <w:rsid w:val="001D1DA4"/>
    <w:rsid w:val="001D2180"/>
    <w:rsid w:val="001D243A"/>
    <w:rsid w:val="001D282D"/>
    <w:rsid w:val="001D2ACF"/>
    <w:rsid w:val="001D2B2D"/>
    <w:rsid w:val="001D2C3C"/>
    <w:rsid w:val="001D2F84"/>
    <w:rsid w:val="001D328A"/>
    <w:rsid w:val="001D3468"/>
    <w:rsid w:val="001D36B1"/>
    <w:rsid w:val="001D38E7"/>
    <w:rsid w:val="001D3D17"/>
    <w:rsid w:val="001D3D86"/>
    <w:rsid w:val="001D40CD"/>
    <w:rsid w:val="001D489C"/>
    <w:rsid w:val="001D4945"/>
    <w:rsid w:val="001D4B76"/>
    <w:rsid w:val="001D544C"/>
    <w:rsid w:val="001D57D5"/>
    <w:rsid w:val="001D5822"/>
    <w:rsid w:val="001D5ABC"/>
    <w:rsid w:val="001D5D81"/>
    <w:rsid w:val="001D649F"/>
    <w:rsid w:val="001D65DA"/>
    <w:rsid w:val="001D673B"/>
    <w:rsid w:val="001D6811"/>
    <w:rsid w:val="001D6907"/>
    <w:rsid w:val="001D6ABC"/>
    <w:rsid w:val="001D6B8C"/>
    <w:rsid w:val="001D6C30"/>
    <w:rsid w:val="001D70FC"/>
    <w:rsid w:val="001D772B"/>
    <w:rsid w:val="001D77CB"/>
    <w:rsid w:val="001D7FB9"/>
    <w:rsid w:val="001E0151"/>
    <w:rsid w:val="001E0157"/>
    <w:rsid w:val="001E02CC"/>
    <w:rsid w:val="001E038E"/>
    <w:rsid w:val="001E039C"/>
    <w:rsid w:val="001E0785"/>
    <w:rsid w:val="001E089D"/>
    <w:rsid w:val="001E0B6D"/>
    <w:rsid w:val="001E0CA2"/>
    <w:rsid w:val="001E0D25"/>
    <w:rsid w:val="001E0DF2"/>
    <w:rsid w:val="001E0FF2"/>
    <w:rsid w:val="001E109A"/>
    <w:rsid w:val="001E1133"/>
    <w:rsid w:val="001E1200"/>
    <w:rsid w:val="001E12CC"/>
    <w:rsid w:val="001E12E2"/>
    <w:rsid w:val="001E155A"/>
    <w:rsid w:val="001E1A82"/>
    <w:rsid w:val="001E1D4C"/>
    <w:rsid w:val="001E20A0"/>
    <w:rsid w:val="001E234C"/>
    <w:rsid w:val="001E23C6"/>
    <w:rsid w:val="001E25BA"/>
    <w:rsid w:val="001E2950"/>
    <w:rsid w:val="001E29A2"/>
    <w:rsid w:val="001E29FE"/>
    <w:rsid w:val="001E2C34"/>
    <w:rsid w:val="001E2CD9"/>
    <w:rsid w:val="001E3483"/>
    <w:rsid w:val="001E3499"/>
    <w:rsid w:val="001E3629"/>
    <w:rsid w:val="001E3767"/>
    <w:rsid w:val="001E39F9"/>
    <w:rsid w:val="001E3EA4"/>
    <w:rsid w:val="001E3F07"/>
    <w:rsid w:val="001E40B1"/>
    <w:rsid w:val="001E4160"/>
    <w:rsid w:val="001E4301"/>
    <w:rsid w:val="001E4332"/>
    <w:rsid w:val="001E45C9"/>
    <w:rsid w:val="001E45CF"/>
    <w:rsid w:val="001E4820"/>
    <w:rsid w:val="001E5287"/>
    <w:rsid w:val="001E5743"/>
    <w:rsid w:val="001E5CDF"/>
    <w:rsid w:val="001E620B"/>
    <w:rsid w:val="001E6255"/>
    <w:rsid w:val="001E632E"/>
    <w:rsid w:val="001E65F5"/>
    <w:rsid w:val="001E6624"/>
    <w:rsid w:val="001E69A0"/>
    <w:rsid w:val="001E6AB6"/>
    <w:rsid w:val="001E6EC8"/>
    <w:rsid w:val="001E71F3"/>
    <w:rsid w:val="001E7559"/>
    <w:rsid w:val="001E766F"/>
    <w:rsid w:val="001E76D0"/>
    <w:rsid w:val="001E7BDA"/>
    <w:rsid w:val="001E7C14"/>
    <w:rsid w:val="001E7CD5"/>
    <w:rsid w:val="001E7D1C"/>
    <w:rsid w:val="001F01B8"/>
    <w:rsid w:val="001F05D1"/>
    <w:rsid w:val="001F0793"/>
    <w:rsid w:val="001F0CA2"/>
    <w:rsid w:val="001F0D34"/>
    <w:rsid w:val="001F14A8"/>
    <w:rsid w:val="001F14F2"/>
    <w:rsid w:val="001F15F9"/>
    <w:rsid w:val="001F172B"/>
    <w:rsid w:val="001F192E"/>
    <w:rsid w:val="001F1ABF"/>
    <w:rsid w:val="001F2422"/>
    <w:rsid w:val="001F264E"/>
    <w:rsid w:val="001F2756"/>
    <w:rsid w:val="001F34C2"/>
    <w:rsid w:val="001F38C5"/>
    <w:rsid w:val="001F3DB1"/>
    <w:rsid w:val="001F3E59"/>
    <w:rsid w:val="001F3FAF"/>
    <w:rsid w:val="001F4369"/>
    <w:rsid w:val="001F451E"/>
    <w:rsid w:val="001F4BD7"/>
    <w:rsid w:val="001F4DA1"/>
    <w:rsid w:val="001F50EA"/>
    <w:rsid w:val="001F531F"/>
    <w:rsid w:val="001F562A"/>
    <w:rsid w:val="001F576B"/>
    <w:rsid w:val="001F579E"/>
    <w:rsid w:val="001F58E8"/>
    <w:rsid w:val="001F5A01"/>
    <w:rsid w:val="001F5CE5"/>
    <w:rsid w:val="001F6216"/>
    <w:rsid w:val="001F62B9"/>
    <w:rsid w:val="001F673F"/>
    <w:rsid w:val="001F73AB"/>
    <w:rsid w:val="001F75F7"/>
    <w:rsid w:val="001F7CDD"/>
    <w:rsid w:val="00200043"/>
    <w:rsid w:val="002001EB"/>
    <w:rsid w:val="002001F4"/>
    <w:rsid w:val="00200BE2"/>
    <w:rsid w:val="00201300"/>
    <w:rsid w:val="00201C08"/>
    <w:rsid w:val="00201D93"/>
    <w:rsid w:val="00202C03"/>
    <w:rsid w:val="00202C17"/>
    <w:rsid w:val="00202C87"/>
    <w:rsid w:val="00203419"/>
    <w:rsid w:val="002037D9"/>
    <w:rsid w:val="00203BC2"/>
    <w:rsid w:val="00203E94"/>
    <w:rsid w:val="002041B4"/>
    <w:rsid w:val="00204249"/>
    <w:rsid w:val="00204717"/>
    <w:rsid w:val="002048B7"/>
    <w:rsid w:val="00204F5D"/>
    <w:rsid w:val="0020554B"/>
    <w:rsid w:val="002056C7"/>
    <w:rsid w:val="00205A82"/>
    <w:rsid w:val="00205EC5"/>
    <w:rsid w:val="00205F83"/>
    <w:rsid w:val="00206236"/>
    <w:rsid w:val="00206293"/>
    <w:rsid w:val="002067E7"/>
    <w:rsid w:val="00206A04"/>
    <w:rsid w:val="00206AA9"/>
    <w:rsid w:val="00206B75"/>
    <w:rsid w:val="00206E31"/>
    <w:rsid w:val="00206EA7"/>
    <w:rsid w:val="00207172"/>
    <w:rsid w:val="0020751D"/>
    <w:rsid w:val="002075C0"/>
    <w:rsid w:val="00207C49"/>
    <w:rsid w:val="00207E23"/>
    <w:rsid w:val="00207EA5"/>
    <w:rsid w:val="0021028C"/>
    <w:rsid w:val="002103DB"/>
    <w:rsid w:val="0021076B"/>
    <w:rsid w:val="002107AB"/>
    <w:rsid w:val="002108BE"/>
    <w:rsid w:val="00210D32"/>
    <w:rsid w:val="0021124E"/>
    <w:rsid w:val="00211938"/>
    <w:rsid w:val="00211C34"/>
    <w:rsid w:val="00211DFB"/>
    <w:rsid w:val="00212665"/>
    <w:rsid w:val="00212DF0"/>
    <w:rsid w:val="002134C6"/>
    <w:rsid w:val="002138F7"/>
    <w:rsid w:val="00213B6B"/>
    <w:rsid w:val="002140D1"/>
    <w:rsid w:val="002141FC"/>
    <w:rsid w:val="002146D2"/>
    <w:rsid w:val="0021482F"/>
    <w:rsid w:val="00214CF7"/>
    <w:rsid w:val="00215228"/>
    <w:rsid w:val="00215331"/>
    <w:rsid w:val="00215F7B"/>
    <w:rsid w:val="002161FA"/>
    <w:rsid w:val="0021636D"/>
    <w:rsid w:val="002163DE"/>
    <w:rsid w:val="0021654E"/>
    <w:rsid w:val="002167EC"/>
    <w:rsid w:val="00216F88"/>
    <w:rsid w:val="00217003"/>
    <w:rsid w:val="00217387"/>
    <w:rsid w:val="002174E1"/>
    <w:rsid w:val="0021756C"/>
    <w:rsid w:val="00217D1C"/>
    <w:rsid w:val="00217DEA"/>
    <w:rsid w:val="00217EA4"/>
    <w:rsid w:val="00220086"/>
    <w:rsid w:val="002203AC"/>
    <w:rsid w:val="0022042D"/>
    <w:rsid w:val="0022085D"/>
    <w:rsid w:val="00220A0C"/>
    <w:rsid w:val="00220CD3"/>
    <w:rsid w:val="00220D0B"/>
    <w:rsid w:val="00220DD6"/>
    <w:rsid w:val="00220DD7"/>
    <w:rsid w:val="00220E44"/>
    <w:rsid w:val="00220E98"/>
    <w:rsid w:val="00221B69"/>
    <w:rsid w:val="00221C6B"/>
    <w:rsid w:val="00221DA2"/>
    <w:rsid w:val="0022236A"/>
    <w:rsid w:val="0022268C"/>
    <w:rsid w:val="00222B95"/>
    <w:rsid w:val="00222E62"/>
    <w:rsid w:val="0022347F"/>
    <w:rsid w:val="0022399C"/>
    <w:rsid w:val="00223BD6"/>
    <w:rsid w:val="00223C80"/>
    <w:rsid w:val="00223DAD"/>
    <w:rsid w:val="0022408C"/>
    <w:rsid w:val="0022419E"/>
    <w:rsid w:val="0022428A"/>
    <w:rsid w:val="00224824"/>
    <w:rsid w:val="00224B43"/>
    <w:rsid w:val="00224CB5"/>
    <w:rsid w:val="00224D51"/>
    <w:rsid w:val="00224E62"/>
    <w:rsid w:val="0022504F"/>
    <w:rsid w:val="002252C9"/>
    <w:rsid w:val="00225B64"/>
    <w:rsid w:val="00225BEB"/>
    <w:rsid w:val="00225D3E"/>
    <w:rsid w:val="002265A8"/>
    <w:rsid w:val="00227150"/>
    <w:rsid w:val="0022723A"/>
    <w:rsid w:val="00227350"/>
    <w:rsid w:val="002273E7"/>
    <w:rsid w:val="002278F9"/>
    <w:rsid w:val="00227B00"/>
    <w:rsid w:val="00227F06"/>
    <w:rsid w:val="00230026"/>
    <w:rsid w:val="002304E4"/>
    <w:rsid w:val="002308B7"/>
    <w:rsid w:val="00230FA1"/>
    <w:rsid w:val="00231166"/>
    <w:rsid w:val="00231266"/>
    <w:rsid w:val="002312CB"/>
    <w:rsid w:val="002314E9"/>
    <w:rsid w:val="00231851"/>
    <w:rsid w:val="00231C75"/>
    <w:rsid w:val="00231C9D"/>
    <w:rsid w:val="00232075"/>
    <w:rsid w:val="00232A5C"/>
    <w:rsid w:val="00232F46"/>
    <w:rsid w:val="002331FB"/>
    <w:rsid w:val="00233279"/>
    <w:rsid w:val="00233302"/>
    <w:rsid w:val="00233A36"/>
    <w:rsid w:val="00233DA4"/>
    <w:rsid w:val="0023482F"/>
    <w:rsid w:val="00234A8A"/>
    <w:rsid w:val="00234C63"/>
    <w:rsid w:val="00234E24"/>
    <w:rsid w:val="00234F5A"/>
    <w:rsid w:val="00234F80"/>
    <w:rsid w:val="00235090"/>
    <w:rsid w:val="00235153"/>
    <w:rsid w:val="00235563"/>
    <w:rsid w:val="002357CD"/>
    <w:rsid w:val="002358CD"/>
    <w:rsid w:val="00235C83"/>
    <w:rsid w:val="00235E20"/>
    <w:rsid w:val="00235F04"/>
    <w:rsid w:val="00236087"/>
    <w:rsid w:val="0023616E"/>
    <w:rsid w:val="002367AB"/>
    <w:rsid w:val="0023683E"/>
    <w:rsid w:val="00236841"/>
    <w:rsid w:val="00236AD9"/>
    <w:rsid w:val="00237142"/>
    <w:rsid w:val="002371E7"/>
    <w:rsid w:val="0023734D"/>
    <w:rsid w:val="0023751C"/>
    <w:rsid w:val="00237641"/>
    <w:rsid w:val="00237783"/>
    <w:rsid w:val="00237AAF"/>
    <w:rsid w:val="00237B3F"/>
    <w:rsid w:val="00237BAA"/>
    <w:rsid w:val="00237DAC"/>
    <w:rsid w:val="00240314"/>
    <w:rsid w:val="00240801"/>
    <w:rsid w:val="00240904"/>
    <w:rsid w:val="0024096F"/>
    <w:rsid w:val="00240B44"/>
    <w:rsid w:val="00240D18"/>
    <w:rsid w:val="002410CE"/>
    <w:rsid w:val="002411C7"/>
    <w:rsid w:val="00241498"/>
    <w:rsid w:val="002418FE"/>
    <w:rsid w:val="00241986"/>
    <w:rsid w:val="00241A3A"/>
    <w:rsid w:val="00241F0C"/>
    <w:rsid w:val="00241F22"/>
    <w:rsid w:val="002421B0"/>
    <w:rsid w:val="00242210"/>
    <w:rsid w:val="0024221E"/>
    <w:rsid w:val="00242FD5"/>
    <w:rsid w:val="0024302E"/>
    <w:rsid w:val="002431C8"/>
    <w:rsid w:val="00243337"/>
    <w:rsid w:val="0024340F"/>
    <w:rsid w:val="00243679"/>
    <w:rsid w:val="00243F89"/>
    <w:rsid w:val="002442FC"/>
    <w:rsid w:val="00244385"/>
    <w:rsid w:val="00244665"/>
    <w:rsid w:val="0024481C"/>
    <w:rsid w:val="00244EE8"/>
    <w:rsid w:val="002450CA"/>
    <w:rsid w:val="002450CF"/>
    <w:rsid w:val="002458E7"/>
    <w:rsid w:val="00245DC1"/>
    <w:rsid w:val="00246009"/>
    <w:rsid w:val="00246031"/>
    <w:rsid w:val="00246150"/>
    <w:rsid w:val="00246233"/>
    <w:rsid w:val="0024687D"/>
    <w:rsid w:val="00247220"/>
    <w:rsid w:val="00247623"/>
    <w:rsid w:val="00247E35"/>
    <w:rsid w:val="00247F4C"/>
    <w:rsid w:val="002501FD"/>
    <w:rsid w:val="0025049B"/>
    <w:rsid w:val="00250610"/>
    <w:rsid w:val="002508A6"/>
    <w:rsid w:val="0025093E"/>
    <w:rsid w:val="002509B7"/>
    <w:rsid w:val="00250D02"/>
    <w:rsid w:val="00251233"/>
    <w:rsid w:val="0025141B"/>
    <w:rsid w:val="002515C3"/>
    <w:rsid w:val="00251765"/>
    <w:rsid w:val="002518F4"/>
    <w:rsid w:val="00251DF2"/>
    <w:rsid w:val="00251FC4"/>
    <w:rsid w:val="002529E6"/>
    <w:rsid w:val="00252CA1"/>
    <w:rsid w:val="00252EAE"/>
    <w:rsid w:val="00253326"/>
    <w:rsid w:val="002534C9"/>
    <w:rsid w:val="002536B5"/>
    <w:rsid w:val="00253BF3"/>
    <w:rsid w:val="00253E41"/>
    <w:rsid w:val="00253E69"/>
    <w:rsid w:val="00254186"/>
    <w:rsid w:val="00254353"/>
    <w:rsid w:val="0025441D"/>
    <w:rsid w:val="00254AD0"/>
    <w:rsid w:val="00255A39"/>
    <w:rsid w:val="00255D39"/>
    <w:rsid w:val="00255FA1"/>
    <w:rsid w:val="00256128"/>
    <w:rsid w:val="00256166"/>
    <w:rsid w:val="00256241"/>
    <w:rsid w:val="0025638B"/>
    <w:rsid w:val="002565B0"/>
    <w:rsid w:val="00256729"/>
    <w:rsid w:val="00256D7E"/>
    <w:rsid w:val="00256FAD"/>
    <w:rsid w:val="00257092"/>
    <w:rsid w:val="002579C6"/>
    <w:rsid w:val="00257B81"/>
    <w:rsid w:val="00257CE5"/>
    <w:rsid w:val="00257D8A"/>
    <w:rsid w:val="00257F3F"/>
    <w:rsid w:val="002600CA"/>
    <w:rsid w:val="0026028E"/>
    <w:rsid w:val="0026076E"/>
    <w:rsid w:val="00260A00"/>
    <w:rsid w:val="00260A78"/>
    <w:rsid w:val="00260E62"/>
    <w:rsid w:val="00260EEF"/>
    <w:rsid w:val="00261635"/>
    <w:rsid w:val="00261843"/>
    <w:rsid w:val="00261C67"/>
    <w:rsid w:val="00262036"/>
    <w:rsid w:val="002620FC"/>
    <w:rsid w:val="002624F4"/>
    <w:rsid w:val="0026289D"/>
    <w:rsid w:val="002629C2"/>
    <w:rsid w:val="00262ED9"/>
    <w:rsid w:val="00263919"/>
    <w:rsid w:val="00263B7C"/>
    <w:rsid w:val="00264335"/>
    <w:rsid w:val="00264ED6"/>
    <w:rsid w:val="00265018"/>
    <w:rsid w:val="002650A6"/>
    <w:rsid w:val="0026540C"/>
    <w:rsid w:val="002654EA"/>
    <w:rsid w:val="00265AEC"/>
    <w:rsid w:val="00265F17"/>
    <w:rsid w:val="00265F39"/>
    <w:rsid w:val="002660B4"/>
    <w:rsid w:val="002660B6"/>
    <w:rsid w:val="00266693"/>
    <w:rsid w:val="002666EC"/>
    <w:rsid w:val="00266702"/>
    <w:rsid w:val="00266708"/>
    <w:rsid w:val="00266AB6"/>
    <w:rsid w:val="00267344"/>
    <w:rsid w:val="00267394"/>
    <w:rsid w:val="002676C5"/>
    <w:rsid w:val="00267847"/>
    <w:rsid w:val="00267A42"/>
    <w:rsid w:val="00267B4F"/>
    <w:rsid w:val="00267B9D"/>
    <w:rsid w:val="00267D37"/>
    <w:rsid w:val="00267EE5"/>
    <w:rsid w:val="00267F7C"/>
    <w:rsid w:val="0027015B"/>
    <w:rsid w:val="002708E7"/>
    <w:rsid w:val="0027095C"/>
    <w:rsid w:val="002714C9"/>
    <w:rsid w:val="00271827"/>
    <w:rsid w:val="0027186C"/>
    <w:rsid w:val="002718DE"/>
    <w:rsid w:val="002722E5"/>
    <w:rsid w:val="0027286D"/>
    <w:rsid w:val="00273125"/>
    <w:rsid w:val="002731A2"/>
    <w:rsid w:val="002732DE"/>
    <w:rsid w:val="00273CC9"/>
    <w:rsid w:val="002742C1"/>
    <w:rsid w:val="00274726"/>
    <w:rsid w:val="00274A3D"/>
    <w:rsid w:val="00274BA5"/>
    <w:rsid w:val="00274D12"/>
    <w:rsid w:val="00274DF0"/>
    <w:rsid w:val="00274F15"/>
    <w:rsid w:val="00274F76"/>
    <w:rsid w:val="00275053"/>
    <w:rsid w:val="0027528D"/>
    <w:rsid w:val="00275655"/>
    <w:rsid w:val="00275660"/>
    <w:rsid w:val="0027575B"/>
    <w:rsid w:val="00275BFE"/>
    <w:rsid w:val="00275C1C"/>
    <w:rsid w:val="002761C2"/>
    <w:rsid w:val="002761C9"/>
    <w:rsid w:val="002761DA"/>
    <w:rsid w:val="002765A6"/>
    <w:rsid w:val="00276771"/>
    <w:rsid w:val="00276A2C"/>
    <w:rsid w:val="00276BF4"/>
    <w:rsid w:val="002771C8"/>
    <w:rsid w:val="002775C3"/>
    <w:rsid w:val="00277BC5"/>
    <w:rsid w:val="0028010D"/>
    <w:rsid w:val="0028019E"/>
    <w:rsid w:val="002803AF"/>
    <w:rsid w:val="00280485"/>
    <w:rsid w:val="002809B7"/>
    <w:rsid w:val="002809F3"/>
    <w:rsid w:val="00280B25"/>
    <w:rsid w:val="00280EAE"/>
    <w:rsid w:val="002810B6"/>
    <w:rsid w:val="002811B5"/>
    <w:rsid w:val="002817D5"/>
    <w:rsid w:val="00281825"/>
    <w:rsid w:val="00281EBF"/>
    <w:rsid w:val="00282261"/>
    <w:rsid w:val="002823F6"/>
    <w:rsid w:val="002824BA"/>
    <w:rsid w:val="00282E76"/>
    <w:rsid w:val="002830F3"/>
    <w:rsid w:val="002833F5"/>
    <w:rsid w:val="00283BCE"/>
    <w:rsid w:val="00283DF8"/>
    <w:rsid w:val="002840BA"/>
    <w:rsid w:val="00284889"/>
    <w:rsid w:val="0028494A"/>
    <w:rsid w:val="00284C40"/>
    <w:rsid w:val="00285025"/>
    <w:rsid w:val="00285061"/>
    <w:rsid w:val="0028518D"/>
    <w:rsid w:val="0028539A"/>
    <w:rsid w:val="0028542C"/>
    <w:rsid w:val="002856EC"/>
    <w:rsid w:val="00285BCB"/>
    <w:rsid w:val="00285BE7"/>
    <w:rsid w:val="002862C4"/>
    <w:rsid w:val="002863DB"/>
    <w:rsid w:val="0028661E"/>
    <w:rsid w:val="00286749"/>
    <w:rsid w:val="00286F59"/>
    <w:rsid w:val="0028716C"/>
    <w:rsid w:val="002874B0"/>
    <w:rsid w:val="0028766D"/>
    <w:rsid w:val="0028786C"/>
    <w:rsid w:val="00287D8B"/>
    <w:rsid w:val="002901B3"/>
    <w:rsid w:val="0029054E"/>
    <w:rsid w:val="002905D2"/>
    <w:rsid w:val="0029065A"/>
    <w:rsid w:val="00291049"/>
    <w:rsid w:val="00291394"/>
    <w:rsid w:val="00291714"/>
    <w:rsid w:val="00291BAE"/>
    <w:rsid w:val="00291BDC"/>
    <w:rsid w:val="00291FD4"/>
    <w:rsid w:val="00292192"/>
    <w:rsid w:val="00292351"/>
    <w:rsid w:val="00292BBD"/>
    <w:rsid w:val="00292DA9"/>
    <w:rsid w:val="00292EE6"/>
    <w:rsid w:val="00292F77"/>
    <w:rsid w:val="00293150"/>
    <w:rsid w:val="00293963"/>
    <w:rsid w:val="00294192"/>
    <w:rsid w:val="00294228"/>
    <w:rsid w:val="002943FA"/>
    <w:rsid w:val="00294586"/>
    <w:rsid w:val="00294B20"/>
    <w:rsid w:val="00294F03"/>
    <w:rsid w:val="002950C5"/>
    <w:rsid w:val="00295337"/>
    <w:rsid w:val="002953B8"/>
    <w:rsid w:val="00295453"/>
    <w:rsid w:val="002954D2"/>
    <w:rsid w:val="00295875"/>
    <w:rsid w:val="00295D29"/>
    <w:rsid w:val="00296410"/>
    <w:rsid w:val="002966CD"/>
    <w:rsid w:val="002967AD"/>
    <w:rsid w:val="00296A3A"/>
    <w:rsid w:val="00296ECE"/>
    <w:rsid w:val="00297070"/>
    <w:rsid w:val="002973B3"/>
    <w:rsid w:val="002974F1"/>
    <w:rsid w:val="0029760B"/>
    <w:rsid w:val="00297BD9"/>
    <w:rsid w:val="002A0192"/>
    <w:rsid w:val="002A0280"/>
    <w:rsid w:val="002A05F0"/>
    <w:rsid w:val="002A0B1F"/>
    <w:rsid w:val="002A0C15"/>
    <w:rsid w:val="002A10C8"/>
    <w:rsid w:val="002A1687"/>
    <w:rsid w:val="002A182C"/>
    <w:rsid w:val="002A18A6"/>
    <w:rsid w:val="002A266C"/>
    <w:rsid w:val="002A2684"/>
    <w:rsid w:val="002A27EE"/>
    <w:rsid w:val="002A2854"/>
    <w:rsid w:val="002A2B7B"/>
    <w:rsid w:val="002A2D62"/>
    <w:rsid w:val="002A3109"/>
    <w:rsid w:val="002A311C"/>
    <w:rsid w:val="002A38DE"/>
    <w:rsid w:val="002A3C49"/>
    <w:rsid w:val="002A4399"/>
    <w:rsid w:val="002A4679"/>
    <w:rsid w:val="002A46A6"/>
    <w:rsid w:val="002A47EE"/>
    <w:rsid w:val="002A48FA"/>
    <w:rsid w:val="002A4D2B"/>
    <w:rsid w:val="002A517F"/>
    <w:rsid w:val="002A55FE"/>
    <w:rsid w:val="002A566F"/>
    <w:rsid w:val="002A5852"/>
    <w:rsid w:val="002A5944"/>
    <w:rsid w:val="002A5B1E"/>
    <w:rsid w:val="002A5CD4"/>
    <w:rsid w:val="002A60A8"/>
    <w:rsid w:val="002A610B"/>
    <w:rsid w:val="002A6607"/>
    <w:rsid w:val="002A6788"/>
    <w:rsid w:val="002A6DBE"/>
    <w:rsid w:val="002A7718"/>
    <w:rsid w:val="002A7BA8"/>
    <w:rsid w:val="002B0185"/>
    <w:rsid w:val="002B01EC"/>
    <w:rsid w:val="002B0390"/>
    <w:rsid w:val="002B0410"/>
    <w:rsid w:val="002B07B3"/>
    <w:rsid w:val="002B0827"/>
    <w:rsid w:val="002B09D9"/>
    <w:rsid w:val="002B0B86"/>
    <w:rsid w:val="002B0F7C"/>
    <w:rsid w:val="002B1643"/>
    <w:rsid w:val="002B16B2"/>
    <w:rsid w:val="002B18FF"/>
    <w:rsid w:val="002B191C"/>
    <w:rsid w:val="002B19E2"/>
    <w:rsid w:val="002B1B60"/>
    <w:rsid w:val="002B20BF"/>
    <w:rsid w:val="002B20F8"/>
    <w:rsid w:val="002B2128"/>
    <w:rsid w:val="002B277C"/>
    <w:rsid w:val="002B28A1"/>
    <w:rsid w:val="002B28B4"/>
    <w:rsid w:val="002B2B4B"/>
    <w:rsid w:val="002B2C31"/>
    <w:rsid w:val="002B2CCC"/>
    <w:rsid w:val="002B3282"/>
    <w:rsid w:val="002B3294"/>
    <w:rsid w:val="002B34D2"/>
    <w:rsid w:val="002B3582"/>
    <w:rsid w:val="002B35C3"/>
    <w:rsid w:val="002B35EC"/>
    <w:rsid w:val="002B3885"/>
    <w:rsid w:val="002B3CC3"/>
    <w:rsid w:val="002B3F5D"/>
    <w:rsid w:val="002B4290"/>
    <w:rsid w:val="002B42E3"/>
    <w:rsid w:val="002B4596"/>
    <w:rsid w:val="002B45A7"/>
    <w:rsid w:val="002B46DB"/>
    <w:rsid w:val="002B4E37"/>
    <w:rsid w:val="002B549C"/>
    <w:rsid w:val="002B566D"/>
    <w:rsid w:val="002B5744"/>
    <w:rsid w:val="002B5976"/>
    <w:rsid w:val="002B5A41"/>
    <w:rsid w:val="002B5BBE"/>
    <w:rsid w:val="002B5BCA"/>
    <w:rsid w:val="002B6D51"/>
    <w:rsid w:val="002B7272"/>
    <w:rsid w:val="002B769C"/>
    <w:rsid w:val="002B7DC5"/>
    <w:rsid w:val="002C038F"/>
    <w:rsid w:val="002C0A2B"/>
    <w:rsid w:val="002C0B30"/>
    <w:rsid w:val="002C12AA"/>
    <w:rsid w:val="002C150F"/>
    <w:rsid w:val="002C15D4"/>
    <w:rsid w:val="002C179C"/>
    <w:rsid w:val="002C1B77"/>
    <w:rsid w:val="002C1CC9"/>
    <w:rsid w:val="002C1ED6"/>
    <w:rsid w:val="002C1EF5"/>
    <w:rsid w:val="002C20E2"/>
    <w:rsid w:val="002C23A2"/>
    <w:rsid w:val="002C24D4"/>
    <w:rsid w:val="002C2588"/>
    <w:rsid w:val="002C287A"/>
    <w:rsid w:val="002C28F8"/>
    <w:rsid w:val="002C29E6"/>
    <w:rsid w:val="002C2D0E"/>
    <w:rsid w:val="002C2D72"/>
    <w:rsid w:val="002C2FC4"/>
    <w:rsid w:val="002C3410"/>
    <w:rsid w:val="002C364C"/>
    <w:rsid w:val="002C3705"/>
    <w:rsid w:val="002C3A58"/>
    <w:rsid w:val="002C3EF0"/>
    <w:rsid w:val="002C45F1"/>
    <w:rsid w:val="002C4F58"/>
    <w:rsid w:val="002C54F9"/>
    <w:rsid w:val="002C5717"/>
    <w:rsid w:val="002C5C5C"/>
    <w:rsid w:val="002C5D13"/>
    <w:rsid w:val="002C5E2C"/>
    <w:rsid w:val="002C6321"/>
    <w:rsid w:val="002C6377"/>
    <w:rsid w:val="002C67FA"/>
    <w:rsid w:val="002C6A5E"/>
    <w:rsid w:val="002C6E8C"/>
    <w:rsid w:val="002C70EB"/>
    <w:rsid w:val="002C73EB"/>
    <w:rsid w:val="002C764A"/>
    <w:rsid w:val="002C793B"/>
    <w:rsid w:val="002C7A8E"/>
    <w:rsid w:val="002C7AF1"/>
    <w:rsid w:val="002C7FD1"/>
    <w:rsid w:val="002D0139"/>
    <w:rsid w:val="002D0229"/>
    <w:rsid w:val="002D0419"/>
    <w:rsid w:val="002D044C"/>
    <w:rsid w:val="002D0533"/>
    <w:rsid w:val="002D0714"/>
    <w:rsid w:val="002D101A"/>
    <w:rsid w:val="002D1489"/>
    <w:rsid w:val="002D14BE"/>
    <w:rsid w:val="002D15C7"/>
    <w:rsid w:val="002D1C39"/>
    <w:rsid w:val="002D1D7F"/>
    <w:rsid w:val="002D245E"/>
    <w:rsid w:val="002D2B96"/>
    <w:rsid w:val="002D2E2C"/>
    <w:rsid w:val="002D2EFB"/>
    <w:rsid w:val="002D3165"/>
    <w:rsid w:val="002D33C8"/>
    <w:rsid w:val="002D3A9B"/>
    <w:rsid w:val="002D3BB0"/>
    <w:rsid w:val="002D3ECD"/>
    <w:rsid w:val="002D3EDD"/>
    <w:rsid w:val="002D3F52"/>
    <w:rsid w:val="002D3FCF"/>
    <w:rsid w:val="002D4319"/>
    <w:rsid w:val="002D480C"/>
    <w:rsid w:val="002D4837"/>
    <w:rsid w:val="002D4992"/>
    <w:rsid w:val="002D4BBC"/>
    <w:rsid w:val="002D5226"/>
    <w:rsid w:val="002D5B7F"/>
    <w:rsid w:val="002D5C58"/>
    <w:rsid w:val="002D5F46"/>
    <w:rsid w:val="002D5FC7"/>
    <w:rsid w:val="002D6188"/>
    <w:rsid w:val="002D61E3"/>
    <w:rsid w:val="002D61EC"/>
    <w:rsid w:val="002D630A"/>
    <w:rsid w:val="002D68A6"/>
    <w:rsid w:val="002D6941"/>
    <w:rsid w:val="002D6C92"/>
    <w:rsid w:val="002D7197"/>
    <w:rsid w:val="002D76D0"/>
    <w:rsid w:val="002D7A0D"/>
    <w:rsid w:val="002E0331"/>
    <w:rsid w:val="002E03E8"/>
    <w:rsid w:val="002E0665"/>
    <w:rsid w:val="002E0902"/>
    <w:rsid w:val="002E09B8"/>
    <w:rsid w:val="002E0B26"/>
    <w:rsid w:val="002E0FF9"/>
    <w:rsid w:val="002E11DA"/>
    <w:rsid w:val="002E1245"/>
    <w:rsid w:val="002E143D"/>
    <w:rsid w:val="002E17A9"/>
    <w:rsid w:val="002E1A74"/>
    <w:rsid w:val="002E2146"/>
    <w:rsid w:val="002E26A7"/>
    <w:rsid w:val="002E2C06"/>
    <w:rsid w:val="002E3560"/>
    <w:rsid w:val="002E377B"/>
    <w:rsid w:val="002E3DA1"/>
    <w:rsid w:val="002E438C"/>
    <w:rsid w:val="002E4688"/>
    <w:rsid w:val="002E4888"/>
    <w:rsid w:val="002E49B5"/>
    <w:rsid w:val="002E4C34"/>
    <w:rsid w:val="002E4D57"/>
    <w:rsid w:val="002E4E12"/>
    <w:rsid w:val="002E50AF"/>
    <w:rsid w:val="002E512B"/>
    <w:rsid w:val="002E5470"/>
    <w:rsid w:val="002E5531"/>
    <w:rsid w:val="002E564B"/>
    <w:rsid w:val="002E5C5B"/>
    <w:rsid w:val="002E5E0A"/>
    <w:rsid w:val="002E62C5"/>
    <w:rsid w:val="002E6602"/>
    <w:rsid w:val="002E66BF"/>
    <w:rsid w:val="002E68BC"/>
    <w:rsid w:val="002E6B93"/>
    <w:rsid w:val="002E6C1D"/>
    <w:rsid w:val="002E6C4A"/>
    <w:rsid w:val="002E6CAA"/>
    <w:rsid w:val="002E6D61"/>
    <w:rsid w:val="002E6E57"/>
    <w:rsid w:val="002E765F"/>
    <w:rsid w:val="002F02D6"/>
    <w:rsid w:val="002F05BF"/>
    <w:rsid w:val="002F08C3"/>
    <w:rsid w:val="002F0F81"/>
    <w:rsid w:val="002F1573"/>
    <w:rsid w:val="002F182D"/>
    <w:rsid w:val="002F18E2"/>
    <w:rsid w:val="002F1939"/>
    <w:rsid w:val="002F19FF"/>
    <w:rsid w:val="002F1A35"/>
    <w:rsid w:val="002F1E1B"/>
    <w:rsid w:val="002F1E8A"/>
    <w:rsid w:val="002F1F03"/>
    <w:rsid w:val="002F2017"/>
    <w:rsid w:val="002F2141"/>
    <w:rsid w:val="002F224C"/>
    <w:rsid w:val="002F2C71"/>
    <w:rsid w:val="002F2E9F"/>
    <w:rsid w:val="002F2F17"/>
    <w:rsid w:val="002F30B5"/>
    <w:rsid w:val="002F3428"/>
    <w:rsid w:val="002F3864"/>
    <w:rsid w:val="002F3A23"/>
    <w:rsid w:val="002F3B05"/>
    <w:rsid w:val="002F3B7C"/>
    <w:rsid w:val="002F3D30"/>
    <w:rsid w:val="002F3E32"/>
    <w:rsid w:val="002F3EB6"/>
    <w:rsid w:val="002F3FE0"/>
    <w:rsid w:val="002F41BD"/>
    <w:rsid w:val="002F4212"/>
    <w:rsid w:val="002F492E"/>
    <w:rsid w:val="002F4E03"/>
    <w:rsid w:val="002F4E31"/>
    <w:rsid w:val="002F52AA"/>
    <w:rsid w:val="002F54DC"/>
    <w:rsid w:val="002F57FA"/>
    <w:rsid w:val="002F599F"/>
    <w:rsid w:val="002F5B50"/>
    <w:rsid w:val="002F5BC6"/>
    <w:rsid w:val="002F6269"/>
    <w:rsid w:val="002F62D4"/>
    <w:rsid w:val="002F68E9"/>
    <w:rsid w:val="002F6E3B"/>
    <w:rsid w:val="002F743F"/>
    <w:rsid w:val="002F74DC"/>
    <w:rsid w:val="002F76FB"/>
    <w:rsid w:val="002F777E"/>
    <w:rsid w:val="002F7A5A"/>
    <w:rsid w:val="002F7F3A"/>
    <w:rsid w:val="002F7F87"/>
    <w:rsid w:val="003005FE"/>
    <w:rsid w:val="0030095A"/>
    <w:rsid w:val="0030098E"/>
    <w:rsid w:val="00300B0E"/>
    <w:rsid w:val="00300D48"/>
    <w:rsid w:val="003010CC"/>
    <w:rsid w:val="003012B5"/>
    <w:rsid w:val="00301ADD"/>
    <w:rsid w:val="00301AE5"/>
    <w:rsid w:val="0030235F"/>
    <w:rsid w:val="003026B4"/>
    <w:rsid w:val="0030279C"/>
    <w:rsid w:val="003027C2"/>
    <w:rsid w:val="00302905"/>
    <w:rsid w:val="0030299F"/>
    <w:rsid w:val="00302A40"/>
    <w:rsid w:val="00302BA8"/>
    <w:rsid w:val="00302D18"/>
    <w:rsid w:val="00302DCF"/>
    <w:rsid w:val="00303288"/>
    <w:rsid w:val="00303A6B"/>
    <w:rsid w:val="00303BD6"/>
    <w:rsid w:val="00303C81"/>
    <w:rsid w:val="00303ECE"/>
    <w:rsid w:val="00304442"/>
    <w:rsid w:val="003045ED"/>
    <w:rsid w:val="0030495E"/>
    <w:rsid w:val="00304A54"/>
    <w:rsid w:val="00304A84"/>
    <w:rsid w:val="00304AAB"/>
    <w:rsid w:val="00304E13"/>
    <w:rsid w:val="00304FF1"/>
    <w:rsid w:val="00305A92"/>
    <w:rsid w:val="0030671D"/>
    <w:rsid w:val="0030691A"/>
    <w:rsid w:val="0030693E"/>
    <w:rsid w:val="0030704D"/>
    <w:rsid w:val="0030725F"/>
    <w:rsid w:val="003072B3"/>
    <w:rsid w:val="00307746"/>
    <w:rsid w:val="00307A8C"/>
    <w:rsid w:val="00310173"/>
    <w:rsid w:val="00310412"/>
    <w:rsid w:val="00310642"/>
    <w:rsid w:val="00310A0E"/>
    <w:rsid w:val="00310ADB"/>
    <w:rsid w:val="00310CCA"/>
    <w:rsid w:val="00310F9F"/>
    <w:rsid w:val="00311155"/>
    <w:rsid w:val="00311C41"/>
    <w:rsid w:val="00311C77"/>
    <w:rsid w:val="00311CF2"/>
    <w:rsid w:val="00311E79"/>
    <w:rsid w:val="00311E7F"/>
    <w:rsid w:val="00312213"/>
    <w:rsid w:val="003125B8"/>
    <w:rsid w:val="00312725"/>
    <w:rsid w:val="00312BBA"/>
    <w:rsid w:val="00312D01"/>
    <w:rsid w:val="00312D1E"/>
    <w:rsid w:val="00312D60"/>
    <w:rsid w:val="003133F4"/>
    <w:rsid w:val="0031340C"/>
    <w:rsid w:val="003134D4"/>
    <w:rsid w:val="00313B5F"/>
    <w:rsid w:val="00313BF9"/>
    <w:rsid w:val="00313EA4"/>
    <w:rsid w:val="00313EAE"/>
    <w:rsid w:val="00314644"/>
    <w:rsid w:val="003147A4"/>
    <w:rsid w:val="00314A7A"/>
    <w:rsid w:val="00314C07"/>
    <w:rsid w:val="00315675"/>
    <w:rsid w:val="00315C34"/>
    <w:rsid w:val="00315C52"/>
    <w:rsid w:val="00315D75"/>
    <w:rsid w:val="00316073"/>
    <w:rsid w:val="003161D6"/>
    <w:rsid w:val="0031655E"/>
    <w:rsid w:val="003165E1"/>
    <w:rsid w:val="00316A3B"/>
    <w:rsid w:val="003170FD"/>
    <w:rsid w:val="0031717D"/>
    <w:rsid w:val="003172C5"/>
    <w:rsid w:val="003172E6"/>
    <w:rsid w:val="00317899"/>
    <w:rsid w:val="00317A9A"/>
    <w:rsid w:val="00320006"/>
    <w:rsid w:val="0032025B"/>
    <w:rsid w:val="003202B6"/>
    <w:rsid w:val="00320571"/>
    <w:rsid w:val="00320742"/>
    <w:rsid w:val="003209F6"/>
    <w:rsid w:val="00320A1B"/>
    <w:rsid w:val="00320A3F"/>
    <w:rsid w:val="00320BFF"/>
    <w:rsid w:val="00320C8D"/>
    <w:rsid w:val="00320E26"/>
    <w:rsid w:val="00320ED5"/>
    <w:rsid w:val="00320F50"/>
    <w:rsid w:val="0032109D"/>
    <w:rsid w:val="003215CC"/>
    <w:rsid w:val="00321733"/>
    <w:rsid w:val="00321A93"/>
    <w:rsid w:val="00321B57"/>
    <w:rsid w:val="00321BC4"/>
    <w:rsid w:val="00322545"/>
    <w:rsid w:val="00322618"/>
    <w:rsid w:val="0032281E"/>
    <w:rsid w:val="0032282E"/>
    <w:rsid w:val="00322A68"/>
    <w:rsid w:val="00322AC9"/>
    <w:rsid w:val="00322D99"/>
    <w:rsid w:val="00322F3C"/>
    <w:rsid w:val="00323338"/>
    <w:rsid w:val="003233CE"/>
    <w:rsid w:val="00323889"/>
    <w:rsid w:val="00323968"/>
    <w:rsid w:val="00323A1F"/>
    <w:rsid w:val="00323AFB"/>
    <w:rsid w:val="00323F98"/>
    <w:rsid w:val="00324193"/>
    <w:rsid w:val="0032449D"/>
    <w:rsid w:val="003249B2"/>
    <w:rsid w:val="00324A83"/>
    <w:rsid w:val="00324AF9"/>
    <w:rsid w:val="00324BA1"/>
    <w:rsid w:val="00324E73"/>
    <w:rsid w:val="00325148"/>
    <w:rsid w:val="00325159"/>
    <w:rsid w:val="00325656"/>
    <w:rsid w:val="00325869"/>
    <w:rsid w:val="003263E9"/>
    <w:rsid w:val="0032672D"/>
    <w:rsid w:val="00326BB9"/>
    <w:rsid w:val="00326F60"/>
    <w:rsid w:val="00326F7E"/>
    <w:rsid w:val="0032700B"/>
    <w:rsid w:val="00327279"/>
    <w:rsid w:val="00327739"/>
    <w:rsid w:val="0032780D"/>
    <w:rsid w:val="0032785A"/>
    <w:rsid w:val="00327B58"/>
    <w:rsid w:val="00327CFF"/>
    <w:rsid w:val="00327E6F"/>
    <w:rsid w:val="0033006C"/>
    <w:rsid w:val="003305F6"/>
    <w:rsid w:val="003309AD"/>
    <w:rsid w:val="00330DCA"/>
    <w:rsid w:val="00330F3B"/>
    <w:rsid w:val="0033115D"/>
    <w:rsid w:val="00331204"/>
    <w:rsid w:val="00331458"/>
    <w:rsid w:val="00331C33"/>
    <w:rsid w:val="00333054"/>
    <w:rsid w:val="0033343E"/>
    <w:rsid w:val="00333700"/>
    <w:rsid w:val="0033470A"/>
    <w:rsid w:val="00334CD8"/>
    <w:rsid w:val="00334DD7"/>
    <w:rsid w:val="00334EAC"/>
    <w:rsid w:val="00334FAA"/>
    <w:rsid w:val="00335642"/>
    <w:rsid w:val="00335896"/>
    <w:rsid w:val="00335ABD"/>
    <w:rsid w:val="00335D6E"/>
    <w:rsid w:val="00335FAD"/>
    <w:rsid w:val="0033623E"/>
    <w:rsid w:val="003364B4"/>
    <w:rsid w:val="003364D4"/>
    <w:rsid w:val="00336967"/>
    <w:rsid w:val="00336EC1"/>
    <w:rsid w:val="00337028"/>
    <w:rsid w:val="003370A8"/>
    <w:rsid w:val="003370E7"/>
    <w:rsid w:val="0033719A"/>
    <w:rsid w:val="003377BB"/>
    <w:rsid w:val="00337A85"/>
    <w:rsid w:val="00337AC7"/>
    <w:rsid w:val="00337BAB"/>
    <w:rsid w:val="00337DA0"/>
    <w:rsid w:val="00340813"/>
    <w:rsid w:val="00340D29"/>
    <w:rsid w:val="00340E26"/>
    <w:rsid w:val="00340EB2"/>
    <w:rsid w:val="0034148E"/>
    <w:rsid w:val="003417E6"/>
    <w:rsid w:val="0034189A"/>
    <w:rsid w:val="0034193A"/>
    <w:rsid w:val="0034193C"/>
    <w:rsid w:val="00342083"/>
    <w:rsid w:val="00342261"/>
    <w:rsid w:val="0034240A"/>
    <w:rsid w:val="00342565"/>
    <w:rsid w:val="003428F3"/>
    <w:rsid w:val="00342BAD"/>
    <w:rsid w:val="00342E2A"/>
    <w:rsid w:val="00342FC9"/>
    <w:rsid w:val="0034337B"/>
    <w:rsid w:val="00343572"/>
    <w:rsid w:val="00343694"/>
    <w:rsid w:val="003438EA"/>
    <w:rsid w:val="00343E0C"/>
    <w:rsid w:val="00344020"/>
    <w:rsid w:val="00344049"/>
    <w:rsid w:val="003444C6"/>
    <w:rsid w:val="00344A1F"/>
    <w:rsid w:val="00344A4B"/>
    <w:rsid w:val="00344C34"/>
    <w:rsid w:val="00344ED1"/>
    <w:rsid w:val="0034516E"/>
    <w:rsid w:val="003458B3"/>
    <w:rsid w:val="00345BAA"/>
    <w:rsid w:val="00345C11"/>
    <w:rsid w:val="00345C5E"/>
    <w:rsid w:val="00345C9D"/>
    <w:rsid w:val="00345DE4"/>
    <w:rsid w:val="00345EC9"/>
    <w:rsid w:val="003460B2"/>
    <w:rsid w:val="00346103"/>
    <w:rsid w:val="00346355"/>
    <w:rsid w:val="003464CA"/>
    <w:rsid w:val="003467E3"/>
    <w:rsid w:val="00346AE7"/>
    <w:rsid w:val="00346F8D"/>
    <w:rsid w:val="0034729D"/>
    <w:rsid w:val="0034788F"/>
    <w:rsid w:val="00347AC4"/>
    <w:rsid w:val="00347CEF"/>
    <w:rsid w:val="00347E78"/>
    <w:rsid w:val="0035015D"/>
    <w:rsid w:val="00350252"/>
    <w:rsid w:val="003502CE"/>
    <w:rsid w:val="003517A1"/>
    <w:rsid w:val="00351802"/>
    <w:rsid w:val="0035187B"/>
    <w:rsid w:val="00351B53"/>
    <w:rsid w:val="00351F2D"/>
    <w:rsid w:val="00352151"/>
    <w:rsid w:val="00352788"/>
    <w:rsid w:val="00352CF0"/>
    <w:rsid w:val="00352E2D"/>
    <w:rsid w:val="003530E7"/>
    <w:rsid w:val="00354053"/>
    <w:rsid w:val="00354338"/>
    <w:rsid w:val="00354CFC"/>
    <w:rsid w:val="003558CD"/>
    <w:rsid w:val="003559E8"/>
    <w:rsid w:val="00355BE8"/>
    <w:rsid w:val="003560A0"/>
    <w:rsid w:val="0035629F"/>
    <w:rsid w:val="0035643D"/>
    <w:rsid w:val="00356BE4"/>
    <w:rsid w:val="003570D0"/>
    <w:rsid w:val="003570EE"/>
    <w:rsid w:val="003576EE"/>
    <w:rsid w:val="003577FB"/>
    <w:rsid w:val="00357902"/>
    <w:rsid w:val="00357A16"/>
    <w:rsid w:val="0036017A"/>
    <w:rsid w:val="003601E4"/>
    <w:rsid w:val="0036069E"/>
    <w:rsid w:val="00360A68"/>
    <w:rsid w:val="00360B5B"/>
    <w:rsid w:val="00360B7B"/>
    <w:rsid w:val="00360E99"/>
    <w:rsid w:val="003612B8"/>
    <w:rsid w:val="00361343"/>
    <w:rsid w:val="003613E5"/>
    <w:rsid w:val="0036179B"/>
    <w:rsid w:val="003617FD"/>
    <w:rsid w:val="003618AE"/>
    <w:rsid w:val="00361B34"/>
    <w:rsid w:val="00361CFF"/>
    <w:rsid w:val="00362040"/>
    <w:rsid w:val="003620BD"/>
    <w:rsid w:val="00362278"/>
    <w:rsid w:val="0036278C"/>
    <w:rsid w:val="003627A0"/>
    <w:rsid w:val="0036280A"/>
    <w:rsid w:val="0036295A"/>
    <w:rsid w:val="00362CF9"/>
    <w:rsid w:val="00362DD3"/>
    <w:rsid w:val="00362EEE"/>
    <w:rsid w:val="00362F88"/>
    <w:rsid w:val="00363DA2"/>
    <w:rsid w:val="00363F40"/>
    <w:rsid w:val="00364031"/>
    <w:rsid w:val="003643ED"/>
    <w:rsid w:val="00364471"/>
    <w:rsid w:val="003645B9"/>
    <w:rsid w:val="00364685"/>
    <w:rsid w:val="003648AF"/>
    <w:rsid w:val="00364A55"/>
    <w:rsid w:val="003657BB"/>
    <w:rsid w:val="00365D4E"/>
    <w:rsid w:val="00365F8F"/>
    <w:rsid w:val="00366231"/>
    <w:rsid w:val="0036684B"/>
    <w:rsid w:val="00366B7B"/>
    <w:rsid w:val="00366C64"/>
    <w:rsid w:val="00366E70"/>
    <w:rsid w:val="00366F28"/>
    <w:rsid w:val="00367137"/>
    <w:rsid w:val="0036759F"/>
    <w:rsid w:val="00367AA3"/>
    <w:rsid w:val="00367FCD"/>
    <w:rsid w:val="00370877"/>
    <w:rsid w:val="00370AF5"/>
    <w:rsid w:val="00370D7B"/>
    <w:rsid w:val="003711FD"/>
    <w:rsid w:val="0037120F"/>
    <w:rsid w:val="003713CA"/>
    <w:rsid w:val="0037197F"/>
    <w:rsid w:val="00371CF7"/>
    <w:rsid w:val="00371D56"/>
    <w:rsid w:val="003722B4"/>
    <w:rsid w:val="00372444"/>
    <w:rsid w:val="003728C9"/>
    <w:rsid w:val="00372A98"/>
    <w:rsid w:val="00372CCC"/>
    <w:rsid w:val="00372CEE"/>
    <w:rsid w:val="00372EB4"/>
    <w:rsid w:val="003731A0"/>
    <w:rsid w:val="003734F6"/>
    <w:rsid w:val="0037385D"/>
    <w:rsid w:val="0037391A"/>
    <w:rsid w:val="0037397D"/>
    <w:rsid w:val="00373C07"/>
    <w:rsid w:val="00373C55"/>
    <w:rsid w:val="003741F3"/>
    <w:rsid w:val="00374286"/>
    <w:rsid w:val="003757D6"/>
    <w:rsid w:val="00375CE1"/>
    <w:rsid w:val="00375F5C"/>
    <w:rsid w:val="003762BB"/>
    <w:rsid w:val="00376329"/>
    <w:rsid w:val="0037656F"/>
    <w:rsid w:val="00377414"/>
    <w:rsid w:val="00377C58"/>
    <w:rsid w:val="00380105"/>
    <w:rsid w:val="003806D6"/>
    <w:rsid w:val="00380A93"/>
    <w:rsid w:val="00380CD1"/>
    <w:rsid w:val="00380D58"/>
    <w:rsid w:val="00380EA5"/>
    <w:rsid w:val="00381014"/>
    <w:rsid w:val="003815B0"/>
    <w:rsid w:val="00381C20"/>
    <w:rsid w:val="00382012"/>
    <w:rsid w:val="0038218B"/>
    <w:rsid w:val="00382568"/>
    <w:rsid w:val="00382706"/>
    <w:rsid w:val="0038281B"/>
    <w:rsid w:val="00382A0B"/>
    <w:rsid w:val="00382B80"/>
    <w:rsid w:val="00382BCE"/>
    <w:rsid w:val="00382BD0"/>
    <w:rsid w:val="00383042"/>
    <w:rsid w:val="0038309D"/>
    <w:rsid w:val="00383230"/>
    <w:rsid w:val="003837B4"/>
    <w:rsid w:val="0038381F"/>
    <w:rsid w:val="00383951"/>
    <w:rsid w:val="00383FEC"/>
    <w:rsid w:val="0038421C"/>
    <w:rsid w:val="003844E6"/>
    <w:rsid w:val="00384596"/>
    <w:rsid w:val="003845EC"/>
    <w:rsid w:val="00384B07"/>
    <w:rsid w:val="00384B58"/>
    <w:rsid w:val="00384BA1"/>
    <w:rsid w:val="00384F2A"/>
    <w:rsid w:val="003852BF"/>
    <w:rsid w:val="0038576C"/>
    <w:rsid w:val="00385F6F"/>
    <w:rsid w:val="00386236"/>
    <w:rsid w:val="00386367"/>
    <w:rsid w:val="00386458"/>
    <w:rsid w:val="00386A29"/>
    <w:rsid w:val="00386A4F"/>
    <w:rsid w:val="00386C8D"/>
    <w:rsid w:val="00387220"/>
    <w:rsid w:val="003877C9"/>
    <w:rsid w:val="00387B98"/>
    <w:rsid w:val="00387C53"/>
    <w:rsid w:val="00387D4F"/>
    <w:rsid w:val="00390416"/>
    <w:rsid w:val="00390520"/>
    <w:rsid w:val="00390878"/>
    <w:rsid w:val="003908B9"/>
    <w:rsid w:val="00390D2D"/>
    <w:rsid w:val="00390DFC"/>
    <w:rsid w:val="00390E26"/>
    <w:rsid w:val="00390E56"/>
    <w:rsid w:val="00390ECD"/>
    <w:rsid w:val="00391167"/>
    <w:rsid w:val="003911F3"/>
    <w:rsid w:val="003915C5"/>
    <w:rsid w:val="0039160A"/>
    <w:rsid w:val="0039173B"/>
    <w:rsid w:val="00392127"/>
    <w:rsid w:val="0039234B"/>
    <w:rsid w:val="003923CB"/>
    <w:rsid w:val="003925B6"/>
    <w:rsid w:val="003928F2"/>
    <w:rsid w:val="00392964"/>
    <w:rsid w:val="00392AD4"/>
    <w:rsid w:val="003935A9"/>
    <w:rsid w:val="00394370"/>
    <w:rsid w:val="00394538"/>
    <w:rsid w:val="0039481C"/>
    <w:rsid w:val="00394AB6"/>
    <w:rsid w:val="00394B4E"/>
    <w:rsid w:val="00394BA0"/>
    <w:rsid w:val="00394FF2"/>
    <w:rsid w:val="003951CB"/>
    <w:rsid w:val="00395474"/>
    <w:rsid w:val="0039575B"/>
    <w:rsid w:val="00395D8D"/>
    <w:rsid w:val="00395F90"/>
    <w:rsid w:val="00395FC3"/>
    <w:rsid w:val="003961CF"/>
    <w:rsid w:val="00396239"/>
    <w:rsid w:val="00396399"/>
    <w:rsid w:val="0039645C"/>
    <w:rsid w:val="0039648D"/>
    <w:rsid w:val="00396946"/>
    <w:rsid w:val="00397338"/>
    <w:rsid w:val="00397645"/>
    <w:rsid w:val="00397AB2"/>
    <w:rsid w:val="00397CCD"/>
    <w:rsid w:val="003A00AF"/>
    <w:rsid w:val="003A0385"/>
    <w:rsid w:val="003A1635"/>
    <w:rsid w:val="003A17E6"/>
    <w:rsid w:val="003A1943"/>
    <w:rsid w:val="003A1E01"/>
    <w:rsid w:val="003A2844"/>
    <w:rsid w:val="003A29C1"/>
    <w:rsid w:val="003A2A38"/>
    <w:rsid w:val="003A3136"/>
    <w:rsid w:val="003A33E3"/>
    <w:rsid w:val="003A34A5"/>
    <w:rsid w:val="003A367B"/>
    <w:rsid w:val="003A3883"/>
    <w:rsid w:val="003A3A8B"/>
    <w:rsid w:val="003A3BC5"/>
    <w:rsid w:val="003A445E"/>
    <w:rsid w:val="003A4A9E"/>
    <w:rsid w:val="003A4E82"/>
    <w:rsid w:val="003A502F"/>
    <w:rsid w:val="003A5464"/>
    <w:rsid w:val="003A5613"/>
    <w:rsid w:val="003A5838"/>
    <w:rsid w:val="003A5B97"/>
    <w:rsid w:val="003A5CC1"/>
    <w:rsid w:val="003A5D63"/>
    <w:rsid w:val="003A5F74"/>
    <w:rsid w:val="003A6033"/>
    <w:rsid w:val="003A625B"/>
    <w:rsid w:val="003A70A5"/>
    <w:rsid w:val="003A74C6"/>
    <w:rsid w:val="003A75D5"/>
    <w:rsid w:val="003A761D"/>
    <w:rsid w:val="003A7747"/>
    <w:rsid w:val="003A7863"/>
    <w:rsid w:val="003A7A06"/>
    <w:rsid w:val="003A7B71"/>
    <w:rsid w:val="003A7DED"/>
    <w:rsid w:val="003B00FC"/>
    <w:rsid w:val="003B099E"/>
    <w:rsid w:val="003B0C90"/>
    <w:rsid w:val="003B0CCD"/>
    <w:rsid w:val="003B0E82"/>
    <w:rsid w:val="003B0F6E"/>
    <w:rsid w:val="003B1089"/>
    <w:rsid w:val="003B1148"/>
    <w:rsid w:val="003B16B2"/>
    <w:rsid w:val="003B2114"/>
    <w:rsid w:val="003B242A"/>
    <w:rsid w:val="003B24F9"/>
    <w:rsid w:val="003B2622"/>
    <w:rsid w:val="003B2FAF"/>
    <w:rsid w:val="003B313D"/>
    <w:rsid w:val="003B33CB"/>
    <w:rsid w:val="003B33E6"/>
    <w:rsid w:val="003B3D76"/>
    <w:rsid w:val="003B4A33"/>
    <w:rsid w:val="003B4EA8"/>
    <w:rsid w:val="003B507C"/>
    <w:rsid w:val="003B53A8"/>
    <w:rsid w:val="003B572C"/>
    <w:rsid w:val="003B5770"/>
    <w:rsid w:val="003B57E0"/>
    <w:rsid w:val="003B5867"/>
    <w:rsid w:val="003B5E61"/>
    <w:rsid w:val="003B5F0F"/>
    <w:rsid w:val="003B5FE6"/>
    <w:rsid w:val="003B662E"/>
    <w:rsid w:val="003B66FE"/>
    <w:rsid w:val="003B694E"/>
    <w:rsid w:val="003B7077"/>
    <w:rsid w:val="003B71F2"/>
    <w:rsid w:val="003B72A1"/>
    <w:rsid w:val="003B76FE"/>
    <w:rsid w:val="003B7AC1"/>
    <w:rsid w:val="003B7D91"/>
    <w:rsid w:val="003C01AE"/>
    <w:rsid w:val="003C028E"/>
    <w:rsid w:val="003C0290"/>
    <w:rsid w:val="003C02C2"/>
    <w:rsid w:val="003C0C4A"/>
    <w:rsid w:val="003C0D79"/>
    <w:rsid w:val="003C0F16"/>
    <w:rsid w:val="003C0FA7"/>
    <w:rsid w:val="003C10C0"/>
    <w:rsid w:val="003C11E0"/>
    <w:rsid w:val="003C1246"/>
    <w:rsid w:val="003C135B"/>
    <w:rsid w:val="003C1790"/>
    <w:rsid w:val="003C1B86"/>
    <w:rsid w:val="003C1CF7"/>
    <w:rsid w:val="003C1F0E"/>
    <w:rsid w:val="003C1FEE"/>
    <w:rsid w:val="003C222F"/>
    <w:rsid w:val="003C244F"/>
    <w:rsid w:val="003C2624"/>
    <w:rsid w:val="003C2912"/>
    <w:rsid w:val="003C2A25"/>
    <w:rsid w:val="003C2D44"/>
    <w:rsid w:val="003C32AC"/>
    <w:rsid w:val="003C33A5"/>
    <w:rsid w:val="003C354A"/>
    <w:rsid w:val="003C36D9"/>
    <w:rsid w:val="003C390E"/>
    <w:rsid w:val="003C399C"/>
    <w:rsid w:val="003C3EB2"/>
    <w:rsid w:val="003C4339"/>
    <w:rsid w:val="003C48CD"/>
    <w:rsid w:val="003C508A"/>
    <w:rsid w:val="003C50FF"/>
    <w:rsid w:val="003C55D9"/>
    <w:rsid w:val="003C56F2"/>
    <w:rsid w:val="003C574D"/>
    <w:rsid w:val="003C5DED"/>
    <w:rsid w:val="003C5E12"/>
    <w:rsid w:val="003C5F22"/>
    <w:rsid w:val="003C5F28"/>
    <w:rsid w:val="003C60FC"/>
    <w:rsid w:val="003C6138"/>
    <w:rsid w:val="003C625B"/>
    <w:rsid w:val="003C66B1"/>
    <w:rsid w:val="003C693E"/>
    <w:rsid w:val="003C6FA9"/>
    <w:rsid w:val="003C6FF3"/>
    <w:rsid w:val="003C7207"/>
    <w:rsid w:val="003C735F"/>
    <w:rsid w:val="003C76D7"/>
    <w:rsid w:val="003C7A02"/>
    <w:rsid w:val="003C7D9F"/>
    <w:rsid w:val="003D0BF6"/>
    <w:rsid w:val="003D0F36"/>
    <w:rsid w:val="003D100E"/>
    <w:rsid w:val="003D1778"/>
    <w:rsid w:val="003D1E17"/>
    <w:rsid w:val="003D1F18"/>
    <w:rsid w:val="003D2453"/>
    <w:rsid w:val="003D2547"/>
    <w:rsid w:val="003D2648"/>
    <w:rsid w:val="003D2B1A"/>
    <w:rsid w:val="003D2F40"/>
    <w:rsid w:val="003D30FA"/>
    <w:rsid w:val="003D3267"/>
    <w:rsid w:val="003D3370"/>
    <w:rsid w:val="003D3698"/>
    <w:rsid w:val="003D3965"/>
    <w:rsid w:val="003D407C"/>
    <w:rsid w:val="003D4420"/>
    <w:rsid w:val="003D446B"/>
    <w:rsid w:val="003D45CA"/>
    <w:rsid w:val="003D51BB"/>
    <w:rsid w:val="003D5B3E"/>
    <w:rsid w:val="003D5E03"/>
    <w:rsid w:val="003D5EAE"/>
    <w:rsid w:val="003D5F10"/>
    <w:rsid w:val="003D60CD"/>
    <w:rsid w:val="003D6897"/>
    <w:rsid w:val="003D6AFD"/>
    <w:rsid w:val="003D70BA"/>
    <w:rsid w:val="003D7469"/>
    <w:rsid w:val="003D7594"/>
    <w:rsid w:val="003D7681"/>
    <w:rsid w:val="003D77DE"/>
    <w:rsid w:val="003D7B73"/>
    <w:rsid w:val="003D7F62"/>
    <w:rsid w:val="003D7FC3"/>
    <w:rsid w:val="003E00E5"/>
    <w:rsid w:val="003E03E8"/>
    <w:rsid w:val="003E0485"/>
    <w:rsid w:val="003E063D"/>
    <w:rsid w:val="003E08FF"/>
    <w:rsid w:val="003E10EA"/>
    <w:rsid w:val="003E1181"/>
    <w:rsid w:val="003E1461"/>
    <w:rsid w:val="003E18CE"/>
    <w:rsid w:val="003E2BC0"/>
    <w:rsid w:val="003E2F57"/>
    <w:rsid w:val="003E36A8"/>
    <w:rsid w:val="003E376A"/>
    <w:rsid w:val="003E3DA6"/>
    <w:rsid w:val="003E3DB8"/>
    <w:rsid w:val="003E3F24"/>
    <w:rsid w:val="003E4197"/>
    <w:rsid w:val="003E4531"/>
    <w:rsid w:val="003E47C8"/>
    <w:rsid w:val="003E49B0"/>
    <w:rsid w:val="003E516E"/>
    <w:rsid w:val="003E5B28"/>
    <w:rsid w:val="003E5B9C"/>
    <w:rsid w:val="003E5D4C"/>
    <w:rsid w:val="003E6438"/>
    <w:rsid w:val="003E647B"/>
    <w:rsid w:val="003E6A20"/>
    <w:rsid w:val="003E6A30"/>
    <w:rsid w:val="003E6C30"/>
    <w:rsid w:val="003E6CEA"/>
    <w:rsid w:val="003E6D8D"/>
    <w:rsid w:val="003E6E16"/>
    <w:rsid w:val="003E6FBE"/>
    <w:rsid w:val="003E7076"/>
    <w:rsid w:val="003E745F"/>
    <w:rsid w:val="003E77F9"/>
    <w:rsid w:val="003E7821"/>
    <w:rsid w:val="003E78A1"/>
    <w:rsid w:val="003E79FD"/>
    <w:rsid w:val="003E7A76"/>
    <w:rsid w:val="003E7B11"/>
    <w:rsid w:val="003E7B34"/>
    <w:rsid w:val="003E7C98"/>
    <w:rsid w:val="003E7CF1"/>
    <w:rsid w:val="003E7D10"/>
    <w:rsid w:val="003E7E85"/>
    <w:rsid w:val="003E7FD2"/>
    <w:rsid w:val="003F0122"/>
    <w:rsid w:val="003F0586"/>
    <w:rsid w:val="003F0700"/>
    <w:rsid w:val="003F0910"/>
    <w:rsid w:val="003F0A66"/>
    <w:rsid w:val="003F0EE1"/>
    <w:rsid w:val="003F12D0"/>
    <w:rsid w:val="003F16F9"/>
    <w:rsid w:val="003F2462"/>
    <w:rsid w:val="003F2F86"/>
    <w:rsid w:val="003F3153"/>
    <w:rsid w:val="003F372A"/>
    <w:rsid w:val="003F3ABD"/>
    <w:rsid w:val="003F401A"/>
    <w:rsid w:val="003F42ED"/>
    <w:rsid w:val="003F43DD"/>
    <w:rsid w:val="003F4788"/>
    <w:rsid w:val="003F4795"/>
    <w:rsid w:val="003F47E7"/>
    <w:rsid w:val="003F49A8"/>
    <w:rsid w:val="003F4DAF"/>
    <w:rsid w:val="003F5163"/>
    <w:rsid w:val="003F539F"/>
    <w:rsid w:val="003F53DF"/>
    <w:rsid w:val="003F5602"/>
    <w:rsid w:val="003F5627"/>
    <w:rsid w:val="003F5E66"/>
    <w:rsid w:val="003F61DD"/>
    <w:rsid w:val="003F67FC"/>
    <w:rsid w:val="003F68B6"/>
    <w:rsid w:val="003F6A9B"/>
    <w:rsid w:val="003F6A9E"/>
    <w:rsid w:val="003F6AF2"/>
    <w:rsid w:val="003F6B14"/>
    <w:rsid w:val="003F6D9D"/>
    <w:rsid w:val="003F6F97"/>
    <w:rsid w:val="003F7092"/>
    <w:rsid w:val="003F71B2"/>
    <w:rsid w:val="003F7261"/>
    <w:rsid w:val="003F7512"/>
    <w:rsid w:val="003F76C0"/>
    <w:rsid w:val="003F7850"/>
    <w:rsid w:val="003F7D43"/>
    <w:rsid w:val="004000CD"/>
    <w:rsid w:val="004000DD"/>
    <w:rsid w:val="00400244"/>
    <w:rsid w:val="0040058A"/>
    <w:rsid w:val="004006BA"/>
    <w:rsid w:val="0040099E"/>
    <w:rsid w:val="00400CAA"/>
    <w:rsid w:val="00400CE3"/>
    <w:rsid w:val="00400DBA"/>
    <w:rsid w:val="00400E0D"/>
    <w:rsid w:val="0040113B"/>
    <w:rsid w:val="00401A10"/>
    <w:rsid w:val="00401B62"/>
    <w:rsid w:val="00401D57"/>
    <w:rsid w:val="00401D70"/>
    <w:rsid w:val="004024FE"/>
    <w:rsid w:val="00402649"/>
    <w:rsid w:val="00402BB2"/>
    <w:rsid w:val="00402FED"/>
    <w:rsid w:val="00403115"/>
    <w:rsid w:val="0040313A"/>
    <w:rsid w:val="004031BC"/>
    <w:rsid w:val="00403255"/>
    <w:rsid w:val="00403839"/>
    <w:rsid w:val="00403A1F"/>
    <w:rsid w:val="00403C2A"/>
    <w:rsid w:val="00403D1A"/>
    <w:rsid w:val="00403EA2"/>
    <w:rsid w:val="0040403F"/>
    <w:rsid w:val="004042B1"/>
    <w:rsid w:val="0040448F"/>
    <w:rsid w:val="00404811"/>
    <w:rsid w:val="0040497A"/>
    <w:rsid w:val="00404A30"/>
    <w:rsid w:val="00404ADA"/>
    <w:rsid w:val="00404C6D"/>
    <w:rsid w:val="00404FF9"/>
    <w:rsid w:val="00405016"/>
    <w:rsid w:val="00405094"/>
    <w:rsid w:val="00405545"/>
    <w:rsid w:val="0040558F"/>
    <w:rsid w:val="004058A2"/>
    <w:rsid w:val="00405925"/>
    <w:rsid w:val="00405A06"/>
    <w:rsid w:val="00405F94"/>
    <w:rsid w:val="0040619D"/>
    <w:rsid w:val="0040637F"/>
    <w:rsid w:val="004065B0"/>
    <w:rsid w:val="00406D5E"/>
    <w:rsid w:val="00407B80"/>
    <w:rsid w:val="00407E56"/>
    <w:rsid w:val="004100CC"/>
    <w:rsid w:val="004108EE"/>
    <w:rsid w:val="00410A00"/>
    <w:rsid w:val="00410B5B"/>
    <w:rsid w:val="00410BAC"/>
    <w:rsid w:val="00410D3C"/>
    <w:rsid w:val="004116C0"/>
    <w:rsid w:val="004117EC"/>
    <w:rsid w:val="00411FAD"/>
    <w:rsid w:val="004124F1"/>
    <w:rsid w:val="00412C82"/>
    <w:rsid w:val="00412EC6"/>
    <w:rsid w:val="00412F86"/>
    <w:rsid w:val="00413019"/>
    <w:rsid w:val="00413739"/>
    <w:rsid w:val="004137EC"/>
    <w:rsid w:val="00413863"/>
    <w:rsid w:val="004138C0"/>
    <w:rsid w:val="00413920"/>
    <w:rsid w:val="00413F32"/>
    <w:rsid w:val="004140C6"/>
    <w:rsid w:val="00414173"/>
    <w:rsid w:val="004144D8"/>
    <w:rsid w:val="00415031"/>
    <w:rsid w:val="0041505F"/>
    <w:rsid w:val="00415130"/>
    <w:rsid w:val="004154D9"/>
    <w:rsid w:val="00415E43"/>
    <w:rsid w:val="00415FD4"/>
    <w:rsid w:val="00416340"/>
    <w:rsid w:val="0041638A"/>
    <w:rsid w:val="004163E6"/>
    <w:rsid w:val="00416DA0"/>
    <w:rsid w:val="00416EC0"/>
    <w:rsid w:val="00416EEC"/>
    <w:rsid w:val="00416FA9"/>
    <w:rsid w:val="00416FCF"/>
    <w:rsid w:val="00417173"/>
    <w:rsid w:val="004175D3"/>
    <w:rsid w:val="00417696"/>
    <w:rsid w:val="00417A13"/>
    <w:rsid w:val="00417E76"/>
    <w:rsid w:val="00420540"/>
    <w:rsid w:val="004207C6"/>
    <w:rsid w:val="00420D73"/>
    <w:rsid w:val="00421142"/>
    <w:rsid w:val="004211A2"/>
    <w:rsid w:val="00421316"/>
    <w:rsid w:val="004214D5"/>
    <w:rsid w:val="004215E7"/>
    <w:rsid w:val="00421637"/>
    <w:rsid w:val="004216C2"/>
    <w:rsid w:val="00421802"/>
    <w:rsid w:val="004218A7"/>
    <w:rsid w:val="00421911"/>
    <w:rsid w:val="00421F5B"/>
    <w:rsid w:val="00421FF8"/>
    <w:rsid w:val="00422338"/>
    <w:rsid w:val="0042249E"/>
    <w:rsid w:val="004225D3"/>
    <w:rsid w:val="004232FC"/>
    <w:rsid w:val="0042330F"/>
    <w:rsid w:val="004234A0"/>
    <w:rsid w:val="004236B7"/>
    <w:rsid w:val="00423743"/>
    <w:rsid w:val="00423AB6"/>
    <w:rsid w:val="00423AEC"/>
    <w:rsid w:val="00423D5A"/>
    <w:rsid w:val="00423E73"/>
    <w:rsid w:val="00423F86"/>
    <w:rsid w:val="0042442B"/>
    <w:rsid w:val="00424440"/>
    <w:rsid w:val="00424676"/>
    <w:rsid w:val="00424C32"/>
    <w:rsid w:val="00424CE2"/>
    <w:rsid w:val="00424E95"/>
    <w:rsid w:val="004256B6"/>
    <w:rsid w:val="004257DD"/>
    <w:rsid w:val="00425AF3"/>
    <w:rsid w:val="00426511"/>
    <w:rsid w:val="0042661F"/>
    <w:rsid w:val="0042678A"/>
    <w:rsid w:val="00426C35"/>
    <w:rsid w:val="00426FD1"/>
    <w:rsid w:val="004271ED"/>
    <w:rsid w:val="00427819"/>
    <w:rsid w:val="00427936"/>
    <w:rsid w:val="00427ECA"/>
    <w:rsid w:val="00427EE1"/>
    <w:rsid w:val="004300C0"/>
    <w:rsid w:val="0043075A"/>
    <w:rsid w:val="00430E81"/>
    <w:rsid w:val="00430F85"/>
    <w:rsid w:val="004311DE"/>
    <w:rsid w:val="0043137A"/>
    <w:rsid w:val="0043207E"/>
    <w:rsid w:val="00432443"/>
    <w:rsid w:val="0043277A"/>
    <w:rsid w:val="004328B2"/>
    <w:rsid w:val="0043298D"/>
    <w:rsid w:val="00432CC4"/>
    <w:rsid w:val="00432D5C"/>
    <w:rsid w:val="00432E18"/>
    <w:rsid w:val="004331A1"/>
    <w:rsid w:val="0043389D"/>
    <w:rsid w:val="00433F04"/>
    <w:rsid w:val="004340A1"/>
    <w:rsid w:val="004341FC"/>
    <w:rsid w:val="004348A1"/>
    <w:rsid w:val="00434D62"/>
    <w:rsid w:val="00434E51"/>
    <w:rsid w:val="00434E94"/>
    <w:rsid w:val="00434EAD"/>
    <w:rsid w:val="00434F71"/>
    <w:rsid w:val="004351DE"/>
    <w:rsid w:val="00435E85"/>
    <w:rsid w:val="00435EE7"/>
    <w:rsid w:val="00435FF4"/>
    <w:rsid w:val="004360C8"/>
    <w:rsid w:val="00436291"/>
    <w:rsid w:val="0043680D"/>
    <w:rsid w:val="00436C27"/>
    <w:rsid w:val="004370B1"/>
    <w:rsid w:val="00437466"/>
    <w:rsid w:val="00437D0F"/>
    <w:rsid w:val="00437F46"/>
    <w:rsid w:val="004400E4"/>
    <w:rsid w:val="0044011B"/>
    <w:rsid w:val="00440156"/>
    <w:rsid w:val="0044030F"/>
    <w:rsid w:val="004405F1"/>
    <w:rsid w:val="0044102C"/>
    <w:rsid w:val="00441060"/>
    <w:rsid w:val="004411F6"/>
    <w:rsid w:val="00441261"/>
    <w:rsid w:val="00441524"/>
    <w:rsid w:val="00441540"/>
    <w:rsid w:val="00441A45"/>
    <w:rsid w:val="00442251"/>
    <w:rsid w:val="0044268F"/>
    <w:rsid w:val="004426E9"/>
    <w:rsid w:val="00442C94"/>
    <w:rsid w:val="00442EFB"/>
    <w:rsid w:val="004435E9"/>
    <w:rsid w:val="00443688"/>
    <w:rsid w:val="004437CF"/>
    <w:rsid w:val="004438BB"/>
    <w:rsid w:val="0044424C"/>
    <w:rsid w:val="00444843"/>
    <w:rsid w:val="00444C09"/>
    <w:rsid w:val="004450B1"/>
    <w:rsid w:val="00445573"/>
    <w:rsid w:val="004456A6"/>
    <w:rsid w:val="0044574C"/>
    <w:rsid w:val="00445B38"/>
    <w:rsid w:val="00445F3E"/>
    <w:rsid w:val="00446883"/>
    <w:rsid w:val="00446B65"/>
    <w:rsid w:val="00446CB2"/>
    <w:rsid w:val="004471F6"/>
    <w:rsid w:val="004472E5"/>
    <w:rsid w:val="004472FD"/>
    <w:rsid w:val="0044747C"/>
    <w:rsid w:val="004474ED"/>
    <w:rsid w:val="004478AD"/>
    <w:rsid w:val="00447BC6"/>
    <w:rsid w:val="00447E59"/>
    <w:rsid w:val="00447F17"/>
    <w:rsid w:val="00450106"/>
    <w:rsid w:val="00450F3E"/>
    <w:rsid w:val="0045153B"/>
    <w:rsid w:val="004518C5"/>
    <w:rsid w:val="00451BEA"/>
    <w:rsid w:val="00452198"/>
    <w:rsid w:val="004523E9"/>
    <w:rsid w:val="0045243C"/>
    <w:rsid w:val="004525A8"/>
    <w:rsid w:val="00452D61"/>
    <w:rsid w:val="00453243"/>
    <w:rsid w:val="004532AB"/>
    <w:rsid w:val="004535EF"/>
    <w:rsid w:val="00453991"/>
    <w:rsid w:val="00453999"/>
    <w:rsid w:val="00453B48"/>
    <w:rsid w:val="00453C0E"/>
    <w:rsid w:val="00453D33"/>
    <w:rsid w:val="00453E74"/>
    <w:rsid w:val="00453F5B"/>
    <w:rsid w:val="00454316"/>
    <w:rsid w:val="004549D3"/>
    <w:rsid w:val="00454F55"/>
    <w:rsid w:val="00455080"/>
    <w:rsid w:val="004555E0"/>
    <w:rsid w:val="00455686"/>
    <w:rsid w:val="00455690"/>
    <w:rsid w:val="00455925"/>
    <w:rsid w:val="00455A65"/>
    <w:rsid w:val="00455C0D"/>
    <w:rsid w:val="00455C85"/>
    <w:rsid w:val="00456451"/>
    <w:rsid w:val="00456F64"/>
    <w:rsid w:val="004574B3"/>
    <w:rsid w:val="00457857"/>
    <w:rsid w:val="0045786A"/>
    <w:rsid w:val="004578F5"/>
    <w:rsid w:val="00457C2E"/>
    <w:rsid w:val="00457CC6"/>
    <w:rsid w:val="00457FA7"/>
    <w:rsid w:val="00460468"/>
    <w:rsid w:val="00460482"/>
    <w:rsid w:val="00460864"/>
    <w:rsid w:val="00460DF2"/>
    <w:rsid w:val="00460E03"/>
    <w:rsid w:val="00460EAD"/>
    <w:rsid w:val="00460FC5"/>
    <w:rsid w:val="004611D9"/>
    <w:rsid w:val="00461435"/>
    <w:rsid w:val="00461674"/>
    <w:rsid w:val="00461F57"/>
    <w:rsid w:val="00462120"/>
    <w:rsid w:val="004621E4"/>
    <w:rsid w:val="00462583"/>
    <w:rsid w:val="0046291C"/>
    <w:rsid w:val="00462EB1"/>
    <w:rsid w:val="00463346"/>
    <w:rsid w:val="00463669"/>
    <w:rsid w:val="0046381A"/>
    <w:rsid w:val="00463B14"/>
    <w:rsid w:val="00463B5C"/>
    <w:rsid w:val="00463BA3"/>
    <w:rsid w:val="00463BE3"/>
    <w:rsid w:val="00463D1C"/>
    <w:rsid w:val="00463D29"/>
    <w:rsid w:val="00463FD9"/>
    <w:rsid w:val="00464126"/>
    <w:rsid w:val="00464361"/>
    <w:rsid w:val="00464551"/>
    <w:rsid w:val="00464A03"/>
    <w:rsid w:val="004655C8"/>
    <w:rsid w:val="00465BE2"/>
    <w:rsid w:val="004663BF"/>
    <w:rsid w:val="004663C0"/>
    <w:rsid w:val="00466875"/>
    <w:rsid w:val="00466B98"/>
    <w:rsid w:val="004676ED"/>
    <w:rsid w:val="0047054D"/>
    <w:rsid w:val="004705C9"/>
    <w:rsid w:val="00470932"/>
    <w:rsid w:val="0047122B"/>
    <w:rsid w:val="00471381"/>
    <w:rsid w:val="004714AE"/>
    <w:rsid w:val="004714CA"/>
    <w:rsid w:val="004714F9"/>
    <w:rsid w:val="00471B96"/>
    <w:rsid w:val="004721CC"/>
    <w:rsid w:val="004723C7"/>
    <w:rsid w:val="004729CE"/>
    <w:rsid w:val="00472C33"/>
    <w:rsid w:val="00473526"/>
    <w:rsid w:val="004736A7"/>
    <w:rsid w:val="00473853"/>
    <w:rsid w:val="00473D98"/>
    <w:rsid w:val="00473F72"/>
    <w:rsid w:val="00474066"/>
    <w:rsid w:val="00474352"/>
    <w:rsid w:val="00474750"/>
    <w:rsid w:val="004747D7"/>
    <w:rsid w:val="00474EB4"/>
    <w:rsid w:val="00475282"/>
    <w:rsid w:val="004755DE"/>
    <w:rsid w:val="004757E0"/>
    <w:rsid w:val="00475BE8"/>
    <w:rsid w:val="00475C58"/>
    <w:rsid w:val="00475F6C"/>
    <w:rsid w:val="004760C0"/>
    <w:rsid w:val="004767D3"/>
    <w:rsid w:val="00476A84"/>
    <w:rsid w:val="00476C4D"/>
    <w:rsid w:val="00476FA6"/>
    <w:rsid w:val="00477188"/>
    <w:rsid w:val="004772F8"/>
    <w:rsid w:val="0047732B"/>
    <w:rsid w:val="00477EA2"/>
    <w:rsid w:val="0048043D"/>
    <w:rsid w:val="00480949"/>
    <w:rsid w:val="00480B3E"/>
    <w:rsid w:val="004811CB"/>
    <w:rsid w:val="004813C4"/>
    <w:rsid w:val="0048153E"/>
    <w:rsid w:val="004819E3"/>
    <w:rsid w:val="004820B7"/>
    <w:rsid w:val="00482144"/>
    <w:rsid w:val="00482555"/>
    <w:rsid w:val="00482CD7"/>
    <w:rsid w:val="004830EA"/>
    <w:rsid w:val="004840CB"/>
    <w:rsid w:val="004840F0"/>
    <w:rsid w:val="0048495E"/>
    <w:rsid w:val="0048499E"/>
    <w:rsid w:val="00484A10"/>
    <w:rsid w:val="00484C45"/>
    <w:rsid w:val="004853B2"/>
    <w:rsid w:val="004853C5"/>
    <w:rsid w:val="0048546E"/>
    <w:rsid w:val="004855F7"/>
    <w:rsid w:val="00485DB6"/>
    <w:rsid w:val="00485FA8"/>
    <w:rsid w:val="00486665"/>
    <w:rsid w:val="0048691D"/>
    <w:rsid w:val="00486A65"/>
    <w:rsid w:val="00486D0B"/>
    <w:rsid w:val="00486DEE"/>
    <w:rsid w:val="004876C8"/>
    <w:rsid w:val="00487A19"/>
    <w:rsid w:val="00487B91"/>
    <w:rsid w:val="00487D44"/>
    <w:rsid w:val="00487DAD"/>
    <w:rsid w:val="00487DD4"/>
    <w:rsid w:val="00487E5B"/>
    <w:rsid w:val="004900B2"/>
    <w:rsid w:val="004901D1"/>
    <w:rsid w:val="00490410"/>
    <w:rsid w:val="00490C33"/>
    <w:rsid w:val="00491051"/>
    <w:rsid w:val="00491138"/>
    <w:rsid w:val="0049116B"/>
    <w:rsid w:val="00491878"/>
    <w:rsid w:val="004918CE"/>
    <w:rsid w:val="0049197C"/>
    <w:rsid w:val="00491A0E"/>
    <w:rsid w:val="00491F62"/>
    <w:rsid w:val="00492007"/>
    <w:rsid w:val="00492163"/>
    <w:rsid w:val="00492167"/>
    <w:rsid w:val="00492A91"/>
    <w:rsid w:val="004931DD"/>
    <w:rsid w:val="0049328E"/>
    <w:rsid w:val="004934DA"/>
    <w:rsid w:val="004939B0"/>
    <w:rsid w:val="00493C4C"/>
    <w:rsid w:val="00493F4C"/>
    <w:rsid w:val="0049405F"/>
    <w:rsid w:val="004943F0"/>
    <w:rsid w:val="004947AA"/>
    <w:rsid w:val="00494830"/>
    <w:rsid w:val="0049488B"/>
    <w:rsid w:val="0049489B"/>
    <w:rsid w:val="004949E8"/>
    <w:rsid w:val="00494A5B"/>
    <w:rsid w:val="00494AEF"/>
    <w:rsid w:val="00494E17"/>
    <w:rsid w:val="00494E39"/>
    <w:rsid w:val="0049538D"/>
    <w:rsid w:val="004956CB"/>
    <w:rsid w:val="004957D5"/>
    <w:rsid w:val="004959F2"/>
    <w:rsid w:val="004959F5"/>
    <w:rsid w:val="00495B09"/>
    <w:rsid w:val="00495B8E"/>
    <w:rsid w:val="00496355"/>
    <w:rsid w:val="00496373"/>
    <w:rsid w:val="004963A4"/>
    <w:rsid w:val="00496A1F"/>
    <w:rsid w:val="00496AF7"/>
    <w:rsid w:val="00496BFC"/>
    <w:rsid w:val="00496CEC"/>
    <w:rsid w:val="00496FA9"/>
    <w:rsid w:val="004977BA"/>
    <w:rsid w:val="00497974"/>
    <w:rsid w:val="00497E53"/>
    <w:rsid w:val="004A0160"/>
    <w:rsid w:val="004A01CE"/>
    <w:rsid w:val="004A0535"/>
    <w:rsid w:val="004A0BA0"/>
    <w:rsid w:val="004A0C18"/>
    <w:rsid w:val="004A0CAA"/>
    <w:rsid w:val="004A0F17"/>
    <w:rsid w:val="004A1060"/>
    <w:rsid w:val="004A130A"/>
    <w:rsid w:val="004A1ADE"/>
    <w:rsid w:val="004A1C11"/>
    <w:rsid w:val="004A1E7F"/>
    <w:rsid w:val="004A2A89"/>
    <w:rsid w:val="004A2D89"/>
    <w:rsid w:val="004A32DF"/>
    <w:rsid w:val="004A3702"/>
    <w:rsid w:val="004A3BB8"/>
    <w:rsid w:val="004A3BF1"/>
    <w:rsid w:val="004A3C3B"/>
    <w:rsid w:val="004A3D23"/>
    <w:rsid w:val="004A3D97"/>
    <w:rsid w:val="004A47C1"/>
    <w:rsid w:val="004A4A29"/>
    <w:rsid w:val="004A4BF0"/>
    <w:rsid w:val="004A4F9E"/>
    <w:rsid w:val="004A5194"/>
    <w:rsid w:val="004A55B4"/>
    <w:rsid w:val="004A5941"/>
    <w:rsid w:val="004A599E"/>
    <w:rsid w:val="004A5AA8"/>
    <w:rsid w:val="004A5E3D"/>
    <w:rsid w:val="004A6048"/>
    <w:rsid w:val="004A6103"/>
    <w:rsid w:val="004A66DC"/>
    <w:rsid w:val="004A6FFF"/>
    <w:rsid w:val="004A7109"/>
    <w:rsid w:val="004A76C7"/>
    <w:rsid w:val="004A770A"/>
    <w:rsid w:val="004A7712"/>
    <w:rsid w:val="004A7D24"/>
    <w:rsid w:val="004A7DBB"/>
    <w:rsid w:val="004A7E38"/>
    <w:rsid w:val="004A7EB2"/>
    <w:rsid w:val="004A7F60"/>
    <w:rsid w:val="004A7FCF"/>
    <w:rsid w:val="004B023B"/>
    <w:rsid w:val="004B0C1C"/>
    <w:rsid w:val="004B0DE2"/>
    <w:rsid w:val="004B0E9E"/>
    <w:rsid w:val="004B1410"/>
    <w:rsid w:val="004B1469"/>
    <w:rsid w:val="004B14DA"/>
    <w:rsid w:val="004B166C"/>
    <w:rsid w:val="004B1D11"/>
    <w:rsid w:val="004B1E99"/>
    <w:rsid w:val="004B1EB1"/>
    <w:rsid w:val="004B206F"/>
    <w:rsid w:val="004B23CA"/>
    <w:rsid w:val="004B2493"/>
    <w:rsid w:val="004B2615"/>
    <w:rsid w:val="004B28F4"/>
    <w:rsid w:val="004B2B73"/>
    <w:rsid w:val="004B3637"/>
    <w:rsid w:val="004B40A2"/>
    <w:rsid w:val="004B414A"/>
    <w:rsid w:val="004B42E0"/>
    <w:rsid w:val="004B4425"/>
    <w:rsid w:val="004B4757"/>
    <w:rsid w:val="004B488D"/>
    <w:rsid w:val="004B4930"/>
    <w:rsid w:val="004B4DDA"/>
    <w:rsid w:val="004B529A"/>
    <w:rsid w:val="004B563F"/>
    <w:rsid w:val="004B5D73"/>
    <w:rsid w:val="004B5EB6"/>
    <w:rsid w:val="004B6189"/>
    <w:rsid w:val="004B6558"/>
    <w:rsid w:val="004B6732"/>
    <w:rsid w:val="004B68D3"/>
    <w:rsid w:val="004B69BF"/>
    <w:rsid w:val="004B75F5"/>
    <w:rsid w:val="004B7605"/>
    <w:rsid w:val="004B7B97"/>
    <w:rsid w:val="004C00C9"/>
    <w:rsid w:val="004C0327"/>
    <w:rsid w:val="004C07EC"/>
    <w:rsid w:val="004C0913"/>
    <w:rsid w:val="004C0CFB"/>
    <w:rsid w:val="004C0E76"/>
    <w:rsid w:val="004C0E94"/>
    <w:rsid w:val="004C10C9"/>
    <w:rsid w:val="004C132F"/>
    <w:rsid w:val="004C14EA"/>
    <w:rsid w:val="004C164C"/>
    <w:rsid w:val="004C223B"/>
    <w:rsid w:val="004C23D6"/>
    <w:rsid w:val="004C25FD"/>
    <w:rsid w:val="004C27F3"/>
    <w:rsid w:val="004C2C41"/>
    <w:rsid w:val="004C2C42"/>
    <w:rsid w:val="004C2D8E"/>
    <w:rsid w:val="004C2E62"/>
    <w:rsid w:val="004C2F61"/>
    <w:rsid w:val="004C3114"/>
    <w:rsid w:val="004C35FF"/>
    <w:rsid w:val="004C3B66"/>
    <w:rsid w:val="004C3E50"/>
    <w:rsid w:val="004C41C8"/>
    <w:rsid w:val="004C451E"/>
    <w:rsid w:val="004C46B5"/>
    <w:rsid w:val="004C4A09"/>
    <w:rsid w:val="004C4C0B"/>
    <w:rsid w:val="004C4D90"/>
    <w:rsid w:val="004C4EC8"/>
    <w:rsid w:val="004C4FB7"/>
    <w:rsid w:val="004C5051"/>
    <w:rsid w:val="004C534B"/>
    <w:rsid w:val="004C53BF"/>
    <w:rsid w:val="004C552B"/>
    <w:rsid w:val="004C5652"/>
    <w:rsid w:val="004C57FE"/>
    <w:rsid w:val="004C609E"/>
    <w:rsid w:val="004C6B6E"/>
    <w:rsid w:val="004C6C7A"/>
    <w:rsid w:val="004C7898"/>
    <w:rsid w:val="004C7A0D"/>
    <w:rsid w:val="004C7C8A"/>
    <w:rsid w:val="004C7C8D"/>
    <w:rsid w:val="004D0093"/>
    <w:rsid w:val="004D0A8D"/>
    <w:rsid w:val="004D0F74"/>
    <w:rsid w:val="004D11BC"/>
    <w:rsid w:val="004D13B9"/>
    <w:rsid w:val="004D14DC"/>
    <w:rsid w:val="004D1FB1"/>
    <w:rsid w:val="004D2A42"/>
    <w:rsid w:val="004D2F7D"/>
    <w:rsid w:val="004D2F9C"/>
    <w:rsid w:val="004D3440"/>
    <w:rsid w:val="004D3BEE"/>
    <w:rsid w:val="004D3CAF"/>
    <w:rsid w:val="004D4138"/>
    <w:rsid w:val="004D4370"/>
    <w:rsid w:val="004D4702"/>
    <w:rsid w:val="004D497B"/>
    <w:rsid w:val="004D4AB8"/>
    <w:rsid w:val="004D4CDB"/>
    <w:rsid w:val="004D4D09"/>
    <w:rsid w:val="004D4E22"/>
    <w:rsid w:val="004D4E71"/>
    <w:rsid w:val="004D5168"/>
    <w:rsid w:val="004D576B"/>
    <w:rsid w:val="004D610D"/>
    <w:rsid w:val="004D6166"/>
    <w:rsid w:val="004D6500"/>
    <w:rsid w:val="004D67DD"/>
    <w:rsid w:val="004D6A55"/>
    <w:rsid w:val="004D6A75"/>
    <w:rsid w:val="004D6C57"/>
    <w:rsid w:val="004D6C7A"/>
    <w:rsid w:val="004D72B2"/>
    <w:rsid w:val="004D73D3"/>
    <w:rsid w:val="004D746F"/>
    <w:rsid w:val="004D74B6"/>
    <w:rsid w:val="004D7CAD"/>
    <w:rsid w:val="004D7D14"/>
    <w:rsid w:val="004D7E21"/>
    <w:rsid w:val="004E0339"/>
    <w:rsid w:val="004E034E"/>
    <w:rsid w:val="004E06DC"/>
    <w:rsid w:val="004E0926"/>
    <w:rsid w:val="004E1159"/>
    <w:rsid w:val="004E1BE3"/>
    <w:rsid w:val="004E2228"/>
    <w:rsid w:val="004E2FBE"/>
    <w:rsid w:val="004E32F6"/>
    <w:rsid w:val="004E3CD5"/>
    <w:rsid w:val="004E418C"/>
    <w:rsid w:val="004E4233"/>
    <w:rsid w:val="004E42D8"/>
    <w:rsid w:val="004E4373"/>
    <w:rsid w:val="004E45B7"/>
    <w:rsid w:val="004E4849"/>
    <w:rsid w:val="004E4EFB"/>
    <w:rsid w:val="004E5050"/>
    <w:rsid w:val="004E52D5"/>
    <w:rsid w:val="004E5407"/>
    <w:rsid w:val="004E540D"/>
    <w:rsid w:val="004E55D9"/>
    <w:rsid w:val="004E5D14"/>
    <w:rsid w:val="004E61FF"/>
    <w:rsid w:val="004E62A5"/>
    <w:rsid w:val="004E62DD"/>
    <w:rsid w:val="004E66BE"/>
    <w:rsid w:val="004E69D7"/>
    <w:rsid w:val="004E6BF5"/>
    <w:rsid w:val="004E73DE"/>
    <w:rsid w:val="004E7716"/>
    <w:rsid w:val="004E77B1"/>
    <w:rsid w:val="004E7AA3"/>
    <w:rsid w:val="004F040D"/>
    <w:rsid w:val="004F05B0"/>
    <w:rsid w:val="004F07D2"/>
    <w:rsid w:val="004F0807"/>
    <w:rsid w:val="004F0A65"/>
    <w:rsid w:val="004F0BB0"/>
    <w:rsid w:val="004F0BC3"/>
    <w:rsid w:val="004F1124"/>
    <w:rsid w:val="004F143B"/>
    <w:rsid w:val="004F198F"/>
    <w:rsid w:val="004F1A30"/>
    <w:rsid w:val="004F2581"/>
    <w:rsid w:val="004F2AB2"/>
    <w:rsid w:val="004F31FE"/>
    <w:rsid w:val="004F366A"/>
    <w:rsid w:val="004F3767"/>
    <w:rsid w:val="004F3862"/>
    <w:rsid w:val="004F391A"/>
    <w:rsid w:val="004F393F"/>
    <w:rsid w:val="004F3A7A"/>
    <w:rsid w:val="004F3CB3"/>
    <w:rsid w:val="004F3D04"/>
    <w:rsid w:val="004F3E66"/>
    <w:rsid w:val="004F3F58"/>
    <w:rsid w:val="004F3F6E"/>
    <w:rsid w:val="004F3FF0"/>
    <w:rsid w:val="004F419B"/>
    <w:rsid w:val="004F420F"/>
    <w:rsid w:val="004F44CC"/>
    <w:rsid w:val="004F4B59"/>
    <w:rsid w:val="004F500C"/>
    <w:rsid w:val="004F515A"/>
    <w:rsid w:val="004F5A8C"/>
    <w:rsid w:val="004F5CDF"/>
    <w:rsid w:val="004F60BF"/>
    <w:rsid w:val="004F627E"/>
    <w:rsid w:val="004F6466"/>
    <w:rsid w:val="004F67DB"/>
    <w:rsid w:val="004F6B14"/>
    <w:rsid w:val="004F6FD5"/>
    <w:rsid w:val="004F7470"/>
    <w:rsid w:val="004F78BB"/>
    <w:rsid w:val="004F7DE2"/>
    <w:rsid w:val="0050003F"/>
    <w:rsid w:val="00500147"/>
    <w:rsid w:val="00500C7D"/>
    <w:rsid w:val="005011FD"/>
    <w:rsid w:val="00501650"/>
    <w:rsid w:val="005016CF"/>
    <w:rsid w:val="00501A24"/>
    <w:rsid w:val="00501A6D"/>
    <w:rsid w:val="00501B52"/>
    <w:rsid w:val="00501CE7"/>
    <w:rsid w:val="0050219B"/>
    <w:rsid w:val="005024E7"/>
    <w:rsid w:val="00502711"/>
    <w:rsid w:val="00502B25"/>
    <w:rsid w:val="005033D9"/>
    <w:rsid w:val="005039A3"/>
    <w:rsid w:val="00503F64"/>
    <w:rsid w:val="0050455C"/>
    <w:rsid w:val="005048D9"/>
    <w:rsid w:val="005050E5"/>
    <w:rsid w:val="005052B0"/>
    <w:rsid w:val="00505301"/>
    <w:rsid w:val="005054CD"/>
    <w:rsid w:val="005056F8"/>
    <w:rsid w:val="00505733"/>
    <w:rsid w:val="005057B0"/>
    <w:rsid w:val="00505826"/>
    <w:rsid w:val="00505E64"/>
    <w:rsid w:val="00506519"/>
    <w:rsid w:val="00506CCB"/>
    <w:rsid w:val="00506D96"/>
    <w:rsid w:val="00506DC8"/>
    <w:rsid w:val="005074B7"/>
    <w:rsid w:val="0050762D"/>
    <w:rsid w:val="00507B4A"/>
    <w:rsid w:val="00510E8E"/>
    <w:rsid w:val="0051100C"/>
    <w:rsid w:val="0051123B"/>
    <w:rsid w:val="00511599"/>
    <w:rsid w:val="005116DD"/>
    <w:rsid w:val="005117FD"/>
    <w:rsid w:val="00511970"/>
    <w:rsid w:val="00511C38"/>
    <w:rsid w:val="00511D05"/>
    <w:rsid w:val="00512901"/>
    <w:rsid w:val="00512B62"/>
    <w:rsid w:val="00512C44"/>
    <w:rsid w:val="00512C76"/>
    <w:rsid w:val="00512E64"/>
    <w:rsid w:val="00512E9F"/>
    <w:rsid w:val="00512FD6"/>
    <w:rsid w:val="00513179"/>
    <w:rsid w:val="0051375E"/>
    <w:rsid w:val="0051398D"/>
    <w:rsid w:val="00513A01"/>
    <w:rsid w:val="00513A83"/>
    <w:rsid w:val="00513B1B"/>
    <w:rsid w:val="00513C40"/>
    <w:rsid w:val="00513E54"/>
    <w:rsid w:val="005140DE"/>
    <w:rsid w:val="00514260"/>
    <w:rsid w:val="00514479"/>
    <w:rsid w:val="005146A0"/>
    <w:rsid w:val="00514764"/>
    <w:rsid w:val="005149DA"/>
    <w:rsid w:val="00515907"/>
    <w:rsid w:val="00515F10"/>
    <w:rsid w:val="00516012"/>
    <w:rsid w:val="005162BD"/>
    <w:rsid w:val="005164DB"/>
    <w:rsid w:val="0051673D"/>
    <w:rsid w:val="0051682A"/>
    <w:rsid w:val="00516DBB"/>
    <w:rsid w:val="00517409"/>
    <w:rsid w:val="0051757B"/>
    <w:rsid w:val="00517839"/>
    <w:rsid w:val="005179C0"/>
    <w:rsid w:val="00517C88"/>
    <w:rsid w:val="00517E54"/>
    <w:rsid w:val="00517F46"/>
    <w:rsid w:val="00520098"/>
    <w:rsid w:val="00520474"/>
    <w:rsid w:val="0052051A"/>
    <w:rsid w:val="00520EC1"/>
    <w:rsid w:val="00521493"/>
    <w:rsid w:val="0052163B"/>
    <w:rsid w:val="00521839"/>
    <w:rsid w:val="00521D66"/>
    <w:rsid w:val="00521F2B"/>
    <w:rsid w:val="00522680"/>
    <w:rsid w:val="00522688"/>
    <w:rsid w:val="005229E1"/>
    <w:rsid w:val="00522B5E"/>
    <w:rsid w:val="00522D30"/>
    <w:rsid w:val="00522D53"/>
    <w:rsid w:val="00523024"/>
    <w:rsid w:val="005230F7"/>
    <w:rsid w:val="00523106"/>
    <w:rsid w:val="0052323B"/>
    <w:rsid w:val="005237A8"/>
    <w:rsid w:val="0052389B"/>
    <w:rsid w:val="00523E8A"/>
    <w:rsid w:val="0052404A"/>
    <w:rsid w:val="0052415C"/>
    <w:rsid w:val="005241EA"/>
    <w:rsid w:val="00524342"/>
    <w:rsid w:val="005243BA"/>
    <w:rsid w:val="0052499F"/>
    <w:rsid w:val="00524E45"/>
    <w:rsid w:val="00524F15"/>
    <w:rsid w:val="005252B9"/>
    <w:rsid w:val="005256C9"/>
    <w:rsid w:val="00525D37"/>
    <w:rsid w:val="00525FC6"/>
    <w:rsid w:val="00526130"/>
    <w:rsid w:val="00526320"/>
    <w:rsid w:val="00526536"/>
    <w:rsid w:val="00526686"/>
    <w:rsid w:val="00526904"/>
    <w:rsid w:val="00526CC0"/>
    <w:rsid w:val="005270AC"/>
    <w:rsid w:val="00527367"/>
    <w:rsid w:val="0052744F"/>
    <w:rsid w:val="005276E3"/>
    <w:rsid w:val="0052779C"/>
    <w:rsid w:val="00527D0F"/>
    <w:rsid w:val="005302F1"/>
    <w:rsid w:val="005305C4"/>
    <w:rsid w:val="0053072C"/>
    <w:rsid w:val="005308B2"/>
    <w:rsid w:val="0053104E"/>
    <w:rsid w:val="00531260"/>
    <w:rsid w:val="00531D19"/>
    <w:rsid w:val="00531DDA"/>
    <w:rsid w:val="00532312"/>
    <w:rsid w:val="00532465"/>
    <w:rsid w:val="00532507"/>
    <w:rsid w:val="00532CE1"/>
    <w:rsid w:val="00532DAE"/>
    <w:rsid w:val="00533108"/>
    <w:rsid w:val="00533191"/>
    <w:rsid w:val="005332A1"/>
    <w:rsid w:val="005336A2"/>
    <w:rsid w:val="0053386B"/>
    <w:rsid w:val="00533B5C"/>
    <w:rsid w:val="00533B94"/>
    <w:rsid w:val="00533EA7"/>
    <w:rsid w:val="00533FD6"/>
    <w:rsid w:val="005343D4"/>
    <w:rsid w:val="005345F9"/>
    <w:rsid w:val="005346B4"/>
    <w:rsid w:val="00534DAD"/>
    <w:rsid w:val="005354D0"/>
    <w:rsid w:val="00535A3A"/>
    <w:rsid w:val="00535A69"/>
    <w:rsid w:val="00535B04"/>
    <w:rsid w:val="00535B8A"/>
    <w:rsid w:val="00535BE7"/>
    <w:rsid w:val="00535C2B"/>
    <w:rsid w:val="00535FD9"/>
    <w:rsid w:val="0053617F"/>
    <w:rsid w:val="00536311"/>
    <w:rsid w:val="005364F7"/>
    <w:rsid w:val="00536715"/>
    <w:rsid w:val="00536FC5"/>
    <w:rsid w:val="00537650"/>
    <w:rsid w:val="00537AAB"/>
    <w:rsid w:val="00537BFA"/>
    <w:rsid w:val="00540136"/>
    <w:rsid w:val="00540853"/>
    <w:rsid w:val="00540ADA"/>
    <w:rsid w:val="00540B2D"/>
    <w:rsid w:val="00540B8E"/>
    <w:rsid w:val="0054123C"/>
    <w:rsid w:val="005412D0"/>
    <w:rsid w:val="0054135C"/>
    <w:rsid w:val="00541924"/>
    <w:rsid w:val="00541EAD"/>
    <w:rsid w:val="00541FBB"/>
    <w:rsid w:val="0054219D"/>
    <w:rsid w:val="00542578"/>
    <w:rsid w:val="005427DE"/>
    <w:rsid w:val="005427FF"/>
    <w:rsid w:val="005428AF"/>
    <w:rsid w:val="00542B56"/>
    <w:rsid w:val="00542DAE"/>
    <w:rsid w:val="00543131"/>
    <w:rsid w:val="00543B65"/>
    <w:rsid w:val="00543D9F"/>
    <w:rsid w:val="00543EEF"/>
    <w:rsid w:val="00544103"/>
    <w:rsid w:val="00544A7B"/>
    <w:rsid w:val="0054515A"/>
    <w:rsid w:val="00546507"/>
    <w:rsid w:val="00546775"/>
    <w:rsid w:val="005467A5"/>
    <w:rsid w:val="005468B3"/>
    <w:rsid w:val="00546D48"/>
    <w:rsid w:val="00546EF7"/>
    <w:rsid w:val="00547372"/>
    <w:rsid w:val="005479D5"/>
    <w:rsid w:val="0055002B"/>
    <w:rsid w:val="0055023D"/>
    <w:rsid w:val="005507D9"/>
    <w:rsid w:val="00550A4E"/>
    <w:rsid w:val="00550BEB"/>
    <w:rsid w:val="00550CF3"/>
    <w:rsid w:val="00550F8A"/>
    <w:rsid w:val="00551144"/>
    <w:rsid w:val="0055161A"/>
    <w:rsid w:val="00551856"/>
    <w:rsid w:val="005519F1"/>
    <w:rsid w:val="005520C3"/>
    <w:rsid w:val="005522A3"/>
    <w:rsid w:val="0055265C"/>
    <w:rsid w:val="00552864"/>
    <w:rsid w:val="005528F9"/>
    <w:rsid w:val="00552AFC"/>
    <w:rsid w:val="00552B97"/>
    <w:rsid w:val="00552BE5"/>
    <w:rsid w:val="00552CC8"/>
    <w:rsid w:val="00552CFC"/>
    <w:rsid w:val="005534CE"/>
    <w:rsid w:val="00553634"/>
    <w:rsid w:val="005536FA"/>
    <w:rsid w:val="005539BE"/>
    <w:rsid w:val="005540CB"/>
    <w:rsid w:val="0055439F"/>
    <w:rsid w:val="00554A7F"/>
    <w:rsid w:val="00554B37"/>
    <w:rsid w:val="00554BCC"/>
    <w:rsid w:val="00554BFB"/>
    <w:rsid w:val="00554E0A"/>
    <w:rsid w:val="00555365"/>
    <w:rsid w:val="00555763"/>
    <w:rsid w:val="005559FF"/>
    <w:rsid w:val="00555A71"/>
    <w:rsid w:val="00555AAE"/>
    <w:rsid w:val="00555B87"/>
    <w:rsid w:val="005560EF"/>
    <w:rsid w:val="005560FB"/>
    <w:rsid w:val="005564EE"/>
    <w:rsid w:val="00556576"/>
    <w:rsid w:val="00556908"/>
    <w:rsid w:val="005569BA"/>
    <w:rsid w:val="00556EDA"/>
    <w:rsid w:val="00556F98"/>
    <w:rsid w:val="00557009"/>
    <w:rsid w:val="00557209"/>
    <w:rsid w:val="005575C5"/>
    <w:rsid w:val="005576B8"/>
    <w:rsid w:val="00557F86"/>
    <w:rsid w:val="0056010C"/>
    <w:rsid w:val="005605FF"/>
    <w:rsid w:val="005607A9"/>
    <w:rsid w:val="00560CFD"/>
    <w:rsid w:val="00560FF2"/>
    <w:rsid w:val="005610CA"/>
    <w:rsid w:val="005612E7"/>
    <w:rsid w:val="00561311"/>
    <w:rsid w:val="00561620"/>
    <w:rsid w:val="00561756"/>
    <w:rsid w:val="00561932"/>
    <w:rsid w:val="00561BE9"/>
    <w:rsid w:val="00561FB5"/>
    <w:rsid w:val="005620B4"/>
    <w:rsid w:val="0056275F"/>
    <w:rsid w:val="005627F0"/>
    <w:rsid w:val="00562BEF"/>
    <w:rsid w:val="00562D9F"/>
    <w:rsid w:val="00562FEE"/>
    <w:rsid w:val="005630D3"/>
    <w:rsid w:val="005635FA"/>
    <w:rsid w:val="005637C2"/>
    <w:rsid w:val="005638A7"/>
    <w:rsid w:val="00563C64"/>
    <w:rsid w:val="005640A6"/>
    <w:rsid w:val="005641B8"/>
    <w:rsid w:val="005642A0"/>
    <w:rsid w:val="00564480"/>
    <w:rsid w:val="00564750"/>
    <w:rsid w:val="005647A1"/>
    <w:rsid w:val="0056483E"/>
    <w:rsid w:val="00564BCD"/>
    <w:rsid w:val="0056546D"/>
    <w:rsid w:val="00565550"/>
    <w:rsid w:val="00565810"/>
    <w:rsid w:val="00565C1A"/>
    <w:rsid w:val="00565CBB"/>
    <w:rsid w:val="00565E36"/>
    <w:rsid w:val="00565E70"/>
    <w:rsid w:val="00566363"/>
    <w:rsid w:val="005669A4"/>
    <w:rsid w:val="00567416"/>
    <w:rsid w:val="00567538"/>
    <w:rsid w:val="00567FAC"/>
    <w:rsid w:val="005700FE"/>
    <w:rsid w:val="0057017E"/>
    <w:rsid w:val="0057049B"/>
    <w:rsid w:val="00570661"/>
    <w:rsid w:val="005706D0"/>
    <w:rsid w:val="00570A6C"/>
    <w:rsid w:val="00570F01"/>
    <w:rsid w:val="00570FC6"/>
    <w:rsid w:val="005713CC"/>
    <w:rsid w:val="00571D26"/>
    <w:rsid w:val="00571FF4"/>
    <w:rsid w:val="005725D9"/>
    <w:rsid w:val="00572626"/>
    <w:rsid w:val="0057289D"/>
    <w:rsid w:val="005729DD"/>
    <w:rsid w:val="00573124"/>
    <w:rsid w:val="005731D5"/>
    <w:rsid w:val="00573295"/>
    <w:rsid w:val="005732FF"/>
    <w:rsid w:val="005734CE"/>
    <w:rsid w:val="00573CA2"/>
    <w:rsid w:val="00574047"/>
    <w:rsid w:val="0057429A"/>
    <w:rsid w:val="005743C1"/>
    <w:rsid w:val="00574466"/>
    <w:rsid w:val="0057470A"/>
    <w:rsid w:val="0057486F"/>
    <w:rsid w:val="00574911"/>
    <w:rsid w:val="00574912"/>
    <w:rsid w:val="00574A87"/>
    <w:rsid w:val="00574B50"/>
    <w:rsid w:val="00574E47"/>
    <w:rsid w:val="00574ECF"/>
    <w:rsid w:val="005753F1"/>
    <w:rsid w:val="005755E1"/>
    <w:rsid w:val="0057563A"/>
    <w:rsid w:val="00575E93"/>
    <w:rsid w:val="00575F9E"/>
    <w:rsid w:val="00576463"/>
    <w:rsid w:val="005765A8"/>
    <w:rsid w:val="005765CB"/>
    <w:rsid w:val="0057671E"/>
    <w:rsid w:val="00576DF1"/>
    <w:rsid w:val="0057717C"/>
    <w:rsid w:val="005774D3"/>
    <w:rsid w:val="005776E2"/>
    <w:rsid w:val="005778A1"/>
    <w:rsid w:val="00577F04"/>
    <w:rsid w:val="00580210"/>
    <w:rsid w:val="00580256"/>
    <w:rsid w:val="005804D3"/>
    <w:rsid w:val="0058073E"/>
    <w:rsid w:val="005808A0"/>
    <w:rsid w:val="00580B81"/>
    <w:rsid w:val="00580BE5"/>
    <w:rsid w:val="00580C5F"/>
    <w:rsid w:val="00581484"/>
    <w:rsid w:val="00581908"/>
    <w:rsid w:val="00581D6E"/>
    <w:rsid w:val="00582075"/>
    <w:rsid w:val="005821DD"/>
    <w:rsid w:val="00582551"/>
    <w:rsid w:val="0058274A"/>
    <w:rsid w:val="00582C20"/>
    <w:rsid w:val="00583A16"/>
    <w:rsid w:val="00583BB0"/>
    <w:rsid w:val="00583D8B"/>
    <w:rsid w:val="00583E71"/>
    <w:rsid w:val="00583FED"/>
    <w:rsid w:val="00584072"/>
    <w:rsid w:val="005842A3"/>
    <w:rsid w:val="0058470F"/>
    <w:rsid w:val="005849D1"/>
    <w:rsid w:val="00585195"/>
    <w:rsid w:val="00585449"/>
    <w:rsid w:val="0058592F"/>
    <w:rsid w:val="00585B0C"/>
    <w:rsid w:val="00585D8B"/>
    <w:rsid w:val="005863CE"/>
    <w:rsid w:val="00586EBD"/>
    <w:rsid w:val="00586FC3"/>
    <w:rsid w:val="00586FE3"/>
    <w:rsid w:val="005872AD"/>
    <w:rsid w:val="005872CF"/>
    <w:rsid w:val="0059048B"/>
    <w:rsid w:val="00590498"/>
    <w:rsid w:val="00590511"/>
    <w:rsid w:val="00590770"/>
    <w:rsid w:val="00590F38"/>
    <w:rsid w:val="005911F4"/>
    <w:rsid w:val="0059175D"/>
    <w:rsid w:val="00591B58"/>
    <w:rsid w:val="00592144"/>
    <w:rsid w:val="0059274E"/>
    <w:rsid w:val="005927F7"/>
    <w:rsid w:val="00592A90"/>
    <w:rsid w:val="00592A95"/>
    <w:rsid w:val="00592B7D"/>
    <w:rsid w:val="00592B83"/>
    <w:rsid w:val="005930A6"/>
    <w:rsid w:val="005931F4"/>
    <w:rsid w:val="00593746"/>
    <w:rsid w:val="0059375C"/>
    <w:rsid w:val="005938E0"/>
    <w:rsid w:val="00593D30"/>
    <w:rsid w:val="0059402F"/>
    <w:rsid w:val="00594104"/>
    <w:rsid w:val="00594125"/>
    <w:rsid w:val="0059434F"/>
    <w:rsid w:val="00594489"/>
    <w:rsid w:val="00594678"/>
    <w:rsid w:val="00594714"/>
    <w:rsid w:val="00594B52"/>
    <w:rsid w:val="00594DCF"/>
    <w:rsid w:val="0059505E"/>
    <w:rsid w:val="00595103"/>
    <w:rsid w:val="0059527D"/>
    <w:rsid w:val="0059558D"/>
    <w:rsid w:val="005955D9"/>
    <w:rsid w:val="005956A0"/>
    <w:rsid w:val="00595E86"/>
    <w:rsid w:val="00595F79"/>
    <w:rsid w:val="005961B4"/>
    <w:rsid w:val="005962AA"/>
    <w:rsid w:val="005965D9"/>
    <w:rsid w:val="005969AC"/>
    <w:rsid w:val="00596BBC"/>
    <w:rsid w:val="00596EBB"/>
    <w:rsid w:val="00596FB5"/>
    <w:rsid w:val="005973F3"/>
    <w:rsid w:val="0059753D"/>
    <w:rsid w:val="00597674"/>
    <w:rsid w:val="00597A23"/>
    <w:rsid w:val="00597E62"/>
    <w:rsid w:val="00597F38"/>
    <w:rsid w:val="00597FD9"/>
    <w:rsid w:val="005A0326"/>
    <w:rsid w:val="005A03CA"/>
    <w:rsid w:val="005A04D2"/>
    <w:rsid w:val="005A06FE"/>
    <w:rsid w:val="005A10EB"/>
    <w:rsid w:val="005A1253"/>
    <w:rsid w:val="005A169E"/>
    <w:rsid w:val="005A1740"/>
    <w:rsid w:val="005A1AE7"/>
    <w:rsid w:val="005A1AFA"/>
    <w:rsid w:val="005A2256"/>
    <w:rsid w:val="005A245F"/>
    <w:rsid w:val="005A2865"/>
    <w:rsid w:val="005A2A4B"/>
    <w:rsid w:val="005A2B39"/>
    <w:rsid w:val="005A3667"/>
    <w:rsid w:val="005A36A7"/>
    <w:rsid w:val="005A37A1"/>
    <w:rsid w:val="005A39E9"/>
    <w:rsid w:val="005A3E7D"/>
    <w:rsid w:val="005A4AC2"/>
    <w:rsid w:val="005A4C89"/>
    <w:rsid w:val="005A4CD4"/>
    <w:rsid w:val="005A4D09"/>
    <w:rsid w:val="005A56C5"/>
    <w:rsid w:val="005A581A"/>
    <w:rsid w:val="005A5A0B"/>
    <w:rsid w:val="005A5A33"/>
    <w:rsid w:val="005A5A79"/>
    <w:rsid w:val="005A5BA1"/>
    <w:rsid w:val="005A5EA0"/>
    <w:rsid w:val="005A6285"/>
    <w:rsid w:val="005A642B"/>
    <w:rsid w:val="005A6975"/>
    <w:rsid w:val="005A69EB"/>
    <w:rsid w:val="005A6E60"/>
    <w:rsid w:val="005A71D3"/>
    <w:rsid w:val="005A75D3"/>
    <w:rsid w:val="005A78F2"/>
    <w:rsid w:val="005A7B2D"/>
    <w:rsid w:val="005A7B33"/>
    <w:rsid w:val="005A7B60"/>
    <w:rsid w:val="005A7E64"/>
    <w:rsid w:val="005A7F70"/>
    <w:rsid w:val="005A7FAD"/>
    <w:rsid w:val="005B0256"/>
    <w:rsid w:val="005B0289"/>
    <w:rsid w:val="005B04A6"/>
    <w:rsid w:val="005B07EF"/>
    <w:rsid w:val="005B0E44"/>
    <w:rsid w:val="005B163D"/>
    <w:rsid w:val="005B22AF"/>
    <w:rsid w:val="005B262C"/>
    <w:rsid w:val="005B3052"/>
    <w:rsid w:val="005B3194"/>
    <w:rsid w:val="005B338F"/>
    <w:rsid w:val="005B3767"/>
    <w:rsid w:val="005B377A"/>
    <w:rsid w:val="005B3A25"/>
    <w:rsid w:val="005B3BC4"/>
    <w:rsid w:val="005B4513"/>
    <w:rsid w:val="005B483F"/>
    <w:rsid w:val="005B4906"/>
    <w:rsid w:val="005B4BC2"/>
    <w:rsid w:val="005B4F0F"/>
    <w:rsid w:val="005B55AB"/>
    <w:rsid w:val="005B611D"/>
    <w:rsid w:val="005B6214"/>
    <w:rsid w:val="005B630F"/>
    <w:rsid w:val="005B674E"/>
    <w:rsid w:val="005B6819"/>
    <w:rsid w:val="005B699B"/>
    <w:rsid w:val="005B6D7D"/>
    <w:rsid w:val="005B7040"/>
    <w:rsid w:val="005B70F5"/>
    <w:rsid w:val="005B741D"/>
    <w:rsid w:val="005B748A"/>
    <w:rsid w:val="005B756D"/>
    <w:rsid w:val="005B7627"/>
    <w:rsid w:val="005B798B"/>
    <w:rsid w:val="005B7993"/>
    <w:rsid w:val="005B79A4"/>
    <w:rsid w:val="005B7C26"/>
    <w:rsid w:val="005B7E7C"/>
    <w:rsid w:val="005C0169"/>
    <w:rsid w:val="005C04CF"/>
    <w:rsid w:val="005C06D3"/>
    <w:rsid w:val="005C09C3"/>
    <w:rsid w:val="005C0C4E"/>
    <w:rsid w:val="005C0D77"/>
    <w:rsid w:val="005C15BA"/>
    <w:rsid w:val="005C18B2"/>
    <w:rsid w:val="005C1980"/>
    <w:rsid w:val="005C1B4B"/>
    <w:rsid w:val="005C1E48"/>
    <w:rsid w:val="005C2074"/>
    <w:rsid w:val="005C2A99"/>
    <w:rsid w:val="005C2C52"/>
    <w:rsid w:val="005C2C5C"/>
    <w:rsid w:val="005C2DEC"/>
    <w:rsid w:val="005C2EF2"/>
    <w:rsid w:val="005C2FB7"/>
    <w:rsid w:val="005C2FB9"/>
    <w:rsid w:val="005C30A7"/>
    <w:rsid w:val="005C30FD"/>
    <w:rsid w:val="005C3880"/>
    <w:rsid w:val="005C4061"/>
    <w:rsid w:val="005C40FB"/>
    <w:rsid w:val="005C475E"/>
    <w:rsid w:val="005C4ABF"/>
    <w:rsid w:val="005C4B71"/>
    <w:rsid w:val="005C4F55"/>
    <w:rsid w:val="005C4FDE"/>
    <w:rsid w:val="005C50A3"/>
    <w:rsid w:val="005C56EE"/>
    <w:rsid w:val="005C5B96"/>
    <w:rsid w:val="005C5D53"/>
    <w:rsid w:val="005C6554"/>
    <w:rsid w:val="005C67E7"/>
    <w:rsid w:val="005C6A33"/>
    <w:rsid w:val="005C6B2A"/>
    <w:rsid w:val="005C72D6"/>
    <w:rsid w:val="005C776C"/>
    <w:rsid w:val="005C78A2"/>
    <w:rsid w:val="005C7D89"/>
    <w:rsid w:val="005C7EE2"/>
    <w:rsid w:val="005C7EED"/>
    <w:rsid w:val="005D018B"/>
    <w:rsid w:val="005D0341"/>
    <w:rsid w:val="005D0359"/>
    <w:rsid w:val="005D04E2"/>
    <w:rsid w:val="005D0FCE"/>
    <w:rsid w:val="005D10C7"/>
    <w:rsid w:val="005D17BF"/>
    <w:rsid w:val="005D1C8A"/>
    <w:rsid w:val="005D1CE8"/>
    <w:rsid w:val="005D206D"/>
    <w:rsid w:val="005D2077"/>
    <w:rsid w:val="005D24BE"/>
    <w:rsid w:val="005D2622"/>
    <w:rsid w:val="005D2894"/>
    <w:rsid w:val="005D29BC"/>
    <w:rsid w:val="005D2A4B"/>
    <w:rsid w:val="005D2D76"/>
    <w:rsid w:val="005D330D"/>
    <w:rsid w:val="005D333C"/>
    <w:rsid w:val="005D3912"/>
    <w:rsid w:val="005D3B75"/>
    <w:rsid w:val="005D3BC5"/>
    <w:rsid w:val="005D4266"/>
    <w:rsid w:val="005D4462"/>
    <w:rsid w:val="005D4530"/>
    <w:rsid w:val="005D4715"/>
    <w:rsid w:val="005D47F0"/>
    <w:rsid w:val="005D4E3C"/>
    <w:rsid w:val="005D4F7E"/>
    <w:rsid w:val="005D54AD"/>
    <w:rsid w:val="005D5541"/>
    <w:rsid w:val="005D5553"/>
    <w:rsid w:val="005D5A92"/>
    <w:rsid w:val="005D5D1A"/>
    <w:rsid w:val="005D61B8"/>
    <w:rsid w:val="005D6BDB"/>
    <w:rsid w:val="005D6DC8"/>
    <w:rsid w:val="005D7042"/>
    <w:rsid w:val="005D7143"/>
    <w:rsid w:val="005D77DD"/>
    <w:rsid w:val="005D78A5"/>
    <w:rsid w:val="005D79AC"/>
    <w:rsid w:val="005E0144"/>
    <w:rsid w:val="005E0286"/>
    <w:rsid w:val="005E02BF"/>
    <w:rsid w:val="005E03FA"/>
    <w:rsid w:val="005E05D5"/>
    <w:rsid w:val="005E0891"/>
    <w:rsid w:val="005E118F"/>
    <w:rsid w:val="005E1606"/>
    <w:rsid w:val="005E19A2"/>
    <w:rsid w:val="005E1CA4"/>
    <w:rsid w:val="005E205A"/>
    <w:rsid w:val="005E29EF"/>
    <w:rsid w:val="005E2C01"/>
    <w:rsid w:val="005E2D50"/>
    <w:rsid w:val="005E2FD4"/>
    <w:rsid w:val="005E303B"/>
    <w:rsid w:val="005E326C"/>
    <w:rsid w:val="005E32EB"/>
    <w:rsid w:val="005E3706"/>
    <w:rsid w:val="005E39FD"/>
    <w:rsid w:val="005E3AA2"/>
    <w:rsid w:val="005E3D67"/>
    <w:rsid w:val="005E467D"/>
    <w:rsid w:val="005E481D"/>
    <w:rsid w:val="005E4A99"/>
    <w:rsid w:val="005E5003"/>
    <w:rsid w:val="005E5169"/>
    <w:rsid w:val="005E52ED"/>
    <w:rsid w:val="005E55B0"/>
    <w:rsid w:val="005E5639"/>
    <w:rsid w:val="005E5837"/>
    <w:rsid w:val="005E5957"/>
    <w:rsid w:val="005E59B6"/>
    <w:rsid w:val="005E59BD"/>
    <w:rsid w:val="005E5A87"/>
    <w:rsid w:val="005E5B54"/>
    <w:rsid w:val="005E60E5"/>
    <w:rsid w:val="005E626F"/>
    <w:rsid w:val="005E63E2"/>
    <w:rsid w:val="005E6606"/>
    <w:rsid w:val="005E6657"/>
    <w:rsid w:val="005E6D6F"/>
    <w:rsid w:val="005E71A8"/>
    <w:rsid w:val="005E71AE"/>
    <w:rsid w:val="005E7513"/>
    <w:rsid w:val="005E7543"/>
    <w:rsid w:val="005E798F"/>
    <w:rsid w:val="005E7C34"/>
    <w:rsid w:val="005F036B"/>
    <w:rsid w:val="005F05FA"/>
    <w:rsid w:val="005F0AF6"/>
    <w:rsid w:val="005F0D8E"/>
    <w:rsid w:val="005F0DB5"/>
    <w:rsid w:val="005F14E6"/>
    <w:rsid w:val="005F1519"/>
    <w:rsid w:val="005F1728"/>
    <w:rsid w:val="005F1A2A"/>
    <w:rsid w:val="005F1F85"/>
    <w:rsid w:val="005F2096"/>
    <w:rsid w:val="005F2152"/>
    <w:rsid w:val="005F239F"/>
    <w:rsid w:val="005F2793"/>
    <w:rsid w:val="005F28CB"/>
    <w:rsid w:val="005F2ABF"/>
    <w:rsid w:val="005F323E"/>
    <w:rsid w:val="005F398D"/>
    <w:rsid w:val="005F399E"/>
    <w:rsid w:val="005F3E40"/>
    <w:rsid w:val="005F41F7"/>
    <w:rsid w:val="005F47F0"/>
    <w:rsid w:val="005F492B"/>
    <w:rsid w:val="005F49C5"/>
    <w:rsid w:val="005F4BC7"/>
    <w:rsid w:val="005F4CC7"/>
    <w:rsid w:val="005F4EB2"/>
    <w:rsid w:val="005F4F5A"/>
    <w:rsid w:val="005F503E"/>
    <w:rsid w:val="005F5262"/>
    <w:rsid w:val="005F602B"/>
    <w:rsid w:val="005F65B2"/>
    <w:rsid w:val="005F712E"/>
    <w:rsid w:val="005F713F"/>
    <w:rsid w:val="005F71E5"/>
    <w:rsid w:val="005F7282"/>
    <w:rsid w:val="005F734E"/>
    <w:rsid w:val="005F748F"/>
    <w:rsid w:val="005F7757"/>
    <w:rsid w:val="005F776C"/>
    <w:rsid w:val="005F7E13"/>
    <w:rsid w:val="006000C6"/>
    <w:rsid w:val="006002C1"/>
    <w:rsid w:val="00600CD9"/>
    <w:rsid w:val="00600D16"/>
    <w:rsid w:val="00600E59"/>
    <w:rsid w:val="00600EFA"/>
    <w:rsid w:val="006014A0"/>
    <w:rsid w:val="00601BDD"/>
    <w:rsid w:val="00601CCC"/>
    <w:rsid w:val="00601E08"/>
    <w:rsid w:val="00601F37"/>
    <w:rsid w:val="0060239E"/>
    <w:rsid w:val="006027C7"/>
    <w:rsid w:val="00602A9F"/>
    <w:rsid w:val="00602ACD"/>
    <w:rsid w:val="00602C3A"/>
    <w:rsid w:val="00602EF5"/>
    <w:rsid w:val="00602FE4"/>
    <w:rsid w:val="0060309F"/>
    <w:rsid w:val="006030DC"/>
    <w:rsid w:val="006034BF"/>
    <w:rsid w:val="0060358A"/>
    <w:rsid w:val="006037F3"/>
    <w:rsid w:val="00603BE0"/>
    <w:rsid w:val="00603DC2"/>
    <w:rsid w:val="006049CF"/>
    <w:rsid w:val="00604C40"/>
    <w:rsid w:val="00604D44"/>
    <w:rsid w:val="00604DAA"/>
    <w:rsid w:val="00604F15"/>
    <w:rsid w:val="00605176"/>
    <w:rsid w:val="00605687"/>
    <w:rsid w:val="00606721"/>
    <w:rsid w:val="00606A88"/>
    <w:rsid w:val="00606E83"/>
    <w:rsid w:val="00606F60"/>
    <w:rsid w:val="00607302"/>
    <w:rsid w:val="006074D4"/>
    <w:rsid w:val="0060789F"/>
    <w:rsid w:val="00610112"/>
    <w:rsid w:val="006109C4"/>
    <w:rsid w:val="00610B7D"/>
    <w:rsid w:val="00610C77"/>
    <w:rsid w:val="006112CE"/>
    <w:rsid w:val="006114E0"/>
    <w:rsid w:val="006117A2"/>
    <w:rsid w:val="00611E4D"/>
    <w:rsid w:val="00612993"/>
    <w:rsid w:val="006129F3"/>
    <w:rsid w:val="00613577"/>
    <w:rsid w:val="006139B5"/>
    <w:rsid w:val="006139BB"/>
    <w:rsid w:val="00613CA4"/>
    <w:rsid w:val="00614387"/>
    <w:rsid w:val="00614670"/>
    <w:rsid w:val="00614CC7"/>
    <w:rsid w:val="00615816"/>
    <w:rsid w:val="006158AA"/>
    <w:rsid w:val="00615DA8"/>
    <w:rsid w:val="00616205"/>
    <w:rsid w:val="00616410"/>
    <w:rsid w:val="00616621"/>
    <w:rsid w:val="006166F1"/>
    <w:rsid w:val="00616850"/>
    <w:rsid w:val="006169FA"/>
    <w:rsid w:val="00616E33"/>
    <w:rsid w:val="00616E77"/>
    <w:rsid w:val="006170C1"/>
    <w:rsid w:val="00617235"/>
    <w:rsid w:val="006172B3"/>
    <w:rsid w:val="0061743C"/>
    <w:rsid w:val="006178D2"/>
    <w:rsid w:val="00617C67"/>
    <w:rsid w:val="00617D00"/>
    <w:rsid w:val="00617D4F"/>
    <w:rsid w:val="00617F3C"/>
    <w:rsid w:val="00617F4E"/>
    <w:rsid w:val="00620169"/>
    <w:rsid w:val="00620499"/>
    <w:rsid w:val="006205E5"/>
    <w:rsid w:val="006207B8"/>
    <w:rsid w:val="00620A38"/>
    <w:rsid w:val="00620AE1"/>
    <w:rsid w:val="00620D12"/>
    <w:rsid w:val="006211A7"/>
    <w:rsid w:val="0062121A"/>
    <w:rsid w:val="00621349"/>
    <w:rsid w:val="006216DB"/>
    <w:rsid w:val="0062191A"/>
    <w:rsid w:val="00621924"/>
    <w:rsid w:val="00621997"/>
    <w:rsid w:val="006222EB"/>
    <w:rsid w:val="00622E92"/>
    <w:rsid w:val="00622F35"/>
    <w:rsid w:val="00623AD4"/>
    <w:rsid w:val="00623AE7"/>
    <w:rsid w:val="00623C73"/>
    <w:rsid w:val="00623E8B"/>
    <w:rsid w:val="00623F28"/>
    <w:rsid w:val="006240FF"/>
    <w:rsid w:val="006248D1"/>
    <w:rsid w:val="00624F13"/>
    <w:rsid w:val="00625067"/>
    <w:rsid w:val="006252CE"/>
    <w:rsid w:val="00625477"/>
    <w:rsid w:val="00625711"/>
    <w:rsid w:val="006259CF"/>
    <w:rsid w:val="00625A34"/>
    <w:rsid w:val="00625B88"/>
    <w:rsid w:val="00625D33"/>
    <w:rsid w:val="00626203"/>
    <w:rsid w:val="006265A0"/>
    <w:rsid w:val="006267BF"/>
    <w:rsid w:val="00626A58"/>
    <w:rsid w:val="00626C69"/>
    <w:rsid w:val="00626EB4"/>
    <w:rsid w:val="006271DD"/>
    <w:rsid w:val="006276A2"/>
    <w:rsid w:val="006276B3"/>
    <w:rsid w:val="00627A06"/>
    <w:rsid w:val="00627D42"/>
    <w:rsid w:val="006302F8"/>
    <w:rsid w:val="00630665"/>
    <w:rsid w:val="006306E9"/>
    <w:rsid w:val="006307D8"/>
    <w:rsid w:val="0063087A"/>
    <w:rsid w:val="0063115D"/>
    <w:rsid w:val="0063115E"/>
    <w:rsid w:val="0063136D"/>
    <w:rsid w:val="0063142C"/>
    <w:rsid w:val="00631BE7"/>
    <w:rsid w:val="00631CA6"/>
    <w:rsid w:val="00631CED"/>
    <w:rsid w:val="00631EB5"/>
    <w:rsid w:val="00631F68"/>
    <w:rsid w:val="0063206E"/>
    <w:rsid w:val="006320D8"/>
    <w:rsid w:val="006322C9"/>
    <w:rsid w:val="00632455"/>
    <w:rsid w:val="00632624"/>
    <w:rsid w:val="0063278C"/>
    <w:rsid w:val="00632B0B"/>
    <w:rsid w:val="00632C7E"/>
    <w:rsid w:val="00632CD1"/>
    <w:rsid w:val="00632D9C"/>
    <w:rsid w:val="0063319B"/>
    <w:rsid w:val="006331D7"/>
    <w:rsid w:val="006334F9"/>
    <w:rsid w:val="0063357A"/>
    <w:rsid w:val="00633729"/>
    <w:rsid w:val="006337DB"/>
    <w:rsid w:val="00633961"/>
    <w:rsid w:val="00633C7D"/>
    <w:rsid w:val="00634CA3"/>
    <w:rsid w:val="00634F08"/>
    <w:rsid w:val="00635452"/>
    <w:rsid w:val="006357D4"/>
    <w:rsid w:val="00635865"/>
    <w:rsid w:val="006358CF"/>
    <w:rsid w:val="00635DA5"/>
    <w:rsid w:val="0063637C"/>
    <w:rsid w:val="006365CD"/>
    <w:rsid w:val="00637001"/>
    <w:rsid w:val="00637781"/>
    <w:rsid w:val="00637CB8"/>
    <w:rsid w:val="00640559"/>
    <w:rsid w:val="0064074E"/>
    <w:rsid w:val="00640A57"/>
    <w:rsid w:val="00640B5B"/>
    <w:rsid w:val="00640FDB"/>
    <w:rsid w:val="0064130F"/>
    <w:rsid w:val="0064159A"/>
    <w:rsid w:val="00641904"/>
    <w:rsid w:val="00641FC2"/>
    <w:rsid w:val="00642007"/>
    <w:rsid w:val="006420BC"/>
    <w:rsid w:val="0064238D"/>
    <w:rsid w:val="00642800"/>
    <w:rsid w:val="00642A32"/>
    <w:rsid w:val="00642A81"/>
    <w:rsid w:val="00642B39"/>
    <w:rsid w:val="00642BDD"/>
    <w:rsid w:val="00643286"/>
    <w:rsid w:val="00643641"/>
    <w:rsid w:val="00643C03"/>
    <w:rsid w:val="00643FF0"/>
    <w:rsid w:val="006447E5"/>
    <w:rsid w:val="00644CA2"/>
    <w:rsid w:val="00644D5D"/>
    <w:rsid w:val="006458F7"/>
    <w:rsid w:val="00645AFB"/>
    <w:rsid w:val="00645C1C"/>
    <w:rsid w:val="00645D7B"/>
    <w:rsid w:val="00646AAA"/>
    <w:rsid w:val="00646C08"/>
    <w:rsid w:val="00647170"/>
    <w:rsid w:val="00647BDE"/>
    <w:rsid w:val="00647EE2"/>
    <w:rsid w:val="00647F1D"/>
    <w:rsid w:val="00650239"/>
    <w:rsid w:val="006503D7"/>
    <w:rsid w:val="00650772"/>
    <w:rsid w:val="00650C78"/>
    <w:rsid w:val="00650DEB"/>
    <w:rsid w:val="00650F31"/>
    <w:rsid w:val="00650F7A"/>
    <w:rsid w:val="0065122F"/>
    <w:rsid w:val="00651237"/>
    <w:rsid w:val="00651AB4"/>
    <w:rsid w:val="00651BA2"/>
    <w:rsid w:val="00651BCC"/>
    <w:rsid w:val="00652117"/>
    <w:rsid w:val="00652323"/>
    <w:rsid w:val="00652DA4"/>
    <w:rsid w:val="00652F3F"/>
    <w:rsid w:val="00652F70"/>
    <w:rsid w:val="0065329A"/>
    <w:rsid w:val="00653483"/>
    <w:rsid w:val="00653A43"/>
    <w:rsid w:val="00653AC4"/>
    <w:rsid w:val="00653AD3"/>
    <w:rsid w:val="00653E5F"/>
    <w:rsid w:val="0065410B"/>
    <w:rsid w:val="0065416B"/>
    <w:rsid w:val="00654B02"/>
    <w:rsid w:val="00654EC8"/>
    <w:rsid w:val="00654FC0"/>
    <w:rsid w:val="006555CE"/>
    <w:rsid w:val="00655604"/>
    <w:rsid w:val="0065580F"/>
    <w:rsid w:val="00655E2E"/>
    <w:rsid w:val="00655E73"/>
    <w:rsid w:val="00655F0C"/>
    <w:rsid w:val="00655F3E"/>
    <w:rsid w:val="0065659E"/>
    <w:rsid w:val="00656F65"/>
    <w:rsid w:val="00657096"/>
    <w:rsid w:val="0065759F"/>
    <w:rsid w:val="006575A0"/>
    <w:rsid w:val="00657BC8"/>
    <w:rsid w:val="00657D46"/>
    <w:rsid w:val="00657DBE"/>
    <w:rsid w:val="00657FE4"/>
    <w:rsid w:val="0066007C"/>
    <w:rsid w:val="00660252"/>
    <w:rsid w:val="00660A30"/>
    <w:rsid w:val="00660C0B"/>
    <w:rsid w:val="006611EE"/>
    <w:rsid w:val="00661502"/>
    <w:rsid w:val="00661BD1"/>
    <w:rsid w:val="00661BEB"/>
    <w:rsid w:val="00661ED7"/>
    <w:rsid w:val="006622BD"/>
    <w:rsid w:val="006624DC"/>
    <w:rsid w:val="00662549"/>
    <w:rsid w:val="0066259B"/>
    <w:rsid w:val="00662CB4"/>
    <w:rsid w:val="00662EE9"/>
    <w:rsid w:val="0066307E"/>
    <w:rsid w:val="0066335C"/>
    <w:rsid w:val="0066336E"/>
    <w:rsid w:val="0066382D"/>
    <w:rsid w:val="0066385B"/>
    <w:rsid w:val="0066399F"/>
    <w:rsid w:val="00663B5E"/>
    <w:rsid w:val="0066403C"/>
    <w:rsid w:val="006643A9"/>
    <w:rsid w:val="006644DA"/>
    <w:rsid w:val="006645B9"/>
    <w:rsid w:val="006645F9"/>
    <w:rsid w:val="006648C5"/>
    <w:rsid w:val="006648DF"/>
    <w:rsid w:val="00664B6A"/>
    <w:rsid w:val="00664E42"/>
    <w:rsid w:val="006652A6"/>
    <w:rsid w:val="00665456"/>
    <w:rsid w:val="00665465"/>
    <w:rsid w:val="00665A9A"/>
    <w:rsid w:val="0066637C"/>
    <w:rsid w:val="00666B59"/>
    <w:rsid w:val="00666D3B"/>
    <w:rsid w:val="00667584"/>
    <w:rsid w:val="0066765D"/>
    <w:rsid w:val="006679CD"/>
    <w:rsid w:val="00667A2D"/>
    <w:rsid w:val="00667F2F"/>
    <w:rsid w:val="00670237"/>
    <w:rsid w:val="00670309"/>
    <w:rsid w:val="00670C9C"/>
    <w:rsid w:val="0067124D"/>
    <w:rsid w:val="006713AA"/>
    <w:rsid w:val="006713BE"/>
    <w:rsid w:val="00671673"/>
    <w:rsid w:val="00671B1C"/>
    <w:rsid w:val="00671DC7"/>
    <w:rsid w:val="00671DED"/>
    <w:rsid w:val="00671F4A"/>
    <w:rsid w:val="0067204A"/>
    <w:rsid w:val="0067217A"/>
    <w:rsid w:val="00672228"/>
    <w:rsid w:val="006722D1"/>
    <w:rsid w:val="00672729"/>
    <w:rsid w:val="006729BD"/>
    <w:rsid w:val="00672A26"/>
    <w:rsid w:val="00672A9D"/>
    <w:rsid w:val="00672E27"/>
    <w:rsid w:val="00672E45"/>
    <w:rsid w:val="006731F3"/>
    <w:rsid w:val="00673248"/>
    <w:rsid w:val="0067333C"/>
    <w:rsid w:val="00673757"/>
    <w:rsid w:val="00673950"/>
    <w:rsid w:val="0067427B"/>
    <w:rsid w:val="00674546"/>
    <w:rsid w:val="0067483C"/>
    <w:rsid w:val="006748D2"/>
    <w:rsid w:val="00674978"/>
    <w:rsid w:val="00674C59"/>
    <w:rsid w:val="006750F5"/>
    <w:rsid w:val="0067521F"/>
    <w:rsid w:val="006758B1"/>
    <w:rsid w:val="006760F5"/>
    <w:rsid w:val="0067615F"/>
    <w:rsid w:val="006763F4"/>
    <w:rsid w:val="0067642F"/>
    <w:rsid w:val="00676D0F"/>
    <w:rsid w:val="00676E7F"/>
    <w:rsid w:val="006771C2"/>
    <w:rsid w:val="0067742E"/>
    <w:rsid w:val="00677CB9"/>
    <w:rsid w:val="00677D64"/>
    <w:rsid w:val="00677F1E"/>
    <w:rsid w:val="0068046F"/>
    <w:rsid w:val="00680C01"/>
    <w:rsid w:val="00680EE7"/>
    <w:rsid w:val="006810CA"/>
    <w:rsid w:val="00681205"/>
    <w:rsid w:val="00681371"/>
    <w:rsid w:val="006815FF"/>
    <w:rsid w:val="00681733"/>
    <w:rsid w:val="00681B9B"/>
    <w:rsid w:val="00681C58"/>
    <w:rsid w:val="006821D3"/>
    <w:rsid w:val="00682500"/>
    <w:rsid w:val="0068279D"/>
    <w:rsid w:val="006828E8"/>
    <w:rsid w:val="00682B66"/>
    <w:rsid w:val="00682C62"/>
    <w:rsid w:val="00682EDB"/>
    <w:rsid w:val="00682FB2"/>
    <w:rsid w:val="006835E1"/>
    <w:rsid w:val="00683797"/>
    <w:rsid w:val="006844B1"/>
    <w:rsid w:val="00684933"/>
    <w:rsid w:val="00684B1A"/>
    <w:rsid w:val="006854E5"/>
    <w:rsid w:val="006859B7"/>
    <w:rsid w:val="00685C79"/>
    <w:rsid w:val="00685F62"/>
    <w:rsid w:val="00686268"/>
    <w:rsid w:val="006862C7"/>
    <w:rsid w:val="0068649E"/>
    <w:rsid w:val="00686641"/>
    <w:rsid w:val="00686C95"/>
    <w:rsid w:val="0068701F"/>
    <w:rsid w:val="00687117"/>
    <w:rsid w:val="00687128"/>
    <w:rsid w:val="00687320"/>
    <w:rsid w:val="00687436"/>
    <w:rsid w:val="006874D9"/>
    <w:rsid w:val="00687CEB"/>
    <w:rsid w:val="006902E6"/>
    <w:rsid w:val="006904C1"/>
    <w:rsid w:val="0069064D"/>
    <w:rsid w:val="00690C30"/>
    <w:rsid w:val="00690E67"/>
    <w:rsid w:val="00690FB3"/>
    <w:rsid w:val="0069175F"/>
    <w:rsid w:val="0069176C"/>
    <w:rsid w:val="00691F23"/>
    <w:rsid w:val="00691F35"/>
    <w:rsid w:val="00692104"/>
    <w:rsid w:val="006924B0"/>
    <w:rsid w:val="00692808"/>
    <w:rsid w:val="0069281E"/>
    <w:rsid w:val="00692CCB"/>
    <w:rsid w:val="00692D94"/>
    <w:rsid w:val="00692E67"/>
    <w:rsid w:val="00692E69"/>
    <w:rsid w:val="00692EED"/>
    <w:rsid w:val="0069330C"/>
    <w:rsid w:val="006936B5"/>
    <w:rsid w:val="006939B8"/>
    <w:rsid w:val="00693E9B"/>
    <w:rsid w:val="006940A0"/>
    <w:rsid w:val="006941E1"/>
    <w:rsid w:val="0069424F"/>
    <w:rsid w:val="00694594"/>
    <w:rsid w:val="0069464A"/>
    <w:rsid w:val="00695544"/>
    <w:rsid w:val="006958EB"/>
    <w:rsid w:val="00695CE8"/>
    <w:rsid w:val="00695D5B"/>
    <w:rsid w:val="00696136"/>
    <w:rsid w:val="00696413"/>
    <w:rsid w:val="006964CD"/>
    <w:rsid w:val="00696CED"/>
    <w:rsid w:val="00696E49"/>
    <w:rsid w:val="006970E1"/>
    <w:rsid w:val="00697271"/>
    <w:rsid w:val="00697B3B"/>
    <w:rsid w:val="00697E15"/>
    <w:rsid w:val="006A064C"/>
    <w:rsid w:val="006A066D"/>
    <w:rsid w:val="006A0D4E"/>
    <w:rsid w:val="006A15A2"/>
    <w:rsid w:val="006A1723"/>
    <w:rsid w:val="006A182C"/>
    <w:rsid w:val="006A1B9C"/>
    <w:rsid w:val="006A21E6"/>
    <w:rsid w:val="006A223A"/>
    <w:rsid w:val="006A24F6"/>
    <w:rsid w:val="006A2612"/>
    <w:rsid w:val="006A2731"/>
    <w:rsid w:val="006A2894"/>
    <w:rsid w:val="006A2BE4"/>
    <w:rsid w:val="006A35C5"/>
    <w:rsid w:val="006A3B33"/>
    <w:rsid w:val="006A3F32"/>
    <w:rsid w:val="006A446B"/>
    <w:rsid w:val="006A513B"/>
    <w:rsid w:val="006A533D"/>
    <w:rsid w:val="006A54E3"/>
    <w:rsid w:val="006A5536"/>
    <w:rsid w:val="006A55E0"/>
    <w:rsid w:val="006A562C"/>
    <w:rsid w:val="006A599D"/>
    <w:rsid w:val="006A5C1C"/>
    <w:rsid w:val="006A5D0F"/>
    <w:rsid w:val="006A5E39"/>
    <w:rsid w:val="006A66B3"/>
    <w:rsid w:val="006A6A22"/>
    <w:rsid w:val="006A6C9D"/>
    <w:rsid w:val="006A6EFE"/>
    <w:rsid w:val="006A769D"/>
    <w:rsid w:val="006A797D"/>
    <w:rsid w:val="006A7DC5"/>
    <w:rsid w:val="006B004D"/>
    <w:rsid w:val="006B01C1"/>
    <w:rsid w:val="006B1070"/>
    <w:rsid w:val="006B12E5"/>
    <w:rsid w:val="006B167E"/>
    <w:rsid w:val="006B1754"/>
    <w:rsid w:val="006B19F1"/>
    <w:rsid w:val="006B1B99"/>
    <w:rsid w:val="006B21FB"/>
    <w:rsid w:val="006B2506"/>
    <w:rsid w:val="006B3459"/>
    <w:rsid w:val="006B34B1"/>
    <w:rsid w:val="006B3544"/>
    <w:rsid w:val="006B3587"/>
    <w:rsid w:val="006B37F1"/>
    <w:rsid w:val="006B3C50"/>
    <w:rsid w:val="006B3CB9"/>
    <w:rsid w:val="006B3E95"/>
    <w:rsid w:val="006B3F49"/>
    <w:rsid w:val="006B485C"/>
    <w:rsid w:val="006B4930"/>
    <w:rsid w:val="006B4B2C"/>
    <w:rsid w:val="006B4CEC"/>
    <w:rsid w:val="006B4CFC"/>
    <w:rsid w:val="006B5106"/>
    <w:rsid w:val="006B5E9B"/>
    <w:rsid w:val="006B5FD8"/>
    <w:rsid w:val="006B621E"/>
    <w:rsid w:val="006B651A"/>
    <w:rsid w:val="006B6550"/>
    <w:rsid w:val="006B6873"/>
    <w:rsid w:val="006B6AAC"/>
    <w:rsid w:val="006B6B4F"/>
    <w:rsid w:val="006B6D87"/>
    <w:rsid w:val="006B6F3F"/>
    <w:rsid w:val="006B7344"/>
    <w:rsid w:val="006B74B4"/>
    <w:rsid w:val="006B7997"/>
    <w:rsid w:val="006B7E62"/>
    <w:rsid w:val="006C009B"/>
    <w:rsid w:val="006C04A0"/>
    <w:rsid w:val="006C08A7"/>
    <w:rsid w:val="006C0A8A"/>
    <w:rsid w:val="006C1184"/>
    <w:rsid w:val="006C1A4C"/>
    <w:rsid w:val="006C1DFF"/>
    <w:rsid w:val="006C1FDF"/>
    <w:rsid w:val="006C2686"/>
    <w:rsid w:val="006C2814"/>
    <w:rsid w:val="006C29F2"/>
    <w:rsid w:val="006C2F08"/>
    <w:rsid w:val="006C2F37"/>
    <w:rsid w:val="006C3389"/>
    <w:rsid w:val="006C3ED1"/>
    <w:rsid w:val="006C3FB3"/>
    <w:rsid w:val="006C42FB"/>
    <w:rsid w:val="006C4847"/>
    <w:rsid w:val="006C513F"/>
    <w:rsid w:val="006C515C"/>
    <w:rsid w:val="006C52EB"/>
    <w:rsid w:val="006C58A1"/>
    <w:rsid w:val="006C5958"/>
    <w:rsid w:val="006C5AB0"/>
    <w:rsid w:val="006C5D3B"/>
    <w:rsid w:val="006C5E7F"/>
    <w:rsid w:val="006C6D0E"/>
    <w:rsid w:val="006C6DCC"/>
    <w:rsid w:val="006C6E0C"/>
    <w:rsid w:val="006C6E2A"/>
    <w:rsid w:val="006C6E93"/>
    <w:rsid w:val="006C756B"/>
    <w:rsid w:val="006C774C"/>
    <w:rsid w:val="006C7776"/>
    <w:rsid w:val="006C78C4"/>
    <w:rsid w:val="006C78F7"/>
    <w:rsid w:val="006D0102"/>
    <w:rsid w:val="006D02D2"/>
    <w:rsid w:val="006D04BF"/>
    <w:rsid w:val="006D0A05"/>
    <w:rsid w:val="006D0A65"/>
    <w:rsid w:val="006D0E90"/>
    <w:rsid w:val="006D0EB0"/>
    <w:rsid w:val="006D1329"/>
    <w:rsid w:val="006D15ED"/>
    <w:rsid w:val="006D1635"/>
    <w:rsid w:val="006D1BB8"/>
    <w:rsid w:val="006D1C95"/>
    <w:rsid w:val="006D2201"/>
    <w:rsid w:val="006D2426"/>
    <w:rsid w:val="006D2483"/>
    <w:rsid w:val="006D2560"/>
    <w:rsid w:val="006D2830"/>
    <w:rsid w:val="006D28C1"/>
    <w:rsid w:val="006D29D6"/>
    <w:rsid w:val="006D2C7C"/>
    <w:rsid w:val="006D2D86"/>
    <w:rsid w:val="006D3019"/>
    <w:rsid w:val="006D30B2"/>
    <w:rsid w:val="006D33B0"/>
    <w:rsid w:val="006D357F"/>
    <w:rsid w:val="006D4527"/>
    <w:rsid w:val="006D45D0"/>
    <w:rsid w:val="006D4BA3"/>
    <w:rsid w:val="006D4C05"/>
    <w:rsid w:val="006D4CA3"/>
    <w:rsid w:val="006D4DC7"/>
    <w:rsid w:val="006D52A4"/>
    <w:rsid w:val="006D5388"/>
    <w:rsid w:val="006D53B8"/>
    <w:rsid w:val="006D58E4"/>
    <w:rsid w:val="006D5C64"/>
    <w:rsid w:val="006D5C72"/>
    <w:rsid w:val="006D60A5"/>
    <w:rsid w:val="006D62C9"/>
    <w:rsid w:val="006D65DD"/>
    <w:rsid w:val="006D67A6"/>
    <w:rsid w:val="006D687B"/>
    <w:rsid w:val="006D6F78"/>
    <w:rsid w:val="006D7364"/>
    <w:rsid w:val="006D73FC"/>
    <w:rsid w:val="006D7478"/>
    <w:rsid w:val="006E040E"/>
    <w:rsid w:val="006E04C8"/>
    <w:rsid w:val="006E0B60"/>
    <w:rsid w:val="006E0CC9"/>
    <w:rsid w:val="006E0F9C"/>
    <w:rsid w:val="006E0FDF"/>
    <w:rsid w:val="006E1119"/>
    <w:rsid w:val="006E13E3"/>
    <w:rsid w:val="006E1B13"/>
    <w:rsid w:val="006E1C0D"/>
    <w:rsid w:val="006E202B"/>
    <w:rsid w:val="006E209B"/>
    <w:rsid w:val="006E2679"/>
    <w:rsid w:val="006E2722"/>
    <w:rsid w:val="006E2BCC"/>
    <w:rsid w:val="006E33F8"/>
    <w:rsid w:val="006E35CB"/>
    <w:rsid w:val="006E367E"/>
    <w:rsid w:val="006E39C9"/>
    <w:rsid w:val="006E3B87"/>
    <w:rsid w:val="006E403B"/>
    <w:rsid w:val="006E406C"/>
    <w:rsid w:val="006E41D5"/>
    <w:rsid w:val="006E43B1"/>
    <w:rsid w:val="006E47E0"/>
    <w:rsid w:val="006E494B"/>
    <w:rsid w:val="006E4A95"/>
    <w:rsid w:val="006E4F8E"/>
    <w:rsid w:val="006E5008"/>
    <w:rsid w:val="006E5313"/>
    <w:rsid w:val="006E5365"/>
    <w:rsid w:val="006E56A3"/>
    <w:rsid w:val="006E5908"/>
    <w:rsid w:val="006E5BF0"/>
    <w:rsid w:val="006E6244"/>
    <w:rsid w:val="006E62EE"/>
    <w:rsid w:val="006E63AF"/>
    <w:rsid w:val="006E64D3"/>
    <w:rsid w:val="006E688C"/>
    <w:rsid w:val="006E705B"/>
    <w:rsid w:val="006E7551"/>
    <w:rsid w:val="006E76F3"/>
    <w:rsid w:val="006E7855"/>
    <w:rsid w:val="006E79B0"/>
    <w:rsid w:val="006E7E10"/>
    <w:rsid w:val="006E7E8E"/>
    <w:rsid w:val="006F00FC"/>
    <w:rsid w:val="006F0113"/>
    <w:rsid w:val="006F0652"/>
    <w:rsid w:val="006F0D14"/>
    <w:rsid w:val="006F1005"/>
    <w:rsid w:val="006F12D2"/>
    <w:rsid w:val="006F16E0"/>
    <w:rsid w:val="006F1704"/>
    <w:rsid w:val="006F1C19"/>
    <w:rsid w:val="006F21CE"/>
    <w:rsid w:val="006F25F2"/>
    <w:rsid w:val="006F3060"/>
    <w:rsid w:val="006F30ED"/>
    <w:rsid w:val="006F3A38"/>
    <w:rsid w:val="006F3C08"/>
    <w:rsid w:val="006F3C3A"/>
    <w:rsid w:val="006F3E07"/>
    <w:rsid w:val="006F4349"/>
    <w:rsid w:val="006F474A"/>
    <w:rsid w:val="006F4850"/>
    <w:rsid w:val="006F4A73"/>
    <w:rsid w:val="006F4B6F"/>
    <w:rsid w:val="006F5755"/>
    <w:rsid w:val="006F5885"/>
    <w:rsid w:val="006F592D"/>
    <w:rsid w:val="006F5A64"/>
    <w:rsid w:val="006F5D7F"/>
    <w:rsid w:val="006F6084"/>
    <w:rsid w:val="006F60EE"/>
    <w:rsid w:val="006F61B3"/>
    <w:rsid w:val="006F627F"/>
    <w:rsid w:val="006F62C0"/>
    <w:rsid w:val="006F6649"/>
    <w:rsid w:val="006F682C"/>
    <w:rsid w:val="006F6D93"/>
    <w:rsid w:val="006F6E5E"/>
    <w:rsid w:val="006F6F3F"/>
    <w:rsid w:val="006F6FF7"/>
    <w:rsid w:val="006F71B7"/>
    <w:rsid w:val="006F75DD"/>
    <w:rsid w:val="006F79BE"/>
    <w:rsid w:val="006F7B9C"/>
    <w:rsid w:val="006F7BEF"/>
    <w:rsid w:val="006F7DC8"/>
    <w:rsid w:val="006F7DCB"/>
    <w:rsid w:val="006F7E4F"/>
    <w:rsid w:val="006F7F96"/>
    <w:rsid w:val="007004A2"/>
    <w:rsid w:val="0070082B"/>
    <w:rsid w:val="007008E1"/>
    <w:rsid w:val="007015DF"/>
    <w:rsid w:val="007017C8"/>
    <w:rsid w:val="00701A3E"/>
    <w:rsid w:val="00701F49"/>
    <w:rsid w:val="00701F5A"/>
    <w:rsid w:val="007022E7"/>
    <w:rsid w:val="00702492"/>
    <w:rsid w:val="00702C02"/>
    <w:rsid w:val="00702DD4"/>
    <w:rsid w:val="0070307B"/>
    <w:rsid w:val="0070330D"/>
    <w:rsid w:val="007034A6"/>
    <w:rsid w:val="00703782"/>
    <w:rsid w:val="007037FF"/>
    <w:rsid w:val="00703818"/>
    <w:rsid w:val="00703C76"/>
    <w:rsid w:val="00704163"/>
    <w:rsid w:val="007042FB"/>
    <w:rsid w:val="007044F7"/>
    <w:rsid w:val="00705144"/>
    <w:rsid w:val="00705149"/>
    <w:rsid w:val="00705B02"/>
    <w:rsid w:val="00705C29"/>
    <w:rsid w:val="007060E7"/>
    <w:rsid w:val="00706268"/>
    <w:rsid w:val="00706354"/>
    <w:rsid w:val="00706821"/>
    <w:rsid w:val="00706D88"/>
    <w:rsid w:val="00706E84"/>
    <w:rsid w:val="00707018"/>
    <w:rsid w:val="00707374"/>
    <w:rsid w:val="0070746A"/>
    <w:rsid w:val="00707559"/>
    <w:rsid w:val="0070783E"/>
    <w:rsid w:val="00707859"/>
    <w:rsid w:val="00707C5D"/>
    <w:rsid w:val="00707D64"/>
    <w:rsid w:val="0071031F"/>
    <w:rsid w:val="0071036A"/>
    <w:rsid w:val="0071093F"/>
    <w:rsid w:val="00710C3D"/>
    <w:rsid w:val="00710E44"/>
    <w:rsid w:val="00710F31"/>
    <w:rsid w:val="0071125E"/>
    <w:rsid w:val="007115F8"/>
    <w:rsid w:val="00711604"/>
    <w:rsid w:val="00711D38"/>
    <w:rsid w:val="00712229"/>
    <w:rsid w:val="00712378"/>
    <w:rsid w:val="007123E9"/>
    <w:rsid w:val="007125BF"/>
    <w:rsid w:val="007126CD"/>
    <w:rsid w:val="0071280C"/>
    <w:rsid w:val="007129D9"/>
    <w:rsid w:val="00712A25"/>
    <w:rsid w:val="00712C7B"/>
    <w:rsid w:val="00712E35"/>
    <w:rsid w:val="00712F3A"/>
    <w:rsid w:val="00712F52"/>
    <w:rsid w:val="0071312C"/>
    <w:rsid w:val="007136BA"/>
    <w:rsid w:val="007140E2"/>
    <w:rsid w:val="00714A76"/>
    <w:rsid w:val="00714BA2"/>
    <w:rsid w:val="00714BAB"/>
    <w:rsid w:val="00714E3A"/>
    <w:rsid w:val="00714F08"/>
    <w:rsid w:val="007152E8"/>
    <w:rsid w:val="007154C1"/>
    <w:rsid w:val="00715C58"/>
    <w:rsid w:val="00716600"/>
    <w:rsid w:val="00716805"/>
    <w:rsid w:val="00716AE0"/>
    <w:rsid w:val="00716DA8"/>
    <w:rsid w:val="00716DA9"/>
    <w:rsid w:val="007171A2"/>
    <w:rsid w:val="0071723A"/>
    <w:rsid w:val="007179FA"/>
    <w:rsid w:val="00717A92"/>
    <w:rsid w:val="00717B83"/>
    <w:rsid w:val="00717C88"/>
    <w:rsid w:val="00717D97"/>
    <w:rsid w:val="00717DFB"/>
    <w:rsid w:val="007203F2"/>
    <w:rsid w:val="0072087C"/>
    <w:rsid w:val="00720914"/>
    <w:rsid w:val="00720C7E"/>
    <w:rsid w:val="0072103A"/>
    <w:rsid w:val="007212E4"/>
    <w:rsid w:val="00722081"/>
    <w:rsid w:val="0072231D"/>
    <w:rsid w:val="007226E3"/>
    <w:rsid w:val="007227C2"/>
    <w:rsid w:val="00722A63"/>
    <w:rsid w:val="00722B17"/>
    <w:rsid w:val="007233CD"/>
    <w:rsid w:val="007233F8"/>
    <w:rsid w:val="00723540"/>
    <w:rsid w:val="00723C31"/>
    <w:rsid w:val="00723D7C"/>
    <w:rsid w:val="00723DB4"/>
    <w:rsid w:val="0072414F"/>
    <w:rsid w:val="00724268"/>
    <w:rsid w:val="007248A1"/>
    <w:rsid w:val="00724EFF"/>
    <w:rsid w:val="00724F39"/>
    <w:rsid w:val="007259AA"/>
    <w:rsid w:val="007261EE"/>
    <w:rsid w:val="0072621A"/>
    <w:rsid w:val="00726538"/>
    <w:rsid w:val="00726BBC"/>
    <w:rsid w:val="007279F1"/>
    <w:rsid w:val="00727D3D"/>
    <w:rsid w:val="00727D61"/>
    <w:rsid w:val="00730119"/>
    <w:rsid w:val="0073014E"/>
    <w:rsid w:val="00730585"/>
    <w:rsid w:val="007305A5"/>
    <w:rsid w:val="00730615"/>
    <w:rsid w:val="00730D90"/>
    <w:rsid w:val="00730F49"/>
    <w:rsid w:val="00730FCE"/>
    <w:rsid w:val="007312D1"/>
    <w:rsid w:val="007316B7"/>
    <w:rsid w:val="0073289A"/>
    <w:rsid w:val="00732A34"/>
    <w:rsid w:val="00732B81"/>
    <w:rsid w:val="00732E4F"/>
    <w:rsid w:val="007335FE"/>
    <w:rsid w:val="00733625"/>
    <w:rsid w:val="00733647"/>
    <w:rsid w:val="00733947"/>
    <w:rsid w:val="00733A10"/>
    <w:rsid w:val="00733B4C"/>
    <w:rsid w:val="00733CF9"/>
    <w:rsid w:val="0073413E"/>
    <w:rsid w:val="0073434D"/>
    <w:rsid w:val="007344D2"/>
    <w:rsid w:val="00735099"/>
    <w:rsid w:val="0073532B"/>
    <w:rsid w:val="00735496"/>
    <w:rsid w:val="00735B22"/>
    <w:rsid w:val="00735C79"/>
    <w:rsid w:val="00735F76"/>
    <w:rsid w:val="007360B4"/>
    <w:rsid w:val="007360DF"/>
    <w:rsid w:val="0073631D"/>
    <w:rsid w:val="00736556"/>
    <w:rsid w:val="007366ED"/>
    <w:rsid w:val="007368B9"/>
    <w:rsid w:val="00736B45"/>
    <w:rsid w:val="00736BE1"/>
    <w:rsid w:val="00737433"/>
    <w:rsid w:val="007375B0"/>
    <w:rsid w:val="00737AB7"/>
    <w:rsid w:val="007408C5"/>
    <w:rsid w:val="0074091D"/>
    <w:rsid w:val="0074098A"/>
    <w:rsid w:val="00740D45"/>
    <w:rsid w:val="007414D5"/>
    <w:rsid w:val="00741746"/>
    <w:rsid w:val="00741B4D"/>
    <w:rsid w:val="007422EF"/>
    <w:rsid w:val="00742322"/>
    <w:rsid w:val="00742655"/>
    <w:rsid w:val="007427A2"/>
    <w:rsid w:val="00742EC7"/>
    <w:rsid w:val="00742F72"/>
    <w:rsid w:val="00742FAC"/>
    <w:rsid w:val="007430D4"/>
    <w:rsid w:val="00743208"/>
    <w:rsid w:val="0074329D"/>
    <w:rsid w:val="00743830"/>
    <w:rsid w:val="0074390F"/>
    <w:rsid w:val="00743B1E"/>
    <w:rsid w:val="0074468A"/>
    <w:rsid w:val="00744A03"/>
    <w:rsid w:val="00744B33"/>
    <w:rsid w:val="00745479"/>
    <w:rsid w:val="00745505"/>
    <w:rsid w:val="007455CB"/>
    <w:rsid w:val="007455FF"/>
    <w:rsid w:val="00745825"/>
    <w:rsid w:val="00745DB7"/>
    <w:rsid w:val="007462B5"/>
    <w:rsid w:val="007464DA"/>
    <w:rsid w:val="00746721"/>
    <w:rsid w:val="00746758"/>
    <w:rsid w:val="0074688F"/>
    <w:rsid w:val="00746891"/>
    <w:rsid w:val="007468D7"/>
    <w:rsid w:val="0074690F"/>
    <w:rsid w:val="007469B4"/>
    <w:rsid w:val="00746A3D"/>
    <w:rsid w:val="00746E8C"/>
    <w:rsid w:val="00747485"/>
    <w:rsid w:val="00747B33"/>
    <w:rsid w:val="00747E5B"/>
    <w:rsid w:val="0075050B"/>
    <w:rsid w:val="007507B9"/>
    <w:rsid w:val="00750CE9"/>
    <w:rsid w:val="00750DB4"/>
    <w:rsid w:val="00750E75"/>
    <w:rsid w:val="0075107E"/>
    <w:rsid w:val="0075129E"/>
    <w:rsid w:val="007515DA"/>
    <w:rsid w:val="00751C00"/>
    <w:rsid w:val="00751CC4"/>
    <w:rsid w:val="00751EAA"/>
    <w:rsid w:val="00752356"/>
    <w:rsid w:val="00752602"/>
    <w:rsid w:val="007528EB"/>
    <w:rsid w:val="00752B4B"/>
    <w:rsid w:val="00752F23"/>
    <w:rsid w:val="00752FD6"/>
    <w:rsid w:val="00753176"/>
    <w:rsid w:val="007534CC"/>
    <w:rsid w:val="00753D28"/>
    <w:rsid w:val="00753ED8"/>
    <w:rsid w:val="00753FAA"/>
    <w:rsid w:val="0075495B"/>
    <w:rsid w:val="00754AAF"/>
    <w:rsid w:val="00754CCE"/>
    <w:rsid w:val="00754D83"/>
    <w:rsid w:val="00754F94"/>
    <w:rsid w:val="00754FF1"/>
    <w:rsid w:val="0075559E"/>
    <w:rsid w:val="00755694"/>
    <w:rsid w:val="00755B99"/>
    <w:rsid w:val="00755D12"/>
    <w:rsid w:val="00755E7B"/>
    <w:rsid w:val="00755FA4"/>
    <w:rsid w:val="00756189"/>
    <w:rsid w:val="007562DB"/>
    <w:rsid w:val="00756466"/>
    <w:rsid w:val="0075649B"/>
    <w:rsid w:val="007565A6"/>
    <w:rsid w:val="00756781"/>
    <w:rsid w:val="007572A1"/>
    <w:rsid w:val="007579C3"/>
    <w:rsid w:val="007600B9"/>
    <w:rsid w:val="007601D4"/>
    <w:rsid w:val="00760362"/>
    <w:rsid w:val="0076037F"/>
    <w:rsid w:val="007609ED"/>
    <w:rsid w:val="00760E42"/>
    <w:rsid w:val="00761085"/>
    <w:rsid w:val="007613AA"/>
    <w:rsid w:val="00761894"/>
    <w:rsid w:val="007618D3"/>
    <w:rsid w:val="00761AC3"/>
    <w:rsid w:val="00762624"/>
    <w:rsid w:val="00762A3D"/>
    <w:rsid w:val="00762D70"/>
    <w:rsid w:val="00762F63"/>
    <w:rsid w:val="00762FB5"/>
    <w:rsid w:val="0076313E"/>
    <w:rsid w:val="007633C0"/>
    <w:rsid w:val="007633D3"/>
    <w:rsid w:val="007635D5"/>
    <w:rsid w:val="00763959"/>
    <w:rsid w:val="00763A09"/>
    <w:rsid w:val="00763C7B"/>
    <w:rsid w:val="00763CCF"/>
    <w:rsid w:val="00763CD0"/>
    <w:rsid w:val="00764477"/>
    <w:rsid w:val="00764552"/>
    <w:rsid w:val="007646F9"/>
    <w:rsid w:val="00764705"/>
    <w:rsid w:val="007647DD"/>
    <w:rsid w:val="007649E2"/>
    <w:rsid w:val="00764ABC"/>
    <w:rsid w:val="00764CC7"/>
    <w:rsid w:val="00765CA5"/>
    <w:rsid w:val="00765DF8"/>
    <w:rsid w:val="00765F09"/>
    <w:rsid w:val="00766186"/>
    <w:rsid w:val="007661EA"/>
    <w:rsid w:val="007667C5"/>
    <w:rsid w:val="00766855"/>
    <w:rsid w:val="00766B13"/>
    <w:rsid w:val="00766C80"/>
    <w:rsid w:val="00766CD2"/>
    <w:rsid w:val="00766CD3"/>
    <w:rsid w:val="00767184"/>
    <w:rsid w:val="00767385"/>
    <w:rsid w:val="007679F1"/>
    <w:rsid w:val="00767BF5"/>
    <w:rsid w:val="00770308"/>
    <w:rsid w:val="0077047F"/>
    <w:rsid w:val="007706B0"/>
    <w:rsid w:val="0077080A"/>
    <w:rsid w:val="007708A7"/>
    <w:rsid w:val="00770E3D"/>
    <w:rsid w:val="0077124D"/>
    <w:rsid w:val="00771601"/>
    <w:rsid w:val="007718C1"/>
    <w:rsid w:val="00771930"/>
    <w:rsid w:val="00771EE5"/>
    <w:rsid w:val="00771F1D"/>
    <w:rsid w:val="007726A3"/>
    <w:rsid w:val="007726C2"/>
    <w:rsid w:val="00772905"/>
    <w:rsid w:val="007729E2"/>
    <w:rsid w:val="00772C5F"/>
    <w:rsid w:val="00772C82"/>
    <w:rsid w:val="00773023"/>
    <w:rsid w:val="0077329B"/>
    <w:rsid w:val="00773504"/>
    <w:rsid w:val="00773517"/>
    <w:rsid w:val="00773689"/>
    <w:rsid w:val="00773B94"/>
    <w:rsid w:val="00773DD7"/>
    <w:rsid w:val="00773F39"/>
    <w:rsid w:val="00774124"/>
    <w:rsid w:val="00774317"/>
    <w:rsid w:val="0077453C"/>
    <w:rsid w:val="00774658"/>
    <w:rsid w:val="00774696"/>
    <w:rsid w:val="00774766"/>
    <w:rsid w:val="00774813"/>
    <w:rsid w:val="00774AD3"/>
    <w:rsid w:val="00775407"/>
    <w:rsid w:val="0077558C"/>
    <w:rsid w:val="00775693"/>
    <w:rsid w:val="0077572D"/>
    <w:rsid w:val="00775857"/>
    <w:rsid w:val="00775916"/>
    <w:rsid w:val="00775C89"/>
    <w:rsid w:val="00775DDF"/>
    <w:rsid w:val="00775E7E"/>
    <w:rsid w:val="0077629F"/>
    <w:rsid w:val="007763C9"/>
    <w:rsid w:val="007764FC"/>
    <w:rsid w:val="00776677"/>
    <w:rsid w:val="007767A2"/>
    <w:rsid w:val="0077688D"/>
    <w:rsid w:val="007769F7"/>
    <w:rsid w:val="00776D9D"/>
    <w:rsid w:val="00776EF2"/>
    <w:rsid w:val="007770AA"/>
    <w:rsid w:val="00777BA2"/>
    <w:rsid w:val="00777FC7"/>
    <w:rsid w:val="00777FEF"/>
    <w:rsid w:val="00780102"/>
    <w:rsid w:val="0078087C"/>
    <w:rsid w:val="007808F7"/>
    <w:rsid w:val="00780AC8"/>
    <w:rsid w:val="00780B35"/>
    <w:rsid w:val="00780FC6"/>
    <w:rsid w:val="00781BDA"/>
    <w:rsid w:val="00781C63"/>
    <w:rsid w:val="00781CD2"/>
    <w:rsid w:val="00781D25"/>
    <w:rsid w:val="007821C5"/>
    <w:rsid w:val="00782B89"/>
    <w:rsid w:val="00782F4D"/>
    <w:rsid w:val="0078394C"/>
    <w:rsid w:val="00783BFF"/>
    <w:rsid w:val="00783C00"/>
    <w:rsid w:val="00783C05"/>
    <w:rsid w:val="00783CAC"/>
    <w:rsid w:val="00783F82"/>
    <w:rsid w:val="007849A4"/>
    <w:rsid w:val="00784AC1"/>
    <w:rsid w:val="00784B77"/>
    <w:rsid w:val="00784C24"/>
    <w:rsid w:val="00784D4A"/>
    <w:rsid w:val="00785214"/>
    <w:rsid w:val="0078528D"/>
    <w:rsid w:val="00785477"/>
    <w:rsid w:val="00785494"/>
    <w:rsid w:val="00785503"/>
    <w:rsid w:val="00785754"/>
    <w:rsid w:val="00785834"/>
    <w:rsid w:val="0078594D"/>
    <w:rsid w:val="00785F1D"/>
    <w:rsid w:val="007865B5"/>
    <w:rsid w:val="00786789"/>
    <w:rsid w:val="00786B5F"/>
    <w:rsid w:val="00786E94"/>
    <w:rsid w:val="0078737B"/>
    <w:rsid w:val="007873DE"/>
    <w:rsid w:val="00790B53"/>
    <w:rsid w:val="007913C4"/>
    <w:rsid w:val="007920CC"/>
    <w:rsid w:val="0079235F"/>
    <w:rsid w:val="00792D68"/>
    <w:rsid w:val="0079310D"/>
    <w:rsid w:val="00793542"/>
    <w:rsid w:val="007935CC"/>
    <w:rsid w:val="00793642"/>
    <w:rsid w:val="00793668"/>
    <w:rsid w:val="00793C4B"/>
    <w:rsid w:val="00793EC7"/>
    <w:rsid w:val="00793F53"/>
    <w:rsid w:val="007940A4"/>
    <w:rsid w:val="0079424D"/>
    <w:rsid w:val="00794338"/>
    <w:rsid w:val="007943C8"/>
    <w:rsid w:val="00794D3C"/>
    <w:rsid w:val="00794F62"/>
    <w:rsid w:val="00794FE6"/>
    <w:rsid w:val="007953A2"/>
    <w:rsid w:val="00795617"/>
    <w:rsid w:val="007957DC"/>
    <w:rsid w:val="00795D46"/>
    <w:rsid w:val="00795E9C"/>
    <w:rsid w:val="00795F5B"/>
    <w:rsid w:val="007964CB"/>
    <w:rsid w:val="0079661B"/>
    <w:rsid w:val="00797086"/>
    <w:rsid w:val="007970E8"/>
    <w:rsid w:val="007976DD"/>
    <w:rsid w:val="00797773"/>
    <w:rsid w:val="00797C34"/>
    <w:rsid w:val="00797C9B"/>
    <w:rsid w:val="007A0156"/>
    <w:rsid w:val="007A060A"/>
    <w:rsid w:val="007A07D4"/>
    <w:rsid w:val="007A09C4"/>
    <w:rsid w:val="007A0A7C"/>
    <w:rsid w:val="007A0CBB"/>
    <w:rsid w:val="007A0DA7"/>
    <w:rsid w:val="007A1D7C"/>
    <w:rsid w:val="007A24A2"/>
    <w:rsid w:val="007A2C86"/>
    <w:rsid w:val="007A3189"/>
    <w:rsid w:val="007A3260"/>
    <w:rsid w:val="007A35CC"/>
    <w:rsid w:val="007A3A6A"/>
    <w:rsid w:val="007A3EEB"/>
    <w:rsid w:val="007A4231"/>
    <w:rsid w:val="007A50A6"/>
    <w:rsid w:val="007A5166"/>
    <w:rsid w:val="007A549D"/>
    <w:rsid w:val="007A5663"/>
    <w:rsid w:val="007A583F"/>
    <w:rsid w:val="007A5A98"/>
    <w:rsid w:val="007A5C56"/>
    <w:rsid w:val="007A5E12"/>
    <w:rsid w:val="007A6870"/>
    <w:rsid w:val="007A6DF4"/>
    <w:rsid w:val="007A6EB9"/>
    <w:rsid w:val="007A6EF5"/>
    <w:rsid w:val="007A7058"/>
    <w:rsid w:val="007A714B"/>
    <w:rsid w:val="007A7394"/>
    <w:rsid w:val="007A793F"/>
    <w:rsid w:val="007A7999"/>
    <w:rsid w:val="007A7A48"/>
    <w:rsid w:val="007B0192"/>
    <w:rsid w:val="007B040B"/>
    <w:rsid w:val="007B041F"/>
    <w:rsid w:val="007B0485"/>
    <w:rsid w:val="007B05CC"/>
    <w:rsid w:val="007B0AAA"/>
    <w:rsid w:val="007B10D6"/>
    <w:rsid w:val="007B1117"/>
    <w:rsid w:val="007B184D"/>
    <w:rsid w:val="007B196F"/>
    <w:rsid w:val="007B1E4D"/>
    <w:rsid w:val="007B27AD"/>
    <w:rsid w:val="007B2951"/>
    <w:rsid w:val="007B2DD0"/>
    <w:rsid w:val="007B332C"/>
    <w:rsid w:val="007B3576"/>
    <w:rsid w:val="007B3671"/>
    <w:rsid w:val="007B410F"/>
    <w:rsid w:val="007B427B"/>
    <w:rsid w:val="007B4666"/>
    <w:rsid w:val="007B4874"/>
    <w:rsid w:val="007B4A2B"/>
    <w:rsid w:val="007B4B94"/>
    <w:rsid w:val="007B4D9F"/>
    <w:rsid w:val="007B4E50"/>
    <w:rsid w:val="007B5140"/>
    <w:rsid w:val="007B5282"/>
    <w:rsid w:val="007B53C8"/>
    <w:rsid w:val="007B5F81"/>
    <w:rsid w:val="007B6207"/>
    <w:rsid w:val="007B6362"/>
    <w:rsid w:val="007B6412"/>
    <w:rsid w:val="007B64CC"/>
    <w:rsid w:val="007B6516"/>
    <w:rsid w:val="007B6843"/>
    <w:rsid w:val="007B68CF"/>
    <w:rsid w:val="007B6C89"/>
    <w:rsid w:val="007B7289"/>
    <w:rsid w:val="007B75B1"/>
    <w:rsid w:val="007B76AF"/>
    <w:rsid w:val="007B793A"/>
    <w:rsid w:val="007B7986"/>
    <w:rsid w:val="007B7B42"/>
    <w:rsid w:val="007B7C5F"/>
    <w:rsid w:val="007B7C93"/>
    <w:rsid w:val="007B7F6B"/>
    <w:rsid w:val="007C0574"/>
    <w:rsid w:val="007C06AA"/>
    <w:rsid w:val="007C089C"/>
    <w:rsid w:val="007C0D28"/>
    <w:rsid w:val="007C1786"/>
    <w:rsid w:val="007C1D15"/>
    <w:rsid w:val="007C3223"/>
    <w:rsid w:val="007C3A97"/>
    <w:rsid w:val="007C3B13"/>
    <w:rsid w:val="007C435E"/>
    <w:rsid w:val="007C486F"/>
    <w:rsid w:val="007C51CE"/>
    <w:rsid w:val="007C538D"/>
    <w:rsid w:val="007C548A"/>
    <w:rsid w:val="007C57B8"/>
    <w:rsid w:val="007C58BC"/>
    <w:rsid w:val="007C5D0C"/>
    <w:rsid w:val="007C6120"/>
    <w:rsid w:val="007C645E"/>
    <w:rsid w:val="007C6A32"/>
    <w:rsid w:val="007C6EDB"/>
    <w:rsid w:val="007C7810"/>
    <w:rsid w:val="007D01E6"/>
    <w:rsid w:val="007D0277"/>
    <w:rsid w:val="007D058E"/>
    <w:rsid w:val="007D0826"/>
    <w:rsid w:val="007D0958"/>
    <w:rsid w:val="007D0CB0"/>
    <w:rsid w:val="007D0FAA"/>
    <w:rsid w:val="007D1005"/>
    <w:rsid w:val="007D1752"/>
    <w:rsid w:val="007D1982"/>
    <w:rsid w:val="007D1B1F"/>
    <w:rsid w:val="007D1F98"/>
    <w:rsid w:val="007D2220"/>
    <w:rsid w:val="007D2741"/>
    <w:rsid w:val="007D2A12"/>
    <w:rsid w:val="007D2B91"/>
    <w:rsid w:val="007D2C51"/>
    <w:rsid w:val="007D2FE9"/>
    <w:rsid w:val="007D3988"/>
    <w:rsid w:val="007D3A54"/>
    <w:rsid w:val="007D3BDB"/>
    <w:rsid w:val="007D3CBC"/>
    <w:rsid w:val="007D3EFF"/>
    <w:rsid w:val="007D4319"/>
    <w:rsid w:val="007D43D3"/>
    <w:rsid w:val="007D49A5"/>
    <w:rsid w:val="007D4AA8"/>
    <w:rsid w:val="007D4AE9"/>
    <w:rsid w:val="007D4DEE"/>
    <w:rsid w:val="007D517A"/>
    <w:rsid w:val="007D541F"/>
    <w:rsid w:val="007D5D56"/>
    <w:rsid w:val="007D65F5"/>
    <w:rsid w:val="007D6762"/>
    <w:rsid w:val="007D6B9D"/>
    <w:rsid w:val="007D6C43"/>
    <w:rsid w:val="007D71B9"/>
    <w:rsid w:val="007D76A6"/>
    <w:rsid w:val="007D7A49"/>
    <w:rsid w:val="007D7CFD"/>
    <w:rsid w:val="007E0128"/>
    <w:rsid w:val="007E02EB"/>
    <w:rsid w:val="007E02EE"/>
    <w:rsid w:val="007E069A"/>
    <w:rsid w:val="007E0B88"/>
    <w:rsid w:val="007E0C3C"/>
    <w:rsid w:val="007E0EF2"/>
    <w:rsid w:val="007E1659"/>
    <w:rsid w:val="007E188B"/>
    <w:rsid w:val="007E1C16"/>
    <w:rsid w:val="007E214D"/>
    <w:rsid w:val="007E24DE"/>
    <w:rsid w:val="007E2506"/>
    <w:rsid w:val="007E26BA"/>
    <w:rsid w:val="007E27F1"/>
    <w:rsid w:val="007E3485"/>
    <w:rsid w:val="007E3732"/>
    <w:rsid w:val="007E3F1D"/>
    <w:rsid w:val="007E4646"/>
    <w:rsid w:val="007E4C7E"/>
    <w:rsid w:val="007E4DA9"/>
    <w:rsid w:val="007E4FEA"/>
    <w:rsid w:val="007E5038"/>
    <w:rsid w:val="007E52F0"/>
    <w:rsid w:val="007E53DE"/>
    <w:rsid w:val="007E5594"/>
    <w:rsid w:val="007E5839"/>
    <w:rsid w:val="007E586F"/>
    <w:rsid w:val="007E5AC6"/>
    <w:rsid w:val="007E6091"/>
    <w:rsid w:val="007E60BC"/>
    <w:rsid w:val="007E6792"/>
    <w:rsid w:val="007E6E4B"/>
    <w:rsid w:val="007E6E8C"/>
    <w:rsid w:val="007E7084"/>
    <w:rsid w:val="007E74CD"/>
    <w:rsid w:val="007E7562"/>
    <w:rsid w:val="007E7894"/>
    <w:rsid w:val="007E78CB"/>
    <w:rsid w:val="007E7933"/>
    <w:rsid w:val="007E7988"/>
    <w:rsid w:val="007E7D14"/>
    <w:rsid w:val="007E7F16"/>
    <w:rsid w:val="007F05B2"/>
    <w:rsid w:val="007F0717"/>
    <w:rsid w:val="007F073B"/>
    <w:rsid w:val="007F07EB"/>
    <w:rsid w:val="007F17A4"/>
    <w:rsid w:val="007F1A5D"/>
    <w:rsid w:val="007F1BF0"/>
    <w:rsid w:val="007F1C7D"/>
    <w:rsid w:val="007F213F"/>
    <w:rsid w:val="007F22C8"/>
    <w:rsid w:val="007F22E2"/>
    <w:rsid w:val="007F2EB4"/>
    <w:rsid w:val="007F2F11"/>
    <w:rsid w:val="007F31A5"/>
    <w:rsid w:val="007F3655"/>
    <w:rsid w:val="007F39B7"/>
    <w:rsid w:val="007F3A6A"/>
    <w:rsid w:val="007F3ADD"/>
    <w:rsid w:val="007F3B98"/>
    <w:rsid w:val="007F3BEE"/>
    <w:rsid w:val="007F3E67"/>
    <w:rsid w:val="007F44B5"/>
    <w:rsid w:val="007F49E9"/>
    <w:rsid w:val="007F4AAB"/>
    <w:rsid w:val="007F510D"/>
    <w:rsid w:val="007F52EB"/>
    <w:rsid w:val="007F575A"/>
    <w:rsid w:val="007F5CFA"/>
    <w:rsid w:val="007F67C0"/>
    <w:rsid w:val="007F739D"/>
    <w:rsid w:val="007F747A"/>
    <w:rsid w:val="007F7ED4"/>
    <w:rsid w:val="007F7F1B"/>
    <w:rsid w:val="008004B8"/>
    <w:rsid w:val="00800688"/>
    <w:rsid w:val="00801720"/>
    <w:rsid w:val="0080172D"/>
    <w:rsid w:val="008017CF"/>
    <w:rsid w:val="00801FFC"/>
    <w:rsid w:val="0080205B"/>
    <w:rsid w:val="00802182"/>
    <w:rsid w:val="0080235F"/>
    <w:rsid w:val="008023E0"/>
    <w:rsid w:val="008025F3"/>
    <w:rsid w:val="00802A87"/>
    <w:rsid w:val="00802AD4"/>
    <w:rsid w:val="00802B13"/>
    <w:rsid w:val="00802CE5"/>
    <w:rsid w:val="00803166"/>
    <w:rsid w:val="00803371"/>
    <w:rsid w:val="0080386C"/>
    <w:rsid w:val="00803EF8"/>
    <w:rsid w:val="00803FAA"/>
    <w:rsid w:val="00803FBB"/>
    <w:rsid w:val="00803FEA"/>
    <w:rsid w:val="00804582"/>
    <w:rsid w:val="00804690"/>
    <w:rsid w:val="00804715"/>
    <w:rsid w:val="0080490B"/>
    <w:rsid w:val="00804AC7"/>
    <w:rsid w:val="00804B6C"/>
    <w:rsid w:val="0080513B"/>
    <w:rsid w:val="008051EC"/>
    <w:rsid w:val="008055A5"/>
    <w:rsid w:val="00805983"/>
    <w:rsid w:val="008059D8"/>
    <w:rsid w:val="00806008"/>
    <w:rsid w:val="0080625F"/>
    <w:rsid w:val="008062AC"/>
    <w:rsid w:val="008066B5"/>
    <w:rsid w:val="0080677D"/>
    <w:rsid w:val="00806A4E"/>
    <w:rsid w:val="00806A72"/>
    <w:rsid w:val="008072E9"/>
    <w:rsid w:val="00807605"/>
    <w:rsid w:val="0080767D"/>
    <w:rsid w:val="00807749"/>
    <w:rsid w:val="00807975"/>
    <w:rsid w:val="00807E8A"/>
    <w:rsid w:val="00810123"/>
    <w:rsid w:val="00810F71"/>
    <w:rsid w:val="0081114A"/>
    <w:rsid w:val="008111B7"/>
    <w:rsid w:val="008115D8"/>
    <w:rsid w:val="00811847"/>
    <w:rsid w:val="008121FD"/>
    <w:rsid w:val="00812229"/>
    <w:rsid w:val="008122A4"/>
    <w:rsid w:val="00812388"/>
    <w:rsid w:val="00812CDE"/>
    <w:rsid w:val="00812E72"/>
    <w:rsid w:val="0081305C"/>
    <w:rsid w:val="008130BA"/>
    <w:rsid w:val="00813146"/>
    <w:rsid w:val="008131DA"/>
    <w:rsid w:val="0081384A"/>
    <w:rsid w:val="00813B20"/>
    <w:rsid w:val="00814415"/>
    <w:rsid w:val="0081442A"/>
    <w:rsid w:val="008144AF"/>
    <w:rsid w:val="00814569"/>
    <w:rsid w:val="00814703"/>
    <w:rsid w:val="0081489B"/>
    <w:rsid w:val="00814B6B"/>
    <w:rsid w:val="00814EDC"/>
    <w:rsid w:val="0081574A"/>
    <w:rsid w:val="00816C0F"/>
    <w:rsid w:val="00816EE3"/>
    <w:rsid w:val="00816FA1"/>
    <w:rsid w:val="008172A1"/>
    <w:rsid w:val="00817545"/>
    <w:rsid w:val="00817680"/>
    <w:rsid w:val="00817858"/>
    <w:rsid w:val="00817E99"/>
    <w:rsid w:val="00820285"/>
    <w:rsid w:val="00821257"/>
    <w:rsid w:val="00821265"/>
    <w:rsid w:val="008212D4"/>
    <w:rsid w:val="0082152A"/>
    <w:rsid w:val="00821EE7"/>
    <w:rsid w:val="00822D9E"/>
    <w:rsid w:val="00822F01"/>
    <w:rsid w:val="0082333D"/>
    <w:rsid w:val="008236ED"/>
    <w:rsid w:val="00823881"/>
    <w:rsid w:val="00823C93"/>
    <w:rsid w:val="00823F3B"/>
    <w:rsid w:val="008240E3"/>
    <w:rsid w:val="008246AF"/>
    <w:rsid w:val="00824E34"/>
    <w:rsid w:val="00824F08"/>
    <w:rsid w:val="0082500A"/>
    <w:rsid w:val="008251CB"/>
    <w:rsid w:val="008258C2"/>
    <w:rsid w:val="00825A69"/>
    <w:rsid w:val="00826121"/>
    <w:rsid w:val="0082628F"/>
    <w:rsid w:val="0082636F"/>
    <w:rsid w:val="008267E1"/>
    <w:rsid w:val="00826871"/>
    <w:rsid w:val="00826BC0"/>
    <w:rsid w:val="00826DE5"/>
    <w:rsid w:val="00826EEB"/>
    <w:rsid w:val="00827416"/>
    <w:rsid w:val="0082747A"/>
    <w:rsid w:val="00827828"/>
    <w:rsid w:val="008278D2"/>
    <w:rsid w:val="00827F12"/>
    <w:rsid w:val="00827F5A"/>
    <w:rsid w:val="0083006B"/>
    <w:rsid w:val="008301FA"/>
    <w:rsid w:val="0083040D"/>
    <w:rsid w:val="008304C8"/>
    <w:rsid w:val="008308A3"/>
    <w:rsid w:val="008309DC"/>
    <w:rsid w:val="00830F73"/>
    <w:rsid w:val="0083104C"/>
    <w:rsid w:val="0083110D"/>
    <w:rsid w:val="008312A9"/>
    <w:rsid w:val="0083131C"/>
    <w:rsid w:val="00831601"/>
    <w:rsid w:val="00831A36"/>
    <w:rsid w:val="00831C64"/>
    <w:rsid w:val="00831E43"/>
    <w:rsid w:val="00832578"/>
    <w:rsid w:val="00832584"/>
    <w:rsid w:val="008325F5"/>
    <w:rsid w:val="0083274A"/>
    <w:rsid w:val="00832B23"/>
    <w:rsid w:val="00832F91"/>
    <w:rsid w:val="00833122"/>
    <w:rsid w:val="00833187"/>
    <w:rsid w:val="008331A7"/>
    <w:rsid w:val="008333B9"/>
    <w:rsid w:val="00833568"/>
    <w:rsid w:val="0083388E"/>
    <w:rsid w:val="008342C3"/>
    <w:rsid w:val="00834A4C"/>
    <w:rsid w:val="00834FA7"/>
    <w:rsid w:val="0083514C"/>
    <w:rsid w:val="0083522C"/>
    <w:rsid w:val="00835688"/>
    <w:rsid w:val="00835E16"/>
    <w:rsid w:val="008368DA"/>
    <w:rsid w:val="00836E28"/>
    <w:rsid w:val="00836E6D"/>
    <w:rsid w:val="008372C2"/>
    <w:rsid w:val="00837CAF"/>
    <w:rsid w:val="00840073"/>
    <w:rsid w:val="008402BF"/>
    <w:rsid w:val="00840417"/>
    <w:rsid w:val="008408CF"/>
    <w:rsid w:val="00840DFB"/>
    <w:rsid w:val="00840E00"/>
    <w:rsid w:val="00840F77"/>
    <w:rsid w:val="008411C0"/>
    <w:rsid w:val="00841FE8"/>
    <w:rsid w:val="0084203E"/>
    <w:rsid w:val="00842791"/>
    <w:rsid w:val="00842E08"/>
    <w:rsid w:val="00843029"/>
    <w:rsid w:val="00843139"/>
    <w:rsid w:val="008434D7"/>
    <w:rsid w:val="0084351C"/>
    <w:rsid w:val="008439A1"/>
    <w:rsid w:val="008439CE"/>
    <w:rsid w:val="00843B33"/>
    <w:rsid w:val="00843B63"/>
    <w:rsid w:val="00843C13"/>
    <w:rsid w:val="00843DB6"/>
    <w:rsid w:val="008447EE"/>
    <w:rsid w:val="00844ADB"/>
    <w:rsid w:val="00845734"/>
    <w:rsid w:val="00845C90"/>
    <w:rsid w:val="00845CF7"/>
    <w:rsid w:val="00845DA1"/>
    <w:rsid w:val="00845E46"/>
    <w:rsid w:val="00845EA7"/>
    <w:rsid w:val="0084667F"/>
    <w:rsid w:val="008469BA"/>
    <w:rsid w:val="00846B49"/>
    <w:rsid w:val="00846D8F"/>
    <w:rsid w:val="00846F77"/>
    <w:rsid w:val="00850438"/>
    <w:rsid w:val="008505D5"/>
    <w:rsid w:val="00850B9D"/>
    <w:rsid w:val="0085184A"/>
    <w:rsid w:val="00851C25"/>
    <w:rsid w:val="00851F2A"/>
    <w:rsid w:val="00852095"/>
    <w:rsid w:val="0085238E"/>
    <w:rsid w:val="008524CF"/>
    <w:rsid w:val="00852727"/>
    <w:rsid w:val="00852C48"/>
    <w:rsid w:val="00852C67"/>
    <w:rsid w:val="00852FE9"/>
    <w:rsid w:val="00853099"/>
    <w:rsid w:val="008532B5"/>
    <w:rsid w:val="008537F2"/>
    <w:rsid w:val="00853F5F"/>
    <w:rsid w:val="00854486"/>
    <w:rsid w:val="00854889"/>
    <w:rsid w:val="00854BD9"/>
    <w:rsid w:val="00854D3C"/>
    <w:rsid w:val="008555C4"/>
    <w:rsid w:val="008556DF"/>
    <w:rsid w:val="008556F8"/>
    <w:rsid w:val="00855812"/>
    <w:rsid w:val="00855D85"/>
    <w:rsid w:val="008564A7"/>
    <w:rsid w:val="00856950"/>
    <w:rsid w:val="008569B7"/>
    <w:rsid w:val="008569C4"/>
    <w:rsid w:val="00856AF0"/>
    <w:rsid w:val="00856CBD"/>
    <w:rsid w:val="00857CEC"/>
    <w:rsid w:val="00857D0F"/>
    <w:rsid w:val="00857F6F"/>
    <w:rsid w:val="00857FD8"/>
    <w:rsid w:val="00860098"/>
    <w:rsid w:val="0086014C"/>
    <w:rsid w:val="008602CE"/>
    <w:rsid w:val="0086054F"/>
    <w:rsid w:val="008605E7"/>
    <w:rsid w:val="00861405"/>
    <w:rsid w:val="00861558"/>
    <w:rsid w:val="00861785"/>
    <w:rsid w:val="00861A59"/>
    <w:rsid w:val="00861FA0"/>
    <w:rsid w:val="0086268E"/>
    <w:rsid w:val="00862699"/>
    <w:rsid w:val="00862ACD"/>
    <w:rsid w:val="00862B94"/>
    <w:rsid w:val="00862E0C"/>
    <w:rsid w:val="00862E4F"/>
    <w:rsid w:val="00862F5B"/>
    <w:rsid w:val="0086341E"/>
    <w:rsid w:val="008638A4"/>
    <w:rsid w:val="00864039"/>
    <w:rsid w:val="00864212"/>
    <w:rsid w:val="00864337"/>
    <w:rsid w:val="00864477"/>
    <w:rsid w:val="008648B8"/>
    <w:rsid w:val="008649F5"/>
    <w:rsid w:val="00864F1C"/>
    <w:rsid w:val="0086505F"/>
    <w:rsid w:val="008652D0"/>
    <w:rsid w:val="008656EA"/>
    <w:rsid w:val="0086575A"/>
    <w:rsid w:val="0086580B"/>
    <w:rsid w:val="0086629C"/>
    <w:rsid w:val="008664EE"/>
    <w:rsid w:val="0086674F"/>
    <w:rsid w:val="00866CEA"/>
    <w:rsid w:val="008671ED"/>
    <w:rsid w:val="00867D7B"/>
    <w:rsid w:val="00867DE0"/>
    <w:rsid w:val="0087026C"/>
    <w:rsid w:val="0087067B"/>
    <w:rsid w:val="00870C60"/>
    <w:rsid w:val="00870DD2"/>
    <w:rsid w:val="008710EE"/>
    <w:rsid w:val="008717DA"/>
    <w:rsid w:val="0087183F"/>
    <w:rsid w:val="00871FCE"/>
    <w:rsid w:val="008726B3"/>
    <w:rsid w:val="00872828"/>
    <w:rsid w:val="0087282E"/>
    <w:rsid w:val="00872996"/>
    <w:rsid w:val="00872D79"/>
    <w:rsid w:val="00872E77"/>
    <w:rsid w:val="00872FAD"/>
    <w:rsid w:val="008730B3"/>
    <w:rsid w:val="008733F5"/>
    <w:rsid w:val="00873897"/>
    <w:rsid w:val="00873C59"/>
    <w:rsid w:val="00874164"/>
    <w:rsid w:val="0087425C"/>
    <w:rsid w:val="0087496D"/>
    <w:rsid w:val="00874A74"/>
    <w:rsid w:val="00874E23"/>
    <w:rsid w:val="0087511D"/>
    <w:rsid w:val="008752B8"/>
    <w:rsid w:val="00875750"/>
    <w:rsid w:val="008758F9"/>
    <w:rsid w:val="00875E20"/>
    <w:rsid w:val="00875F29"/>
    <w:rsid w:val="00875FAD"/>
    <w:rsid w:val="00875FC4"/>
    <w:rsid w:val="00876025"/>
    <w:rsid w:val="00876336"/>
    <w:rsid w:val="00876633"/>
    <w:rsid w:val="00876694"/>
    <w:rsid w:val="008773B6"/>
    <w:rsid w:val="00877557"/>
    <w:rsid w:val="0087792C"/>
    <w:rsid w:val="008802B0"/>
    <w:rsid w:val="00880944"/>
    <w:rsid w:val="00880AF0"/>
    <w:rsid w:val="00880CCF"/>
    <w:rsid w:val="00881765"/>
    <w:rsid w:val="0088181B"/>
    <w:rsid w:val="00881AEE"/>
    <w:rsid w:val="0088201F"/>
    <w:rsid w:val="00882ABE"/>
    <w:rsid w:val="00882E6C"/>
    <w:rsid w:val="0088317A"/>
    <w:rsid w:val="008832EA"/>
    <w:rsid w:val="00883795"/>
    <w:rsid w:val="0088384A"/>
    <w:rsid w:val="00883917"/>
    <w:rsid w:val="008839D3"/>
    <w:rsid w:val="00883A69"/>
    <w:rsid w:val="00883E07"/>
    <w:rsid w:val="0088430A"/>
    <w:rsid w:val="00884905"/>
    <w:rsid w:val="00884B1C"/>
    <w:rsid w:val="00885118"/>
    <w:rsid w:val="008854DB"/>
    <w:rsid w:val="00885626"/>
    <w:rsid w:val="00885636"/>
    <w:rsid w:val="008856F8"/>
    <w:rsid w:val="00885D57"/>
    <w:rsid w:val="00885DAB"/>
    <w:rsid w:val="00885FAE"/>
    <w:rsid w:val="008860BB"/>
    <w:rsid w:val="008866E0"/>
    <w:rsid w:val="0088685D"/>
    <w:rsid w:val="00886887"/>
    <w:rsid w:val="00886BB3"/>
    <w:rsid w:val="00886E12"/>
    <w:rsid w:val="00887485"/>
    <w:rsid w:val="00887F41"/>
    <w:rsid w:val="00887F99"/>
    <w:rsid w:val="0089025D"/>
    <w:rsid w:val="00890349"/>
    <w:rsid w:val="00890392"/>
    <w:rsid w:val="008904BE"/>
    <w:rsid w:val="00890977"/>
    <w:rsid w:val="00890E0A"/>
    <w:rsid w:val="00890E7F"/>
    <w:rsid w:val="00891045"/>
    <w:rsid w:val="00891046"/>
    <w:rsid w:val="008910E0"/>
    <w:rsid w:val="008911BE"/>
    <w:rsid w:val="00891265"/>
    <w:rsid w:val="00891273"/>
    <w:rsid w:val="00891282"/>
    <w:rsid w:val="00891344"/>
    <w:rsid w:val="00891B77"/>
    <w:rsid w:val="00891E1B"/>
    <w:rsid w:val="00891E5B"/>
    <w:rsid w:val="00892B11"/>
    <w:rsid w:val="00892CF9"/>
    <w:rsid w:val="00892E4C"/>
    <w:rsid w:val="008934D0"/>
    <w:rsid w:val="00893AFA"/>
    <w:rsid w:val="00893DE3"/>
    <w:rsid w:val="00894117"/>
    <w:rsid w:val="0089423A"/>
    <w:rsid w:val="008944EA"/>
    <w:rsid w:val="00894863"/>
    <w:rsid w:val="00894E22"/>
    <w:rsid w:val="008953BD"/>
    <w:rsid w:val="00895460"/>
    <w:rsid w:val="008956F6"/>
    <w:rsid w:val="00896120"/>
    <w:rsid w:val="0089612F"/>
    <w:rsid w:val="00896183"/>
    <w:rsid w:val="0089651E"/>
    <w:rsid w:val="008965BB"/>
    <w:rsid w:val="00896972"/>
    <w:rsid w:val="00896BA7"/>
    <w:rsid w:val="00896CCB"/>
    <w:rsid w:val="00896D57"/>
    <w:rsid w:val="008977E6"/>
    <w:rsid w:val="008978BA"/>
    <w:rsid w:val="00897912"/>
    <w:rsid w:val="00897BCB"/>
    <w:rsid w:val="00897DB8"/>
    <w:rsid w:val="008A0384"/>
    <w:rsid w:val="008A05F7"/>
    <w:rsid w:val="008A0A0C"/>
    <w:rsid w:val="008A0B69"/>
    <w:rsid w:val="008A1022"/>
    <w:rsid w:val="008A1EF3"/>
    <w:rsid w:val="008A246E"/>
    <w:rsid w:val="008A2A76"/>
    <w:rsid w:val="008A2DB2"/>
    <w:rsid w:val="008A31E5"/>
    <w:rsid w:val="008A342C"/>
    <w:rsid w:val="008A3433"/>
    <w:rsid w:val="008A366F"/>
    <w:rsid w:val="008A394B"/>
    <w:rsid w:val="008A3DD5"/>
    <w:rsid w:val="008A5968"/>
    <w:rsid w:val="008A5CCC"/>
    <w:rsid w:val="008A5ED3"/>
    <w:rsid w:val="008A60D1"/>
    <w:rsid w:val="008A6113"/>
    <w:rsid w:val="008A63C4"/>
    <w:rsid w:val="008A6550"/>
    <w:rsid w:val="008A6852"/>
    <w:rsid w:val="008A6AD9"/>
    <w:rsid w:val="008A6F19"/>
    <w:rsid w:val="008A6F84"/>
    <w:rsid w:val="008A701F"/>
    <w:rsid w:val="008A72D8"/>
    <w:rsid w:val="008A7733"/>
    <w:rsid w:val="008A79CE"/>
    <w:rsid w:val="008A7D3C"/>
    <w:rsid w:val="008A7E2A"/>
    <w:rsid w:val="008A7E91"/>
    <w:rsid w:val="008A7F16"/>
    <w:rsid w:val="008A7F5A"/>
    <w:rsid w:val="008B022F"/>
    <w:rsid w:val="008B0BD8"/>
    <w:rsid w:val="008B101B"/>
    <w:rsid w:val="008B143C"/>
    <w:rsid w:val="008B179A"/>
    <w:rsid w:val="008B1C09"/>
    <w:rsid w:val="008B1EF8"/>
    <w:rsid w:val="008B210D"/>
    <w:rsid w:val="008B2555"/>
    <w:rsid w:val="008B2592"/>
    <w:rsid w:val="008B26A4"/>
    <w:rsid w:val="008B27D4"/>
    <w:rsid w:val="008B27D5"/>
    <w:rsid w:val="008B2C86"/>
    <w:rsid w:val="008B3051"/>
    <w:rsid w:val="008B3134"/>
    <w:rsid w:val="008B317A"/>
    <w:rsid w:val="008B3480"/>
    <w:rsid w:val="008B368B"/>
    <w:rsid w:val="008B38C5"/>
    <w:rsid w:val="008B3B04"/>
    <w:rsid w:val="008B41CA"/>
    <w:rsid w:val="008B43A3"/>
    <w:rsid w:val="008B4638"/>
    <w:rsid w:val="008B467C"/>
    <w:rsid w:val="008B4BB9"/>
    <w:rsid w:val="008B4CDC"/>
    <w:rsid w:val="008B4F3F"/>
    <w:rsid w:val="008B52ED"/>
    <w:rsid w:val="008B535C"/>
    <w:rsid w:val="008B55B6"/>
    <w:rsid w:val="008B56E8"/>
    <w:rsid w:val="008B598F"/>
    <w:rsid w:val="008B5DDE"/>
    <w:rsid w:val="008B5EE7"/>
    <w:rsid w:val="008B6091"/>
    <w:rsid w:val="008B62EC"/>
    <w:rsid w:val="008B637F"/>
    <w:rsid w:val="008B68F7"/>
    <w:rsid w:val="008B6F55"/>
    <w:rsid w:val="008B7165"/>
    <w:rsid w:val="008B74D9"/>
    <w:rsid w:val="008B7526"/>
    <w:rsid w:val="008B764D"/>
    <w:rsid w:val="008B772F"/>
    <w:rsid w:val="008B77BA"/>
    <w:rsid w:val="008B7EC4"/>
    <w:rsid w:val="008B7FD7"/>
    <w:rsid w:val="008C017E"/>
    <w:rsid w:val="008C01B9"/>
    <w:rsid w:val="008C0337"/>
    <w:rsid w:val="008C074C"/>
    <w:rsid w:val="008C085D"/>
    <w:rsid w:val="008C087C"/>
    <w:rsid w:val="008C0BCC"/>
    <w:rsid w:val="008C0C03"/>
    <w:rsid w:val="008C0C7D"/>
    <w:rsid w:val="008C0CB5"/>
    <w:rsid w:val="008C0CEE"/>
    <w:rsid w:val="008C155D"/>
    <w:rsid w:val="008C1AD1"/>
    <w:rsid w:val="008C1E38"/>
    <w:rsid w:val="008C1E47"/>
    <w:rsid w:val="008C1E99"/>
    <w:rsid w:val="008C2014"/>
    <w:rsid w:val="008C207B"/>
    <w:rsid w:val="008C210E"/>
    <w:rsid w:val="008C2286"/>
    <w:rsid w:val="008C291C"/>
    <w:rsid w:val="008C2B02"/>
    <w:rsid w:val="008C2B85"/>
    <w:rsid w:val="008C2FFF"/>
    <w:rsid w:val="008C303B"/>
    <w:rsid w:val="008C32D1"/>
    <w:rsid w:val="008C39E0"/>
    <w:rsid w:val="008C3E0B"/>
    <w:rsid w:val="008C3EB8"/>
    <w:rsid w:val="008C3EFB"/>
    <w:rsid w:val="008C4191"/>
    <w:rsid w:val="008C4450"/>
    <w:rsid w:val="008C48BF"/>
    <w:rsid w:val="008C4B9F"/>
    <w:rsid w:val="008C4E9E"/>
    <w:rsid w:val="008C4EF2"/>
    <w:rsid w:val="008C53AD"/>
    <w:rsid w:val="008C594F"/>
    <w:rsid w:val="008C5CB2"/>
    <w:rsid w:val="008C5E0B"/>
    <w:rsid w:val="008C5F1A"/>
    <w:rsid w:val="008C677E"/>
    <w:rsid w:val="008C687B"/>
    <w:rsid w:val="008C6C1E"/>
    <w:rsid w:val="008C6F56"/>
    <w:rsid w:val="008C70DA"/>
    <w:rsid w:val="008C715D"/>
    <w:rsid w:val="008C7231"/>
    <w:rsid w:val="008C7888"/>
    <w:rsid w:val="008C7D06"/>
    <w:rsid w:val="008C7D37"/>
    <w:rsid w:val="008D0507"/>
    <w:rsid w:val="008D0A27"/>
    <w:rsid w:val="008D0B9E"/>
    <w:rsid w:val="008D1265"/>
    <w:rsid w:val="008D1427"/>
    <w:rsid w:val="008D1731"/>
    <w:rsid w:val="008D209F"/>
    <w:rsid w:val="008D2450"/>
    <w:rsid w:val="008D24D6"/>
    <w:rsid w:val="008D267F"/>
    <w:rsid w:val="008D28BA"/>
    <w:rsid w:val="008D29FC"/>
    <w:rsid w:val="008D2B65"/>
    <w:rsid w:val="008D3904"/>
    <w:rsid w:val="008D3F48"/>
    <w:rsid w:val="008D3FD1"/>
    <w:rsid w:val="008D44D9"/>
    <w:rsid w:val="008D48F7"/>
    <w:rsid w:val="008D49D7"/>
    <w:rsid w:val="008D4D54"/>
    <w:rsid w:val="008D4F9B"/>
    <w:rsid w:val="008D5057"/>
    <w:rsid w:val="008D5373"/>
    <w:rsid w:val="008D579C"/>
    <w:rsid w:val="008D5B8E"/>
    <w:rsid w:val="008D5CE2"/>
    <w:rsid w:val="008D5F1D"/>
    <w:rsid w:val="008D66B9"/>
    <w:rsid w:val="008D673D"/>
    <w:rsid w:val="008D67C1"/>
    <w:rsid w:val="008D6C06"/>
    <w:rsid w:val="008D6D04"/>
    <w:rsid w:val="008D6F00"/>
    <w:rsid w:val="008D771D"/>
    <w:rsid w:val="008D7A74"/>
    <w:rsid w:val="008D7C13"/>
    <w:rsid w:val="008D7DD1"/>
    <w:rsid w:val="008E0899"/>
    <w:rsid w:val="008E09A8"/>
    <w:rsid w:val="008E0AD7"/>
    <w:rsid w:val="008E0C54"/>
    <w:rsid w:val="008E0FBA"/>
    <w:rsid w:val="008E11A6"/>
    <w:rsid w:val="008E19E1"/>
    <w:rsid w:val="008E2394"/>
    <w:rsid w:val="008E257E"/>
    <w:rsid w:val="008E287A"/>
    <w:rsid w:val="008E2B01"/>
    <w:rsid w:val="008E2D6B"/>
    <w:rsid w:val="008E32C6"/>
    <w:rsid w:val="008E34B2"/>
    <w:rsid w:val="008E37B2"/>
    <w:rsid w:val="008E3838"/>
    <w:rsid w:val="008E3CF0"/>
    <w:rsid w:val="008E3EA5"/>
    <w:rsid w:val="008E3F57"/>
    <w:rsid w:val="008E4017"/>
    <w:rsid w:val="008E414E"/>
    <w:rsid w:val="008E43F8"/>
    <w:rsid w:val="008E47C8"/>
    <w:rsid w:val="008E4B17"/>
    <w:rsid w:val="008E4D04"/>
    <w:rsid w:val="008E514E"/>
    <w:rsid w:val="008E528D"/>
    <w:rsid w:val="008E5372"/>
    <w:rsid w:val="008E5A73"/>
    <w:rsid w:val="008E5CD1"/>
    <w:rsid w:val="008E5DC3"/>
    <w:rsid w:val="008E625C"/>
    <w:rsid w:val="008E6294"/>
    <w:rsid w:val="008E683C"/>
    <w:rsid w:val="008E68B1"/>
    <w:rsid w:val="008E6C52"/>
    <w:rsid w:val="008E6D9F"/>
    <w:rsid w:val="008E6E4A"/>
    <w:rsid w:val="008E7186"/>
    <w:rsid w:val="008E775A"/>
    <w:rsid w:val="008E77CB"/>
    <w:rsid w:val="008F063E"/>
    <w:rsid w:val="008F074D"/>
    <w:rsid w:val="008F0936"/>
    <w:rsid w:val="008F0950"/>
    <w:rsid w:val="008F0962"/>
    <w:rsid w:val="008F0B0A"/>
    <w:rsid w:val="008F107E"/>
    <w:rsid w:val="008F10A1"/>
    <w:rsid w:val="008F1145"/>
    <w:rsid w:val="008F14FE"/>
    <w:rsid w:val="008F15C2"/>
    <w:rsid w:val="008F15C7"/>
    <w:rsid w:val="008F19EF"/>
    <w:rsid w:val="008F1A44"/>
    <w:rsid w:val="008F1BFA"/>
    <w:rsid w:val="008F1C1C"/>
    <w:rsid w:val="008F2022"/>
    <w:rsid w:val="008F25DE"/>
    <w:rsid w:val="008F263A"/>
    <w:rsid w:val="008F2B0F"/>
    <w:rsid w:val="008F2BEB"/>
    <w:rsid w:val="008F2E54"/>
    <w:rsid w:val="008F3151"/>
    <w:rsid w:val="008F31CA"/>
    <w:rsid w:val="008F31EF"/>
    <w:rsid w:val="008F3477"/>
    <w:rsid w:val="008F3A92"/>
    <w:rsid w:val="008F3F28"/>
    <w:rsid w:val="008F41C3"/>
    <w:rsid w:val="008F43D0"/>
    <w:rsid w:val="008F441A"/>
    <w:rsid w:val="008F4794"/>
    <w:rsid w:val="008F484B"/>
    <w:rsid w:val="008F4CE4"/>
    <w:rsid w:val="008F4F5F"/>
    <w:rsid w:val="008F5353"/>
    <w:rsid w:val="008F5663"/>
    <w:rsid w:val="008F5A6E"/>
    <w:rsid w:val="008F5E0B"/>
    <w:rsid w:val="008F6206"/>
    <w:rsid w:val="008F6380"/>
    <w:rsid w:val="008F657F"/>
    <w:rsid w:val="008F66AC"/>
    <w:rsid w:val="008F695A"/>
    <w:rsid w:val="008F709F"/>
    <w:rsid w:val="008F7FE8"/>
    <w:rsid w:val="00900234"/>
    <w:rsid w:val="00900472"/>
    <w:rsid w:val="00900688"/>
    <w:rsid w:val="00900C1A"/>
    <w:rsid w:val="00901128"/>
    <w:rsid w:val="00901183"/>
    <w:rsid w:val="00901349"/>
    <w:rsid w:val="0090169C"/>
    <w:rsid w:val="00901948"/>
    <w:rsid w:val="00902019"/>
    <w:rsid w:val="00902925"/>
    <w:rsid w:val="009029D5"/>
    <w:rsid w:val="00902B30"/>
    <w:rsid w:val="00902E50"/>
    <w:rsid w:val="00902FBB"/>
    <w:rsid w:val="009033EA"/>
    <w:rsid w:val="00903ADC"/>
    <w:rsid w:val="00903E34"/>
    <w:rsid w:val="00904073"/>
    <w:rsid w:val="009041EB"/>
    <w:rsid w:val="00904253"/>
    <w:rsid w:val="009048ED"/>
    <w:rsid w:val="00904C96"/>
    <w:rsid w:val="00904E8A"/>
    <w:rsid w:val="00904FBB"/>
    <w:rsid w:val="00904FDB"/>
    <w:rsid w:val="00905851"/>
    <w:rsid w:val="00905B40"/>
    <w:rsid w:val="009061F3"/>
    <w:rsid w:val="0090630B"/>
    <w:rsid w:val="009063F4"/>
    <w:rsid w:val="00906D87"/>
    <w:rsid w:val="00906DB4"/>
    <w:rsid w:val="00907376"/>
    <w:rsid w:val="00907509"/>
    <w:rsid w:val="0090757B"/>
    <w:rsid w:val="009075BE"/>
    <w:rsid w:val="00907AF0"/>
    <w:rsid w:val="00907DFB"/>
    <w:rsid w:val="00907EA7"/>
    <w:rsid w:val="009106AF"/>
    <w:rsid w:val="00910AB0"/>
    <w:rsid w:val="00910AE1"/>
    <w:rsid w:val="00910B37"/>
    <w:rsid w:val="009112EE"/>
    <w:rsid w:val="00911B38"/>
    <w:rsid w:val="009124A5"/>
    <w:rsid w:val="009124A8"/>
    <w:rsid w:val="00912E4C"/>
    <w:rsid w:val="00913056"/>
    <w:rsid w:val="00913238"/>
    <w:rsid w:val="00913618"/>
    <w:rsid w:val="0091397D"/>
    <w:rsid w:val="00914045"/>
    <w:rsid w:val="0091418F"/>
    <w:rsid w:val="0091433A"/>
    <w:rsid w:val="0091491F"/>
    <w:rsid w:val="00914A08"/>
    <w:rsid w:val="00914BD9"/>
    <w:rsid w:val="00914D74"/>
    <w:rsid w:val="00915019"/>
    <w:rsid w:val="00915094"/>
    <w:rsid w:val="0091533B"/>
    <w:rsid w:val="00915515"/>
    <w:rsid w:val="009155B3"/>
    <w:rsid w:val="009155D4"/>
    <w:rsid w:val="00915BEB"/>
    <w:rsid w:val="00915F06"/>
    <w:rsid w:val="00916455"/>
    <w:rsid w:val="009169A2"/>
    <w:rsid w:val="00916A53"/>
    <w:rsid w:val="00916E18"/>
    <w:rsid w:val="00916E43"/>
    <w:rsid w:val="00916EE7"/>
    <w:rsid w:val="0091723F"/>
    <w:rsid w:val="009175B7"/>
    <w:rsid w:val="00917A4F"/>
    <w:rsid w:val="00917AFA"/>
    <w:rsid w:val="00917DF5"/>
    <w:rsid w:val="0092040A"/>
    <w:rsid w:val="009205CF"/>
    <w:rsid w:val="00920A1A"/>
    <w:rsid w:val="009210DC"/>
    <w:rsid w:val="0092163E"/>
    <w:rsid w:val="00921732"/>
    <w:rsid w:val="00921FBA"/>
    <w:rsid w:val="00922065"/>
    <w:rsid w:val="0092237E"/>
    <w:rsid w:val="009226B8"/>
    <w:rsid w:val="0092277A"/>
    <w:rsid w:val="00922BD6"/>
    <w:rsid w:val="00922CCC"/>
    <w:rsid w:val="00922CF6"/>
    <w:rsid w:val="00922F80"/>
    <w:rsid w:val="00922F97"/>
    <w:rsid w:val="00923169"/>
    <w:rsid w:val="00923926"/>
    <w:rsid w:val="00923F57"/>
    <w:rsid w:val="009242FF"/>
    <w:rsid w:val="0092460F"/>
    <w:rsid w:val="00924694"/>
    <w:rsid w:val="00924864"/>
    <w:rsid w:val="00924F18"/>
    <w:rsid w:val="00925376"/>
    <w:rsid w:val="00925378"/>
    <w:rsid w:val="009256A2"/>
    <w:rsid w:val="0092574B"/>
    <w:rsid w:val="00925C2E"/>
    <w:rsid w:val="00925E38"/>
    <w:rsid w:val="0092636E"/>
    <w:rsid w:val="009267E2"/>
    <w:rsid w:val="00926CCA"/>
    <w:rsid w:val="009270E2"/>
    <w:rsid w:val="009272E4"/>
    <w:rsid w:val="0092740C"/>
    <w:rsid w:val="009274EB"/>
    <w:rsid w:val="0092754F"/>
    <w:rsid w:val="009276BE"/>
    <w:rsid w:val="00927C99"/>
    <w:rsid w:val="00927F07"/>
    <w:rsid w:val="009302F0"/>
    <w:rsid w:val="00930E1C"/>
    <w:rsid w:val="00930EFA"/>
    <w:rsid w:val="00931A05"/>
    <w:rsid w:val="00931CC9"/>
    <w:rsid w:val="00931DB0"/>
    <w:rsid w:val="00931EB7"/>
    <w:rsid w:val="00931EC9"/>
    <w:rsid w:val="009320C9"/>
    <w:rsid w:val="0093240C"/>
    <w:rsid w:val="00932499"/>
    <w:rsid w:val="0093261F"/>
    <w:rsid w:val="00932901"/>
    <w:rsid w:val="00932B61"/>
    <w:rsid w:val="00932D13"/>
    <w:rsid w:val="00932E69"/>
    <w:rsid w:val="009330E8"/>
    <w:rsid w:val="0093338B"/>
    <w:rsid w:val="00933758"/>
    <w:rsid w:val="0093375C"/>
    <w:rsid w:val="009337D3"/>
    <w:rsid w:val="009337F8"/>
    <w:rsid w:val="00933A8F"/>
    <w:rsid w:val="00933D5D"/>
    <w:rsid w:val="00933FA1"/>
    <w:rsid w:val="009343B8"/>
    <w:rsid w:val="00934462"/>
    <w:rsid w:val="0093454A"/>
    <w:rsid w:val="00934C5A"/>
    <w:rsid w:val="00934D23"/>
    <w:rsid w:val="00934D94"/>
    <w:rsid w:val="00934F62"/>
    <w:rsid w:val="00934FD5"/>
    <w:rsid w:val="0093510B"/>
    <w:rsid w:val="009353D5"/>
    <w:rsid w:val="009354F4"/>
    <w:rsid w:val="00935858"/>
    <w:rsid w:val="00935E30"/>
    <w:rsid w:val="00935F88"/>
    <w:rsid w:val="00935FB5"/>
    <w:rsid w:val="0093615C"/>
    <w:rsid w:val="009362C5"/>
    <w:rsid w:val="00936366"/>
    <w:rsid w:val="009365BF"/>
    <w:rsid w:val="00936AFA"/>
    <w:rsid w:val="00936C1C"/>
    <w:rsid w:val="00936C3B"/>
    <w:rsid w:val="00936F03"/>
    <w:rsid w:val="009373A2"/>
    <w:rsid w:val="0093748C"/>
    <w:rsid w:val="00937566"/>
    <w:rsid w:val="00937627"/>
    <w:rsid w:val="00937A42"/>
    <w:rsid w:val="00937C90"/>
    <w:rsid w:val="00937E00"/>
    <w:rsid w:val="009402B1"/>
    <w:rsid w:val="009406F3"/>
    <w:rsid w:val="0094086A"/>
    <w:rsid w:val="00940D30"/>
    <w:rsid w:val="00940DA8"/>
    <w:rsid w:val="00940EF5"/>
    <w:rsid w:val="009411A4"/>
    <w:rsid w:val="00941377"/>
    <w:rsid w:val="00941581"/>
    <w:rsid w:val="0094164F"/>
    <w:rsid w:val="00941A11"/>
    <w:rsid w:val="00941D5F"/>
    <w:rsid w:val="00941E31"/>
    <w:rsid w:val="00942389"/>
    <w:rsid w:val="00942ACF"/>
    <w:rsid w:val="00942C64"/>
    <w:rsid w:val="00942DA4"/>
    <w:rsid w:val="00942E2F"/>
    <w:rsid w:val="00943264"/>
    <w:rsid w:val="00943598"/>
    <w:rsid w:val="0094360A"/>
    <w:rsid w:val="00943665"/>
    <w:rsid w:val="009436A9"/>
    <w:rsid w:val="00943AD9"/>
    <w:rsid w:val="00943B85"/>
    <w:rsid w:val="00943E58"/>
    <w:rsid w:val="00943F19"/>
    <w:rsid w:val="00943FCF"/>
    <w:rsid w:val="00944672"/>
    <w:rsid w:val="00944790"/>
    <w:rsid w:val="00944AFF"/>
    <w:rsid w:val="00944BA6"/>
    <w:rsid w:val="00944C80"/>
    <w:rsid w:val="00944CC5"/>
    <w:rsid w:val="00944E0F"/>
    <w:rsid w:val="00944F9E"/>
    <w:rsid w:val="0094538F"/>
    <w:rsid w:val="00945644"/>
    <w:rsid w:val="00945734"/>
    <w:rsid w:val="00946376"/>
    <w:rsid w:val="009464DD"/>
    <w:rsid w:val="00946C4A"/>
    <w:rsid w:val="00946C89"/>
    <w:rsid w:val="00946DD1"/>
    <w:rsid w:val="00947107"/>
    <w:rsid w:val="00947472"/>
    <w:rsid w:val="00947690"/>
    <w:rsid w:val="009478A9"/>
    <w:rsid w:val="00947FC3"/>
    <w:rsid w:val="00950629"/>
    <w:rsid w:val="00950894"/>
    <w:rsid w:val="009508C4"/>
    <w:rsid w:val="009508D7"/>
    <w:rsid w:val="00950E64"/>
    <w:rsid w:val="00950F09"/>
    <w:rsid w:val="00951557"/>
    <w:rsid w:val="009519C1"/>
    <w:rsid w:val="00951DC6"/>
    <w:rsid w:val="00951E46"/>
    <w:rsid w:val="00951F44"/>
    <w:rsid w:val="009520D7"/>
    <w:rsid w:val="009520EF"/>
    <w:rsid w:val="00952127"/>
    <w:rsid w:val="0095239E"/>
    <w:rsid w:val="00952A93"/>
    <w:rsid w:val="00952AF9"/>
    <w:rsid w:val="00952E63"/>
    <w:rsid w:val="00952F1E"/>
    <w:rsid w:val="0095312D"/>
    <w:rsid w:val="0095332C"/>
    <w:rsid w:val="0095365C"/>
    <w:rsid w:val="00953A56"/>
    <w:rsid w:val="00953C9D"/>
    <w:rsid w:val="00953E3D"/>
    <w:rsid w:val="009540DC"/>
    <w:rsid w:val="00954441"/>
    <w:rsid w:val="009546B2"/>
    <w:rsid w:val="00954A51"/>
    <w:rsid w:val="00954A69"/>
    <w:rsid w:val="00954B70"/>
    <w:rsid w:val="00954D59"/>
    <w:rsid w:val="00954D93"/>
    <w:rsid w:val="00954ECE"/>
    <w:rsid w:val="00955094"/>
    <w:rsid w:val="00955103"/>
    <w:rsid w:val="00955195"/>
    <w:rsid w:val="00955358"/>
    <w:rsid w:val="009555EF"/>
    <w:rsid w:val="009555F5"/>
    <w:rsid w:val="00955A5D"/>
    <w:rsid w:val="00955C5B"/>
    <w:rsid w:val="00955F64"/>
    <w:rsid w:val="0095610D"/>
    <w:rsid w:val="00956474"/>
    <w:rsid w:val="009565BC"/>
    <w:rsid w:val="009567D9"/>
    <w:rsid w:val="00957416"/>
    <w:rsid w:val="00957681"/>
    <w:rsid w:val="00957756"/>
    <w:rsid w:val="0095787D"/>
    <w:rsid w:val="00957C19"/>
    <w:rsid w:val="00957C65"/>
    <w:rsid w:val="00957DAD"/>
    <w:rsid w:val="00957EAF"/>
    <w:rsid w:val="00960102"/>
    <w:rsid w:val="009601B1"/>
    <w:rsid w:val="00960E45"/>
    <w:rsid w:val="009616F0"/>
    <w:rsid w:val="0096189A"/>
    <w:rsid w:val="00961FF2"/>
    <w:rsid w:val="00962037"/>
    <w:rsid w:val="00962240"/>
    <w:rsid w:val="00962555"/>
    <w:rsid w:val="009627D1"/>
    <w:rsid w:val="00962859"/>
    <w:rsid w:val="0096297C"/>
    <w:rsid w:val="00962CF0"/>
    <w:rsid w:val="00962D9C"/>
    <w:rsid w:val="00962EC3"/>
    <w:rsid w:val="009631EA"/>
    <w:rsid w:val="009635F3"/>
    <w:rsid w:val="0096363A"/>
    <w:rsid w:val="009637B6"/>
    <w:rsid w:val="00963BCA"/>
    <w:rsid w:val="00963E4A"/>
    <w:rsid w:val="00963EDB"/>
    <w:rsid w:val="00964226"/>
    <w:rsid w:val="00964717"/>
    <w:rsid w:val="009648F1"/>
    <w:rsid w:val="00964F2B"/>
    <w:rsid w:val="00964FDA"/>
    <w:rsid w:val="009657B0"/>
    <w:rsid w:val="00965BE1"/>
    <w:rsid w:val="00965F2D"/>
    <w:rsid w:val="0096660B"/>
    <w:rsid w:val="00966681"/>
    <w:rsid w:val="009667D6"/>
    <w:rsid w:val="00966BB0"/>
    <w:rsid w:val="00966C74"/>
    <w:rsid w:val="009671D7"/>
    <w:rsid w:val="0096730A"/>
    <w:rsid w:val="00967822"/>
    <w:rsid w:val="00967A4B"/>
    <w:rsid w:val="00967A93"/>
    <w:rsid w:val="00970171"/>
    <w:rsid w:val="00970868"/>
    <w:rsid w:val="0097098E"/>
    <w:rsid w:val="009709FF"/>
    <w:rsid w:val="00970CF0"/>
    <w:rsid w:val="00970E96"/>
    <w:rsid w:val="0097192A"/>
    <w:rsid w:val="0097199C"/>
    <w:rsid w:val="009719B8"/>
    <w:rsid w:val="00971D64"/>
    <w:rsid w:val="00972063"/>
    <w:rsid w:val="0097228E"/>
    <w:rsid w:val="00972533"/>
    <w:rsid w:val="009728BD"/>
    <w:rsid w:val="009729F2"/>
    <w:rsid w:val="009734ED"/>
    <w:rsid w:val="009739CF"/>
    <w:rsid w:val="00973EE7"/>
    <w:rsid w:val="0097448D"/>
    <w:rsid w:val="00974B7E"/>
    <w:rsid w:val="00974D05"/>
    <w:rsid w:val="00974F54"/>
    <w:rsid w:val="009751D7"/>
    <w:rsid w:val="00975A87"/>
    <w:rsid w:val="00975BF6"/>
    <w:rsid w:val="00975D1B"/>
    <w:rsid w:val="00975E8F"/>
    <w:rsid w:val="00976110"/>
    <w:rsid w:val="009761C6"/>
    <w:rsid w:val="009763EB"/>
    <w:rsid w:val="00976410"/>
    <w:rsid w:val="009765D7"/>
    <w:rsid w:val="00976737"/>
    <w:rsid w:val="00976887"/>
    <w:rsid w:val="00976BC5"/>
    <w:rsid w:val="009770AA"/>
    <w:rsid w:val="009778FB"/>
    <w:rsid w:val="0097792F"/>
    <w:rsid w:val="00977A60"/>
    <w:rsid w:val="00977BFD"/>
    <w:rsid w:val="00980433"/>
    <w:rsid w:val="00980518"/>
    <w:rsid w:val="0098096E"/>
    <w:rsid w:val="00980B22"/>
    <w:rsid w:val="00980BD6"/>
    <w:rsid w:val="00980F5C"/>
    <w:rsid w:val="0098109A"/>
    <w:rsid w:val="0098117A"/>
    <w:rsid w:val="009813F2"/>
    <w:rsid w:val="00982198"/>
    <w:rsid w:val="00982506"/>
    <w:rsid w:val="00982AB0"/>
    <w:rsid w:val="009830CB"/>
    <w:rsid w:val="00983323"/>
    <w:rsid w:val="009842EE"/>
    <w:rsid w:val="009848A6"/>
    <w:rsid w:val="00984987"/>
    <w:rsid w:val="00984C37"/>
    <w:rsid w:val="00984F2C"/>
    <w:rsid w:val="00984F6A"/>
    <w:rsid w:val="0098504C"/>
    <w:rsid w:val="009859A3"/>
    <w:rsid w:val="00985AB5"/>
    <w:rsid w:val="00985FC3"/>
    <w:rsid w:val="009864C5"/>
    <w:rsid w:val="00986988"/>
    <w:rsid w:val="00986B95"/>
    <w:rsid w:val="00986B99"/>
    <w:rsid w:val="00986C5D"/>
    <w:rsid w:val="00986EDF"/>
    <w:rsid w:val="00986F23"/>
    <w:rsid w:val="0098734C"/>
    <w:rsid w:val="0098764F"/>
    <w:rsid w:val="009876D5"/>
    <w:rsid w:val="00987BCB"/>
    <w:rsid w:val="00990184"/>
    <w:rsid w:val="0099085F"/>
    <w:rsid w:val="00991680"/>
    <w:rsid w:val="00991749"/>
    <w:rsid w:val="00991A37"/>
    <w:rsid w:val="00991AA6"/>
    <w:rsid w:val="00991C39"/>
    <w:rsid w:val="00991D46"/>
    <w:rsid w:val="00991D67"/>
    <w:rsid w:val="00991F28"/>
    <w:rsid w:val="00992085"/>
    <w:rsid w:val="009921EC"/>
    <w:rsid w:val="0099227D"/>
    <w:rsid w:val="00992685"/>
    <w:rsid w:val="00992CF7"/>
    <w:rsid w:val="00992F7D"/>
    <w:rsid w:val="00993295"/>
    <w:rsid w:val="009932D9"/>
    <w:rsid w:val="009932FA"/>
    <w:rsid w:val="00993322"/>
    <w:rsid w:val="0099333B"/>
    <w:rsid w:val="00993830"/>
    <w:rsid w:val="00993A9E"/>
    <w:rsid w:val="00993DC6"/>
    <w:rsid w:val="0099441C"/>
    <w:rsid w:val="0099458D"/>
    <w:rsid w:val="00994836"/>
    <w:rsid w:val="0099495C"/>
    <w:rsid w:val="00994B76"/>
    <w:rsid w:val="00994D87"/>
    <w:rsid w:val="009953B8"/>
    <w:rsid w:val="00995548"/>
    <w:rsid w:val="00995631"/>
    <w:rsid w:val="00995930"/>
    <w:rsid w:val="00995A94"/>
    <w:rsid w:val="00995E9F"/>
    <w:rsid w:val="00995FF9"/>
    <w:rsid w:val="00996C05"/>
    <w:rsid w:val="00996CC4"/>
    <w:rsid w:val="00997024"/>
    <w:rsid w:val="0099734B"/>
    <w:rsid w:val="00997B88"/>
    <w:rsid w:val="00997E85"/>
    <w:rsid w:val="00997EB0"/>
    <w:rsid w:val="009A0827"/>
    <w:rsid w:val="009A08EA"/>
    <w:rsid w:val="009A0F96"/>
    <w:rsid w:val="009A1299"/>
    <w:rsid w:val="009A1379"/>
    <w:rsid w:val="009A1764"/>
    <w:rsid w:val="009A1926"/>
    <w:rsid w:val="009A1B63"/>
    <w:rsid w:val="009A1DC6"/>
    <w:rsid w:val="009A2204"/>
    <w:rsid w:val="009A2418"/>
    <w:rsid w:val="009A26A5"/>
    <w:rsid w:val="009A26BE"/>
    <w:rsid w:val="009A2B23"/>
    <w:rsid w:val="009A2C47"/>
    <w:rsid w:val="009A2C93"/>
    <w:rsid w:val="009A334A"/>
    <w:rsid w:val="009A3545"/>
    <w:rsid w:val="009A3AB8"/>
    <w:rsid w:val="009A3EAA"/>
    <w:rsid w:val="009A415E"/>
    <w:rsid w:val="009A41D7"/>
    <w:rsid w:val="009A4770"/>
    <w:rsid w:val="009A4A11"/>
    <w:rsid w:val="009A4F9A"/>
    <w:rsid w:val="009A50B2"/>
    <w:rsid w:val="009A56CA"/>
    <w:rsid w:val="009A5AD0"/>
    <w:rsid w:val="009A62E3"/>
    <w:rsid w:val="009A65CD"/>
    <w:rsid w:val="009A6CE0"/>
    <w:rsid w:val="009A7802"/>
    <w:rsid w:val="009A7EE3"/>
    <w:rsid w:val="009A7F95"/>
    <w:rsid w:val="009B013F"/>
    <w:rsid w:val="009B02A1"/>
    <w:rsid w:val="009B04F5"/>
    <w:rsid w:val="009B0552"/>
    <w:rsid w:val="009B07E0"/>
    <w:rsid w:val="009B12F8"/>
    <w:rsid w:val="009B1513"/>
    <w:rsid w:val="009B165E"/>
    <w:rsid w:val="009B18E2"/>
    <w:rsid w:val="009B1D22"/>
    <w:rsid w:val="009B1D69"/>
    <w:rsid w:val="009B226F"/>
    <w:rsid w:val="009B22B1"/>
    <w:rsid w:val="009B23D1"/>
    <w:rsid w:val="009B260E"/>
    <w:rsid w:val="009B2DFB"/>
    <w:rsid w:val="009B2F46"/>
    <w:rsid w:val="009B3142"/>
    <w:rsid w:val="009B34DE"/>
    <w:rsid w:val="009B363C"/>
    <w:rsid w:val="009B3686"/>
    <w:rsid w:val="009B3C0C"/>
    <w:rsid w:val="009B3EB7"/>
    <w:rsid w:val="009B3FC0"/>
    <w:rsid w:val="009B41B4"/>
    <w:rsid w:val="009B41F4"/>
    <w:rsid w:val="009B4A08"/>
    <w:rsid w:val="009B4DBE"/>
    <w:rsid w:val="009B4F66"/>
    <w:rsid w:val="009B506A"/>
    <w:rsid w:val="009B5206"/>
    <w:rsid w:val="009B559B"/>
    <w:rsid w:val="009B59D8"/>
    <w:rsid w:val="009B5B39"/>
    <w:rsid w:val="009B5D5B"/>
    <w:rsid w:val="009B5E91"/>
    <w:rsid w:val="009B6619"/>
    <w:rsid w:val="009B6718"/>
    <w:rsid w:val="009B6B28"/>
    <w:rsid w:val="009B6DAF"/>
    <w:rsid w:val="009B6F1F"/>
    <w:rsid w:val="009B70A0"/>
    <w:rsid w:val="009B7C8A"/>
    <w:rsid w:val="009B7D80"/>
    <w:rsid w:val="009B7DEA"/>
    <w:rsid w:val="009C01E2"/>
    <w:rsid w:val="009C0978"/>
    <w:rsid w:val="009C0B27"/>
    <w:rsid w:val="009C0FE5"/>
    <w:rsid w:val="009C110D"/>
    <w:rsid w:val="009C1289"/>
    <w:rsid w:val="009C13D2"/>
    <w:rsid w:val="009C1418"/>
    <w:rsid w:val="009C1444"/>
    <w:rsid w:val="009C1ACF"/>
    <w:rsid w:val="009C1E68"/>
    <w:rsid w:val="009C1E96"/>
    <w:rsid w:val="009C2051"/>
    <w:rsid w:val="009C22BC"/>
    <w:rsid w:val="009C22DD"/>
    <w:rsid w:val="009C23BB"/>
    <w:rsid w:val="009C23E2"/>
    <w:rsid w:val="009C2D01"/>
    <w:rsid w:val="009C3AC5"/>
    <w:rsid w:val="009C3CCB"/>
    <w:rsid w:val="009C3DD7"/>
    <w:rsid w:val="009C3ED4"/>
    <w:rsid w:val="009C401A"/>
    <w:rsid w:val="009C4208"/>
    <w:rsid w:val="009C4325"/>
    <w:rsid w:val="009C4D88"/>
    <w:rsid w:val="009C51DF"/>
    <w:rsid w:val="009C58CC"/>
    <w:rsid w:val="009C61A9"/>
    <w:rsid w:val="009C672E"/>
    <w:rsid w:val="009C6B21"/>
    <w:rsid w:val="009C6C1D"/>
    <w:rsid w:val="009C6E82"/>
    <w:rsid w:val="009C707B"/>
    <w:rsid w:val="009C7982"/>
    <w:rsid w:val="009C7F96"/>
    <w:rsid w:val="009D0608"/>
    <w:rsid w:val="009D07E9"/>
    <w:rsid w:val="009D0B17"/>
    <w:rsid w:val="009D0D16"/>
    <w:rsid w:val="009D12C9"/>
    <w:rsid w:val="009D1642"/>
    <w:rsid w:val="009D16AC"/>
    <w:rsid w:val="009D173E"/>
    <w:rsid w:val="009D18C7"/>
    <w:rsid w:val="009D1B57"/>
    <w:rsid w:val="009D2371"/>
    <w:rsid w:val="009D2638"/>
    <w:rsid w:val="009D2745"/>
    <w:rsid w:val="009D2FB6"/>
    <w:rsid w:val="009D3078"/>
    <w:rsid w:val="009D346B"/>
    <w:rsid w:val="009D359B"/>
    <w:rsid w:val="009D3649"/>
    <w:rsid w:val="009D3ABD"/>
    <w:rsid w:val="009D3D93"/>
    <w:rsid w:val="009D3DC5"/>
    <w:rsid w:val="009D41A0"/>
    <w:rsid w:val="009D42A2"/>
    <w:rsid w:val="009D4645"/>
    <w:rsid w:val="009D4837"/>
    <w:rsid w:val="009D49D2"/>
    <w:rsid w:val="009D541B"/>
    <w:rsid w:val="009D5924"/>
    <w:rsid w:val="009D5BC9"/>
    <w:rsid w:val="009D5C1E"/>
    <w:rsid w:val="009D5F3F"/>
    <w:rsid w:val="009D60D7"/>
    <w:rsid w:val="009D6217"/>
    <w:rsid w:val="009D623D"/>
    <w:rsid w:val="009D632F"/>
    <w:rsid w:val="009D63A4"/>
    <w:rsid w:val="009D66DF"/>
    <w:rsid w:val="009D6A00"/>
    <w:rsid w:val="009D717D"/>
    <w:rsid w:val="009D7226"/>
    <w:rsid w:val="009D746E"/>
    <w:rsid w:val="009D7B47"/>
    <w:rsid w:val="009D7C7C"/>
    <w:rsid w:val="009D7D1D"/>
    <w:rsid w:val="009D7EA5"/>
    <w:rsid w:val="009E0249"/>
    <w:rsid w:val="009E09AF"/>
    <w:rsid w:val="009E0AE6"/>
    <w:rsid w:val="009E0C3F"/>
    <w:rsid w:val="009E0C44"/>
    <w:rsid w:val="009E0D0C"/>
    <w:rsid w:val="009E1140"/>
    <w:rsid w:val="009E12EF"/>
    <w:rsid w:val="009E1561"/>
    <w:rsid w:val="009E16AF"/>
    <w:rsid w:val="009E1A68"/>
    <w:rsid w:val="009E1AA0"/>
    <w:rsid w:val="009E1C2F"/>
    <w:rsid w:val="009E201C"/>
    <w:rsid w:val="009E2C3C"/>
    <w:rsid w:val="009E3244"/>
    <w:rsid w:val="009E37BA"/>
    <w:rsid w:val="009E385A"/>
    <w:rsid w:val="009E45A8"/>
    <w:rsid w:val="009E4639"/>
    <w:rsid w:val="009E4641"/>
    <w:rsid w:val="009E466B"/>
    <w:rsid w:val="009E494B"/>
    <w:rsid w:val="009E4DBE"/>
    <w:rsid w:val="009E4DEE"/>
    <w:rsid w:val="009E531B"/>
    <w:rsid w:val="009E5435"/>
    <w:rsid w:val="009E57CD"/>
    <w:rsid w:val="009E5CD9"/>
    <w:rsid w:val="009E5ED5"/>
    <w:rsid w:val="009E63E6"/>
    <w:rsid w:val="009E6569"/>
    <w:rsid w:val="009E66C6"/>
    <w:rsid w:val="009E68B2"/>
    <w:rsid w:val="009E706F"/>
    <w:rsid w:val="009E73D7"/>
    <w:rsid w:val="009E7B46"/>
    <w:rsid w:val="009E7CBA"/>
    <w:rsid w:val="009E7E42"/>
    <w:rsid w:val="009F045E"/>
    <w:rsid w:val="009F04C6"/>
    <w:rsid w:val="009F05CF"/>
    <w:rsid w:val="009F0EBE"/>
    <w:rsid w:val="009F11D1"/>
    <w:rsid w:val="009F1331"/>
    <w:rsid w:val="009F139D"/>
    <w:rsid w:val="009F16A2"/>
    <w:rsid w:val="009F1822"/>
    <w:rsid w:val="009F236D"/>
    <w:rsid w:val="009F245C"/>
    <w:rsid w:val="009F2DC7"/>
    <w:rsid w:val="009F34D6"/>
    <w:rsid w:val="009F3ABA"/>
    <w:rsid w:val="009F3B25"/>
    <w:rsid w:val="009F3FE1"/>
    <w:rsid w:val="009F43E2"/>
    <w:rsid w:val="009F4409"/>
    <w:rsid w:val="009F48EB"/>
    <w:rsid w:val="009F4C70"/>
    <w:rsid w:val="009F4D38"/>
    <w:rsid w:val="009F50EB"/>
    <w:rsid w:val="009F5256"/>
    <w:rsid w:val="009F5506"/>
    <w:rsid w:val="009F56F6"/>
    <w:rsid w:val="009F5E0B"/>
    <w:rsid w:val="009F5F9A"/>
    <w:rsid w:val="009F65C3"/>
    <w:rsid w:val="009F7ACA"/>
    <w:rsid w:val="009F7C0B"/>
    <w:rsid w:val="009F7F0B"/>
    <w:rsid w:val="00A002CB"/>
    <w:rsid w:val="00A003F2"/>
    <w:rsid w:val="00A004B5"/>
    <w:rsid w:val="00A004F6"/>
    <w:rsid w:val="00A0052F"/>
    <w:rsid w:val="00A008B2"/>
    <w:rsid w:val="00A00B73"/>
    <w:rsid w:val="00A00B8A"/>
    <w:rsid w:val="00A00E99"/>
    <w:rsid w:val="00A01016"/>
    <w:rsid w:val="00A01208"/>
    <w:rsid w:val="00A014BF"/>
    <w:rsid w:val="00A016AD"/>
    <w:rsid w:val="00A01E2E"/>
    <w:rsid w:val="00A02013"/>
    <w:rsid w:val="00A02451"/>
    <w:rsid w:val="00A027C8"/>
    <w:rsid w:val="00A02BCE"/>
    <w:rsid w:val="00A030B3"/>
    <w:rsid w:val="00A03DFE"/>
    <w:rsid w:val="00A03FAA"/>
    <w:rsid w:val="00A04D38"/>
    <w:rsid w:val="00A05624"/>
    <w:rsid w:val="00A05754"/>
    <w:rsid w:val="00A05AF4"/>
    <w:rsid w:val="00A06428"/>
    <w:rsid w:val="00A06538"/>
    <w:rsid w:val="00A06DDD"/>
    <w:rsid w:val="00A07029"/>
    <w:rsid w:val="00A07388"/>
    <w:rsid w:val="00A07417"/>
    <w:rsid w:val="00A0756C"/>
    <w:rsid w:val="00A07897"/>
    <w:rsid w:val="00A078F8"/>
    <w:rsid w:val="00A07D7B"/>
    <w:rsid w:val="00A10662"/>
    <w:rsid w:val="00A10838"/>
    <w:rsid w:val="00A109BE"/>
    <w:rsid w:val="00A10CD0"/>
    <w:rsid w:val="00A11180"/>
    <w:rsid w:val="00A112DD"/>
    <w:rsid w:val="00A113DD"/>
    <w:rsid w:val="00A11590"/>
    <w:rsid w:val="00A11911"/>
    <w:rsid w:val="00A11998"/>
    <w:rsid w:val="00A11D0B"/>
    <w:rsid w:val="00A124BD"/>
    <w:rsid w:val="00A12689"/>
    <w:rsid w:val="00A127C0"/>
    <w:rsid w:val="00A1320B"/>
    <w:rsid w:val="00A133A7"/>
    <w:rsid w:val="00A13633"/>
    <w:rsid w:val="00A13741"/>
    <w:rsid w:val="00A13860"/>
    <w:rsid w:val="00A13A2B"/>
    <w:rsid w:val="00A13AAF"/>
    <w:rsid w:val="00A13B87"/>
    <w:rsid w:val="00A13F11"/>
    <w:rsid w:val="00A14178"/>
    <w:rsid w:val="00A14703"/>
    <w:rsid w:val="00A1471D"/>
    <w:rsid w:val="00A1488A"/>
    <w:rsid w:val="00A14BC4"/>
    <w:rsid w:val="00A15010"/>
    <w:rsid w:val="00A1554C"/>
    <w:rsid w:val="00A157BE"/>
    <w:rsid w:val="00A15850"/>
    <w:rsid w:val="00A15BE4"/>
    <w:rsid w:val="00A15F1D"/>
    <w:rsid w:val="00A160F8"/>
    <w:rsid w:val="00A16506"/>
    <w:rsid w:val="00A16889"/>
    <w:rsid w:val="00A16D39"/>
    <w:rsid w:val="00A16E7B"/>
    <w:rsid w:val="00A1704B"/>
    <w:rsid w:val="00A1713C"/>
    <w:rsid w:val="00A17192"/>
    <w:rsid w:val="00A176AA"/>
    <w:rsid w:val="00A17E12"/>
    <w:rsid w:val="00A2033F"/>
    <w:rsid w:val="00A20950"/>
    <w:rsid w:val="00A21082"/>
    <w:rsid w:val="00A214FD"/>
    <w:rsid w:val="00A21577"/>
    <w:rsid w:val="00A21C06"/>
    <w:rsid w:val="00A2272E"/>
    <w:rsid w:val="00A22B39"/>
    <w:rsid w:val="00A22C54"/>
    <w:rsid w:val="00A22C8D"/>
    <w:rsid w:val="00A23219"/>
    <w:rsid w:val="00A23476"/>
    <w:rsid w:val="00A2359B"/>
    <w:rsid w:val="00A238BA"/>
    <w:rsid w:val="00A2395A"/>
    <w:rsid w:val="00A23A45"/>
    <w:rsid w:val="00A23BEB"/>
    <w:rsid w:val="00A23C20"/>
    <w:rsid w:val="00A23D20"/>
    <w:rsid w:val="00A240DC"/>
    <w:rsid w:val="00A24718"/>
    <w:rsid w:val="00A24743"/>
    <w:rsid w:val="00A249F2"/>
    <w:rsid w:val="00A24A89"/>
    <w:rsid w:val="00A24AF4"/>
    <w:rsid w:val="00A24B9C"/>
    <w:rsid w:val="00A24F0B"/>
    <w:rsid w:val="00A25359"/>
    <w:rsid w:val="00A254D5"/>
    <w:rsid w:val="00A25524"/>
    <w:rsid w:val="00A25E87"/>
    <w:rsid w:val="00A26027"/>
    <w:rsid w:val="00A26332"/>
    <w:rsid w:val="00A263D7"/>
    <w:rsid w:val="00A26BB3"/>
    <w:rsid w:val="00A26D6E"/>
    <w:rsid w:val="00A26E46"/>
    <w:rsid w:val="00A27077"/>
    <w:rsid w:val="00A27441"/>
    <w:rsid w:val="00A277F8"/>
    <w:rsid w:val="00A27A25"/>
    <w:rsid w:val="00A27C01"/>
    <w:rsid w:val="00A27C6E"/>
    <w:rsid w:val="00A27FAD"/>
    <w:rsid w:val="00A3036E"/>
    <w:rsid w:val="00A30AA3"/>
    <w:rsid w:val="00A31335"/>
    <w:rsid w:val="00A316DD"/>
    <w:rsid w:val="00A31BC6"/>
    <w:rsid w:val="00A31C5D"/>
    <w:rsid w:val="00A32581"/>
    <w:rsid w:val="00A32CA5"/>
    <w:rsid w:val="00A33521"/>
    <w:rsid w:val="00A3354A"/>
    <w:rsid w:val="00A33DEC"/>
    <w:rsid w:val="00A33E39"/>
    <w:rsid w:val="00A3408D"/>
    <w:rsid w:val="00A342EB"/>
    <w:rsid w:val="00A344D8"/>
    <w:rsid w:val="00A344F4"/>
    <w:rsid w:val="00A34CE9"/>
    <w:rsid w:val="00A351DE"/>
    <w:rsid w:val="00A352DD"/>
    <w:rsid w:val="00A3575F"/>
    <w:rsid w:val="00A3582F"/>
    <w:rsid w:val="00A35AA8"/>
    <w:rsid w:val="00A35DFA"/>
    <w:rsid w:val="00A3636A"/>
    <w:rsid w:val="00A36477"/>
    <w:rsid w:val="00A36D37"/>
    <w:rsid w:val="00A36F59"/>
    <w:rsid w:val="00A37301"/>
    <w:rsid w:val="00A376DC"/>
    <w:rsid w:val="00A37896"/>
    <w:rsid w:val="00A378A2"/>
    <w:rsid w:val="00A37FB5"/>
    <w:rsid w:val="00A4057B"/>
    <w:rsid w:val="00A40B4C"/>
    <w:rsid w:val="00A40D33"/>
    <w:rsid w:val="00A41140"/>
    <w:rsid w:val="00A411B2"/>
    <w:rsid w:val="00A4147F"/>
    <w:rsid w:val="00A419E1"/>
    <w:rsid w:val="00A41A4B"/>
    <w:rsid w:val="00A41B50"/>
    <w:rsid w:val="00A41E27"/>
    <w:rsid w:val="00A41FDB"/>
    <w:rsid w:val="00A420D7"/>
    <w:rsid w:val="00A423B0"/>
    <w:rsid w:val="00A427B6"/>
    <w:rsid w:val="00A42848"/>
    <w:rsid w:val="00A4295B"/>
    <w:rsid w:val="00A437B5"/>
    <w:rsid w:val="00A43C50"/>
    <w:rsid w:val="00A43CA7"/>
    <w:rsid w:val="00A43DCA"/>
    <w:rsid w:val="00A44267"/>
    <w:rsid w:val="00A44447"/>
    <w:rsid w:val="00A444BF"/>
    <w:rsid w:val="00A44537"/>
    <w:rsid w:val="00A4456B"/>
    <w:rsid w:val="00A44847"/>
    <w:rsid w:val="00A44A84"/>
    <w:rsid w:val="00A44AD5"/>
    <w:rsid w:val="00A4503A"/>
    <w:rsid w:val="00A45123"/>
    <w:rsid w:val="00A45599"/>
    <w:rsid w:val="00A45DD0"/>
    <w:rsid w:val="00A45E42"/>
    <w:rsid w:val="00A460DF"/>
    <w:rsid w:val="00A46321"/>
    <w:rsid w:val="00A46367"/>
    <w:rsid w:val="00A464F6"/>
    <w:rsid w:val="00A469CD"/>
    <w:rsid w:val="00A46BA6"/>
    <w:rsid w:val="00A471A4"/>
    <w:rsid w:val="00A47E8E"/>
    <w:rsid w:val="00A5013A"/>
    <w:rsid w:val="00A5056E"/>
    <w:rsid w:val="00A50C8E"/>
    <w:rsid w:val="00A50CCD"/>
    <w:rsid w:val="00A50EF8"/>
    <w:rsid w:val="00A50FDF"/>
    <w:rsid w:val="00A51699"/>
    <w:rsid w:val="00A517CA"/>
    <w:rsid w:val="00A5200F"/>
    <w:rsid w:val="00A521F6"/>
    <w:rsid w:val="00A52903"/>
    <w:rsid w:val="00A529C4"/>
    <w:rsid w:val="00A52F63"/>
    <w:rsid w:val="00A547BC"/>
    <w:rsid w:val="00A54A33"/>
    <w:rsid w:val="00A54E9D"/>
    <w:rsid w:val="00A54EF5"/>
    <w:rsid w:val="00A54F82"/>
    <w:rsid w:val="00A553ED"/>
    <w:rsid w:val="00A554DF"/>
    <w:rsid w:val="00A55D3C"/>
    <w:rsid w:val="00A56366"/>
    <w:rsid w:val="00A5636A"/>
    <w:rsid w:val="00A56469"/>
    <w:rsid w:val="00A56474"/>
    <w:rsid w:val="00A5662F"/>
    <w:rsid w:val="00A56969"/>
    <w:rsid w:val="00A56C18"/>
    <w:rsid w:val="00A5732D"/>
    <w:rsid w:val="00A57543"/>
    <w:rsid w:val="00A57581"/>
    <w:rsid w:val="00A57FE1"/>
    <w:rsid w:val="00A601C8"/>
    <w:rsid w:val="00A60204"/>
    <w:rsid w:val="00A60AC3"/>
    <w:rsid w:val="00A60DD9"/>
    <w:rsid w:val="00A60E0D"/>
    <w:rsid w:val="00A60FB0"/>
    <w:rsid w:val="00A61293"/>
    <w:rsid w:val="00A61482"/>
    <w:rsid w:val="00A61B7A"/>
    <w:rsid w:val="00A61BB7"/>
    <w:rsid w:val="00A61D88"/>
    <w:rsid w:val="00A62227"/>
    <w:rsid w:val="00A62A23"/>
    <w:rsid w:val="00A62C6C"/>
    <w:rsid w:val="00A62D38"/>
    <w:rsid w:val="00A62E30"/>
    <w:rsid w:val="00A630DE"/>
    <w:rsid w:val="00A6355C"/>
    <w:rsid w:val="00A637F0"/>
    <w:rsid w:val="00A63AFB"/>
    <w:rsid w:val="00A63BB8"/>
    <w:rsid w:val="00A63E32"/>
    <w:rsid w:val="00A64312"/>
    <w:rsid w:val="00A64463"/>
    <w:rsid w:val="00A64500"/>
    <w:rsid w:val="00A64598"/>
    <w:rsid w:val="00A6481E"/>
    <w:rsid w:val="00A64843"/>
    <w:rsid w:val="00A64DD0"/>
    <w:rsid w:val="00A65EE8"/>
    <w:rsid w:val="00A662C9"/>
    <w:rsid w:val="00A6644C"/>
    <w:rsid w:val="00A665C8"/>
    <w:rsid w:val="00A6690C"/>
    <w:rsid w:val="00A66C46"/>
    <w:rsid w:val="00A67F73"/>
    <w:rsid w:val="00A67FA5"/>
    <w:rsid w:val="00A70148"/>
    <w:rsid w:val="00A7029E"/>
    <w:rsid w:val="00A706E0"/>
    <w:rsid w:val="00A70981"/>
    <w:rsid w:val="00A710A3"/>
    <w:rsid w:val="00A711B2"/>
    <w:rsid w:val="00A712C2"/>
    <w:rsid w:val="00A715D1"/>
    <w:rsid w:val="00A71905"/>
    <w:rsid w:val="00A71C5B"/>
    <w:rsid w:val="00A71D1C"/>
    <w:rsid w:val="00A72011"/>
    <w:rsid w:val="00A72210"/>
    <w:rsid w:val="00A72454"/>
    <w:rsid w:val="00A72930"/>
    <w:rsid w:val="00A72932"/>
    <w:rsid w:val="00A72CA5"/>
    <w:rsid w:val="00A73268"/>
    <w:rsid w:val="00A73377"/>
    <w:rsid w:val="00A734A1"/>
    <w:rsid w:val="00A73AB4"/>
    <w:rsid w:val="00A73FD4"/>
    <w:rsid w:val="00A74366"/>
    <w:rsid w:val="00A74413"/>
    <w:rsid w:val="00A745DC"/>
    <w:rsid w:val="00A74DE5"/>
    <w:rsid w:val="00A74E35"/>
    <w:rsid w:val="00A75112"/>
    <w:rsid w:val="00A75665"/>
    <w:rsid w:val="00A75E57"/>
    <w:rsid w:val="00A760FD"/>
    <w:rsid w:val="00A7637B"/>
    <w:rsid w:val="00A76538"/>
    <w:rsid w:val="00A76AC4"/>
    <w:rsid w:val="00A7707F"/>
    <w:rsid w:val="00A775C4"/>
    <w:rsid w:val="00A7795E"/>
    <w:rsid w:val="00A77A02"/>
    <w:rsid w:val="00A8014A"/>
    <w:rsid w:val="00A80492"/>
    <w:rsid w:val="00A804FD"/>
    <w:rsid w:val="00A80A9B"/>
    <w:rsid w:val="00A80EDB"/>
    <w:rsid w:val="00A81013"/>
    <w:rsid w:val="00A8157A"/>
    <w:rsid w:val="00A817A8"/>
    <w:rsid w:val="00A81870"/>
    <w:rsid w:val="00A818D5"/>
    <w:rsid w:val="00A81D8A"/>
    <w:rsid w:val="00A825B4"/>
    <w:rsid w:val="00A82B7B"/>
    <w:rsid w:val="00A82EF8"/>
    <w:rsid w:val="00A83183"/>
    <w:rsid w:val="00A83220"/>
    <w:rsid w:val="00A83229"/>
    <w:rsid w:val="00A84370"/>
    <w:rsid w:val="00A8480B"/>
    <w:rsid w:val="00A8485B"/>
    <w:rsid w:val="00A84BA1"/>
    <w:rsid w:val="00A851FE"/>
    <w:rsid w:val="00A8575C"/>
    <w:rsid w:val="00A85A73"/>
    <w:rsid w:val="00A85F4D"/>
    <w:rsid w:val="00A8609A"/>
    <w:rsid w:val="00A86637"/>
    <w:rsid w:val="00A86C73"/>
    <w:rsid w:val="00A870F0"/>
    <w:rsid w:val="00A875B4"/>
    <w:rsid w:val="00A876A0"/>
    <w:rsid w:val="00A87E7A"/>
    <w:rsid w:val="00A9027B"/>
    <w:rsid w:val="00A908A0"/>
    <w:rsid w:val="00A90DAA"/>
    <w:rsid w:val="00A90E3A"/>
    <w:rsid w:val="00A91042"/>
    <w:rsid w:val="00A9119B"/>
    <w:rsid w:val="00A91369"/>
    <w:rsid w:val="00A9167E"/>
    <w:rsid w:val="00A916E8"/>
    <w:rsid w:val="00A91790"/>
    <w:rsid w:val="00A91E07"/>
    <w:rsid w:val="00A91E5F"/>
    <w:rsid w:val="00A921AD"/>
    <w:rsid w:val="00A921EC"/>
    <w:rsid w:val="00A92AC5"/>
    <w:rsid w:val="00A92BB4"/>
    <w:rsid w:val="00A92DB1"/>
    <w:rsid w:val="00A92F08"/>
    <w:rsid w:val="00A92F0B"/>
    <w:rsid w:val="00A930E1"/>
    <w:rsid w:val="00A93125"/>
    <w:rsid w:val="00A93243"/>
    <w:rsid w:val="00A93660"/>
    <w:rsid w:val="00A9374D"/>
    <w:rsid w:val="00A93B2C"/>
    <w:rsid w:val="00A93C3A"/>
    <w:rsid w:val="00A93EF4"/>
    <w:rsid w:val="00A94442"/>
    <w:rsid w:val="00A94C32"/>
    <w:rsid w:val="00A94FDC"/>
    <w:rsid w:val="00A95243"/>
    <w:rsid w:val="00A958CA"/>
    <w:rsid w:val="00A95BB9"/>
    <w:rsid w:val="00A95DF2"/>
    <w:rsid w:val="00A95E18"/>
    <w:rsid w:val="00A9654C"/>
    <w:rsid w:val="00A96A16"/>
    <w:rsid w:val="00A96CB5"/>
    <w:rsid w:val="00A97990"/>
    <w:rsid w:val="00AA04FE"/>
    <w:rsid w:val="00AA0F31"/>
    <w:rsid w:val="00AA0FFC"/>
    <w:rsid w:val="00AA11D5"/>
    <w:rsid w:val="00AA13F8"/>
    <w:rsid w:val="00AA140C"/>
    <w:rsid w:val="00AA15CE"/>
    <w:rsid w:val="00AA1A46"/>
    <w:rsid w:val="00AA1AD3"/>
    <w:rsid w:val="00AA1C9F"/>
    <w:rsid w:val="00AA22EC"/>
    <w:rsid w:val="00AA2420"/>
    <w:rsid w:val="00AA25E9"/>
    <w:rsid w:val="00AA274E"/>
    <w:rsid w:val="00AA28FF"/>
    <w:rsid w:val="00AA291A"/>
    <w:rsid w:val="00AA2A44"/>
    <w:rsid w:val="00AA2DA6"/>
    <w:rsid w:val="00AA2DFA"/>
    <w:rsid w:val="00AA37C5"/>
    <w:rsid w:val="00AA3B10"/>
    <w:rsid w:val="00AA3DCA"/>
    <w:rsid w:val="00AA42F0"/>
    <w:rsid w:val="00AA4454"/>
    <w:rsid w:val="00AA459B"/>
    <w:rsid w:val="00AA4FA9"/>
    <w:rsid w:val="00AA5194"/>
    <w:rsid w:val="00AA5791"/>
    <w:rsid w:val="00AA5C10"/>
    <w:rsid w:val="00AA5C5E"/>
    <w:rsid w:val="00AA5C78"/>
    <w:rsid w:val="00AA5F24"/>
    <w:rsid w:val="00AA5F32"/>
    <w:rsid w:val="00AA6514"/>
    <w:rsid w:val="00AA6710"/>
    <w:rsid w:val="00AA76F9"/>
    <w:rsid w:val="00AA7959"/>
    <w:rsid w:val="00AA7F1D"/>
    <w:rsid w:val="00AB0342"/>
    <w:rsid w:val="00AB03BA"/>
    <w:rsid w:val="00AB091E"/>
    <w:rsid w:val="00AB09FE"/>
    <w:rsid w:val="00AB0A2F"/>
    <w:rsid w:val="00AB0DD1"/>
    <w:rsid w:val="00AB1155"/>
    <w:rsid w:val="00AB13CD"/>
    <w:rsid w:val="00AB164A"/>
    <w:rsid w:val="00AB188C"/>
    <w:rsid w:val="00AB19E5"/>
    <w:rsid w:val="00AB1AC3"/>
    <w:rsid w:val="00AB2116"/>
    <w:rsid w:val="00AB282A"/>
    <w:rsid w:val="00AB29BA"/>
    <w:rsid w:val="00AB335C"/>
    <w:rsid w:val="00AB355B"/>
    <w:rsid w:val="00AB387B"/>
    <w:rsid w:val="00AB5154"/>
    <w:rsid w:val="00AB550A"/>
    <w:rsid w:val="00AB5850"/>
    <w:rsid w:val="00AB59F8"/>
    <w:rsid w:val="00AB5AEF"/>
    <w:rsid w:val="00AB5B82"/>
    <w:rsid w:val="00AB5E7C"/>
    <w:rsid w:val="00AB5EED"/>
    <w:rsid w:val="00AB61C6"/>
    <w:rsid w:val="00AB6559"/>
    <w:rsid w:val="00AB65C1"/>
    <w:rsid w:val="00AB73F4"/>
    <w:rsid w:val="00AB773F"/>
    <w:rsid w:val="00AB78BC"/>
    <w:rsid w:val="00AB7A1A"/>
    <w:rsid w:val="00AB7BF9"/>
    <w:rsid w:val="00AB7FD7"/>
    <w:rsid w:val="00AC01B0"/>
    <w:rsid w:val="00AC07E9"/>
    <w:rsid w:val="00AC07EA"/>
    <w:rsid w:val="00AC0949"/>
    <w:rsid w:val="00AC0D45"/>
    <w:rsid w:val="00AC0D66"/>
    <w:rsid w:val="00AC147D"/>
    <w:rsid w:val="00AC173B"/>
    <w:rsid w:val="00AC17A9"/>
    <w:rsid w:val="00AC17B7"/>
    <w:rsid w:val="00AC1E5D"/>
    <w:rsid w:val="00AC2153"/>
    <w:rsid w:val="00AC2402"/>
    <w:rsid w:val="00AC2BC8"/>
    <w:rsid w:val="00AC317D"/>
    <w:rsid w:val="00AC35FE"/>
    <w:rsid w:val="00AC3648"/>
    <w:rsid w:val="00AC4251"/>
    <w:rsid w:val="00AC4303"/>
    <w:rsid w:val="00AC44DB"/>
    <w:rsid w:val="00AC4AA2"/>
    <w:rsid w:val="00AC4D0C"/>
    <w:rsid w:val="00AC56E9"/>
    <w:rsid w:val="00AC6107"/>
    <w:rsid w:val="00AC635E"/>
    <w:rsid w:val="00AC65CE"/>
    <w:rsid w:val="00AC7B4E"/>
    <w:rsid w:val="00AC7D2A"/>
    <w:rsid w:val="00AD0045"/>
    <w:rsid w:val="00AD0660"/>
    <w:rsid w:val="00AD07BE"/>
    <w:rsid w:val="00AD0FD5"/>
    <w:rsid w:val="00AD10F0"/>
    <w:rsid w:val="00AD1123"/>
    <w:rsid w:val="00AD15CC"/>
    <w:rsid w:val="00AD1930"/>
    <w:rsid w:val="00AD1964"/>
    <w:rsid w:val="00AD1EBE"/>
    <w:rsid w:val="00AD202B"/>
    <w:rsid w:val="00AD230A"/>
    <w:rsid w:val="00AD26D0"/>
    <w:rsid w:val="00AD2BF9"/>
    <w:rsid w:val="00AD2E15"/>
    <w:rsid w:val="00AD2E5D"/>
    <w:rsid w:val="00AD2FB2"/>
    <w:rsid w:val="00AD3706"/>
    <w:rsid w:val="00AD3750"/>
    <w:rsid w:val="00AD38E8"/>
    <w:rsid w:val="00AD3A96"/>
    <w:rsid w:val="00AD3BDC"/>
    <w:rsid w:val="00AD3CC7"/>
    <w:rsid w:val="00AD428A"/>
    <w:rsid w:val="00AD4490"/>
    <w:rsid w:val="00AD466E"/>
    <w:rsid w:val="00AD4A69"/>
    <w:rsid w:val="00AD4CFA"/>
    <w:rsid w:val="00AD4E00"/>
    <w:rsid w:val="00AD4E9C"/>
    <w:rsid w:val="00AD4F56"/>
    <w:rsid w:val="00AD4FC4"/>
    <w:rsid w:val="00AD5308"/>
    <w:rsid w:val="00AD5334"/>
    <w:rsid w:val="00AD5770"/>
    <w:rsid w:val="00AD5B2D"/>
    <w:rsid w:val="00AD6347"/>
    <w:rsid w:val="00AD65CD"/>
    <w:rsid w:val="00AD6719"/>
    <w:rsid w:val="00AD68C3"/>
    <w:rsid w:val="00AD68D8"/>
    <w:rsid w:val="00AD6B40"/>
    <w:rsid w:val="00AD6CC5"/>
    <w:rsid w:val="00AD6CDB"/>
    <w:rsid w:val="00AD6CE9"/>
    <w:rsid w:val="00AD70E3"/>
    <w:rsid w:val="00AE0274"/>
    <w:rsid w:val="00AE049C"/>
    <w:rsid w:val="00AE05B2"/>
    <w:rsid w:val="00AE07E1"/>
    <w:rsid w:val="00AE0D45"/>
    <w:rsid w:val="00AE12AC"/>
    <w:rsid w:val="00AE177D"/>
    <w:rsid w:val="00AE18E8"/>
    <w:rsid w:val="00AE19BF"/>
    <w:rsid w:val="00AE1AEF"/>
    <w:rsid w:val="00AE1BE2"/>
    <w:rsid w:val="00AE1FF8"/>
    <w:rsid w:val="00AE23AF"/>
    <w:rsid w:val="00AE2505"/>
    <w:rsid w:val="00AE2C95"/>
    <w:rsid w:val="00AE373F"/>
    <w:rsid w:val="00AE37CF"/>
    <w:rsid w:val="00AE3A58"/>
    <w:rsid w:val="00AE3B2D"/>
    <w:rsid w:val="00AE3B69"/>
    <w:rsid w:val="00AE4062"/>
    <w:rsid w:val="00AE46D9"/>
    <w:rsid w:val="00AE47D5"/>
    <w:rsid w:val="00AE4916"/>
    <w:rsid w:val="00AE4A12"/>
    <w:rsid w:val="00AE51F3"/>
    <w:rsid w:val="00AE582A"/>
    <w:rsid w:val="00AE589C"/>
    <w:rsid w:val="00AE5BC5"/>
    <w:rsid w:val="00AE616B"/>
    <w:rsid w:val="00AE643F"/>
    <w:rsid w:val="00AE64EC"/>
    <w:rsid w:val="00AE67B9"/>
    <w:rsid w:val="00AE6A12"/>
    <w:rsid w:val="00AE6A74"/>
    <w:rsid w:val="00AE6E57"/>
    <w:rsid w:val="00AE705A"/>
    <w:rsid w:val="00AE763D"/>
    <w:rsid w:val="00AE7EE1"/>
    <w:rsid w:val="00AE7FAC"/>
    <w:rsid w:val="00AF001C"/>
    <w:rsid w:val="00AF02DA"/>
    <w:rsid w:val="00AF040F"/>
    <w:rsid w:val="00AF04EB"/>
    <w:rsid w:val="00AF08CA"/>
    <w:rsid w:val="00AF08D0"/>
    <w:rsid w:val="00AF08FF"/>
    <w:rsid w:val="00AF0B66"/>
    <w:rsid w:val="00AF0E0A"/>
    <w:rsid w:val="00AF0E3A"/>
    <w:rsid w:val="00AF0EE8"/>
    <w:rsid w:val="00AF0EF2"/>
    <w:rsid w:val="00AF1620"/>
    <w:rsid w:val="00AF1B3D"/>
    <w:rsid w:val="00AF304E"/>
    <w:rsid w:val="00AF30D3"/>
    <w:rsid w:val="00AF352F"/>
    <w:rsid w:val="00AF3550"/>
    <w:rsid w:val="00AF3C1C"/>
    <w:rsid w:val="00AF3F80"/>
    <w:rsid w:val="00AF40B7"/>
    <w:rsid w:val="00AF41B7"/>
    <w:rsid w:val="00AF4418"/>
    <w:rsid w:val="00AF451F"/>
    <w:rsid w:val="00AF4528"/>
    <w:rsid w:val="00AF45A0"/>
    <w:rsid w:val="00AF46F0"/>
    <w:rsid w:val="00AF4A4F"/>
    <w:rsid w:val="00AF4BA6"/>
    <w:rsid w:val="00AF4CFD"/>
    <w:rsid w:val="00AF50C7"/>
    <w:rsid w:val="00AF534D"/>
    <w:rsid w:val="00AF534F"/>
    <w:rsid w:val="00AF54D7"/>
    <w:rsid w:val="00AF5669"/>
    <w:rsid w:val="00AF5C90"/>
    <w:rsid w:val="00AF6028"/>
    <w:rsid w:val="00AF61D0"/>
    <w:rsid w:val="00AF61EF"/>
    <w:rsid w:val="00AF69E1"/>
    <w:rsid w:val="00AF72BD"/>
    <w:rsid w:val="00AF7A65"/>
    <w:rsid w:val="00AF7C6B"/>
    <w:rsid w:val="00B00184"/>
    <w:rsid w:val="00B00351"/>
    <w:rsid w:val="00B0045D"/>
    <w:rsid w:val="00B00748"/>
    <w:rsid w:val="00B00908"/>
    <w:rsid w:val="00B00977"/>
    <w:rsid w:val="00B009E7"/>
    <w:rsid w:val="00B00F09"/>
    <w:rsid w:val="00B010F3"/>
    <w:rsid w:val="00B01312"/>
    <w:rsid w:val="00B0133E"/>
    <w:rsid w:val="00B0158F"/>
    <w:rsid w:val="00B01767"/>
    <w:rsid w:val="00B018F1"/>
    <w:rsid w:val="00B01A40"/>
    <w:rsid w:val="00B01C98"/>
    <w:rsid w:val="00B01F12"/>
    <w:rsid w:val="00B0219B"/>
    <w:rsid w:val="00B02351"/>
    <w:rsid w:val="00B02D15"/>
    <w:rsid w:val="00B0333B"/>
    <w:rsid w:val="00B033E6"/>
    <w:rsid w:val="00B0359B"/>
    <w:rsid w:val="00B03632"/>
    <w:rsid w:val="00B03650"/>
    <w:rsid w:val="00B0383E"/>
    <w:rsid w:val="00B03EB2"/>
    <w:rsid w:val="00B041A9"/>
    <w:rsid w:val="00B04419"/>
    <w:rsid w:val="00B046FB"/>
    <w:rsid w:val="00B0485A"/>
    <w:rsid w:val="00B048CE"/>
    <w:rsid w:val="00B04918"/>
    <w:rsid w:val="00B04946"/>
    <w:rsid w:val="00B04AEC"/>
    <w:rsid w:val="00B04E4C"/>
    <w:rsid w:val="00B057A9"/>
    <w:rsid w:val="00B05DE7"/>
    <w:rsid w:val="00B06677"/>
    <w:rsid w:val="00B069C8"/>
    <w:rsid w:val="00B07187"/>
    <w:rsid w:val="00B074F1"/>
    <w:rsid w:val="00B076EB"/>
    <w:rsid w:val="00B077F9"/>
    <w:rsid w:val="00B07889"/>
    <w:rsid w:val="00B07F1E"/>
    <w:rsid w:val="00B10975"/>
    <w:rsid w:val="00B10A2B"/>
    <w:rsid w:val="00B114A4"/>
    <w:rsid w:val="00B11649"/>
    <w:rsid w:val="00B1175C"/>
    <w:rsid w:val="00B1178C"/>
    <w:rsid w:val="00B118A2"/>
    <w:rsid w:val="00B118A4"/>
    <w:rsid w:val="00B1228E"/>
    <w:rsid w:val="00B124D9"/>
    <w:rsid w:val="00B1253F"/>
    <w:rsid w:val="00B1297E"/>
    <w:rsid w:val="00B12C10"/>
    <w:rsid w:val="00B12F1C"/>
    <w:rsid w:val="00B13053"/>
    <w:rsid w:val="00B134E9"/>
    <w:rsid w:val="00B136BC"/>
    <w:rsid w:val="00B13A38"/>
    <w:rsid w:val="00B14385"/>
    <w:rsid w:val="00B145B9"/>
    <w:rsid w:val="00B148AF"/>
    <w:rsid w:val="00B14A42"/>
    <w:rsid w:val="00B14B61"/>
    <w:rsid w:val="00B14FAE"/>
    <w:rsid w:val="00B15290"/>
    <w:rsid w:val="00B15A42"/>
    <w:rsid w:val="00B15D08"/>
    <w:rsid w:val="00B15F35"/>
    <w:rsid w:val="00B16089"/>
    <w:rsid w:val="00B163AE"/>
    <w:rsid w:val="00B163F7"/>
    <w:rsid w:val="00B166AB"/>
    <w:rsid w:val="00B16C9E"/>
    <w:rsid w:val="00B17116"/>
    <w:rsid w:val="00B176C5"/>
    <w:rsid w:val="00B177D0"/>
    <w:rsid w:val="00B1786E"/>
    <w:rsid w:val="00B17CD0"/>
    <w:rsid w:val="00B17DAD"/>
    <w:rsid w:val="00B2011B"/>
    <w:rsid w:val="00B204F1"/>
    <w:rsid w:val="00B20D11"/>
    <w:rsid w:val="00B2125D"/>
    <w:rsid w:val="00B214BB"/>
    <w:rsid w:val="00B21597"/>
    <w:rsid w:val="00B21789"/>
    <w:rsid w:val="00B21882"/>
    <w:rsid w:val="00B21950"/>
    <w:rsid w:val="00B21962"/>
    <w:rsid w:val="00B21BC9"/>
    <w:rsid w:val="00B21CF5"/>
    <w:rsid w:val="00B226AC"/>
    <w:rsid w:val="00B22796"/>
    <w:rsid w:val="00B22A65"/>
    <w:rsid w:val="00B2367D"/>
    <w:rsid w:val="00B23F3B"/>
    <w:rsid w:val="00B24106"/>
    <w:rsid w:val="00B242AA"/>
    <w:rsid w:val="00B2446C"/>
    <w:rsid w:val="00B25D02"/>
    <w:rsid w:val="00B25F97"/>
    <w:rsid w:val="00B26392"/>
    <w:rsid w:val="00B26736"/>
    <w:rsid w:val="00B26E40"/>
    <w:rsid w:val="00B2740E"/>
    <w:rsid w:val="00B27608"/>
    <w:rsid w:val="00B278BD"/>
    <w:rsid w:val="00B27ABC"/>
    <w:rsid w:val="00B27F8A"/>
    <w:rsid w:val="00B30171"/>
    <w:rsid w:val="00B303D7"/>
    <w:rsid w:val="00B3077C"/>
    <w:rsid w:val="00B3099C"/>
    <w:rsid w:val="00B30B0B"/>
    <w:rsid w:val="00B30B4C"/>
    <w:rsid w:val="00B30B6B"/>
    <w:rsid w:val="00B312D9"/>
    <w:rsid w:val="00B31870"/>
    <w:rsid w:val="00B31991"/>
    <w:rsid w:val="00B31B7C"/>
    <w:rsid w:val="00B31B91"/>
    <w:rsid w:val="00B31C1D"/>
    <w:rsid w:val="00B32543"/>
    <w:rsid w:val="00B3275B"/>
    <w:rsid w:val="00B330E0"/>
    <w:rsid w:val="00B331D4"/>
    <w:rsid w:val="00B332F5"/>
    <w:rsid w:val="00B336B5"/>
    <w:rsid w:val="00B33706"/>
    <w:rsid w:val="00B33955"/>
    <w:rsid w:val="00B33CEB"/>
    <w:rsid w:val="00B33FB3"/>
    <w:rsid w:val="00B3419E"/>
    <w:rsid w:val="00B34325"/>
    <w:rsid w:val="00B346B2"/>
    <w:rsid w:val="00B346FD"/>
    <w:rsid w:val="00B34847"/>
    <w:rsid w:val="00B348C5"/>
    <w:rsid w:val="00B34951"/>
    <w:rsid w:val="00B34A7B"/>
    <w:rsid w:val="00B34FD7"/>
    <w:rsid w:val="00B35D45"/>
    <w:rsid w:val="00B35DB9"/>
    <w:rsid w:val="00B36808"/>
    <w:rsid w:val="00B368AC"/>
    <w:rsid w:val="00B36A2A"/>
    <w:rsid w:val="00B37170"/>
    <w:rsid w:val="00B375E7"/>
    <w:rsid w:val="00B3771D"/>
    <w:rsid w:val="00B37A25"/>
    <w:rsid w:val="00B40309"/>
    <w:rsid w:val="00B40419"/>
    <w:rsid w:val="00B4092E"/>
    <w:rsid w:val="00B40CCD"/>
    <w:rsid w:val="00B4118D"/>
    <w:rsid w:val="00B412AA"/>
    <w:rsid w:val="00B41480"/>
    <w:rsid w:val="00B41928"/>
    <w:rsid w:val="00B41D99"/>
    <w:rsid w:val="00B4225A"/>
    <w:rsid w:val="00B423B3"/>
    <w:rsid w:val="00B4276A"/>
    <w:rsid w:val="00B42820"/>
    <w:rsid w:val="00B428B8"/>
    <w:rsid w:val="00B42BD1"/>
    <w:rsid w:val="00B42E91"/>
    <w:rsid w:val="00B437E1"/>
    <w:rsid w:val="00B43863"/>
    <w:rsid w:val="00B44035"/>
    <w:rsid w:val="00B4411B"/>
    <w:rsid w:val="00B443BF"/>
    <w:rsid w:val="00B44711"/>
    <w:rsid w:val="00B4480F"/>
    <w:rsid w:val="00B4490C"/>
    <w:rsid w:val="00B44BF8"/>
    <w:rsid w:val="00B44C69"/>
    <w:rsid w:val="00B452E2"/>
    <w:rsid w:val="00B45363"/>
    <w:rsid w:val="00B45590"/>
    <w:rsid w:val="00B45631"/>
    <w:rsid w:val="00B4574F"/>
    <w:rsid w:val="00B459BB"/>
    <w:rsid w:val="00B45A63"/>
    <w:rsid w:val="00B45AD8"/>
    <w:rsid w:val="00B45B56"/>
    <w:rsid w:val="00B45D55"/>
    <w:rsid w:val="00B45F81"/>
    <w:rsid w:val="00B46124"/>
    <w:rsid w:val="00B4649E"/>
    <w:rsid w:val="00B46A2C"/>
    <w:rsid w:val="00B46EAD"/>
    <w:rsid w:val="00B46F0F"/>
    <w:rsid w:val="00B46F45"/>
    <w:rsid w:val="00B46FC6"/>
    <w:rsid w:val="00B470A6"/>
    <w:rsid w:val="00B4723A"/>
    <w:rsid w:val="00B47356"/>
    <w:rsid w:val="00B479D6"/>
    <w:rsid w:val="00B507AD"/>
    <w:rsid w:val="00B50B97"/>
    <w:rsid w:val="00B50E32"/>
    <w:rsid w:val="00B50E93"/>
    <w:rsid w:val="00B513C1"/>
    <w:rsid w:val="00B5156B"/>
    <w:rsid w:val="00B51AF8"/>
    <w:rsid w:val="00B521AD"/>
    <w:rsid w:val="00B52510"/>
    <w:rsid w:val="00B52DA9"/>
    <w:rsid w:val="00B53388"/>
    <w:rsid w:val="00B5359F"/>
    <w:rsid w:val="00B53673"/>
    <w:rsid w:val="00B53CB2"/>
    <w:rsid w:val="00B53F2A"/>
    <w:rsid w:val="00B54298"/>
    <w:rsid w:val="00B54DBC"/>
    <w:rsid w:val="00B54E0D"/>
    <w:rsid w:val="00B55056"/>
    <w:rsid w:val="00B55551"/>
    <w:rsid w:val="00B5564D"/>
    <w:rsid w:val="00B556F6"/>
    <w:rsid w:val="00B55D4C"/>
    <w:rsid w:val="00B55F72"/>
    <w:rsid w:val="00B55FB6"/>
    <w:rsid w:val="00B565DC"/>
    <w:rsid w:val="00B56729"/>
    <w:rsid w:val="00B56751"/>
    <w:rsid w:val="00B56C1B"/>
    <w:rsid w:val="00B56F0F"/>
    <w:rsid w:val="00B5751A"/>
    <w:rsid w:val="00B57599"/>
    <w:rsid w:val="00B603F0"/>
    <w:rsid w:val="00B60570"/>
    <w:rsid w:val="00B605A7"/>
    <w:rsid w:val="00B61298"/>
    <w:rsid w:val="00B612FE"/>
    <w:rsid w:val="00B613EC"/>
    <w:rsid w:val="00B6144A"/>
    <w:rsid w:val="00B614F9"/>
    <w:rsid w:val="00B61868"/>
    <w:rsid w:val="00B6243B"/>
    <w:rsid w:val="00B62522"/>
    <w:rsid w:val="00B62671"/>
    <w:rsid w:val="00B63034"/>
    <w:rsid w:val="00B6304A"/>
    <w:rsid w:val="00B6371D"/>
    <w:rsid w:val="00B6404A"/>
    <w:rsid w:val="00B64169"/>
    <w:rsid w:val="00B6491F"/>
    <w:rsid w:val="00B64CA7"/>
    <w:rsid w:val="00B64D04"/>
    <w:rsid w:val="00B64D1C"/>
    <w:rsid w:val="00B653F7"/>
    <w:rsid w:val="00B6542F"/>
    <w:rsid w:val="00B655CB"/>
    <w:rsid w:val="00B65609"/>
    <w:rsid w:val="00B65632"/>
    <w:rsid w:val="00B656B4"/>
    <w:rsid w:val="00B656E4"/>
    <w:rsid w:val="00B65B07"/>
    <w:rsid w:val="00B65C82"/>
    <w:rsid w:val="00B65C91"/>
    <w:rsid w:val="00B65CA6"/>
    <w:rsid w:val="00B65DF5"/>
    <w:rsid w:val="00B6608D"/>
    <w:rsid w:val="00B669A8"/>
    <w:rsid w:val="00B66AE0"/>
    <w:rsid w:val="00B66C9E"/>
    <w:rsid w:val="00B66CCE"/>
    <w:rsid w:val="00B66E99"/>
    <w:rsid w:val="00B670B7"/>
    <w:rsid w:val="00B67442"/>
    <w:rsid w:val="00B67493"/>
    <w:rsid w:val="00B67661"/>
    <w:rsid w:val="00B6775C"/>
    <w:rsid w:val="00B67F12"/>
    <w:rsid w:val="00B700CA"/>
    <w:rsid w:val="00B70652"/>
    <w:rsid w:val="00B70B59"/>
    <w:rsid w:val="00B70CB2"/>
    <w:rsid w:val="00B70D72"/>
    <w:rsid w:val="00B710A1"/>
    <w:rsid w:val="00B71B0C"/>
    <w:rsid w:val="00B71FBC"/>
    <w:rsid w:val="00B7235C"/>
    <w:rsid w:val="00B72568"/>
    <w:rsid w:val="00B7270F"/>
    <w:rsid w:val="00B727D3"/>
    <w:rsid w:val="00B72C36"/>
    <w:rsid w:val="00B72DEB"/>
    <w:rsid w:val="00B73020"/>
    <w:rsid w:val="00B7330C"/>
    <w:rsid w:val="00B737DE"/>
    <w:rsid w:val="00B73935"/>
    <w:rsid w:val="00B739A2"/>
    <w:rsid w:val="00B7439B"/>
    <w:rsid w:val="00B7497C"/>
    <w:rsid w:val="00B7498E"/>
    <w:rsid w:val="00B74C14"/>
    <w:rsid w:val="00B74D14"/>
    <w:rsid w:val="00B74EA3"/>
    <w:rsid w:val="00B74F77"/>
    <w:rsid w:val="00B75788"/>
    <w:rsid w:val="00B75806"/>
    <w:rsid w:val="00B75C0C"/>
    <w:rsid w:val="00B75D1F"/>
    <w:rsid w:val="00B76037"/>
    <w:rsid w:val="00B766EC"/>
    <w:rsid w:val="00B76823"/>
    <w:rsid w:val="00B76A6A"/>
    <w:rsid w:val="00B76A88"/>
    <w:rsid w:val="00B76B3E"/>
    <w:rsid w:val="00B76B6F"/>
    <w:rsid w:val="00B76C61"/>
    <w:rsid w:val="00B76D2B"/>
    <w:rsid w:val="00B77095"/>
    <w:rsid w:val="00B7717B"/>
    <w:rsid w:val="00B772E7"/>
    <w:rsid w:val="00B773D4"/>
    <w:rsid w:val="00B776DF"/>
    <w:rsid w:val="00B777E1"/>
    <w:rsid w:val="00B77A27"/>
    <w:rsid w:val="00B77B7A"/>
    <w:rsid w:val="00B77E25"/>
    <w:rsid w:val="00B8006F"/>
    <w:rsid w:val="00B800A3"/>
    <w:rsid w:val="00B80174"/>
    <w:rsid w:val="00B80533"/>
    <w:rsid w:val="00B80BD1"/>
    <w:rsid w:val="00B80F01"/>
    <w:rsid w:val="00B8104A"/>
    <w:rsid w:val="00B81274"/>
    <w:rsid w:val="00B812C9"/>
    <w:rsid w:val="00B812CB"/>
    <w:rsid w:val="00B81341"/>
    <w:rsid w:val="00B822C2"/>
    <w:rsid w:val="00B82652"/>
    <w:rsid w:val="00B82A28"/>
    <w:rsid w:val="00B82F01"/>
    <w:rsid w:val="00B830F5"/>
    <w:rsid w:val="00B83267"/>
    <w:rsid w:val="00B8334C"/>
    <w:rsid w:val="00B835B4"/>
    <w:rsid w:val="00B83B6B"/>
    <w:rsid w:val="00B84365"/>
    <w:rsid w:val="00B845F2"/>
    <w:rsid w:val="00B8487B"/>
    <w:rsid w:val="00B84D5A"/>
    <w:rsid w:val="00B84D7E"/>
    <w:rsid w:val="00B84FB5"/>
    <w:rsid w:val="00B85473"/>
    <w:rsid w:val="00B85DF3"/>
    <w:rsid w:val="00B8609B"/>
    <w:rsid w:val="00B865DB"/>
    <w:rsid w:val="00B86B96"/>
    <w:rsid w:val="00B86CFC"/>
    <w:rsid w:val="00B86EBB"/>
    <w:rsid w:val="00B86F57"/>
    <w:rsid w:val="00B87649"/>
    <w:rsid w:val="00B87CD5"/>
    <w:rsid w:val="00B87F52"/>
    <w:rsid w:val="00B87F7C"/>
    <w:rsid w:val="00B87FCC"/>
    <w:rsid w:val="00B901FC"/>
    <w:rsid w:val="00B903C7"/>
    <w:rsid w:val="00B904D3"/>
    <w:rsid w:val="00B90730"/>
    <w:rsid w:val="00B907C0"/>
    <w:rsid w:val="00B90849"/>
    <w:rsid w:val="00B90868"/>
    <w:rsid w:val="00B909DF"/>
    <w:rsid w:val="00B90C8A"/>
    <w:rsid w:val="00B90FA4"/>
    <w:rsid w:val="00B90FF2"/>
    <w:rsid w:val="00B92160"/>
    <w:rsid w:val="00B92250"/>
    <w:rsid w:val="00B92654"/>
    <w:rsid w:val="00B92712"/>
    <w:rsid w:val="00B929E0"/>
    <w:rsid w:val="00B92B06"/>
    <w:rsid w:val="00B93626"/>
    <w:rsid w:val="00B9383C"/>
    <w:rsid w:val="00B93A0B"/>
    <w:rsid w:val="00B9405E"/>
    <w:rsid w:val="00B942F9"/>
    <w:rsid w:val="00B9436D"/>
    <w:rsid w:val="00B9452E"/>
    <w:rsid w:val="00B946FB"/>
    <w:rsid w:val="00B947FB"/>
    <w:rsid w:val="00B94A15"/>
    <w:rsid w:val="00B94BEB"/>
    <w:rsid w:val="00B94CD0"/>
    <w:rsid w:val="00B94FDB"/>
    <w:rsid w:val="00B95610"/>
    <w:rsid w:val="00B95753"/>
    <w:rsid w:val="00B95DAD"/>
    <w:rsid w:val="00B96002"/>
    <w:rsid w:val="00B96141"/>
    <w:rsid w:val="00B9665F"/>
    <w:rsid w:val="00B96ABB"/>
    <w:rsid w:val="00B96EB8"/>
    <w:rsid w:val="00B977A4"/>
    <w:rsid w:val="00B978C6"/>
    <w:rsid w:val="00B97B1F"/>
    <w:rsid w:val="00B97B5D"/>
    <w:rsid w:val="00B97C57"/>
    <w:rsid w:val="00B97DAD"/>
    <w:rsid w:val="00B97F94"/>
    <w:rsid w:val="00BA0632"/>
    <w:rsid w:val="00BA0662"/>
    <w:rsid w:val="00BA0802"/>
    <w:rsid w:val="00BA0A2C"/>
    <w:rsid w:val="00BA0B3D"/>
    <w:rsid w:val="00BA0BE5"/>
    <w:rsid w:val="00BA0D20"/>
    <w:rsid w:val="00BA0D7D"/>
    <w:rsid w:val="00BA15ED"/>
    <w:rsid w:val="00BA19CC"/>
    <w:rsid w:val="00BA1E2F"/>
    <w:rsid w:val="00BA2176"/>
    <w:rsid w:val="00BA21E7"/>
    <w:rsid w:val="00BA2CA8"/>
    <w:rsid w:val="00BA2F91"/>
    <w:rsid w:val="00BA3084"/>
    <w:rsid w:val="00BA315B"/>
    <w:rsid w:val="00BA3570"/>
    <w:rsid w:val="00BA36AA"/>
    <w:rsid w:val="00BA36D8"/>
    <w:rsid w:val="00BA3771"/>
    <w:rsid w:val="00BA385D"/>
    <w:rsid w:val="00BA3A8C"/>
    <w:rsid w:val="00BA3F43"/>
    <w:rsid w:val="00BA4764"/>
    <w:rsid w:val="00BA4983"/>
    <w:rsid w:val="00BA527F"/>
    <w:rsid w:val="00BA5514"/>
    <w:rsid w:val="00BA5566"/>
    <w:rsid w:val="00BA5866"/>
    <w:rsid w:val="00BA5B7B"/>
    <w:rsid w:val="00BA5BE2"/>
    <w:rsid w:val="00BA5D0B"/>
    <w:rsid w:val="00BA5DBA"/>
    <w:rsid w:val="00BA64CB"/>
    <w:rsid w:val="00BA67B8"/>
    <w:rsid w:val="00BA6C7B"/>
    <w:rsid w:val="00BA70CA"/>
    <w:rsid w:val="00BA7221"/>
    <w:rsid w:val="00BA7235"/>
    <w:rsid w:val="00BA7708"/>
    <w:rsid w:val="00BA77BA"/>
    <w:rsid w:val="00BA7BB0"/>
    <w:rsid w:val="00BB0289"/>
    <w:rsid w:val="00BB04A4"/>
    <w:rsid w:val="00BB08D9"/>
    <w:rsid w:val="00BB0F3D"/>
    <w:rsid w:val="00BB0F64"/>
    <w:rsid w:val="00BB1ACB"/>
    <w:rsid w:val="00BB1DEB"/>
    <w:rsid w:val="00BB22F0"/>
    <w:rsid w:val="00BB2493"/>
    <w:rsid w:val="00BB249D"/>
    <w:rsid w:val="00BB25DD"/>
    <w:rsid w:val="00BB27A9"/>
    <w:rsid w:val="00BB2A6E"/>
    <w:rsid w:val="00BB2D47"/>
    <w:rsid w:val="00BB333C"/>
    <w:rsid w:val="00BB3573"/>
    <w:rsid w:val="00BB35A6"/>
    <w:rsid w:val="00BB36A6"/>
    <w:rsid w:val="00BB3A62"/>
    <w:rsid w:val="00BB451F"/>
    <w:rsid w:val="00BB4FAB"/>
    <w:rsid w:val="00BB50A7"/>
    <w:rsid w:val="00BB50B6"/>
    <w:rsid w:val="00BB50BC"/>
    <w:rsid w:val="00BB50D7"/>
    <w:rsid w:val="00BB544B"/>
    <w:rsid w:val="00BB55D6"/>
    <w:rsid w:val="00BB58E5"/>
    <w:rsid w:val="00BB622A"/>
    <w:rsid w:val="00BB6265"/>
    <w:rsid w:val="00BB64D0"/>
    <w:rsid w:val="00BB6574"/>
    <w:rsid w:val="00BB694F"/>
    <w:rsid w:val="00BB6E85"/>
    <w:rsid w:val="00BB747D"/>
    <w:rsid w:val="00BB7617"/>
    <w:rsid w:val="00BB7FC0"/>
    <w:rsid w:val="00BC097E"/>
    <w:rsid w:val="00BC0CE5"/>
    <w:rsid w:val="00BC1512"/>
    <w:rsid w:val="00BC1D57"/>
    <w:rsid w:val="00BC21DC"/>
    <w:rsid w:val="00BC22BE"/>
    <w:rsid w:val="00BC27A8"/>
    <w:rsid w:val="00BC2B31"/>
    <w:rsid w:val="00BC2C21"/>
    <w:rsid w:val="00BC2E63"/>
    <w:rsid w:val="00BC33C0"/>
    <w:rsid w:val="00BC3429"/>
    <w:rsid w:val="00BC366D"/>
    <w:rsid w:val="00BC4802"/>
    <w:rsid w:val="00BC482F"/>
    <w:rsid w:val="00BC4A63"/>
    <w:rsid w:val="00BC4D42"/>
    <w:rsid w:val="00BC4F00"/>
    <w:rsid w:val="00BC4FB8"/>
    <w:rsid w:val="00BC5036"/>
    <w:rsid w:val="00BC522B"/>
    <w:rsid w:val="00BC5302"/>
    <w:rsid w:val="00BC57FC"/>
    <w:rsid w:val="00BC5860"/>
    <w:rsid w:val="00BC59F2"/>
    <w:rsid w:val="00BC5A40"/>
    <w:rsid w:val="00BC5A4E"/>
    <w:rsid w:val="00BC5B49"/>
    <w:rsid w:val="00BC60FE"/>
    <w:rsid w:val="00BC62A7"/>
    <w:rsid w:val="00BC63C4"/>
    <w:rsid w:val="00BC6663"/>
    <w:rsid w:val="00BC6763"/>
    <w:rsid w:val="00BC6A4B"/>
    <w:rsid w:val="00BC6EBD"/>
    <w:rsid w:val="00BC6FBF"/>
    <w:rsid w:val="00BC72A9"/>
    <w:rsid w:val="00BC777C"/>
    <w:rsid w:val="00BC7AF6"/>
    <w:rsid w:val="00BC7D08"/>
    <w:rsid w:val="00BC7E58"/>
    <w:rsid w:val="00BC7EEC"/>
    <w:rsid w:val="00BC7FD6"/>
    <w:rsid w:val="00BD00CF"/>
    <w:rsid w:val="00BD0100"/>
    <w:rsid w:val="00BD04D7"/>
    <w:rsid w:val="00BD05D5"/>
    <w:rsid w:val="00BD06C1"/>
    <w:rsid w:val="00BD07FE"/>
    <w:rsid w:val="00BD087A"/>
    <w:rsid w:val="00BD0CE7"/>
    <w:rsid w:val="00BD0F42"/>
    <w:rsid w:val="00BD0F5D"/>
    <w:rsid w:val="00BD1216"/>
    <w:rsid w:val="00BD1337"/>
    <w:rsid w:val="00BD13FF"/>
    <w:rsid w:val="00BD17B8"/>
    <w:rsid w:val="00BD18D5"/>
    <w:rsid w:val="00BD199D"/>
    <w:rsid w:val="00BD1DED"/>
    <w:rsid w:val="00BD1F2C"/>
    <w:rsid w:val="00BD20D2"/>
    <w:rsid w:val="00BD2124"/>
    <w:rsid w:val="00BD293E"/>
    <w:rsid w:val="00BD2F0C"/>
    <w:rsid w:val="00BD309B"/>
    <w:rsid w:val="00BD33BC"/>
    <w:rsid w:val="00BD3841"/>
    <w:rsid w:val="00BD3FC2"/>
    <w:rsid w:val="00BD40E9"/>
    <w:rsid w:val="00BD4344"/>
    <w:rsid w:val="00BD4860"/>
    <w:rsid w:val="00BD4AA1"/>
    <w:rsid w:val="00BD4FE4"/>
    <w:rsid w:val="00BD5059"/>
    <w:rsid w:val="00BD551F"/>
    <w:rsid w:val="00BD554E"/>
    <w:rsid w:val="00BD5747"/>
    <w:rsid w:val="00BD63E0"/>
    <w:rsid w:val="00BD672D"/>
    <w:rsid w:val="00BD75CF"/>
    <w:rsid w:val="00BD77DD"/>
    <w:rsid w:val="00BD7A32"/>
    <w:rsid w:val="00BD7C9D"/>
    <w:rsid w:val="00BD7D78"/>
    <w:rsid w:val="00BD7D7A"/>
    <w:rsid w:val="00BE00BC"/>
    <w:rsid w:val="00BE01A8"/>
    <w:rsid w:val="00BE0B01"/>
    <w:rsid w:val="00BE1068"/>
    <w:rsid w:val="00BE1826"/>
    <w:rsid w:val="00BE1AD2"/>
    <w:rsid w:val="00BE1BB6"/>
    <w:rsid w:val="00BE2007"/>
    <w:rsid w:val="00BE2322"/>
    <w:rsid w:val="00BE2340"/>
    <w:rsid w:val="00BE2670"/>
    <w:rsid w:val="00BE2713"/>
    <w:rsid w:val="00BE2932"/>
    <w:rsid w:val="00BE2D64"/>
    <w:rsid w:val="00BE3B38"/>
    <w:rsid w:val="00BE42DC"/>
    <w:rsid w:val="00BE463C"/>
    <w:rsid w:val="00BE49FD"/>
    <w:rsid w:val="00BE4A42"/>
    <w:rsid w:val="00BE4F47"/>
    <w:rsid w:val="00BE4FBA"/>
    <w:rsid w:val="00BE5A93"/>
    <w:rsid w:val="00BE5ECD"/>
    <w:rsid w:val="00BE6048"/>
    <w:rsid w:val="00BE6133"/>
    <w:rsid w:val="00BE6671"/>
    <w:rsid w:val="00BE688D"/>
    <w:rsid w:val="00BE6946"/>
    <w:rsid w:val="00BE6A9F"/>
    <w:rsid w:val="00BE6CED"/>
    <w:rsid w:val="00BE6FED"/>
    <w:rsid w:val="00BE73A6"/>
    <w:rsid w:val="00BE782E"/>
    <w:rsid w:val="00BE79AE"/>
    <w:rsid w:val="00BF0297"/>
    <w:rsid w:val="00BF0337"/>
    <w:rsid w:val="00BF03EE"/>
    <w:rsid w:val="00BF061A"/>
    <w:rsid w:val="00BF063F"/>
    <w:rsid w:val="00BF0679"/>
    <w:rsid w:val="00BF0955"/>
    <w:rsid w:val="00BF0A03"/>
    <w:rsid w:val="00BF0EB3"/>
    <w:rsid w:val="00BF0FB9"/>
    <w:rsid w:val="00BF13FB"/>
    <w:rsid w:val="00BF198B"/>
    <w:rsid w:val="00BF1ACB"/>
    <w:rsid w:val="00BF2032"/>
    <w:rsid w:val="00BF2219"/>
    <w:rsid w:val="00BF2347"/>
    <w:rsid w:val="00BF2765"/>
    <w:rsid w:val="00BF287A"/>
    <w:rsid w:val="00BF294B"/>
    <w:rsid w:val="00BF29E9"/>
    <w:rsid w:val="00BF2BEE"/>
    <w:rsid w:val="00BF3099"/>
    <w:rsid w:val="00BF320F"/>
    <w:rsid w:val="00BF323E"/>
    <w:rsid w:val="00BF37F4"/>
    <w:rsid w:val="00BF390B"/>
    <w:rsid w:val="00BF3935"/>
    <w:rsid w:val="00BF400C"/>
    <w:rsid w:val="00BF4242"/>
    <w:rsid w:val="00BF43DA"/>
    <w:rsid w:val="00BF484B"/>
    <w:rsid w:val="00BF4AA2"/>
    <w:rsid w:val="00BF4B8B"/>
    <w:rsid w:val="00BF50A6"/>
    <w:rsid w:val="00BF53C9"/>
    <w:rsid w:val="00BF5AA6"/>
    <w:rsid w:val="00BF5CA1"/>
    <w:rsid w:val="00BF5E40"/>
    <w:rsid w:val="00BF5E82"/>
    <w:rsid w:val="00BF5F93"/>
    <w:rsid w:val="00BF61B4"/>
    <w:rsid w:val="00BF6273"/>
    <w:rsid w:val="00BF65C4"/>
    <w:rsid w:val="00BF67D4"/>
    <w:rsid w:val="00BF69FC"/>
    <w:rsid w:val="00BF6D52"/>
    <w:rsid w:val="00BF6EB5"/>
    <w:rsid w:val="00BF6F47"/>
    <w:rsid w:val="00BF7048"/>
    <w:rsid w:val="00BF75E0"/>
    <w:rsid w:val="00BF76AB"/>
    <w:rsid w:val="00BF7A33"/>
    <w:rsid w:val="00BF7CFA"/>
    <w:rsid w:val="00BF7ED3"/>
    <w:rsid w:val="00C0008F"/>
    <w:rsid w:val="00C00182"/>
    <w:rsid w:val="00C003DF"/>
    <w:rsid w:val="00C004FF"/>
    <w:rsid w:val="00C006FC"/>
    <w:rsid w:val="00C0081E"/>
    <w:rsid w:val="00C00C31"/>
    <w:rsid w:val="00C00E0A"/>
    <w:rsid w:val="00C00EA5"/>
    <w:rsid w:val="00C01021"/>
    <w:rsid w:val="00C0120C"/>
    <w:rsid w:val="00C0132A"/>
    <w:rsid w:val="00C01590"/>
    <w:rsid w:val="00C01D2C"/>
    <w:rsid w:val="00C01DCF"/>
    <w:rsid w:val="00C01EEC"/>
    <w:rsid w:val="00C01FC6"/>
    <w:rsid w:val="00C026E3"/>
    <w:rsid w:val="00C02ABB"/>
    <w:rsid w:val="00C02AD0"/>
    <w:rsid w:val="00C032BE"/>
    <w:rsid w:val="00C0373C"/>
    <w:rsid w:val="00C03A8D"/>
    <w:rsid w:val="00C03F45"/>
    <w:rsid w:val="00C0405C"/>
    <w:rsid w:val="00C048D5"/>
    <w:rsid w:val="00C04988"/>
    <w:rsid w:val="00C04CB8"/>
    <w:rsid w:val="00C04F18"/>
    <w:rsid w:val="00C0509E"/>
    <w:rsid w:val="00C0532E"/>
    <w:rsid w:val="00C05456"/>
    <w:rsid w:val="00C06212"/>
    <w:rsid w:val="00C06570"/>
    <w:rsid w:val="00C065A7"/>
    <w:rsid w:val="00C0664F"/>
    <w:rsid w:val="00C066A5"/>
    <w:rsid w:val="00C06AD2"/>
    <w:rsid w:val="00C06D15"/>
    <w:rsid w:val="00C06EBC"/>
    <w:rsid w:val="00C07C28"/>
    <w:rsid w:val="00C07EF2"/>
    <w:rsid w:val="00C1098A"/>
    <w:rsid w:val="00C10C82"/>
    <w:rsid w:val="00C10CB3"/>
    <w:rsid w:val="00C1113D"/>
    <w:rsid w:val="00C1147B"/>
    <w:rsid w:val="00C115E9"/>
    <w:rsid w:val="00C11A48"/>
    <w:rsid w:val="00C11AAE"/>
    <w:rsid w:val="00C11ABB"/>
    <w:rsid w:val="00C11E28"/>
    <w:rsid w:val="00C121CD"/>
    <w:rsid w:val="00C1239C"/>
    <w:rsid w:val="00C12522"/>
    <w:rsid w:val="00C12713"/>
    <w:rsid w:val="00C127F7"/>
    <w:rsid w:val="00C129FD"/>
    <w:rsid w:val="00C12A42"/>
    <w:rsid w:val="00C12CC6"/>
    <w:rsid w:val="00C12D1C"/>
    <w:rsid w:val="00C12FF1"/>
    <w:rsid w:val="00C1300A"/>
    <w:rsid w:val="00C131D6"/>
    <w:rsid w:val="00C13460"/>
    <w:rsid w:val="00C13707"/>
    <w:rsid w:val="00C13C2A"/>
    <w:rsid w:val="00C1404C"/>
    <w:rsid w:val="00C141CE"/>
    <w:rsid w:val="00C143A4"/>
    <w:rsid w:val="00C14678"/>
    <w:rsid w:val="00C1468B"/>
    <w:rsid w:val="00C14AB7"/>
    <w:rsid w:val="00C14AC1"/>
    <w:rsid w:val="00C14DF9"/>
    <w:rsid w:val="00C152C1"/>
    <w:rsid w:val="00C15431"/>
    <w:rsid w:val="00C154B3"/>
    <w:rsid w:val="00C15738"/>
    <w:rsid w:val="00C15B86"/>
    <w:rsid w:val="00C15C2D"/>
    <w:rsid w:val="00C15CF6"/>
    <w:rsid w:val="00C15F65"/>
    <w:rsid w:val="00C15FCD"/>
    <w:rsid w:val="00C161E0"/>
    <w:rsid w:val="00C162AA"/>
    <w:rsid w:val="00C165BE"/>
    <w:rsid w:val="00C16A92"/>
    <w:rsid w:val="00C17168"/>
    <w:rsid w:val="00C17402"/>
    <w:rsid w:val="00C179C6"/>
    <w:rsid w:val="00C17CD3"/>
    <w:rsid w:val="00C17ED2"/>
    <w:rsid w:val="00C2092F"/>
    <w:rsid w:val="00C20B3B"/>
    <w:rsid w:val="00C20D9A"/>
    <w:rsid w:val="00C20E6C"/>
    <w:rsid w:val="00C20FAE"/>
    <w:rsid w:val="00C210B4"/>
    <w:rsid w:val="00C21281"/>
    <w:rsid w:val="00C21358"/>
    <w:rsid w:val="00C21ABB"/>
    <w:rsid w:val="00C21F97"/>
    <w:rsid w:val="00C22156"/>
    <w:rsid w:val="00C22C68"/>
    <w:rsid w:val="00C22CAB"/>
    <w:rsid w:val="00C22E29"/>
    <w:rsid w:val="00C22E66"/>
    <w:rsid w:val="00C22F37"/>
    <w:rsid w:val="00C230B9"/>
    <w:rsid w:val="00C230BB"/>
    <w:rsid w:val="00C23271"/>
    <w:rsid w:val="00C23BEA"/>
    <w:rsid w:val="00C23DE2"/>
    <w:rsid w:val="00C23FBB"/>
    <w:rsid w:val="00C240B7"/>
    <w:rsid w:val="00C24110"/>
    <w:rsid w:val="00C242F5"/>
    <w:rsid w:val="00C24538"/>
    <w:rsid w:val="00C245FC"/>
    <w:rsid w:val="00C24A45"/>
    <w:rsid w:val="00C24F24"/>
    <w:rsid w:val="00C25062"/>
    <w:rsid w:val="00C2507F"/>
    <w:rsid w:val="00C25360"/>
    <w:rsid w:val="00C255C0"/>
    <w:rsid w:val="00C25A36"/>
    <w:rsid w:val="00C25CCA"/>
    <w:rsid w:val="00C25E53"/>
    <w:rsid w:val="00C26361"/>
    <w:rsid w:val="00C26981"/>
    <w:rsid w:val="00C269E1"/>
    <w:rsid w:val="00C26FAB"/>
    <w:rsid w:val="00C274EB"/>
    <w:rsid w:val="00C2759E"/>
    <w:rsid w:val="00C27713"/>
    <w:rsid w:val="00C27814"/>
    <w:rsid w:val="00C30A21"/>
    <w:rsid w:val="00C30D58"/>
    <w:rsid w:val="00C30E0E"/>
    <w:rsid w:val="00C30EB4"/>
    <w:rsid w:val="00C3141F"/>
    <w:rsid w:val="00C317DA"/>
    <w:rsid w:val="00C31AEB"/>
    <w:rsid w:val="00C31C64"/>
    <w:rsid w:val="00C31D77"/>
    <w:rsid w:val="00C31F9F"/>
    <w:rsid w:val="00C326D3"/>
    <w:rsid w:val="00C32794"/>
    <w:rsid w:val="00C32856"/>
    <w:rsid w:val="00C32950"/>
    <w:rsid w:val="00C32AAD"/>
    <w:rsid w:val="00C32DD2"/>
    <w:rsid w:val="00C32F44"/>
    <w:rsid w:val="00C32FC5"/>
    <w:rsid w:val="00C32FD1"/>
    <w:rsid w:val="00C3324E"/>
    <w:rsid w:val="00C33284"/>
    <w:rsid w:val="00C332E3"/>
    <w:rsid w:val="00C334DC"/>
    <w:rsid w:val="00C3363A"/>
    <w:rsid w:val="00C3399E"/>
    <w:rsid w:val="00C340F0"/>
    <w:rsid w:val="00C34228"/>
    <w:rsid w:val="00C345F3"/>
    <w:rsid w:val="00C3472E"/>
    <w:rsid w:val="00C3490C"/>
    <w:rsid w:val="00C34948"/>
    <w:rsid w:val="00C34A56"/>
    <w:rsid w:val="00C34F13"/>
    <w:rsid w:val="00C35298"/>
    <w:rsid w:val="00C355E4"/>
    <w:rsid w:val="00C3586D"/>
    <w:rsid w:val="00C35D61"/>
    <w:rsid w:val="00C35F84"/>
    <w:rsid w:val="00C362D7"/>
    <w:rsid w:val="00C362E5"/>
    <w:rsid w:val="00C36768"/>
    <w:rsid w:val="00C36C11"/>
    <w:rsid w:val="00C36E8A"/>
    <w:rsid w:val="00C36F60"/>
    <w:rsid w:val="00C3706D"/>
    <w:rsid w:val="00C37152"/>
    <w:rsid w:val="00C376B5"/>
    <w:rsid w:val="00C37905"/>
    <w:rsid w:val="00C37C97"/>
    <w:rsid w:val="00C37E34"/>
    <w:rsid w:val="00C37EE0"/>
    <w:rsid w:val="00C4016B"/>
    <w:rsid w:val="00C401B4"/>
    <w:rsid w:val="00C4033C"/>
    <w:rsid w:val="00C4038A"/>
    <w:rsid w:val="00C404BF"/>
    <w:rsid w:val="00C405EA"/>
    <w:rsid w:val="00C40842"/>
    <w:rsid w:val="00C40E64"/>
    <w:rsid w:val="00C40ED9"/>
    <w:rsid w:val="00C4112B"/>
    <w:rsid w:val="00C41938"/>
    <w:rsid w:val="00C419FF"/>
    <w:rsid w:val="00C41BC3"/>
    <w:rsid w:val="00C41D63"/>
    <w:rsid w:val="00C41DFC"/>
    <w:rsid w:val="00C420CB"/>
    <w:rsid w:val="00C42154"/>
    <w:rsid w:val="00C425A3"/>
    <w:rsid w:val="00C42B16"/>
    <w:rsid w:val="00C42B82"/>
    <w:rsid w:val="00C42BFF"/>
    <w:rsid w:val="00C42EB8"/>
    <w:rsid w:val="00C4304A"/>
    <w:rsid w:val="00C434F2"/>
    <w:rsid w:val="00C43584"/>
    <w:rsid w:val="00C4360A"/>
    <w:rsid w:val="00C43615"/>
    <w:rsid w:val="00C4398C"/>
    <w:rsid w:val="00C43D2C"/>
    <w:rsid w:val="00C43D7C"/>
    <w:rsid w:val="00C43E2A"/>
    <w:rsid w:val="00C443C8"/>
    <w:rsid w:val="00C443D0"/>
    <w:rsid w:val="00C44866"/>
    <w:rsid w:val="00C449A3"/>
    <w:rsid w:val="00C44A07"/>
    <w:rsid w:val="00C44BCD"/>
    <w:rsid w:val="00C44C47"/>
    <w:rsid w:val="00C44DAA"/>
    <w:rsid w:val="00C45576"/>
    <w:rsid w:val="00C45AF5"/>
    <w:rsid w:val="00C45D11"/>
    <w:rsid w:val="00C45DC6"/>
    <w:rsid w:val="00C45E4B"/>
    <w:rsid w:val="00C45EF9"/>
    <w:rsid w:val="00C46011"/>
    <w:rsid w:val="00C4631A"/>
    <w:rsid w:val="00C46369"/>
    <w:rsid w:val="00C46ACC"/>
    <w:rsid w:val="00C46DAE"/>
    <w:rsid w:val="00C470C9"/>
    <w:rsid w:val="00C472F7"/>
    <w:rsid w:val="00C47588"/>
    <w:rsid w:val="00C475A4"/>
    <w:rsid w:val="00C478CE"/>
    <w:rsid w:val="00C47A22"/>
    <w:rsid w:val="00C47C0E"/>
    <w:rsid w:val="00C47C3D"/>
    <w:rsid w:val="00C47D31"/>
    <w:rsid w:val="00C500BA"/>
    <w:rsid w:val="00C501DC"/>
    <w:rsid w:val="00C507E9"/>
    <w:rsid w:val="00C508AA"/>
    <w:rsid w:val="00C50BE8"/>
    <w:rsid w:val="00C513E8"/>
    <w:rsid w:val="00C51484"/>
    <w:rsid w:val="00C516D0"/>
    <w:rsid w:val="00C51A67"/>
    <w:rsid w:val="00C51C42"/>
    <w:rsid w:val="00C51D5E"/>
    <w:rsid w:val="00C520FF"/>
    <w:rsid w:val="00C52353"/>
    <w:rsid w:val="00C523BE"/>
    <w:rsid w:val="00C52429"/>
    <w:rsid w:val="00C5281E"/>
    <w:rsid w:val="00C52BD1"/>
    <w:rsid w:val="00C52D31"/>
    <w:rsid w:val="00C535AE"/>
    <w:rsid w:val="00C53AB2"/>
    <w:rsid w:val="00C53EEF"/>
    <w:rsid w:val="00C54435"/>
    <w:rsid w:val="00C54A09"/>
    <w:rsid w:val="00C55708"/>
    <w:rsid w:val="00C559C4"/>
    <w:rsid w:val="00C5618B"/>
    <w:rsid w:val="00C567A2"/>
    <w:rsid w:val="00C56884"/>
    <w:rsid w:val="00C56A45"/>
    <w:rsid w:val="00C57253"/>
    <w:rsid w:val="00C57282"/>
    <w:rsid w:val="00C57D21"/>
    <w:rsid w:val="00C57DA3"/>
    <w:rsid w:val="00C608E4"/>
    <w:rsid w:val="00C60E1F"/>
    <w:rsid w:val="00C6101C"/>
    <w:rsid w:val="00C614F6"/>
    <w:rsid w:val="00C6187C"/>
    <w:rsid w:val="00C61A96"/>
    <w:rsid w:val="00C61C42"/>
    <w:rsid w:val="00C61CBE"/>
    <w:rsid w:val="00C61D80"/>
    <w:rsid w:val="00C61E36"/>
    <w:rsid w:val="00C61FF9"/>
    <w:rsid w:val="00C620FA"/>
    <w:rsid w:val="00C62444"/>
    <w:rsid w:val="00C62527"/>
    <w:rsid w:val="00C626E7"/>
    <w:rsid w:val="00C62755"/>
    <w:rsid w:val="00C6288B"/>
    <w:rsid w:val="00C62A09"/>
    <w:rsid w:val="00C62C1F"/>
    <w:rsid w:val="00C62E69"/>
    <w:rsid w:val="00C62FB4"/>
    <w:rsid w:val="00C63891"/>
    <w:rsid w:val="00C63BD8"/>
    <w:rsid w:val="00C63C85"/>
    <w:rsid w:val="00C63DB9"/>
    <w:rsid w:val="00C63F33"/>
    <w:rsid w:val="00C6411A"/>
    <w:rsid w:val="00C6463A"/>
    <w:rsid w:val="00C64AE0"/>
    <w:rsid w:val="00C65200"/>
    <w:rsid w:val="00C65437"/>
    <w:rsid w:val="00C65564"/>
    <w:rsid w:val="00C65961"/>
    <w:rsid w:val="00C65C82"/>
    <w:rsid w:val="00C65FE5"/>
    <w:rsid w:val="00C660CB"/>
    <w:rsid w:val="00C665D5"/>
    <w:rsid w:val="00C66D5E"/>
    <w:rsid w:val="00C67985"/>
    <w:rsid w:val="00C67A71"/>
    <w:rsid w:val="00C67ACA"/>
    <w:rsid w:val="00C67B78"/>
    <w:rsid w:val="00C67DAE"/>
    <w:rsid w:val="00C700A2"/>
    <w:rsid w:val="00C70322"/>
    <w:rsid w:val="00C70446"/>
    <w:rsid w:val="00C705C0"/>
    <w:rsid w:val="00C70904"/>
    <w:rsid w:val="00C70C5A"/>
    <w:rsid w:val="00C70C82"/>
    <w:rsid w:val="00C70EAE"/>
    <w:rsid w:val="00C711E2"/>
    <w:rsid w:val="00C71648"/>
    <w:rsid w:val="00C71736"/>
    <w:rsid w:val="00C717A4"/>
    <w:rsid w:val="00C71C33"/>
    <w:rsid w:val="00C72307"/>
    <w:rsid w:val="00C724F0"/>
    <w:rsid w:val="00C72691"/>
    <w:rsid w:val="00C7274B"/>
    <w:rsid w:val="00C72B9B"/>
    <w:rsid w:val="00C72C07"/>
    <w:rsid w:val="00C72DC0"/>
    <w:rsid w:val="00C72ED9"/>
    <w:rsid w:val="00C7316A"/>
    <w:rsid w:val="00C73245"/>
    <w:rsid w:val="00C73887"/>
    <w:rsid w:val="00C73CCD"/>
    <w:rsid w:val="00C73E96"/>
    <w:rsid w:val="00C73FEF"/>
    <w:rsid w:val="00C7401A"/>
    <w:rsid w:val="00C74379"/>
    <w:rsid w:val="00C74DD5"/>
    <w:rsid w:val="00C74E47"/>
    <w:rsid w:val="00C74F4A"/>
    <w:rsid w:val="00C75602"/>
    <w:rsid w:val="00C757B4"/>
    <w:rsid w:val="00C75BBC"/>
    <w:rsid w:val="00C76075"/>
    <w:rsid w:val="00C760D9"/>
    <w:rsid w:val="00C761BE"/>
    <w:rsid w:val="00C76692"/>
    <w:rsid w:val="00C76869"/>
    <w:rsid w:val="00C769ED"/>
    <w:rsid w:val="00C76C82"/>
    <w:rsid w:val="00C7741E"/>
    <w:rsid w:val="00C7745A"/>
    <w:rsid w:val="00C7765E"/>
    <w:rsid w:val="00C7797D"/>
    <w:rsid w:val="00C77DE1"/>
    <w:rsid w:val="00C77E32"/>
    <w:rsid w:val="00C77E3E"/>
    <w:rsid w:val="00C77FBC"/>
    <w:rsid w:val="00C80304"/>
    <w:rsid w:val="00C80561"/>
    <w:rsid w:val="00C80617"/>
    <w:rsid w:val="00C80812"/>
    <w:rsid w:val="00C80B2D"/>
    <w:rsid w:val="00C80E13"/>
    <w:rsid w:val="00C8142E"/>
    <w:rsid w:val="00C81BCB"/>
    <w:rsid w:val="00C81F44"/>
    <w:rsid w:val="00C822B5"/>
    <w:rsid w:val="00C826B7"/>
    <w:rsid w:val="00C8297F"/>
    <w:rsid w:val="00C82E29"/>
    <w:rsid w:val="00C83009"/>
    <w:rsid w:val="00C832CF"/>
    <w:rsid w:val="00C833AE"/>
    <w:rsid w:val="00C834C6"/>
    <w:rsid w:val="00C8359B"/>
    <w:rsid w:val="00C8464E"/>
    <w:rsid w:val="00C8476A"/>
    <w:rsid w:val="00C84C78"/>
    <w:rsid w:val="00C84D6A"/>
    <w:rsid w:val="00C84FD5"/>
    <w:rsid w:val="00C8502F"/>
    <w:rsid w:val="00C85071"/>
    <w:rsid w:val="00C8511F"/>
    <w:rsid w:val="00C85183"/>
    <w:rsid w:val="00C85308"/>
    <w:rsid w:val="00C85437"/>
    <w:rsid w:val="00C854F3"/>
    <w:rsid w:val="00C85542"/>
    <w:rsid w:val="00C856C0"/>
    <w:rsid w:val="00C85AA6"/>
    <w:rsid w:val="00C85BDE"/>
    <w:rsid w:val="00C85C6B"/>
    <w:rsid w:val="00C85FEF"/>
    <w:rsid w:val="00C8645D"/>
    <w:rsid w:val="00C86E53"/>
    <w:rsid w:val="00C86EE6"/>
    <w:rsid w:val="00C871BB"/>
    <w:rsid w:val="00C87635"/>
    <w:rsid w:val="00C87710"/>
    <w:rsid w:val="00C8776C"/>
    <w:rsid w:val="00C87881"/>
    <w:rsid w:val="00C87899"/>
    <w:rsid w:val="00C878FF"/>
    <w:rsid w:val="00C87E70"/>
    <w:rsid w:val="00C90037"/>
    <w:rsid w:val="00C90092"/>
    <w:rsid w:val="00C902BA"/>
    <w:rsid w:val="00C90661"/>
    <w:rsid w:val="00C90746"/>
    <w:rsid w:val="00C909A2"/>
    <w:rsid w:val="00C90A6B"/>
    <w:rsid w:val="00C90E08"/>
    <w:rsid w:val="00C91747"/>
    <w:rsid w:val="00C91BBE"/>
    <w:rsid w:val="00C91D0E"/>
    <w:rsid w:val="00C91D8A"/>
    <w:rsid w:val="00C91DFD"/>
    <w:rsid w:val="00C92069"/>
    <w:rsid w:val="00C92398"/>
    <w:rsid w:val="00C9245C"/>
    <w:rsid w:val="00C9262D"/>
    <w:rsid w:val="00C9287E"/>
    <w:rsid w:val="00C92C24"/>
    <w:rsid w:val="00C93092"/>
    <w:rsid w:val="00C930AE"/>
    <w:rsid w:val="00C931BA"/>
    <w:rsid w:val="00C934D0"/>
    <w:rsid w:val="00C9354E"/>
    <w:rsid w:val="00C93A25"/>
    <w:rsid w:val="00C93B77"/>
    <w:rsid w:val="00C93C37"/>
    <w:rsid w:val="00C93E93"/>
    <w:rsid w:val="00C93EE3"/>
    <w:rsid w:val="00C940C1"/>
    <w:rsid w:val="00C94399"/>
    <w:rsid w:val="00C9467F"/>
    <w:rsid w:val="00C94DA6"/>
    <w:rsid w:val="00C94DD2"/>
    <w:rsid w:val="00C94EE7"/>
    <w:rsid w:val="00C953C0"/>
    <w:rsid w:val="00C95E99"/>
    <w:rsid w:val="00C9622E"/>
    <w:rsid w:val="00C963CF"/>
    <w:rsid w:val="00C96948"/>
    <w:rsid w:val="00C969C7"/>
    <w:rsid w:val="00C97136"/>
    <w:rsid w:val="00C975C9"/>
    <w:rsid w:val="00C97875"/>
    <w:rsid w:val="00C97FC6"/>
    <w:rsid w:val="00C97FC7"/>
    <w:rsid w:val="00CA03C3"/>
    <w:rsid w:val="00CA069B"/>
    <w:rsid w:val="00CA0721"/>
    <w:rsid w:val="00CA087F"/>
    <w:rsid w:val="00CA0C3C"/>
    <w:rsid w:val="00CA0D58"/>
    <w:rsid w:val="00CA117F"/>
    <w:rsid w:val="00CA12CF"/>
    <w:rsid w:val="00CA1514"/>
    <w:rsid w:val="00CA15FE"/>
    <w:rsid w:val="00CA1A26"/>
    <w:rsid w:val="00CA1C03"/>
    <w:rsid w:val="00CA1CB2"/>
    <w:rsid w:val="00CA229F"/>
    <w:rsid w:val="00CA2AC3"/>
    <w:rsid w:val="00CA31CF"/>
    <w:rsid w:val="00CA3528"/>
    <w:rsid w:val="00CA3A7C"/>
    <w:rsid w:val="00CA3E24"/>
    <w:rsid w:val="00CA3EC1"/>
    <w:rsid w:val="00CA4877"/>
    <w:rsid w:val="00CA4D7E"/>
    <w:rsid w:val="00CA5055"/>
    <w:rsid w:val="00CA5854"/>
    <w:rsid w:val="00CA595C"/>
    <w:rsid w:val="00CA5D30"/>
    <w:rsid w:val="00CA6096"/>
    <w:rsid w:val="00CA6139"/>
    <w:rsid w:val="00CA63FF"/>
    <w:rsid w:val="00CA6A43"/>
    <w:rsid w:val="00CA6DBC"/>
    <w:rsid w:val="00CA707A"/>
    <w:rsid w:val="00CA7127"/>
    <w:rsid w:val="00CA737B"/>
    <w:rsid w:val="00CA7611"/>
    <w:rsid w:val="00CA7914"/>
    <w:rsid w:val="00CA7969"/>
    <w:rsid w:val="00CB001F"/>
    <w:rsid w:val="00CB0021"/>
    <w:rsid w:val="00CB03E9"/>
    <w:rsid w:val="00CB0404"/>
    <w:rsid w:val="00CB044D"/>
    <w:rsid w:val="00CB0DD6"/>
    <w:rsid w:val="00CB120B"/>
    <w:rsid w:val="00CB1238"/>
    <w:rsid w:val="00CB1438"/>
    <w:rsid w:val="00CB1793"/>
    <w:rsid w:val="00CB1849"/>
    <w:rsid w:val="00CB21A2"/>
    <w:rsid w:val="00CB21B8"/>
    <w:rsid w:val="00CB21C7"/>
    <w:rsid w:val="00CB2202"/>
    <w:rsid w:val="00CB26C2"/>
    <w:rsid w:val="00CB2A9A"/>
    <w:rsid w:val="00CB2AD7"/>
    <w:rsid w:val="00CB2B6D"/>
    <w:rsid w:val="00CB2BB0"/>
    <w:rsid w:val="00CB2EF4"/>
    <w:rsid w:val="00CB2FFA"/>
    <w:rsid w:val="00CB31A2"/>
    <w:rsid w:val="00CB3349"/>
    <w:rsid w:val="00CB3767"/>
    <w:rsid w:val="00CB37C1"/>
    <w:rsid w:val="00CB3DD4"/>
    <w:rsid w:val="00CB3DDA"/>
    <w:rsid w:val="00CB4041"/>
    <w:rsid w:val="00CB418D"/>
    <w:rsid w:val="00CB48D8"/>
    <w:rsid w:val="00CB4B19"/>
    <w:rsid w:val="00CB4EE5"/>
    <w:rsid w:val="00CB4F4C"/>
    <w:rsid w:val="00CB55D1"/>
    <w:rsid w:val="00CB568F"/>
    <w:rsid w:val="00CB5B2A"/>
    <w:rsid w:val="00CB5B32"/>
    <w:rsid w:val="00CB5F70"/>
    <w:rsid w:val="00CB631B"/>
    <w:rsid w:val="00CB706A"/>
    <w:rsid w:val="00CB725C"/>
    <w:rsid w:val="00CB7A94"/>
    <w:rsid w:val="00CB7E79"/>
    <w:rsid w:val="00CC0176"/>
    <w:rsid w:val="00CC034F"/>
    <w:rsid w:val="00CC094D"/>
    <w:rsid w:val="00CC0B2C"/>
    <w:rsid w:val="00CC0C17"/>
    <w:rsid w:val="00CC1141"/>
    <w:rsid w:val="00CC17E6"/>
    <w:rsid w:val="00CC18DA"/>
    <w:rsid w:val="00CC226E"/>
    <w:rsid w:val="00CC24C2"/>
    <w:rsid w:val="00CC26C8"/>
    <w:rsid w:val="00CC29A0"/>
    <w:rsid w:val="00CC29D7"/>
    <w:rsid w:val="00CC2A7F"/>
    <w:rsid w:val="00CC2B71"/>
    <w:rsid w:val="00CC2F85"/>
    <w:rsid w:val="00CC301A"/>
    <w:rsid w:val="00CC31B4"/>
    <w:rsid w:val="00CC33B3"/>
    <w:rsid w:val="00CC3661"/>
    <w:rsid w:val="00CC3689"/>
    <w:rsid w:val="00CC390F"/>
    <w:rsid w:val="00CC3CCB"/>
    <w:rsid w:val="00CC3CEC"/>
    <w:rsid w:val="00CC3CEF"/>
    <w:rsid w:val="00CC3FA3"/>
    <w:rsid w:val="00CC41EE"/>
    <w:rsid w:val="00CC485E"/>
    <w:rsid w:val="00CC49E9"/>
    <w:rsid w:val="00CC4B1D"/>
    <w:rsid w:val="00CC4BA5"/>
    <w:rsid w:val="00CC4D7D"/>
    <w:rsid w:val="00CC5C60"/>
    <w:rsid w:val="00CC5D7C"/>
    <w:rsid w:val="00CC6236"/>
    <w:rsid w:val="00CC6290"/>
    <w:rsid w:val="00CC70C0"/>
    <w:rsid w:val="00CC70EE"/>
    <w:rsid w:val="00CC750C"/>
    <w:rsid w:val="00CC75A2"/>
    <w:rsid w:val="00CC794B"/>
    <w:rsid w:val="00CC7A39"/>
    <w:rsid w:val="00CC7A62"/>
    <w:rsid w:val="00CC7BE0"/>
    <w:rsid w:val="00CC7DE8"/>
    <w:rsid w:val="00CC7E30"/>
    <w:rsid w:val="00CC7F26"/>
    <w:rsid w:val="00CD0675"/>
    <w:rsid w:val="00CD085A"/>
    <w:rsid w:val="00CD0AE6"/>
    <w:rsid w:val="00CD11CD"/>
    <w:rsid w:val="00CD13F8"/>
    <w:rsid w:val="00CD15D8"/>
    <w:rsid w:val="00CD181D"/>
    <w:rsid w:val="00CD2319"/>
    <w:rsid w:val="00CD2320"/>
    <w:rsid w:val="00CD24A6"/>
    <w:rsid w:val="00CD2506"/>
    <w:rsid w:val="00CD2550"/>
    <w:rsid w:val="00CD2703"/>
    <w:rsid w:val="00CD29D7"/>
    <w:rsid w:val="00CD2A66"/>
    <w:rsid w:val="00CD2B26"/>
    <w:rsid w:val="00CD2BD4"/>
    <w:rsid w:val="00CD2E76"/>
    <w:rsid w:val="00CD2F5C"/>
    <w:rsid w:val="00CD30B8"/>
    <w:rsid w:val="00CD361A"/>
    <w:rsid w:val="00CD3786"/>
    <w:rsid w:val="00CD463E"/>
    <w:rsid w:val="00CD4800"/>
    <w:rsid w:val="00CD4BD4"/>
    <w:rsid w:val="00CD4CE5"/>
    <w:rsid w:val="00CD5143"/>
    <w:rsid w:val="00CD51A2"/>
    <w:rsid w:val="00CD58CA"/>
    <w:rsid w:val="00CD59CE"/>
    <w:rsid w:val="00CD5A98"/>
    <w:rsid w:val="00CD5B2E"/>
    <w:rsid w:val="00CD5B46"/>
    <w:rsid w:val="00CD6FD2"/>
    <w:rsid w:val="00CD702F"/>
    <w:rsid w:val="00CD72F5"/>
    <w:rsid w:val="00CD7661"/>
    <w:rsid w:val="00CD7EA1"/>
    <w:rsid w:val="00CE0462"/>
    <w:rsid w:val="00CE0539"/>
    <w:rsid w:val="00CE0602"/>
    <w:rsid w:val="00CE0794"/>
    <w:rsid w:val="00CE09CE"/>
    <w:rsid w:val="00CE09D0"/>
    <w:rsid w:val="00CE1551"/>
    <w:rsid w:val="00CE1886"/>
    <w:rsid w:val="00CE18E0"/>
    <w:rsid w:val="00CE1A60"/>
    <w:rsid w:val="00CE1BEB"/>
    <w:rsid w:val="00CE1DA3"/>
    <w:rsid w:val="00CE21F7"/>
    <w:rsid w:val="00CE244C"/>
    <w:rsid w:val="00CE25C4"/>
    <w:rsid w:val="00CE291B"/>
    <w:rsid w:val="00CE31D3"/>
    <w:rsid w:val="00CE31ED"/>
    <w:rsid w:val="00CE332F"/>
    <w:rsid w:val="00CE33F4"/>
    <w:rsid w:val="00CE38D5"/>
    <w:rsid w:val="00CE3A8C"/>
    <w:rsid w:val="00CE3E12"/>
    <w:rsid w:val="00CE40E5"/>
    <w:rsid w:val="00CE410F"/>
    <w:rsid w:val="00CE45C9"/>
    <w:rsid w:val="00CE4B5E"/>
    <w:rsid w:val="00CE4C66"/>
    <w:rsid w:val="00CE4D50"/>
    <w:rsid w:val="00CE4E9B"/>
    <w:rsid w:val="00CE587D"/>
    <w:rsid w:val="00CE5F5F"/>
    <w:rsid w:val="00CE625A"/>
    <w:rsid w:val="00CE6A5C"/>
    <w:rsid w:val="00CE6A7E"/>
    <w:rsid w:val="00CE6B2D"/>
    <w:rsid w:val="00CE6BD5"/>
    <w:rsid w:val="00CE6C4B"/>
    <w:rsid w:val="00CE6F87"/>
    <w:rsid w:val="00CE7276"/>
    <w:rsid w:val="00CE7402"/>
    <w:rsid w:val="00CE7528"/>
    <w:rsid w:val="00CF0400"/>
    <w:rsid w:val="00CF046E"/>
    <w:rsid w:val="00CF0832"/>
    <w:rsid w:val="00CF0B28"/>
    <w:rsid w:val="00CF0CB9"/>
    <w:rsid w:val="00CF11CF"/>
    <w:rsid w:val="00CF11E1"/>
    <w:rsid w:val="00CF1209"/>
    <w:rsid w:val="00CF1363"/>
    <w:rsid w:val="00CF139A"/>
    <w:rsid w:val="00CF13CE"/>
    <w:rsid w:val="00CF13D8"/>
    <w:rsid w:val="00CF15D9"/>
    <w:rsid w:val="00CF19EC"/>
    <w:rsid w:val="00CF1B45"/>
    <w:rsid w:val="00CF1BC8"/>
    <w:rsid w:val="00CF1D8C"/>
    <w:rsid w:val="00CF1F2A"/>
    <w:rsid w:val="00CF25BF"/>
    <w:rsid w:val="00CF2B77"/>
    <w:rsid w:val="00CF2BDD"/>
    <w:rsid w:val="00CF316A"/>
    <w:rsid w:val="00CF36D6"/>
    <w:rsid w:val="00CF3831"/>
    <w:rsid w:val="00CF4570"/>
    <w:rsid w:val="00CF46A8"/>
    <w:rsid w:val="00CF46B7"/>
    <w:rsid w:val="00CF48BD"/>
    <w:rsid w:val="00CF4913"/>
    <w:rsid w:val="00CF4920"/>
    <w:rsid w:val="00CF49FC"/>
    <w:rsid w:val="00CF4B19"/>
    <w:rsid w:val="00CF5635"/>
    <w:rsid w:val="00CF5753"/>
    <w:rsid w:val="00CF5789"/>
    <w:rsid w:val="00CF585B"/>
    <w:rsid w:val="00CF58A9"/>
    <w:rsid w:val="00CF5C8C"/>
    <w:rsid w:val="00CF5EBE"/>
    <w:rsid w:val="00CF5FBE"/>
    <w:rsid w:val="00CF60F1"/>
    <w:rsid w:val="00CF65D2"/>
    <w:rsid w:val="00CF6D1F"/>
    <w:rsid w:val="00CF6E1E"/>
    <w:rsid w:val="00CF6F22"/>
    <w:rsid w:val="00CF6F34"/>
    <w:rsid w:val="00CF74EF"/>
    <w:rsid w:val="00CF769F"/>
    <w:rsid w:val="00CF79B1"/>
    <w:rsid w:val="00CF7F03"/>
    <w:rsid w:val="00CF7F06"/>
    <w:rsid w:val="00D001FE"/>
    <w:rsid w:val="00D00BA0"/>
    <w:rsid w:val="00D0112C"/>
    <w:rsid w:val="00D0142F"/>
    <w:rsid w:val="00D01AE8"/>
    <w:rsid w:val="00D01D7D"/>
    <w:rsid w:val="00D01D80"/>
    <w:rsid w:val="00D02C80"/>
    <w:rsid w:val="00D02F48"/>
    <w:rsid w:val="00D0334D"/>
    <w:rsid w:val="00D03369"/>
    <w:rsid w:val="00D03BF1"/>
    <w:rsid w:val="00D04024"/>
    <w:rsid w:val="00D043E0"/>
    <w:rsid w:val="00D04D83"/>
    <w:rsid w:val="00D04E4B"/>
    <w:rsid w:val="00D0507B"/>
    <w:rsid w:val="00D05170"/>
    <w:rsid w:val="00D051B2"/>
    <w:rsid w:val="00D05340"/>
    <w:rsid w:val="00D05588"/>
    <w:rsid w:val="00D05649"/>
    <w:rsid w:val="00D05713"/>
    <w:rsid w:val="00D05AD1"/>
    <w:rsid w:val="00D05DD0"/>
    <w:rsid w:val="00D06019"/>
    <w:rsid w:val="00D0628E"/>
    <w:rsid w:val="00D062CD"/>
    <w:rsid w:val="00D066EA"/>
    <w:rsid w:val="00D0670B"/>
    <w:rsid w:val="00D067DD"/>
    <w:rsid w:val="00D06AB4"/>
    <w:rsid w:val="00D06C03"/>
    <w:rsid w:val="00D06DC0"/>
    <w:rsid w:val="00D070B7"/>
    <w:rsid w:val="00D074D1"/>
    <w:rsid w:val="00D076B1"/>
    <w:rsid w:val="00D1008C"/>
    <w:rsid w:val="00D1012D"/>
    <w:rsid w:val="00D101CE"/>
    <w:rsid w:val="00D10892"/>
    <w:rsid w:val="00D108B6"/>
    <w:rsid w:val="00D10D7D"/>
    <w:rsid w:val="00D11242"/>
    <w:rsid w:val="00D1172B"/>
    <w:rsid w:val="00D12154"/>
    <w:rsid w:val="00D123DA"/>
    <w:rsid w:val="00D12465"/>
    <w:rsid w:val="00D12656"/>
    <w:rsid w:val="00D1289A"/>
    <w:rsid w:val="00D12B9B"/>
    <w:rsid w:val="00D12C5E"/>
    <w:rsid w:val="00D12DFD"/>
    <w:rsid w:val="00D130A1"/>
    <w:rsid w:val="00D1343E"/>
    <w:rsid w:val="00D13820"/>
    <w:rsid w:val="00D139A0"/>
    <w:rsid w:val="00D13B5D"/>
    <w:rsid w:val="00D143C9"/>
    <w:rsid w:val="00D14B53"/>
    <w:rsid w:val="00D14C84"/>
    <w:rsid w:val="00D14CEF"/>
    <w:rsid w:val="00D14D1C"/>
    <w:rsid w:val="00D14E3C"/>
    <w:rsid w:val="00D1548D"/>
    <w:rsid w:val="00D154E7"/>
    <w:rsid w:val="00D15A4A"/>
    <w:rsid w:val="00D15BC1"/>
    <w:rsid w:val="00D15BCF"/>
    <w:rsid w:val="00D15D2A"/>
    <w:rsid w:val="00D15EAC"/>
    <w:rsid w:val="00D15EF5"/>
    <w:rsid w:val="00D1608A"/>
    <w:rsid w:val="00D160C3"/>
    <w:rsid w:val="00D1610F"/>
    <w:rsid w:val="00D163AC"/>
    <w:rsid w:val="00D16647"/>
    <w:rsid w:val="00D1683E"/>
    <w:rsid w:val="00D16D15"/>
    <w:rsid w:val="00D171B9"/>
    <w:rsid w:val="00D175EE"/>
    <w:rsid w:val="00D176FA"/>
    <w:rsid w:val="00D17B38"/>
    <w:rsid w:val="00D17BF1"/>
    <w:rsid w:val="00D17D66"/>
    <w:rsid w:val="00D20284"/>
    <w:rsid w:val="00D20309"/>
    <w:rsid w:val="00D20390"/>
    <w:rsid w:val="00D20410"/>
    <w:rsid w:val="00D20545"/>
    <w:rsid w:val="00D20A08"/>
    <w:rsid w:val="00D20E37"/>
    <w:rsid w:val="00D21694"/>
    <w:rsid w:val="00D2172F"/>
    <w:rsid w:val="00D21793"/>
    <w:rsid w:val="00D219C2"/>
    <w:rsid w:val="00D219EB"/>
    <w:rsid w:val="00D21A62"/>
    <w:rsid w:val="00D21AFF"/>
    <w:rsid w:val="00D21B31"/>
    <w:rsid w:val="00D21C0B"/>
    <w:rsid w:val="00D21F48"/>
    <w:rsid w:val="00D22234"/>
    <w:rsid w:val="00D2227B"/>
    <w:rsid w:val="00D22348"/>
    <w:rsid w:val="00D22467"/>
    <w:rsid w:val="00D2285E"/>
    <w:rsid w:val="00D22942"/>
    <w:rsid w:val="00D2299A"/>
    <w:rsid w:val="00D22EC7"/>
    <w:rsid w:val="00D23037"/>
    <w:rsid w:val="00D232FC"/>
    <w:rsid w:val="00D23330"/>
    <w:rsid w:val="00D2337A"/>
    <w:rsid w:val="00D233D9"/>
    <w:rsid w:val="00D237E0"/>
    <w:rsid w:val="00D23C6B"/>
    <w:rsid w:val="00D23CBA"/>
    <w:rsid w:val="00D23CBC"/>
    <w:rsid w:val="00D23F3F"/>
    <w:rsid w:val="00D2416D"/>
    <w:rsid w:val="00D241B3"/>
    <w:rsid w:val="00D24326"/>
    <w:rsid w:val="00D243F5"/>
    <w:rsid w:val="00D244C5"/>
    <w:rsid w:val="00D24692"/>
    <w:rsid w:val="00D2480E"/>
    <w:rsid w:val="00D24975"/>
    <w:rsid w:val="00D24BDD"/>
    <w:rsid w:val="00D24C57"/>
    <w:rsid w:val="00D24DC3"/>
    <w:rsid w:val="00D24DD6"/>
    <w:rsid w:val="00D24F89"/>
    <w:rsid w:val="00D2524C"/>
    <w:rsid w:val="00D25EE5"/>
    <w:rsid w:val="00D25FFB"/>
    <w:rsid w:val="00D2600A"/>
    <w:rsid w:val="00D27722"/>
    <w:rsid w:val="00D27E51"/>
    <w:rsid w:val="00D309A3"/>
    <w:rsid w:val="00D309AB"/>
    <w:rsid w:val="00D30AA7"/>
    <w:rsid w:val="00D30B42"/>
    <w:rsid w:val="00D30B58"/>
    <w:rsid w:val="00D3120E"/>
    <w:rsid w:val="00D31761"/>
    <w:rsid w:val="00D31A47"/>
    <w:rsid w:val="00D31F58"/>
    <w:rsid w:val="00D31F98"/>
    <w:rsid w:val="00D31FFC"/>
    <w:rsid w:val="00D3242F"/>
    <w:rsid w:val="00D324F3"/>
    <w:rsid w:val="00D3268E"/>
    <w:rsid w:val="00D329A4"/>
    <w:rsid w:val="00D330F7"/>
    <w:rsid w:val="00D331C4"/>
    <w:rsid w:val="00D3376E"/>
    <w:rsid w:val="00D33F47"/>
    <w:rsid w:val="00D342D9"/>
    <w:rsid w:val="00D3468F"/>
    <w:rsid w:val="00D34794"/>
    <w:rsid w:val="00D34AFC"/>
    <w:rsid w:val="00D35339"/>
    <w:rsid w:val="00D35842"/>
    <w:rsid w:val="00D36095"/>
    <w:rsid w:val="00D365DC"/>
    <w:rsid w:val="00D374CB"/>
    <w:rsid w:val="00D37603"/>
    <w:rsid w:val="00D377DE"/>
    <w:rsid w:val="00D3780D"/>
    <w:rsid w:val="00D37BAD"/>
    <w:rsid w:val="00D37E96"/>
    <w:rsid w:val="00D37F7F"/>
    <w:rsid w:val="00D40950"/>
    <w:rsid w:val="00D40B9B"/>
    <w:rsid w:val="00D42519"/>
    <w:rsid w:val="00D42D73"/>
    <w:rsid w:val="00D42EAA"/>
    <w:rsid w:val="00D433CA"/>
    <w:rsid w:val="00D438F0"/>
    <w:rsid w:val="00D43927"/>
    <w:rsid w:val="00D43DF0"/>
    <w:rsid w:val="00D43EFB"/>
    <w:rsid w:val="00D4477A"/>
    <w:rsid w:val="00D44D92"/>
    <w:rsid w:val="00D451BE"/>
    <w:rsid w:val="00D45276"/>
    <w:rsid w:val="00D454FF"/>
    <w:rsid w:val="00D45576"/>
    <w:rsid w:val="00D4589E"/>
    <w:rsid w:val="00D45B60"/>
    <w:rsid w:val="00D45E4B"/>
    <w:rsid w:val="00D46697"/>
    <w:rsid w:val="00D46AB7"/>
    <w:rsid w:val="00D46F41"/>
    <w:rsid w:val="00D47076"/>
    <w:rsid w:val="00D475D4"/>
    <w:rsid w:val="00D476A2"/>
    <w:rsid w:val="00D477E7"/>
    <w:rsid w:val="00D4781F"/>
    <w:rsid w:val="00D47B5D"/>
    <w:rsid w:val="00D47FC3"/>
    <w:rsid w:val="00D50257"/>
    <w:rsid w:val="00D5044A"/>
    <w:rsid w:val="00D507A8"/>
    <w:rsid w:val="00D50E96"/>
    <w:rsid w:val="00D50F6E"/>
    <w:rsid w:val="00D51088"/>
    <w:rsid w:val="00D51398"/>
    <w:rsid w:val="00D515F4"/>
    <w:rsid w:val="00D51654"/>
    <w:rsid w:val="00D516BF"/>
    <w:rsid w:val="00D5172F"/>
    <w:rsid w:val="00D51F60"/>
    <w:rsid w:val="00D5215B"/>
    <w:rsid w:val="00D52493"/>
    <w:rsid w:val="00D5257D"/>
    <w:rsid w:val="00D52672"/>
    <w:rsid w:val="00D52A57"/>
    <w:rsid w:val="00D52BAC"/>
    <w:rsid w:val="00D52C75"/>
    <w:rsid w:val="00D52E97"/>
    <w:rsid w:val="00D53138"/>
    <w:rsid w:val="00D53247"/>
    <w:rsid w:val="00D532AF"/>
    <w:rsid w:val="00D53324"/>
    <w:rsid w:val="00D53525"/>
    <w:rsid w:val="00D539F8"/>
    <w:rsid w:val="00D5411E"/>
    <w:rsid w:val="00D54339"/>
    <w:rsid w:val="00D5456C"/>
    <w:rsid w:val="00D54761"/>
    <w:rsid w:val="00D54916"/>
    <w:rsid w:val="00D5492B"/>
    <w:rsid w:val="00D54B8B"/>
    <w:rsid w:val="00D54DB9"/>
    <w:rsid w:val="00D55250"/>
    <w:rsid w:val="00D552D1"/>
    <w:rsid w:val="00D55EBA"/>
    <w:rsid w:val="00D55F69"/>
    <w:rsid w:val="00D565D7"/>
    <w:rsid w:val="00D569EA"/>
    <w:rsid w:val="00D56BC4"/>
    <w:rsid w:val="00D56CED"/>
    <w:rsid w:val="00D56F0E"/>
    <w:rsid w:val="00D56FF0"/>
    <w:rsid w:val="00D5732E"/>
    <w:rsid w:val="00D57343"/>
    <w:rsid w:val="00D57DC3"/>
    <w:rsid w:val="00D57E5A"/>
    <w:rsid w:val="00D600F6"/>
    <w:rsid w:val="00D60373"/>
    <w:rsid w:val="00D60407"/>
    <w:rsid w:val="00D604D6"/>
    <w:rsid w:val="00D60505"/>
    <w:rsid w:val="00D6052F"/>
    <w:rsid w:val="00D607C5"/>
    <w:rsid w:val="00D608AA"/>
    <w:rsid w:val="00D609FD"/>
    <w:rsid w:val="00D60BA0"/>
    <w:rsid w:val="00D60EB1"/>
    <w:rsid w:val="00D6103B"/>
    <w:rsid w:val="00D611AB"/>
    <w:rsid w:val="00D61361"/>
    <w:rsid w:val="00D61460"/>
    <w:rsid w:val="00D61734"/>
    <w:rsid w:val="00D61B7C"/>
    <w:rsid w:val="00D61F94"/>
    <w:rsid w:val="00D6201C"/>
    <w:rsid w:val="00D620BD"/>
    <w:rsid w:val="00D621FF"/>
    <w:rsid w:val="00D6228F"/>
    <w:rsid w:val="00D622BD"/>
    <w:rsid w:val="00D6246B"/>
    <w:rsid w:val="00D62546"/>
    <w:rsid w:val="00D62745"/>
    <w:rsid w:val="00D62B24"/>
    <w:rsid w:val="00D62E4E"/>
    <w:rsid w:val="00D62E60"/>
    <w:rsid w:val="00D6353E"/>
    <w:rsid w:val="00D637D3"/>
    <w:rsid w:val="00D63D06"/>
    <w:rsid w:val="00D64D34"/>
    <w:rsid w:val="00D652B0"/>
    <w:rsid w:val="00D65587"/>
    <w:rsid w:val="00D6578E"/>
    <w:rsid w:val="00D657BB"/>
    <w:rsid w:val="00D65ABA"/>
    <w:rsid w:val="00D65B54"/>
    <w:rsid w:val="00D65E4D"/>
    <w:rsid w:val="00D660C8"/>
    <w:rsid w:val="00D66199"/>
    <w:rsid w:val="00D6625D"/>
    <w:rsid w:val="00D66893"/>
    <w:rsid w:val="00D66AF0"/>
    <w:rsid w:val="00D66B5C"/>
    <w:rsid w:val="00D66B8C"/>
    <w:rsid w:val="00D6733E"/>
    <w:rsid w:val="00D67626"/>
    <w:rsid w:val="00D67A8F"/>
    <w:rsid w:val="00D67D69"/>
    <w:rsid w:val="00D70385"/>
    <w:rsid w:val="00D70590"/>
    <w:rsid w:val="00D7072D"/>
    <w:rsid w:val="00D70747"/>
    <w:rsid w:val="00D70A5C"/>
    <w:rsid w:val="00D70B1F"/>
    <w:rsid w:val="00D70B9D"/>
    <w:rsid w:val="00D70F49"/>
    <w:rsid w:val="00D71264"/>
    <w:rsid w:val="00D7161C"/>
    <w:rsid w:val="00D717A0"/>
    <w:rsid w:val="00D719EC"/>
    <w:rsid w:val="00D71F82"/>
    <w:rsid w:val="00D728BB"/>
    <w:rsid w:val="00D72928"/>
    <w:rsid w:val="00D72F93"/>
    <w:rsid w:val="00D735BD"/>
    <w:rsid w:val="00D73801"/>
    <w:rsid w:val="00D739CC"/>
    <w:rsid w:val="00D73C65"/>
    <w:rsid w:val="00D74165"/>
    <w:rsid w:val="00D744A6"/>
    <w:rsid w:val="00D7490C"/>
    <w:rsid w:val="00D74953"/>
    <w:rsid w:val="00D74991"/>
    <w:rsid w:val="00D75030"/>
    <w:rsid w:val="00D750F9"/>
    <w:rsid w:val="00D7517F"/>
    <w:rsid w:val="00D751BF"/>
    <w:rsid w:val="00D75493"/>
    <w:rsid w:val="00D756AC"/>
    <w:rsid w:val="00D75847"/>
    <w:rsid w:val="00D75BDD"/>
    <w:rsid w:val="00D75F84"/>
    <w:rsid w:val="00D7601E"/>
    <w:rsid w:val="00D760CA"/>
    <w:rsid w:val="00D764A7"/>
    <w:rsid w:val="00D767AC"/>
    <w:rsid w:val="00D76CD9"/>
    <w:rsid w:val="00D76D79"/>
    <w:rsid w:val="00D7717C"/>
    <w:rsid w:val="00D7723C"/>
    <w:rsid w:val="00D7723F"/>
    <w:rsid w:val="00D77961"/>
    <w:rsid w:val="00D77C35"/>
    <w:rsid w:val="00D77F8C"/>
    <w:rsid w:val="00D803D4"/>
    <w:rsid w:val="00D804F6"/>
    <w:rsid w:val="00D80826"/>
    <w:rsid w:val="00D8091A"/>
    <w:rsid w:val="00D809E0"/>
    <w:rsid w:val="00D80C72"/>
    <w:rsid w:val="00D80F7D"/>
    <w:rsid w:val="00D81067"/>
    <w:rsid w:val="00D811FF"/>
    <w:rsid w:val="00D8192E"/>
    <w:rsid w:val="00D81E0C"/>
    <w:rsid w:val="00D81E67"/>
    <w:rsid w:val="00D81E76"/>
    <w:rsid w:val="00D81FEB"/>
    <w:rsid w:val="00D824C1"/>
    <w:rsid w:val="00D82884"/>
    <w:rsid w:val="00D82CFD"/>
    <w:rsid w:val="00D82E89"/>
    <w:rsid w:val="00D83095"/>
    <w:rsid w:val="00D83B19"/>
    <w:rsid w:val="00D84A39"/>
    <w:rsid w:val="00D84A5A"/>
    <w:rsid w:val="00D85229"/>
    <w:rsid w:val="00D85626"/>
    <w:rsid w:val="00D857E1"/>
    <w:rsid w:val="00D858A2"/>
    <w:rsid w:val="00D85EE4"/>
    <w:rsid w:val="00D86565"/>
    <w:rsid w:val="00D86577"/>
    <w:rsid w:val="00D865F4"/>
    <w:rsid w:val="00D86EC1"/>
    <w:rsid w:val="00D86F13"/>
    <w:rsid w:val="00D871BF"/>
    <w:rsid w:val="00D8770F"/>
    <w:rsid w:val="00D87D1E"/>
    <w:rsid w:val="00D87EF9"/>
    <w:rsid w:val="00D87FCE"/>
    <w:rsid w:val="00D90239"/>
    <w:rsid w:val="00D905EF"/>
    <w:rsid w:val="00D90F95"/>
    <w:rsid w:val="00D91219"/>
    <w:rsid w:val="00D91333"/>
    <w:rsid w:val="00D91510"/>
    <w:rsid w:val="00D9159D"/>
    <w:rsid w:val="00D919D8"/>
    <w:rsid w:val="00D91C66"/>
    <w:rsid w:val="00D92210"/>
    <w:rsid w:val="00D92328"/>
    <w:rsid w:val="00D92598"/>
    <w:rsid w:val="00D9263B"/>
    <w:rsid w:val="00D9276D"/>
    <w:rsid w:val="00D92EC1"/>
    <w:rsid w:val="00D92FC0"/>
    <w:rsid w:val="00D9329C"/>
    <w:rsid w:val="00D932EA"/>
    <w:rsid w:val="00D93C4F"/>
    <w:rsid w:val="00D94320"/>
    <w:rsid w:val="00D94A3A"/>
    <w:rsid w:val="00D94CD4"/>
    <w:rsid w:val="00D94FB0"/>
    <w:rsid w:val="00D95109"/>
    <w:rsid w:val="00D95417"/>
    <w:rsid w:val="00D95B06"/>
    <w:rsid w:val="00D95B57"/>
    <w:rsid w:val="00D95D2F"/>
    <w:rsid w:val="00D95E96"/>
    <w:rsid w:val="00D95F63"/>
    <w:rsid w:val="00D963C5"/>
    <w:rsid w:val="00D9734C"/>
    <w:rsid w:val="00D9737B"/>
    <w:rsid w:val="00D9744D"/>
    <w:rsid w:val="00D9790E"/>
    <w:rsid w:val="00D97D57"/>
    <w:rsid w:val="00DA00A7"/>
    <w:rsid w:val="00DA0230"/>
    <w:rsid w:val="00DA029B"/>
    <w:rsid w:val="00DA04AC"/>
    <w:rsid w:val="00DA094E"/>
    <w:rsid w:val="00DA0EC6"/>
    <w:rsid w:val="00DA1080"/>
    <w:rsid w:val="00DA11BB"/>
    <w:rsid w:val="00DA1858"/>
    <w:rsid w:val="00DA1C4A"/>
    <w:rsid w:val="00DA1FAA"/>
    <w:rsid w:val="00DA21B1"/>
    <w:rsid w:val="00DA2614"/>
    <w:rsid w:val="00DA27C5"/>
    <w:rsid w:val="00DA29FD"/>
    <w:rsid w:val="00DA2B71"/>
    <w:rsid w:val="00DA2F49"/>
    <w:rsid w:val="00DA345A"/>
    <w:rsid w:val="00DA34C2"/>
    <w:rsid w:val="00DA34F3"/>
    <w:rsid w:val="00DA35C2"/>
    <w:rsid w:val="00DA3667"/>
    <w:rsid w:val="00DA3A2F"/>
    <w:rsid w:val="00DA3DAE"/>
    <w:rsid w:val="00DA3EB3"/>
    <w:rsid w:val="00DA3F37"/>
    <w:rsid w:val="00DA3FAF"/>
    <w:rsid w:val="00DA407C"/>
    <w:rsid w:val="00DA43BE"/>
    <w:rsid w:val="00DA4457"/>
    <w:rsid w:val="00DA475B"/>
    <w:rsid w:val="00DA5061"/>
    <w:rsid w:val="00DA53A1"/>
    <w:rsid w:val="00DA5473"/>
    <w:rsid w:val="00DA5502"/>
    <w:rsid w:val="00DA56EB"/>
    <w:rsid w:val="00DA5E60"/>
    <w:rsid w:val="00DA62A3"/>
    <w:rsid w:val="00DA6339"/>
    <w:rsid w:val="00DA6903"/>
    <w:rsid w:val="00DA69FE"/>
    <w:rsid w:val="00DA6E1B"/>
    <w:rsid w:val="00DA7C53"/>
    <w:rsid w:val="00DB0125"/>
    <w:rsid w:val="00DB02CF"/>
    <w:rsid w:val="00DB092A"/>
    <w:rsid w:val="00DB0F52"/>
    <w:rsid w:val="00DB1A37"/>
    <w:rsid w:val="00DB1BC8"/>
    <w:rsid w:val="00DB1D9C"/>
    <w:rsid w:val="00DB1EE3"/>
    <w:rsid w:val="00DB1F0D"/>
    <w:rsid w:val="00DB22CB"/>
    <w:rsid w:val="00DB24C7"/>
    <w:rsid w:val="00DB2559"/>
    <w:rsid w:val="00DB26FB"/>
    <w:rsid w:val="00DB2792"/>
    <w:rsid w:val="00DB2A50"/>
    <w:rsid w:val="00DB2BD2"/>
    <w:rsid w:val="00DB2C78"/>
    <w:rsid w:val="00DB31AD"/>
    <w:rsid w:val="00DB36C0"/>
    <w:rsid w:val="00DB3B63"/>
    <w:rsid w:val="00DB3E1C"/>
    <w:rsid w:val="00DB4068"/>
    <w:rsid w:val="00DB42CC"/>
    <w:rsid w:val="00DB4425"/>
    <w:rsid w:val="00DB4558"/>
    <w:rsid w:val="00DB47F7"/>
    <w:rsid w:val="00DB48A9"/>
    <w:rsid w:val="00DB49EB"/>
    <w:rsid w:val="00DB4C37"/>
    <w:rsid w:val="00DB5003"/>
    <w:rsid w:val="00DB5710"/>
    <w:rsid w:val="00DB6807"/>
    <w:rsid w:val="00DB68B9"/>
    <w:rsid w:val="00DB6DDC"/>
    <w:rsid w:val="00DB70E1"/>
    <w:rsid w:val="00DB7646"/>
    <w:rsid w:val="00DB79CF"/>
    <w:rsid w:val="00DB7E98"/>
    <w:rsid w:val="00DC0487"/>
    <w:rsid w:val="00DC09C3"/>
    <w:rsid w:val="00DC0CCE"/>
    <w:rsid w:val="00DC0D3A"/>
    <w:rsid w:val="00DC0DE0"/>
    <w:rsid w:val="00DC0F89"/>
    <w:rsid w:val="00DC14C9"/>
    <w:rsid w:val="00DC1D5F"/>
    <w:rsid w:val="00DC2119"/>
    <w:rsid w:val="00DC2855"/>
    <w:rsid w:val="00DC2B9C"/>
    <w:rsid w:val="00DC2ECA"/>
    <w:rsid w:val="00DC3271"/>
    <w:rsid w:val="00DC3376"/>
    <w:rsid w:val="00DC34EB"/>
    <w:rsid w:val="00DC36E4"/>
    <w:rsid w:val="00DC3CA5"/>
    <w:rsid w:val="00DC43A3"/>
    <w:rsid w:val="00DC460A"/>
    <w:rsid w:val="00DC480C"/>
    <w:rsid w:val="00DC48EE"/>
    <w:rsid w:val="00DC4917"/>
    <w:rsid w:val="00DC4AE9"/>
    <w:rsid w:val="00DC4E1D"/>
    <w:rsid w:val="00DC4EB4"/>
    <w:rsid w:val="00DC509E"/>
    <w:rsid w:val="00DC50F3"/>
    <w:rsid w:val="00DC5147"/>
    <w:rsid w:val="00DC518A"/>
    <w:rsid w:val="00DC5239"/>
    <w:rsid w:val="00DC552C"/>
    <w:rsid w:val="00DC58DF"/>
    <w:rsid w:val="00DC6214"/>
    <w:rsid w:val="00DC628C"/>
    <w:rsid w:val="00DC65FB"/>
    <w:rsid w:val="00DC6916"/>
    <w:rsid w:val="00DC6D62"/>
    <w:rsid w:val="00DC7424"/>
    <w:rsid w:val="00DC7994"/>
    <w:rsid w:val="00DC7B9D"/>
    <w:rsid w:val="00DC7CFF"/>
    <w:rsid w:val="00DD0033"/>
    <w:rsid w:val="00DD0612"/>
    <w:rsid w:val="00DD08D2"/>
    <w:rsid w:val="00DD0C87"/>
    <w:rsid w:val="00DD0E53"/>
    <w:rsid w:val="00DD1939"/>
    <w:rsid w:val="00DD1A5B"/>
    <w:rsid w:val="00DD1B4E"/>
    <w:rsid w:val="00DD1BB5"/>
    <w:rsid w:val="00DD1C87"/>
    <w:rsid w:val="00DD1DF7"/>
    <w:rsid w:val="00DD1EC7"/>
    <w:rsid w:val="00DD1EE6"/>
    <w:rsid w:val="00DD2242"/>
    <w:rsid w:val="00DD2380"/>
    <w:rsid w:val="00DD26FB"/>
    <w:rsid w:val="00DD2877"/>
    <w:rsid w:val="00DD2D06"/>
    <w:rsid w:val="00DD2F83"/>
    <w:rsid w:val="00DD3077"/>
    <w:rsid w:val="00DD33A6"/>
    <w:rsid w:val="00DD33C8"/>
    <w:rsid w:val="00DD3AB3"/>
    <w:rsid w:val="00DD3B43"/>
    <w:rsid w:val="00DD3BE1"/>
    <w:rsid w:val="00DD41A4"/>
    <w:rsid w:val="00DD4246"/>
    <w:rsid w:val="00DD424E"/>
    <w:rsid w:val="00DD46A5"/>
    <w:rsid w:val="00DD47B5"/>
    <w:rsid w:val="00DD4951"/>
    <w:rsid w:val="00DD4A46"/>
    <w:rsid w:val="00DD4BC2"/>
    <w:rsid w:val="00DD4EAD"/>
    <w:rsid w:val="00DD57F9"/>
    <w:rsid w:val="00DD5BC9"/>
    <w:rsid w:val="00DD5DD7"/>
    <w:rsid w:val="00DD608D"/>
    <w:rsid w:val="00DD6389"/>
    <w:rsid w:val="00DD6EDA"/>
    <w:rsid w:val="00DD77D3"/>
    <w:rsid w:val="00DD7C0F"/>
    <w:rsid w:val="00DD7F36"/>
    <w:rsid w:val="00DE0810"/>
    <w:rsid w:val="00DE0BAC"/>
    <w:rsid w:val="00DE0EB9"/>
    <w:rsid w:val="00DE0F28"/>
    <w:rsid w:val="00DE0FFF"/>
    <w:rsid w:val="00DE180B"/>
    <w:rsid w:val="00DE1B6B"/>
    <w:rsid w:val="00DE1B9F"/>
    <w:rsid w:val="00DE1CDE"/>
    <w:rsid w:val="00DE1FBF"/>
    <w:rsid w:val="00DE208F"/>
    <w:rsid w:val="00DE21CE"/>
    <w:rsid w:val="00DE2C88"/>
    <w:rsid w:val="00DE2D24"/>
    <w:rsid w:val="00DE350D"/>
    <w:rsid w:val="00DE3776"/>
    <w:rsid w:val="00DE3822"/>
    <w:rsid w:val="00DE3BDF"/>
    <w:rsid w:val="00DE3F95"/>
    <w:rsid w:val="00DE44FF"/>
    <w:rsid w:val="00DE492B"/>
    <w:rsid w:val="00DE497B"/>
    <w:rsid w:val="00DE4F96"/>
    <w:rsid w:val="00DE5662"/>
    <w:rsid w:val="00DE56C2"/>
    <w:rsid w:val="00DE590B"/>
    <w:rsid w:val="00DE5A93"/>
    <w:rsid w:val="00DE60EE"/>
    <w:rsid w:val="00DE6690"/>
    <w:rsid w:val="00DE7F90"/>
    <w:rsid w:val="00DF0C0B"/>
    <w:rsid w:val="00DF0D6B"/>
    <w:rsid w:val="00DF0E5E"/>
    <w:rsid w:val="00DF0FB0"/>
    <w:rsid w:val="00DF1232"/>
    <w:rsid w:val="00DF12B8"/>
    <w:rsid w:val="00DF165E"/>
    <w:rsid w:val="00DF183A"/>
    <w:rsid w:val="00DF1C1F"/>
    <w:rsid w:val="00DF244C"/>
    <w:rsid w:val="00DF254A"/>
    <w:rsid w:val="00DF2AE1"/>
    <w:rsid w:val="00DF2CAD"/>
    <w:rsid w:val="00DF2E7A"/>
    <w:rsid w:val="00DF2FF1"/>
    <w:rsid w:val="00DF315A"/>
    <w:rsid w:val="00DF32CA"/>
    <w:rsid w:val="00DF33E8"/>
    <w:rsid w:val="00DF3468"/>
    <w:rsid w:val="00DF399B"/>
    <w:rsid w:val="00DF3CE2"/>
    <w:rsid w:val="00DF3F93"/>
    <w:rsid w:val="00DF4166"/>
    <w:rsid w:val="00DF4173"/>
    <w:rsid w:val="00DF46A3"/>
    <w:rsid w:val="00DF4790"/>
    <w:rsid w:val="00DF49C8"/>
    <w:rsid w:val="00DF4C36"/>
    <w:rsid w:val="00DF4FBD"/>
    <w:rsid w:val="00DF5039"/>
    <w:rsid w:val="00DF52C4"/>
    <w:rsid w:val="00DF5CCD"/>
    <w:rsid w:val="00DF6105"/>
    <w:rsid w:val="00DF6238"/>
    <w:rsid w:val="00DF645F"/>
    <w:rsid w:val="00DF6C49"/>
    <w:rsid w:val="00DF731F"/>
    <w:rsid w:val="00DF7511"/>
    <w:rsid w:val="00DF768C"/>
    <w:rsid w:val="00DF76C0"/>
    <w:rsid w:val="00DF7770"/>
    <w:rsid w:val="00DF78DD"/>
    <w:rsid w:val="00DF7D8C"/>
    <w:rsid w:val="00DF7F30"/>
    <w:rsid w:val="00DF7F63"/>
    <w:rsid w:val="00E00A3E"/>
    <w:rsid w:val="00E00D02"/>
    <w:rsid w:val="00E014CC"/>
    <w:rsid w:val="00E014DD"/>
    <w:rsid w:val="00E01697"/>
    <w:rsid w:val="00E01971"/>
    <w:rsid w:val="00E01A7F"/>
    <w:rsid w:val="00E01EF5"/>
    <w:rsid w:val="00E0229B"/>
    <w:rsid w:val="00E02590"/>
    <w:rsid w:val="00E025C8"/>
    <w:rsid w:val="00E02729"/>
    <w:rsid w:val="00E02C58"/>
    <w:rsid w:val="00E02C59"/>
    <w:rsid w:val="00E02C9B"/>
    <w:rsid w:val="00E032A5"/>
    <w:rsid w:val="00E037AD"/>
    <w:rsid w:val="00E03825"/>
    <w:rsid w:val="00E0396A"/>
    <w:rsid w:val="00E03FE8"/>
    <w:rsid w:val="00E046D2"/>
    <w:rsid w:val="00E04743"/>
    <w:rsid w:val="00E048AA"/>
    <w:rsid w:val="00E048E1"/>
    <w:rsid w:val="00E04C33"/>
    <w:rsid w:val="00E05B77"/>
    <w:rsid w:val="00E05D50"/>
    <w:rsid w:val="00E05E53"/>
    <w:rsid w:val="00E05FF9"/>
    <w:rsid w:val="00E06246"/>
    <w:rsid w:val="00E06288"/>
    <w:rsid w:val="00E06680"/>
    <w:rsid w:val="00E068B4"/>
    <w:rsid w:val="00E06BFF"/>
    <w:rsid w:val="00E06CBF"/>
    <w:rsid w:val="00E06DA8"/>
    <w:rsid w:val="00E06F99"/>
    <w:rsid w:val="00E07419"/>
    <w:rsid w:val="00E07635"/>
    <w:rsid w:val="00E07901"/>
    <w:rsid w:val="00E079C7"/>
    <w:rsid w:val="00E07E32"/>
    <w:rsid w:val="00E1055A"/>
    <w:rsid w:val="00E105A7"/>
    <w:rsid w:val="00E109F6"/>
    <w:rsid w:val="00E10B12"/>
    <w:rsid w:val="00E1110F"/>
    <w:rsid w:val="00E1118A"/>
    <w:rsid w:val="00E111F1"/>
    <w:rsid w:val="00E11690"/>
    <w:rsid w:val="00E117A5"/>
    <w:rsid w:val="00E11A76"/>
    <w:rsid w:val="00E11AC2"/>
    <w:rsid w:val="00E11BFB"/>
    <w:rsid w:val="00E11E30"/>
    <w:rsid w:val="00E126C3"/>
    <w:rsid w:val="00E1283D"/>
    <w:rsid w:val="00E12A68"/>
    <w:rsid w:val="00E12CCE"/>
    <w:rsid w:val="00E12D72"/>
    <w:rsid w:val="00E12F77"/>
    <w:rsid w:val="00E1301A"/>
    <w:rsid w:val="00E137DF"/>
    <w:rsid w:val="00E13D67"/>
    <w:rsid w:val="00E13D8C"/>
    <w:rsid w:val="00E13E42"/>
    <w:rsid w:val="00E13EF6"/>
    <w:rsid w:val="00E1411D"/>
    <w:rsid w:val="00E14213"/>
    <w:rsid w:val="00E142CC"/>
    <w:rsid w:val="00E14429"/>
    <w:rsid w:val="00E14490"/>
    <w:rsid w:val="00E1489C"/>
    <w:rsid w:val="00E15082"/>
    <w:rsid w:val="00E15101"/>
    <w:rsid w:val="00E151A6"/>
    <w:rsid w:val="00E15428"/>
    <w:rsid w:val="00E15988"/>
    <w:rsid w:val="00E15BF7"/>
    <w:rsid w:val="00E15F29"/>
    <w:rsid w:val="00E1619F"/>
    <w:rsid w:val="00E169C6"/>
    <w:rsid w:val="00E16E56"/>
    <w:rsid w:val="00E1708E"/>
    <w:rsid w:val="00E170ED"/>
    <w:rsid w:val="00E1712F"/>
    <w:rsid w:val="00E176EC"/>
    <w:rsid w:val="00E176F4"/>
    <w:rsid w:val="00E17924"/>
    <w:rsid w:val="00E17974"/>
    <w:rsid w:val="00E17D2D"/>
    <w:rsid w:val="00E17E10"/>
    <w:rsid w:val="00E203A5"/>
    <w:rsid w:val="00E20614"/>
    <w:rsid w:val="00E20804"/>
    <w:rsid w:val="00E20E92"/>
    <w:rsid w:val="00E21020"/>
    <w:rsid w:val="00E2119D"/>
    <w:rsid w:val="00E21239"/>
    <w:rsid w:val="00E2152F"/>
    <w:rsid w:val="00E2188D"/>
    <w:rsid w:val="00E21B59"/>
    <w:rsid w:val="00E23077"/>
    <w:rsid w:val="00E231E2"/>
    <w:rsid w:val="00E232AA"/>
    <w:rsid w:val="00E23A0D"/>
    <w:rsid w:val="00E23A69"/>
    <w:rsid w:val="00E241E6"/>
    <w:rsid w:val="00E2478B"/>
    <w:rsid w:val="00E24BEB"/>
    <w:rsid w:val="00E24EDF"/>
    <w:rsid w:val="00E250EC"/>
    <w:rsid w:val="00E253C1"/>
    <w:rsid w:val="00E25642"/>
    <w:rsid w:val="00E25697"/>
    <w:rsid w:val="00E256F2"/>
    <w:rsid w:val="00E258AE"/>
    <w:rsid w:val="00E25EAB"/>
    <w:rsid w:val="00E26833"/>
    <w:rsid w:val="00E26EFF"/>
    <w:rsid w:val="00E271B5"/>
    <w:rsid w:val="00E27213"/>
    <w:rsid w:val="00E27469"/>
    <w:rsid w:val="00E2756E"/>
    <w:rsid w:val="00E277E8"/>
    <w:rsid w:val="00E2794C"/>
    <w:rsid w:val="00E27E75"/>
    <w:rsid w:val="00E300DA"/>
    <w:rsid w:val="00E30AD8"/>
    <w:rsid w:val="00E30C84"/>
    <w:rsid w:val="00E31131"/>
    <w:rsid w:val="00E318E6"/>
    <w:rsid w:val="00E31CA0"/>
    <w:rsid w:val="00E31D10"/>
    <w:rsid w:val="00E31E51"/>
    <w:rsid w:val="00E31FB6"/>
    <w:rsid w:val="00E3306E"/>
    <w:rsid w:val="00E33299"/>
    <w:rsid w:val="00E33BD0"/>
    <w:rsid w:val="00E3478E"/>
    <w:rsid w:val="00E34953"/>
    <w:rsid w:val="00E34B8A"/>
    <w:rsid w:val="00E34BD1"/>
    <w:rsid w:val="00E34BD6"/>
    <w:rsid w:val="00E359E6"/>
    <w:rsid w:val="00E359F8"/>
    <w:rsid w:val="00E36D02"/>
    <w:rsid w:val="00E36DCB"/>
    <w:rsid w:val="00E3711A"/>
    <w:rsid w:val="00E37C90"/>
    <w:rsid w:val="00E40313"/>
    <w:rsid w:val="00E407AA"/>
    <w:rsid w:val="00E40868"/>
    <w:rsid w:val="00E40E7D"/>
    <w:rsid w:val="00E40EEE"/>
    <w:rsid w:val="00E40FDE"/>
    <w:rsid w:val="00E412E5"/>
    <w:rsid w:val="00E41316"/>
    <w:rsid w:val="00E413F3"/>
    <w:rsid w:val="00E41A19"/>
    <w:rsid w:val="00E41C75"/>
    <w:rsid w:val="00E42035"/>
    <w:rsid w:val="00E42ABE"/>
    <w:rsid w:val="00E42C04"/>
    <w:rsid w:val="00E42D44"/>
    <w:rsid w:val="00E43154"/>
    <w:rsid w:val="00E432EA"/>
    <w:rsid w:val="00E435CC"/>
    <w:rsid w:val="00E43AA9"/>
    <w:rsid w:val="00E43AB7"/>
    <w:rsid w:val="00E43EF4"/>
    <w:rsid w:val="00E43FD3"/>
    <w:rsid w:val="00E442B1"/>
    <w:rsid w:val="00E44579"/>
    <w:rsid w:val="00E44822"/>
    <w:rsid w:val="00E44B15"/>
    <w:rsid w:val="00E44B4B"/>
    <w:rsid w:val="00E45101"/>
    <w:rsid w:val="00E451E1"/>
    <w:rsid w:val="00E4577A"/>
    <w:rsid w:val="00E46093"/>
    <w:rsid w:val="00E460AF"/>
    <w:rsid w:val="00E46534"/>
    <w:rsid w:val="00E46666"/>
    <w:rsid w:val="00E46A69"/>
    <w:rsid w:val="00E47145"/>
    <w:rsid w:val="00E47290"/>
    <w:rsid w:val="00E47302"/>
    <w:rsid w:val="00E47420"/>
    <w:rsid w:val="00E474AA"/>
    <w:rsid w:val="00E47631"/>
    <w:rsid w:val="00E477E2"/>
    <w:rsid w:val="00E47E8D"/>
    <w:rsid w:val="00E503CE"/>
    <w:rsid w:val="00E50592"/>
    <w:rsid w:val="00E507C9"/>
    <w:rsid w:val="00E50ADC"/>
    <w:rsid w:val="00E50B3F"/>
    <w:rsid w:val="00E50C97"/>
    <w:rsid w:val="00E50CD6"/>
    <w:rsid w:val="00E50D84"/>
    <w:rsid w:val="00E50F97"/>
    <w:rsid w:val="00E51642"/>
    <w:rsid w:val="00E517D7"/>
    <w:rsid w:val="00E51AA9"/>
    <w:rsid w:val="00E51B77"/>
    <w:rsid w:val="00E51BC1"/>
    <w:rsid w:val="00E51FA4"/>
    <w:rsid w:val="00E52C07"/>
    <w:rsid w:val="00E52FE0"/>
    <w:rsid w:val="00E532E0"/>
    <w:rsid w:val="00E53363"/>
    <w:rsid w:val="00E53511"/>
    <w:rsid w:val="00E53638"/>
    <w:rsid w:val="00E53656"/>
    <w:rsid w:val="00E539B9"/>
    <w:rsid w:val="00E53A14"/>
    <w:rsid w:val="00E53CA3"/>
    <w:rsid w:val="00E53D92"/>
    <w:rsid w:val="00E53FE8"/>
    <w:rsid w:val="00E54298"/>
    <w:rsid w:val="00E543BF"/>
    <w:rsid w:val="00E543F0"/>
    <w:rsid w:val="00E54B75"/>
    <w:rsid w:val="00E553C3"/>
    <w:rsid w:val="00E559C1"/>
    <w:rsid w:val="00E55AD3"/>
    <w:rsid w:val="00E55F3A"/>
    <w:rsid w:val="00E5623E"/>
    <w:rsid w:val="00E56378"/>
    <w:rsid w:val="00E5659F"/>
    <w:rsid w:val="00E5672D"/>
    <w:rsid w:val="00E5674F"/>
    <w:rsid w:val="00E56AB5"/>
    <w:rsid w:val="00E56BA6"/>
    <w:rsid w:val="00E56BE0"/>
    <w:rsid w:val="00E56DD0"/>
    <w:rsid w:val="00E56F61"/>
    <w:rsid w:val="00E57279"/>
    <w:rsid w:val="00E5749B"/>
    <w:rsid w:val="00E574D4"/>
    <w:rsid w:val="00E575F6"/>
    <w:rsid w:val="00E576AE"/>
    <w:rsid w:val="00E577A9"/>
    <w:rsid w:val="00E57923"/>
    <w:rsid w:val="00E579BF"/>
    <w:rsid w:val="00E57A33"/>
    <w:rsid w:val="00E60595"/>
    <w:rsid w:val="00E6061B"/>
    <w:rsid w:val="00E60979"/>
    <w:rsid w:val="00E60A01"/>
    <w:rsid w:val="00E60E3A"/>
    <w:rsid w:val="00E60F51"/>
    <w:rsid w:val="00E6108D"/>
    <w:rsid w:val="00E61499"/>
    <w:rsid w:val="00E61676"/>
    <w:rsid w:val="00E61977"/>
    <w:rsid w:val="00E61A6F"/>
    <w:rsid w:val="00E622FF"/>
    <w:rsid w:val="00E6232F"/>
    <w:rsid w:val="00E62537"/>
    <w:rsid w:val="00E62AAA"/>
    <w:rsid w:val="00E62AF8"/>
    <w:rsid w:val="00E639D2"/>
    <w:rsid w:val="00E63AE7"/>
    <w:rsid w:val="00E63E58"/>
    <w:rsid w:val="00E6438E"/>
    <w:rsid w:val="00E64829"/>
    <w:rsid w:val="00E64B1E"/>
    <w:rsid w:val="00E64C1C"/>
    <w:rsid w:val="00E64DDE"/>
    <w:rsid w:val="00E65CD4"/>
    <w:rsid w:val="00E660D7"/>
    <w:rsid w:val="00E66565"/>
    <w:rsid w:val="00E66629"/>
    <w:rsid w:val="00E66953"/>
    <w:rsid w:val="00E66F8C"/>
    <w:rsid w:val="00E6721A"/>
    <w:rsid w:val="00E677F3"/>
    <w:rsid w:val="00E679FF"/>
    <w:rsid w:val="00E67B7A"/>
    <w:rsid w:val="00E67C83"/>
    <w:rsid w:val="00E7045C"/>
    <w:rsid w:val="00E71044"/>
    <w:rsid w:val="00E713CD"/>
    <w:rsid w:val="00E713D4"/>
    <w:rsid w:val="00E715A5"/>
    <w:rsid w:val="00E715CE"/>
    <w:rsid w:val="00E7162E"/>
    <w:rsid w:val="00E71E3D"/>
    <w:rsid w:val="00E71F8D"/>
    <w:rsid w:val="00E72389"/>
    <w:rsid w:val="00E72C8E"/>
    <w:rsid w:val="00E72D9B"/>
    <w:rsid w:val="00E733AB"/>
    <w:rsid w:val="00E73489"/>
    <w:rsid w:val="00E73623"/>
    <w:rsid w:val="00E7363D"/>
    <w:rsid w:val="00E738DF"/>
    <w:rsid w:val="00E739AB"/>
    <w:rsid w:val="00E73C69"/>
    <w:rsid w:val="00E73F04"/>
    <w:rsid w:val="00E74986"/>
    <w:rsid w:val="00E749F8"/>
    <w:rsid w:val="00E74A2E"/>
    <w:rsid w:val="00E74B29"/>
    <w:rsid w:val="00E74D41"/>
    <w:rsid w:val="00E75469"/>
    <w:rsid w:val="00E75CF9"/>
    <w:rsid w:val="00E76A81"/>
    <w:rsid w:val="00E76DE7"/>
    <w:rsid w:val="00E77093"/>
    <w:rsid w:val="00E771CE"/>
    <w:rsid w:val="00E77294"/>
    <w:rsid w:val="00E77362"/>
    <w:rsid w:val="00E7777E"/>
    <w:rsid w:val="00E778E3"/>
    <w:rsid w:val="00E77D24"/>
    <w:rsid w:val="00E801B3"/>
    <w:rsid w:val="00E80725"/>
    <w:rsid w:val="00E80A11"/>
    <w:rsid w:val="00E80ABD"/>
    <w:rsid w:val="00E80B76"/>
    <w:rsid w:val="00E80DF3"/>
    <w:rsid w:val="00E81410"/>
    <w:rsid w:val="00E81483"/>
    <w:rsid w:val="00E81516"/>
    <w:rsid w:val="00E81532"/>
    <w:rsid w:val="00E81586"/>
    <w:rsid w:val="00E8186B"/>
    <w:rsid w:val="00E818C6"/>
    <w:rsid w:val="00E81BC9"/>
    <w:rsid w:val="00E81E15"/>
    <w:rsid w:val="00E81FFE"/>
    <w:rsid w:val="00E82084"/>
    <w:rsid w:val="00E82697"/>
    <w:rsid w:val="00E828AA"/>
    <w:rsid w:val="00E831FD"/>
    <w:rsid w:val="00E832D9"/>
    <w:rsid w:val="00E83697"/>
    <w:rsid w:val="00E836F2"/>
    <w:rsid w:val="00E8384D"/>
    <w:rsid w:val="00E838CE"/>
    <w:rsid w:val="00E83A72"/>
    <w:rsid w:val="00E83AC5"/>
    <w:rsid w:val="00E83CF4"/>
    <w:rsid w:val="00E83F43"/>
    <w:rsid w:val="00E84336"/>
    <w:rsid w:val="00E8436A"/>
    <w:rsid w:val="00E845B8"/>
    <w:rsid w:val="00E849F1"/>
    <w:rsid w:val="00E84A4C"/>
    <w:rsid w:val="00E84C57"/>
    <w:rsid w:val="00E84C73"/>
    <w:rsid w:val="00E84CD0"/>
    <w:rsid w:val="00E84D03"/>
    <w:rsid w:val="00E85489"/>
    <w:rsid w:val="00E85682"/>
    <w:rsid w:val="00E85701"/>
    <w:rsid w:val="00E85842"/>
    <w:rsid w:val="00E86123"/>
    <w:rsid w:val="00E862C2"/>
    <w:rsid w:val="00E866EF"/>
    <w:rsid w:val="00E86CF2"/>
    <w:rsid w:val="00E86DD4"/>
    <w:rsid w:val="00E8776A"/>
    <w:rsid w:val="00E87B32"/>
    <w:rsid w:val="00E87C3E"/>
    <w:rsid w:val="00E87E80"/>
    <w:rsid w:val="00E9022F"/>
    <w:rsid w:val="00E90244"/>
    <w:rsid w:val="00E90432"/>
    <w:rsid w:val="00E90532"/>
    <w:rsid w:val="00E90635"/>
    <w:rsid w:val="00E90860"/>
    <w:rsid w:val="00E909D9"/>
    <w:rsid w:val="00E90D67"/>
    <w:rsid w:val="00E90D96"/>
    <w:rsid w:val="00E90EDD"/>
    <w:rsid w:val="00E91667"/>
    <w:rsid w:val="00E91984"/>
    <w:rsid w:val="00E91A15"/>
    <w:rsid w:val="00E922A2"/>
    <w:rsid w:val="00E92348"/>
    <w:rsid w:val="00E92355"/>
    <w:rsid w:val="00E92429"/>
    <w:rsid w:val="00E92697"/>
    <w:rsid w:val="00E927EF"/>
    <w:rsid w:val="00E92DE2"/>
    <w:rsid w:val="00E9316A"/>
    <w:rsid w:val="00E9331F"/>
    <w:rsid w:val="00E939B7"/>
    <w:rsid w:val="00E9403E"/>
    <w:rsid w:val="00E94261"/>
    <w:rsid w:val="00E9428B"/>
    <w:rsid w:val="00E94519"/>
    <w:rsid w:val="00E9493A"/>
    <w:rsid w:val="00E949D1"/>
    <w:rsid w:val="00E94A45"/>
    <w:rsid w:val="00E94BAA"/>
    <w:rsid w:val="00E95034"/>
    <w:rsid w:val="00E95CF3"/>
    <w:rsid w:val="00E960AA"/>
    <w:rsid w:val="00E96AE6"/>
    <w:rsid w:val="00E97114"/>
    <w:rsid w:val="00E9728D"/>
    <w:rsid w:val="00E972AD"/>
    <w:rsid w:val="00E9761B"/>
    <w:rsid w:val="00E97C58"/>
    <w:rsid w:val="00E97CC1"/>
    <w:rsid w:val="00EA02EB"/>
    <w:rsid w:val="00EA0504"/>
    <w:rsid w:val="00EA055C"/>
    <w:rsid w:val="00EA0641"/>
    <w:rsid w:val="00EA065F"/>
    <w:rsid w:val="00EA084B"/>
    <w:rsid w:val="00EA0A5D"/>
    <w:rsid w:val="00EA0CFA"/>
    <w:rsid w:val="00EA0FE0"/>
    <w:rsid w:val="00EA10ED"/>
    <w:rsid w:val="00EA156D"/>
    <w:rsid w:val="00EA1775"/>
    <w:rsid w:val="00EA187C"/>
    <w:rsid w:val="00EA1C47"/>
    <w:rsid w:val="00EA1C48"/>
    <w:rsid w:val="00EA1D04"/>
    <w:rsid w:val="00EA1EDA"/>
    <w:rsid w:val="00EA218B"/>
    <w:rsid w:val="00EA234F"/>
    <w:rsid w:val="00EA2730"/>
    <w:rsid w:val="00EA2D0A"/>
    <w:rsid w:val="00EA3196"/>
    <w:rsid w:val="00EA35F3"/>
    <w:rsid w:val="00EA3A5C"/>
    <w:rsid w:val="00EA3E42"/>
    <w:rsid w:val="00EA3EF1"/>
    <w:rsid w:val="00EA4426"/>
    <w:rsid w:val="00EA48CB"/>
    <w:rsid w:val="00EA4987"/>
    <w:rsid w:val="00EA4BB1"/>
    <w:rsid w:val="00EA4F91"/>
    <w:rsid w:val="00EA561E"/>
    <w:rsid w:val="00EA5E8C"/>
    <w:rsid w:val="00EA6305"/>
    <w:rsid w:val="00EA639C"/>
    <w:rsid w:val="00EA63C3"/>
    <w:rsid w:val="00EA6F8F"/>
    <w:rsid w:val="00EA714F"/>
    <w:rsid w:val="00EA73BB"/>
    <w:rsid w:val="00EA74DF"/>
    <w:rsid w:val="00EA7CDD"/>
    <w:rsid w:val="00EA7F8F"/>
    <w:rsid w:val="00EB07B2"/>
    <w:rsid w:val="00EB07B8"/>
    <w:rsid w:val="00EB07DA"/>
    <w:rsid w:val="00EB0851"/>
    <w:rsid w:val="00EB08B4"/>
    <w:rsid w:val="00EB0A6C"/>
    <w:rsid w:val="00EB0C23"/>
    <w:rsid w:val="00EB131B"/>
    <w:rsid w:val="00EB135B"/>
    <w:rsid w:val="00EB160C"/>
    <w:rsid w:val="00EB195F"/>
    <w:rsid w:val="00EB1A95"/>
    <w:rsid w:val="00EB1CAB"/>
    <w:rsid w:val="00EB21B4"/>
    <w:rsid w:val="00EB229C"/>
    <w:rsid w:val="00EB232E"/>
    <w:rsid w:val="00EB2413"/>
    <w:rsid w:val="00EB2420"/>
    <w:rsid w:val="00EB263A"/>
    <w:rsid w:val="00EB3277"/>
    <w:rsid w:val="00EB34F7"/>
    <w:rsid w:val="00EB38F8"/>
    <w:rsid w:val="00EB3B1B"/>
    <w:rsid w:val="00EB4022"/>
    <w:rsid w:val="00EB42A2"/>
    <w:rsid w:val="00EB456C"/>
    <w:rsid w:val="00EB4678"/>
    <w:rsid w:val="00EB4D5E"/>
    <w:rsid w:val="00EB4DF4"/>
    <w:rsid w:val="00EB5215"/>
    <w:rsid w:val="00EB564C"/>
    <w:rsid w:val="00EB5738"/>
    <w:rsid w:val="00EB6182"/>
    <w:rsid w:val="00EB6264"/>
    <w:rsid w:val="00EB6372"/>
    <w:rsid w:val="00EB6878"/>
    <w:rsid w:val="00EB6A8B"/>
    <w:rsid w:val="00EB6C15"/>
    <w:rsid w:val="00EB7092"/>
    <w:rsid w:val="00EB7416"/>
    <w:rsid w:val="00EB768B"/>
    <w:rsid w:val="00EB78D1"/>
    <w:rsid w:val="00EB7A33"/>
    <w:rsid w:val="00EB7D50"/>
    <w:rsid w:val="00EC007E"/>
    <w:rsid w:val="00EC02AA"/>
    <w:rsid w:val="00EC0A6C"/>
    <w:rsid w:val="00EC0AD1"/>
    <w:rsid w:val="00EC0B4F"/>
    <w:rsid w:val="00EC0FAC"/>
    <w:rsid w:val="00EC1114"/>
    <w:rsid w:val="00EC12B4"/>
    <w:rsid w:val="00EC135F"/>
    <w:rsid w:val="00EC1948"/>
    <w:rsid w:val="00EC1FF1"/>
    <w:rsid w:val="00EC21EE"/>
    <w:rsid w:val="00EC240D"/>
    <w:rsid w:val="00EC2671"/>
    <w:rsid w:val="00EC31C8"/>
    <w:rsid w:val="00EC3A51"/>
    <w:rsid w:val="00EC3A9F"/>
    <w:rsid w:val="00EC3CB3"/>
    <w:rsid w:val="00EC3E80"/>
    <w:rsid w:val="00EC42B5"/>
    <w:rsid w:val="00EC4880"/>
    <w:rsid w:val="00EC48AB"/>
    <w:rsid w:val="00EC4929"/>
    <w:rsid w:val="00EC4C8E"/>
    <w:rsid w:val="00EC4CE0"/>
    <w:rsid w:val="00EC4E3E"/>
    <w:rsid w:val="00EC503A"/>
    <w:rsid w:val="00EC52B4"/>
    <w:rsid w:val="00EC55F1"/>
    <w:rsid w:val="00EC598E"/>
    <w:rsid w:val="00EC5C95"/>
    <w:rsid w:val="00EC5D2F"/>
    <w:rsid w:val="00EC60CB"/>
    <w:rsid w:val="00EC62C0"/>
    <w:rsid w:val="00EC66F9"/>
    <w:rsid w:val="00EC6C8C"/>
    <w:rsid w:val="00EC6DFD"/>
    <w:rsid w:val="00EC727B"/>
    <w:rsid w:val="00EC754C"/>
    <w:rsid w:val="00EC79F8"/>
    <w:rsid w:val="00EC7C01"/>
    <w:rsid w:val="00EC7D56"/>
    <w:rsid w:val="00ED00AA"/>
    <w:rsid w:val="00ED0151"/>
    <w:rsid w:val="00ED039B"/>
    <w:rsid w:val="00ED0424"/>
    <w:rsid w:val="00ED0685"/>
    <w:rsid w:val="00ED07A5"/>
    <w:rsid w:val="00ED1139"/>
    <w:rsid w:val="00ED128C"/>
    <w:rsid w:val="00ED1864"/>
    <w:rsid w:val="00ED199B"/>
    <w:rsid w:val="00ED1A42"/>
    <w:rsid w:val="00ED1C84"/>
    <w:rsid w:val="00ED24D8"/>
    <w:rsid w:val="00ED2749"/>
    <w:rsid w:val="00ED2755"/>
    <w:rsid w:val="00ED293D"/>
    <w:rsid w:val="00ED2966"/>
    <w:rsid w:val="00ED2D35"/>
    <w:rsid w:val="00ED2F5B"/>
    <w:rsid w:val="00ED3393"/>
    <w:rsid w:val="00ED3FA4"/>
    <w:rsid w:val="00ED3FF7"/>
    <w:rsid w:val="00ED41F1"/>
    <w:rsid w:val="00ED4B05"/>
    <w:rsid w:val="00ED51ED"/>
    <w:rsid w:val="00ED51F4"/>
    <w:rsid w:val="00ED54A5"/>
    <w:rsid w:val="00ED5C6D"/>
    <w:rsid w:val="00ED5F7B"/>
    <w:rsid w:val="00ED62E3"/>
    <w:rsid w:val="00ED648D"/>
    <w:rsid w:val="00ED670E"/>
    <w:rsid w:val="00ED6808"/>
    <w:rsid w:val="00ED68A8"/>
    <w:rsid w:val="00ED6B29"/>
    <w:rsid w:val="00ED6C7C"/>
    <w:rsid w:val="00ED6EE4"/>
    <w:rsid w:val="00ED73C4"/>
    <w:rsid w:val="00ED73E7"/>
    <w:rsid w:val="00ED752B"/>
    <w:rsid w:val="00ED7620"/>
    <w:rsid w:val="00ED79D9"/>
    <w:rsid w:val="00ED7D61"/>
    <w:rsid w:val="00ED7FEE"/>
    <w:rsid w:val="00EE097C"/>
    <w:rsid w:val="00EE098A"/>
    <w:rsid w:val="00EE199D"/>
    <w:rsid w:val="00EE1F49"/>
    <w:rsid w:val="00EE1FB8"/>
    <w:rsid w:val="00EE23EE"/>
    <w:rsid w:val="00EE28C4"/>
    <w:rsid w:val="00EE2E8E"/>
    <w:rsid w:val="00EE335C"/>
    <w:rsid w:val="00EE351D"/>
    <w:rsid w:val="00EE3FE6"/>
    <w:rsid w:val="00EE409B"/>
    <w:rsid w:val="00EE4308"/>
    <w:rsid w:val="00EE4390"/>
    <w:rsid w:val="00EE4DB6"/>
    <w:rsid w:val="00EE4E7A"/>
    <w:rsid w:val="00EE4ED3"/>
    <w:rsid w:val="00EE5093"/>
    <w:rsid w:val="00EE527A"/>
    <w:rsid w:val="00EE5612"/>
    <w:rsid w:val="00EE584E"/>
    <w:rsid w:val="00EE594D"/>
    <w:rsid w:val="00EE5BAF"/>
    <w:rsid w:val="00EE61A6"/>
    <w:rsid w:val="00EE623D"/>
    <w:rsid w:val="00EE6280"/>
    <w:rsid w:val="00EE68D9"/>
    <w:rsid w:val="00EE6975"/>
    <w:rsid w:val="00EE7503"/>
    <w:rsid w:val="00EE75F0"/>
    <w:rsid w:val="00EE77F0"/>
    <w:rsid w:val="00EE7BC7"/>
    <w:rsid w:val="00EE7CA8"/>
    <w:rsid w:val="00EE7D40"/>
    <w:rsid w:val="00EF0227"/>
    <w:rsid w:val="00EF024B"/>
    <w:rsid w:val="00EF0593"/>
    <w:rsid w:val="00EF0600"/>
    <w:rsid w:val="00EF0667"/>
    <w:rsid w:val="00EF0737"/>
    <w:rsid w:val="00EF07EE"/>
    <w:rsid w:val="00EF0CB2"/>
    <w:rsid w:val="00EF1057"/>
    <w:rsid w:val="00EF1AAA"/>
    <w:rsid w:val="00EF1BAC"/>
    <w:rsid w:val="00EF1E76"/>
    <w:rsid w:val="00EF20C7"/>
    <w:rsid w:val="00EF24B3"/>
    <w:rsid w:val="00EF2939"/>
    <w:rsid w:val="00EF2E9C"/>
    <w:rsid w:val="00EF2EB0"/>
    <w:rsid w:val="00EF30ED"/>
    <w:rsid w:val="00EF33E0"/>
    <w:rsid w:val="00EF371A"/>
    <w:rsid w:val="00EF375A"/>
    <w:rsid w:val="00EF3834"/>
    <w:rsid w:val="00EF3AEB"/>
    <w:rsid w:val="00EF3FD3"/>
    <w:rsid w:val="00EF42A1"/>
    <w:rsid w:val="00EF47A6"/>
    <w:rsid w:val="00EF4C48"/>
    <w:rsid w:val="00EF5313"/>
    <w:rsid w:val="00EF626B"/>
    <w:rsid w:val="00EF630A"/>
    <w:rsid w:val="00EF6443"/>
    <w:rsid w:val="00EF65F6"/>
    <w:rsid w:val="00EF6D56"/>
    <w:rsid w:val="00EF6FB0"/>
    <w:rsid w:val="00EF71D0"/>
    <w:rsid w:val="00EF7377"/>
    <w:rsid w:val="00EF7441"/>
    <w:rsid w:val="00EF788D"/>
    <w:rsid w:val="00EF7AE7"/>
    <w:rsid w:val="00EF7C81"/>
    <w:rsid w:val="00EF7F78"/>
    <w:rsid w:val="00F0008F"/>
    <w:rsid w:val="00F005DD"/>
    <w:rsid w:val="00F005F5"/>
    <w:rsid w:val="00F00724"/>
    <w:rsid w:val="00F007C7"/>
    <w:rsid w:val="00F00B19"/>
    <w:rsid w:val="00F00C4B"/>
    <w:rsid w:val="00F00F70"/>
    <w:rsid w:val="00F00F7F"/>
    <w:rsid w:val="00F01180"/>
    <w:rsid w:val="00F012D1"/>
    <w:rsid w:val="00F012F8"/>
    <w:rsid w:val="00F0178D"/>
    <w:rsid w:val="00F01ACE"/>
    <w:rsid w:val="00F01B8F"/>
    <w:rsid w:val="00F01E9F"/>
    <w:rsid w:val="00F01F9E"/>
    <w:rsid w:val="00F0245B"/>
    <w:rsid w:val="00F02D94"/>
    <w:rsid w:val="00F03340"/>
    <w:rsid w:val="00F03622"/>
    <w:rsid w:val="00F0402D"/>
    <w:rsid w:val="00F04081"/>
    <w:rsid w:val="00F04721"/>
    <w:rsid w:val="00F0478D"/>
    <w:rsid w:val="00F04805"/>
    <w:rsid w:val="00F04D2F"/>
    <w:rsid w:val="00F052F1"/>
    <w:rsid w:val="00F05C3D"/>
    <w:rsid w:val="00F05E9C"/>
    <w:rsid w:val="00F060C7"/>
    <w:rsid w:val="00F061DB"/>
    <w:rsid w:val="00F06C4E"/>
    <w:rsid w:val="00F06C51"/>
    <w:rsid w:val="00F06F8E"/>
    <w:rsid w:val="00F07087"/>
    <w:rsid w:val="00F074E8"/>
    <w:rsid w:val="00F078A8"/>
    <w:rsid w:val="00F07CFC"/>
    <w:rsid w:val="00F07E26"/>
    <w:rsid w:val="00F107D9"/>
    <w:rsid w:val="00F112FB"/>
    <w:rsid w:val="00F11400"/>
    <w:rsid w:val="00F11462"/>
    <w:rsid w:val="00F1192B"/>
    <w:rsid w:val="00F11970"/>
    <w:rsid w:val="00F11B0D"/>
    <w:rsid w:val="00F11EE5"/>
    <w:rsid w:val="00F11EE6"/>
    <w:rsid w:val="00F12015"/>
    <w:rsid w:val="00F1272B"/>
    <w:rsid w:val="00F127D4"/>
    <w:rsid w:val="00F12B7F"/>
    <w:rsid w:val="00F12DE8"/>
    <w:rsid w:val="00F1316F"/>
    <w:rsid w:val="00F13398"/>
    <w:rsid w:val="00F135D8"/>
    <w:rsid w:val="00F135DB"/>
    <w:rsid w:val="00F1372D"/>
    <w:rsid w:val="00F137FD"/>
    <w:rsid w:val="00F13C5B"/>
    <w:rsid w:val="00F1454C"/>
    <w:rsid w:val="00F14614"/>
    <w:rsid w:val="00F14629"/>
    <w:rsid w:val="00F14644"/>
    <w:rsid w:val="00F14689"/>
    <w:rsid w:val="00F14712"/>
    <w:rsid w:val="00F14921"/>
    <w:rsid w:val="00F14DC8"/>
    <w:rsid w:val="00F14E73"/>
    <w:rsid w:val="00F15480"/>
    <w:rsid w:val="00F15732"/>
    <w:rsid w:val="00F16363"/>
    <w:rsid w:val="00F16389"/>
    <w:rsid w:val="00F16475"/>
    <w:rsid w:val="00F168E0"/>
    <w:rsid w:val="00F16A14"/>
    <w:rsid w:val="00F17086"/>
    <w:rsid w:val="00F177E4"/>
    <w:rsid w:val="00F20125"/>
    <w:rsid w:val="00F20137"/>
    <w:rsid w:val="00F2099C"/>
    <w:rsid w:val="00F21308"/>
    <w:rsid w:val="00F2240E"/>
    <w:rsid w:val="00F2251F"/>
    <w:rsid w:val="00F22638"/>
    <w:rsid w:val="00F22997"/>
    <w:rsid w:val="00F22B6C"/>
    <w:rsid w:val="00F2327E"/>
    <w:rsid w:val="00F23557"/>
    <w:rsid w:val="00F238A6"/>
    <w:rsid w:val="00F23D20"/>
    <w:rsid w:val="00F23E39"/>
    <w:rsid w:val="00F24048"/>
    <w:rsid w:val="00F248F1"/>
    <w:rsid w:val="00F24B16"/>
    <w:rsid w:val="00F259CE"/>
    <w:rsid w:val="00F25AB4"/>
    <w:rsid w:val="00F25FE1"/>
    <w:rsid w:val="00F2621B"/>
    <w:rsid w:val="00F265F1"/>
    <w:rsid w:val="00F26779"/>
    <w:rsid w:val="00F26A88"/>
    <w:rsid w:val="00F26A9B"/>
    <w:rsid w:val="00F26C25"/>
    <w:rsid w:val="00F27339"/>
    <w:rsid w:val="00F2751F"/>
    <w:rsid w:val="00F2774D"/>
    <w:rsid w:val="00F2790A"/>
    <w:rsid w:val="00F27B3F"/>
    <w:rsid w:val="00F27BF8"/>
    <w:rsid w:val="00F27F50"/>
    <w:rsid w:val="00F30434"/>
    <w:rsid w:val="00F304CE"/>
    <w:rsid w:val="00F30A9D"/>
    <w:rsid w:val="00F30BA5"/>
    <w:rsid w:val="00F30CF1"/>
    <w:rsid w:val="00F30DD1"/>
    <w:rsid w:val="00F31139"/>
    <w:rsid w:val="00F31A1A"/>
    <w:rsid w:val="00F31A4F"/>
    <w:rsid w:val="00F31ACC"/>
    <w:rsid w:val="00F31DCA"/>
    <w:rsid w:val="00F3294A"/>
    <w:rsid w:val="00F32C0D"/>
    <w:rsid w:val="00F33015"/>
    <w:rsid w:val="00F33070"/>
    <w:rsid w:val="00F330D4"/>
    <w:rsid w:val="00F3356C"/>
    <w:rsid w:val="00F335A7"/>
    <w:rsid w:val="00F33987"/>
    <w:rsid w:val="00F33C80"/>
    <w:rsid w:val="00F33CC7"/>
    <w:rsid w:val="00F33F5B"/>
    <w:rsid w:val="00F34197"/>
    <w:rsid w:val="00F343E5"/>
    <w:rsid w:val="00F34684"/>
    <w:rsid w:val="00F34740"/>
    <w:rsid w:val="00F34CCA"/>
    <w:rsid w:val="00F34E9F"/>
    <w:rsid w:val="00F350D9"/>
    <w:rsid w:val="00F354F4"/>
    <w:rsid w:val="00F3563E"/>
    <w:rsid w:val="00F35A66"/>
    <w:rsid w:val="00F35B55"/>
    <w:rsid w:val="00F35DE8"/>
    <w:rsid w:val="00F35F6E"/>
    <w:rsid w:val="00F364A8"/>
    <w:rsid w:val="00F367A0"/>
    <w:rsid w:val="00F3688A"/>
    <w:rsid w:val="00F36B60"/>
    <w:rsid w:val="00F36F61"/>
    <w:rsid w:val="00F378D6"/>
    <w:rsid w:val="00F37977"/>
    <w:rsid w:val="00F37E4E"/>
    <w:rsid w:val="00F401A6"/>
    <w:rsid w:val="00F402B8"/>
    <w:rsid w:val="00F4061C"/>
    <w:rsid w:val="00F4074D"/>
    <w:rsid w:val="00F407C5"/>
    <w:rsid w:val="00F40D4E"/>
    <w:rsid w:val="00F40FEA"/>
    <w:rsid w:val="00F410AC"/>
    <w:rsid w:val="00F41795"/>
    <w:rsid w:val="00F417D4"/>
    <w:rsid w:val="00F41C48"/>
    <w:rsid w:val="00F41F3F"/>
    <w:rsid w:val="00F41F6B"/>
    <w:rsid w:val="00F4235E"/>
    <w:rsid w:val="00F424D3"/>
    <w:rsid w:val="00F42B73"/>
    <w:rsid w:val="00F42CAA"/>
    <w:rsid w:val="00F42F59"/>
    <w:rsid w:val="00F43134"/>
    <w:rsid w:val="00F4343F"/>
    <w:rsid w:val="00F43C18"/>
    <w:rsid w:val="00F43E2F"/>
    <w:rsid w:val="00F44089"/>
    <w:rsid w:val="00F44290"/>
    <w:rsid w:val="00F44735"/>
    <w:rsid w:val="00F448C3"/>
    <w:rsid w:val="00F44910"/>
    <w:rsid w:val="00F44972"/>
    <w:rsid w:val="00F44BF1"/>
    <w:rsid w:val="00F44EDD"/>
    <w:rsid w:val="00F44FB2"/>
    <w:rsid w:val="00F4534B"/>
    <w:rsid w:val="00F45828"/>
    <w:rsid w:val="00F45AFC"/>
    <w:rsid w:val="00F46046"/>
    <w:rsid w:val="00F46343"/>
    <w:rsid w:val="00F46603"/>
    <w:rsid w:val="00F4677C"/>
    <w:rsid w:val="00F4697A"/>
    <w:rsid w:val="00F46987"/>
    <w:rsid w:val="00F46CF3"/>
    <w:rsid w:val="00F470BA"/>
    <w:rsid w:val="00F47402"/>
    <w:rsid w:val="00F47FA4"/>
    <w:rsid w:val="00F5022A"/>
    <w:rsid w:val="00F50356"/>
    <w:rsid w:val="00F506A4"/>
    <w:rsid w:val="00F50805"/>
    <w:rsid w:val="00F5086C"/>
    <w:rsid w:val="00F50AB4"/>
    <w:rsid w:val="00F50AE0"/>
    <w:rsid w:val="00F51353"/>
    <w:rsid w:val="00F517FF"/>
    <w:rsid w:val="00F51EB0"/>
    <w:rsid w:val="00F52FB7"/>
    <w:rsid w:val="00F53029"/>
    <w:rsid w:val="00F53123"/>
    <w:rsid w:val="00F531E8"/>
    <w:rsid w:val="00F533CD"/>
    <w:rsid w:val="00F533FF"/>
    <w:rsid w:val="00F5364F"/>
    <w:rsid w:val="00F5386B"/>
    <w:rsid w:val="00F538D8"/>
    <w:rsid w:val="00F53A7A"/>
    <w:rsid w:val="00F54057"/>
    <w:rsid w:val="00F5453B"/>
    <w:rsid w:val="00F5455C"/>
    <w:rsid w:val="00F54AD7"/>
    <w:rsid w:val="00F55622"/>
    <w:rsid w:val="00F557D0"/>
    <w:rsid w:val="00F55906"/>
    <w:rsid w:val="00F559DF"/>
    <w:rsid w:val="00F55A94"/>
    <w:rsid w:val="00F55EE6"/>
    <w:rsid w:val="00F5634E"/>
    <w:rsid w:val="00F565CA"/>
    <w:rsid w:val="00F56E1F"/>
    <w:rsid w:val="00F57346"/>
    <w:rsid w:val="00F5763E"/>
    <w:rsid w:val="00F578E4"/>
    <w:rsid w:val="00F578EB"/>
    <w:rsid w:val="00F579D3"/>
    <w:rsid w:val="00F57A88"/>
    <w:rsid w:val="00F60234"/>
    <w:rsid w:val="00F60306"/>
    <w:rsid w:val="00F603D4"/>
    <w:rsid w:val="00F60445"/>
    <w:rsid w:val="00F604D3"/>
    <w:rsid w:val="00F60704"/>
    <w:rsid w:val="00F60898"/>
    <w:rsid w:val="00F6111F"/>
    <w:rsid w:val="00F61180"/>
    <w:rsid w:val="00F6125F"/>
    <w:rsid w:val="00F61371"/>
    <w:rsid w:val="00F61970"/>
    <w:rsid w:val="00F6212C"/>
    <w:rsid w:val="00F621BC"/>
    <w:rsid w:val="00F62301"/>
    <w:rsid w:val="00F62567"/>
    <w:rsid w:val="00F62F80"/>
    <w:rsid w:val="00F631E4"/>
    <w:rsid w:val="00F63397"/>
    <w:rsid w:val="00F63A86"/>
    <w:rsid w:val="00F63C2C"/>
    <w:rsid w:val="00F63C33"/>
    <w:rsid w:val="00F63C78"/>
    <w:rsid w:val="00F63C83"/>
    <w:rsid w:val="00F641C5"/>
    <w:rsid w:val="00F644F3"/>
    <w:rsid w:val="00F64555"/>
    <w:rsid w:val="00F64815"/>
    <w:rsid w:val="00F64943"/>
    <w:rsid w:val="00F651C2"/>
    <w:rsid w:val="00F652EC"/>
    <w:rsid w:val="00F65846"/>
    <w:rsid w:val="00F659A3"/>
    <w:rsid w:val="00F65F0D"/>
    <w:rsid w:val="00F65F2F"/>
    <w:rsid w:val="00F65F33"/>
    <w:rsid w:val="00F6613F"/>
    <w:rsid w:val="00F668AD"/>
    <w:rsid w:val="00F66A94"/>
    <w:rsid w:val="00F66EE9"/>
    <w:rsid w:val="00F67044"/>
    <w:rsid w:val="00F6705C"/>
    <w:rsid w:val="00F6733E"/>
    <w:rsid w:val="00F67497"/>
    <w:rsid w:val="00F674DA"/>
    <w:rsid w:val="00F675E9"/>
    <w:rsid w:val="00F67B0B"/>
    <w:rsid w:val="00F703F4"/>
    <w:rsid w:val="00F709EC"/>
    <w:rsid w:val="00F70B40"/>
    <w:rsid w:val="00F70B85"/>
    <w:rsid w:val="00F70C81"/>
    <w:rsid w:val="00F70CF8"/>
    <w:rsid w:val="00F70E85"/>
    <w:rsid w:val="00F70EA2"/>
    <w:rsid w:val="00F711F6"/>
    <w:rsid w:val="00F7174D"/>
    <w:rsid w:val="00F71879"/>
    <w:rsid w:val="00F71882"/>
    <w:rsid w:val="00F719B5"/>
    <w:rsid w:val="00F71D4F"/>
    <w:rsid w:val="00F72132"/>
    <w:rsid w:val="00F72165"/>
    <w:rsid w:val="00F72430"/>
    <w:rsid w:val="00F72778"/>
    <w:rsid w:val="00F72978"/>
    <w:rsid w:val="00F729DE"/>
    <w:rsid w:val="00F72AF2"/>
    <w:rsid w:val="00F72EAB"/>
    <w:rsid w:val="00F73150"/>
    <w:rsid w:val="00F7325F"/>
    <w:rsid w:val="00F73459"/>
    <w:rsid w:val="00F73955"/>
    <w:rsid w:val="00F73A36"/>
    <w:rsid w:val="00F73FE0"/>
    <w:rsid w:val="00F7402B"/>
    <w:rsid w:val="00F74225"/>
    <w:rsid w:val="00F7462C"/>
    <w:rsid w:val="00F74970"/>
    <w:rsid w:val="00F756E3"/>
    <w:rsid w:val="00F7582B"/>
    <w:rsid w:val="00F758D6"/>
    <w:rsid w:val="00F75F99"/>
    <w:rsid w:val="00F76155"/>
    <w:rsid w:val="00F763E9"/>
    <w:rsid w:val="00F76636"/>
    <w:rsid w:val="00F769A7"/>
    <w:rsid w:val="00F76C51"/>
    <w:rsid w:val="00F76EDC"/>
    <w:rsid w:val="00F773CF"/>
    <w:rsid w:val="00F77840"/>
    <w:rsid w:val="00F77CB8"/>
    <w:rsid w:val="00F80306"/>
    <w:rsid w:val="00F804EB"/>
    <w:rsid w:val="00F80AD4"/>
    <w:rsid w:val="00F80B26"/>
    <w:rsid w:val="00F80C28"/>
    <w:rsid w:val="00F80CFC"/>
    <w:rsid w:val="00F810BD"/>
    <w:rsid w:val="00F81155"/>
    <w:rsid w:val="00F8130D"/>
    <w:rsid w:val="00F81362"/>
    <w:rsid w:val="00F8151E"/>
    <w:rsid w:val="00F8174D"/>
    <w:rsid w:val="00F81751"/>
    <w:rsid w:val="00F8197C"/>
    <w:rsid w:val="00F81A70"/>
    <w:rsid w:val="00F81BE3"/>
    <w:rsid w:val="00F81C6C"/>
    <w:rsid w:val="00F81DE3"/>
    <w:rsid w:val="00F81E42"/>
    <w:rsid w:val="00F81F07"/>
    <w:rsid w:val="00F821A3"/>
    <w:rsid w:val="00F821E6"/>
    <w:rsid w:val="00F82472"/>
    <w:rsid w:val="00F8259B"/>
    <w:rsid w:val="00F82631"/>
    <w:rsid w:val="00F8287E"/>
    <w:rsid w:val="00F82C51"/>
    <w:rsid w:val="00F830E8"/>
    <w:rsid w:val="00F8314D"/>
    <w:rsid w:val="00F83515"/>
    <w:rsid w:val="00F839EB"/>
    <w:rsid w:val="00F83C67"/>
    <w:rsid w:val="00F841A7"/>
    <w:rsid w:val="00F84671"/>
    <w:rsid w:val="00F84A61"/>
    <w:rsid w:val="00F84E94"/>
    <w:rsid w:val="00F853DB"/>
    <w:rsid w:val="00F85810"/>
    <w:rsid w:val="00F85B07"/>
    <w:rsid w:val="00F85EF2"/>
    <w:rsid w:val="00F860E8"/>
    <w:rsid w:val="00F868F4"/>
    <w:rsid w:val="00F86CBB"/>
    <w:rsid w:val="00F8769D"/>
    <w:rsid w:val="00F87832"/>
    <w:rsid w:val="00F87E0E"/>
    <w:rsid w:val="00F87F08"/>
    <w:rsid w:val="00F90058"/>
    <w:rsid w:val="00F90619"/>
    <w:rsid w:val="00F909BB"/>
    <w:rsid w:val="00F90F96"/>
    <w:rsid w:val="00F910F0"/>
    <w:rsid w:val="00F913CE"/>
    <w:rsid w:val="00F91436"/>
    <w:rsid w:val="00F91ABB"/>
    <w:rsid w:val="00F92013"/>
    <w:rsid w:val="00F92283"/>
    <w:rsid w:val="00F925B2"/>
    <w:rsid w:val="00F929DC"/>
    <w:rsid w:val="00F92EDE"/>
    <w:rsid w:val="00F9343A"/>
    <w:rsid w:val="00F93498"/>
    <w:rsid w:val="00F93BEC"/>
    <w:rsid w:val="00F93E10"/>
    <w:rsid w:val="00F93EC1"/>
    <w:rsid w:val="00F94691"/>
    <w:rsid w:val="00F94F29"/>
    <w:rsid w:val="00F951A1"/>
    <w:rsid w:val="00F9533A"/>
    <w:rsid w:val="00F9549E"/>
    <w:rsid w:val="00F9579A"/>
    <w:rsid w:val="00F95E7C"/>
    <w:rsid w:val="00F966B3"/>
    <w:rsid w:val="00F96764"/>
    <w:rsid w:val="00F96B7F"/>
    <w:rsid w:val="00F96D4E"/>
    <w:rsid w:val="00F96ED6"/>
    <w:rsid w:val="00F97249"/>
    <w:rsid w:val="00F972DF"/>
    <w:rsid w:val="00F97392"/>
    <w:rsid w:val="00F975DC"/>
    <w:rsid w:val="00F97672"/>
    <w:rsid w:val="00F97922"/>
    <w:rsid w:val="00F97AD7"/>
    <w:rsid w:val="00FA0224"/>
    <w:rsid w:val="00FA02F2"/>
    <w:rsid w:val="00FA0713"/>
    <w:rsid w:val="00FA0A1E"/>
    <w:rsid w:val="00FA12A3"/>
    <w:rsid w:val="00FA20F5"/>
    <w:rsid w:val="00FA23CE"/>
    <w:rsid w:val="00FA2748"/>
    <w:rsid w:val="00FA2825"/>
    <w:rsid w:val="00FA2874"/>
    <w:rsid w:val="00FA2A51"/>
    <w:rsid w:val="00FA2E57"/>
    <w:rsid w:val="00FA344A"/>
    <w:rsid w:val="00FA37A5"/>
    <w:rsid w:val="00FA4554"/>
    <w:rsid w:val="00FA45FB"/>
    <w:rsid w:val="00FA4C72"/>
    <w:rsid w:val="00FA4E08"/>
    <w:rsid w:val="00FA56E6"/>
    <w:rsid w:val="00FA5AEE"/>
    <w:rsid w:val="00FA5F47"/>
    <w:rsid w:val="00FA601C"/>
    <w:rsid w:val="00FA61DB"/>
    <w:rsid w:val="00FA6521"/>
    <w:rsid w:val="00FA677C"/>
    <w:rsid w:val="00FA6830"/>
    <w:rsid w:val="00FA7173"/>
    <w:rsid w:val="00FA734E"/>
    <w:rsid w:val="00FA738E"/>
    <w:rsid w:val="00FA7894"/>
    <w:rsid w:val="00FA7B29"/>
    <w:rsid w:val="00FB02E6"/>
    <w:rsid w:val="00FB0F6C"/>
    <w:rsid w:val="00FB0FEC"/>
    <w:rsid w:val="00FB1053"/>
    <w:rsid w:val="00FB11A2"/>
    <w:rsid w:val="00FB13D8"/>
    <w:rsid w:val="00FB1695"/>
    <w:rsid w:val="00FB179B"/>
    <w:rsid w:val="00FB18FF"/>
    <w:rsid w:val="00FB1DC6"/>
    <w:rsid w:val="00FB1EDB"/>
    <w:rsid w:val="00FB2535"/>
    <w:rsid w:val="00FB2591"/>
    <w:rsid w:val="00FB2871"/>
    <w:rsid w:val="00FB29B9"/>
    <w:rsid w:val="00FB2C33"/>
    <w:rsid w:val="00FB2EBE"/>
    <w:rsid w:val="00FB2FF6"/>
    <w:rsid w:val="00FB3000"/>
    <w:rsid w:val="00FB3594"/>
    <w:rsid w:val="00FB3633"/>
    <w:rsid w:val="00FB36E2"/>
    <w:rsid w:val="00FB3EE4"/>
    <w:rsid w:val="00FB461C"/>
    <w:rsid w:val="00FB472F"/>
    <w:rsid w:val="00FB480C"/>
    <w:rsid w:val="00FB5122"/>
    <w:rsid w:val="00FB520B"/>
    <w:rsid w:val="00FB5791"/>
    <w:rsid w:val="00FB5A4A"/>
    <w:rsid w:val="00FB5AFA"/>
    <w:rsid w:val="00FB5E22"/>
    <w:rsid w:val="00FB6049"/>
    <w:rsid w:val="00FB6174"/>
    <w:rsid w:val="00FB619F"/>
    <w:rsid w:val="00FB6440"/>
    <w:rsid w:val="00FB69D0"/>
    <w:rsid w:val="00FB6F56"/>
    <w:rsid w:val="00FB7075"/>
    <w:rsid w:val="00FB71A4"/>
    <w:rsid w:val="00FB7221"/>
    <w:rsid w:val="00FB7279"/>
    <w:rsid w:val="00FB728B"/>
    <w:rsid w:val="00FB73AD"/>
    <w:rsid w:val="00FB7486"/>
    <w:rsid w:val="00FB75EF"/>
    <w:rsid w:val="00FB76C0"/>
    <w:rsid w:val="00FB7925"/>
    <w:rsid w:val="00FC0091"/>
    <w:rsid w:val="00FC0506"/>
    <w:rsid w:val="00FC061B"/>
    <w:rsid w:val="00FC0974"/>
    <w:rsid w:val="00FC0DC1"/>
    <w:rsid w:val="00FC1287"/>
    <w:rsid w:val="00FC12BE"/>
    <w:rsid w:val="00FC168B"/>
    <w:rsid w:val="00FC16E0"/>
    <w:rsid w:val="00FC1AE9"/>
    <w:rsid w:val="00FC20D7"/>
    <w:rsid w:val="00FC2238"/>
    <w:rsid w:val="00FC25EF"/>
    <w:rsid w:val="00FC2859"/>
    <w:rsid w:val="00FC2C57"/>
    <w:rsid w:val="00FC2FD6"/>
    <w:rsid w:val="00FC345D"/>
    <w:rsid w:val="00FC3554"/>
    <w:rsid w:val="00FC3603"/>
    <w:rsid w:val="00FC3723"/>
    <w:rsid w:val="00FC3797"/>
    <w:rsid w:val="00FC387A"/>
    <w:rsid w:val="00FC3EC3"/>
    <w:rsid w:val="00FC4435"/>
    <w:rsid w:val="00FC44DE"/>
    <w:rsid w:val="00FC4809"/>
    <w:rsid w:val="00FC4872"/>
    <w:rsid w:val="00FC502F"/>
    <w:rsid w:val="00FC52A4"/>
    <w:rsid w:val="00FC5804"/>
    <w:rsid w:val="00FC5BC8"/>
    <w:rsid w:val="00FC622C"/>
    <w:rsid w:val="00FC6947"/>
    <w:rsid w:val="00FC6E63"/>
    <w:rsid w:val="00FC7327"/>
    <w:rsid w:val="00FC7628"/>
    <w:rsid w:val="00FC7B8E"/>
    <w:rsid w:val="00FC7CB4"/>
    <w:rsid w:val="00FC7DB0"/>
    <w:rsid w:val="00FD0337"/>
    <w:rsid w:val="00FD043C"/>
    <w:rsid w:val="00FD09C4"/>
    <w:rsid w:val="00FD0CDE"/>
    <w:rsid w:val="00FD0F55"/>
    <w:rsid w:val="00FD0F61"/>
    <w:rsid w:val="00FD11FE"/>
    <w:rsid w:val="00FD17EE"/>
    <w:rsid w:val="00FD18B1"/>
    <w:rsid w:val="00FD1DFB"/>
    <w:rsid w:val="00FD230A"/>
    <w:rsid w:val="00FD27F1"/>
    <w:rsid w:val="00FD2E55"/>
    <w:rsid w:val="00FD328B"/>
    <w:rsid w:val="00FD38C7"/>
    <w:rsid w:val="00FD46D8"/>
    <w:rsid w:val="00FD4977"/>
    <w:rsid w:val="00FD49A1"/>
    <w:rsid w:val="00FD5057"/>
    <w:rsid w:val="00FD51F6"/>
    <w:rsid w:val="00FD551F"/>
    <w:rsid w:val="00FD5795"/>
    <w:rsid w:val="00FD5E34"/>
    <w:rsid w:val="00FD626D"/>
    <w:rsid w:val="00FD63B1"/>
    <w:rsid w:val="00FD6702"/>
    <w:rsid w:val="00FD7497"/>
    <w:rsid w:val="00FE00A4"/>
    <w:rsid w:val="00FE10A5"/>
    <w:rsid w:val="00FE10E9"/>
    <w:rsid w:val="00FE13E1"/>
    <w:rsid w:val="00FE18A1"/>
    <w:rsid w:val="00FE19F2"/>
    <w:rsid w:val="00FE1BB7"/>
    <w:rsid w:val="00FE1BF8"/>
    <w:rsid w:val="00FE1CFC"/>
    <w:rsid w:val="00FE1D2B"/>
    <w:rsid w:val="00FE20A6"/>
    <w:rsid w:val="00FE214C"/>
    <w:rsid w:val="00FE215F"/>
    <w:rsid w:val="00FE225A"/>
    <w:rsid w:val="00FE24FD"/>
    <w:rsid w:val="00FE33B1"/>
    <w:rsid w:val="00FE398C"/>
    <w:rsid w:val="00FE3B11"/>
    <w:rsid w:val="00FE442B"/>
    <w:rsid w:val="00FE5106"/>
    <w:rsid w:val="00FE5120"/>
    <w:rsid w:val="00FE5E40"/>
    <w:rsid w:val="00FE609F"/>
    <w:rsid w:val="00FE61D6"/>
    <w:rsid w:val="00FE633D"/>
    <w:rsid w:val="00FE636F"/>
    <w:rsid w:val="00FE64B2"/>
    <w:rsid w:val="00FE67D2"/>
    <w:rsid w:val="00FE7780"/>
    <w:rsid w:val="00FE7859"/>
    <w:rsid w:val="00FE7E05"/>
    <w:rsid w:val="00FE7E4A"/>
    <w:rsid w:val="00FF002E"/>
    <w:rsid w:val="00FF00DB"/>
    <w:rsid w:val="00FF02F6"/>
    <w:rsid w:val="00FF06A8"/>
    <w:rsid w:val="00FF073C"/>
    <w:rsid w:val="00FF08A2"/>
    <w:rsid w:val="00FF08DC"/>
    <w:rsid w:val="00FF0A76"/>
    <w:rsid w:val="00FF0ABD"/>
    <w:rsid w:val="00FF0BF5"/>
    <w:rsid w:val="00FF121C"/>
    <w:rsid w:val="00FF12AC"/>
    <w:rsid w:val="00FF12F8"/>
    <w:rsid w:val="00FF15EF"/>
    <w:rsid w:val="00FF1631"/>
    <w:rsid w:val="00FF1A21"/>
    <w:rsid w:val="00FF1ED1"/>
    <w:rsid w:val="00FF1F53"/>
    <w:rsid w:val="00FF20E9"/>
    <w:rsid w:val="00FF2268"/>
    <w:rsid w:val="00FF2465"/>
    <w:rsid w:val="00FF27F7"/>
    <w:rsid w:val="00FF2877"/>
    <w:rsid w:val="00FF2963"/>
    <w:rsid w:val="00FF2A9F"/>
    <w:rsid w:val="00FF2BAF"/>
    <w:rsid w:val="00FF2CAA"/>
    <w:rsid w:val="00FF2D3B"/>
    <w:rsid w:val="00FF2E15"/>
    <w:rsid w:val="00FF38E2"/>
    <w:rsid w:val="00FF3C68"/>
    <w:rsid w:val="00FF3F04"/>
    <w:rsid w:val="00FF4469"/>
    <w:rsid w:val="00FF481D"/>
    <w:rsid w:val="00FF493A"/>
    <w:rsid w:val="00FF4E55"/>
    <w:rsid w:val="00FF533C"/>
    <w:rsid w:val="00FF547C"/>
    <w:rsid w:val="00FF5BB7"/>
    <w:rsid w:val="00FF5C05"/>
    <w:rsid w:val="00FF5CE2"/>
    <w:rsid w:val="00FF5CFE"/>
    <w:rsid w:val="00FF5FFE"/>
    <w:rsid w:val="00FF601D"/>
    <w:rsid w:val="00FF61A9"/>
    <w:rsid w:val="00FF6291"/>
    <w:rsid w:val="00FF658C"/>
    <w:rsid w:val="00FF6713"/>
    <w:rsid w:val="00FF6C05"/>
    <w:rsid w:val="00FF7179"/>
    <w:rsid w:val="00FF7619"/>
    <w:rsid w:val="00FF7626"/>
    <w:rsid w:val="00FF794F"/>
    <w:rsid w:val="00FF7CD2"/>
    <w:rsid w:val="00FF7E89"/>
    <w:rsid w:val="03E77005"/>
    <w:rsid w:val="04B50EB1"/>
    <w:rsid w:val="0ADC27FC"/>
    <w:rsid w:val="0FF747FD"/>
    <w:rsid w:val="10CC380A"/>
    <w:rsid w:val="10E34E12"/>
    <w:rsid w:val="1A9C69AF"/>
    <w:rsid w:val="1E553655"/>
    <w:rsid w:val="1F6D7F66"/>
    <w:rsid w:val="213B02EA"/>
    <w:rsid w:val="292A6EC8"/>
    <w:rsid w:val="309E3A19"/>
    <w:rsid w:val="34720007"/>
    <w:rsid w:val="353431B1"/>
    <w:rsid w:val="4F950C90"/>
    <w:rsid w:val="53BF2788"/>
    <w:rsid w:val="545A2D73"/>
    <w:rsid w:val="5650289C"/>
    <w:rsid w:val="578810DA"/>
    <w:rsid w:val="5C8A31FF"/>
    <w:rsid w:val="6104293D"/>
    <w:rsid w:val="611015E4"/>
    <w:rsid w:val="63D77671"/>
    <w:rsid w:val="68441F27"/>
    <w:rsid w:val="697119CE"/>
    <w:rsid w:val="71BF520D"/>
    <w:rsid w:val="733F48EB"/>
    <w:rsid w:val="748668F8"/>
    <w:rsid w:val="77F626F4"/>
    <w:rsid w:val="78A24B13"/>
    <w:rsid w:val="7CC51B69"/>
    <w:rsid w:val="7D627B5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name="footnote text"/>
    <w:lsdException w:qFormat="1" w:unhideWhenUsed="0" w:uiPriority="99" w:semiHidden="0" w:name="annotation text"/>
    <w:lsdException w:qFormat="1" w:unhideWhenUsed="0" w:uiPriority="0" w:semiHidden="0" w:name="header"/>
    <w:lsdException w:qFormat="1" w:unhideWhenUsed="0" w:uiPriority="0" w:semiHidden="0" w:name="footer"/>
    <w:lsdException w:qFormat="1" w:unhideWhenUsed="0" w:uiPriority="0" w:name="index heading"/>
    <w:lsdException w:qFormat="1" w:unhideWhenUsed="0" w:uiPriority="99" w:semiHidden="0" w:name="caption"/>
    <w:lsdException w:qFormat="1" w:unhideWhenUsed="0" w:uiPriority="0" w:name="table of figures"/>
    <w:lsdException w:qFormat="1" w:unhideWhenUsed="0" w:uiPriority="0" w:name="envelope address"/>
    <w:lsdException w:qFormat="1" w:unhideWhenUsed="0" w:uiPriority="0" w:name="envelope return"/>
    <w:lsdException w:qFormat="1" w:unhideWhenUsed="0" w:uiPriority="0" w:name="footnote reference"/>
    <w:lsdException w:qFormat="1" w:unhideWhenUsed="0" w:uiPriority="99" w:semiHidden="0" w:name="annotation reference"/>
    <w:lsdException w:qFormat="1" w:unhideWhenUsed="0" w:uiPriority="0" w:name="line number"/>
    <w:lsdException w:qFormat="1" w:unhideWhenUsed="0" w:uiPriority="0" w:semiHidden="0" w:name="page number"/>
    <w:lsdException w:uiPriority="0" w:name="endnote reference"/>
    <w:lsdException w:qFormat="1" w:unhideWhenUsed="0" w:uiPriority="0" w:name="endnote text"/>
    <w:lsdException w:qFormat="1" w:unhideWhenUsed="0" w:uiPriority="0" w:name="table of authorities"/>
    <w:lsdException w:uiPriority="0" w:name="macro"/>
    <w:lsdException w:qFormat="1" w:unhideWhenUsed="0" w:uiPriority="0" w:name="toa heading"/>
    <w:lsdException w:qFormat="1" w:unhideWhenUsed="0" w:uiPriority="0" w:semiHidden="0" w:name="List"/>
    <w:lsdException w:qFormat="1" w:unhideWhenUsed="0" w:uiPriority="0" w:name="List Bullet"/>
    <w:lsdException w:qFormat="1" w:unhideWhenUsed="0" w:uiPriority="0" w:semiHidden="0" w:name="List Number"/>
    <w:lsdException w:qFormat="1" w:unhideWhenUsed="0" w:uiPriority="0" w:semiHidden="0" w:name="List 2"/>
    <w:lsdException w:qFormat="1" w:unhideWhenUsed="0" w:uiPriority="0" w:name="List 3"/>
    <w:lsdException w:qFormat="1" w:unhideWhenUsed="0" w:uiPriority="0" w:semiHidden="0" w:name="List 4"/>
    <w:lsdException w:qFormat="1" w:unhideWhenUsed="0" w:uiPriority="0" w:semiHidden="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qFormat="1" w:unhideWhenUsed="0" w:uiPriority="0" w:name="Closing"/>
    <w:lsdException w:qFormat="1" w:unhideWhenUsed="0" w:uiPriority="0" w:name="Signature"/>
    <w:lsdException w:uiPriority="1" w:name="Default Paragraph Font"/>
    <w:lsdException w:qFormat="1" w:unhideWhenUsed="0" w:uiPriority="0" w:semiHidden="0" w:name="Body Text"/>
    <w:lsdException w:qFormat="1" w:unhideWhenUsed="0" w:uiPriority="0" w:semiHidden="0" w:name="Body Text Indent"/>
    <w:lsdException w:qFormat="1" w:unhideWhenUsed="0" w:uiPriority="0" w:name="List Continue"/>
    <w:lsdException w:qFormat="1" w:unhideWhenUsed="0" w:uiPriority="0" w:name="List Continue 2"/>
    <w:lsdException w:qFormat="1" w:unhideWhenUsed="0" w:uiPriority="0" w:name="List Continue 3"/>
    <w:lsdException w:qFormat="1" w:unhideWhenUsed="0" w:uiPriority="0" w:name="List Continue 4"/>
    <w:lsdException w:qFormat="1" w:unhideWhenUsed="0" w:uiPriority="0" w:name="List Continue 5"/>
    <w:lsdException w:qFormat="1" w:unhideWhenUsed="0" w:uiPriority="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name="Body Text 3"/>
    <w:lsdException w:qFormat="1" w:unhideWhenUsed="0" w:uiPriority="0" w:semiHidden="0" w:name="Body Text Indent 2"/>
    <w:lsdException w:qFormat="1" w:unhideWhenUsed="0" w:uiPriority="0" w:semiHidden="0" w:name="Body Text Indent 3"/>
    <w:lsdException w:qFormat="1" w:unhideWhenUsed="0" w:uiPriority="0" w:name="Block Text"/>
    <w:lsdException w:qFormat="1" w:unhideWhenUsed="0" w:uiPriority="99" w:semiHidden="0" w:name="Hyperlink"/>
    <w:lsdException w:qFormat="1" w:uiPriority="0"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qFormat="1" w:unhideWhenUsed="0" w:uiPriority="99" w:semiHidden="0" w:name="Plain Text"/>
    <w:lsdException w:qFormat="1" w:unhideWhenUsed="0" w:uiPriority="0" w:name="E-mail Signature"/>
    <w:lsdException w:qFormat="1" w:unhideWhenUsed="0" w:uiPriority="0" w:semiHidden="0" w:name="Normal (Web)"/>
    <w:lsdException w:qFormat="1" w:unhideWhenUsed="0" w:uiPriority="0" w:name="HTML Acronym"/>
    <w:lsdException w:qFormat="1" w:unhideWhenUsed="0" w:uiPriority="0" w:name="HTML Address"/>
    <w:lsdException w:qFormat="1" w:unhideWhenUsed="0" w:uiPriority="0" w:name="HTML Cite"/>
    <w:lsdException w:qFormat="1" w:unhideWhenUsed="0" w:uiPriority="0" w:name="HTML Code"/>
    <w:lsdException w:qFormat="1" w:unhideWhenUsed="0" w:uiPriority="0" w:name="HTML Definition"/>
    <w:lsdException w:qFormat="1" w:unhideWhenUsed="0" w:uiPriority="0" w:name="HTML Keyboard"/>
    <w:lsdException w:qFormat="1" w:unhideWhenUsed="0" w:uiPriority="99" w:semiHidden="0" w:name="HTML Preformatted"/>
    <w:lsdException w:qFormat="1" w:unhideWhenUsed="0" w:uiPriority="0" w:name="HTML Sample"/>
    <w:lsdException w:qFormat="1" w:unhideWhenUsed="0" w:uiPriority="0" w:name="HTML Typewriter"/>
    <w:lsdException w:qFormat="1" w:unhideWhenUsed="0" w:uiPriority="0" w:name="HTML Variable"/>
    <w:lsdException w:qFormat="1" w:uiPriority="99" w:name="Normal Table"/>
    <w:lsdException w:qFormat="1" w:unhideWhenUsed="0" w:uiPriority="0" w:name="annotation subject"/>
    <w:lsdException w:qFormat="1" w:unhideWhenUsed="0" w:uiPriority="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nhideWhenUsed="0" w:uiPriority="0" w:semiHidden="0" w:name="Balloon Text"/>
    <w:lsdException w:qFormat="1" w:unhideWhenUsed="0" w:uiPriority="99" w:semiHidden="0" w:name="Table Grid"/>
    <w:lsdException w:qFormat="1" w:unhideWhenUsed="0" w:uiPriority="0" w:name="Table Theme"/>
    <w:lsdException w:qFormat="1" w:unhideWhenUsed="0" w:uiPriority="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after="330" w:line="360" w:lineRule="auto"/>
      <w:outlineLvl w:val="0"/>
    </w:pPr>
    <w:rPr>
      <w:b/>
      <w:bCs/>
      <w:kern w:val="44"/>
      <w:sz w:val="32"/>
      <w:szCs w:val="44"/>
    </w:rPr>
  </w:style>
  <w:style w:type="paragraph" w:styleId="3">
    <w:name w:val="heading 2"/>
    <w:basedOn w:val="1"/>
    <w:next w:val="1"/>
    <w:link w:val="685"/>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paragraph" w:styleId="5">
    <w:name w:val="heading 4"/>
    <w:basedOn w:val="1"/>
    <w:next w:val="1"/>
    <w:link w:val="151"/>
    <w:qFormat/>
    <w:uiPriority w:val="0"/>
    <w:pPr>
      <w:keepNext/>
      <w:keepLines/>
      <w:outlineLvl w:val="3"/>
    </w:pPr>
    <w:rPr>
      <w:rFonts w:ascii="Arial" w:hAnsi="Arial"/>
      <w:bCs/>
      <w:sz w:val="24"/>
    </w:rPr>
  </w:style>
  <w:style w:type="paragraph" w:styleId="6">
    <w:name w:val="heading 5"/>
    <w:basedOn w:val="1"/>
    <w:next w:val="1"/>
    <w:link w:val="210"/>
    <w:qFormat/>
    <w:uiPriority w:val="0"/>
    <w:pPr>
      <w:keepNext/>
      <w:keepLines/>
      <w:tabs>
        <w:tab w:val="left" w:pos="1008"/>
      </w:tabs>
      <w:spacing w:before="280" w:after="290" w:line="376" w:lineRule="auto"/>
      <w:ind w:left="1008" w:hanging="1008"/>
      <w:outlineLvl w:val="4"/>
    </w:pPr>
    <w:rPr>
      <w:bCs/>
      <w:sz w:val="28"/>
      <w:szCs w:val="28"/>
    </w:rPr>
  </w:style>
  <w:style w:type="paragraph" w:styleId="7">
    <w:name w:val="heading 6"/>
    <w:basedOn w:val="1"/>
    <w:next w:val="1"/>
    <w:link w:val="671"/>
    <w:qFormat/>
    <w:uiPriority w:val="0"/>
    <w:pPr>
      <w:keepNext/>
      <w:keepLines/>
      <w:autoSpaceDE w:val="0"/>
      <w:autoSpaceDN w:val="0"/>
      <w:adjustRightInd w:val="0"/>
      <w:spacing w:before="240" w:after="64" w:line="320" w:lineRule="auto"/>
      <w:jc w:val="left"/>
      <w:textAlignment w:val="baseline"/>
      <w:outlineLvl w:val="5"/>
    </w:pPr>
    <w:rPr>
      <w:rFonts w:ascii="Arial" w:hAnsi="Arial" w:eastAsia="黑体"/>
      <w:b/>
      <w:kern w:val="0"/>
      <w:sz w:val="24"/>
      <w:szCs w:val="20"/>
    </w:rPr>
  </w:style>
  <w:style w:type="paragraph" w:styleId="8">
    <w:name w:val="heading 7"/>
    <w:basedOn w:val="1"/>
    <w:next w:val="1"/>
    <w:qFormat/>
    <w:uiPriority w:val="0"/>
    <w:pPr>
      <w:keepNext/>
      <w:keepLines/>
      <w:autoSpaceDE w:val="0"/>
      <w:autoSpaceDN w:val="0"/>
      <w:adjustRightInd w:val="0"/>
      <w:spacing w:before="240" w:after="64" w:line="320" w:lineRule="auto"/>
      <w:jc w:val="left"/>
      <w:textAlignment w:val="baseline"/>
      <w:outlineLvl w:val="6"/>
    </w:pPr>
    <w:rPr>
      <w:b/>
      <w:kern w:val="0"/>
      <w:sz w:val="24"/>
      <w:szCs w:val="20"/>
    </w:rPr>
  </w:style>
  <w:style w:type="paragraph" w:styleId="9">
    <w:name w:val="heading 8"/>
    <w:basedOn w:val="1"/>
    <w:next w:val="1"/>
    <w:link w:val="672"/>
    <w:qFormat/>
    <w:uiPriority w:val="0"/>
    <w:pPr>
      <w:keepNext/>
      <w:keepLines/>
      <w:autoSpaceDE w:val="0"/>
      <w:autoSpaceDN w:val="0"/>
      <w:adjustRightInd w:val="0"/>
      <w:spacing w:before="240" w:after="64" w:line="320" w:lineRule="auto"/>
      <w:jc w:val="left"/>
      <w:textAlignment w:val="baseline"/>
      <w:outlineLvl w:val="7"/>
    </w:pPr>
    <w:rPr>
      <w:rFonts w:ascii="Arial" w:hAnsi="Arial" w:eastAsia="黑体"/>
      <w:kern w:val="0"/>
      <w:sz w:val="24"/>
      <w:szCs w:val="20"/>
    </w:rPr>
  </w:style>
  <w:style w:type="paragraph" w:styleId="10">
    <w:name w:val="heading 9"/>
    <w:basedOn w:val="1"/>
    <w:next w:val="1"/>
    <w:link w:val="202"/>
    <w:qFormat/>
    <w:uiPriority w:val="0"/>
    <w:pPr>
      <w:keepNext/>
      <w:keepLines/>
      <w:autoSpaceDE w:val="0"/>
      <w:autoSpaceDN w:val="0"/>
      <w:adjustRightInd w:val="0"/>
      <w:spacing w:before="240" w:after="64" w:line="320" w:lineRule="auto"/>
      <w:jc w:val="left"/>
      <w:textAlignment w:val="baseline"/>
      <w:outlineLvl w:val="8"/>
    </w:pPr>
    <w:rPr>
      <w:rFonts w:ascii="Arial" w:hAnsi="Arial" w:eastAsia="黑体"/>
      <w:kern w:val="0"/>
      <w:szCs w:val="20"/>
    </w:rPr>
  </w:style>
  <w:style w:type="character" w:default="1" w:styleId="132">
    <w:name w:val="Default Paragraph Font"/>
    <w:semiHidden/>
    <w:unhideWhenUsed/>
    <w:uiPriority w:val="1"/>
  </w:style>
  <w:style w:type="table" w:default="1" w:styleId="87">
    <w:name w:val="Normal Table"/>
    <w:semiHidden/>
    <w:unhideWhenUsed/>
    <w:qFormat/>
    <w:uiPriority w:val="99"/>
    <w:tblPr>
      <w:tblCellMar>
        <w:top w:w="0" w:type="dxa"/>
        <w:left w:w="108" w:type="dxa"/>
        <w:bottom w:w="0" w:type="dxa"/>
        <w:right w:w="108" w:type="dxa"/>
      </w:tblCellMar>
    </w:tblPr>
  </w:style>
  <w:style w:type="paragraph" w:styleId="11">
    <w:name w:val="List 3"/>
    <w:basedOn w:val="1"/>
    <w:semiHidden/>
    <w:qFormat/>
    <w:uiPriority w:val="0"/>
    <w:pPr>
      <w:ind w:left="1260" w:hanging="420"/>
    </w:pPr>
    <w:rPr>
      <w:rFonts w:ascii="Calibri" w:hAnsi="Calibri"/>
      <w:szCs w:val="21"/>
    </w:rPr>
  </w:style>
  <w:style w:type="paragraph" w:styleId="12">
    <w:name w:val="toc 7"/>
    <w:basedOn w:val="1"/>
    <w:next w:val="1"/>
    <w:unhideWhenUsed/>
    <w:qFormat/>
    <w:uiPriority w:val="39"/>
    <w:pPr>
      <w:ind w:left="2520" w:leftChars="1200"/>
    </w:pPr>
    <w:rPr>
      <w:rFonts w:ascii="Calibri" w:hAnsi="Calibri"/>
      <w:szCs w:val="22"/>
    </w:rPr>
  </w:style>
  <w:style w:type="paragraph" w:styleId="13">
    <w:name w:val="List Number 2"/>
    <w:basedOn w:val="1"/>
    <w:semiHidden/>
    <w:qFormat/>
    <w:uiPriority w:val="0"/>
    <w:pPr>
      <w:tabs>
        <w:tab w:val="left" w:pos="1606"/>
      </w:tabs>
      <w:ind w:left="1606" w:hanging="720"/>
    </w:pPr>
    <w:rPr>
      <w:rFonts w:ascii="Calibri" w:hAnsi="Calibri"/>
      <w:szCs w:val="21"/>
    </w:rPr>
  </w:style>
  <w:style w:type="paragraph" w:styleId="14">
    <w:name w:val="table of authorities"/>
    <w:basedOn w:val="1"/>
    <w:next w:val="1"/>
    <w:semiHidden/>
    <w:qFormat/>
    <w:uiPriority w:val="0"/>
    <w:pPr>
      <w:spacing w:line="180" w:lineRule="auto"/>
      <w:ind w:left="420"/>
    </w:pPr>
    <w:rPr>
      <w:rFonts w:ascii="Calibri" w:hAnsi="Calibri"/>
      <w:sz w:val="24"/>
      <w:szCs w:val="20"/>
    </w:rPr>
  </w:style>
  <w:style w:type="paragraph" w:styleId="15">
    <w:name w:val="Note Heading"/>
    <w:basedOn w:val="1"/>
    <w:next w:val="1"/>
    <w:link w:val="314"/>
    <w:qFormat/>
    <w:uiPriority w:val="0"/>
    <w:pPr>
      <w:keepNext/>
      <w:spacing w:line="360" w:lineRule="auto"/>
      <w:ind w:firstLine="200" w:firstLineChars="200"/>
      <w:jc w:val="left"/>
    </w:pPr>
    <w:rPr>
      <w:b/>
      <w:sz w:val="24"/>
    </w:rPr>
  </w:style>
  <w:style w:type="paragraph" w:styleId="16">
    <w:name w:val="List Bullet 4"/>
    <w:basedOn w:val="1"/>
    <w:semiHidden/>
    <w:qFormat/>
    <w:uiPriority w:val="0"/>
    <w:pPr>
      <w:tabs>
        <w:tab w:val="left" w:pos="960"/>
      </w:tabs>
      <w:ind w:left="960" w:hanging="420"/>
    </w:pPr>
    <w:rPr>
      <w:rFonts w:ascii="Calibri" w:hAnsi="Calibri"/>
      <w:szCs w:val="21"/>
    </w:rPr>
  </w:style>
  <w:style w:type="paragraph" w:styleId="17">
    <w:name w:val="index 8"/>
    <w:basedOn w:val="1"/>
    <w:next w:val="1"/>
    <w:semiHidden/>
    <w:qFormat/>
    <w:uiPriority w:val="0"/>
    <w:pPr>
      <w:ind w:left="1680" w:hanging="210"/>
      <w:jc w:val="left"/>
    </w:pPr>
    <w:rPr>
      <w:rFonts w:ascii="Calibri" w:hAnsi="Calibri"/>
      <w:sz w:val="20"/>
      <w:szCs w:val="20"/>
    </w:rPr>
  </w:style>
  <w:style w:type="paragraph" w:styleId="18">
    <w:name w:val="E-mail Signature"/>
    <w:basedOn w:val="1"/>
    <w:link w:val="249"/>
    <w:semiHidden/>
    <w:qFormat/>
    <w:uiPriority w:val="0"/>
    <w:rPr>
      <w:rFonts w:ascii="Calibri" w:hAnsi="Calibri"/>
      <w:szCs w:val="21"/>
    </w:rPr>
  </w:style>
  <w:style w:type="paragraph" w:styleId="19">
    <w:name w:val="List Number"/>
    <w:basedOn w:val="1"/>
    <w:qFormat/>
    <w:uiPriority w:val="0"/>
    <w:pPr>
      <w:tabs>
        <w:tab w:val="left" w:pos="540"/>
      </w:tabs>
      <w:ind w:left="540" w:hanging="360" w:hangingChars="200"/>
    </w:pPr>
    <w:rPr>
      <w:sz w:val="24"/>
    </w:rPr>
  </w:style>
  <w:style w:type="paragraph" w:styleId="20">
    <w:name w:val="Normal Indent"/>
    <w:basedOn w:val="1"/>
    <w:link w:val="355"/>
    <w:qFormat/>
    <w:uiPriority w:val="0"/>
    <w:pPr>
      <w:adjustRightInd w:val="0"/>
      <w:spacing w:line="360" w:lineRule="auto"/>
      <w:jc w:val="left"/>
      <w:textAlignment w:val="baseline"/>
    </w:pPr>
    <w:rPr>
      <w:rFonts w:ascii="宋体" w:hAnsi="Times"/>
      <w:kern w:val="0"/>
      <w:sz w:val="24"/>
      <w:szCs w:val="20"/>
    </w:rPr>
  </w:style>
  <w:style w:type="paragraph" w:styleId="21">
    <w:name w:val="caption"/>
    <w:basedOn w:val="1"/>
    <w:next w:val="1"/>
    <w:link w:val="2233"/>
    <w:qFormat/>
    <w:uiPriority w:val="99"/>
    <w:pPr>
      <w:spacing w:before="152" w:after="160"/>
    </w:pPr>
    <w:rPr>
      <w:rFonts w:ascii="Arial" w:hAnsi="Arial" w:eastAsia="黑体" w:cs="Arial"/>
      <w:spacing w:val="-2"/>
      <w:sz w:val="20"/>
      <w:szCs w:val="20"/>
    </w:rPr>
  </w:style>
  <w:style w:type="paragraph" w:styleId="22">
    <w:name w:val="index 5"/>
    <w:basedOn w:val="1"/>
    <w:next w:val="1"/>
    <w:semiHidden/>
    <w:qFormat/>
    <w:uiPriority w:val="0"/>
    <w:pPr>
      <w:ind w:left="1050" w:hanging="210"/>
      <w:jc w:val="left"/>
    </w:pPr>
    <w:rPr>
      <w:rFonts w:ascii="Calibri" w:hAnsi="Calibri"/>
      <w:sz w:val="20"/>
      <w:szCs w:val="20"/>
    </w:rPr>
  </w:style>
  <w:style w:type="paragraph" w:styleId="23">
    <w:name w:val="List Bullet"/>
    <w:basedOn w:val="1"/>
    <w:semiHidden/>
    <w:qFormat/>
    <w:uiPriority w:val="0"/>
    <w:pPr>
      <w:tabs>
        <w:tab w:val="left" w:pos="360"/>
      </w:tabs>
      <w:ind w:left="360" w:hanging="360"/>
    </w:pPr>
    <w:rPr>
      <w:rFonts w:ascii="Calibri" w:hAnsi="Calibri"/>
      <w:szCs w:val="21"/>
    </w:rPr>
  </w:style>
  <w:style w:type="paragraph" w:styleId="24">
    <w:name w:val="envelope address"/>
    <w:basedOn w:val="1"/>
    <w:semiHidden/>
    <w:qFormat/>
    <w:uiPriority w:val="0"/>
    <w:pPr>
      <w:snapToGrid w:val="0"/>
      <w:ind w:left="2880"/>
    </w:pPr>
    <w:rPr>
      <w:rFonts w:ascii="Arial" w:hAnsi="Arial" w:cs="Arial"/>
      <w:sz w:val="24"/>
      <w:szCs w:val="21"/>
    </w:rPr>
  </w:style>
  <w:style w:type="paragraph" w:styleId="25">
    <w:name w:val="Document Map"/>
    <w:basedOn w:val="1"/>
    <w:link w:val="673"/>
    <w:semiHidden/>
    <w:qFormat/>
    <w:uiPriority w:val="0"/>
    <w:pPr>
      <w:shd w:val="clear" w:color="auto" w:fill="000080"/>
    </w:pPr>
  </w:style>
  <w:style w:type="paragraph" w:styleId="26">
    <w:name w:val="toa heading"/>
    <w:basedOn w:val="1"/>
    <w:next w:val="1"/>
    <w:semiHidden/>
    <w:qFormat/>
    <w:uiPriority w:val="0"/>
    <w:pPr>
      <w:spacing w:before="120"/>
    </w:pPr>
    <w:rPr>
      <w:rFonts w:ascii="Arial" w:hAnsi="Arial" w:eastAsia="黑体" w:cs="Arial"/>
      <w:sz w:val="24"/>
      <w:szCs w:val="21"/>
    </w:rPr>
  </w:style>
  <w:style w:type="paragraph" w:styleId="27">
    <w:name w:val="annotation text"/>
    <w:basedOn w:val="1"/>
    <w:link w:val="223"/>
    <w:qFormat/>
    <w:uiPriority w:val="99"/>
    <w:pPr>
      <w:keepNext/>
      <w:spacing w:line="360" w:lineRule="auto"/>
      <w:ind w:firstLine="200" w:firstLineChars="200"/>
      <w:jc w:val="left"/>
    </w:pPr>
    <w:rPr>
      <w:rFonts w:ascii="Calibri" w:hAnsi="Calibri"/>
      <w:sz w:val="24"/>
      <w:szCs w:val="21"/>
    </w:rPr>
  </w:style>
  <w:style w:type="paragraph" w:styleId="28">
    <w:name w:val="index 6"/>
    <w:basedOn w:val="1"/>
    <w:next w:val="1"/>
    <w:semiHidden/>
    <w:qFormat/>
    <w:uiPriority w:val="0"/>
    <w:pPr>
      <w:ind w:left="1000" w:leftChars="1000"/>
    </w:pPr>
    <w:rPr>
      <w:rFonts w:ascii="Calibri" w:hAnsi="Calibri"/>
      <w:szCs w:val="21"/>
    </w:rPr>
  </w:style>
  <w:style w:type="paragraph" w:styleId="29">
    <w:name w:val="Salutation"/>
    <w:basedOn w:val="1"/>
    <w:next w:val="1"/>
    <w:link w:val="254"/>
    <w:qFormat/>
    <w:uiPriority w:val="0"/>
    <w:rPr>
      <w:rFonts w:ascii="Calibri" w:hAnsi="Calibri"/>
      <w:szCs w:val="21"/>
    </w:rPr>
  </w:style>
  <w:style w:type="paragraph" w:styleId="30">
    <w:name w:val="Body Text 3"/>
    <w:basedOn w:val="1"/>
    <w:link w:val="258"/>
    <w:semiHidden/>
    <w:qFormat/>
    <w:uiPriority w:val="0"/>
    <w:pPr>
      <w:adjustRightInd w:val="0"/>
      <w:spacing w:after="120" w:line="529" w:lineRule="exact"/>
      <w:ind w:firstLine="200" w:firstLineChars="200"/>
      <w:jc w:val="left"/>
      <w:textAlignment w:val="baseline"/>
    </w:pPr>
    <w:rPr>
      <w:rFonts w:ascii="Calibri" w:hAnsi="Calibri" w:eastAsia="汉鼎简书宋"/>
      <w:kern w:val="0"/>
      <w:sz w:val="16"/>
      <w:szCs w:val="16"/>
    </w:rPr>
  </w:style>
  <w:style w:type="paragraph" w:styleId="31">
    <w:name w:val="Closing"/>
    <w:basedOn w:val="1"/>
    <w:link w:val="598"/>
    <w:semiHidden/>
    <w:qFormat/>
    <w:uiPriority w:val="0"/>
    <w:pPr>
      <w:ind w:left="4320"/>
    </w:pPr>
    <w:rPr>
      <w:rFonts w:ascii="Calibri" w:hAnsi="Calibri"/>
      <w:szCs w:val="21"/>
    </w:rPr>
  </w:style>
  <w:style w:type="paragraph" w:styleId="32">
    <w:name w:val="List Bullet 3"/>
    <w:basedOn w:val="1"/>
    <w:semiHidden/>
    <w:qFormat/>
    <w:uiPriority w:val="0"/>
    <w:pPr>
      <w:tabs>
        <w:tab w:val="left" w:pos="840"/>
      </w:tabs>
      <w:ind w:left="840" w:hanging="360"/>
    </w:pPr>
    <w:rPr>
      <w:rFonts w:ascii="Calibri" w:hAnsi="Calibri"/>
      <w:szCs w:val="21"/>
    </w:rPr>
  </w:style>
  <w:style w:type="paragraph" w:styleId="33">
    <w:name w:val="Body Text"/>
    <w:basedOn w:val="1"/>
    <w:link w:val="345"/>
    <w:qFormat/>
    <w:uiPriority w:val="0"/>
    <w:pPr>
      <w:spacing w:after="120"/>
    </w:pPr>
  </w:style>
  <w:style w:type="paragraph" w:styleId="34">
    <w:name w:val="Body Text Indent"/>
    <w:basedOn w:val="1"/>
    <w:link w:val="196"/>
    <w:qFormat/>
    <w:uiPriority w:val="0"/>
    <w:pPr>
      <w:widowControl/>
      <w:spacing w:line="500" w:lineRule="atLeast"/>
      <w:ind w:firstLine="641"/>
      <w:jc w:val="left"/>
    </w:pPr>
    <w:rPr>
      <w:rFonts w:ascii="Times" w:hAnsi="Times"/>
      <w:kern w:val="0"/>
      <w:sz w:val="24"/>
    </w:rPr>
  </w:style>
  <w:style w:type="paragraph" w:styleId="35">
    <w:name w:val="List Number 3"/>
    <w:basedOn w:val="1"/>
    <w:semiHidden/>
    <w:qFormat/>
    <w:uiPriority w:val="0"/>
    <w:pPr>
      <w:tabs>
        <w:tab w:val="left" w:pos="360"/>
      </w:tabs>
      <w:ind w:left="360" w:hanging="360"/>
    </w:pPr>
    <w:rPr>
      <w:rFonts w:ascii="Calibri" w:hAnsi="Calibri"/>
      <w:szCs w:val="21"/>
    </w:rPr>
  </w:style>
  <w:style w:type="paragraph" w:styleId="36">
    <w:name w:val="List 2"/>
    <w:basedOn w:val="1"/>
    <w:qFormat/>
    <w:uiPriority w:val="0"/>
    <w:pPr>
      <w:ind w:left="100" w:leftChars="200" w:hanging="200" w:hangingChars="200"/>
    </w:pPr>
  </w:style>
  <w:style w:type="paragraph" w:styleId="37">
    <w:name w:val="List Continue"/>
    <w:basedOn w:val="1"/>
    <w:semiHidden/>
    <w:qFormat/>
    <w:uiPriority w:val="0"/>
    <w:pPr>
      <w:spacing w:after="120"/>
      <w:ind w:left="420"/>
    </w:pPr>
    <w:rPr>
      <w:rFonts w:ascii="Calibri" w:hAnsi="Calibri"/>
      <w:szCs w:val="21"/>
    </w:rPr>
  </w:style>
  <w:style w:type="paragraph" w:styleId="38">
    <w:name w:val="Block Text"/>
    <w:basedOn w:val="1"/>
    <w:semiHidden/>
    <w:qFormat/>
    <w:uiPriority w:val="0"/>
    <w:pPr>
      <w:topLinePunct/>
      <w:snapToGrid w:val="0"/>
      <w:spacing w:line="408" w:lineRule="auto"/>
      <w:ind w:left="-113" w:right="-510" w:firstLine="510" w:firstLineChars="200"/>
    </w:pPr>
    <w:rPr>
      <w:rFonts w:ascii="Calibri" w:hAnsi="Calibri" w:eastAsia="汉鼎简书宋"/>
      <w:sz w:val="24"/>
      <w:szCs w:val="20"/>
    </w:rPr>
  </w:style>
  <w:style w:type="paragraph" w:styleId="39">
    <w:name w:val="List Bullet 2"/>
    <w:basedOn w:val="1"/>
    <w:semiHidden/>
    <w:qFormat/>
    <w:uiPriority w:val="0"/>
    <w:pPr>
      <w:tabs>
        <w:tab w:val="left" w:pos="570"/>
      </w:tabs>
      <w:ind w:left="570" w:hanging="570" w:firstLineChars="200"/>
    </w:pPr>
    <w:rPr>
      <w:rFonts w:ascii="Calibri" w:hAnsi="Calibri" w:eastAsia="汉鼎简书宋"/>
      <w:szCs w:val="21"/>
    </w:rPr>
  </w:style>
  <w:style w:type="paragraph" w:styleId="40">
    <w:name w:val="HTML Address"/>
    <w:basedOn w:val="1"/>
    <w:link w:val="497"/>
    <w:semiHidden/>
    <w:qFormat/>
    <w:uiPriority w:val="0"/>
    <w:rPr>
      <w:rFonts w:ascii="Calibri" w:hAnsi="Calibri"/>
      <w:i/>
      <w:iCs/>
      <w:szCs w:val="21"/>
    </w:rPr>
  </w:style>
  <w:style w:type="paragraph" w:styleId="41">
    <w:name w:val="index 4"/>
    <w:basedOn w:val="1"/>
    <w:next w:val="1"/>
    <w:semiHidden/>
    <w:qFormat/>
    <w:uiPriority w:val="0"/>
    <w:pPr>
      <w:ind w:left="840" w:hanging="210"/>
      <w:jc w:val="left"/>
    </w:pPr>
    <w:rPr>
      <w:rFonts w:ascii="Calibri" w:hAnsi="Calibri"/>
      <w:sz w:val="20"/>
      <w:szCs w:val="20"/>
    </w:rPr>
  </w:style>
  <w:style w:type="paragraph" w:styleId="42">
    <w:name w:val="toc 5"/>
    <w:basedOn w:val="1"/>
    <w:next w:val="1"/>
    <w:unhideWhenUsed/>
    <w:qFormat/>
    <w:uiPriority w:val="39"/>
    <w:pPr>
      <w:ind w:left="1680" w:leftChars="800"/>
    </w:pPr>
    <w:rPr>
      <w:rFonts w:ascii="Calibri" w:hAnsi="Calibri"/>
      <w:szCs w:val="22"/>
    </w:rPr>
  </w:style>
  <w:style w:type="paragraph" w:styleId="43">
    <w:name w:val="toc 3"/>
    <w:basedOn w:val="1"/>
    <w:next w:val="1"/>
    <w:qFormat/>
    <w:uiPriority w:val="39"/>
    <w:pPr>
      <w:tabs>
        <w:tab w:val="right" w:leader="middleDot" w:pos="8296"/>
      </w:tabs>
      <w:ind w:left="840" w:leftChars="400"/>
    </w:pPr>
    <w:rPr>
      <w:b/>
      <w:bCs/>
      <w:kern w:val="0"/>
    </w:rPr>
  </w:style>
  <w:style w:type="paragraph" w:styleId="44">
    <w:name w:val="Plain Text"/>
    <w:basedOn w:val="1"/>
    <w:link w:val="307"/>
    <w:qFormat/>
    <w:uiPriority w:val="99"/>
    <w:pPr>
      <w:spacing w:line="360" w:lineRule="auto"/>
      <w:ind w:firstLine="200" w:firstLineChars="200"/>
    </w:pPr>
    <w:rPr>
      <w:rFonts w:cs="Courier New"/>
      <w:sz w:val="24"/>
      <w:szCs w:val="21"/>
    </w:rPr>
  </w:style>
  <w:style w:type="paragraph" w:styleId="45">
    <w:name w:val="List Bullet 5"/>
    <w:basedOn w:val="1"/>
    <w:semiHidden/>
    <w:qFormat/>
    <w:uiPriority w:val="0"/>
    <w:pPr>
      <w:tabs>
        <w:tab w:val="left" w:pos="960"/>
      </w:tabs>
      <w:ind w:left="960" w:hanging="420"/>
    </w:pPr>
    <w:rPr>
      <w:rFonts w:ascii="Calibri" w:hAnsi="Calibri"/>
      <w:szCs w:val="21"/>
    </w:rPr>
  </w:style>
  <w:style w:type="paragraph" w:styleId="46">
    <w:name w:val="List Number 4"/>
    <w:basedOn w:val="1"/>
    <w:semiHidden/>
    <w:qFormat/>
    <w:uiPriority w:val="0"/>
    <w:pPr>
      <w:tabs>
        <w:tab w:val="left" w:pos="420"/>
      </w:tabs>
      <w:ind w:left="420" w:hanging="420"/>
    </w:pPr>
    <w:rPr>
      <w:rFonts w:ascii="Calibri" w:hAnsi="Calibri"/>
      <w:szCs w:val="21"/>
    </w:rPr>
  </w:style>
  <w:style w:type="paragraph" w:styleId="47">
    <w:name w:val="toc 8"/>
    <w:basedOn w:val="1"/>
    <w:next w:val="1"/>
    <w:unhideWhenUsed/>
    <w:qFormat/>
    <w:uiPriority w:val="39"/>
    <w:pPr>
      <w:ind w:left="2940" w:leftChars="1400"/>
    </w:pPr>
    <w:rPr>
      <w:rFonts w:ascii="Calibri" w:hAnsi="Calibri"/>
      <w:szCs w:val="22"/>
    </w:rPr>
  </w:style>
  <w:style w:type="paragraph" w:styleId="48">
    <w:name w:val="index 3"/>
    <w:basedOn w:val="1"/>
    <w:next w:val="1"/>
    <w:semiHidden/>
    <w:qFormat/>
    <w:uiPriority w:val="0"/>
    <w:pPr>
      <w:spacing w:beforeLines="50" w:line="360" w:lineRule="exact"/>
      <w:ind w:firstLine="200" w:firstLineChars="200"/>
    </w:pPr>
    <w:rPr>
      <w:rFonts w:ascii="Calibri" w:hAnsi="宋体"/>
      <w:color w:val="000000"/>
      <w:sz w:val="24"/>
      <w:szCs w:val="21"/>
    </w:rPr>
  </w:style>
  <w:style w:type="paragraph" w:styleId="49">
    <w:name w:val="Date"/>
    <w:basedOn w:val="1"/>
    <w:next w:val="1"/>
    <w:link w:val="393"/>
    <w:qFormat/>
    <w:uiPriority w:val="0"/>
    <w:rPr>
      <w:rFonts w:ascii="宋体"/>
      <w:sz w:val="24"/>
      <w:szCs w:val="20"/>
    </w:rPr>
  </w:style>
  <w:style w:type="paragraph" w:styleId="50">
    <w:name w:val="Body Text Indent 2"/>
    <w:basedOn w:val="1"/>
    <w:link w:val="224"/>
    <w:qFormat/>
    <w:uiPriority w:val="0"/>
    <w:pPr>
      <w:spacing w:after="120" w:line="480" w:lineRule="auto"/>
      <w:ind w:left="420" w:leftChars="200"/>
    </w:pPr>
    <w:rPr>
      <w:sz w:val="24"/>
    </w:rPr>
  </w:style>
  <w:style w:type="paragraph" w:styleId="51">
    <w:name w:val="endnote text"/>
    <w:basedOn w:val="1"/>
    <w:link w:val="173"/>
    <w:semiHidden/>
    <w:qFormat/>
    <w:uiPriority w:val="0"/>
    <w:pPr>
      <w:adjustRightInd w:val="0"/>
      <w:spacing w:line="360" w:lineRule="atLeast"/>
      <w:jc w:val="left"/>
      <w:textAlignment w:val="baseline"/>
    </w:pPr>
    <w:rPr>
      <w:rFonts w:ascii="宋体" w:hAnsi="Calibri"/>
      <w:kern w:val="0"/>
      <w:szCs w:val="20"/>
    </w:rPr>
  </w:style>
  <w:style w:type="paragraph" w:styleId="52">
    <w:name w:val="List Continue 5"/>
    <w:basedOn w:val="1"/>
    <w:semiHidden/>
    <w:qFormat/>
    <w:uiPriority w:val="0"/>
    <w:pPr>
      <w:spacing w:after="120"/>
      <w:ind w:left="2100"/>
    </w:pPr>
    <w:rPr>
      <w:rFonts w:ascii="Calibri" w:hAnsi="Calibri"/>
      <w:szCs w:val="21"/>
    </w:rPr>
  </w:style>
  <w:style w:type="paragraph" w:styleId="53">
    <w:name w:val="Balloon Text"/>
    <w:basedOn w:val="1"/>
    <w:link w:val="378"/>
    <w:qFormat/>
    <w:uiPriority w:val="0"/>
    <w:rPr>
      <w:sz w:val="18"/>
      <w:szCs w:val="18"/>
    </w:rPr>
  </w:style>
  <w:style w:type="paragraph" w:styleId="54">
    <w:name w:val="footer"/>
    <w:basedOn w:val="1"/>
    <w:link w:val="386"/>
    <w:qFormat/>
    <w:uiPriority w:val="0"/>
    <w:pPr>
      <w:pBdr>
        <w:top w:val="single" w:color="auto" w:sz="4" w:space="1"/>
      </w:pBdr>
      <w:tabs>
        <w:tab w:val="center" w:pos="4153"/>
        <w:tab w:val="right" w:pos="8306"/>
      </w:tabs>
      <w:snapToGrid w:val="0"/>
      <w:jc w:val="left"/>
    </w:pPr>
    <w:rPr>
      <w:sz w:val="18"/>
      <w:szCs w:val="18"/>
    </w:rPr>
  </w:style>
  <w:style w:type="paragraph" w:styleId="55">
    <w:name w:val="envelope return"/>
    <w:basedOn w:val="1"/>
    <w:semiHidden/>
    <w:qFormat/>
    <w:uiPriority w:val="0"/>
    <w:pPr>
      <w:snapToGrid w:val="0"/>
    </w:pPr>
    <w:rPr>
      <w:rFonts w:ascii="Arial" w:hAnsi="Arial" w:cs="Arial"/>
      <w:szCs w:val="21"/>
    </w:rPr>
  </w:style>
  <w:style w:type="paragraph" w:styleId="56">
    <w:name w:val="header"/>
    <w:basedOn w:val="1"/>
    <w:link w:val="410"/>
    <w:qFormat/>
    <w:uiPriority w:val="0"/>
    <w:pPr>
      <w:pBdr>
        <w:bottom w:val="single" w:color="auto" w:sz="12" w:space="1"/>
      </w:pBdr>
      <w:tabs>
        <w:tab w:val="center" w:pos="4153"/>
        <w:tab w:val="right" w:pos="8306"/>
      </w:tabs>
      <w:snapToGrid w:val="0"/>
      <w:jc w:val="center"/>
    </w:pPr>
    <w:rPr>
      <w:sz w:val="18"/>
      <w:szCs w:val="18"/>
    </w:rPr>
  </w:style>
  <w:style w:type="paragraph" w:styleId="57">
    <w:name w:val="Signature"/>
    <w:basedOn w:val="1"/>
    <w:link w:val="523"/>
    <w:semiHidden/>
    <w:qFormat/>
    <w:uiPriority w:val="0"/>
    <w:pPr>
      <w:ind w:left="4320"/>
    </w:pPr>
    <w:rPr>
      <w:rFonts w:ascii="Calibri" w:hAnsi="Calibri"/>
      <w:szCs w:val="21"/>
    </w:rPr>
  </w:style>
  <w:style w:type="paragraph" w:styleId="58">
    <w:name w:val="toc 1"/>
    <w:basedOn w:val="1"/>
    <w:next w:val="1"/>
    <w:qFormat/>
    <w:uiPriority w:val="39"/>
    <w:pPr>
      <w:tabs>
        <w:tab w:val="right" w:leader="middleDot" w:pos="8296"/>
      </w:tabs>
    </w:pPr>
    <w:rPr>
      <w:b/>
      <w:bCs/>
      <w:kern w:val="4"/>
    </w:rPr>
  </w:style>
  <w:style w:type="paragraph" w:styleId="59">
    <w:name w:val="List Continue 4"/>
    <w:basedOn w:val="1"/>
    <w:semiHidden/>
    <w:qFormat/>
    <w:uiPriority w:val="0"/>
    <w:pPr>
      <w:spacing w:after="120"/>
      <w:ind w:left="1680"/>
    </w:pPr>
    <w:rPr>
      <w:rFonts w:ascii="Calibri" w:hAnsi="Calibri"/>
      <w:szCs w:val="21"/>
    </w:rPr>
  </w:style>
  <w:style w:type="paragraph" w:styleId="60">
    <w:name w:val="toc 4"/>
    <w:basedOn w:val="1"/>
    <w:next w:val="1"/>
    <w:unhideWhenUsed/>
    <w:qFormat/>
    <w:uiPriority w:val="39"/>
    <w:pPr>
      <w:ind w:left="1260" w:leftChars="600"/>
    </w:pPr>
    <w:rPr>
      <w:rFonts w:ascii="Calibri" w:hAnsi="Calibri"/>
      <w:szCs w:val="22"/>
    </w:rPr>
  </w:style>
  <w:style w:type="paragraph" w:styleId="61">
    <w:name w:val="index heading"/>
    <w:basedOn w:val="1"/>
    <w:next w:val="62"/>
    <w:semiHidden/>
    <w:qFormat/>
    <w:uiPriority w:val="0"/>
    <w:pPr>
      <w:tabs>
        <w:tab w:val="left" w:pos="2150"/>
        <w:tab w:val="left" w:pos="3685"/>
        <w:tab w:val="left" w:pos="5835"/>
        <w:tab w:val="left" w:pos="7385"/>
      </w:tabs>
      <w:autoSpaceDE w:val="0"/>
      <w:autoSpaceDN w:val="0"/>
      <w:adjustRightInd w:val="0"/>
      <w:spacing w:line="240" w:lineRule="atLeast"/>
      <w:jc w:val="center"/>
    </w:pPr>
    <w:rPr>
      <w:rFonts w:ascii="System" w:hAnsi="Calibri" w:eastAsia="System"/>
      <w:kern w:val="0"/>
      <w:sz w:val="24"/>
      <w:szCs w:val="20"/>
    </w:rPr>
  </w:style>
  <w:style w:type="paragraph" w:styleId="62">
    <w:name w:val="index 1"/>
    <w:basedOn w:val="1"/>
    <w:next w:val="1"/>
    <w:qFormat/>
    <w:uiPriority w:val="0"/>
    <w:pPr>
      <w:adjustRightInd w:val="0"/>
      <w:spacing w:line="529" w:lineRule="exact"/>
      <w:textAlignment w:val="baseline"/>
    </w:pPr>
    <w:rPr>
      <w:kern w:val="0"/>
      <w:sz w:val="24"/>
    </w:rPr>
  </w:style>
  <w:style w:type="paragraph" w:styleId="63">
    <w:name w:val="Subtitle"/>
    <w:basedOn w:val="1"/>
    <w:next w:val="1"/>
    <w:link w:val="209"/>
    <w:qFormat/>
    <w:uiPriority w:val="0"/>
    <w:pPr>
      <w:spacing w:before="240" w:after="60" w:line="312" w:lineRule="auto"/>
      <w:jc w:val="center"/>
      <w:outlineLvl w:val="1"/>
    </w:pPr>
    <w:rPr>
      <w:rFonts w:ascii="Cambria" w:hAnsi="Cambria"/>
      <w:b/>
      <w:bCs/>
      <w:kern w:val="28"/>
      <w:sz w:val="32"/>
      <w:szCs w:val="32"/>
    </w:rPr>
  </w:style>
  <w:style w:type="paragraph" w:styleId="64">
    <w:name w:val="List Number 5"/>
    <w:basedOn w:val="1"/>
    <w:semiHidden/>
    <w:qFormat/>
    <w:uiPriority w:val="0"/>
    <w:pPr>
      <w:tabs>
        <w:tab w:val="left" w:pos="600"/>
      </w:tabs>
      <w:ind w:left="600" w:hanging="420"/>
    </w:pPr>
    <w:rPr>
      <w:rFonts w:ascii="Calibri" w:hAnsi="Calibri"/>
      <w:szCs w:val="21"/>
    </w:rPr>
  </w:style>
  <w:style w:type="paragraph" w:styleId="65">
    <w:name w:val="List"/>
    <w:basedOn w:val="1"/>
    <w:qFormat/>
    <w:uiPriority w:val="0"/>
    <w:pPr>
      <w:ind w:left="200" w:hanging="200" w:hangingChars="200"/>
    </w:pPr>
    <w:rPr>
      <w:sz w:val="24"/>
    </w:rPr>
  </w:style>
  <w:style w:type="paragraph" w:styleId="66">
    <w:name w:val="footnote text"/>
    <w:basedOn w:val="1"/>
    <w:link w:val="597"/>
    <w:semiHidden/>
    <w:qFormat/>
    <w:uiPriority w:val="0"/>
    <w:pPr>
      <w:snapToGrid w:val="0"/>
      <w:jc w:val="left"/>
    </w:pPr>
    <w:rPr>
      <w:rFonts w:ascii="Calibri" w:hAnsi="Calibri"/>
      <w:sz w:val="18"/>
      <w:szCs w:val="20"/>
    </w:rPr>
  </w:style>
  <w:style w:type="paragraph" w:styleId="67">
    <w:name w:val="toc 6"/>
    <w:basedOn w:val="1"/>
    <w:next w:val="1"/>
    <w:unhideWhenUsed/>
    <w:qFormat/>
    <w:uiPriority w:val="39"/>
    <w:pPr>
      <w:ind w:left="2100" w:leftChars="1000"/>
    </w:pPr>
    <w:rPr>
      <w:rFonts w:ascii="Calibri" w:hAnsi="Calibri"/>
      <w:szCs w:val="22"/>
    </w:rPr>
  </w:style>
  <w:style w:type="paragraph" w:styleId="68">
    <w:name w:val="List 5"/>
    <w:basedOn w:val="1"/>
    <w:qFormat/>
    <w:uiPriority w:val="0"/>
    <w:pPr>
      <w:ind w:left="2100" w:hanging="420"/>
    </w:pPr>
    <w:rPr>
      <w:rFonts w:ascii="Calibri" w:hAnsi="Calibri"/>
      <w:szCs w:val="21"/>
    </w:rPr>
  </w:style>
  <w:style w:type="paragraph" w:styleId="69">
    <w:name w:val="Body Text Indent 3"/>
    <w:basedOn w:val="1"/>
    <w:link w:val="298"/>
    <w:qFormat/>
    <w:uiPriority w:val="0"/>
    <w:pPr>
      <w:spacing w:after="120"/>
      <w:ind w:left="420" w:leftChars="200"/>
      <w:jc w:val="left"/>
    </w:pPr>
    <w:rPr>
      <w:sz w:val="16"/>
      <w:szCs w:val="16"/>
    </w:rPr>
  </w:style>
  <w:style w:type="paragraph" w:styleId="70">
    <w:name w:val="index 7"/>
    <w:basedOn w:val="1"/>
    <w:next w:val="1"/>
    <w:semiHidden/>
    <w:qFormat/>
    <w:uiPriority w:val="0"/>
    <w:pPr>
      <w:ind w:left="1470" w:hanging="210"/>
      <w:jc w:val="left"/>
    </w:pPr>
    <w:rPr>
      <w:rFonts w:ascii="Calibri" w:hAnsi="Calibri"/>
      <w:sz w:val="20"/>
      <w:szCs w:val="20"/>
    </w:rPr>
  </w:style>
  <w:style w:type="paragraph" w:styleId="71">
    <w:name w:val="index 9"/>
    <w:basedOn w:val="1"/>
    <w:next w:val="1"/>
    <w:semiHidden/>
    <w:qFormat/>
    <w:uiPriority w:val="0"/>
    <w:pPr>
      <w:ind w:left="1890" w:hanging="210"/>
      <w:jc w:val="left"/>
    </w:pPr>
    <w:rPr>
      <w:rFonts w:ascii="Calibri" w:hAnsi="Calibri"/>
      <w:sz w:val="20"/>
      <w:szCs w:val="20"/>
    </w:rPr>
  </w:style>
  <w:style w:type="paragraph" w:styleId="72">
    <w:name w:val="table of figures"/>
    <w:basedOn w:val="1"/>
    <w:next w:val="1"/>
    <w:semiHidden/>
    <w:qFormat/>
    <w:uiPriority w:val="0"/>
    <w:pPr>
      <w:keepNext/>
      <w:spacing w:line="360" w:lineRule="auto"/>
      <w:ind w:left="200" w:leftChars="200" w:hanging="200" w:hangingChars="200"/>
    </w:pPr>
    <w:rPr>
      <w:rFonts w:ascii="Calibri" w:hAnsi="Calibri"/>
      <w:sz w:val="24"/>
      <w:szCs w:val="21"/>
    </w:rPr>
  </w:style>
  <w:style w:type="paragraph" w:styleId="73">
    <w:name w:val="toc 2"/>
    <w:basedOn w:val="1"/>
    <w:next w:val="1"/>
    <w:qFormat/>
    <w:uiPriority w:val="39"/>
    <w:pPr>
      <w:ind w:left="420" w:leftChars="200"/>
    </w:pPr>
  </w:style>
  <w:style w:type="paragraph" w:styleId="74">
    <w:name w:val="toc 9"/>
    <w:basedOn w:val="1"/>
    <w:next w:val="1"/>
    <w:unhideWhenUsed/>
    <w:qFormat/>
    <w:uiPriority w:val="39"/>
    <w:pPr>
      <w:ind w:left="3360" w:leftChars="1600"/>
    </w:pPr>
    <w:rPr>
      <w:rFonts w:ascii="Calibri" w:hAnsi="Calibri"/>
      <w:szCs w:val="22"/>
    </w:rPr>
  </w:style>
  <w:style w:type="paragraph" w:styleId="75">
    <w:name w:val="Body Text 2"/>
    <w:basedOn w:val="1"/>
    <w:link w:val="674"/>
    <w:qFormat/>
    <w:uiPriority w:val="0"/>
    <w:pPr>
      <w:spacing w:after="120" w:line="480" w:lineRule="auto"/>
    </w:pPr>
    <w:rPr>
      <w:sz w:val="24"/>
    </w:rPr>
  </w:style>
  <w:style w:type="paragraph" w:styleId="76">
    <w:name w:val="List 4"/>
    <w:basedOn w:val="1"/>
    <w:qFormat/>
    <w:uiPriority w:val="0"/>
    <w:pPr>
      <w:ind w:left="1680" w:hanging="420"/>
    </w:pPr>
    <w:rPr>
      <w:rFonts w:ascii="Calibri" w:hAnsi="Calibri"/>
      <w:szCs w:val="21"/>
    </w:rPr>
  </w:style>
  <w:style w:type="paragraph" w:styleId="77">
    <w:name w:val="List Continue 2"/>
    <w:basedOn w:val="1"/>
    <w:semiHidden/>
    <w:qFormat/>
    <w:uiPriority w:val="0"/>
    <w:pPr>
      <w:spacing w:after="120"/>
      <w:ind w:left="840"/>
    </w:pPr>
    <w:rPr>
      <w:rFonts w:ascii="Calibri" w:hAnsi="Calibri"/>
      <w:szCs w:val="21"/>
    </w:rPr>
  </w:style>
  <w:style w:type="paragraph" w:styleId="78">
    <w:name w:val="Message Header"/>
    <w:basedOn w:val="1"/>
    <w:link w:val="606"/>
    <w:semiHidden/>
    <w:qFormat/>
    <w:uiPriority w:val="0"/>
    <w:pPr>
      <w:pBdr>
        <w:top w:val="single" w:color="auto" w:sz="6" w:space="1"/>
        <w:left w:val="single" w:color="auto" w:sz="6" w:space="1"/>
        <w:bottom w:val="single" w:color="auto" w:sz="6" w:space="1"/>
        <w:right w:val="single" w:color="auto" w:sz="6" w:space="1"/>
      </w:pBdr>
      <w:shd w:val="pct20" w:color="auto" w:fill="auto"/>
      <w:ind w:left="1080" w:hanging="1080"/>
    </w:pPr>
    <w:rPr>
      <w:rFonts w:ascii="Arial" w:hAnsi="Arial"/>
      <w:sz w:val="24"/>
      <w:szCs w:val="21"/>
      <w:shd w:val="pct20" w:color="auto" w:fill="auto"/>
    </w:rPr>
  </w:style>
  <w:style w:type="paragraph" w:styleId="79">
    <w:name w:val="HTML Preformatted"/>
    <w:basedOn w:val="1"/>
    <w:link w:val="299"/>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kern w:val="0"/>
      <w:sz w:val="20"/>
      <w:szCs w:val="20"/>
    </w:rPr>
  </w:style>
  <w:style w:type="paragraph" w:styleId="80">
    <w:name w:val="Normal (Web)"/>
    <w:basedOn w:val="1"/>
    <w:qFormat/>
    <w:uiPriority w:val="0"/>
    <w:pPr>
      <w:widowControl/>
      <w:spacing w:before="100" w:beforeAutospacing="1" w:after="100" w:afterAutospacing="1"/>
      <w:jc w:val="left"/>
    </w:pPr>
    <w:rPr>
      <w:rFonts w:ascii="宋体" w:hAnsi="宋体"/>
      <w:kern w:val="0"/>
      <w:sz w:val="24"/>
    </w:rPr>
  </w:style>
  <w:style w:type="paragraph" w:styleId="81">
    <w:name w:val="List Continue 3"/>
    <w:basedOn w:val="1"/>
    <w:semiHidden/>
    <w:qFormat/>
    <w:uiPriority w:val="0"/>
    <w:pPr>
      <w:spacing w:after="120"/>
      <w:ind w:left="1260"/>
    </w:pPr>
    <w:rPr>
      <w:rFonts w:ascii="Calibri" w:hAnsi="Calibri"/>
      <w:szCs w:val="21"/>
    </w:rPr>
  </w:style>
  <w:style w:type="paragraph" w:styleId="82">
    <w:name w:val="index 2"/>
    <w:basedOn w:val="1"/>
    <w:next w:val="1"/>
    <w:semiHidden/>
    <w:qFormat/>
    <w:uiPriority w:val="0"/>
    <w:pPr>
      <w:tabs>
        <w:tab w:val="left" w:pos="907"/>
      </w:tabs>
      <w:adjustRightInd w:val="0"/>
      <w:spacing w:line="280" w:lineRule="exact"/>
      <w:ind w:firstLine="420" w:firstLineChars="200"/>
      <w:jc w:val="center"/>
      <w:textAlignment w:val="baseline"/>
    </w:pPr>
    <w:rPr>
      <w:rFonts w:ascii="宋体" w:hAnsi="宋体"/>
      <w:color w:val="000000"/>
      <w:kern w:val="0"/>
      <w:sz w:val="24"/>
      <w:szCs w:val="20"/>
    </w:rPr>
  </w:style>
  <w:style w:type="paragraph" w:styleId="83">
    <w:name w:val="Title"/>
    <w:basedOn w:val="1"/>
    <w:link w:val="156"/>
    <w:qFormat/>
    <w:uiPriority w:val="0"/>
    <w:pPr>
      <w:spacing w:before="240" w:after="60"/>
      <w:jc w:val="center"/>
      <w:outlineLvl w:val="0"/>
    </w:pPr>
    <w:rPr>
      <w:rFonts w:ascii="Arial" w:hAnsi="Arial"/>
      <w:b/>
      <w:bCs/>
      <w:sz w:val="32"/>
      <w:szCs w:val="32"/>
    </w:rPr>
  </w:style>
  <w:style w:type="paragraph" w:styleId="84">
    <w:name w:val="annotation subject"/>
    <w:basedOn w:val="27"/>
    <w:next w:val="27"/>
    <w:link w:val="604"/>
    <w:semiHidden/>
    <w:qFormat/>
    <w:uiPriority w:val="0"/>
    <w:pPr>
      <w:keepNext w:val="0"/>
      <w:spacing w:line="240" w:lineRule="auto"/>
      <w:ind w:firstLine="0" w:firstLineChars="0"/>
    </w:pPr>
    <w:rPr>
      <w:b/>
      <w:bCs/>
      <w:sz w:val="21"/>
    </w:rPr>
  </w:style>
  <w:style w:type="paragraph" w:styleId="85">
    <w:name w:val="Body Text First Indent"/>
    <w:basedOn w:val="33"/>
    <w:link w:val="199"/>
    <w:qFormat/>
    <w:uiPriority w:val="0"/>
    <w:pPr>
      <w:spacing w:after="0" w:line="360" w:lineRule="auto"/>
      <w:ind w:firstLine="200" w:firstLineChars="200"/>
    </w:pPr>
    <w:rPr>
      <w:sz w:val="24"/>
    </w:rPr>
  </w:style>
  <w:style w:type="paragraph" w:styleId="86">
    <w:name w:val="Body Text First Indent 2"/>
    <w:basedOn w:val="34"/>
    <w:link w:val="160"/>
    <w:qFormat/>
    <w:uiPriority w:val="0"/>
    <w:pPr>
      <w:widowControl w:val="0"/>
      <w:spacing w:after="120" w:line="240" w:lineRule="auto"/>
      <w:ind w:left="420" w:leftChars="200" w:firstLine="420" w:firstLineChars="200"/>
      <w:jc w:val="both"/>
    </w:pPr>
    <w:rPr>
      <w:rFonts w:ascii="Times New Roman" w:hAnsi="Times New Roman"/>
      <w:kern w:val="2"/>
      <w:sz w:val="21"/>
    </w:rPr>
  </w:style>
  <w:style w:type="table" w:styleId="88">
    <w:name w:val="Table Grid"/>
    <w:basedOn w:val="87"/>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9">
    <w:name w:val="Table Theme"/>
    <w:basedOn w:val="87"/>
    <w:semiHidden/>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Colorful 1"/>
    <w:basedOn w:val="87"/>
    <w:semiHidden/>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1">
    <w:name w:val="Table Colorful 2"/>
    <w:basedOn w:val="87"/>
    <w:semiHidden/>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2">
    <w:name w:val="Table Colorful 3"/>
    <w:basedOn w:val="87"/>
    <w:semiHidden/>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top w:val="nil"/>
          <w:left w:val="nil"/>
          <w:bottom w:val="single" w:color="000000" w:sz="6" w:space="0"/>
          <w:right w:val="nil"/>
          <w:insideH w:val="nil"/>
          <w:insideV w:val="nil"/>
          <w:tl2br w:val="nil"/>
          <w:tr2bl w:val="nil"/>
        </w:tcBorders>
        <w:shd w:val="solid" w:color="008080" w:fill="FFFFFF"/>
      </w:tcPr>
    </w:tblStylePr>
    <w:tblStylePr w:type="firstCol">
      <w:tblPr/>
      <w:tcPr>
        <w:tcBorders>
          <w:top w:val="nil"/>
          <w:left w:val="single" w:color="000000" w:sz="36" w:space="0"/>
          <w:bottom w:val="nil"/>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93">
    <w:name w:val="Table Elegant"/>
    <w:basedOn w:val="87"/>
    <w:semiHidden/>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94">
    <w:name w:val="Table Classic 1"/>
    <w:basedOn w:val="87"/>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5">
    <w:name w:val="Table Classic 2"/>
    <w:basedOn w:val="87"/>
    <w:semiHidden/>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top w:val="nil"/>
          <w:left w:val="nil"/>
          <w:bottom w:val="single" w:color="000000" w:sz="6" w:space="0"/>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6">
    <w:name w:val="Table Classic 3"/>
    <w:basedOn w:val="87"/>
    <w:semiHidden/>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top w:val="nil"/>
          <w:left w:val="nil"/>
          <w:bottom w:val="single" w:color="000000" w:sz="6" w:space="0"/>
          <w:right w:val="nil"/>
          <w:insideH w:val="nil"/>
          <w:insideV w:val="nil"/>
          <w:tl2br w:val="nil"/>
          <w:tr2bl w:val="nil"/>
        </w:tcBorders>
        <w:shd w:val="solid" w:color="000080" w:fill="FFFFFF"/>
      </w:tcPr>
    </w:tblStylePr>
    <w:tblStylePr w:type="lastRow">
      <w:rPr>
        <w:color w:val="000080"/>
      </w:rPr>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97">
    <w:name w:val="Table Classic 4"/>
    <w:basedOn w:val="87"/>
    <w:semiHidden/>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top w:val="nil"/>
          <w:left w:val="nil"/>
          <w:bottom w:val="single" w:color="000000" w:sz="6" w:space="0"/>
          <w:right w:val="nil"/>
          <w:insideH w:val="nil"/>
          <w:insideV w:val="nil"/>
          <w:tl2br w:val="nil"/>
          <w:tr2bl w:val="nil"/>
        </w:tcBorders>
        <w:shd w:val="pct50" w:color="000080" w:fill="FFFFFF"/>
      </w:tcPr>
    </w:tblStylePr>
    <w:tblStylePr w:type="lastRow">
      <w:rPr>
        <w:color w:val="000080"/>
      </w:rPr>
      <w:tblPr/>
      <w:tcPr>
        <w:tcBorders>
          <w:top w:val="nil"/>
          <w:left w:val="nil"/>
          <w:bottom w:val="single" w:color="000000" w:sz="6" w:space="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8">
    <w:name w:val="Table Simple 1"/>
    <w:basedOn w:val="87"/>
    <w:semiHidden/>
    <w:qFormat/>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99">
    <w:name w:val="Table Simple 2"/>
    <w:basedOn w:val="87"/>
    <w:semiHidden/>
    <w:qFormat/>
    <w:uiPriority w:val="0"/>
    <w:pPr>
      <w:widowControl w:val="0"/>
      <w:jc w:val="both"/>
    </w:pPr>
    <w:tblPr/>
    <w:tblStylePr w:type="firstRow">
      <w:rPr>
        <w:b/>
        <w:bCs/>
      </w:rPr>
      <w:tblPr/>
      <w:tcPr>
        <w:tcBorders>
          <w:top w:val="nil"/>
          <w:left w:val="nil"/>
          <w:bottom w:val="single" w:color="000000" w:sz="12" w:space="0"/>
          <w:right w:val="nil"/>
          <w:insideH w:val="nil"/>
          <w:insideV w:val="nil"/>
          <w:tl2br w:val="nil"/>
          <w:tr2bl w:val="nil"/>
        </w:tcBorders>
      </w:tcPr>
    </w:tblStylePr>
    <w:tblStylePr w:type="lastRow">
      <w:rPr>
        <w:b/>
        <w:bCs/>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lastCol">
      <w:rPr>
        <w:b/>
        <w:bCs/>
      </w:rPr>
      <w:tblPr/>
      <w:tcPr>
        <w:tcBorders>
          <w:top w:val="nil"/>
          <w:left w:val="single" w:color="000000" w:sz="6" w:space="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0">
    <w:name w:val="Table Simple 3"/>
    <w:basedOn w:val="87"/>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01">
    <w:name w:val="Table Subtle 1"/>
    <w:basedOn w:val="87"/>
    <w:semiHidden/>
    <w:qFormat/>
    <w:uiPriority w:val="0"/>
    <w:pPr>
      <w:widowControl w:val="0"/>
      <w:jc w:val="both"/>
    </w:pPr>
    <w:tblPr>
      <w:tblStyleRowBandSize w:val="1"/>
    </w:tblPr>
    <w:tblStylePr w:type="firstRow">
      <w:tblPr/>
      <w:tcPr>
        <w:tcBorders>
          <w:top w:val="single" w:color="000000" w:sz="6" w:space="0"/>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000000" w:sz="12" w:space="0"/>
          <w:insideH w:val="nil"/>
          <w:insideV w:val="nil"/>
          <w:tl2br w:val="nil"/>
          <w:tr2bl w:val="nil"/>
        </w:tcBorders>
      </w:tcPr>
    </w:tblStylePr>
    <w:tblStylePr w:type="lastCol">
      <w:tblPr/>
      <w:tcPr>
        <w:tcBorders>
          <w:top w:val="nil"/>
          <w:left w:val="single" w:color="000000" w:sz="12" w:space="0"/>
          <w:bottom w:val="nil"/>
          <w:right w:val="nil"/>
          <w:insideH w:val="nil"/>
          <w:insideV w:val="nil"/>
          <w:tl2br w:val="nil"/>
          <w:tr2bl w:val="nil"/>
        </w:tcBorders>
      </w:tcPr>
    </w:tblStylePr>
    <w:tblStylePr w:type="band1Horz">
      <w:tblPr/>
      <w:tcPr>
        <w:tcBorders>
          <w:top w:val="nil"/>
          <w:left w:val="nil"/>
          <w:bottom w:val="single" w:color="000000" w:sz="6"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2">
    <w:name w:val="Table Subtle 2"/>
    <w:basedOn w:val="87"/>
    <w:semiHidden/>
    <w:qFormat/>
    <w:uiPriority w:val="0"/>
    <w:pPr>
      <w:widowControl w:val="0"/>
      <w:jc w:val="both"/>
    </w:pPr>
    <w:tblPr>
      <w:tblBorders>
        <w:left w:val="single" w:color="000000" w:sz="6" w:space="0"/>
        <w:right w:val="single" w:color="000000" w:sz="6" w:space="0"/>
      </w:tblBorders>
    </w:tblPr>
    <w:tblStylePr w:type="firstRow">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firstCol">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cPr>
        <w:tcBorders>
          <w:top w:val="nil"/>
          <w:left w:val="single" w:color="000000" w:sz="12"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3">
    <w:name w:val="Table 3D effects 1"/>
    <w:basedOn w:val="87"/>
    <w:semiHidden/>
    <w:qFormat/>
    <w:uiPriority w:val="0"/>
    <w:pPr>
      <w:widowControl w:val="0"/>
      <w:jc w:val="both"/>
    </w:pPr>
    <w:tblPr/>
    <w:tcPr>
      <w:shd w:val="solid" w:color="C0C0C0" w:fill="FFFFFF"/>
    </w:tcPr>
    <w:tblStylePr w:type="firstRow">
      <w:rPr>
        <w:b/>
        <w:bCs/>
        <w:color w:val="800080"/>
      </w:rPr>
      <w:tblPr/>
      <w:tcPr>
        <w:tcBorders>
          <w:top w:val="nil"/>
          <w:left w:val="nil"/>
          <w:bottom w:val="single" w:color="808080" w:sz="6" w:space="0"/>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single" w:color="FFFFFF" w:sz="6" w:space="0"/>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4">
    <w:name w:val="Table 3D effects 2"/>
    <w:basedOn w:val="87"/>
    <w:semiHidden/>
    <w:qFormat/>
    <w:uiPriority w:val="0"/>
    <w:pPr>
      <w:widowControl w:val="0"/>
      <w:jc w:val="both"/>
    </w:p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5">
    <w:name w:val="Table 3D effects 3"/>
    <w:basedOn w:val="87"/>
    <w:semiHidden/>
    <w:qFormat/>
    <w:uiPriority w:val="0"/>
    <w:pPr>
      <w:widowControl w:val="0"/>
      <w:jc w:val="both"/>
    </w:p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6">
    <w:name w:val="Table List 1"/>
    <w:basedOn w:val="87"/>
    <w:semiHidden/>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top w:val="nil"/>
          <w:left w:val="nil"/>
          <w:bottom w:val="single" w:color="000000" w:sz="6" w:space="0"/>
          <w:right w:val="nil"/>
          <w:insideH w:val="nil"/>
          <w:insideV w:val="nil"/>
          <w:tl2br w:val="nil"/>
          <w:tr2bl w:val="nil"/>
        </w:tcBorders>
        <w:shd w:val="solid" w:color="C0C0C0" w:fill="FFFFFF"/>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7">
    <w:name w:val="Table List 2"/>
    <w:basedOn w:val="87"/>
    <w:semiHidden/>
    <w:qFormat/>
    <w:uiPriority w:val="0"/>
    <w:pPr>
      <w:widowControl w:val="0"/>
      <w:jc w:val="both"/>
    </w:pPr>
    <w:tblPr>
      <w:tblBorders>
        <w:bottom w:val="single" w:color="808080" w:sz="12" w:space="0"/>
      </w:tblBorders>
    </w:tblPr>
    <w:tblStylePr w:type="firstRow">
      <w:rPr>
        <w:b/>
        <w:bCs/>
        <w:color w:val="FFFFFF"/>
      </w:rPr>
      <w:tblPr/>
      <w:tcPr>
        <w:tcBorders>
          <w:top w:val="nil"/>
          <w:left w:val="nil"/>
          <w:bottom w:val="single" w:color="000000" w:sz="6" w:space="0"/>
          <w:right w:val="nil"/>
          <w:insideH w:val="nil"/>
          <w:insideV w:val="nil"/>
          <w:tl2br w:val="nil"/>
          <w:tr2bl w:val="nil"/>
        </w:tcBorders>
        <w:shd w:val="pct75" w:color="008080" w:fill="008000"/>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8">
    <w:name w:val="Table List 3"/>
    <w:basedOn w:val="87"/>
    <w:semiHidden/>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109">
    <w:name w:val="Table List 4"/>
    <w:basedOn w:val="87"/>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top w:val="nil"/>
          <w:left w:val="nil"/>
          <w:bottom w:val="single" w:color="000000" w:sz="12" w:space="0"/>
          <w:right w:val="nil"/>
          <w:insideH w:val="nil"/>
          <w:insideV w:val="nil"/>
          <w:tl2br w:val="nil"/>
          <w:tr2bl w:val="nil"/>
        </w:tcBorders>
        <w:shd w:val="solid" w:color="808080" w:fill="FFFFFF"/>
      </w:tcPr>
    </w:tblStylePr>
  </w:style>
  <w:style w:type="table" w:styleId="110">
    <w:name w:val="Table List 5"/>
    <w:basedOn w:val="87"/>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top w:val="nil"/>
          <w:left w:val="nil"/>
          <w:bottom w:val="single" w:color="000000" w:sz="12" w:space="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111">
    <w:name w:val="Table List 6"/>
    <w:basedOn w:val="87"/>
    <w:semiHidden/>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top w:val="nil"/>
          <w:left w:val="nil"/>
          <w:bottom w:val="single" w:color="000000" w:sz="12" w:space="0"/>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12">
    <w:name w:val="Table List 7"/>
    <w:basedOn w:val="87"/>
    <w:semiHidden/>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13">
    <w:name w:val="Table List 8"/>
    <w:basedOn w:val="87"/>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top w:val="nil"/>
          <w:left w:val="nil"/>
          <w:bottom w:val="single" w:color="000000" w:sz="6" w:space="0"/>
          <w:right w:val="nil"/>
          <w:insideH w:val="nil"/>
          <w:insideV w:val="nil"/>
          <w:tl2br w:val="nil"/>
          <w:tr2bl w:val="nil"/>
        </w:tcBorders>
        <w:shd w:val="solid" w:color="FFFF00" w:fill="FFFFFF"/>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4">
    <w:name w:val="Table Contemporary"/>
    <w:basedOn w:val="87"/>
    <w:semiHidden/>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15">
    <w:name w:val="Table Columns 1"/>
    <w:basedOn w:val="87"/>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top w:val="nil"/>
          <w:left w:val="nil"/>
          <w:bottom w:val="double" w:color="000000" w:sz="6" w:space="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6">
    <w:name w:val="Table Columns 2"/>
    <w:basedOn w:val="87"/>
    <w:semiHidden/>
    <w:qFormat/>
    <w:uiPriority w:val="0"/>
    <w:pPr>
      <w:widowControl w:val="0"/>
      <w:jc w:val="both"/>
    </w:pPr>
    <w:rPr>
      <w:b/>
      <w:bCs/>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7">
    <w:name w:val="Table Columns 3"/>
    <w:basedOn w:val="87"/>
    <w:semiHidden/>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18">
    <w:name w:val="Table Columns 4"/>
    <w:basedOn w:val="87"/>
    <w:semiHidden/>
    <w:qFormat/>
    <w:uiPriority w:val="0"/>
    <w:pPr>
      <w:widowControl w:val="0"/>
      <w:jc w:val="both"/>
    </w:p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19">
    <w:name w:val="Table Columns 5"/>
    <w:basedOn w:val="87"/>
    <w:semiHidden/>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top w:val="nil"/>
          <w:left w:val="nil"/>
          <w:bottom w:val="single" w:color="808080" w:sz="6" w:space="0"/>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0">
    <w:name w:val="Table Grid 1"/>
    <w:basedOn w:val="87"/>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1">
    <w:name w:val="Table Grid 2"/>
    <w:basedOn w:val="87"/>
    <w:semiHidden/>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22">
    <w:name w:val="Table Grid 3"/>
    <w:basedOn w:val="87"/>
    <w:semiHidden/>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top w:val="nil"/>
          <w:left w:val="nil"/>
          <w:bottom w:val="single" w:color="000000" w:sz="6" w:space="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3">
    <w:name w:val="Table Grid 4"/>
    <w:basedOn w:val="87"/>
    <w:semiHidden/>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top w:val="nil"/>
          <w:left w:val="nil"/>
          <w:bottom w:val="single" w:color="000000" w:sz="6" w:space="0"/>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4">
    <w:name w:val="Table Grid 5"/>
    <w:basedOn w:val="87"/>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5">
    <w:name w:val="Table Grid 6"/>
    <w:basedOn w:val="87"/>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6">
    <w:name w:val="Table Grid 7"/>
    <w:basedOn w:val="87"/>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top w:val="nil"/>
          <w:left w:val="nil"/>
          <w:bottom w:val="single" w:color="000000" w:sz="12" w:space="0"/>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7">
    <w:name w:val="Table Grid 8"/>
    <w:basedOn w:val="87"/>
    <w:semiHidden/>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8">
    <w:name w:val="Table Web 1"/>
    <w:basedOn w:val="87"/>
    <w:semiHidden/>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29">
    <w:name w:val="Table Web 2"/>
    <w:basedOn w:val="87"/>
    <w:semiHidden/>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0">
    <w:name w:val="Table Web 3"/>
    <w:basedOn w:val="87"/>
    <w:semiHidden/>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1">
    <w:name w:val="Table Professional"/>
    <w:basedOn w:val="87"/>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133">
    <w:name w:val="Strong"/>
    <w:qFormat/>
    <w:uiPriority w:val="0"/>
    <w:rPr>
      <w:b/>
      <w:bCs/>
    </w:rPr>
  </w:style>
  <w:style w:type="character" w:styleId="134">
    <w:name w:val="page number"/>
    <w:basedOn w:val="132"/>
    <w:qFormat/>
    <w:uiPriority w:val="0"/>
  </w:style>
  <w:style w:type="character" w:styleId="135">
    <w:name w:val="FollowedHyperlink"/>
    <w:unhideWhenUsed/>
    <w:qFormat/>
    <w:uiPriority w:val="0"/>
    <w:rPr>
      <w:color w:val="800080"/>
      <w:u w:val="single"/>
    </w:rPr>
  </w:style>
  <w:style w:type="character" w:styleId="136">
    <w:name w:val="Emphasis"/>
    <w:qFormat/>
    <w:uiPriority w:val="20"/>
    <w:rPr>
      <w:i/>
      <w:iCs/>
    </w:rPr>
  </w:style>
  <w:style w:type="character" w:styleId="137">
    <w:name w:val="line number"/>
    <w:semiHidden/>
    <w:qFormat/>
    <w:uiPriority w:val="0"/>
  </w:style>
  <w:style w:type="character" w:styleId="138">
    <w:name w:val="HTML Definition"/>
    <w:semiHidden/>
    <w:qFormat/>
    <w:uiPriority w:val="0"/>
    <w:rPr>
      <w:i/>
      <w:iCs/>
    </w:rPr>
  </w:style>
  <w:style w:type="character" w:styleId="139">
    <w:name w:val="HTML Typewriter"/>
    <w:semiHidden/>
    <w:qFormat/>
    <w:uiPriority w:val="0"/>
    <w:rPr>
      <w:rFonts w:ascii="Courier New" w:hAnsi="Courier New" w:cs="Courier New"/>
      <w:sz w:val="20"/>
      <w:szCs w:val="20"/>
    </w:rPr>
  </w:style>
  <w:style w:type="character" w:styleId="140">
    <w:name w:val="HTML Acronym"/>
    <w:semiHidden/>
    <w:qFormat/>
    <w:uiPriority w:val="0"/>
  </w:style>
  <w:style w:type="character" w:styleId="141">
    <w:name w:val="HTML Variable"/>
    <w:semiHidden/>
    <w:qFormat/>
    <w:uiPriority w:val="0"/>
    <w:rPr>
      <w:i/>
      <w:iCs/>
    </w:rPr>
  </w:style>
  <w:style w:type="character" w:styleId="142">
    <w:name w:val="Hyperlink"/>
    <w:qFormat/>
    <w:uiPriority w:val="99"/>
    <w:rPr>
      <w:color w:val="0000FF"/>
      <w:u w:val="single"/>
    </w:rPr>
  </w:style>
  <w:style w:type="character" w:styleId="143">
    <w:name w:val="HTML Code"/>
    <w:semiHidden/>
    <w:qFormat/>
    <w:uiPriority w:val="0"/>
    <w:rPr>
      <w:rFonts w:ascii="Courier New" w:hAnsi="Courier New" w:cs="Courier New"/>
      <w:sz w:val="20"/>
      <w:szCs w:val="20"/>
    </w:rPr>
  </w:style>
  <w:style w:type="character" w:styleId="144">
    <w:name w:val="annotation reference"/>
    <w:qFormat/>
    <w:uiPriority w:val="99"/>
    <w:rPr>
      <w:sz w:val="21"/>
      <w:szCs w:val="21"/>
    </w:rPr>
  </w:style>
  <w:style w:type="character" w:styleId="145">
    <w:name w:val="HTML Cite"/>
    <w:semiHidden/>
    <w:qFormat/>
    <w:uiPriority w:val="0"/>
    <w:rPr>
      <w:i/>
      <w:iCs/>
    </w:rPr>
  </w:style>
  <w:style w:type="character" w:styleId="146">
    <w:name w:val="footnote reference"/>
    <w:semiHidden/>
    <w:qFormat/>
    <w:uiPriority w:val="0"/>
    <w:rPr>
      <w:vertAlign w:val="superscript"/>
    </w:rPr>
  </w:style>
  <w:style w:type="character" w:styleId="147">
    <w:name w:val="HTML Keyboard"/>
    <w:semiHidden/>
    <w:qFormat/>
    <w:uiPriority w:val="0"/>
    <w:rPr>
      <w:rFonts w:ascii="Courier New" w:hAnsi="Courier New" w:cs="Courier New"/>
      <w:sz w:val="20"/>
      <w:szCs w:val="20"/>
    </w:rPr>
  </w:style>
  <w:style w:type="character" w:styleId="148">
    <w:name w:val="HTML Sample"/>
    <w:semiHidden/>
    <w:qFormat/>
    <w:uiPriority w:val="0"/>
    <w:rPr>
      <w:rFonts w:ascii="Courier New" w:hAnsi="Courier New" w:cs="Courier New"/>
    </w:rPr>
  </w:style>
  <w:style w:type="character" w:customStyle="1" w:styleId="149">
    <w:name w:val="样式5 Char1"/>
    <w:qFormat/>
    <w:uiPriority w:val="0"/>
    <w:rPr>
      <w:kern w:val="2"/>
      <w:sz w:val="24"/>
      <w:szCs w:val="24"/>
    </w:rPr>
  </w:style>
  <w:style w:type="character" w:customStyle="1" w:styleId="150">
    <w:name w:val="xl56 Char Char"/>
    <w:semiHidden/>
    <w:qFormat/>
    <w:uiPriority w:val="0"/>
    <w:rPr>
      <w:rFonts w:eastAsia="Arial Unicode MS"/>
      <w:sz w:val="18"/>
      <w:szCs w:val="18"/>
      <w:lang w:val="en-US" w:eastAsia="zh-CN" w:bidi="ar-SA"/>
    </w:rPr>
  </w:style>
  <w:style w:type="character" w:customStyle="1" w:styleId="151">
    <w:name w:val="标题 4 字符"/>
    <w:link w:val="5"/>
    <w:qFormat/>
    <w:locked/>
    <w:uiPriority w:val="0"/>
    <w:rPr>
      <w:rFonts w:ascii="Arial" w:hAnsi="Arial"/>
      <w:bCs/>
      <w:kern w:val="2"/>
      <w:sz w:val="24"/>
      <w:szCs w:val="24"/>
    </w:rPr>
  </w:style>
  <w:style w:type="character" w:customStyle="1" w:styleId="152">
    <w:name w:val="zt41"/>
    <w:semiHidden/>
    <w:qFormat/>
    <w:uiPriority w:val="0"/>
    <w:rPr>
      <w:sz w:val="18"/>
      <w:szCs w:val="18"/>
    </w:rPr>
  </w:style>
  <w:style w:type="character" w:customStyle="1" w:styleId="153">
    <w:name w:val="正文文本 (120) + 4 pt"/>
    <w:semiHidden/>
    <w:qFormat/>
    <w:uiPriority w:val="0"/>
    <w:rPr>
      <w:rFonts w:ascii="MingLiU" w:eastAsia="MingLiU" w:cs="MingLiU"/>
      <w:w w:val="150"/>
      <w:sz w:val="8"/>
      <w:szCs w:val="8"/>
      <w:lang w:val="en-US" w:eastAsia="zh-CN"/>
    </w:rPr>
  </w:style>
  <w:style w:type="character" w:customStyle="1" w:styleId="154">
    <w:name w:val="节标题 1.1 Char"/>
    <w:semiHidden/>
    <w:qFormat/>
    <w:uiPriority w:val="0"/>
    <w:rPr>
      <w:rFonts w:ascii="Arial" w:hAnsi="Arial" w:eastAsia="黑体"/>
      <w:b/>
      <w:bCs/>
      <w:kern w:val="2"/>
      <w:sz w:val="32"/>
      <w:szCs w:val="32"/>
      <w:lang w:val="en-US" w:eastAsia="zh-CN" w:bidi="ar-SA"/>
    </w:rPr>
  </w:style>
  <w:style w:type="character" w:customStyle="1" w:styleId="155">
    <w:name w:val="zt"/>
    <w:semiHidden/>
    <w:qFormat/>
    <w:uiPriority w:val="0"/>
  </w:style>
  <w:style w:type="character" w:customStyle="1" w:styleId="156">
    <w:name w:val="标题 字符"/>
    <w:link w:val="83"/>
    <w:qFormat/>
    <w:uiPriority w:val="0"/>
    <w:rPr>
      <w:rFonts w:ascii="Arial" w:hAnsi="Arial"/>
      <w:b/>
      <w:bCs/>
      <w:kern w:val="2"/>
      <w:sz w:val="32"/>
      <w:szCs w:val="32"/>
    </w:rPr>
  </w:style>
  <w:style w:type="character" w:customStyle="1" w:styleId="157">
    <w:name w:val="正文文本 (25) + 9 pt"/>
    <w:semiHidden/>
    <w:qFormat/>
    <w:uiPriority w:val="0"/>
    <w:rPr>
      <w:rFonts w:hint="default" w:ascii="黑体" w:hAnsi="黑体" w:eastAsia="黑体"/>
      <w:w w:val="150"/>
      <w:sz w:val="18"/>
      <w:shd w:val="clear" w:color="auto" w:fill="FFFFFF"/>
      <w:lang w:val="en-US" w:eastAsia="zh-CN"/>
    </w:rPr>
  </w:style>
  <w:style w:type="character" w:customStyle="1" w:styleId="158">
    <w:name w:val="正文1 Char1"/>
    <w:semiHidden/>
    <w:qFormat/>
    <w:uiPriority w:val="0"/>
    <w:rPr>
      <w:rFonts w:ascii="宋体"/>
      <w:sz w:val="24"/>
      <w:lang w:val="en-US" w:eastAsia="zh-CN" w:bidi="ar-SA"/>
    </w:rPr>
  </w:style>
  <w:style w:type="character" w:customStyle="1" w:styleId="159">
    <w:name w:val="标题 3 Char2 Char"/>
    <w:semiHidden/>
    <w:qFormat/>
    <w:uiPriority w:val="0"/>
    <w:rPr>
      <w:rFonts w:eastAsia="黑体"/>
      <w:b/>
      <w:bCs/>
      <w:color w:val="000000"/>
      <w:kern w:val="2"/>
      <w:sz w:val="24"/>
      <w:szCs w:val="24"/>
      <w:lang w:val="en-US" w:eastAsia="zh-CN" w:bidi="ar-SA"/>
    </w:rPr>
  </w:style>
  <w:style w:type="character" w:customStyle="1" w:styleId="160">
    <w:name w:val="正文首行缩进 2 字符"/>
    <w:link w:val="86"/>
    <w:qFormat/>
    <w:locked/>
    <w:uiPriority w:val="0"/>
    <w:rPr>
      <w:kern w:val="2"/>
      <w:sz w:val="21"/>
      <w:szCs w:val="24"/>
    </w:rPr>
  </w:style>
  <w:style w:type="character" w:customStyle="1" w:styleId="161">
    <w:name w:val="正文001 Char1"/>
    <w:semiHidden/>
    <w:qFormat/>
    <w:uiPriority w:val="0"/>
    <w:rPr>
      <w:rFonts w:ascii="Arial" w:hAnsi="Arial" w:eastAsia="宋体" w:cs="Arial"/>
      <w:color w:val="000000"/>
      <w:kern w:val="2"/>
      <w:sz w:val="24"/>
      <w:szCs w:val="21"/>
      <w:lang w:val="en-US" w:eastAsia="zh-CN" w:bidi="ar-SA"/>
    </w:rPr>
  </w:style>
  <w:style w:type="character" w:customStyle="1" w:styleId="162">
    <w:name w:val="日期 Char1"/>
    <w:qFormat/>
    <w:uiPriority w:val="0"/>
    <w:rPr>
      <w:rFonts w:eastAsia="宋体"/>
      <w:kern w:val="2"/>
      <w:sz w:val="21"/>
      <w:szCs w:val="24"/>
      <w:lang w:val="en-US" w:eastAsia="zh-CN" w:bidi="ar-SA"/>
    </w:rPr>
  </w:style>
  <w:style w:type="character" w:customStyle="1" w:styleId="163">
    <w:name w:val="标题 5 Char1"/>
    <w:semiHidden/>
    <w:qFormat/>
    <w:uiPriority w:val="0"/>
    <w:rPr>
      <w:rFonts w:ascii="Arial" w:hAnsi="Arial" w:eastAsia="宋体"/>
      <w:sz w:val="24"/>
      <w:lang w:val="fr-FR" w:eastAsia="zh-CN" w:bidi="ar-SA"/>
    </w:rPr>
  </w:style>
  <w:style w:type="character" w:customStyle="1" w:styleId="164">
    <w:name w:val="XU-（三） Char"/>
    <w:link w:val="165"/>
    <w:qFormat/>
    <w:uiPriority w:val="0"/>
    <w:rPr>
      <w:rFonts w:ascii="宋体" w:hAnsi="宋体"/>
      <w:kern w:val="2"/>
      <w:sz w:val="28"/>
    </w:rPr>
  </w:style>
  <w:style w:type="paragraph" w:customStyle="1" w:styleId="165">
    <w:name w:val="XU-（三）"/>
    <w:basedOn w:val="4"/>
    <w:link w:val="164"/>
    <w:qFormat/>
    <w:uiPriority w:val="0"/>
    <w:pPr>
      <w:spacing w:before="0" w:after="0" w:line="500" w:lineRule="exact"/>
    </w:pPr>
    <w:rPr>
      <w:rFonts w:ascii="宋体" w:hAnsi="宋体"/>
      <w:b w:val="0"/>
      <w:bCs w:val="0"/>
      <w:sz w:val="28"/>
      <w:szCs w:val="20"/>
    </w:rPr>
  </w:style>
  <w:style w:type="character" w:customStyle="1" w:styleId="166">
    <w:name w:val="标题 5 Char2"/>
    <w:semiHidden/>
    <w:qFormat/>
    <w:uiPriority w:val="0"/>
    <w:rPr>
      <w:rFonts w:ascii="Arial" w:hAnsi="Arial"/>
      <w:sz w:val="24"/>
      <w:lang w:val="fr-FR"/>
    </w:rPr>
  </w:style>
  <w:style w:type="character" w:customStyle="1" w:styleId="167">
    <w:name w:val="正文文本 (6) + 间距 -1 pt4"/>
    <w:semiHidden/>
    <w:qFormat/>
    <w:uiPriority w:val="0"/>
    <w:rPr>
      <w:rFonts w:ascii="Arial Unicode MS" w:hAnsi="Arial Unicode MS" w:eastAsia="Arial Unicode MS" w:cs="Arial Unicode MS"/>
      <w:spacing w:val="-20"/>
      <w:sz w:val="20"/>
      <w:szCs w:val="20"/>
      <w:shd w:val="clear" w:color="auto" w:fill="FFFFFF"/>
    </w:rPr>
  </w:style>
  <w:style w:type="character" w:customStyle="1" w:styleId="168">
    <w:name w:val="正文首行缩进 Char Char"/>
    <w:semiHidden/>
    <w:qFormat/>
    <w:uiPriority w:val="0"/>
    <w:rPr>
      <w:rFonts w:ascii="宋体" w:eastAsia="宋体"/>
      <w:kern w:val="2"/>
      <w:sz w:val="21"/>
      <w:szCs w:val="24"/>
      <w:lang w:val="en-US" w:eastAsia="zh-CN" w:bidi="ar-SA"/>
    </w:rPr>
  </w:style>
  <w:style w:type="character" w:customStyle="1" w:styleId="169">
    <w:name w:val="图表注 Char Char1"/>
    <w:semiHidden/>
    <w:qFormat/>
    <w:uiPriority w:val="0"/>
    <w:rPr>
      <w:rFonts w:ascii="Arial" w:hAnsi="Arial" w:eastAsia="黑体" w:cs="Arial"/>
      <w:color w:val="000000"/>
      <w:kern w:val="2"/>
      <w:sz w:val="21"/>
      <w:szCs w:val="21"/>
      <w:lang w:val="en-US" w:eastAsia="zh-CN" w:bidi="ar-SA"/>
    </w:rPr>
  </w:style>
  <w:style w:type="character" w:customStyle="1" w:styleId="170">
    <w:name w:val="标题 内蒙3 Char Char"/>
    <w:semiHidden/>
    <w:qFormat/>
    <w:uiPriority w:val="0"/>
    <w:rPr>
      <w:rFonts w:eastAsia="黑体"/>
      <w:b/>
      <w:bCs/>
      <w:kern w:val="2"/>
      <w:sz w:val="24"/>
      <w:szCs w:val="32"/>
      <w:lang w:val="en-US" w:eastAsia="zh-CN" w:bidi="ar-SA"/>
    </w:rPr>
  </w:style>
  <w:style w:type="character" w:customStyle="1" w:styleId="171">
    <w:name w:val="标题内蒙 2 Char Char"/>
    <w:semiHidden/>
    <w:qFormat/>
    <w:uiPriority w:val="0"/>
    <w:rPr>
      <w:rFonts w:ascii="Arial" w:hAnsi="Arial" w:eastAsia="黑体"/>
      <w:b/>
      <w:bCs/>
      <w:kern w:val="2"/>
      <w:sz w:val="24"/>
      <w:szCs w:val="32"/>
      <w:lang w:val="en-US" w:eastAsia="zh-CN" w:bidi="ar-SA"/>
    </w:rPr>
  </w:style>
  <w:style w:type="character" w:customStyle="1" w:styleId="172">
    <w:name w:val="正文文 Char Char"/>
    <w:semiHidden/>
    <w:qFormat/>
    <w:uiPriority w:val="0"/>
    <w:rPr>
      <w:rFonts w:eastAsia="宋体" w:cs="宋体"/>
      <w:kern w:val="2"/>
      <w:sz w:val="24"/>
      <w:lang w:val="en-US" w:eastAsia="zh-CN" w:bidi="ar-SA"/>
    </w:rPr>
  </w:style>
  <w:style w:type="character" w:customStyle="1" w:styleId="173">
    <w:name w:val="尾注文本 字符"/>
    <w:link w:val="51"/>
    <w:semiHidden/>
    <w:qFormat/>
    <w:uiPriority w:val="0"/>
    <w:rPr>
      <w:rFonts w:ascii="宋体" w:hAnsi="Calibri"/>
      <w:sz w:val="21"/>
    </w:rPr>
  </w:style>
  <w:style w:type="character" w:customStyle="1" w:styleId="174">
    <w:name w:val="样式 四号 加粗"/>
    <w:semiHidden/>
    <w:qFormat/>
    <w:uiPriority w:val="0"/>
    <w:rPr>
      <w:b/>
      <w:bCs/>
      <w:sz w:val="28"/>
    </w:rPr>
  </w:style>
  <w:style w:type="character" w:customStyle="1" w:styleId="175">
    <w:name w:val="正文文本 (111) + 10.5 pt5"/>
    <w:semiHidden/>
    <w:qFormat/>
    <w:uiPriority w:val="0"/>
    <w:rPr>
      <w:rFonts w:ascii="黑体" w:eastAsia="黑体" w:cs="黑体"/>
      <w:sz w:val="21"/>
      <w:szCs w:val="21"/>
      <w:shd w:val="clear" w:color="auto" w:fill="FFFFFF"/>
    </w:rPr>
  </w:style>
  <w:style w:type="character" w:customStyle="1" w:styleId="176">
    <w:name w:val="样式 (符号) 宋体 小四"/>
    <w:semiHidden/>
    <w:qFormat/>
    <w:uiPriority w:val="0"/>
    <w:rPr>
      <w:rFonts w:ascii="Times New Roman" w:hAnsi="Times New Roman" w:eastAsia="宋体"/>
      <w:color w:val="auto"/>
      <w:sz w:val="24"/>
      <w:szCs w:val="24"/>
      <w:u w:val="none"/>
    </w:rPr>
  </w:style>
  <w:style w:type="character" w:customStyle="1" w:styleId="177">
    <w:name w:val="表1 Char Char"/>
    <w:semiHidden/>
    <w:qFormat/>
    <w:uiPriority w:val="0"/>
    <w:rPr>
      <w:rFonts w:eastAsia="宋体"/>
      <w:color w:val="000000"/>
      <w:kern w:val="2"/>
      <w:sz w:val="21"/>
      <w:szCs w:val="21"/>
      <w:lang w:val="en-US" w:eastAsia="zh-CN" w:bidi="ar-SA"/>
    </w:rPr>
  </w:style>
  <w:style w:type="character" w:customStyle="1" w:styleId="178">
    <w:name w:val="表格 Char Char Char"/>
    <w:semiHidden/>
    <w:qFormat/>
    <w:uiPriority w:val="0"/>
    <w:rPr>
      <w:rFonts w:ascii="Times New Roman" w:hAnsi="Times New Roman"/>
      <w:kern w:val="2"/>
      <w:sz w:val="24"/>
      <w:szCs w:val="24"/>
    </w:rPr>
  </w:style>
  <w:style w:type="character" w:customStyle="1" w:styleId="179">
    <w:name w:val="燕山正文 Char Char Char Char Char"/>
    <w:semiHidden/>
    <w:qFormat/>
    <w:uiPriority w:val="0"/>
    <w:rPr>
      <w:rFonts w:ascii="宋体" w:hAnsi="宋体" w:eastAsia="宋体"/>
      <w:color w:val="000000"/>
      <w:sz w:val="28"/>
      <w:szCs w:val="28"/>
      <w:lang w:val="en-US" w:eastAsia="zh-CN" w:bidi="ar-SA"/>
    </w:rPr>
  </w:style>
  <w:style w:type="character" w:customStyle="1" w:styleId="180">
    <w:name w:val="表 头 Char Char"/>
    <w:semiHidden/>
    <w:qFormat/>
    <w:uiPriority w:val="0"/>
    <w:rPr>
      <w:rFonts w:eastAsia="黑体"/>
      <w:color w:val="000000"/>
      <w:spacing w:val="10"/>
      <w:kern w:val="2"/>
      <w:sz w:val="24"/>
      <w:szCs w:val="21"/>
      <w:lang w:val="en-US" w:eastAsia="zh-CN" w:bidi="ar-SA"/>
    </w:rPr>
  </w:style>
  <w:style w:type="character" w:customStyle="1" w:styleId="181">
    <w:name w:val="样式 (中文) 隶书 一号 加粗"/>
    <w:semiHidden/>
    <w:qFormat/>
    <w:uiPriority w:val="0"/>
    <w:rPr>
      <w:rFonts w:eastAsia="隶书"/>
      <w:b/>
      <w:bCs/>
      <w:w w:val="73"/>
      <w:kern w:val="0"/>
      <w:sz w:val="44"/>
    </w:rPr>
  </w:style>
  <w:style w:type="character" w:customStyle="1" w:styleId="182">
    <w:name w:val="表格编号 Char Char"/>
    <w:semiHidden/>
    <w:qFormat/>
    <w:uiPriority w:val="0"/>
    <w:rPr>
      <w:rFonts w:eastAsia="宋体"/>
      <w:color w:val="000000"/>
      <w:kern w:val="2"/>
      <w:sz w:val="21"/>
      <w:szCs w:val="21"/>
      <w:lang w:val="en-US" w:eastAsia="zh-CN" w:bidi="ar-SA"/>
    </w:rPr>
  </w:style>
  <w:style w:type="character" w:customStyle="1" w:styleId="183">
    <w:name w:val="表格标题 Char Char Char"/>
    <w:semiHidden/>
    <w:qFormat/>
    <w:uiPriority w:val="0"/>
    <w:rPr>
      <w:rFonts w:ascii="Arial" w:hAnsi="Arial" w:eastAsia="黑体"/>
      <w:b/>
      <w:sz w:val="24"/>
      <w:lang w:val="en-US" w:eastAsia="zh-CN"/>
    </w:rPr>
  </w:style>
  <w:style w:type="character" w:customStyle="1" w:styleId="184">
    <w:name w:val="正文文本 (111) + Arial Unicode MS10"/>
    <w:semiHidden/>
    <w:qFormat/>
    <w:uiPriority w:val="0"/>
    <w:rPr>
      <w:rFonts w:ascii="Arial Unicode MS" w:eastAsia="Arial Unicode MS" w:cs="Arial Unicode MS"/>
      <w:spacing w:val="0"/>
      <w:sz w:val="20"/>
      <w:szCs w:val="20"/>
      <w:shd w:val="clear" w:color="auto" w:fill="FFFFFF"/>
    </w:rPr>
  </w:style>
  <w:style w:type="character" w:customStyle="1" w:styleId="185">
    <w:name w:val="表格文字2004"/>
    <w:semiHidden/>
    <w:qFormat/>
    <w:uiPriority w:val="0"/>
    <w:rPr>
      <w:rFonts w:eastAsia="宋体"/>
      <w:sz w:val="24"/>
    </w:rPr>
  </w:style>
  <w:style w:type="character" w:customStyle="1" w:styleId="186">
    <w:name w:val="正文文本 (111) + Arial Unicode MS13"/>
    <w:semiHidden/>
    <w:qFormat/>
    <w:uiPriority w:val="0"/>
    <w:rPr>
      <w:rFonts w:ascii="Arial Unicode MS" w:eastAsia="Arial Unicode MS" w:cs="Arial Unicode MS"/>
      <w:spacing w:val="0"/>
      <w:sz w:val="20"/>
      <w:szCs w:val="20"/>
      <w:shd w:val="clear" w:color="auto" w:fill="FFFFFF"/>
    </w:rPr>
  </w:style>
  <w:style w:type="character" w:customStyle="1" w:styleId="187">
    <w:name w:val="表内小5 Char Char"/>
    <w:semiHidden/>
    <w:qFormat/>
    <w:uiPriority w:val="0"/>
    <w:rPr>
      <w:rFonts w:ascii="宋体" w:hAnsi="宋体" w:eastAsia="宋体"/>
      <w:kern w:val="2"/>
      <w:sz w:val="18"/>
      <w:szCs w:val="24"/>
      <w:lang w:val="en-US" w:eastAsia="zh-CN" w:bidi="ar-SA"/>
    </w:rPr>
  </w:style>
  <w:style w:type="character" w:customStyle="1" w:styleId="188">
    <w:name w:val="表号 Char Char"/>
    <w:semiHidden/>
    <w:qFormat/>
    <w:uiPriority w:val="0"/>
    <w:rPr>
      <w:rFonts w:eastAsia="宋体"/>
      <w:kern w:val="32"/>
      <w:sz w:val="24"/>
      <w:lang w:val="en-US" w:eastAsia="zh-CN" w:bidi="ar-SA"/>
    </w:rPr>
  </w:style>
  <w:style w:type="character" w:customStyle="1" w:styleId="189">
    <w:name w:val="正文文本 (111) + Arial Unicode MS14"/>
    <w:semiHidden/>
    <w:qFormat/>
    <w:uiPriority w:val="0"/>
    <w:rPr>
      <w:rFonts w:ascii="Arial Unicode MS" w:eastAsia="Arial Unicode MS" w:cs="Arial Unicode MS"/>
      <w:spacing w:val="0"/>
      <w:sz w:val="20"/>
      <w:szCs w:val="20"/>
      <w:shd w:val="clear" w:color="auto" w:fill="FFFFFF"/>
    </w:rPr>
  </w:style>
  <w:style w:type="character" w:customStyle="1" w:styleId="190">
    <w:name w:val="表头 Char Char Char"/>
    <w:semiHidden/>
    <w:qFormat/>
    <w:uiPriority w:val="0"/>
    <w:rPr>
      <w:rFonts w:ascii="宋体" w:hAnsi="宋体" w:eastAsia="宋体" w:cs="宋体"/>
      <w:b/>
      <w:bCs/>
      <w:kern w:val="32"/>
      <w:sz w:val="24"/>
      <w:szCs w:val="24"/>
      <w:lang w:val="en-US" w:eastAsia="zh-CN" w:bidi="ar-SA"/>
    </w:rPr>
  </w:style>
  <w:style w:type="character" w:customStyle="1" w:styleId="191">
    <w:name w:val="表头 Char1"/>
    <w:qFormat/>
    <w:uiPriority w:val="0"/>
    <w:rPr>
      <w:rFonts w:ascii="宋体" w:hAnsi="宋体" w:eastAsia="宋体" w:cs="宋体"/>
      <w:b/>
      <w:bCs/>
      <w:kern w:val="32"/>
      <w:sz w:val="24"/>
      <w:szCs w:val="28"/>
      <w:lang w:val="en-US" w:eastAsia="zh-CN" w:bidi="ar-SA"/>
    </w:rPr>
  </w:style>
  <w:style w:type="character" w:customStyle="1" w:styleId="192">
    <w:name w:val="正文1 Char"/>
    <w:link w:val="193"/>
    <w:qFormat/>
    <w:uiPriority w:val="0"/>
    <w:rPr>
      <w:rFonts w:ascii="宋体" w:hAnsi="宋体"/>
      <w:kern w:val="2"/>
      <w:sz w:val="24"/>
      <w:szCs w:val="24"/>
    </w:rPr>
  </w:style>
  <w:style w:type="paragraph" w:customStyle="1" w:styleId="193">
    <w:name w:val="正文1"/>
    <w:basedOn w:val="1"/>
    <w:link w:val="192"/>
    <w:qFormat/>
    <w:uiPriority w:val="0"/>
    <w:pPr>
      <w:spacing w:line="500" w:lineRule="exact"/>
      <w:ind w:firstLine="480" w:firstLineChars="200"/>
    </w:pPr>
    <w:rPr>
      <w:rFonts w:ascii="宋体" w:hAnsi="宋体"/>
      <w:sz w:val="24"/>
    </w:rPr>
  </w:style>
  <w:style w:type="character" w:customStyle="1" w:styleId="194">
    <w:name w:val="题注 Char Char"/>
    <w:semiHidden/>
    <w:qFormat/>
    <w:uiPriority w:val="0"/>
    <w:rPr>
      <w:rFonts w:ascii="Arial" w:hAnsi="Arial" w:eastAsia="黑体" w:cs="Arial"/>
      <w:color w:val="000000"/>
      <w:spacing w:val="4"/>
      <w:kern w:val="2"/>
      <w:sz w:val="21"/>
      <w:szCs w:val="21"/>
      <w:lang w:val="en-US" w:eastAsia="zh-CN" w:bidi="ar-SA"/>
    </w:rPr>
  </w:style>
  <w:style w:type="character" w:customStyle="1" w:styleId="195">
    <w:name w:val="标题样式2 Char Char"/>
    <w:semiHidden/>
    <w:qFormat/>
    <w:uiPriority w:val="0"/>
    <w:rPr>
      <w:rFonts w:ascii="黑体" w:hAnsi="Arial" w:eastAsia="黑体"/>
      <w:b/>
      <w:sz w:val="24"/>
      <w:szCs w:val="24"/>
      <w:lang w:val="en-US" w:eastAsia="zh-CN" w:bidi="ar-SA"/>
    </w:rPr>
  </w:style>
  <w:style w:type="character" w:customStyle="1" w:styleId="196">
    <w:name w:val="正文文本缩进 字符"/>
    <w:link w:val="34"/>
    <w:qFormat/>
    <w:locked/>
    <w:uiPriority w:val="0"/>
    <w:rPr>
      <w:rFonts w:ascii="Times" w:hAnsi="Times"/>
      <w:sz w:val="24"/>
      <w:szCs w:val="24"/>
    </w:rPr>
  </w:style>
  <w:style w:type="character" w:customStyle="1" w:styleId="197">
    <w:name w:val="正文 首行缩进:  2 字符 Char"/>
    <w:semiHidden/>
    <w:qFormat/>
    <w:uiPriority w:val="0"/>
    <w:rPr>
      <w:rFonts w:ascii="宋体" w:hAnsi="宋体" w:eastAsia="宋体" w:cs="宋体"/>
      <w:b/>
      <w:bCs/>
      <w:kern w:val="2"/>
      <w:sz w:val="28"/>
      <w:szCs w:val="28"/>
      <w:lang w:val="en-US" w:eastAsia="zh-CN" w:bidi="ar-SA"/>
    </w:rPr>
  </w:style>
  <w:style w:type="character" w:customStyle="1" w:styleId="198">
    <w:name w:val="标1 Char"/>
    <w:semiHidden/>
    <w:qFormat/>
    <w:uiPriority w:val="0"/>
    <w:rPr>
      <w:rFonts w:ascii="黑体" w:eastAsia="黑体"/>
      <w:bCs/>
      <w:kern w:val="44"/>
      <w:sz w:val="28"/>
      <w:szCs w:val="28"/>
    </w:rPr>
  </w:style>
  <w:style w:type="character" w:customStyle="1" w:styleId="199">
    <w:name w:val="正文首行缩进 字符"/>
    <w:link w:val="85"/>
    <w:qFormat/>
    <w:locked/>
    <w:uiPriority w:val="0"/>
    <w:rPr>
      <w:kern w:val="2"/>
      <w:sz w:val="24"/>
      <w:szCs w:val="24"/>
    </w:rPr>
  </w:style>
  <w:style w:type="character" w:customStyle="1" w:styleId="200">
    <w:name w:val="z-窗体顶端 字符"/>
    <w:link w:val="201"/>
    <w:semiHidden/>
    <w:qFormat/>
    <w:uiPriority w:val="0"/>
    <w:rPr>
      <w:rFonts w:ascii="Arial" w:hAnsi="Arial"/>
      <w:vanish/>
      <w:kern w:val="2"/>
      <w:sz w:val="16"/>
      <w:szCs w:val="16"/>
    </w:rPr>
  </w:style>
  <w:style w:type="paragraph" w:customStyle="1" w:styleId="201">
    <w:name w:val="z-窗体顶端1"/>
    <w:basedOn w:val="1"/>
    <w:next w:val="1"/>
    <w:link w:val="200"/>
    <w:semiHidden/>
    <w:qFormat/>
    <w:uiPriority w:val="0"/>
    <w:pPr>
      <w:pBdr>
        <w:bottom w:val="single" w:color="auto" w:sz="6" w:space="1"/>
      </w:pBdr>
      <w:jc w:val="center"/>
    </w:pPr>
    <w:rPr>
      <w:rFonts w:ascii="Arial" w:hAnsi="Arial"/>
      <w:vanish/>
      <w:sz w:val="16"/>
      <w:szCs w:val="16"/>
    </w:rPr>
  </w:style>
  <w:style w:type="character" w:customStyle="1" w:styleId="202">
    <w:name w:val="标题 9 字符"/>
    <w:link w:val="10"/>
    <w:qFormat/>
    <w:locked/>
    <w:uiPriority w:val="0"/>
    <w:rPr>
      <w:rFonts w:ascii="Arial" w:hAnsi="Arial" w:eastAsia="黑体"/>
      <w:sz w:val="21"/>
    </w:rPr>
  </w:style>
  <w:style w:type="character" w:customStyle="1" w:styleId="203">
    <w:name w:val="zw1"/>
    <w:semiHidden/>
    <w:qFormat/>
    <w:uiPriority w:val="0"/>
    <w:rPr>
      <w:rFonts w:eastAsia="宋体"/>
      <w:color w:val="000000"/>
      <w:kern w:val="2"/>
      <w:sz w:val="21"/>
      <w:szCs w:val="21"/>
      <w:lang w:val="en-US" w:eastAsia="zh-CN" w:bidi="ar-SA"/>
    </w:rPr>
  </w:style>
  <w:style w:type="character" w:customStyle="1" w:styleId="204">
    <w:name w:val="ZW Char Char"/>
    <w:semiHidden/>
    <w:qFormat/>
    <w:uiPriority w:val="0"/>
    <w:rPr>
      <w:kern w:val="2"/>
      <w:sz w:val="24"/>
      <w:szCs w:val="24"/>
    </w:rPr>
  </w:style>
  <w:style w:type="character" w:customStyle="1" w:styleId="205">
    <w:name w:val="正正文 Char Char"/>
    <w:semiHidden/>
    <w:qFormat/>
    <w:uiPriority w:val="0"/>
    <w:rPr>
      <w:rFonts w:eastAsia="仿宋_GB2312"/>
      <w:kern w:val="2"/>
      <w:sz w:val="24"/>
      <w:szCs w:val="24"/>
      <w:lang w:val="en-US" w:eastAsia="zh-CN" w:bidi="ar-SA"/>
    </w:rPr>
  </w:style>
  <w:style w:type="character" w:customStyle="1" w:styleId="206">
    <w:name w:val="正文文本 (111) + MingLiU2"/>
    <w:semiHidden/>
    <w:qFormat/>
    <w:uiPriority w:val="0"/>
    <w:rPr>
      <w:rFonts w:ascii="MingLiU" w:eastAsia="MingLiU" w:cs="MingLiU"/>
      <w:sz w:val="14"/>
      <w:szCs w:val="14"/>
      <w:shd w:val="clear" w:color="auto" w:fill="FFFFFF"/>
      <w:lang w:val="en-US" w:eastAsia="zh-CN"/>
    </w:rPr>
  </w:style>
  <w:style w:type="character" w:customStyle="1" w:styleId="207">
    <w:name w:val="段落1 Char1"/>
    <w:semiHidden/>
    <w:qFormat/>
    <w:uiPriority w:val="0"/>
    <w:rPr>
      <w:rFonts w:eastAsia="宋体"/>
      <w:color w:val="000000"/>
      <w:spacing w:val="6"/>
      <w:kern w:val="2"/>
      <w:sz w:val="28"/>
      <w:szCs w:val="21"/>
      <w:lang w:val="en-US" w:eastAsia="zh-CN" w:bidi="ar-SA"/>
    </w:rPr>
  </w:style>
  <w:style w:type="character" w:customStyle="1" w:styleId="208">
    <w:name w:val="重点"/>
    <w:semiHidden/>
    <w:qFormat/>
    <w:uiPriority w:val="0"/>
    <w:rPr>
      <w:i/>
    </w:rPr>
  </w:style>
  <w:style w:type="character" w:customStyle="1" w:styleId="209">
    <w:name w:val="副标题 字符"/>
    <w:link w:val="63"/>
    <w:qFormat/>
    <w:uiPriority w:val="0"/>
    <w:rPr>
      <w:rFonts w:ascii="Cambria" w:hAnsi="Cambria"/>
      <w:b/>
      <w:bCs/>
      <w:kern w:val="28"/>
      <w:sz w:val="32"/>
      <w:szCs w:val="32"/>
    </w:rPr>
  </w:style>
  <w:style w:type="character" w:customStyle="1" w:styleId="210">
    <w:name w:val="标题 5 字符"/>
    <w:link w:val="6"/>
    <w:qFormat/>
    <w:locked/>
    <w:uiPriority w:val="0"/>
    <w:rPr>
      <w:bCs/>
      <w:kern w:val="2"/>
      <w:sz w:val="28"/>
      <w:szCs w:val="28"/>
    </w:rPr>
  </w:style>
  <w:style w:type="character" w:customStyle="1" w:styleId="211">
    <w:name w:val="正文文本 (2) + 9 pt"/>
    <w:semiHidden/>
    <w:qFormat/>
    <w:uiPriority w:val="0"/>
    <w:rPr>
      <w:rFonts w:hint="eastAsia" w:ascii="黑体" w:hAnsi="黑体" w:eastAsia="黑体"/>
      <w:sz w:val="18"/>
      <w:shd w:val="clear" w:color="auto" w:fill="FFFFFF"/>
    </w:rPr>
  </w:style>
  <w:style w:type="character" w:customStyle="1" w:styleId="212">
    <w:name w:val="页眉 Char1"/>
    <w:semiHidden/>
    <w:qFormat/>
    <w:uiPriority w:val="0"/>
    <w:rPr>
      <w:kern w:val="2"/>
      <w:sz w:val="18"/>
      <w:szCs w:val="18"/>
    </w:rPr>
  </w:style>
  <w:style w:type="character" w:customStyle="1" w:styleId="213">
    <w:name w:val="明显参考1"/>
    <w:qFormat/>
    <w:uiPriority w:val="0"/>
    <w:rPr>
      <w:b/>
      <w:bCs/>
      <w:smallCaps/>
      <w:color w:val="C0504D"/>
      <w:spacing w:val="5"/>
      <w:u w:val="single"/>
    </w:rPr>
  </w:style>
  <w:style w:type="character" w:customStyle="1" w:styleId="214">
    <w:name w:val="正文文本 (2) + Arial Unicode MS3"/>
    <w:semiHidden/>
    <w:qFormat/>
    <w:uiPriority w:val="0"/>
    <w:rPr>
      <w:rFonts w:ascii="Arial Unicode MS" w:hAnsi="黑体" w:eastAsia="Arial Unicode MS" w:cs="Arial Unicode MS"/>
      <w:spacing w:val="0"/>
      <w:sz w:val="20"/>
      <w:szCs w:val="20"/>
      <w:shd w:val="clear" w:color="auto" w:fill="FFFFFF"/>
    </w:rPr>
  </w:style>
  <w:style w:type="character" w:customStyle="1" w:styleId="215">
    <w:name w:val="正式 Char Char"/>
    <w:semiHidden/>
    <w:qFormat/>
    <w:uiPriority w:val="0"/>
    <w:rPr>
      <w:rFonts w:eastAsia="宋体"/>
      <w:kern w:val="2"/>
      <w:sz w:val="24"/>
      <w:szCs w:val="24"/>
      <w:lang w:val="en-US" w:eastAsia="zh-CN" w:bidi="ar-SA"/>
    </w:rPr>
  </w:style>
  <w:style w:type="character" w:customStyle="1" w:styleId="216">
    <w:name w:val="可研-正文首行缩进 Char Char1"/>
    <w:semiHidden/>
    <w:qFormat/>
    <w:uiPriority w:val="0"/>
    <w:rPr>
      <w:rFonts w:ascii="Times New Roman" w:hAnsi="Times New Roman" w:eastAsia="宋体" w:cs="Times New Roman"/>
      <w:spacing w:val="6"/>
      <w:kern w:val="2"/>
      <w:sz w:val="24"/>
      <w:szCs w:val="24"/>
      <w:lang w:val="en-US" w:eastAsia="zh-CN" w:bidi="ar-SA"/>
    </w:rPr>
  </w:style>
  <w:style w:type="character" w:customStyle="1" w:styleId="217">
    <w:name w:val="正文文本 (2) + Arial Unicode MS7"/>
    <w:semiHidden/>
    <w:qFormat/>
    <w:uiPriority w:val="0"/>
    <w:rPr>
      <w:rFonts w:ascii="Arial Unicode MS" w:hAnsi="黑体" w:eastAsia="Arial Unicode MS" w:cs="Arial Unicode MS"/>
      <w:spacing w:val="0"/>
      <w:sz w:val="20"/>
      <w:szCs w:val="20"/>
      <w:shd w:val="clear" w:color="auto" w:fill="FFFFFF"/>
    </w:rPr>
  </w:style>
  <w:style w:type="character" w:customStyle="1" w:styleId="218">
    <w:name w:val="页眉1 Char1"/>
    <w:semiHidden/>
    <w:qFormat/>
    <w:uiPriority w:val="0"/>
    <w:rPr>
      <w:rFonts w:eastAsia="宋体"/>
      <w:kern w:val="2"/>
      <w:sz w:val="18"/>
      <w:szCs w:val="18"/>
      <w:lang w:val="en-US" w:eastAsia="zh-CN" w:bidi="ar-SA"/>
    </w:rPr>
  </w:style>
  <w:style w:type="character" w:customStyle="1" w:styleId="219">
    <w:name w:val="明显引用 字符"/>
    <w:link w:val="220"/>
    <w:qFormat/>
    <w:uiPriority w:val="0"/>
    <w:rPr>
      <w:rFonts w:ascii="Calibri" w:hAnsi="Calibri"/>
      <w:b/>
      <w:bCs/>
      <w:i/>
      <w:iCs/>
      <w:color w:val="4F81BD"/>
      <w:kern w:val="2"/>
      <w:sz w:val="21"/>
      <w:szCs w:val="21"/>
    </w:rPr>
  </w:style>
  <w:style w:type="paragraph" w:styleId="220">
    <w:name w:val="Intense Quote"/>
    <w:basedOn w:val="1"/>
    <w:next w:val="1"/>
    <w:link w:val="219"/>
    <w:qFormat/>
    <w:uiPriority w:val="0"/>
    <w:pPr>
      <w:pBdr>
        <w:bottom w:val="single" w:color="4F81BD" w:sz="4" w:space="4"/>
      </w:pBdr>
      <w:spacing w:before="200" w:after="280"/>
      <w:ind w:left="936" w:right="936"/>
    </w:pPr>
    <w:rPr>
      <w:rFonts w:ascii="Calibri" w:hAnsi="Calibri"/>
      <w:b/>
      <w:bCs/>
      <w:i/>
      <w:iCs/>
      <w:color w:val="4F81BD"/>
      <w:szCs w:val="21"/>
    </w:rPr>
  </w:style>
  <w:style w:type="character" w:customStyle="1" w:styleId="221">
    <w:name w:val="正文文本 (2) + Impact"/>
    <w:semiHidden/>
    <w:qFormat/>
    <w:uiPriority w:val="0"/>
    <w:rPr>
      <w:rFonts w:ascii="Impact" w:hAnsi="Impact" w:eastAsia="黑体" w:cs="Impact"/>
      <w:i/>
      <w:iCs/>
      <w:spacing w:val="60"/>
      <w:sz w:val="13"/>
      <w:szCs w:val="13"/>
      <w:shd w:val="clear" w:color="auto" w:fill="FFFFFF"/>
    </w:rPr>
  </w:style>
  <w:style w:type="character" w:customStyle="1" w:styleId="222">
    <w:name w:val="正文（首行缩进两字） Char Char Char Char Char Char Char Char Char Char Char Char Char Char Char Char Char Char Char Char Char Char Char Char Char Char Char Char Char Char Char Char Char Char Char Char Char Char Char Char Char Char Char Char Char Char Char"/>
    <w:semiHidden/>
    <w:qFormat/>
    <w:uiPriority w:val="0"/>
    <w:rPr>
      <w:rFonts w:eastAsia="宋体"/>
      <w:color w:val="000000"/>
      <w:kern w:val="2"/>
      <w:sz w:val="21"/>
      <w:szCs w:val="24"/>
      <w:lang w:val="en-US" w:eastAsia="zh-CN" w:bidi="ar-SA"/>
    </w:rPr>
  </w:style>
  <w:style w:type="character" w:customStyle="1" w:styleId="223">
    <w:name w:val="批注文字 字符"/>
    <w:link w:val="27"/>
    <w:qFormat/>
    <w:uiPriority w:val="99"/>
    <w:rPr>
      <w:rFonts w:ascii="Calibri" w:hAnsi="Calibri"/>
      <w:kern w:val="2"/>
      <w:sz w:val="24"/>
      <w:szCs w:val="21"/>
    </w:rPr>
  </w:style>
  <w:style w:type="character" w:customStyle="1" w:styleId="224">
    <w:name w:val="正文文本缩进 2 字符"/>
    <w:link w:val="50"/>
    <w:qFormat/>
    <w:locked/>
    <w:uiPriority w:val="0"/>
    <w:rPr>
      <w:kern w:val="2"/>
      <w:sz w:val="24"/>
      <w:szCs w:val="24"/>
    </w:rPr>
  </w:style>
  <w:style w:type="character" w:customStyle="1" w:styleId="225">
    <w:name w:val="正文文本 (6) + 黑体"/>
    <w:semiHidden/>
    <w:qFormat/>
    <w:uiPriority w:val="0"/>
    <w:rPr>
      <w:rFonts w:ascii="黑体" w:hAnsi="黑体" w:eastAsia="黑体"/>
      <w:sz w:val="18"/>
      <w:shd w:val="clear" w:color="auto" w:fill="FFFFFF"/>
    </w:rPr>
  </w:style>
  <w:style w:type="character" w:customStyle="1" w:styleId="226">
    <w:name w:val="强调1"/>
    <w:semiHidden/>
    <w:qFormat/>
    <w:uiPriority w:val="0"/>
    <w:rPr>
      <w:i/>
    </w:rPr>
  </w:style>
  <w:style w:type="character" w:customStyle="1" w:styleId="227">
    <w:name w:val="正文文本_"/>
    <w:link w:val="228"/>
    <w:qFormat/>
    <w:locked/>
    <w:uiPriority w:val="0"/>
    <w:rPr>
      <w:rFonts w:ascii="Arial Unicode MS" w:hAnsi="Arial Unicode MS" w:eastAsia="Arial Unicode MS"/>
      <w:sz w:val="23"/>
      <w:shd w:val="clear" w:color="auto" w:fill="FFFFFF"/>
    </w:rPr>
  </w:style>
  <w:style w:type="paragraph" w:customStyle="1" w:styleId="228">
    <w:name w:val="正文文本12"/>
    <w:basedOn w:val="1"/>
    <w:link w:val="227"/>
    <w:qFormat/>
    <w:uiPriority w:val="0"/>
    <w:pPr>
      <w:shd w:val="clear" w:color="auto" w:fill="FFFFFF"/>
      <w:spacing w:line="466" w:lineRule="exact"/>
      <w:jc w:val="distribute"/>
    </w:pPr>
    <w:rPr>
      <w:rFonts w:ascii="Arial Unicode MS" w:hAnsi="Arial Unicode MS" w:eastAsia="Arial Unicode MS"/>
      <w:kern w:val="0"/>
      <w:sz w:val="23"/>
      <w:szCs w:val="20"/>
    </w:rPr>
  </w:style>
  <w:style w:type="character" w:customStyle="1" w:styleId="229">
    <w:name w:val="热电厂正文 Char Char Char Char Char Char"/>
    <w:semiHidden/>
    <w:qFormat/>
    <w:uiPriority w:val="0"/>
    <w:rPr>
      <w:rFonts w:eastAsia="宋体"/>
      <w:color w:val="000000"/>
      <w:kern w:val="2"/>
      <w:sz w:val="24"/>
      <w:szCs w:val="21"/>
      <w:lang w:val="en-US" w:eastAsia="zh-CN" w:bidi="ar-SA"/>
    </w:rPr>
  </w:style>
  <w:style w:type="character" w:customStyle="1" w:styleId="230">
    <w:name w:val="正文文本 (6) + 黑体2"/>
    <w:semiHidden/>
    <w:qFormat/>
    <w:uiPriority w:val="0"/>
    <w:rPr>
      <w:rFonts w:ascii="黑体" w:hAnsi="黑体" w:eastAsia="Arial Unicode MS" w:cs="黑体"/>
      <w:spacing w:val="0"/>
      <w:sz w:val="20"/>
      <w:szCs w:val="20"/>
      <w:shd w:val="clear" w:color="auto" w:fill="FFFFFF"/>
      <w:lang w:val="en-US" w:eastAsia="zh-CN"/>
    </w:rPr>
  </w:style>
  <w:style w:type="character" w:customStyle="1" w:styleId="231">
    <w:name w:val="四 Char Char1"/>
    <w:semiHidden/>
    <w:qFormat/>
    <w:uiPriority w:val="0"/>
    <w:rPr>
      <w:rFonts w:eastAsia="宋体"/>
      <w:color w:val="000000"/>
      <w:kern w:val="2"/>
      <w:sz w:val="21"/>
      <w:szCs w:val="21"/>
      <w:lang w:val="en-US" w:eastAsia="zh-CN" w:bidi="ar-SA"/>
    </w:rPr>
  </w:style>
  <w:style w:type="character" w:customStyle="1" w:styleId="232">
    <w:name w:val="文档结构图 Char1"/>
    <w:semiHidden/>
    <w:qFormat/>
    <w:uiPriority w:val="0"/>
    <w:rPr>
      <w:rFonts w:eastAsia="宋体"/>
      <w:kern w:val="2"/>
      <w:sz w:val="21"/>
      <w:szCs w:val="24"/>
      <w:lang w:val="en-US" w:eastAsia="zh-CN" w:bidi="ar-SA"/>
    </w:rPr>
  </w:style>
  <w:style w:type="character" w:customStyle="1" w:styleId="233">
    <w:name w:val="正文文本 (111) + Arial Unicode MS9"/>
    <w:semiHidden/>
    <w:qFormat/>
    <w:uiPriority w:val="0"/>
    <w:rPr>
      <w:rFonts w:ascii="Arial Unicode MS" w:eastAsia="Arial Unicode MS" w:cs="Arial Unicode MS"/>
      <w:spacing w:val="-20"/>
      <w:sz w:val="20"/>
      <w:szCs w:val="20"/>
      <w:shd w:val="clear" w:color="auto" w:fill="FFFFFF"/>
    </w:rPr>
  </w:style>
  <w:style w:type="character" w:customStyle="1" w:styleId="234">
    <w:name w:val="样式 黑体 五号 黑色"/>
    <w:semiHidden/>
    <w:qFormat/>
    <w:uiPriority w:val="0"/>
    <w:rPr>
      <w:rFonts w:ascii="黑体" w:hAnsi="黑体" w:eastAsia="黑体"/>
      <w:color w:val="000000"/>
      <w:sz w:val="21"/>
    </w:rPr>
  </w:style>
  <w:style w:type="character" w:customStyle="1" w:styleId="235">
    <w:name w:val="样式 2 Char Char Char"/>
    <w:semiHidden/>
    <w:qFormat/>
    <w:uiPriority w:val="0"/>
    <w:rPr>
      <w:rFonts w:eastAsia="黑体"/>
      <w:color w:val="000000"/>
      <w:spacing w:val="10"/>
      <w:kern w:val="2"/>
      <w:sz w:val="30"/>
      <w:szCs w:val="21"/>
      <w:lang w:val="en-US" w:eastAsia="zh-CN" w:bidi="ar-SA"/>
    </w:rPr>
  </w:style>
  <w:style w:type="character" w:customStyle="1" w:styleId="236">
    <w:name w:val="样式 hb3 Char Char + 非加粗"/>
    <w:semiHidden/>
    <w:qFormat/>
    <w:uiPriority w:val="0"/>
    <w:rPr>
      <w:rFonts w:ascii="宋体" w:hAnsi="宋体" w:eastAsia="宋体" w:cs="宋体"/>
      <w:b/>
      <w:bCs/>
      <w:sz w:val="24"/>
      <w:szCs w:val="32"/>
      <w:lang w:val="en-US" w:eastAsia="zh-CN"/>
    </w:rPr>
  </w:style>
  <w:style w:type="character" w:customStyle="1" w:styleId="237">
    <w:name w:val="样式 标题 3 Char1条标题1.1.1 CharBSH-3 Char + Times New Roman 小三"/>
    <w:semiHidden/>
    <w:qFormat/>
    <w:uiPriority w:val="0"/>
    <w:rPr>
      <w:rFonts w:ascii="Times New Roman" w:hAnsi="Times New Roman" w:eastAsia="黑体"/>
      <w:bCs/>
      <w:color w:val="008000"/>
      <w:kern w:val="2"/>
      <w:sz w:val="30"/>
      <w:szCs w:val="30"/>
      <w:lang w:val="en-US" w:eastAsia="zh-CN" w:bidi="ar-SA"/>
    </w:rPr>
  </w:style>
  <w:style w:type="character" w:customStyle="1" w:styleId="238">
    <w:name w:val="样式 仿宋_GB2312 小四2"/>
    <w:semiHidden/>
    <w:qFormat/>
    <w:uiPriority w:val="0"/>
    <w:rPr>
      <w:rFonts w:ascii="Times New Roman" w:hAnsi="Times New Roman" w:eastAsia="仿宋_GB2312"/>
      <w:color w:val="000000"/>
      <w:kern w:val="2"/>
      <w:sz w:val="24"/>
      <w:szCs w:val="24"/>
      <w:lang w:val="en-US" w:eastAsia="zh-CN" w:bidi="ar-SA"/>
    </w:rPr>
  </w:style>
  <w:style w:type="character" w:customStyle="1" w:styleId="239">
    <w:name w:val="正文文本 + Angsana New5"/>
    <w:semiHidden/>
    <w:qFormat/>
    <w:uiPriority w:val="0"/>
    <w:rPr>
      <w:rFonts w:ascii="Angsana New" w:hAnsi="Angsana New" w:cs="Angsana New"/>
      <w:spacing w:val="20"/>
      <w:sz w:val="37"/>
      <w:szCs w:val="37"/>
    </w:rPr>
  </w:style>
  <w:style w:type="character" w:customStyle="1" w:styleId="240">
    <w:name w:val="付正文1 Char"/>
    <w:link w:val="241"/>
    <w:qFormat/>
    <w:uiPriority w:val="0"/>
    <w:rPr>
      <w:rFonts w:ascii="宋体" w:hAnsi="宋体"/>
      <w:color w:val="000000"/>
      <w:kern w:val="2"/>
      <w:sz w:val="24"/>
      <w:szCs w:val="21"/>
    </w:rPr>
  </w:style>
  <w:style w:type="paragraph" w:customStyle="1" w:styleId="241">
    <w:name w:val="付正文1"/>
    <w:basedOn w:val="242"/>
    <w:next w:val="242"/>
    <w:link w:val="240"/>
    <w:qFormat/>
    <w:uiPriority w:val="0"/>
  </w:style>
  <w:style w:type="paragraph" w:customStyle="1" w:styleId="242">
    <w:name w:val="fu正文"/>
    <w:basedOn w:val="1"/>
    <w:semiHidden/>
    <w:qFormat/>
    <w:uiPriority w:val="0"/>
    <w:pPr>
      <w:spacing w:line="360" w:lineRule="auto"/>
      <w:ind w:firstLine="200" w:firstLineChars="200"/>
    </w:pPr>
    <w:rPr>
      <w:rFonts w:ascii="宋体" w:hAnsi="宋体"/>
      <w:color w:val="000000"/>
      <w:sz w:val="24"/>
      <w:szCs w:val="21"/>
    </w:rPr>
  </w:style>
  <w:style w:type="character" w:customStyle="1" w:styleId="243">
    <w:name w:val="正文部分 Char"/>
    <w:semiHidden/>
    <w:qFormat/>
    <w:uiPriority w:val="0"/>
    <w:rPr>
      <w:rFonts w:ascii="宋体" w:hAnsi="宋体" w:eastAsia="宋体" w:cs="宋体"/>
      <w:bCs/>
      <w:sz w:val="28"/>
      <w:szCs w:val="32"/>
      <w:lang w:val="en-US" w:eastAsia="zh-CN" w:bidi="ar-SA"/>
    </w:rPr>
  </w:style>
  <w:style w:type="character" w:customStyle="1" w:styleId="244">
    <w:name w:val="题注 Char1 Char"/>
    <w:semiHidden/>
    <w:qFormat/>
    <w:uiPriority w:val="0"/>
    <w:rPr>
      <w:rFonts w:eastAsia="宋体" w:cs="Arial"/>
      <w:color w:val="000000"/>
      <w:kern w:val="2"/>
      <w:sz w:val="24"/>
      <w:szCs w:val="21"/>
      <w:lang w:val="en-US" w:eastAsia="zh-CN" w:bidi="ar-SA"/>
    </w:rPr>
  </w:style>
  <w:style w:type="character" w:customStyle="1" w:styleId="245">
    <w:name w:val="正文文本 (111) + 10.5 pt4"/>
    <w:semiHidden/>
    <w:qFormat/>
    <w:uiPriority w:val="0"/>
    <w:rPr>
      <w:rFonts w:ascii="黑体" w:hAnsi="黑体" w:eastAsia="黑体" w:cs="黑体"/>
      <w:sz w:val="21"/>
      <w:szCs w:val="21"/>
      <w:shd w:val="clear" w:color="auto" w:fill="FFFFFF"/>
      <w:lang w:val="en-US" w:eastAsia="zh-CN"/>
    </w:rPr>
  </w:style>
  <w:style w:type="character" w:customStyle="1" w:styleId="246">
    <w:name w:val="样式 四号"/>
    <w:semiHidden/>
    <w:qFormat/>
    <w:uiPriority w:val="0"/>
    <w:rPr>
      <w:rFonts w:ascii="Times New Roman" w:hAnsi="Times New Roman" w:eastAsia="宋体"/>
      <w:color w:val="auto"/>
      <w:sz w:val="28"/>
    </w:rPr>
  </w:style>
  <w:style w:type="character" w:customStyle="1" w:styleId="247">
    <w:name w:val="正文样式 Char1"/>
    <w:semiHidden/>
    <w:qFormat/>
    <w:uiPriority w:val="0"/>
    <w:rPr>
      <w:rFonts w:ascii="宋体" w:hAnsi="宋体"/>
      <w:kern w:val="2"/>
      <w:sz w:val="24"/>
      <w:szCs w:val="24"/>
    </w:rPr>
  </w:style>
  <w:style w:type="character" w:customStyle="1" w:styleId="248">
    <w:name w:val="正文文本 (111) + MingLiU"/>
    <w:semiHidden/>
    <w:qFormat/>
    <w:uiPriority w:val="0"/>
    <w:rPr>
      <w:rFonts w:ascii="MingLiU" w:eastAsia="MingLiU" w:cs="MingLiU"/>
      <w:sz w:val="25"/>
      <w:szCs w:val="25"/>
      <w:shd w:val="clear" w:color="auto" w:fill="FFFFFF"/>
    </w:rPr>
  </w:style>
  <w:style w:type="character" w:customStyle="1" w:styleId="249">
    <w:name w:val="电子邮件签名 字符"/>
    <w:link w:val="18"/>
    <w:semiHidden/>
    <w:qFormat/>
    <w:uiPriority w:val="0"/>
    <w:rPr>
      <w:rFonts w:ascii="Calibri" w:hAnsi="Calibri"/>
      <w:kern w:val="2"/>
      <w:sz w:val="21"/>
      <w:szCs w:val="21"/>
    </w:rPr>
  </w:style>
  <w:style w:type="character" w:customStyle="1" w:styleId="250">
    <w:name w:val="正文文本 (111) + Arial Unicode MS8"/>
    <w:semiHidden/>
    <w:qFormat/>
    <w:uiPriority w:val="0"/>
    <w:rPr>
      <w:rFonts w:ascii="Arial Unicode MS" w:eastAsia="Arial Unicode MS" w:cs="Arial Unicode MS"/>
      <w:spacing w:val="0"/>
      <w:sz w:val="20"/>
      <w:szCs w:val="20"/>
      <w:shd w:val="clear" w:color="auto" w:fill="FFFFFF"/>
    </w:rPr>
  </w:style>
  <w:style w:type="character" w:customStyle="1" w:styleId="251">
    <w:name w:val="不明显强调1"/>
    <w:qFormat/>
    <w:uiPriority w:val="0"/>
    <w:rPr>
      <w:i/>
      <w:iCs/>
      <w:color w:val="808080"/>
    </w:rPr>
  </w:style>
  <w:style w:type="character" w:customStyle="1" w:styleId="252">
    <w:name w:val="正文文字缩进 Char Char"/>
    <w:semiHidden/>
    <w:qFormat/>
    <w:uiPriority w:val="0"/>
    <w:rPr>
      <w:rFonts w:eastAsia="宋体"/>
      <w:kern w:val="2"/>
      <w:sz w:val="28"/>
      <w:szCs w:val="21"/>
      <w:lang w:val="en-US" w:eastAsia="zh-CN" w:bidi="ar-SA"/>
    </w:rPr>
  </w:style>
  <w:style w:type="character" w:customStyle="1" w:styleId="253">
    <w:name w:val="样式 样式 方正宋三简体 14 磅 行距: 1.5 倍行距1 + 首行缩进:  2 字符 Char Char"/>
    <w:semiHidden/>
    <w:qFormat/>
    <w:uiPriority w:val="0"/>
    <w:rPr>
      <w:rFonts w:ascii="宋体" w:hAnsi="方正宋三简体" w:eastAsia="宋体" w:cs="宋体"/>
      <w:kern w:val="2"/>
      <w:sz w:val="27"/>
      <w:szCs w:val="27"/>
      <w:lang w:val="en-US" w:eastAsia="zh-CN" w:bidi="ar-SA"/>
    </w:rPr>
  </w:style>
  <w:style w:type="character" w:customStyle="1" w:styleId="254">
    <w:name w:val="称呼 字符"/>
    <w:link w:val="29"/>
    <w:qFormat/>
    <w:uiPriority w:val="0"/>
    <w:rPr>
      <w:rFonts w:ascii="Calibri" w:hAnsi="Calibri"/>
      <w:kern w:val="2"/>
      <w:sz w:val="21"/>
      <w:szCs w:val="21"/>
    </w:rPr>
  </w:style>
  <w:style w:type="character" w:customStyle="1" w:styleId="255">
    <w:name w:val="正文文字11"/>
    <w:semiHidden/>
    <w:qFormat/>
    <w:uiPriority w:val="0"/>
    <w:rPr>
      <w:rFonts w:eastAsia="宋体"/>
      <w:kern w:val="2"/>
      <w:sz w:val="21"/>
      <w:szCs w:val="24"/>
      <w:lang w:val="en-US" w:eastAsia="zh-CN" w:bidi="ar-SA"/>
    </w:rPr>
  </w:style>
  <w:style w:type="character" w:customStyle="1" w:styleId="256">
    <w:name w:val="正文文本 (112) + Arial Unicode MS"/>
    <w:semiHidden/>
    <w:qFormat/>
    <w:uiPriority w:val="0"/>
    <w:rPr>
      <w:rFonts w:ascii="Arial Unicode MS" w:eastAsia="Arial Unicode MS" w:cs="Arial Unicode MS"/>
      <w:spacing w:val="0"/>
      <w:w w:val="100"/>
      <w:sz w:val="20"/>
      <w:szCs w:val="20"/>
      <w:shd w:val="clear" w:color="auto" w:fill="FFFFFF"/>
      <w:lang w:bidi="ar-SA"/>
    </w:rPr>
  </w:style>
  <w:style w:type="character" w:customStyle="1" w:styleId="257">
    <w:name w:val="样式 黑体 三号 加粗"/>
    <w:semiHidden/>
    <w:qFormat/>
    <w:uiPriority w:val="0"/>
    <w:rPr>
      <w:rFonts w:ascii="黑体" w:hAnsi="黑体" w:eastAsia="黑体"/>
      <w:b/>
      <w:color w:val="000000"/>
      <w:kern w:val="2"/>
      <w:sz w:val="44"/>
      <w:szCs w:val="21"/>
      <w:lang w:val="en-US" w:eastAsia="zh-CN" w:bidi="ar-SA"/>
    </w:rPr>
  </w:style>
  <w:style w:type="character" w:customStyle="1" w:styleId="258">
    <w:name w:val="正文文本 3 字符"/>
    <w:link w:val="30"/>
    <w:semiHidden/>
    <w:qFormat/>
    <w:uiPriority w:val="0"/>
    <w:rPr>
      <w:rFonts w:ascii="Calibri" w:hAnsi="Calibri" w:eastAsia="汉鼎简书宋"/>
      <w:sz w:val="16"/>
      <w:szCs w:val="16"/>
    </w:rPr>
  </w:style>
  <w:style w:type="character" w:customStyle="1" w:styleId="259">
    <w:name w:val="正文文本 (111) + Arial Unicode MS2"/>
    <w:semiHidden/>
    <w:qFormat/>
    <w:uiPriority w:val="0"/>
    <w:rPr>
      <w:rFonts w:ascii="Arial Unicode MS" w:eastAsia="Arial Unicode MS" w:cs="Arial Unicode MS"/>
      <w:spacing w:val="0"/>
      <w:sz w:val="20"/>
      <w:szCs w:val="20"/>
      <w:shd w:val="clear" w:color="auto" w:fill="FFFFFF"/>
    </w:rPr>
  </w:style>
  <w:style w:type="character" w:customStyle="1" w:styleId="260">
    <w:name w:val="表文字 Char"/>
    <w:qFormat/>
    <w:locked/>
    <w:uiPriority w:val="0"/>
    <w:rPr>
      <w:snapToGrid w:val="0"/>
      <w:color w:val="000000"/>
      <w:w w:val="95"/>
      <w:sz w:val="24"/>
      <w:szCs w:val="21"/>
      <w:lang w:bidi="ar-SA"/>
    </w:rPr>
  </w:style>
  <w:style w:type="character" w:customStyle="1" w:styleId="261">
    <w:name w:val="正文文本 (111) + 10.5 pt3"/>
    <w:semiHidden/>
    <w:qFormat/>
    <w:uiPriority w:val="0"/>
    <w:rPr>
      <w:rFonts w:ascii="黑体" w:eastAsia="黑体" w:cs="黑体"/>
      <w:sz w:val="21"/>
      <w:szCs w:val="21"/>
      <w:shd w:val="clear" w:color="auto" w:fill="FFFFFF"/>
    </w:rPr>
  </w:style>
  <w:style w:type="character" w:customStyle="1" w:styleId="262">
    <w:name w:val="正文样式 Char2"/>
    <w:semiHidden/>
    <w:qFormat/>
    <w:uiPriority w:val="0"/>
    <w:rPr>
      <w:rFonts w:ascii="宋体" w:hAnsi="宋体" w:eastAsia="宋体"/>
      <w:b/>
      <w:kern w:val="2"/>
      <w:sz w:val="24"/>
      <w:szCs w:val="24"/>
      <w:lang w:val="en-US" w:eastAsia="zh-CN" w:bidi="ar-SA"/>
    </w:rPr>
  </w:style>
  <w:style w:type="character" w:customStyle="1" w:styleId="263">
    <w:name w:val="正文文本 (111) + MingLiU1"/>
    <w:semiHidden/>
    <w:qFormat/>
    <w:uiPriority w:val="0"/>
    <w:rPr>
      <w:rFonts w:ascii="MingLiU" w:eastAsia="MingLiU" w:cs="MingLiU"/>
      <w:sz w:val="19"/>
      <w:szCs w:val="19"/>
      <w:shd w:val="clear" w:color="auto" w:fill="FFFFFF"/>
    </w:rPr>
  </w:style>
  <w:style w:type="character" w:customStyle="1" w:styleId="264">
    <w:name w:val="样式 左侧:  1.5 厘米 首行缩进:  0 厘米 Char Char"/>
    <w:semiHidden/>
    <w:qFormat/>
    <w:uiPriority w:val="0"/>
    <w:rPr>
      <w:rFonts w:ascii="Arial" w:hAnsi="Arial" w:eastAsia="宋体"/>
      <w:sz w:val="24"/>
      <w:lang w:val="en-US" w:eastAsia="zh-CN" w:bidi="ar-SA"/>
    </w:rPr>
  </w:style>
  <w:style w:type="character" w:customStyle="1" w:styleId="265">
    <w:name w:val="样式 样式 小四 加粗 + Arial"/>
    <w:semiHidden/>
    <w:qFormat/>
    <w:uiPriority w:val="0"/>
    <w:rPr>
      <w:rFonts w:ascii="Arial" w:hAnsi="Arial"/>
      <w:b/>
      <w:bCs/>
      <w:kern w:val="32"/>
      <w:sz w:val="24"/>
    </w:rPr>
  </w:style>
  <w:style w:type="character" w:customStyle="1" w:styleId="266">
    <w:name w:val="样式 样式 首行缩进:  2 字符 + (符号) 宋体 Char Char Char"/>
    <w:semiHidden/>
    <w:qFormat/>
    <w:uiPriority w:val="0"/>
    <w:rPr>
      <w:rFonts w:ascii="Arial" w:hAnsi="Arial" w:eastAsia="宋体" w:cs="宋体"/>
      <w:kern w:val="2"/>
      <w:sz w:val="24"/>
      <w:szCs w:val="24"/>
      <w:lang w:val="en-US" w:eastAsia="zh-CN" w:bidi="ar-SA"/>
    </w:rPr>
  </w:style>
  <w:style w:type="character" w:customStyle="1" w:styleId="267">
    <w:name w:val="正文文本 + 黑体35"/>
    <w:semiHidden/>
    <w:qFormat/>
    <w:uiPriority w:val="0"/>
    <w:rPr>
      <w:rFonts w:cs="Times New Roman"/>
      <w:sz w:val="21"/>
      <w:szCs w:val="21"/>
    </w:rPr>
  </w:style>
  <w:style w:type="character" w:customStyle="1" w:styleId="268">
    <w:name w:val="自定义正文 Char Char Char Char Char Char Char"/>
    <w:semiHidden/>
    <w:qFormat/>
    <w:uiPriority w:val="0"/>
    <w:rPr>
      <w:kern w:val="2"/>
      <w:position w:val="-28"/>
      <w:sz w:val="28"/>
      <w:szCs w:val="28"/>
    </w:rPr>
  </w:style>
  <w:style w:type="character" w:customStyle="1" w:styleId="269">
    <w:name w:val="表格内容 Char1"/>
    <w:qFormat/>
    <w:uiPriority w:val="0"/>
    <w:rPr>
      <w:rFonts w:ascii="宋体" w:hAnsi="Arial"/>
      <w:kern w:val="2"/>
      <w:sz w:val="21"/>
    </w:rPr>
  </w:style>
  <w:style w:type="character" w:customStyle="1" w:styleId="270">
    <w:name w:val="正文样式1 Char"/>
    <w:link w:val="271"/>
    <w:qFormat/>
    <w:uiPriority w:val="0"/>
    <w:rPr>
      <w:rFonts w:ascii="宋体"/>
      <w:kern w:val="2"/>
      <w:sz w:val="24"/>
      <w:szCs w:val="24"/>
    </w:rPr>
  </w:style>
  <w:style w:type="paragraph" w:customStyle="1" w:styleId="271">
    <w:name w:val="正文样式1"/>
    <w:basedOn w:val="1"/>
    <w:link w:val="270"/>
    <w:qFormat/>
    <w:uiPriority w:val="0"/>
    <w:pPr>
      <w:spacing w:line="360" w:lineRule="auto"/>
      <w:ind w:firstLine="480" w:firstLineChars="200"/>
    </w:pPr>
    <w:rPr>
      <w:rFonts w:ascii="宋体"/>
      <w:sz w:val="24"/>
    </w:rPr>
  </w:style>
  <w:style w:type="character" w:customStyle="1" w:styleId="272">
    <w:name w:val="正文文本 + 12 pt2"/>
    <w:semiHidden/>
    <w:qFormat/>
    <w:uiPriority w:val="0"/>
    <w:rPr>
      <w:rFonts w:ascii="Arial Unicode MS" w:eastAsia="Arial Unicode MS" w:cs="Arial Unicode MS"/>
      <w:spacing w:val="-10"/>
      <w:sz w:val="24"/>
      <w:szCs w:val="24"/>
    </w:rPr>
  </w:style>
  <w:style w:type="character" w:customStyle="1" w:styleId="273">
    <w:name w:val="正文文本 (6)8"/>
    <w:semiHidden/>
    <w:qFormat/>
    <w:uiPriority w:val="0"/>
    <w:rPr>
      <w:rFonts w:ascii="Arial Unicode MS" w:hAnsi="Arial Unicode MS" w:eastAsia="Arial Unicode MS" w:cs="Arial Unicode MS"/>
      <w:spacing w:val="0"/>
      <w:sz w:val="20"/>
      <w:szCs w:val="20"/>
      <w:shd w:val="clear" w:color="auto" w:fill="FFFFFF"/>
    </w:rPr>
  </w:style>
  <w:style w:type="character" w:customStyle="1" w:styleId="274">
    <w:name w:val="正文文本 (6)6"/>
    <w:semiHidden/>
    <w:qFormat/>
    <w:uiPriority w:val="0"/>
    <w:rPr>
      <w:rFonts w:ascii="Arial Unicode MS" w:hAnsi="Arial Unicode MS" w:eastAsia="Arial Unicode MS" w:cs="Arial Unicode MS"/>
      <w:spacing w:val="0"/>
      <w:sz w:val="20"/>
      <w:szCs w:val="20"/>
      <w:shd w:val="clear" w:color="auto" w:fill="FFFFFF"/>
    </w:rPr>
  </w:style>
  <w:style w:type="character" w:customStyle="1" w:styleId="275">
    <w:name w:val="正文文本 (6)5"/>
    <w:semiHidden/>
    <w:qFormat/>
    <w:uiPriority w:val="0"/>
    <w:rPr>
      <w:rFonts w:ascii="Arial Unicode MS" w:hAnsi="Arial Unicode MS" w:eastAsia="Arial Unicode MS" w:cs="Arial Unicode MS"/>
      <w:spacing w:val="0"/>
      <w:sz w:val="20"/>
      <w:szCs w:val="20"/>
      <w:shd w:val="clear" w:color="auto" w:fill="FFFFFF"/>
    </w:rPr>
  </w:style>
  <w:style w:type="character" w:customStyle="1" w:styleId="276">
    <w:name w:val="正文文本 (6)29"/>
    <w:semiHidden/>
    <w:qFormat/>
    <w:uiPriority w:val="0"/>
    <w:rPr>
      <w:rFonts w:ascii="Arial Unicode MS" w:hAnsi="Arial Unicode MS" w:eastAsia="Arial Unicode MS" w:cs="Arial Unicode MS"/>
      <w:spacing w:val="0"/>
      <w:sz w:val="20"/>
      <w:szCs w:val="20"/>
      <w:shd w:val="clear" w:color="auto" w:fill="FFFFFF"/>
    </w:rPr>
  </w:style>
  <w:style w:type="character" w:customStyle="1" w:styleId="277">
    <w:name w:val="正文文本 (6)20"/>
    <w:semiHidden/>
    <w:qFormat/>
    <w:uiPriority w:val="0"/>
    <w:rPr>
      <w:rFonts w:ascii="Arial Unicode MS" w:hAnsi="Arial Unicode MS" w:eastAsia="Arial Unicode MS" w:cs="Arial Unicode MS"/>
      <w:spacing w:val="0"/>
      <w:sz w:val="20"/>
      <w:szCs w:val="20"/>
      <w:shd w:val="clear" w:color="auto" w:fill="FFFFFF"/>
    </w:rPr>
  </w:style>
  <w:style w:type="character" w:customStyle="1" w:styleId="278">
    <w:name w:val="正文文本 (6)19"/>
    <w:semiHidden/>
    <w:qFormat/>
    <w:uiPriority w:val="0"/>
    <w:rPr>
      <w:rFonts w:ascii="Arial Unicode MS" w:hAnsi="Arial Unicode MS" w:eastAsia="Arial Unicode MS" w:cs="Arial Unicode MS"/>
      <w:shd w:val="clear" w:color="auto" w:fill="FFFFFF"/>
    </w:rPr>
  </w:style>
  <w:style w:type="character" w:customStyle="1" w:styleId="279">
    <w:name w:val="正文文本 (6)14"/>
    <w:semiHidden/>
    <w:qFormat/>
    <w:uiPriority w:val="0"/>
    <w:rPr>
      <w:rFonts w:ascii="Arial Unicode MS" w:hAnsi="Arial Unicode MS" w:eastAsia="Arial Unicode MS" w:cs="Arial Unicode MS"/>
      <w:spacing w:val="0"/>
      <w:sz w:val="20"/>
      <w:szCs w:val="20"/>
      <w:shd w:val="clear" w:color="auto" w:fill="FFFFFF"/>
    </w:rPr>
  </w:style>
  <w:style w:type="character" w:customStyle="1" w:styleId="280">
    <w:name w:val="正文文本 (6)12"/>
    <w:semiHidden/>
    <w:qFormat/>
    <w:uiPriority w:val="0"/>
    <w:rPr>
      <w:rFonts w:ascii="Arial Unicode MS" w:hAnsi="Arial Unicode MS" w:eastAsia="Arial Unicode MS" w:cs="Arial Unicode MS"/>
      <w:spacing w:val="0"/>
      <w:sz w:val="20"/>
      <w:szCs w:val="20"/>
      <w:shd w:val="clear" w:color="auto" w:fill="FFFFFF"/>
    </w:rPr>
  </w:style>
  <w:style w:type="character" w:customStyle="1" w:styleId="281">
    <w:name w:val="正文文本 (6) + 间距 -1 pt9"/>
    <w:semiHidden/>
    <w:qFormat/>
    <w:uiPriority w:val="0"/>
    <w:rPr>
      <w:rFonts w:ascii="Arial Unicode MS" w:hAnsi="Arial Unicode MS" w:eastAsia="Arial Unicode MS" w:cs="Arial Unicode MS"/>
      <w:spacing w:val="-20"/>
      <w:sz w:val="20"/>
      <w:szCs w:val="20"/>
      <w:shd w:val="clear" w:color="auto" w:fill="FFFFFF"/>
    </w:rPr>
  </w:style>
  <w:style w:type="character" w:customStyle="1" w:styleId="282">
    <w:name w:val="正文文本 (6) + 间距 -1 pt6"/>
    <w:semiHidden/>
    <w:qFormat/>
    <w:uiPriority w:val="0"/>
    <w:rPr>
      <w:rFonts w:ascii="Arial Unicode MS" w:hAnsi="Arial Unicode MS" w:eastAsia="Arial Unicode MS" w:cs="Arial Unicode MS"/>
      <w:spacing w:val="-20"/>
      <w:sz w:val="20"/>
      <w:szCs w:val="20"/>
      <w:shd w:val="clear" w:color="auto" w:fill="FFFFFF"/>
    </w:rPr>
  </w:style>
  <w:style w:type="character" w:customStyle="1" w:styleId="283">
    <w:name w:val="正文文本 (6)28"/>
    <w:semiHidden/>
    <w:qFormat/>
    <w:uiPriority w:val="0"/>
    <w:rPr>
      <w:rFonts w:ascii="Arial Unicode MS" w:hAnsi="Arial Unicode MS" w:eastAsia="Arial Unicode MS" w:cs="Arial Unicode MS"/>
      <w:spacing w:val="0"/>
      <w:sz w:val="20"/>
      <w:szCs w:val="20"/>
      <w:shd w:val="clear" w:color="auto" w:fill="FFFFFF"/>
      <w:lang w:val="en-US" w:eastAsia="zh-CN"/>
    </w:rPr>
  </w:style>
  <w:style w:type="character" w:customStyle="1" w:styleId="284">
    <w:name w:val="正文文本 (6)30"/>
    <w:semiHidden/>
    <w:qFormat/>
    <w:uiPriority w:val="0"/>
    <w:rPr>
      <w:rFonts w:ascii="Arial Unicode MS" w:hAnsi="Arial Unicode MS" w:eastAsia="Arial Unicode MS" w:cs="Arial Unicode MS"/>
      <w:spacing w:val="0"/>
      <w:sz w:val="20"/>
      <w:szCs w:val="20"/>
      <w:shd w:val="clear" w:color="auto" w:fill="FFFFFF"/>
      <w:lang w:val="en-US" w:eastAsia="zh-CN"/>
    </w:rPr>
  </w:style>
  <w:style w:type="character" w:customStyle="1" w:styleId="285">
    <w:name w:val="正文文本 (6)7"/>
    <w:semiHidden/>
    <w:qFormat/>
    <w:uiPriority w:val="0"/>
    <w:rPr>
      <w:rFonts w:ascii="Arial Unicode MS" w:hAnsi="Arial Unicode MS" w:eastAsia="Arial Unicode MS" w:cs="Arial Unicode MS"/>
      <w:spacing w:val="0"/>
      <w:sz w:val="20"/>
      <w:szCs w:val="20"/>
      <w:shd w:val="clear" w:color="auto" w:fill="FFFFFF"/>
    </w:rPr>
  </w:style>
  <w:style w:type="character" w:customStyle="1" w:styleId="286">
    <w:name w:val="正文文本 (8) + Arial Unicode MS"/>
    <w:semiHidden/>
    <w:qFormat/>
    <w:uiPriority w:val="0"/>
    <w:rPr>
      <w:rFonts w:ascii="Arial Unicode MS" w:eastAsia="Arial Unicode MS" w:cs="Arial Unicode MS"/>
      <w:sz w:val="27"/>
      <w:szCs w:val="27"/>
      <w:lang w:bidi="ar-SA"/>
    </w:rPr>
  </w:style>
  <w:style w:type="character" w:customStyle="1" w:styleId="287">
    <w:name w:val="正文文本 + Angsana New4"/>
    <w:semiHidden/>
    <w:qFormat/>
    <w:uiPriority w:val="0"/>
    <w:rPr>
      <w:rFonts w:ascii="Angsana New" w:hAnsi="Angsana New" w:cs="Angsana New"/>
      <w:spacing w:val="-10"/>
      <w:sz w:val="37"/>
      <w:szCs w:val="37"/>
    </w:rPr>
  </w:style>
  <w:style w:type="character" w:customStyle="1" w:styleId="288">
    <w:name w:val="正文文本 + 黑体1"/>
    <w:semiHidden/>
    <w:qFormat/>
    <w:uiPriority w:val="0"/>
    <w:rPr>
      <w:sz w:val="28"/>
      <w:szCs w:val="28"/>
    </w:rPr>
  </w:style>
  <w:style w:type="character" w:customStyle="1" w:styleId="289">
    <w:name w:val="正文文本 Char Char"/>
    <w:semiHidden/>
    <w:qFormat/>
    <w:uiPriority w:val="0"/>
    <w:rPr>
      <w:rFonts w:eastAsia="宋体"/>
      <w:kern w:val="2"/>
      <w:sz w:val="24"/>
      <w:lang w:val="en-US" w:eastAsia="zh-CN" w:bidi="ar-SA"/>
    </w:rPr>
  </w:style>
  <w:style w:type="character" w:customStyle="1" w:styleId="290">
    <w:name w:val="正文文本缩进 2 Char Char"/>
    <w:semiHidden/>
    <w:qFormat/>
    <w:uiPriority w:val="0"/>
    <w:rPr>
      <w:rFonts w:ascii="宋体" w:eastAsia="宋体"/>
      <w:kern w:val="2"/>
      <w:sz w:val="28"/>
      <w:lang w:val="en-US" w:eastAsia="zh-CN" w:bidi="ar-SA"/>
    </w:rPr>
  </w:style>
  <w:style w:type="character" w:customStyle="1" w:styleId="291">
    <w:name w:val="正文文本缩进 Char Char Char"/>
    <w:semiHidden/>
    <w:qFormat/>
    <w:uiPriority w:val="0"/>
    <w:rPr>
      <w:rFonts w:ascii="宋体" w:hAnsi="宋体" w:eastAsia="宋体"/>
      <w:color w:val="000000"/>
      <w:spacing w:val="20"/>
      <w:kern w:val="2"/>
      <w:sz w:val="24"/>
      <w:szCs w:val="21"/>
      <w:lang w:val="en-US" w:eastAsia="zh-CN" w:bidi="ar-SA"/>
    </w:rPr>
  </w:style>
  <w:style w:type="character" w:customStyle="1" w:styleId="292">
    <w:name w:val="正文文字 2 Char Char"/>
    <w:semiHidden/>
    <w:qFormat/>
    <w:uiPriority w:val="0"/>
    <w:rPr>
      <w:rFonts w:ascii="黑体" w:eastAsia="宋体"/>
      <w:b/>
      <w:kern w:val="2"/>
      <w:sz w:val="21"/>
      <w:szCs w:val="24"/>
      <w:lang w:val="en-US" w:eastAsia="zh-CN" w:bidi="ar-SA"/>
    </w:rPr>
  </w:style>
  <w:style w:type="character" w:customStyle="1" w:styleId="293">
    <w:name w:val="正文样式1111 Char Char"/>
    <w:semiHidden/>
    <w:qFormat/>
    <w:uiPriority w:val="0"/>
    <w:rPr>
      <w:rFonts w:ascii="宋体" w:hAnsi="宋体" w:eastAsia="宋体"/>
      <w:color w:val="000000"/>
      <w:kern w:val="2"/>
      <w:sz w:val="24"/>
      <w:lang w:val="en-US" w:eastAsia="zh-CN"/>
    </w:rPr>
  </w:style>
  <w:style w:type="character" w:customStyle="1" w:styleId="294">
    <w:name w:val="重点引导"/>
    <w:semiHidden/>
    <w:qFormat/>
    <w:uiPriority w:val="0"/>
    <w:rPr>
      <w:b/>
      <w:i/>
    </w:rPr>
  </w:style>
  <w:style w:type="character" w:customStyle="1" w:styleId="295">
    <w:name w:val="珠江啤酒正文 Char"/>
    <w:semiHidden/>
    <w:qFormat/>
    <w:uiPriority w:val="0"/>
    <w:rPr>
      <w:rFonts w:hint="eastAsia" w:ascii="宋体" w:hAnsi="宋体" w:eastAsia="宋体"/>
      <w:b/>
      <w:bCs/>
      <w:kern w:val="2"/>
      <w:sz w:val="21"/>
      <w:szCs w:val="21"/>
      <w:lang w:val="en-US" w:eastAsia="zh-CN" w:bidi="ar-SA"/>
    </w:rPr>
  </w:style>
  <w:style w:type="character" w:customStyle="1" w:styleId="296">
    <w:name w:val="Intense Quote Char"/>
    <w:link w:val="297"/>
    <w:qFormat/>
    <w:locked/>
    <w:uiPriority w:val="0"/>
    <w:rPr>
      <w:rFonts w:ascii="Calibri" w:hAnsi="Calibri"/>
      <w:b/>
      <w:bCs/>
      <w:i/>
      <w:iCs/>
      <w:color w:val="4F81BD"/>
      <w:kern w:val="2"/>
      <w:sz w:val="21"/>
      <w:szCs w:val="22"/>
    </w:rPr>
  </w:style>
  <w:style w:type="paragraph" w:customStyle="1" w:styleId="297">
    <w:name w:val="明显引用1"/>
    <w:basedOn w:val="1"/>
    <w:next w:val="1"/>
    <w:link w:val="296"/>
    <w:qFormat/>
    <w:uiPriority w:val="0"/>
    <w:pPr>
      <w:pBdr>
        <w:bottom w:val="single" w:color="4F81BD" w:sz="4" w:space="4"/>
      </w:pBdr>
      <w:spacing w:before="200" w:after="280"/>
      <w:ind w:left="936" w:right="936"/>
    </w:pPr>
    <w:rPr>
      <w:rFonts w:ascii="Calibri" w:hAnsi="Calibri"/>
      <w:b/>
      <w:bCs/>
      <w:i/>
      <w:iCs/>
      <w:color w:val="4F81BD"/>
      <w:szCs w:val="22"/>
    </w:rPr>
  </w:style>
  <w:style w:type="character" w:customStyle="1" w:styleId="298">
    <w:name w:val="正文文本缩进 3 字符"/>
    <w:link w:val="69"/>
    <w:qFormat/>
    <w:locked/>
    <w:uiPriority w:val="0"/>
    <w:rPr>
      <w:kern w:val="2"/>
      <w:sz w:val="16"/>
      <w:szCs w:val="16"/>
    </w:rPr>
  </w:style>
  <w:style w:type="character" w:customStyle="1" w:styleId="299">
    <w:name w:val="HTML 预设格式 字符"/>
    <w:link w:val="79"/>
    <w:qFormat/>
    <w:locked/>
    <w:uiPriority w:val="99"/>
    <w:rPr>
      <w:rFonts w:ascii="Arial Unicode MS" w:hAnsi="Arial Unicode MS" w:eastAsia="Arial Unicode MS"/>
    </w:rPr>
  </w:style>
  <w:style w:type="character" w:customStyle="1" w:styleId="300">
    <w:name w:val="表格 32 Char Char"/>
    <w:link w:val="301"/>
    <w:qFormat/>
    <w:uiPriority w:val="0"/>
    <w:rPr>
      <w:rFonts w:ascii="宋体" w:hAnsi="Impact"/>
      <w:kern w:val="24"/>
      <w:sz w:val="24"/>
    </w:rPr>
  </w:style>
  <w:style w:type="paragraph" w:customStyle="1" w:styleId="301">
    <w:name w:val="表格 32"/>
    <w:basedOn w:val="1"/>
    <w:link w:val="300"/>
    <w:qFormat/>
    <w:uiPriority w:val="0"/>
    <w:pPr>
      <w:autoSpaceDE w:val="0"/>
      <w:autoSpaceDN w:val="0"/>
      <w:adjustRightInd w:val="0"/>
      <w:jc w:val="center"/>
      <w:textAlignment w:val="baseline"/>
    </w:pPr>
    <w:rPr>
      <w:rFonts w:ascii="宋体" w:hAnsi="Impact"/>
      <w:kern w:val="24"/>
      <w:sz w:val="24"/>
      <w:szCs w:val="20"/>
    </w:rPr>
  </w:style>
  <w:style w:type="character" w:customStyle="1" w:styleId="302">
    <w:name w:val="文章正文 Char"/>
    <w:link w:val="303"/>
    <w:qFormat/>
    <w:uiPriority w:val="0"/>
    <w:rPr>
      <w:rFonts w:ascii="Calibri" w:hAnsi="Calibri" w:eastAsia="仿宋_GB2312"/>
      <w:kern w:val="2"/>
      <w:sz w:val="24"/>
      <w:szCs w:val="24"/>
      <w:lang w:val="en-US" w:eastAsia="zh-CN" w:bidi="ar-SA"/>
    </w:rPr>
  </w:style>
  <w:style w:type="paragraph" w:customStyle="1" w:styleId="303">
    <w:name w:val="文章正文"/>
    <w:next w:val="1"/>
    <w:link w:val="302"/>
    <w:qFormat/>
    <w:uiPriority w:val="0"/>
    <w:pPr>
      <w:spacing w:line="360" w:lineRule="auto"/>
      <w:ind w:firstLine="482"/>
      <w:jc w:val="both"/>
    </w:pPr>
    <w:rPr>
      <w:rFonts w:ascii="Calibri" w:hAnsi="Calibri" w:eastAsia="仿宋_GB2312" w:cs="Times New Roman"/>
      <w:kern w:val="2"/>
      <w:sz w:val="24"/>
      <w:szCs w:val="24"/>
      <w:lang w:val="en-US" w:eastAsia="zh-CN" w:bidi="ar-SA"/>
    </w:rPr>
  </w:style>
  <w:style w:type="character" w:customStyle="1" w:styleId="304">
    <w:name w:val="正文01 Char Char"/>
    <w:link w:val="305"/>
    <w:qFormat/>
    <w:uiPriority w:val="0"/>
    <w:rPr>
      <w:rFonts w:ascii="Arial" w:hAnsi="Arial" w:cs="Arial"/>
      <w:kern w:val="2"/>
      <w:sz w:val="24"/>
    </w:rPr>
  </w:style>
  <w:style w:type="paragraph" w:customStyle="1" w:styleId="305">
    <w:name w:val="正文01"/>
    <w:basedOn w:val="1"/>
    <w:link w:val="304"/>
    <w:qFormat/>
    <w:uiPriority w:val="0"/>
    <w:pPr>
      <w:spacing w:before="60" w:line="460" w:lineRule="exact"/>
      <w:ind w:firstLine="200" w:firstLineChars="200"/>
    </w:pPr>
    <w:rPr>
      <w:rFonts w:ascii="Arial" w:hAnsi="Arial"/>
      <w:sz w:val="24"/>
      <w:szCs w:val="20"/>
    </w:rPr>
  </w:style>
  <w:style w:type="character" w:customStyle="1" w:styleId="306">
    <w:name w:val="样式5 Char2"/>
    <w:qFormat/>
    <w:uiPriority w:val="0"/>
    <w:rPr>
      <w:rFonts w:ascii="宋体" w:hAnsi="宋体" w:eastAsia="宋体"/>
      <w:kern w:val="2"/>
      <w:sz w:val="24"/>
      <w:szCs w:val="24"/>
      <w:lang w:val="en-US" w:eastAsia="zh-CN" w:bidi="ar-SA"/>
    </w:rPr>
  </w:style>
  <w:style w:type="character" w:customStyle="1" w:styleId="307">
    <w:name w:val="纯文本 字符"/>
    <w:link w:val="44"/>
    <w:qFormat/>
    <w:uiPriority w:val="99"/>
    <w:rPr>
      <w:rFonts w:eastAsia="宋体" w:cs="Courier New"/>
      <w:kern w:val="2"/>
      <w:sz w:val="24"/>
      <w:szCs w:val="21"/>
      <w:lang w:val="en-US" w:eastAsia="zh-CN" w:bidi="ar-SA"/>
    </w:rPr>
  </w:style>
  <w:style w:type="character" w:customStyle="1" w:styleId="308">
    <w:name w:val="样式5 Char"/>
    <w:qFormat/>
    <w:uiPriority w:val="0"/>
    <w:rPr>
      <w:rFonts w:eastAsia="宋体"/>
      <w:kern w:val="2"/>
      <w:sz w:val="24"/>
      <w:szCs w:val="24"/>
      <w:lang w:val="en-US" w:eastAsia="zh-CN" w:bidi="ar-SA"/>
    </w:rPr>
  </w:style>
  <w:style w:type="character" w:customStyle="1" w:styleId="309">
    <w:name w:val="样式 小四 行距: 1.5 倍行距 Char"/>
    <w:link w:val="310"/>
    <w:qFormat/>
    <w:uiPriority w:val="0"/>
    <w:rPr>
      <w:rFonts w:ascii="宋体" w:hAnsi="宋体" w:eastAsia="宋体" w:cs="宋体"/>
      <w:kern w:val="2"/>
      <w:sz w:val="24"/>
      <w:szCs w:val="24"/>
      <w:lang w:val="en-US" w:eastAsia="zh-CN" w:bidi="ar-SA"/>
    </w:rPr>
  </w:style>
  <w:style w:type="paragraph" w:customStyle="1" w:styleId="310">
    <w:name w:val="样式 小四 行距: 1.5 倍行距"/>
    <w:basedOn w:val="1"/>
    <w:link w:val="309"/>
    <w:qFormat/>
    <w:uiPriority w:val="0"/>
    <w:pPr>
      <w:keepNext/>
      <w:spacing w:line="360" w:lineRule="auto"/>
      <w:ind w:firstLine="200" w:firstLineChars="200"/>
    </w:pPr>
    <w:rPr>
      <w:rFonts w:ascii="宋体" w:hAnsi="宋体" w:cs="宋体"/>
      <w:sz w:val="24"/>
    </w:rPr>
  </w:style>
  <w:style w:type="character" w:customStyle="1" w:styleId="311">
    <w:name w:val="正文(首行缩进) Char"/>
    <w:link w:val="312"/>
    <w:qFormat/>
    <w:uiPriority w:val="0"/>
    <w:rPr>
      <w:rFonts w:eastAsia="宋体"/>
      <w:bCs/>
      <w:snapToGrid/>
      <w:sz w:val="24"/>
      <w:szCs w:val="28"/>
      <w:lang w:val="en-US" w:eastAsia="zh-CN" w:bidi="ar-SA"/>
    </w:rPr>
  </w:style>
  <w:style w:type="paragraph" w:customStyle="1" w:styleId="312">
    <w:name w:val="正文(首行缩进)"/>
    <w:basedOn w:val="1"/>
    <w:link w:val="311"/>
    <w:qFormat/>
    <w:uiPriority w:val="0"/>
    <w:pPr>
      <w:tabs>
        <w:tab w:val="left" w:pos="42"/>
        <w:tab w:val="left" w:pos="4584"/>
      </w:tabs>
      <w:adjustRightInd w:val="0"/>
      <w:snapToGrid w:val="0"/>
      <w:spacing w:line="360" w:lineRule="auto"/>
      <w:ind w:firstLine="200" w:firstLineChars="200"/>
      <w:jc w:val="center"/>
    </w:pPr>
    <w:rPr>
      <w:bCs/>
      <w:kern w:val="0"/>
      <w:sz w:val="24"/>
      <w:szCs w:val="28"/>
    </w:rPr>
  </w:style>
  <w:style w:type="character" w:customStyle="1" w:styleId="313">
    <w:name w:val="新正文 Char Char"/>
    <w:qFormat/>
    <w:uiPriority w:val="99"/>
    <w:rPr>
      <w:rFonts w:ascii="宋体" w:eastAsia="宋体" w:cs="宋体"/>
      <w:snapToGrid w:val="0"/>
      <w:kern w:val="2"/>
      <w:sz w:val="24"/>
      <w:szCs w:val="21"/>
      <w:lang w:val="en-US" w:eastAsia="zh-CN" w:bidi="ar-SA"/>
    </w:rPr>
  </w:style>
  <w:style w:type="character" w:customStyle="1" w:styleId="314">
    <w:name w:val="注释标题 字符"/>
    <w:link w:val="15"/>
    <w:qFormat/>
    <w:uiPriority w:val="0"/>
    <w:rPr>
      <w:b/>
      <w:kern w:val="2"/>
      <w:sz w:val="24"/>
      <w:szCs w:val="24"/>
    </w:rPr>
  </w:style>
  <w:style w:type="character" w:customStyle="1" w:styleId="315">
    <w:name w:val="样式 首行缩进:  2 字符 Char"/>
    <w:link w:val="316"/>
    <w:qFormat/>
    <w:uiPriority w:val="0"/>
    <w:rPr>
      <w:rFonts w:eastAsia="宋体" w:cs="宋体"/>
      <w:kern w:val="2"/>
      <w:sz w:val="24"/>
      <w:lang w:val="en-US" w:eastAsia="zh-CN" w:bidi="ar-SA"/>
    </w:rPr>
  </w:style>
  <w:style w:type="paragraph" w:customStyle="1" w:styleId="316">
    <w:name w:val="样式 首行缩进:  2 字符"/>
    <w:basedOn w:val="1"/>
    <w:link w:val="315"/>
    <w:qFormat/>
    <w:uiPriority w:val="0"/>
    <w:pPr>
      <w:keepNext/>
      <w:spacing w:line="360" w:lineRule="auto"/>
      <w:ind w:firstLine="200" w:firstLineChars="200"/>
    </w:pPr>
    <w:rPr>
      <w:rFonts w:cs="宋体"/>
      <w:sz w:val="24"/>
      <w:szCs w:val="20"/>
    </w:rPr>
  </w:style>
  <w:style w:type="character" w:customStyle="1" w:styleId="317">
    <w:name w:val="ALT+C Char"/>
    <w:link w:val="318"/>
    <w:qFormat/>
    <w:uiPriority w:val="0"/>
    <w:rPr>
      <w:rFonts w:eastAsia="宋体"/>
      <w:kern w:val="2"/>
      <w:sz w:val="24"/>
      <w:szCs w:val="24"/>
      <w:lang w:val="en-US" w:eastAsia="zh-CN" w:bidi="ar-SA"/>
    </w:rPr>
  </w:style>
  <w:style w:type="paragraph" w:customStyle="1" w:styleId="318">
    <w:name w:val="ALT+C"/>
    <w:basedOn w:val="1"/>
    <w:link w:val="317"/>
    <w:qFormat/>
    <w:uiPriority w:val="0"/>
    <w:pPr>
      <w:keepNext/>
      <w:spacing w:line="360" w:lineRule="auto"/>
      <w:ind w:firstLine="480" w:firstLineChars="200"/>
    </w:pPr>
    <w:rPr>
      <w:sz w:val="24"/>
    </w:rPr>
  </w:style>
  <w:style w:type="character" w:customStyle="1" w:styleId="319">
    <w:name w:val="样式9 Char"/>
    <w:link w:val="320"/>
    <w:qFormat/>
    <w:uiPriority w:val="0"/>
    <w:rPr>
      <w:rFonts w:eastAsia="宋体"/>
      <w:kern w:val="2"/>
      <w:sz w:val="24"/>
      <w:szCs w:val="24"/>
      <w:lang w:val="en-US" w:eastAsia="zh-CN" w:bidi="ar-SA"/>
    </w:rPr>
  </w:style>
  <w:style w:type="paragraph" w:customStyle="1" w:styleId="320">
    <w:name w:val="样式9"/>
    <w:basedOn w:val="1"/>
    <w:link w:val="319"/>
    <w:qFormat/>
    <w:uiPriority w:val="0"/>
    <w:pPr>
      <w:spacing w:line="500" w:lineRule="exact"/>
      <w:ind w:firstLine="480" w:firstLineChars="200"/>
    </w:pPr>
    <w:rPr>
      <w:sz w:val="24"/>
    </w:rPr>
  </w:style>
  <w:style w:type="character" w:customStyle="1" w:styleId="321">
    <w:name w:val="javascript"/>
    <w:basedOn w:val="132"/>
    <w:qFormat/>
    <w:uiPriority w:val="0"/>
  </w:style>
  <w:style w:type="character" w:customStyle="1" w:styleId="322">
    <w:name w:val="正正文 Char"/>
    <w:qFormat/>
    <w:uiPriority w:val="0"/>
    <w:rPr>
      <w:rFonts w:ascii="宋体" w:hAnsi="宋体" w:eastAsia="宋体"/>
      <w:kern w:val="2"/>
      <w:sz w:val="24"/>
      <w:szCs w:val="24"/>
      <w:lang w:val="en-US" w:eastAsia="zh-CN" w:bidi="ar-SA"/>
    </w:rPr>
  </w:style>
  <w:style w:type="character" w:customStyle="1" w:styleId="323">
    <w:name w:val="标准4 Char"/>
    <w:qFormat/>
    <w:uiPriority w:val="0"/>
    <w:rPr>
      <w:rFonts w:ascii="Arial" w:hAnsi="Arial" w:eastAsia="黑体"/>
      <w:b/>
      <w:bCs/>
      <w:kern w:val="2"/>
      <w:sz w:val="24"/>
      <w:szCs w:val="28"/>
      <w:lang w:val="en-US" w:eastAsia="zh-CN" w:bidi="ar-SA"/>
    </w:rPr>
  </w:style>
  <w:style w:type="character" w:customStyle="1" w:styleId="324">
    <w:name w:val="图表名称 Char"/>
    <w:link w:val="325"/>
    <w:qFormat/>
    <w:uiPriority w:val="0"/>
    <w:rPr>
      <w:rFonts w:eastAsia="黑体"/>
      <w:b/>
      <w:bCs/>
      <w:kern w:val="2"/>
      <w:sz w:val="24"/>
      <w:szCs w:val="21"/>
      <w:lang w:val="en-US" w:eastAsia="zh-CN" w:bidi="ar-SA"/>
    </w:rPr>
  </w:style>
  <w:style w:type="paragraph" w:customStyle="1" w:styleId="325">
    <w:name w:val="图表名称"/>
    <w:next w:val="1"/>
    <w:link w:val="324"/>
    <w:qFormat/>
    <w:uiPriority w:val="0"/>
    <w:pPr>
      <w:spacing w:before="25" w:after="25" w:line="360" w:lineRule="auto"/>
      <w:jc w:val="center"/>
    </w:pPr>
    <w:rPr>
      <w:rFonts w:ascii="Times New Roman" w:hAnsi="Times New Roman" w:eastAsia="黑体" w:cs="Times New Roman"/>
      <w:b/>
      <w:bCs/>
      <w:kern w:val="2"/>
      <w:sz w:val="24"/>
      <w:szCs w:val="21"/>
      <w:lang w:val="en-US" w:eastAsia="zh-CN" w:bidi="ar-SA"/>
    </w:rPr>
  </w:style>
  <w:style w:type="character" w:customStyle="1" w:styleId="326">
    <w:name w:val="表头 Char2"/>
    <w:qFormat/>
    <w:uiPriority w:val="0"/>
    <w:rPr>
      <w:rFonts w:ascii="Times New Roman" w:hAnsi="Times New Roman" w:eastAsia="宋体"/>
      <w:b/>
      <w:kern w:val="36"/>
      <w:sz w:val="28"/>
      <w:szCs w:val="24"/>
      <w:lang w:val="en-US" w:eastAsia="zh-CN" w:bidi="ar-SA"/>
    </w:rPr>
  </w:style>
  <w:style w:type="character" w:customStyle="1" w:styleId="327">
    <w:name w:val="txt1"/>
    <w:qFormat/>
    <w:uiPriority w:val="0"/>
    <w:rPr>
      <w:rFonts w:eastAsia="宋体" w:cs="宋体"/>
      <w:b/>
      <w:color w:val="000000"/>
      <w:kern w:val="2"/>
      <w:sz w:val="18"/>
      <w:szCs w:val="18"/>
      <w:lang w:val="en-US" w:eastAsia="zh-CN" w:bidi="ar-SA"/>
    </w:rPr>
  </w:style>
  <w:style w:type="character" w:customStyle="1" w:styleId="328">
    <w:name w:val="textcontents"/>
    <w:basedOn w:val="132"/>
    <w:qFormat/>
    <w:uiPriority w:val="0"/>
  </w:style>
  <w:style w:type="character" w:customStyle="1" w:styleId="329">
    <w:name w:val="正文首行缩进2字符 Char1"/>
    <w:link w:val="330"/>
    <w:qFormat/>
    <w:uiPriority w:val="0"/>
    <w:rPr>
      <w:rFonts w:ascii="宋体" w:hAnsi="宋体"/>
      <w:kern w:val="2"/>
      <w:sz w:val="28"/>
      <w:szCs w:val="24"/>
    </w:rPr>
  </w:style>
  <w:style w:type="paragraph" w:customStyle="1" w:styleId="330">
    <w:name w:val="正文首行缩进2字符"/>
    <w:basedOn w:val="1"/>
    <w:link w:val="329"/>
    <w:qFormat/>
    <w:uiPriority w:val="0"/>
    <w:pPr>
      <w:spacing w:line="480" w:lineRule="exact"/>
      <w:ind w:firstLine="200" w:firstLineChars="200"/>
    </w:pPr>
    <w:rPr>
      <w:rFonts w:ascii="宋体" w:hAnsi="宋体"/>
      <w:sz w:val="28"/>
    </w:rPr>
  </w:style>
  <w:style w:type="character" w:customStyle="1" w:styleId="331">
    <w:name w:val="正文3 Char"/>
    <w:link w:val="332"/>
    <w:qFormat/>
    <w:uiPriority w:val="0"/>
    <w:rPr>
      <w:rFonts w:ascii="宋体" w:hAnsi="宋体" w:cs="宋体"/>
      <w:kern w:val="2"/>
      <w:sz w:val="24"/>
      <w:szCs w:val="24"/>
    </w:rPr>
  </w:style>
  <w:style w:type="paragraph" w:customStyle="1" w:styleId="332">
    <w:name w:val="正文3"/>
    <w:basedOn w:val="1"/>
    <w:next w:val="1"/>
    <w:link w:val="331"/>
    <w:qFormat/>
    <w:uiPriority w:val="0"/>
    <w:pPr>
      <w:spacing w:line="529" w:lineRule="exact"/>
      <w:ind w:firstLine="420"/>
    </w:pPr>
    <w:rPr>
      <w:rFonts w:ascii="宋体" w:hAnsi="宋体"/>
      <w:sz w:val="24"/>
    </w:rPr>
  </w:style>
  <w:style w:type="character" w:customStyle="1" w:styleId="333">
    <w:name w:val="环保3级标题 Char"/>
    <w:link w:val="334"/>
    <w:qFormat/>
    <w:uiPriority w:val="0"/>
    <w:rPr>
      <w:b/>
      <w:bCs/>
      <w:kern w:val="2"/>
      <w:sz w:val="28"/>
      <w:szCs w:val="32"/>
    </w:rPr>
  </w:style>
  <w:style w:type="paragraph" w:customStyle="1" w:styleId="334">
    <w:name w:val="环保3级标题"/>
    <w:basedOn w:val="1"/>
    <w:link w:val="333"/>
    <w:qFormat/>
    <w:uiPriority w:val="0"/>
    <w:pPr>
      <w:keepNext/>
      <w:keepLines/>
      <w:spacing w:before="120" w:after="120" w:line="360" w:lineRule="auto"/>
      <w:jc w:val="left"/>
      <w:outlineLvl w:val="2"/>
    </w:pPr>
    <w:rPr>
      <w:b/>
      <w:bCs/>
      <w:sz w:val="28"/>
      <w:szCs w:val="32"/>
    </w:rPr>
  </w:style>
  <w:style w:type="character" w:customStyle="1" w:styleId="335">
    <w:name w:val="样式 样式 小四 行距: 1.5 倍行距 + 首行缩进:  2 字符 Char"/>
    <w:link w:val="336"/>
    <w:qFormat/>
    <w:uiPriority w:val="0"/>
    <w:rPr>
      <w:color w:val="0000FF"/>
      <w:kern w:val="2"/>
      <w:sz w:val="24"/>
    </w:rPr>
  </w:style>
  <w:style w:type="paragraph" w:customStyle="1" w:styleId="336">
    <w:name w:val="样式 样式 小四 行距: 1.5 倍行距 + 首行缩进:  2 字符"/>
    <w:basedOn w:val="1"/>
    <w:link w:val="335"/>
    <w:qFormat/>
    <w:uiPriority w:val="0"/>
    <w:pPr>
      <w:keepNext/>
      <w:spacing w:line="360" w:lineRule="auto"/>
    </w:pPr>
    <w:rPr>
      <w:color w:val="0000FF"/>
      <w:sz w:val="24"/>
      <w:szCs w:val="20"/>
    </w:rPr>
  </w:style>
  <w:style w:type="character" w:customStyle="1" w:styleId="337">
    <w:name w:val="自定义正文 Char1"/>
    <w:link w:val="338"/>
    <w:qFormat/>
    <w:uiPriority w:val="0"/>
    <w:rPr>
      <w:sz w:val="28"/>
      <w:szCs w:val="21"/>
    </w:rPr>
  </w:style>
  <w:style w:type="paragraph" w:customStyle="1" w:styleId="338">
    <w:name w:val="自定义正文"/>
    <w:basedOn w:val="20"/>
    <w:link w:val="337"/>
    <w:qFormat/>
    <w:uiPriority w:val="0"/>
    <w:pPr>
      <w:ind w:firstLine="200" w:firstLineChars="200"/>
      <w:jc w:val="both"/>
    </w:pPr>
    <w:rPr>
      <w:rFonts w:ascii="Times New Roman" w:hAnsi="Times New Roman"/>
      <w:sz w:val="28"/>
      <w:szCs w:val="21"/>
    </w:rPr>
  </w:style>
  <w:style w:type="character" w:customStyle="1" w:styleId="339">
    <w:name w:val="样式 标题 3 + 首行缩进:  0.99 厘米 Char"/>
    <w:link w:val="340"/>
    <w:qFormat/>
    <w:uiPriority w:val="0"/>
    <w:rPr>
      <w:rFonts w:cs="宋体"/>
      <w:b/>
      <w:bCs/>
      <w:kern w:val="2"/>
      <w:sz w:val="28"/>
    </w:rPr>
  </w:style>
  <w:style w:type="paragraph" w:customStyle="1" w:styleId="340">
    <w:name w:val="样式 标题 3 + 首行缩进:  0.99 厘米"/>
    <w:basedOn w:val="4"/>
    <w:link w:val="339"/>
    <w:qFormat/>
    <w:uiPriority w:val="0"/>
    <w:pPr>
      <w:spacing w:before="120" w:after="120" w:line="360" w:lineRule="auto"/>
      <w:jc w:val="left"/>
    </w:pPr>
    <w:rPr>
      <w:sz w:val="28"/>
      <w:szCs w:val="20"/>
    </w:rPr>
  </w:style>
  <w:style w:type="character" w:customStyle="1" w:styleId="341">
    <w:name w:val="hb33 Char Char"/>
    <w:qFormat/>
    <w:uiPriority w:val="0"/>
    <w:rPr>
      <w:rFonts w:eastAsia="宋体" w:cs="宋体"/>
      <w:b/>
      <w:sz w:val="28"/>
      <w:szCs w:val="28"/>
      <w:lang w:val="en-US" w:eastAsia="zh-CN" w:bidi="ar-SA"/>
    </w:rPr>
  </w:style>
  <w:style w:type="character" w:customStyle="1" w:styleId="342">
    <w:name w:val="样式 样式5 + 首行缩进:  2 字符 Char"/>
    <w:link w:val="343"/>
    <w:qFormat/>
    <w:uiPriority w:val="0"/>
    <w:rPr>
      <w:rFonts w:cs="宋体"/>
      <w:snapToGrid/>
      <w:color w:val="000000"/>
      <w:sz w:val="24"/>
      <w:lang w:val="en-US" w:eastAsia="zh-CN"/>
    </w:rPr>
  </w:style>
  <w:style w:type="paragraph" w:customStyle="1" w:styleId="343">
    <w:name w:val="样式 样式5 + 首行缩进:  2 字符"/>
    <w:basedOn w:val="344"/>
    <w:link w:val="342"/>
    <w:qFormat/>
    <w:uiPriority w:val="0"/>
    <w:pPr>
      <w:keepNext/>
      <w:ind w:firstLine="200"/>
      <w:jc w:val="both"/>
    </w:pPr>
    <w:rPr>
      <w:b w:val="0"/>
      <w:bCs w:val="0"/>
      <w:snapToGrid/>
      <w:color w:val="000000"/>
      <w:szCs w:val="20"/>
    </w:rPr>
  </w:style>
  <w:style w:type="paragraph" w:customStyle="1" w:styleId="344">
    <w:name w:val="样式5"/>
    <w:basedOn w:val="1"/>
    <w:link w:val="406"/>
    <w:qFormat/>
    <w:uiPriority w:val="0"/>
    <w:pPr>
      <w:spacing w:line="348" w:lineRule="auto"/>
      <w:jc w:val="center"/>
    </w:pPr>
    <w:rPr>
      <w:b/>
      <w:bCs/>
      <w:snapToGrid w:val="0"/>
      <w:kern w:val="0"/>
      <w:sz w:val="24"/>
    </w:rPr>
  </w:style>
  <w:style w:type="character" w:customStyle="1" w:styleId="345">
    <w:name w:val="正文文本 字符"/>
    <w:link w:val="33"/>
    <w:qFormat/>
    <w:uiPriority w:val="0"/>
    <w:rPr>
      <w:rFonts w:eastAsia="宋体"/>
      <w:kern w:val="2"/>
      <w:sz w:val="21"/>
      <w:szCs w:val="24"/>
      <w:lang w:val="en-US" w:eastAsia="zh-CN" w:bidi="ar-SA"/>
    </w:rPr>
  </w:style>
  <w:style w:type="character" w:customStyle="1" w:styleId="346">
    <w:name w:val="hb22 Char"/>
    <w:link w:val="347"/>
    <w:qFormat/>
    <w:uiPriority w:val="0"/>
    <w:rPr>
      <w:rFonts w:eastAsia="宋体" w:cs="Arial"/>
      <w:b/>
      <w:bCs/>
      <w:sz w:val="32"/>
      <w:szCs w:val="32"/>
      <w:lang w:val="en-US" w:eastAsia="zh-CN" w:bidi="ar-SA"/>
    </w:rPr>
  </w:style>
  <w:style w:type="paragraph" w:customStyle="1" w:styleId="347">
    <w:name w:val="hb22"/>
    <w:basedOn w:val="3"/>
    <w:link w:val="346"/>
    <w:qFormat/>
    <w:uiPriority w:val="0"/>
    <w:pPr>
      <w:keepLines w:val="0"/>
      <w:topLinePunct/>
      <w:spacing w:before="120" w:after="120" w:line="240" w:lineRule="atLeast"/>
      <w:jc w:val="left"/>
      <w:textAlignment w:val="baseline"/>
    </w:pPr>
    <w:rPr>
      <w:rFonts w:ascii="Times New Roman" w:hAnsi="Times New Roman" w:eastAsia="宋体" w:cs="Arial"/>
      <w:kern w:val="0"/>
    </w:rPr>
  </w:style>
  <w:style w:type="character" w:customStyle="1" w:styleId="348">
    <w:name w:val="样式 宋体 小四"/>
    <w:qFormat/>
    <w:uiPriority w:val="0"/>
    <w:rPr>
      <w:rFonts w:ascii="Times New Roman" w:hAnsi="Times New Roman" w:eastAsia="宋体" w:cs="宋体"/>
      <w:kern w:val="2"/>
      <w:sz w:val="24"/>
      <w:szCs w:val="24"/>
      <w:lang w:val="en-US" w:eastAsia="zh-CN" w:bidi="ar-SA"/>
    </w:rPr>
  </w:style>
  <w:style w:type="character" w:customStyle="1" w:styleId="349">
    <w:name w:val="样式 样式 首行缩进:  2 字符 + 首行缩进:  2 字符 Char"/>
    <w:link w:val="350"/>
    <w:qFormat/>
    <w:uiPriority w:val="0"/>
    <w:rPr>
      <w:rFonts w:eastAsia="宋体" w:cs="宋体"/>
      <w:kern w:val="2"/>
      <w:sz w:val="24"/>
      <w:lang w:val="en-US" w:eastAsia="zh-CN" w:bidi="ar-SA"/>
    </w:rPr>
  </w:style>
  <w:style w:type="paragraph" w:customStyle="1" w:styleId="350">
    <w:name w:val="样式 样式 首行缩进:  2 字符 + 首行缩进:  2 字符"/>
    <w:basedOn w:val="1"/>
    <w:link w:val="349"/>
    <w:qFormat/>
    <w:uiPriority w:val="0"/>
    <w:pPr>
      <w:keepNext/>
      <w:spacing w:line="360" w:lineRule="auto"/>
      <w:ind w:firstLine="480" w:firstLineChars="200"/>
    </w:pPr>
    <w:rPr>
      <w:rFonts w:cs="宋体"/>
      <w:sz w:val="24"/>
      <w:szCs w:val="20"/>
    </w:rPr>
  </w:style>
  <w:style w:type="character" w:customStyle="1" w:styleId="351">
    <w:name w:val="样式 样式 正文(首行缩进) + 首行缩进:  2 字符 + 首行缩进:  2 字符 Char"/>
    <w:link w:val="352"/>
    <w:qFormat/>
    <w:uiPriority w:val="0"/>
    <w:rPr>
      <w:rFonts w:eastAsia="宋体" w:cs="宋体"/>
      <w:snapToGrid/>
      <w:sz w:val="24"/>
      <w:lang w:val="en-US" w:eastAsia="zh-CN" w:bidi="ar-SA"/>
    </w:rPr>
  </w:style>
  <w:style w:type="paragraph" w:customStyle="1" w:styleId="352">
    <w:name w:val="样式 样式 正文(首行缩进) + 首行缩进:  2 字符 + 首行缩进:  2 字符"/>
    <w:basedOn w:val="1"/>
    <w:link w:val="351"/>
    <w:qFormat/>
    <w:uiPriority w:val="0"/>
    <w:pPr>
      <w:tabs>
        <w:tab w:val="left" w:pos="42"/>
        <w:tab w:val="left" w:pos="4584"/>
      </w:tabs>
      <w:adjustRightInd w:val="0"/>
      <w:snapToGrid w:val="0"/>
      <w:spacing w:line="360" w:lineRule="auto"/>
      <w:ind w:firstLine="200" w:firstLineChars="200"/>
      <w:jc w:val="left"/>
    </w:pPr>
    <w:rPr>
      <w:rFonts w:cs="宋体"/>
      <w:kern w:val="0"/>
      <w:sz w:val="24"/>
      <w:szCs w:val="20"/>
    </w:rPr>
  </w:style>
  <w:style w:type="character" w:customStyle="1" w:styleId="353">
    <w:name w:val="样式 正文样式1 + 首行缩进:  2 字符 Char"/>
    <w:link w:val="354"/>
    <w:qFormat/>
    <w:uiPriority w:val="0"/>
    <w:rPr>
      <w:rFonts w:eastAsia="宋体" w:cs="宋体"/>
      <w:sz w:val="24"/>
      <w:lang w:val="en-US" w:eastAsia="zh-CN" w:bidi="ar-SA"/>
    </w:rPr>
  </w:style>
  <w:style w:type="paragraph" w:customStyle="1" w:styleId="354">
    <w:name w:val="样式 正文样式1 + 首行缩进:  2 字符"/>
    <w:basedOn w:val="1"/>
    <w:link w:val="353"/>
    <w:qFormat/>
    <w:uiPriority w:val="0"/>
    <w:pPr>
      <w:widowControl/>
      <w:spacing w:line="360" w:lineRule="auto"/>
      <w:ind w:firstLine="200" w:firstLineChars="200"/>
    </w:pPr>
    <w:rPr>
      <w:rFonts w:cs="宋体"/>
      <w:kern w:val="0"/>
      <w:sz w:val="24"/>
      <w:szCs w:val="20"/>
    </w:rPr>
  </w:style>
  <w:style w:type="character" w:customStyle="1" w:styleId="355">
    <w:name w:val="正文缩进 字符"/>
    <w:link w:val="20"/>
    <w:qFormat/>
    <w:uiPriority w:val="0"/>
    <w:rPr>
      <w:rFonts w:ascii="宋体" w:hAnsi="Times"/>
      <w:sz w:val="24"/>
    </w:rPr>
  </w:style>
  <w:style w:type="character" w:customStyle="1" w:styleId="356">
    <w:name w:val="表格"/>
    <w:qFormat/>
    <w:uiPriority w:val="0"/>
    <w:rPr>
      <w:rFonts w:ascii="黑体" w:hAnsi="Arial" w:eastAsia="黑体" w:cs="Arial"/>
      <w:color w:val="000000"/>
      <w:sz w:val="18"/>
    </w:rPr>
  </w:style>
  <w:style w:type="character" w:customStyle="1" w:styleId="357">
    <w:name w:val="表样式 Char"/>
    <w:link w:val="358"/>
    <w:qFormat/>
    <w:uiPriority w:val="0"/>
    <w:rPr>
      <w:rFonts w:ascii="仿宋_GB2312" w:eastAsia="黑体"/>
      <w:kern w:val="2"/>
      <w:sz w:val="21"/>
      <w:szCs w:val="24"/>
      <w:lang w:val="en-US" w:eastAsia="zh-CN" w:bidi="ar-SA"/>
    </w:rPr>
  </w:style>
  <w:style w:type="paragraph" w:customStyle="1" w:styleId="358">
    <w:name w:val="表样式"/>
    <w:basedOn w:val="1"/>
    <w:link w:val="357"/>
    <w:qFormat/>
    <w:uiPriority w:val="0"/>
    <w:pPr>
      <w:jc w:val="center"/>
    </w:pPr>
    <w:rPr>
      <w:rFonts w:ascii="仿宋_GB2312" w:eastAsia="黑体"/>
    </w:rPr>
  </w:style>
  <w:style w:type="character" w:customStyle="1" w:styleId="359">
    <w:name w:val="主要文字 Char"/>
    <w:qFormat/>
    <w:uiPriority w:val="0"/>
    <w:rPr>
      <w:rFonts w:ascii="宋体" w:hAnsi="宋体" w:eastAsia="宋体"/>
      <w:kern w:val="2"/>
      <w:sz w:val="24"/>
      <w:szCs w:val="24"/>
      <w:lang w:val="en-US" w:eastAsia="zh-CN" w:bidi="ar-SA"/>
    </w:rPr>
  </w:style>
  <w:style w:type="character" w:customStyle="1" w:styleId="360">
    <w:name w:val="正文样式 Char"/>
    <w:link w:val="361"/>
    <w:qFormat/>
    <w:uiPriority w:val="0"/>
    <w:rPr>
      <w:rFonts w:ascii="宋体" w:hAnsi="宋体" w:eastAsia="宋体"/>
      <w:kern w:val="2"/>
      <w:sz w:val="24"/>
      <w:szCs w:val="24"/>
      <w:lang w:val="en-US" w:eastAsia="zh-CN" w:bidi="ar-SA"/>
    </w:rPr>
  </w:style>
  <w:style w:type="paragraph" w:customStyle="1" w:styleId="361">
    <w:name w:val="正文样式"/>
    <w:basedOn w:val="1"/>
    <w:link w:val="360"/>
    <w:qFormat/>
    <w:uiPriority w:val="0"/>
    <w:pPr>
      <w:spacing w:line="360" w:lineRule="auto"/>
      <w:ind w:firstLine="480" w:firstLineChars="200"/>
    </w:pPr>
    <w:rPr>
      <w:rFonts w:ascii="宋体" w:hAnsi="宋体"/>
      <w:sz w:val="24"/>
    </w:rPr>
  </w:style>
  <w:style w:type="character" w:customStyle="1" w:styleId="362">
    <w:name w:val="表格头 Char"/>
    <w:qFormat/>
    <w:uiPriority w:val="0"/>
    <w:rPr>
      <w:rFonts w:ascii="宋体" w:hAnsi="宋体" w:eastAsia="宋体"/>
      <w:kern w:val="2"/>
      <w:sz w:val="24"/>
      <w:szCs w:val="24"/>
      <w:lang w:val="en-US" w:eastAsia="zh-CN" w:bidi="ar-SA"/>
    </w:rPr>
  </w:style>
  <w:style w:type="character" w:customStyle="1" w:styleId="363">
    <w:name w:val="样式 样式 纯文本 + 首行缩进:  2 字符 + 首行缩进:  2 字符 Char"/>
    <w:link w:val="364"/>
    <w:qFormat/>
    <w:uiPriority w:val="0"/>
    <w:rPr>
      <w:rFonts w:eastAsia="宋体" w:cs="宋体"/>
      <w:kern w:val="2"/>
      <w:sz w:val="24"/>
      <w:lang w:val="en-US" w:eastAsia="zh-CN" w:bidi="ar-SA"/>
    </w:rPr>
  </w:style>
  <w:style w:type="paragraph" w:customStyle="1" w:styleId="364">
    <w:name w:val="样式 样式 纯文本 + 首行缩进:  2 字符 + 首行缩进:  2 字符"/>
    <w:basedOn w:val="1"/>
    <w:link w:val="363"/>
    <w:qFormat/>
    <w:uiPriority w:val="0"/>
    <w:pPr>
      <w:keepNext/>
      <w:spacing w:line="360" w:lineRule="auto"/>
      <w:ind w:firstLine="200" w:firstLineChars="200"/>
    </w:pPr>
    <w:rPr>
      <w:rFonts w:cs="宋体"/>
      <w:sz w:val="24"/>
      <w:szCs w:val="20"/>
    </w:rPr>
  </w:style>
  <w:style w:type="character" w:customStyle="1" w:styleId="365">
    <w:name w:val="hb33 Char"/>
    <w:link w:val="366"/>
    <w:qFormat/>
    <w:uiPriority w:val="0"/>
    <w:rPr>
      <w:rFonts w:eastAsia="宋体" w:cs="宋体"/>
      <w:b/>
      <w:sz w:val="28"/>
      <w:szCs w:val="28"/>
      <w:lang w:val="en-US" w:eastAsia="zh-CN" w:bidi="ar-SA"/>
    </w:rPr>
  </w:style>
  <w:style w:type="paragraph" w:customStyle="1" w:styleId="366">
    <w:name w:val="hb33"/>
    <w:basedOn w:val="4"/>
    <w:link w:val="365"/>
    <w:qFormat/>
    <w:uiPriority w:val="0"/>
    <w:pPr>
      <w:keepLines w:val="0"/>
      <w:spacing w:before="0" w:after="60" w:line="360" w:lineRule="auto"/>
      <w:jc w:val="left"/>
      <w:textAlignment w:val="baseline"/>
    </w:pPr>
    <w:rPr>
      <w:rFonts w:cs="宋体"/>
      <w:bCs w:val="0"/>
      <w:kern w:val="0"/>
      <w:sz w:val="28"/>
      <w:szCs w:val="28"/>
    </w:rPr>
  </w:style>
  <w:style w:type="character" w:customStyle="1" w:styleId="367">
    <w:name w:val="hang11"/>
    <w:basedOn w:val="132"/>
    <w:qFormat/>
    <w:uiPriority w:val="0"/>
  </w:style>
  <w:style w:type="character" w:customStyle="1" w:styleId="368">
    <w:name w:val="表头 Char Char"/>
    <w:qFormat/>
    <w:uiPriority w:val="0"/>
    <w:rPr>
      <w:rFonts w:eastAsia="宋体" w:cs="宋体"/>
      <w:b/>
      <w:bCs/>
      <w:kern w:val="32"/>
      <w:sz w:val="24"/>
      <w:szCs w:val="24"/>
      <w:lang w:val="en-US" w:eastAsia="zh-CN" w:bidi="ar-SA"/>
    </w:rPr>
  </w:style>
  <w:style w:type="character" w:customStyle="1" w:styleId="369">
    <w:name w:val="hb33 Char1"/>
    <w:qFormat/>
    <w:uiPriority w:val="0"/>
    <w:rPr>
      <w:rFonts w:eastAsia="宋体" w:cs="宋体"/>
      <w:b/>
      <w:bCs/>
      <w:kern w:val="2"/>
      <w:sz w:val="28"/>
      <w:szCs w:val="28"/>
      <w:lang w:val="en-US" w:eastAsia="zh-CN" w:bidi="ar-SA"/>
    </w:rPr>
  </w:style>
  <w:style w:type="character" w:customStyle="1" w:styleId="370">
    <w:name w:val="环保正文 Char"/>
    <w:link w:val="371"/>
    <w:qFormat/>
    <w:uiPriority w:val="0"/>
    <w:rPr>
      <w:rFonts w:ascii="宋体" w:hAnsi="宋体"/>
      <w:kern w:val="2"/>
      <w:sz w:val="24"/>
      <w:szCs w:val="24"/>
    </w:rPr>
  </w:style>
  <w:style w:type="paragraph" w:customStyle="1" w:styleId="371">
    <w:name w:val="环保正文"/>
    <w:basedOn w:val="1"/>
    <w:link w:val="370"/>
    <w:qFormat/>
    <w:uiPriority w:val="0"/>
    <w:pPr>
      <w:tabs>
        <w:tab w:val="left" w:pos="0"/>
        <w:tab w:val="left" w:pos="7012"/>
      </w:tabs>
      <w:autoSpaceDE w:val="0"/>
      <w:autoSpaceDN w:val="0"/>
      <w:spacing w:line="360" w:lineRule="auto"/>
      <w:ind w:firstLine="200" w:firstLineChars="200"/>
    </w:pPr>
    <w:rPr>
      <w:rFonts w:ascii="宋体" w:hAnsi="宋体"/>
      <w:sz w:val="24"/>
    </w:rPr>
  </w:style>
  <w:style w:type="character" w:customStyle="1" w:styleId="372">
    <w:name w:val="样式15 Char"/>
    <w:link w:val="373"/>
    <w:qFormat/>
    <w:uiPriority w:val="0"/>
    <w:rPr>
      <w:b/>
      <w:bCs/>
      <w:kern w:val="2"/>
      <w:sz w:val="28"/>
      <w:szCs w:val="28"/>
    </w:rPr>
  </w:style>
  <w:style w:type="paragraph" w:customStyle="1" w:styleId="373">
    <w:name w:val="样式15"/>
    <w:basedOn w:val="4"/>
    <w:link w:val="372"/>
    <w:qFormat/>
    <w:uiPriority w:val="0"/>
    <w:pPr>
      <w:spacing w:before="60" w:after="60" w:line="360" w:lineRule="auto"/>
      <w:jc w:val="left"/>
    </w:pPr>
    <w:rPr>
      <w:sz w:val="28"/>
      <w:szCs w:val="28"/>
    </w:rPr>
  </w:style>
  <w:style w:type="character" w:customStyle="1" w:styleId="374">
    <w:name w:val="样式3（代正文） Char"/>
    <w:link w:val="375"/>
    <w:qFormat/>
    <w:uiPriority w:val="0"/>
    <w:rPr>
      <w:rFonts w:ascii="宋体" w:hAnsi="宋体" w:cs="宋体"/>
      <w:snapToGrid w:val="0"/>
      <w:sz w:val="24"/>
      <w:szCs w:val="24"/>
      <w:lang w:val="en-US" w:eastAsia="zh-CN" w:bidi="ar-SA"/>
    </w:rPr>
  </w:style>
  <w:style w:type="paragraph" w:customStyle="1" w:styleId="375">
    <w:name w:val="样式3（代正文）"/>
    <w:link w:val="374"/>
    <w:qFormat/>
    <w:uiPriority w:val="0"/>
    <w:pPr>
      <w:keepNext/>
      <w:widowControl w:val="0"/>
      <w:adjustRightInd w:val="0"/>
      <w:snapToGrid w:val="0"/>
      <w:spacing w:line="360" w:lineRule="auto"/>
      <w:ind w:firstLine="482" w:firstLineChars="200"/>
      <w:jc w:val="both"/>
    </w:pPr>
    <w:rPr>
      <w:rFonts w:ascii="宋体" w:hAnsi="宋体" w:eastAsia="宋体" w:cs="宋体"/>
      <w:snapToGrid w:val="0"/>
      <w:sz w:val="24"/>
      <w:szCs w:val="24"/>
      <w:lang w:val="en-US" w:eastAsia="zh-CN" w:bidi="ar-SA"/>
    </w:rPr>
  </w:style>
  <w:style w:type="character" w:customStyle="1" w:styleId="376">
    <w:name w:val="样式 标题 1 + 黑体 黑色 Char"/>
    <w:link w:val="377"/>
    <w:qFormat/>
    <w:uiPriority w:val="0"/>
    <w:rPr>
      <w:rFonts w:ascii="黑体" w:hAnsi="宋体" w:eastAsia="黑体"/>
      <w:color w:val="000000"/>
      <w:kern w:val="44"/>
      <w:sz w:val="36"/>
      <w:szCs w:val="36"/>
    </w:rPr>
  </w:style>
  <w:style w:type="paragraph" w:customStyle="1" w:styleId="377">
    <w:name w:val="样式 标题 1 + 黑体 黑色"/>
    <w:basedOn w:val="2"/>
    <w:link w:val="376"/>
    <w:qFormat/>
    <w:uiPriority w:val="0"/>
    <w:pPr>
      <w:keepNext w:val="0"/>
      <w:keepLines w:val="0"/>
      <w:tabs>
        <w:tab w:val="left" w:pos="2730"/>
      </w:tabs>
      <w:adjustRightInd w:val="0"/>
      <w:snapToGrid w:val="0"/>
      <w:spacing w:beforeLines="50" w:afterLines="150" w:line="520" w:lineRule="atLeast"/>
    </w:pPr>
    <w:rPr>
      <w:rFonts w:ascii="黑体" w:hAnsi="宋体" w:eastAsia="黑体"/>
      <w:b w:val="0"/>
      <w:bCs w:val="0"/>
      <w:color w:val="000000"/>
      <w:sz w:val="36"/>
      <w:szCs w:val="36"/>
    </w:rPr>
  </w:style>
  <w:style w:type="character" w:customStyle="1" w:styleId="378">
    <w:name w:val="批注框文本 字符"/>
    <w:link w:val="53"/>
    <w:qFormat/>
    <w:uiPriority w:val="0"/>
    <w:rPr>
      <w:kern w:val="2"/>
      <w:sz w:val="18"/>
      <w:szCs w:val="18"/>
    </w:rPr>
  </w:style>
  <w:style w:type="character" w:customStyle="1" w:styleId="379">
    <w:name w:val="环保表格 Char"/>
    <w:link w:val="380"/>
    <w:qFormat/>
    <w:uiPriority w:val="0"/>
    <w:rPr>
      <w:rFonts w:ascii="宋体" w:hAnsi="宋体" w:cs="宋体"/>
      <w:kern w:val="2"/>
      <w:sz w:val="21"/>
      <w:szCs w:val="21"/>
    </w:rPr>
  </w:style>
  <w:style w:type="paragraph" w:customStyle="1" w:styleId="380">
    <w:name w:val="环保表格"/>
    <w:basedOn w:val="371"/>
    <w:link w:val="379"/>
    <w:qFormat/>
    <w:uiPriority w:val="0"/>
    <w:pPr>
      <w:spacing w:line="240" w:lineRule="auto"/>
      <w:ind w:firstLine="0" w:firstLineChars="0"/>
      <w:jc w:val="center"/>
    </w:pPr>
    <w:rPr>
      <w:sz w:val="21"/>
      <w:szCs w:val="21"/>
    </w:rPr>
  </w:style>
  <w:style w:type="character" w:customStyle="1" w:styleId="381">
    <w:name w:val="新正文 Char"/>
    <w:link w:val="382"/>
    <w:qFormat/>
    <w:uiPriority w:val="0"/>
    <w:rPr>
      <w:rFonts w:ascii="宋体"/>
      <w:kern w:val="2"/>
      <w:sz w:val="24"/>
      <w:szCs w:val="24"/>
    </w:rPr>
  </w:style>
  <w:style w:type="paragraph" w:customStyle="1" w:styleId="382">
    <w:name w:val="新正文"/>
    <w:basedOn w:val="1"/>
    <w:link w:val="381"/>
    <w:qFormat/>
    <w:uiPriority w:val="0"/>
    <w:pPr>
      <w:tabs>
        <w:tab w:val="left" w:pos="8295"/>
      </w:tabs>
      <w:spacing w:line="460" w:lineRule="exact"/>
      <w:ind w:firstLine="200" w:firstLineChars="200"/>
    </w:pPr>
    <w:rPr>
      <w:rFonts w:ascii="宋体"/>
      <w:sz w:val="24"/>
    </w:rPr>
  </w:style>
  <w:style w:type="character" w:customStyle="1" w:styleId="383">
    <w:name w:val="表格 Char Char"/>
    <w:qFormat/>
    <w:uiPriority w:val="0"/>
    <w:rPr>
      <w:rFonts w:ascii="Arial" w:hAnsi="Arial" w:eastAsia="宋体"/>
      <w:kern w:val="2"/>
      <w:sz w:val="21"/>
      <w:szCs w:val="21"/>
      <w:lang w:val="en-US" w:eastAsia="zh-CN" w:bidi="ar-SA"/>
    </w:rPr>
  </w:style>
  <w:style w:type="character" w:customStyle="1" w:styleId="384">
    <w:name w:val="图表标题 Char"/>
    <w:link w:val="385"/>
    <w:qFormat/>
    <w:uiPriority w:val="0"/>
    <w:rPr>
      <w:rFonts w:ascii="Arial" w:hAnsi="Arial" w:eastAsia="黑体" w:cs="Arial"/>
      <w:kern w:val="2"/>
      <w:sz w:val="24"/>
      <w:szCs w:val="24"/>
    </w:rPr>
  </w:style>
  <w:style w:type="paragraph" w:customStyle="1" w:styleId="385">
    <w:name w:val="图表标题"/>
    <w:basedOn w:val="21"/>
    <w:link w:val="384"/>
    <w:qFormat/>
    <w:uiPriority w:val="0"/>
    <w:pPr>
      <w:spacing w:before="0" w:after="0" w:line="600" w:lineRule="exact"/>
      <w:jc w:val="center"/>
    </w:pPr>
    <w:rPr>
      <w:rFonts w:cs="Times New Roman"/>
      <w:spacing w:val="0"/>
      <w:sz w:val="24"/>
      <w:szCs w:val="24"/>
    </w:rPr>
  </w:style>
  <w:style w:type="character" w:customStyle="1" w:styleId="386">
    <w:name w:val="页脚 字符"/>
    <w:link w:val="54"/>
    <w:qFormat/>
    <w:uiPriority w:val="99"/>
    <w:rPr>
      <w:kern w:val="2"/>
      <w:sz w:val="18"/>
      <w:szCs w:val="18"/>
    </w:rPr>
  </w:style>
  <w:style w:type="character" w:customStyle="1" w:styleId="387">
    <w:name w:val="格式正 Char"/>
    <w:link w:val="388"/>
    <w:qFormat/>
    <w:uiPriority w:val="0"/>
    <w:rPr>
      <w:rFonts w:ascii="仿宋_GB2312" w:hAnsi="宋体" w:eastAsia="仿宋_GB2312"/>
      <w:kern w:val="2"/>
      <w:sz w:val="24"/>
      <w:szCs w:val="24"/>
    </w:rPr>
  </w:style>
  <w:style w:type="paragraph" w:customStyle="1" w:styleId="388">
    <w:name w:val="格式正"/>
    <w:basedOn w:val="33"/>
    <w:link w:val="387"/>
    <w:qFormat/>
    <w:uiPriority w:val="0"/>
    <w:pPr>
      <w:spacing w:after="0" w:line="360" w:lineRule="auto"/>
      <w:ind w:firstLine="480" w:firstLineChars="200"/>
    </w:pPr>
    <w:rPr>
      <w:rFonts w:ascii="仿宋_GB2312" w:hAnsi="宋体" w:eastAsia="仿宋_GB2312"/>
      <w:sz w:val="24"/>
    </w:rPr>
  </w:style>
  <w:style w:type="character" w:customStyle="1" w:styleId="389">
    <w:name w:val="样式 宋体 小四 黑色 行距: 1.5 倍行距 Char1"/>
    <w:link w:val="390"/>
    <w:qFormat/>
    <w:uiPriority w:val="0"/>
    <w:rPr>
      <w:rFonts w:ascii="宋体" w:hAnsi="宋体" w:cs="宋体"/>
      <w:color w:val="000000"/>
      <w:kern w:val="2"/>
      <w:sz w:val="24"/>
    </w:rPr>
  </w:style>
  <w:style w:type="paragraph" w:customStyle="1" w:styleId="390">
    <w:name w:val="样式 宋体 小四 黑色 行距: 1.5 倍行距"/>
    <w:basedOn w:val="1"/>
    <w:link w:val="389"/>
    <w:qFormat/>
    <w:uiPriority w:val="0"/>
    <w:pPr>
      <w:spacing w:line="360" w:lineRule="auto"/>
      <w:ind w:firstLine="480" w:firstLineChars="200"/>
    </w:pPr>
    <w:rPr>
      <w:rFonts w:ascii="宋体" w:hAnsi="宋体"/>
      <w:color w:val="000000"/>
      <w:sz w:val="24"/>
      <w:szCs w:val="20"/>
    </w:rPr>
  </w:style>
  <w:style w:type="character" w:customStyle="1" w:styleId="391">
    <w:name w:val="表格内容 Char"/>
    <w:link w:val="392"/>
    <w:qFormat/>
    <w:uiPriority w:val="0"/>
    <w:rPr>
      <w:rFonts w:ascii="宋体" w:hAnsi="Arial"/>
      <w:kern w:val="2"/>
      <w:sz w:val="21"/>
    </w:rPr>
  </w:style>
  <w:style w:type="paragraph" w:customStyle="1" w:styleId="392">
    <w:name w:val="表格内容"/>
    <w:basedOn w:val="1"/>
    <w:link w:val="391"/>
    <w:qFormat/>
    <w:uiPriority w:val="0"/>
    <w:pPr>
      <w:overflowPunct w:val="0"/>
      <w:adjustRightInd w:val="0"/>
      <w:jc w:val="center"/>
      <w:textAlignment w:val="baseline"/>
    </w:pPr>
    <w:rPr>
      <w:rFonts w:ascii="宋体" w:hAnsi="Arial"/>
      <w:szCs w:val="20"/>
    </w:rPr>
  </w:style>
  <w:style w:type="character" w:customStyle="1" w:styleId="393">
    <w:name w:val="日期 字符"/>
    <w:link w:val="49"/>
    <w:qFormat/>
    <w:locked/>
    <w:uiPriority w:val="0"/>
    <w:rPr>
      <w:rFonts w:ascii="宋体"/>
      <w:kern w:val="2"/>
      <w:sz w:val="24"/>
    </w:rPr>
  </w:style>
  <w:style w:type="character" w:customStyle="1" w:styleId="394">
    <w:name w:val="XU-正文 Char"/>
    <w:link w:val="395"/>
    <w:qFormat/>
    <w:uiPriority w:val="0"/>
    <w:rPr>
      <w:rFonts w:ascii="宋体" w:hAnsi="宋体"/>
      <w:color w:val="000000"/>
      <w:kern w:val="2"/>
      <w:sz w:val="28"/>
      <w:szCs w:val="28"/>
    </w:rPr>
  </w:style>
  <w:style w:type="paragraph" w:customStyle="1" w:styleId="395">
    <w:name w:val="XU-正文"/>
    <w:basedOn w:val="1"/>
    <w:link w:val="394"/>
    <w:qFormat/>
    <w:uiPriority w:val="0"/>
    <w:pPr>
      <w:adjustRightInd w:val="0"/>
      <w:snapToGrid w:val="0"/>
      <w:spacing w:line="500" w:lineRule="exact"/>
      <w:ind w:firstLine="560" w:firstLineChars="200"/>
    </w:pPr>
    <w:rPr>
      <w:rFonts w:ascii="宋体" w:hAnsi="宋体"/>
      <w:color w:val="000000"/>
      <w:sz w:val="28"/>
      <w:szCs w:val="28"/>
    </w:rPr>
  </w:style>
  <w:style w:type="character" w:customStyle="1" w:styleId="396">
    <w:name w:val="正文小四 Char"/>
    <w:link w:val="397"/>
    <w:qFormat/>
    <w:uiPriority w:val="0"/>
    <w:rPr>
      <w:kern w:val="2"/>
      <w:sz w:val="24"/>
    </w:rPr>
  </w:style>
  <w:style w:type="paragraph" w:customStyle="1" w:styleId="397">
    <w:name w:val="正文小四"/>
    <w:basedOn w:val="1"/>
    <w:link w:val="396"/>
    <w:qFormat/>
    <w:uiPriority w:val="0"/>
    <w:pPr>
      <w:spacing w:line="360" w:lineRule="auto"/>
      <w:ind w:firstLine="200" w:firstLineChars="200"/>
      <w:jc w:val="left"/>
    </w:pPr>
    <w:rPr>
      <w:sz w:val="24"/>
      <w:szCs w:val="20"/>
    </w:rPr>
  </w:style>
  <w:style w:type="character" w:customStyle="1" w:styleId="398">
    <w:name w:val="XU-表格 Char"/>
    <w:link w:val="399"/>
    <w:qFormat/>
    <w:uiPriority w:val="0"/>
    <w:rPr>
      <w:rFonts w:ascii="宋体" w:hAnsi="宋体"/>
      <w:sz w:val="24"/>
      <w:szCs w:val="24"/>
    </w:rPr>
  </w:style>
  <w:style w:type="paragraph" w:customStyle="1" w:styleId="399">
    <w:name w:val="XU-表格"/>
    <w:basedOn w:val="1"/>
    <w:link w:val="398"/>
    <w:qFormat/>
    <w:uiPriority w:val="0"/>
    <w:pPr>
      <w:widowControl/>
      <w:jc w:val="center"/>
    </w:pPr>
    <w:rPr>
      <w:rFonts w:ascii="宋体" w:hAnsi="宋体"/>
      <w:kern w:val="0"/>
      <w:sz w:val="24"/>
    </w:rPr>
  </w:style>
  <w:style w:type="character" w:customStyle="1" w:styleId="400">
    <w:name w:val="表文字 Char1"/>
    <w:link w:val="401"/>
    <w:qFormat/>
    <w:uiPriority w:val="0"/>
    <w:rPr>
      <w:snapToGrid w:val="0"/>
      <w:sz w:val="21"/>
      <w:szCs w:val="21"/>
      <w:lang w:val="en-US" w:eastAsia="zh-CN" w:bidi="ar-SA"/>
    </w:rPr>
  </w:style>
  <w:style w:type="paragraph" w:customStyle="1" w:styleId="401">
    <w:name w:val="表文字"/>
    <w:link w:val="400"/>
    <w:qFormat/>
    <w:uiPriority w:val="0"/>
    <w:pPr>
      <w:adjustRightInd w:val="0"/>
      <w:spacing w:line="300" w:lineRule="exact"/>
      <w:jc w:val="center"/>
    </w:pPr>
    <w:rPr>
      <w:rFonts w:ascii="Times New Roman" w:hAnsi="Times New Roman" w:eastAsia="宋体" w:cs="Times New Roman"/>
      <w:snapToGrid w:val="0"/>
      <w:sz w:val="21"/>
      <w:szCs w:val="21"/>
      <w:lang w:val="en-US" w:eastAsia="zh-CN" w:bidi="ar-SA"/>
    </w:rPr>
  </w:style>
  <w:style w:type="character" w:customStyle="1" w:styleId="402">
    <w:name w:val="XU-表头 Char"/>
    <w:link w:val="403"/>
    <w:qFormat/>
    <w:locked/>
    <w:uiPriority w:val="0"/>
    <w:rPr>
      <w:rFonts w:ascii="宋体" w:hAnsi="宋体"/>
      <w:kern w:val="2"/>
      <w:sz w:val="28"/>
      <w:szCs w:val="24"/>
    </w:rPr>
  </w:style>
  <w:style w:type="paragraph" w:customStyle="1" w:styleId="403">
    <w:name w:val="XU-表头"/>
    <w:basedOn w:val="1"/>
    <w:link w:val="402"/>
    <w:qFormat/>
    <w:uiPriority w:val="0"/>
    <w:pPr>
      <w:spacing w:line="500" w:lineRule="exact"/>
      <w:ind w:firstLine="140" w:firstLineChars="50"/>
      <w:jc w:val="center"/>
    </w:pPr>
    <w:rPr>
      <w:rFonts w:ascii="宋体" w:hAnsi="宋体"/>
      <w:sz w:val="28"/>
    </w:rPr>
  </w:style>
  <w:style w:type="character" w:customStyle="1" w:styleId="404">
    <w:name w:val="龙正文表格 Char"/>
    <w:link w:val="405"/>
    <w:qFormat/>
    <w:uiPriority w:val="0"/>
    <w:rPr>
      <w:rFonts w:hAnsi="宋体"/>
      <w:kern w:val="2"/>
      <w:sz w:val="21"/>
      <w:szCs w:val="21"/>
    </w:rPr>
  </w:style>
  <w:style w:type="paragraph" w:customStyle="1" w:styleId="405">
    <w:name w:val="龙正文表格"/>
    <w:basedOn w:val="1"/>
    <w:link w:val="404"/>
    <w:qFormat/>
    <w:uiPriority w:val="0"/>
    <w:pPr>
      <w:autoSpaceDE w:val="0"/>
      <w:autoSpaceDN w:val="0"/>
      <w:adjustRightInd w:val="0"/>
      <w:jc w:val="center"/>
    </w:pPr>
    <w:rPr>
      <w:rFonts w:hAnsi="宋体"/>
      <w:szCs w:val="21"/>
    </w:rPr>
  </w:style>
  <w:style w:type="character" w:customStyle="1" w:styleId="406">
    <w:name w:val="样式5 Char Char"/>
    <w:link w:val="344"/>
    <w:qFormat/>
    <w:uiPriority w:val="0"/>
    <w:rPr>
      <w:b/>
      <w:bCs/>
      <w:snapToGrid w:val="0"/>
      <w:sz w:val="24"/>
      <w:szCs w:val="24"/>
    </w:rPr>
  </w:style>
  <w:style w:type="character" w:customStyle="1" w:styleId="407">
    <w:name w:val="z正文 Char"/>
    <w:link w:val="408"/>
    <w:qFormat/>
    <w:uiPriority w:val="0"/>
    <w:rPr>
      <w:color w:val="000000"/>
      <w:kern w:val="2"/>
      <w:sz w:val="24"/>
      <w:szCs w:val="24"/>
      <w:lang w:val="en-US" w:eastAsia="zh-CN" w:bidi="ar-SA"/>
    </w:rPr>
  </w:style>
  <w:style w:type="paragraph" w:customStyle="1" w:styleId="408">
    <w:name w:val="z正文"/>
    <w:link w:val="407"/>
    <w:qFormat/>
    <w:uiPriority w:val="0"/>
    <w:pPr>
      <w:kinsoku w:val="0"/>
      <w:overflowPunct w:val="0"/>
      <w:autoSpaceDE w:val="0"/>
      <w:autoSpaceDN w:val="0"/>
      <w:adjustRightInd w:val="0"/>
      <w:snapToGrid w:val="0"/>
      <w:spacing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409">
    <w:name w:val="3 Char Char"/>
    <w:semiHidden/>
    <w:qFormat/>
    <w:uiPriority w:val="0"/>
    <w:rPr>
      <w:rFonts w:eastAsia="宋体"/>
      <w:sz w:val="24"/>
      <w:lang w:val="en-US" w:eastAsia="zh-CN" w:bidi="ar-SA"/>
    </w:rPr>
  </w:style>
  <w:style w:type="character" w:customStyle="1" w:styleId="410">
    <w:name w:val="页眉 字符"/>
    <w:link w:val="56"/>
    <w:qFormat/>
    <w:locked/>
    <w:uiPriority w:val="0"/>
    <w:rPr>
      <w:kern w:val="2"/>
      <w:sz w:val="18"/>
      <w:szCs w:val="18"/>
    </w:rPr>
  </w:style>
  <w:style w:type="character" w:customStyle="1" w:styleId="411">
    <w:name w:val="Char Char3"/>
    <w:semiHidden/>
    <w:qFormat/>
    <w:uiPriority w:val="0"/>
    <w:rPr>
      <w:rFonts w:eastAsia="宋体"/>
      <w:kern w:val="2"/>
      <w:sz w:val="18"/>
      <w:lang w:val="en-US" w:eastAsia="zh-CN" w:bidi="ar-SA"/>
    </w:rPr>
  </w:style>
  <w:style w:type="character" w:customStyle="1" w:styleId="412">
    <w:name w:val="Char Char20"/>
    <w:semiHidden/>
    <w:qFormat/>
    <w:uiPriority w:val="0"/>
    <w:rPr>
      <w:rFonts w:ascii="Times New Roman" w:hAnsi="Times New Roman"/>
      <w:kern w:val="2"/>
      <w:sz w:val="21"/>
      <w:szCs w:val="24"/>
      <w:shd w:val="clear" w:color="auto" w:fill="000080"/>
    </w:rPr>
  </w:style>
  <w:style w:type="character" w:customStyle="1" w:styleId="413">
    <w:name w:val="!节3标 Char Char"/>
    <w:semiHidden/>
    <w:qFormat/>
    <w:uiPriority w:val="0"/>
    <w:rPr>
      <w:rFonts w:ascii="宋体" w:hAnsi="宋体" w:eastAsia="仿宋_GB2312"/>
      <w:b/>
      <w:kern w:val="2"/>
      <w:sz w:val="28"/>
      <w:szCs w:val="28"/>
      <w:lang w:val="en-US" w:bidi="ar-SA"/>
    </w:rPr>
  </w:style>
  <w:style w:type="character" w:customStyle="1" w:styleId="414">
    <w:name w:val="!正文 Char Char"/>
    <w:semiHidden/>
    <w:qFormat/>
    <w:uiPriority w:val="0"/>
    <w:rPr>
      <w:rFonts w:ascii="仿宋_GB2312" w:hAnsi="宋体" w:eastAsia="仿宋_GB2312"/>
      <w:sz w:val="28"/>
      <w:szCs w:val="28"/>
      <w:lang w:val="en-US" w:eastAsia="zh-CN" w:bidi="ar-SA"/>
    </w:rPr>
  </w:style>
  <w:style w:type="character" w:customStyle="1" w:styleId="415">
    <w:name w:val="11p1"/>
    <w:semiHidden/>
    <w:qFormat/>
    <w:uiPriority w:val="0"/>
    <w:rPr>
      <w:rFonts w:eastAsia="宋体"/>
      <w:color w:val="000000"/>
      <w:kern w:val="2"/>
      <w:sz w:val="23"/>
      <w:szCs w:val="23"/>
      <w:lang w:val="en-US" w:eastAsia="zh-CN" w:bidi="ar-SA"/>
    </w:rPr>
  </w:style>
  <w:style w:type="character" w:customStyle="1" w:styleId="416">
    <w:name w:val="123 Char"/>
    <w:semiHidden/>
    <w:qFormat/>
    <w:uiPriority w:val="0"/>
    <w:rPr>
      <w:rFonts w:ascii="宋体" w:hAnsi="宋体" w:eastAsia="宋体" w:cs="宋体"/>
      <w:b/>
      <w:spacing w:val="20"/>
      <w:kern w:val="2"/>
      <w:sz w:val="28"/>
      <w:szCs w:val="28"/>
      <w:lang w:val="en-US" w:eastAsia="zh-CN" w:bidi="ar-SA"/>
    </w:rPr>
  </w:style>
  <w:style w:type="character" w:customStyle="1" w:styleId="417">
    <w:name w:val="123YJ Char Char"/>
    <w:semiHidden/>
    <w:qFormat/>
    <w:uiPriority w:val="0"/>
    <w:rPr>
      <w:rFonts w:ascii="宋体" w:eastAsia="宋体"/>
      <w:b/>
      <w:kern w:val="44"/>
      <w:sz w:val="18"/>
      <w:szCs w:val="21"/>
      <w:lang w:val="en-US" w:eastAsia="zh-CN" w:bidi="ar-SA"/>
    </w:rPr>
  </w:style>
  <w:style w:type="character" w:customStyle="1" w:styleId="418">
    <w:name w:val="13-b-yellow1"/>
    <w:semiHidden/>
    <w:qFormat/>
    <w:uiPriority w:val="0"/>
    <w:rPr>
      <w:rFonts w:ascii="宋体" w:hAnsi="宋体" w:eastAsia="宋体" w:cs="宋体"/>
      <w:b/>
      <w:bCs/>
      <w:color w:val="DD8500"/>
      <w:kern w:val="44"/>
      <w:sz w:val="26"/>
      <w:szCs w:val="28"/>
      <w:lang w:val="en-US" w:eastAsia="zh-CN" w:bidi="ar-SA"/>
    </w:rPr>
  </w:style>
  <w:style w:type="character" w:customStyle="1" w:styleId="419">
    <w:name w:val="3333331"/>
    <w:semiHidden/>
    <w:qFormat/>
    <w:uiPriority w:val="0"/>
    <w:rPr>
      <w:color w:val="333333"/>
      <w:sz w:val="18"/>
      <w:szCs w:val="18"/>
      <w:u w:val="none"/>
    </w:rPr>
  </w:style>
  <w:style w:type="character" w:customStyle="1" w:styleId="420">
    <w:name w:val="3zw1"/>
    <w:semiHidden/>
    <w:qFormat/>
    <w:uiPriority w:val="0"/>
    <w:rPr>
      <w:color w:val="000000"/>
      <w:spacing w:val="360"/>
      <w:sz w:val="21"/>
      <w:szCs w:val="21"/>
    </w:rPr>
  </w:style>
  <w:style w:type="character" w:customStyle="1" w:styleId="421">
    <w:name w:val="9dpi1"/>
    <w:semiHidden/>
    <w:qFormat/>
    <w:uiPriority w:val="0"/>
    <w:rPr>
      <w:spacing w:val="30"/>
      <w:sz w:val="18"/>
      <w:szCs w:val="18"/>
    </w:rPr>
  </w:style>
  <w:style w:type="character" w:customStyle="1" w:styleId="422">
    <w:name w:val="A Char Char"/>
    <w:semiHidden/>
    <w:qFormat/>
    <w:uiPriority w:val="0"/>
    <w:rPr>
      <w:rFonts w:ascii="Arial" w:hAnsi="Arial" w:eastAsia="黑体"/>
      <w:b/>
      <w:bCs/>
      <w:kern w:val="2"/>
      <w:sz w:val="32"/>
      <w:szCs w:val="32"/>
      <w:lang w:val="en-US" w:eastAsia="zh-CN" w:bidi="ar-SA"/>
    </w:rPr>
  </w:style>
  <w:style w:type="character" w:customStyle="1" w:styleId="423">
    <w:name w:val="a10"/>
    <w:semiHidden/>
    <w:qFormat/>
    <w:uiPriority w:val="0"/>
    <w:rPr>
      <w:rFonts w:ascii="黑体" w:eastAsia="黑体"/>
      <w:b/>
      <w:kern w:val="44"/>
      <w:sz w:val="30"/>
      <w:szCs w:val="21"/>
      <w:lang w:val="en-US" w:eastAsia="zh-CN" w:bidi="ar-SA"/>
    </w:rPr>
  </w:style>
  <w:style w:type="character" w:customStyle="1" w:styleId="424">
    <w:name w:val="a11"/>
    <w:semiHidden/>
    <w:qFormat/>
    <w:uiPriority w:val="0"/>
    <w:rPr>
      <w:spacing w:val="330"/>
      <w:sz w:val="20"/>
      <w:szCs w:val="20"/>
    </w:rPr>
  </w:style>
  <w:style w:type="character" w:customStyle="1" w:styleId="425">
    <w:name w:val="apple-converted-space"/>
    <w:qFormat/>
    <w:uiPriority w:val="0"/>
  </w:style>
  <w:style w:type="character" w:customStyle="1" w:styleId="426">
    <w:name w:val="apple-style-span"/>
    <w:semiHidden/>
    <w:qFormat/>
    <w:uiPriority w:val="0"/>
  </w:style>
  <w:style w:type="character" w:customStyle="1" w:styleId="427">
    <w:name w:val="articlelink"/>
    <w:semiHidden/>
    <w:qFormat/>
    <w:uiPriority w:val="0"/>
  </w:style>
  <w:style w:type="character" w:customStyle="1" w:styleId="428">
    <w:name w:val="bfont1"/>
    <w:semiHidden/>
    <w:qFormat/>
    <w:uiPriority w:val="0"/>
    <w:rPr>
      <w:rFonts w:hint="default" w:ascii="Arial" w:hAnsi="Arial" w:eastAsia="宋体"/>
      <w:color w:val="000000"/>
      <w:kern w:val="2"/>
      <w:sz w:val="18"/>
      <w:szCs w:val="21"/>
      <w:lang w:val="en-US" w:eastAsia="zh-CN" w:bidi="ar-SA"/>
    </w:rPr>
  </w:style>
  <w:style w:type="character" w:customStyle="1" w:styleId="429">
    <w:name w:val="biaoti1"/>
    <w:semiHidden/>
    <w:qFormat/>
    <w:uiPriority w:val="0"/>
    <w:rPr>
      <w:rFonts w:eastAsia="宋体"/>
      <w:b/>
      <w:bCs/>
      <w:color w:val="000099"/>
      <w:kern w:val="2"/>
      <w:sz w:val="24"/>
      <w:szCs w:val="24"/>
      <w:lang w:val="en-US" w:eastAsia="zh-CN" w:bidi="ar-SA"/>
    </w:rPr>
  </w:style>
  <w:style w:type="character" w:customStyle="1" w:styleId="430">
    <w:name w:val="Body Text(ch)"/>
    <w:semiHidden/>
    <w:qFormat/>
    <w:uiPriority w:val="0"/>
    <w:rPr>
      <w:rFonts w:ascii="宋体" w:hAnsi="宋体" w:eastAsia="宋体"/>
      <w:snapToGrid w:val="0"/>
      <w:color w:val="000000"/>
      <w:sz w:val="24"/>
      <w:lang w:val="en-US" w:eastAsia="zh-CN"/>
    </w:rPr>
  </w:style>
  <w:style w:type="character" w:customStyle="1" w:styleId="431">
    <w:name w:val="bt2"/>
    <w:semiHidden/>
    <w:qFormat/>
    <w:uiPriority w:val="0"/>
    <w:rPr>
      <w:sz w:val="24"/>
    </w:rPr>
  </w:style>
  <w:style w:type="character" w:customStyle="1" w:styleId="432">
    <w:name w:val="bt21"/>
    <w:semiHidden/>
    <w:qFormat/>
    <w:uiPriority w:val="0"/>
    <w:rPr>
      <w:rFonts w:hint="eastAsia" w:ascii="黑体" w:eastAsia="黑体"/>
      <w:sz w:val="24"/>
    </w:rPr>
  </w:style>
  <w:style w:type="character" w:customStyle="1" w:styleId="433">
    <w:name w:val="Char Char"/>
    <w:semiHidden/>
    <w:qFormat/>
    <w:uiPriority w:val="0"/>
    <w:rPr>
      <w:rFonts w:eastAsia="宋体"/>
      <w:b/>
      <w:bCs/>
      <w:sz w:val="32"/>
      <w:szCs w:val="32"/>
      <w:lang w:val="en-US" w:eastAsia="zh-CN"/>
    </w:rPr>
  </w:style>
  <w:style w:type="character" w:customStyle="1" w:styleId="434">
    <w:name w:val="Char Char Char"/>
    <w:semiHidden/>
    <w:qFormat/>
    <w:uiPriority w:val="0"/>
    <w:rPr>
      <w:rFonts w:eastAsia="宋体"/>
      <w:b/>
      <w:bCs/>
      <w:sz w:val="32"/>
      <w:szCs w:val="32"/>
      <w:lang w:val="en-US" w:eastAsia="zh-CN"/>
    </w:rPr>
  </w:style>
  <w:style w:type="character" w:customStyle="1" w:styleId="435">
    <w:name w:val="Char Char Char Char Char Char Char Char Char"/>
    <w:semiHidden/>
    <w:qFormat/>
    <w:uiPriority w:val="0"/>
    <w:rPr>
      <w:rFonts w:ascii="宋体" w:hAnsi="宋体" w:cs="宋体"/>
      <w:kern w:val="2"/>
      <w:sz w:val="24"/>
      <w:szCs w:val="24"/>
    </w:rPr>
  </w:style>
  <w:style w:type="character" w:customStyle="1" w:styleId="436">
    <w:name w:val="Char Char Char2"/>
    <w:qFormat/>
    <w:uiPriority w:val="0"/>
    <w:rPr>
      <w:rFonts w:eastAsia="宋体"/>
      <w:color w:val="000000"/>
      <w:kern w:val="2"/>
      <w:sz w:val="21"/>
      <w:szCs w:val="24"/>
      <w:lang w:val="en-US" w:eastAsia="zh-CN" w:bidi="ar-SA"/>
    </w:rPr>
  </w:style>
  <w:style w:type="character" w:customStyle="1" w:styleId="437">
    <w:name w:val="Char Char11"/>
    <w:semiHidden/>
    <w:qFormat/>
    <w:uiPriority w:val="0"/>
    <w:rPr>
      <w:rFonts w:eastAsia="宋体"/>
      <w:kern w:val="2"/>
      <w:sz w:val="18"/>
      <w:szCs w:val="18"/>
      <w:lang w:val="en-US" w:eastAsia="zh-CN" w:bidi="ar-SA"/>
    </w:rPr>
  </w:style>
  <w:style w:type="character" w:customStyle="1" w:styleId="438">
    <w:name w:val="Char Char13"/>
    <w:semiHidden/>
    <w:qFormat/>
    <w:uiPriority w:val="0"/>
    <w:rPr>
      <w:rFonts w:eastAsia="宋体"/>
      <w:lang w:val="en-US" w:eastAsia="zh-CN" w:bidi="ar-SA"/>
    </w:rPr>
  </w:style>
  <w:style w:type="character" w:customStyle="1" w:styleId="439">
    <w:name w:val="Char Char14"/>
    <w:semiHidden/>
    <w:qFormat/>
    <w:uiPriority w:val="0"/>
    <w:rPr>
      <w:b/>
      <w:bCs/>
      <w:kern w:val="2"/>
      <w:sz w:val="28"/>
      <w:szCs w:val="28"/>
    </w:rPr>
  </w:style>
  <w:style w:type="character" w:customStyle="1" w:styleId="440">
    <w:name w:val="Char Char15"/>
    <w:semiHidden/>
    <w:qFormat/>
    <w:uiPriority w:val="0"/>
    <w:rPr>
      <w:rFonts w:eastAsia="宋体"/>
      <w:kern w:val="2"/>
      <w:sz w:val="18"/>
      <w:szCs w:val="18"/>
      <w:lang w:val="en-US" w:eastAsia="zh-CN" w:bidi="ar-SA"/>
    </w:rPr>
  </w:style>
  <w:style w:type="character" w:customStyle="1" w:styleId="441">
    <w:name w:val="Char Char16"/>
    <w:semiHidden/>
    <w:qFormat/>
    <w:uiPriority w:val="0"/>
    <w:rPr>
      <w:rFonts w:eastAsia="黑体" w:cs="Arial"/>
      <w:bCs/>
      <w:kern w:val="28"/>
      <w:sz w:val="24"/>
      <w:szCs w:val="32"/>
      <w:lang w:val="en-US" w:eastAsia="zh-CN" w:bidi="ar-SA"/>
    </w:rPr>
  </w:style>
  <w:style w:type="character" w:customStyle="1" w:styleId="442">
    <w:name w:val="Char Char17"/>
    <w:semiHidden/>
    <w:qFormat/>
    <w:uiPriority w:val="0"/>
    <w:rPr>
      <w:rFonts w:ascii="Calibri" w:hAnsi="Calibri" w:eastAsia="宋体" w:cs="Times New Roman"/>
      <w:sz w:val="18"/>
      <w:szCs w:val="18"/>
    </w:rPr>
  </w:style>
  <w:style w:type="character" w:customStyle="1" w:styleId="443">
    <w:name w:val="Char Char171"/>
    <w:semiHidden/>
    <w:qFormat/>
    <w:uiPriority w:val="0"/>
    <w:rPr>
      <w:rFonts w:eastAsia="宋体"/>
      <w:kern w:val="2"/>
      <w:sz w:val="21"/>
      <w:szCs w:val="24"/>
      <w:lang w:val="en-US" w:eastAsia="zh-CN" w:bidi="ar-SA"/>
    </w:rPr>
  </w:style>
  <w:style w:type="character" w:customStyle="1" w:styleId="444">
    <w:name w:val="Char Char172"/>
    <w:semiHidden/>
    <w:qFormat/>
    <w:uiPriority w:val="0"/>
    <w:rPr>
      <w:rFonts w:ascii="宋体" w:hAnsi="宋体" w:eastAsia="宋体"/>
      <w:b/>
      <w:kern w:val="2"/>
      <w:sz w:val="28"/>
      <w:lang w:val="zh-CN" w:eastAsia="zh-CN" w:bidi="ar-SA"/>
    </w:rPr>
  </w:style>
  <w:style w:type="character" w:customStyle="1" w:styleId="445">
    <w:name w:val="Char Char18"/>
    <w:semiHidden/>
    <w:qFormat/>
    <w:uiPriority w:val="0"/>
    <w:rPr>
      <w:rFonts w:ascii="宋体" w:hAnsi="Arial" w:eastAsia="宋体"/>
      <w:b/>
      <w:kern w:val="2"/>
      <w:sz w:val="24"/>
      <w:lang w:val="en-US" w:eastAsia="zh-CN" w:bidi="ar-SA"/>
    </w:rPr>
  </w:style>
  <w:style w:type="character" w:customStyle="1" w:styleId="446">
    <w:name w:val="Char Char181"/>
    <w:semiHidden/>
    <w:qFormat/>
    <w:uiPriority w:val="0"/>
    <w:rPr>
      <w:rFonts w:ascii="宋体" w:hAnsi="Arial" w:eastAsia="宋体"/>
      <w:b/>
      <w:kern w:val="2"/>
      <w:sz w:val="24"/>
      <w:lang w:val="en-US" w:eastAsia="zh-CN" w:bidi="ar-SA"/>
    </w:rPr>
  </w:style>
  <w:style w:type="character" w:customStyle="1" w:styleId="447">
    <w:name w:val="Char Char19"/>
    <w:semiHidden/>
    <w:qFormat/>
    <w:uiPriority w:val="0"/>
    <w:rPr>
      <w:rFonts w:ascii="Calibri" w:hAnsi="Calibri" w:eastAsia="宋体" w:cs="Times New Roman"/>
    </w:rPr>
  </w:style>
  <w:style w:type="character" w:customStyle="1" w:styleId="448">
    <w:name w:val="Char Char191"/>
    <w:semiHidden/>
    <w:qFormat/>
    <w:uiPriority w:val="0"/>
    <w:rPr>
      <w:rFonts w:eastAsia="宋体"/>
      <w:kern w:val="2"/>
      <w:sz w:val="24"/>
      <w:szCs w:val="24"/>
      <w:lang w:val="en-US" w:eastAsia="zh-CN" w:bidi="ar-SA"/>
    </w:rPr>
  </w:style>
  <w:style w:type="character" w:customStyle="1" w:styleId="449">
    <w:name w:val="Char Char2"/>
    <w:qFormat/>
    <w:uiPriority w:val="0"/>
    <w:rPr>
      <w:rFonts w:eastAsia="宋体"/>
      <w:b/>
      <w:bCs/>
      <w:kern w:val="2"/>
      <w:sz w:val="32"/>
      <w:szCs w:val="32"/>
      <w:lang w:val="en-US" w:eastAsia="zh-CN" w:bidi="ar-SA"/>
    </w:rPr>
  </w:style>
  <w:style w:type="character" w:customStyle="1" w:styleId="450">
    <w:name w:val="Char Char202"/>
    <w:semiHidden/>
    <w:qFormat/>
    <w:uiPriority w:val="0"/>
    <w:rPr>
      <w:rFonts w:ascii="Times New Roman" w:hAnsi="Times New Roman" w:eastAsia="宋体" w:cs="Times New Roman"/>
      <w:sz w:val="28"/>
      <w:szCs w:val="20"/>
    </w:rPr>
  </w:style>
  <w:style w:type="character" w:customStyle="1" w:styleId="451">
    <w:name w:val="Char Char201"/>
    <w:semiHidden/>
    <w:qFormat/>
    <w:uiPriority w:val="0"/>
    <w:rPr>
      <w:rFonts w:eastAsia="黑体"/>
      <w:kern w:val="2"/>
      <w:sz w:val="24"/>
      <w:szCs w:val="24"/>
      <w:lang w:val="en-US" w:eastAsia="zh-CN" w:bidi="ar-SA"/>
    </w:rPr>
  </w:style>
  <w:style w:type="character" w:customStyle="1" w:styleId="452">
    <w:name w:val="Char Char21"/>
    <w:semiHidden/>
    <w:qFormat/>
    <w:uiPriority w:val="0"/>
    <w:rPr>
      <w:rFonts w:ascii="宋体" w:hAnsi="宋体" w:eastAsia="宋体"/>
      <w:b/>
      <w:bCs/>
      <w:color w:val="000000"/>
      <w:sz w:val="28"/>
      <w:szCs w:val="28"/>
      <w:lang w:val="en-US" w:eastAsia="zh-CN" w:bidi="ar-SA"/>
    </w:rPr>
  </w:style>
  <w:style w:type="character" w:customStyle="1" w:styleId="453">
    <w:name w:val="Char Char211"/>
    <w:semiHidden/>
    <w:qFormat/>
    <w:uiPriority w:val="0"/>
    <w:rPr>
      <w:rFonts w:ascii="宋体" w:eastAsia="宋体"/>
      <w:color w:val="000000"/>
      <w:sz w:val="36"/>
      <w:lang w:val="en-US" w:eastAsia="zh-CN" w:bidi="ar-SA"/>
    </w:rPr>
  </w:style>
  <w:style w:type="character" w:customStyle="1" w:styleId="454">
    <w:name w:val="Char Char22"/>
    <w:semiHidden/>
    <w:qFormat/>
    <w:uiPriority w:val="0"/>
    <w:rPr>
      <w:rFonts w:ascii="Calibri" w:hAnsi="Calibri" w:eastAsia="宋体" w:cs="Times New Roman"/>
      <w:sz w:val="18"/>
      <w:szCs w:val="18"/>
    </w:rPr>
  </w:style>
  <w:style w:type="character" w:customStyle="1" w:styleId="455">
    <w:name w:val="Char Char221"/>
    <w:semiHidden/>
    <w:qFormat/>
    <w:uiPriority w:val="0"/>
    <w:rPr>
      <w:rFonts w:eastAsia="宋体"/>
      <w:kern w:val="2"/>
      <w:sz w:val="21"/>
      <w:szCs w:val="24"/>
      <w:lang w:val="en-US" w:eastAsia="zh-CN" w:bidi="ar-SA"/>
    </w:rPr>
  </w:style>
  <w:style w:type="character" w:customStyle="1" w:styleId="456">
    <w:name w:val="Char Char23"/>
    <w:semiHidden/>
    <w:qFormat/>
    <w:uiPriority w:val="0"/>
    <w:rPr>
      <w:rFonts w:ascii="宋体" w:hAnsi="Calibri" w:eastAsia="宋体" w:cs="Times New Roman"/>
      <w:sz w:val="18"/>
      <w:szCs w:val="18"/>
    </w:rPr>
  </w:style>
  <w:style w:type="character" w:customStyle="1" w:styleId="457">
    <w:name w:val="Char Char26"/>
    <w:semiHidden/>
    <w:qFormat/>
    <w:uiPriority w:val="0"/>
    <w:rPr>
      <w:rFonts w:ascii="Calibri" w:hAnsi="Calibri" w:eastAsia="宋体" w:cs="Times New Roman"/>
      <w:b/>
      <w:bCs/>
      <w:sz w:val="24"/>
      <w:szCs w:val="24"/>
    </w:rPr>
  </w:style>
  <w:style w:type="character" w:customStyle="1" w:styleId="458">
    <w:name w:val="Char Char29"/>
    <w:semiHidden/>
    <w:qFormat/>
    <w:uiPriority w:val="0"/>
    <w:rPr>
      <w:rFonts w:ascii="Arial" w:hAnsi="Arial" w:eastAsia="黑体" w:cs="Times New Roman"/>
      <w:b/>
      <w:bCs/>
      <w:sz w:val="28"/>
      <w:szCs w:val="28"/>
    </w:rPr>
  </w:style>
  <w:style w:type="character" w:customStyle="1" w:styleId="459">
    <w:name w:val="Char Char31"/>
    <w:semiHidden/>
    <w:qFormat/>
    <w:uiPriority w:val="0"/>
    <w:rPr>
      <w:rFonts w:eastAsia="宋体"/>
      <w:b/>
      <w:bCs/>
      <w:sz w:val="28"/>
      <w:szCs w:val="28"/>
      <w:lang w:val="en-US" w:eastAsia="zh-CN" w:bidi="ar-SA"/>
    </w:rPr>
  </w:style>
  <w:style w:type="character" w:customStyle="1" w:styleId="460">
    <w:name w:val="Char Char4"/>
    <w:semiHidden/>
    <w:qFormat/>
    <w:uiPriority w:val="0"/>
    <w:rPr>
      <w:rFonts w:ascii="Arial" w:hAnsi="Arial" w:eastAsia="黑体"/>
      <w:b/>
      <w:bCs/>
      <w:sz w:val="28"/>
      <w:szCs w:val="28"/>
      <w:lang w:val="en-US" w:eastAsia="zh-CN" w:bidi="ar-SA"/>
    </w:rPr>
  </w:style>
  <w:style w:type="character" w:customStyle="1" w:styleId="461">
    <w:name w:val="Char Char9"/>
    <w:semiHidden/>
    <w:qFormat/>
    <w:uiPriority w:val="0"/>
    <w:rPr>
      <w:rFonts w:eastAsia="宋体"/>
      <w:kern w:val="2"/>
      <w:sz w:val="18"/>
      <w:szCs w:val="18"/>
      <w:lang w:val="en-US" w:eastAsia="zh-CN" w:bidi="ar-SA"/>
    </w:rPr>
  </w:style>
  <w:style w:type="character" w:customStyle="1" w:styleId="462">
    <w:name w:val="cn1"/>
    <w:semiHidden/>
    <w:qFormat/>
    <w:uiPriority w:val="0"/>
    <w:rPr>
      <w:spacing w:val="360"/>
      <w:sz w:val="21"/>
      <w:szCs w:val="21"/>
    </w:rPr>
  </w:style>
  <w:style w:type="character" w:customStyle="1" w:styleId="463">
    <w:name w:val="comp_content"/>
    <w:semiHidden/>
    <w:qFormat/>
    <w:uiPriority w:val="0"/>
    <w:rPr>
      <w:rFonts w:hint="default" w:eastAsia="宋体"/>
      <w:color w:val="000000"/>
      <w:kern w:val="2"/>
      <w:sz w:val="21"/>
      <w:szCs w:val="21"/>
      <w:lang w:val="en-US" w:eastAsia="zh-CN" w:bidi="ar-SA"/>
    </w:rPr>
  </w:style>
  <w:style w:type="character" w:customStyle="1" w:styleId="464">
    <w:name w:val="content1"/>
    <w:semiHidden/>
    <w:qFormat/>
    <w:uiPriority w:val="0"/>
    <w:rPr>
      <w:sz w:val="21"/>
      <w:szCs w:val="21"/>
    </w:rPr>
  </w:style>
  <w:style w:type="character" w:customStyle="1" w:styleId="465">
    <w:name w:val="content2"/>
    <w:semiHidden/>
    <w:qFormat/>
    <w:uiPriority w:val="0"/>
  </w:style>
  <w:style w:type="character" w:customStyle="1" w:styleId="466">
    <w:name w:val="contenttext11"/>
    <w:semiHidden/>
    <w:qFormat/>
    <w:uiPriority w:val="0"/>
    <w:rPr>
      <w:rFonts w:hint="eastAsia" w:ascii="宋体" w:hAnsi="宋体" w:eastAsia="宋体"/>
      <w:sz w:val="20"/>
      <w:szCs w:val="20"/>
    </w:rPr>
  </w:style>
  <w:style w:type="character" w:customStyle="1" w:styleId="467">
    <w:name w:val="css91"/>
    <w:semiHidden/>
    <w:qFormat/>
    <w:uiPriority w:val="0"/>
    <w:rPr>
      <w:color w:val="000000"/>
      <w:sz w:val="20"/>
      <w:szCs w:val="20"/>
    </w:rPr>
  </w:style>
  <w:style w:type="character" w:customStyle="1" w:styleId="468">
    <w:name w:val="css-text3"/>
    <w:semiHidden/>
    <w:qFormat/>
    <w:uiPriority w:val="0"/>
  </w:style>
  <w:style w:type="character" w:customStyle="1" w:styleId="469">
    <w:name w:val="DeltaView Insertion"/>
    <w:semiHidden/>
    <w:qFormat/>
    <w:uiPriority w:val="0"/>
    <w:rPr>
      <w:color w:val="0000FF"/>
      <w:spacing w:val="0"/>
      <w:u w:val="double"/>
    </w:rPr>
  </w:style>
  <w:style w:type="character" w:customStyle="1" w:styleId="470">
    <w:name w:val="detail"/>
    <w:semiHidden/>
    <w:qFormat/>
    <w:uiPriority w:val="0"/>
  </w:style>
  <w:style w:type="character" w:customStyle="1" w:styleId="471">
    <w:name w:val="f10wentitle"/>
    <w:semiHidden/>
    <w:qFormat/>
    <w:uiPriority w:val="0"/>
    <w:rPr>
      <w:rFonts w:eastAsia="宋体"/>
      <w:color w:val="000000"/>
      <w:kern w:val="2"/>
      <w:sz w:val="21"/>
      <w:szCs w:val="21"/>
      <w:lang w:val="en-US" w:eastAsia="zh-CN" w:bidi="ar-SA"/>
    </w:rPr>
  </w:style>
  <w:style w:type="character" w:customStyle="1" w:styleId="472">
    <w:name w:val="f141"/>
    <w:semiHidden/>
    <w:qFormat/>
    <w:uiPriority w:val="0"/>
    <w:rPr>
      <w:color w:val="000000"/>
      <w:sz w:val="24"/>
      <w:szCs w:val="24"/>
    </w:rPr>
  </w:style>
  <w:style w:type="character" w:customStyle="1" w:styleId="473">
    <w:name w:val="f151"/>
    <w:semiHidden/>
    <w:qFormat/>
    <w:uiPriority w:val="0"/>
    <w:rPr>
      <w:rFonts w:eastAsia="宋体"/>
      <w:color w:val="000000"/>
      <w:kern w:val="2"/>
      <w:sz w:val="23"/>
      <w:szCs w:val="23"/>
      <w:lang w:val="en-US" w:eastAsia="zh-CN" w:bidi="ar-SA"/>
    </w:rPr>
  </w:style>
  <w:style w:type="character" w:customStyle="1" w:styleId="474">
    <w:name w:val="f31"/>
    <w:semiHidden/>
    <w:qFormat/>
    <w:uiPriority w:val="0"/>
    <w:rPr>
      <w:sz w:val="32"/>
      <w:szCs w:val="32"/>
    </w:rPr>
  </w:style>
  <w:style w:type="character" w:customStyle="1" w:styleId="475">
    <w:name w:val="f9wen1"/>
    <w:semiHidden/>
    <w:qFormat/>
    <w:uiPriority w:val="0"/>
    <w:rPr>
      <w:rFonts w:eastAsia="宋体"/>
      <w:color w:val="000000"/>
      <w:spacing w:val="12"/>
      <w:kern w:val="2"/>
      <w:sz w:val="18"/>
      <w:szCs w:val="18"/>
      <w:u w:val="none"/>
      <w:lang w:val="en-US" w:eastAsia="zh-CN" w:bidi="ar-SA"/>
    </w:rPr>
  </w:style>
  <w:style w:type="character" w:customStyle="1" w:styleId="476">
    <w:name w:val="font2"/>
    <w:semiHidden/>
    <w:qFormat/>
    <w:uiPriority w:val="0"/>
    <w:rPr>
      <w:rFonts w:ascii="宋体" w:hAnsi="宋体" w:eastAsia="宋体" w:cs="宋体"/>
      <w:b/>
      <w:bCs/>
      <w:kern w:val="44"/>
      <w:sz w:val="30"/>
      <w:szCs w:val="28"/>
      <w:lang w:val="en-US" w:eastAsia="zh-CN" w:bidi="ar-SA"/>
    </w:rPr>
  </w:style>
  <w:style w:type="character" w:customStyle="1" w:styleId="477">
    <w:name w:val="font201"/>
    <w:semiHidden/>
    <w:qFormat/>
    <w:uiPriority w:val="0"/>
  </w:style>
  <w:style w:type="character" w:customStyle="1" w:styleId="478">
    <w:name w:val="font241"/>
    <w:semiHidden/>
    <w:qFormat/>
    <w:uiPriority w:val="0"/>
    <w:rPr>
      <w:spacing w:val="360"/>
      <w:sz w:val="21"/>
      <w:szCs w:val="21"/>
    </w:rPr>
  </w:style>
  <w:style w:type="character" w:customStyle="1" w:styleId="479">
    <w:name w:val="fs"/>
    <w:semiHidden/>
    <w:qFormat/>
    <w:uiPriority w:val="0"/>
  </w:style>
  <w:style w:type="character" w:customStyle="1" w:styleId="480">
    <w:name w:val="fs121"/>
    <w:semiHidden/>
    <w:qFormat/>
    <w:uiPriority w:val="0"/>
    <w:rPr>
      <w:sz w:val="18"/>
      <w:szCs w:val="18"/>
    </w:rPr>
  </w:style>
  <w:style w:type="character" w:customStyle="1" w:styleId="481">
    <w:name w:val="fu正文 Char Char Char"/>
    <w:semiHidden/>
    <w:qFormat/>
    <w:uiPriority w:val="0"/>
    <w:rPr>
      <w:rFonts w:ascii="Times New Roman" w:hAnsi="Times New Roman"/>
      <w:color w:val="000000"/>
      <w:kern w:val="2"/>
      <w:sz w:val="24"/>
      <w:szCs w:val="24"/>
    </w:rPr>
  </w:style>
  <w:style w:type="character" w:customStyle="1" w:styleId="482">
    <w:name w:val="H2 Char2"/>
    <w:semiHidden/>
    <w:qFormat/>
    <w:uiPriority w:val="0"/>
    <w:rPr>
      <w:rFonts w:eastAsia="黑体"/>
      <w:b/>
      <w:kern w:val="2"/>
      <w:sz w:val="32"/>
      <w:lang w:val="en-US" w:eastAsia="zh-CN" w:bidi="ar-SA"/>
    </w:rPr>
  </w:style>
  <w:style w:type="character" w:customStyle="1" w:styleId="483">
    <w:name w:val="h21"/>
    <w:semiHidden/>
    <w:qFormat/>
    <w:uiPriority w:val="0"/>
    <w:rPr>
      <w:rFonts w:hint="default" w:ascii="Tahoma" w:hAnsi="Tahoma" w:cs="Tahoma"/>
      <w:b/>
      <w:bCs/>
      <w:color w:val="333399"/>
      <w:sz w:val="20"/>
      <w:szCs w:val="20"/>
    </w:rPr>
  </w:style>
  <w:style w:type="character" w:customStyle="1" w:styleId="484">
    <w:name w:val="hangju1"/>
    <w:semiHidden/>
    <w:qFormat/>
    <w:uiPriority w:val="0"/>
    <w:rPr>
      <w:spacing w:val="340"/>
    </w:rPr>
  </w:style>
  <w:style w:type="character" w:customStyle="1" w:styleId="485">
    <w:name w:val="hb2 Char Char Char"/>
    <w:semiHidden/>
    <w:qFormat/>
    <w:uiPriority w:val="0"/>
    <w:rPr>
      <w:rFonts w:ascii="宋体" w:hAnsi="宋体" w:eastAsia="宋体" w:cs="Arial"/>
      <w:b/>
      <w:bCs/>
      <w:kern w:val="2"/>
      <w:sz w:val="28"/>
      <w:szCs w:val="28"/>
      <w:lang w:val="en-US" w:eastAsia="zh-CN" w:bidi="ar-SA"/>
    </w:rPr>
  </w:style>
  <w:style w:type="character" w:customStyle="1" w:styleId="486">
    <w:name w:val="hb2 Char1"/>
    <w:semiHidden/>
    <w:qFormat/>
    <w:uiPriority w:val="0"/>
    <w:rPr>
      <w:rFonts w:ascii="宋体" w:hAnsi="宋体" w:eastAsia="宋体" w:cs="Arial"/>
      <w:b/>
      <w:bCs/>
      <w:sz w:val="28"/>
      <w:szCs w:val="28"/>
      <w:lang w:val="en-US" w:eastAsia="zh-CN" w:bidi="ar-SA"/>
    </w:rPr>
  </w:style>
  <w:style w:type="character" w:customStyle="1" w:styleId="487">
    <w:name w:val="hb3 Char Char"/>
    <w:semiHidden/>
    <w:qFormat/>
    <w:uiPriority w:val="0"/>
    <w:rPr>
      <w:rFonts w:ascii="宋体" w:hAnsi="宋体" w:eastAsia="宋体"/>
      <w:b/>
      <w:bCs/>
      <w:sz w:val="24"/>
      <w:szCs w:val="32"/>
      <w:lang w:val="en-US" w:eastAsia="zh-CN" w:bidi="ar-SA"/>
    </w:rPr>
  </w:style>
  <w:style w:type="character" w:customStyle="1" w:styleId="488">
    <w:name w:val="hb3 Char Char Char Char Char"/>
    <w:semiHidden/>
    <w:qFormat/>
    <w:uiPriority w:val="0"/>
    <w:rPr>
      <w:rFonts w:eastAsia="宋体" w:cs="宋体"/>
      <w:b/>
      <w:kern w:val="2"/>
      <w:sz w:val="24"/>
      <w:szCs w:val="24"/>
      <w:lang w:val="en-US" w:eastAsia="zh-CN" w:bidi="ar-SA"/>
    </w:rPr>
  </w:style>
  <w:style w:type="character" w:customStyle="1" w:styleId="489">
    <w:name w:val="hb33 Char Char1"/>
    <w:semiHidden/>
    <w:qFormat/>
    <w:uiPriority w:val="0"/>
    <w:rPr>
      <w:rFonts w:eastAsia="宋体" w:cs="宋体"/>
      <w:b/>
      <w:kern w:val="2"/>
      <w:sz w:val="28"/>
      <w:szCs w:val="24"/>
      <w:lang w:val="en-US" w:eastAsia="zh-CN" w:bidi="ar-SA"/>
    </w:rPr>
  </w:style>
  <w:style w:type="character" w:customStyle="1" w:styleId="490">
    <w:name w:val="hb3MXH Char Char"/>
    <w:semiHidden/>
    <w:qFormat/>
    <w:uiPriority w:val="0"/>
    <w:rPr>
      <w:rFonts w:eastAsia="宋体" w:cs="宋体"/>
      <w:b/>
      <w:kern w:val="2"/>
      <w:sz w:val="28"/>
      <w:szCs w:val="24"/>
      <w:lang w:val="en-US" w:eastAsia="zh-CN" w:bidi="ar-SA"/>
    </w:rPr>
  </w:style>
  <w:style w:type="character" w:customStyle="1" w:styleId="491">
    <w:name w:val="hb4 Char Char Char Char Char"/>
    <w:semiHidden/>
    <w:qFormat/>
    <w:uiPriority w:val="0"/>
    <w:rPr>
      <w:rFonts w:ascii="宋体" w:hAnsi="宋体" w:eastAsia="宋体"/>
      <w:kern w:val="2"/>
      <w:sz w:val="24"/>
      <w:szCs w:val="24"/>
      <w:lang w:val="en-US" w:eastAsia="zh-CN" w:bidi="ar-SA"/>
    </w:rPr>
  </w:style>
  <w:style w:type="character" w:customStyle="1" w:styleId="492">
    <w:name w:val="HBZW"/>
    <w:semiHidden/>
    <w:qFormat/>
    <w:uiPriority w:val="0"/>
    <w:rPr>
      <w:rFonts w:ascii="宋体" w:hAnsi="宋体" w:eastAsia="宋体" w:cs="宋体"/>
      <w:kern w:val="0"/>
      <w:sz w:val="21"/>
      <w:szCs w:val="21"/>
      <w:lang w:val="en-US" w:eastAsia="zh-CN"/>
    </w:rPr>
  </w:style>
  <w:style w:type="character" w:customStyle="1" w:styleId="493">
    <w:name w:val="height1"/>
    <w:semiHidden/>
    <w:qFormat/>
    <w:uiPriority w:val="0"/>
  </w:style>
  <w:style w:type="character" w:customStyle="1" w:styleId="494">
    <w:name w:val="highlight1"/>
    <w:semiHidden/>
    <w:qFormat/>
    <w:uiPriority w:val="0"/>
    <w:rPr>
      <w:sz w:val="21"/>
      <w:szCs w:val="21"/>
    </w:rPr>
  </w:style>
  <w:style w:type="character" w:customStyle="1" w:styleId="495">
    <w:name w:val="hp"/>
    <w:semiHidden/>
    <w:qFormat/>
    <w:uiPriority w:val="0"/>
    <w:rPr>
      <w:rFonts w:eastAsia="宋体"/>
      <w:b/>
      <w:bCs/>
      <w:sz w:val="28"/>
      <w:szCs w:val="28"/>
      <w:lang w:val="en-US" w:eastAsia="zh-CN" w:bidi="ar-SA"/>
    </w:rPr>
  </w:style>
  <w:style w:type="character" w:customStyle="1" w:styleId="496">
    <w:name w:val="hp2 Char Char"/>
    <w:semiHidden/>
    <w:qFormat/>
    <w:uiPriority w:val="0"/>
    <w:rPr>
      <w:rFonts w:ascii="宋体" w:hAnsi="宋体" w:eastAsia="黑体" w:cs="宋体"/>
      <w:bCs/>
      <w:kern w:val="2"/>
      <w:sz w:val="32"/>
      <w:szCs w:val="24"/>
      <w:lang w:val="en-US" w:eastAsia="zh-CN" w:bidi="ar-SA"/>
    </w:rPr>
  </w:style>
  <w:style w:type="character" w:customStyle="1" w:styleId="497">
    <w:name w:val="HTML 地址 字符"/>
    <w:link w:val="40"/>
    <w:semiHidden/>
    <w:qFormat/>
    <w:uiPriority w:val="0"/>
    <w:rPr>
      <w:rFonts w:ascii="Calibri" w:hAnsi="Calibri"/>
      <w:i/>
      <w:iCs/>
      <w:kern w:val="2"/>
      <w:sz w:val="21"/>
      <w:szCs w:val="21"/>
    </w:rPr>
  </w:style>
  <w:style w:type="character" w:customStyle="1" w:styleId="498">
    <w:name w:val="javascript1"/>
    <w:semiHidden/>
    <w:qFormat/>
    <w:uiPriority w:val="0"/>
    <w:rPr>
      <w:rFonts w:hint="default" w:ascii="Tahoma" w:hAnsi="Tahoma" w:eastAsia="宋体" w:cs="Tahoma"/>
      <w:kern w:val="2"/>
      <w:sz w:val="18"/>
      <w:szCs w:val="18"/>
      <w:lang w:val="en-US" w:eastAsia="zh-CN" w:bidi="ar-SA"/>
    </w:rPr>
  </w:style>
  <w:style w:type="character" w:customStyle="1" w:styleId="499">
    <w:name w:val="l1201"/>
    <w:semiHidden/>
    <w:qFormat/>
    <w:uiPriority w:val="0"/>
    <w:rPr>
      <w:spacing w:val="288"/>
    </w:rPr>
  </w:style>
  <w:style w:type="character" w:customStyle="1" w:styleId="500">
    <w:name w:val="large1"/>
    <w:semiHidden/>
    <w:qFormat/>
    <w:uiPriority w:val="0"/>
    <w:rPr>
      <w:rFonts w:hint="eastAsia" w:ascii="宋体" w:hAnsi="宋体" w:eastAsia="宋体"/>
      <w:color w:val="000000"/>
      <w:kern w:val="2"/>
      <w:sz w:val="22"/>
      <w:szCs w:val="22"/>
      <w:lang w:val="en-US" w:eastAsia="zh-CN" w:bidi="ar-SA"/>
    </w:rPr>
  </w:style>
  <w:style w:type="character" w:customStyle="1" w:styleId="501">
    <w:name w:val="Lead-in Emphasis"/>
    <w:semiHidden/>
    <w:qFormat/>
    <w:uiPriority w:val="0"/>
    <w:rPr>
      <w:b/>
      <w:i/>
    </w:rPr>
  </w:style>
  <w:style w:type="character" w:customStyle="1" w:styleId="502">
    <w:name w:val="line11"/>
    <w:semiHidden/>
    <w:qFormat/>
    <w:uiPriority w:val="0"/>
    <w:rPr>
      <w:rFonts w:ascii="黑体" w:eastAsia="黑体"/>
      <w:b/>
      <w:color w:val="993333"/>
      <w:kern w:val="44"/>
      <w:sz w:val="30"/>
      <w:szCs w:val="21"/>
      <w:lang w:val="en-US" w:eastAsia="zh-CN" w:bidi="ar-SA"/>
    </w:rPr>
  </w:style>
  <w:style w:type="character" w:customStyle="1" w:styleId="503">
    <w:name w:val="line21"/>
    <w:semiHidden/>
    <w:qFormat/>
    <w:uiPriority w:val="0"/>
    <w:rPr>
      <w:rFonts w:eastAsia="宋体"/>
      <w:color w:val="666666"/>
      <w:kern w:val="2"/>
      <w:sz w:val="20"/>
      <w:szCs w:val="20"/>
      <w:u w:val="none"/>
      <w:lang w:val="en-US" w:eastAsia="zh-CN" w:bidi="ar-SA"/>
    </w:rPr>
  </w:style>
  <w:style w:type="character" w:customStyle="1" w:styleId="504">
    <w:name w:val="line31"/>
    <w:semiHidden/>
    <w:qFormat/>
    <w:uiPriority w:val="0"/>
    <w:rPr>
      <w:color w:val="993333"/>
    </w:rPr>
  </w:style>
  <w:style w:type="character" w:customStyle="1" w:styleId="505">
    <w:name w:val="line41"/>
    <w:semiHidden/>
    <w:qFormat/>
    <w:uiPriority w:val="0"/>
  </w:style>
  <w:style w:type="character" w:customStyle="1" w:styleId="506">
    <w:name w:val="lu-91"/>
    <w:semiHidden/>
    <w:qFormat/>
    <w:uiPriority w:val="0"/>
    <w:rPr>
      <w:sz w:val="18"/>
      <w:u w:val="none"/>
    </w:rPr>
  </w:style>
  <w:style w:type="character" w:customStyle="1" w:styleId="507">
    <w:name w:val="m11"/>
    <w:semiHidden/>
    <w:qFormat/>
    <w:uiPriority w:val="0"/>
    <w:rPr>
      <w:rFonts w:eastAsia="宋体"/>
      <w:color w:val="000000"/>
      <w:kern w:val="2"/>
      <w:sz w:val="21"/>
      <w:szCs w:val="21"/>
      <w:lang w:val="en-US" w:eastAsia="zh-CN" w:bidi="ar-SA"/>
    </w:rPr>
  </w:style>
  <w:style w:type="character" w:customStyle="1" w:styleId="508">
    <w:name w:val="main1"/>
    <w:semiHidden/>
    <w:qFormat/>
    <w:uiPriority w:val="0"/>
    <w:rPr>
      <w:rFonts w:hint="eastAsia" w:ascii="宋体" w:hAnsi="宋体" w:eastAsia="宋体"/>
      <w:color w:val="0033CC"/>
      <w:sz w:val="18"/>
      <w:szCs w:val="18"/>
    </w:rPr>
  </w:style>
  <w:style w:type="character" w:customStyle="1" w:styleId="509">
    <w:name w:val="mainfont1"/>
    <w:semiHidden/>
    <w:qFormat/>
    <w:uiPriority w:val="0"/>
    <w:rPr>
      <w:color w:val="666666"/>
      <w:sz w:val="18"/>
      <w:szCs w:val="18"/>
      <w:u w:val="none"/>
    </w:rPr>
  </w:style>
  <w:style w:type="character" w:customStyle="1" w:styleId="510">
    <w:name w:val="mainfont21"/>
    <w:semiHidden/>
    <w:qFormat/>
    <w:uiPriority w:val="0"/>
    <w:rPr>
      <w:color w:val="666666"/>
      <w:sz w:val="18"/>
      <w:szCs w:val="18"/>
      <w:u w:val="none"/>
    </w:rPr>
  </w:style>
  <w:style w:type="character" w:customStyle="1" w:styleId="511">
    <w:name w:val="model11"/>
    <w:semiHidden/>
    <w:qFormat/>
    <w:uiPriority w:val="0"/>
    <w:rPr>
      <w:rFonts w:hint="eastAsia" w:ascii="宋体" w:hAnsi="宋体" w:eastAsia="宋体"/>
      <w:sz w:val="18"/>
      <w:szCs w:val="18"/>
      <w:u w:val="none"/>
    </w:rPr>
  </w:style>
  <w:style w:type="character" w:customStyle="1" w:styleId="512">
    <w:name w:val="mytext1"/>
    <w:semiHidden/>
    <w:qFormat/>
    <w:uiPriority w:val="0"/>
  </w:style>
  <w:style w:type="character" w:customStyle="1" w:styleId="513">
    <w:name w:val="news_c_da1"/>
    <w:semiHidden/>
    <w:qFormat/>
    <w:uiPriority w:val="0"/>
    <w:rPr>
      <w:rFonts w:hint="default" w:ascii="ˎ̥" w:hAnsi="ˎ̥"/>
      <w:b/>
      <w:bCs/>
      <w:color w:val="000000"/>
      <w:sz w:val="24"/>
      <w:szCs w:val="24"/>
    </w:rPr>
  </w:style>
  <w:style w:type="character" w:customStyle="1" w:styleId="514">
    <w:name w:val="newscontent"/>
    <w:semiHidden/>
    <w:qFormat/>
    <w:uiPriority w:val="0"/>
  </w:style>
  <w:style w:type="character" w:customStyle="1" w:styleId="515">
    <w:name w:val="newsitemtext1"/>
    <w:semiHidden/>
    <w:qFormat/>
    <w:uiPriority w:val="0"/>
    <w:rPr>
      <w:color w:val="000000"/>
      <w:sz w:val="21"/>
      <w:szCs w:val="21"/>
    </w:rPr>
  </w:style>
  <w:style w:type="character" w:customStyle="1" w:styleId="516">
    <w:name w:val="normaltext1"/>
    <w:semiHidden/>
    <w:qFormat/>
    <w:uiPriority w:val="0"/>
    <w:rPr>
      <w:rFonts w:eastAsia="宋体"/>
      <w:color w:val="000000"/>
      <w:kern w:val="2"/>
      <w:sz w:val="21"/>
      <w:szCs w:val="21"/>
      <w:lang w:val="en-US" w:eastAsia="zh-CN" w:bidi="ar-SA"/>
    </w:rPr>
  </w:style>
  <w:style w:type="character" w:customStyle="1" w:styleId="517">
    <w:name w:val="oo1"/>
    <w:semiHidden/>
    <w:qFormat/>
    <w:uiPriority w:val="0"/>
    <w:rPr>
      <w:rFonts w:eastAsia="宋体"/>
      <w:color w:val="000000"/>
      <w:spacing w:val="284"/>
      <w:kern w:val="2"/>
      <w:sz w:val="21"/>
      <w:szCs w:val="21"/>
      <w:lang w:val="en-US" w:eastAsia="zh-CN" w:bidi="ar-SA"/>
    </w:rPr>
  </w:style>
  <w:style w:type="character" w:customStyle="1" w:styleId="518">
    <w:name w:val="p14"/>
    <w:semiHidden/>
    <w:qFormat/>
    <w:uiPriority w:val="0"/>
  </w:style>
  <w:style w:type="character" w:customStyle="1" w:styleId="519">
    <w:name w:val="p161"/>
    <w:semiHidden/>
    <w:qFormat/>
    <w:uiPriority w:val="0"/>
    <w:rPr>
      <w:rFonts w:hint="default" w:ascii="ˎ̥" w:hAnsi="ˎ̥" w:eastAsia="宋体"/>
      <w:b/>
      <w:bCs/>
      <w:color w:val="236D17"/>
      <w:kern w:val="2"/>
      <w:sz w:val="24"/>
      <w:szCs w:val="24"/>
      <w:lang w:val="en-US" w:eastAsia="zh-CN" w:bidi="ar-SA"/>
    </w:rPr>
  </w:style>
  <w:style w:type="character" w:customStyle="1" w:styleId="520">
    <w:name w:val="p21"/>
    <w:semiHidden/>
    <w:qFormat/>
    <w:uiPriority w:val="0"/>
    <w:rPr>
      <w:rFonts w:eastAsia="宋体"/>
      <w:color w:val="996600"/>
      <w:kern w:val="2"/>
      <w:sz w:val="18"/>
      <w:szCs w:val="21"/>
      <w:lang w:val="en-US" w:eastAsia="zh-CN" w:bidi="ar-SA"/>
    </w:rPr>
  </w:style>
  <w:style w:type="character" w:customStyle="1" w:styleId="521">
    <w:name w:val="p92"/>
    <w:semiHidden/>
    <w:qFormat/>
    <w:uiPriority w:val="0"/>
    <w:rPr>
      <w:color w:val="000000"/>
      <w:sz w:val="18"/>
      <w:u w:val="none"/>
    </w:rPr>
  </w:style>
  <w:style w:type="character" w:customStyle="1" w:styleId="522">
    <w:name w:val="postbody1"/>
    <w:semiHidden/>
    <w:qFormat/>
    <w:uiPriority w:val="0"/>
    <w:rPr>
      <w:rFonts w:eastAsia="宋体"/>
      <w:color w:val="000000"/>
      <w:kern w:val="2"/>
      <w:sz w:val="21"/>
      <w:szCs w:val="21"/>
      <w:lang w:val="en-US" w:eastAsia="zh-CN" w:bidi="ar-SA"/>
    </w:rPr>
  </w:style>
  <w:style w:type="character" w:customStyle="1" w:styleId="523">
    <w:name w:val="签名 字符"/>
    <w:link w:val="57"/>
    <w:semiHidden/>
    <w:qFormat/>
    <w:uiPriority w:val="0"/>
    <w:rPr>
      <w:rFonts w:ascii="Calibri" w:hAnsi="Calibri"/>
      <w:kern w:val="2"/>
      <w:sz w:val="21"/>
      <w:szCs w:val="21"/>
    </w:rPr>
  </w:style>
  <w:style w:type="character" w:customStyle="1" w:styleId="524">
    <w:name w:val="price"/>
    <w:semiHidden/>
    <w:qFormat/>
    <w:uiPriority w:val="0"/>
  </w:style>
  <w:style w:type="character" w:customStyle="1" w:styleId="525">
    <w:name w:val="px14"/>
    <w:semiHidden/>
    <w:qFormat/>
    <w:uiPriority w:val="0"/>
  </w:style>
  <w:style w:type="character" w:customStyle="1" w:styleId="526">
    <w:name w:val="r1"/>
    <w:semiHidden/>
    <w:qFormat/>
    <w:uiPriority w:val="0"/>
    <w:rPr>
      <w:spacing w:val="300"/>
      <w:sz w:val="20"/>
      <w:szCs w:val="20"/>
    </w:rPr>
  </w:style>
  <w:style w:type="character" w:customStyle="1" w:styleId="527">
    <w:name w:val="s"/>
    <w:semiHidden/>
    <w:qFormat/>
    <w:uiPriority w:val="0"/>
    <w:rPr>
      <w:rFonts w:ascii="宋体" w:hAnsi="宋体" w:eastAsia="宋体" w:cs="宋体"/>
      <w:b/>
      <w:bCs/>
      <w:kern w:val="44"/>
      <w:sz w:val="30"/>
      <w:szCs w:val="28"/>
      <w:lang w:val="en-US" w:eastAsia="zh-CN" w:bidi="ar-SA"/>
    </w:rPr>
  </w:style>
  <w:style w:type="character" w:customStyle="1" w:styleId="528">
    <w:name w:val="s c c"/>
    <w:semiHidden/>
    <w:qFormat/>
    <w:uiPriority w:val="0"/>
    <w:rPr>
      <w:rFonts w:eastAsia="宋体"/>
      <w:color w:val="000000"/>
      <w:kern w:val="2"/>
      <w:sz w:val="21"/>
      <w:szCs w:val="21"/>
      <w:lang w:val="en-US" w:eastAsia="zh-CN" w:bidi="ar-SA"/>
    </w:rPr>
  </w:style>
  <w:style w:type="character" w:customStyle="1" w:styleId="529">
    <w:name w:val="sb1"/>
    <w:semiHidden/>
    <w:qFormat/>
    <w:uiPriority w:val="0"/>
    <w:rPr>
      <w:rFonts w:eastAsia="宋体"/>
      <w:color w:val="000000"/>
      <w:kern w:val="2"/>
      <w:sz w:val="15"/>
      <w:szCs w:val="15"/>
      <w:vertAlign w:val="superscript"/>
      <w:lang w:val="en-US" w:eastAsia="zh-CN" w:bidi="ar-SA"/>
    </w:rPr>
  </w:style>
  <w:style w:type="character" w:customStyle="1" w:styleId="530">
    <w:name w:val="Section Char"/>
    <w:semiHidden/>
    <w:qFormat/>
    <w:uiPriority w:val="0"/>
    <w:rPr>
      <w:rFonts w:eastAsia="楷体_GB2312"/>
      <w:b/>
      <w:snapToGrid w:val="0"/>
      <w:sz w:val="30"/>
      <w:szCs w:val="30"/>
      <w:lang w:val="en-US" w:eastAsia="zh-CN" w:bidi="ar-SA"/>
    </w:rPr>
  </w:style>
  <w:style w:type="character" w:customStyle="1" w:styleId="531">
    <w:name w:val="style101"/>
    <w:semiHidden/>
    <w:qFormat/>
    <w:uiPriority w:val="0"/>
    <w:rPr>
      <w:rFonts w:ascii="黑体" w:eastAsia="黑体"/>
      <w:b/>
      <w:kern w:val="44"/>
      <w:sz w:val="18"/>
      <w:szCs w:val="18"/>
      <w:lang w:val="en-US" w:eastAsia="zh-CN" w:bidi="ar-SA"/>
    </w:rPr>
  </w:style>
  <w:style w:type="character" w:customStyle="1" w:styleId="532">
    <w:name w:val="style12"/>
    <w:semiHidden/>
    <w:qFormat/>
    <w:uiPriority w:val="0"/>
  </w:style>
  <w:style w:type="character" w:customStyle="1" w:styleId="533">
    <w:name w:val="style131"/>
    <w:semiHidden/>
    <w:qFormat/>
    <w:uiPriority w:val="0"/>
    <w:rPr>
      <w:rFonts w:ascii="黑体" w:eastAsia="黑体"/>
      <w:b/>
      <w:color w:val="993300"/>
      <w:kern w:val="44"/>
      <w:sz w:val="30"/>
      <w:szCs w:val="21"/>
      <w:lang w:val="en-US" w:eastAsia="zh-CN" w:bidi="ar-SA"/>
    </w:rPr>
  </w:style>
  <w:style w:type="character" w:customStyle="1" w:styleId="534">
    <w:name w:val="style161"/>
    <w:semiHidden/>
    <w:qFormat/>
    <w:uiPriority w:val="0"/>
    <w:rPr>
      <w:rFonts w:eastAsia="宋体"/>
      <w:color w:val="000000"/>
      <w:kern w:val="2"/>
      <w:sz w:val="21"/>
      <w:szCs w:val="21"/>
      <w:lang w:val="en-US" w:eastAsia="zh-CN" w:bidi="ar-SA"/>
    </w:rPr>
  </w:style>
  <w:style w:type="character" w:customStyle="1" w:styleId="535">
    <w:name w:val="style2"/>
    <w:semiHidden/>
    <w:qFormat/>
    <w:uiPriority w:val="0"/>
    <w:rPr>
      <w:rFonts w:eastAsia="宋体"/>
      <w:color w:val="000000"/>
      <w:kern w:val="2"/>
      <w:sz w:val="21"/>
      <w:szCs w:val="21"/>
      <w:lang w:val="en-US" w:eastAsia="zh-CN" w:bidi="ar-SA"/>
    </w:rPr>
  </w:style>
  <w:style w:type="character" w:customStyle="1" w:styleId="536">
    <w:name w:val="style201"/>
    <w:semiHidden/>
    <w:qFormat/>
    <w:uiPriority w:val="0"/>
    <w:rPr>
      <w:rFonts w:ascii="黑体" w:eastAsia="黑体"/>
      <w:b/>
      <w:color w:val="993300"/>
      <w:kern w:val="44"/>
      <w:sz w:val="30"/>
      <w:szCs w:val="21"/>
      <w:lang w:val="en-US" w:eastAsia="zh-CN" w:bidi="ar-SA"/>
    </w:rPr>
  </w:style>
  <w:style w:type="character" w:customStyle="1" w:styleId="537">
    <w:name w:val="style21"/>
    <w:semiHidden/>
    <w:qFormat/>
    <w:uiPriority w:val="0"/>
    <w:rPr>
      <w:sz w:val="32"/>
      <w:szCs w:val="32"/>
    </w:rPr>
  </w:style>
  <w:style w:type="character" w:customStyle="1" w:styleId="538">
    <w:name w:val="style241"/>
    <w:semiHidden/>
    <w:qFormat/>
    <w:uiPriority w:val="0"/>
    <w:rPr>
      <w:sz w:val="20"/>
      <w:szCs w:val="20"/>
    </w:rPr>
  </w:style>
  <w:style w:type="character" w:customStyle="1" w:styleId="539">
    <w:name w:val="style51"/>
    <w:semiHidden/>
    <w:qFormat/>
    <w:uiPriority w:val="0"/>
    <w:rPr>
      <w:rFonts w:eastAsia="宋体"/>
      <w:color w:val="000000"/>
      <w:kern w:val="2"/>
      <w:sz w:val="21"/>
      <w:szCs w:val="21"/>
      <w:lang w:val="en-US" w:eastAsia="zh-CN" w:bidi="ar-SA"/>
    </w:rPr>
  </w:style>
  <w:style w:type="character" w:customStyle="1" w:styleId="540">
    <w:name w:val="style6"/>
    <w:semiHidden/>
    <w:qFormat/>
    <w:uiPriority w:val="0"/>
  </w:style>
  <w:style w:type="character" w:customStyle="1" w:styleId="541">
    <w:name w:val="style71"/>
    <w:semiHidden/>
    <w:qFormat/>
    <w:uiPriority w:val="0"/>
    <w:rPr>
      <w:rFonts w:hint="eastAsia" w:ascii="MingLiU" w:hAnsi="MingLiU" w:eastAsia="MingLiU"/>
      <w:color w:val="000000"/>
      <w:kern w:val="2"/>
      <w:sz w:val="21"/>
      <w:szCs w:val="21"/>
      <w:lang w:val="en-US" w:eastAsia="zh-CN" w:bidi="ar-SA"/>
    </w:rPr>
  </w:style>
  <w:style w:type="character" w:customStyle="1" w:styleId="542">
    <w:name w:val="style8"/>
    <w:semiHidden/>
    <w:qFormat/>
    <w:uiPriority w:val="0"/>
  </w:style>
  <w:style w:type="character" w:customStyle="1" w:styleId="543">
    <w:name w:val="style81"/>
    <w:semiHidden/>
    <w:qFormat/>
    <w:uiPriority w:val="0"/>
    <w:rPr>
      <w:sz w:val="24"/>
      <w:szCs w:val="24"/>
    </w:rPr>
  </w:style>
  <w:style w:type="character" w:customStyle="1" w:styleId="544">
    <w:name w:val="style91"/>
    <w:semiHidden/>
    <w:qFormat/>
    <w:uiPriority w:val="0"/>
    <w:rPr>
      <w:rFonts w:ascii="黑体" w:eastAsia="黑体"/>
      <w:b/>
      <w:kern w:val="44"/>
      <w:sz w:val="18"/>
      <w:szCs w:val="18"/>
      <w:lang w:val="en-US" w:eastAsia="zh-CN" w:bidi="ar-SA"/>
    </w:rPr>
  </w:style>
  <w:style w:type="character" w:customStyle="1" w:styleId="545">
    <w:name w:val="Superscript"/>
    <w:semiHidden/>
    <w:qFormat/>
    <w:uiPriority w:val="0"/>
    <w:rPr>
      <w:vertAlign w:val="superscript"/>
    </w:rPr>
  </w:style>
  <w:style w:type="character" w:customStyle="1" w:styleId="546">
    <w:name w:val="swy11"/>
    <w:semiHidden/>
    <w:qFormat/>
    <w:uiPriority w:val="0"/>
    <w:rPr>
      <w:rFonts w:hint="eastAsia" w:ascii="宋体" w:hAnsi="宋体" w:eastAsia="宋体"/>
      <w:sz w:val="24"/>
      <w:szCs w:val="24"/>
    </w:rPr>
  </w:style>
  <w:style w:type="character" w:customStyle="1" w:styleId="547">
    <w:name w:val="t_tag"/>
    <w:semiHidden/>
    <w:qFormat/>
    <w:uiPriority w:val="0"/>
  </w:style>
  <w:style w:type="character" w:customStyle="1" w:styleId="548">
    <w:name w:val="td71"/>
    <w:semiHidden/>
    <w:qFormat/>
    <w:uiPriority w:val="0"/>
    <w:rPr>
      <w:color w:val="3B3B3B"/>
      <w:sz w:val="28"/>
      <w:szCs w:val="28"/>
    </w:rPr>
  </w:style>
  <w:style w:type="character" w:customStyle="1" w:styleId="549">
    <w:name w:val="text1"/>
    <w:semiHidden/>
    <w:qFormat/>
    <w:uiPriority w:val="0"/>
    <w:rPr>
      <w:sz w:val="18"/>
      <w:szCs w:val="18"/>
    </w:rPr>
  </w:style>
  <w:style w:type="character" w:customStyle="1" w:styleId="550">
    <w:name w:val="text11"/>
    <w:semiHidden/>
    <w:qFormat/>
    <w:uiPriority w:val="0"/>
  </w:style>
  <w:style w:type="character" w:customStyle="1" w:styleId="551">
    <w:name w:val="tit2"/>
    <w:semiHidden/>
    <w:qFormat/>
    <w:uiPriority w:val="0"/>
    <w:rPr>
      <w:rFonts w:eastAsia="宋体"/>
      <w:b/>
      <w:bCs/>
      <w:color w:val="000000"/>
      <w:kern w:val="2"/>
      <w:sz w:val="48"/>
      <w:szCs w:val="48"/>
      <w:lang w:val="en-US" w:eastAsia="zh-CN" w:bidi="ar-SA"/>
    </w:rPr>
  </w:style>
  <w:style w:type="character" w:customStyle="1" w:styleId="552">
    <w:name w:val="标题1"/>
    <w:semiHidden/>
    <w:qFormat/>
    <w:uiPriority w:val="0"/>
  </w:style>
  <w:style w:type="character" w:customStyle="1" w:styleId="553">
    <w:name w:val="title162"/>
    <w:semiHidden/>
    <w:qFormat/>
    <w:uiPriority w:val="0"/>
    <w:rPr>
      <w:b/>
      <w:bCs/>
      <w:sz w:val="30"/>
      <w:szCs w:val="30"/>
    </w:rPr>
  </w:style>
  <w:style w:type="character" w:customStyle="1" w:styleId="554">
    <w:name w:val="title41"/>
    <w:semiHidden/>
    <w:qFormat/>
    <w:uiPriority w:val="0"/>
    <w:rPr>
      <w:rFonts w:hint="eastAsia" w:ascii="宋体" w:hAnsi="宋体" w:eastAsia="宋体"/>
      <w:color w:val="FF6600"/>
      <w:sz w:val="36"/>
      <w:szCs w:val="36"/>
    </w:rPr>
  </w:style>
  <w:style w:type="character" w:customStyle="1" w:styleId="555">
    <w:name w:val="tpc_content"/>
    <w:semiHidden/>
    <w:qFormat/>
    <w:uiPriority w:val="0"/>
  </w:style>
  <w:style w:type="character" w:customStyle="1" w:styleId="556">
    <w:name w:val="tpc_content1"/>
    <w:semiHidden/>
    <w:qFormat/>
    <w:uiPriority w:val="0"/>
    <w:rPr>
      <w:rFonts w:eastAsia="宋体"/>
      <w:color w:val="000000"/>
      <w:kern w:val="2"/>
      <w:sz w:val="16"/>
      <w:szCs w:val="21"/>
      <w:lang w:val="en-US" w:eastAsia="zh-CN" w:bidi="ar-SA"/>
    </w:rPr>
  </w:style>
  <w:style w:type="character" w:customStyle="1" w:styleId="557">
    <w:name w:val="ttitle1"/>
    <w:semiHidden/>
    <w:qFormat/>
    <w:uiPriority w:val="0"/>
    <w:rPr>
      <w:spacing w:val="120"/>
      <w:sz w:val="21"/>
      <w:szCs w:val="21"/>
    </w:rPr>
  </w:style>
  <w:style w:type="character" w:customStyle="1" w:styleId="558">
    <w:name w:val="txt"/>
    <w:semiHidden/>
    <w:qFormat/>
    <w:uiPriority w:val="0"/>
  </w:style>
  <w:style w:type="character" w:customStyle="1" w:styleId="559">
    <w:name w:val="unnamed11"/>
    <w:semiHidden/>
    <w:qFormat/>
    <w:uiPriority w:val="0"/>
    <w:rPr>
      <w:sz w:val="24"/>
      <w:szCs w:val="24"/>
    </w:rPr>
  </w:style>
  <w:style w:type="character" w:customStyle="1" w:styleId="560">
    <w:name w:val="unnamed21"/>
    <w:semiHidden/>
    <w:qFormat/>
    <w:uiPriority w:val="0"/>
    <w:rPr>
      <w:rFonts w:ascii="黑体" w:eastAsia="黑体"/>
      <w:b/>
      <w:color w:val="330000"/>
      <w:kern w:val="44"/>
      <w:sz w:val="21"/>
      <w:szCs w:val="21"/>
      <w:u w:val="none"/>
      <w:lang w:val="en-US" w:eastAsia="zh-CN" w:bidi="ar-SA"/>
    </w:rPr>
  </w:style>
  <w:style w:type="character" w:customStyle="1" w:styleId="561">
    <w:name w:val="unnamed31"/>
    <w:semiHidden/>
    <w:qFormat/>
    <w:uiPriority w:val="0"/>
    <w:rPr>
      <w:rFonts w:eastAsia="宋体"/>
      <w:color w:val="000000"/>
      <w:kern w:val="2"/>
      <w:sz w:val="18"/>
      <w:szCs w:val="18"/>
      <w:lang w:val="en-US" w:eastAsia="zh-CN" w:bidi="ar-SA"/>
    </w:rPr>
  </w:style>
  <w:style w:type="character" w:customStyle="1" w:styleId="562">
    <w:name w:val="unnamed51"/>
    <w:semiHidden/>
    <w:qFormat/>
    <w:uiPriority w:val="0"/>
    <w:rPr>
      <w:color w:val="000000"/>
      <w:sz w:val="18"/>
      <w:szCs w:val="18"/>
    </w:rPr>
  </w:style>
  <w:style w:type="character" w:customStyle="1" w:styleId="563">
    <w:name w:val="viewthreadtxt"/>
    <w:semiHidden/>
    <w:qFormat/>
    <w:uiPriority w:val="0"/>
    <w:rPr>
      <w:rFonts w:ascii="黑体" w:eastAsia="黑体"/>
      <w:b/>
      <w:kern w:val="44"/>
      <w:sz w:val="30"/>
      <w:szCs w:val="21"/>
      <w:lang w:val="en-US" w:eastAsia="zh-CN" w:bidi="ar-SA"/>
    </w:rPr>
  </w:style>
  <w:style w:type="character" w:customStyle="1" w:styleId="564">
    <w:name w:val="wz"/>
    <w:semiHidden/>
    <w:qFormat/>
    <w:uiPriority w:val="0"/>
    <w:rPr>
      <w:rFonts w:eastAsia="宋体"/>
      <w:color w:val="000000"/>
      <w:kern w:val="2"/>
      <w:sz w:val="21"/>
      <w:szCs w:val="21"/>
      <w:lang w:val="en-US" w:eastAsia="zh-CN" w:bidi="ar-SA"/>
    </w:rPr>
  </w:style>
  <w:style w:type="character" w:customStyle="1" w:styleId="565">
    <w:name w:val="xin11"/>
    <w:semiHidden/>
    <w:qFormat/>
    <w:uiPriority w:val="0"/>
    <w:rPr>
      <w:rFonts w:hint="eastAsia" w:ascii="宋体" w:hAnsi="宋体" w:eastAsia="宋体"/>
      <w:color w:val="666666"/>
      <w:kern w:val="2"/>
      <w:sz w:val="18"/>
      <w:szCs w:val="18"/>
      <w:u w:val="none"/>
      <w:lang w:val="en-US" w:eastAsia="zh-CN" w:bidi="ar-SA"/>
    </w:rPr>
  </w:style>
  <w:style w:type="character" w:customStyle="1" w:styleId="566">
    <w:name w:val="zhenwen141"/>
    <w:semiHidden/>
    <w:qFormat/>
    <w:uiPriority w:val="0"/>
    <w:rPr>
      <w:rFonts w:hint="default" w:ascii="ˎ̥" w:hAnsi="ˎ̥"/>
      <w:sz w:val="21"/>
      <w:szCs w:val="21"/>
    </w:rPr>
  </w:style>
  <w:style w:type="character" w:customStyle="1" w:styleId="567">
    <w:name w:val="zt-gs"/>
    <w:semiHidden/>
    <w:qFormat/>
    <w:uiPriority w:val="0"/>
  </w:style>
  <w:style w:type="character" w:customStyle="1" w:styleId="568">
    <w:name w:val="ZW Char Char Char"/>
    <w:semiHidden/>
    <w:qFormat/>
    <w:uiPriority w:val="0"/>
    <w:rPr>
      <w:rFonts w:eastAsia="宋体"/>
      <w:kern w:val="2"/>
      <w:sz w:val="24"/>
      <w:szCs w:val="24"/>
      <w:lang w:val="en-US" w:eastAsia="zh-CN" w:bidi="ar-SA"/>
    </w:rPr>
  </w:style>
  <w:style w:type="character" w:customStyle="1" w:styleId="569">
    <w:name w:val="zy"/>
    <w:semiHidden/>
    <w:qFormat/>
    <w:uiPriority w:val="0"/>
    <w:rPr>
      <w:rFonts w:eastAsia="宋体"/>
      <w:color w:val="000000"/>
      <w:kern w:val="2"/>
      <w:sz w:val="21"/>
      <w:szCs w:val="21"/>
      <w:lang w:val="en-US" w:eastAsia="zh-CN" w:bidi="ar-SA"/>
    </w:rPr>
  </w:style>
  <w:style w:type="character" w:customStyle="1" w:styleId="570">
    <w:name w:val="zytxtzy1"/>
    <w:semiHidden/>
    <w:qFormat/>
    <w:uiPriority w:val="0"/>
    <w:rPr>
      <w:rFonts w:hint="default"/>
      <w:color w:val="003399"/>
      <w:spacing w:val="360"/>
      <w:sz w:val="18"/>
      <w:szCs w:val="18"/>
      <w:u w:val="none"/>
    </w:rPr>
  </w:style>
  <w:style w:type="character" w:customStyle="1" w:styleId="571">
    <w:name w:val="标题 2 Char Char"/>
    <w:semiHidden/>
    <w:qFormat/>
    <w:uiPriority w:val="0"/>
    <w:rPr>
      <w:rFonts w:eastAsia="宋体"/>
      <w:b/>
      <w:bCs/>
      <w:kern w:val="2"/>
      <w:sz w:val="32"/>
      <w:szCs w:val="32"/>
      <w:lang w:val="en-US" w:eastAsia="zh-CN" w:bidi="ar-SA"/>
    </w:rPr>
  </w:style>
  <w:style w:type="character" w:customStyle="1" w:styleId="572">
    <w:name w:val="标题 3 Char"/>
    <w:qFormat/>
    <w:uiPriority w:val="0"/>
    <w:rPr>
      <w:b/>
      <w:bCs/>
      <w:sz w:val="32"/>
      <w:szCs w:val="32"/>
    </w:rPr>
  </w:style>
  <w:style w:type="character" w:customStyle="1" w:styleId="573">
    <w:name w:val="标题 31"/>
    <w:semiHidden/>
    <w:qFormat/>
    <w:uiPriority w:val="0"/>
    <w:rPr>
      <w:rFonts w:eastAsia="宋体"/>
      <w:b/>
      <w:bCs/>
      <w:kern w:val="2"/>
      <w:sz w:val="32"/>
      <w:szCs w:val="32"/>
      <w:lang w:val="en-US" w:eastAsia="zh-CN" w:bidi="ar-SA"/>
    </w:rPr>
  </w:style>
  <w:style w:type="character" w:customStyle="1" w:styleId="574">
    <w:name w:val="标题 44 Char Char"/>
    <w:semiHidden/>
    <w:qFormat/>
    <w:uiPriority w:val="0"/>
    <w:rPr>
      <w:rFonts w:ascii="宋体" w:hAnsi="宋体" w:eastAsia="宋体" w:cs="宋体"/>
      <w:b/>
      <w:kern w:val="2"/>
      <w:sz w:val="24"/>
      <w:szCs w:val="24"/>
      <w:lang w:val="en-US" w:eastAsia="zh-CN" w:bidi="ar-SA"/>
    </w:rPr>
  </w:style>
  <w:style w:type="character" w:customStyle="1" w:styleId="575">
    <w:name w:val="标题 51"/>
    <w:semiHidden/>
    <w:qFormat/>
    <w:uiPriority w:val="0"/>
    <w:rPr>
      <w:rFonts w:ascii="宋体" w:hAnsi="宋体" w:eastAsia="宋体"/>
      <w:kern w:val="2"/>
      <w:sz w:val="28"/>
      <w:szCs w:val="24"/>
      <w:lang w:val="en-US" w:eastAsia="zh-CN" w:bidi="ar-SA"/>
    </w:rPr>
  </w:style>
  <w:style w:type="character" w:customStyle="1" w:styleId="576">
    <w:name w:val="标题 7 Char"/>
    <w:semiHidden/>
    <w:qFormat/>
    <w:uiPriority w:val="0"/>
    <w:rPr>
      <w:b/>
      <w:bCs/>
      <w:sz w:val="24"/>
      <w:szCs w:val="24"/>
    </w:rPr>
  </w:style>
  <w:style w:type="character" w:customStyle="1" w:styleId="577">
    <w:name w:val="标题1.1.1.1.1 Char Char Char"/>
    <w:semiHidden/>
    <w:qFormat/>
    <w:uiPriority w:val="0"/>
    <w:rPr>
      <w:rFonts w:ascii="宋体" w:hAnsi="宋体" w:eastAsia="宋体"/>
      <w:kern w:val="2"/>
      <w:sz w:val="28"/>
      <w:szCs w:val="24"/>
      <w:lang w:val="en-US" w:eastAsia="zh-CN" w:bidi="ar-SA"/>
    </w:rPr>
  </w:style>
  <w:style w:type="character" w:customStyle="1" w:styleId="578">
    <w:name w:val="标题内蒙4 Char Char"/>
    <w:semiHidden/>
    <w:qFormat/>
    <w:uiPriority w:val="0"/>
    <w:rPr>
      <w:rFonts w:ascii="宋体" w:hAnsi="Arial" w:eastAsia="宋体"/>
      <w:b/>
      <w:bCs/>
      <w:kern w:val="2"/>
      <w:sz w:val="24"/>
      <w:szCs w:val="28"/>
      <w:lang w:val="en-US" w:eastAsia="zh-CN" w:bidi="ar-SA"/>
    </w:rPr>
  </w:style>
  <w:style w:type="character" w:customStyle="1" w:styleId="579">
    <w:name w:val="表 Char Char"/>
    <w:semiHidden/>
    <w:qFormat/>
    <w:uiPriority w:val="0"/>
    <w:rPr>
      <w:rFonts w:eastAsia="黑体"/>
      <w:color w:val="000000"/>
      <w:spacing w:val="10"/>
      <w:kern w:val="2"/>
      <w:sz w:val="24"/>
      <w:szCs w:val="24"/>
      <w:lang w:val="en-US" w:eastAsia="zh-CN" w:bidi="ar-SA"/>
    </w:rPr>
  </w:style>
  <w:style w:type="character" w:customStyle="1" w:styleId="580">
    <w:name w:val="表标题 Char"/>
    <w:semiHidden/>
    <w:qFormat/>
    <w:uiPriority w:val="0"/>
    <w:rPr>
      <w:rFonts w:eastAsia="黑体"/>
      <w:bCs/>
      <w:color w:val="000000"/>
      <w:kern w:val="2"/>
      <w:sz w:val="28"/>
      <w:szCs w:val="28"/>
      <w:lang w:val="en-US" w:eastAsia="zh-CN" w:bidi="ar-SA"/>
    </w:rPr>
  </w:style>
  <w:style w:type="character" w:customStyle="1" w:styleId="581">
    <w:name w:val="表格15 Char Char Char"/>
    <w:semiHidden/>
    <w:qFormat/>
    <w:uiPriority w:val="0"/>
    <w:rPr>
      <w:rFonts w:ascii="宋体" w:eastAsia="宋体"/>
      <w:sz w:val="21"/>
      <w:szCs w:val="28"/>
      <w:lang w:val="en-US" w:eastAsia="zh-CN" w:bidi="ar-SA"/>
    </w:rPr>
  </w:style>
  <w:style w:type="character" w:customStyle="1" w:styleId="582">
    <w:name w:val="表格标题 Char Char"/>
    <w:semiHidden/>
    <w:qFormat/>
    <w:uiPriority w:val="0"/>
    <w:rPr>
      <w:rFonts w:ascii="宋体" w:eastAsia="宋体"/>
      <w:kern w:val="2"/>
      <w:sz w:val="24"/>
      <w:szCs w:val="24"/>
      <w:lang w:val="en-US" w:eastAsia="zh-CN" w:bidi="ar-SA"/>
    </w:rPr>
  </w:style>
  <w:style w:type="character" w:customStyle="1" w:styleId="583">
    <w:name w:val="表格内容 Char Char"/>
    <w:semiHidden/>
    <w:qFormat/>
    <w:uiPriority w:val="0"/>
    <w:rPr>
      <w:rFonts w:ascii="Arial" w:hAnsi="Arial"/>
      <w:sz w:val="24"/>
      <w:lang w:val="en-US" w:eastAsia="zh-CN"/>
    </w:rPr>
  </w:style>
  <w:style w:type="character" w:customStyle="1" w:styleId="584">
    <w:name w:val="表格右"/>
    <w:semiHidden/>
    <w:qFormat/>
    <w:uiPriority w:val="0"/>
    <w:rPr>
      <w:rFonts w:ascii="宋体" w:hAnsi="宋体" w:eastAsia="宋体"/>
      <w:color w:val="000080"/>
      <w:kern w:val="2"/>
      <w:sz w:val="18"/>
      <w:szCs w:val="24"/>
      <w:lang w:val="en-US" w:eastAsia="zh-CN"/>
    </w:rPr>
  </w:style>
  <w:style w:type="character" w:customStyle="1" w:styleId="585">
    <w:name w:val="表号 Char2"/>
    <w:semiHidden/>
    <w:qFormat/>
    <w:uiPriority w:val="0"/>
    <w:rPr>
      <w:rFonts w:ascii="宋体" w:hAnsi="宋体" w:eastAsia="宋体"/>
      <w:sz w:val="24"/>
      <w:szCs w:val="24"/>
      <w:lang w:val="en-US" w:eastAsia="zh-CN" w:bidi="ar-SA"/>
    </w:rPr>
  </w:style>
  <w:style w:type="character" w:customStyle="1" w:styleId="586">
    <w:name w:val="表头 Char Char Char Char"/>
    <w:semiHidden/>
    <w:qFormat/>
    <w:uiPriority w:val="0"/>
    <w:rPr>
      <w:rFonts w:ascii="黑体" w:hAnsi="宋体" w:eastAsia="黑体"/>
      <w:b/>
      <w:bCs/>
      <w:color w:val="000000"/>
      <w:kern w:val="24"/>
      <w:sz w:val="24"/>
      <w:szCs w:val="24"/>
      <w:lang w:val="en-US" w:eastAsia="zh-CN" w:bidi="ar-SA"/>
    </w:rPr>
  </w:style>
  <w:style w:type="character" w:customStyle="1" w:styleId="587">
    <w:name w:val="表头 Char Char Char Char Char"/>
    <w:semiHidden/>
    <w:qFormat/>
    <w:uiPriority w:val="0"/>
    <w:rPr>
      <w:rFonts w:ascii="黑体" w:hAnsi="宋体" w:eastAsia="黑体"/>
      <w:b/>
      <w:bCs/>
      <w:color w:val="000000"/>
      <w:kern w:val="24"/>
      <w:sz w:val="24"/>
      <w:szCs w:val="24"/>
      <w:lang w:val="en-US" w:eastAsia="zh-CN" w:bidi="ar-SA"/>
    </w:rPr>
  </w:style>
  <w:style w:type="character" w:customStyle="1" w:styleId="588">
    <w:name w:val="表头11 Char"/>
    <w:semiHidden/>
    <w:qFormat/>
    <w:uiPriority w:val="0"/>
    <w:rPr>
      <w:rFonts w:eastAsia="宋体" w:cs="宋体"/>
      <w:kern w:val="2"/>
      <w:sz w:val="24"/>
      <w:lang w:val="en-US" w:eastAsia="zh-CN" w:bidi="ar-SA"/>
    </w:rPr>
  </w:style>
  <w:style w:type="character" w:customStyle="1" w:styleId="589">
    <w:name w:val="表文字 Char Char Char"/>
    <w:semiHidden/>
    <w:qFormat/>
    <w:uiPriority w:val="0"/>
    <w:rPr>
      <w:rFonts w:eastAsia="宋体"/>
      <w:snapToGrid w:val="0"/>
      <w:kern w:val="2"/>
      <w:sz w:val="21"/>
      <w:szCs w:val="21"/>
      <w:lang w:val="en-US" w:eastAsia="zh-CN" w:bidi="ar-SA"/>
    </w:rPr>
  </w:style>
  <w:style w:type="character" w:customStyle="1" w:styleId="590">
    <w:name w:val="表文字 Char Char Char Char Char Char"/>
    <w:semiHidden/>
    <w:qFormat/>
    <w:uiPriority w:val="0"/>
    <w:rPr>
      <w:rFonts w:eastAsia="宋体"/>
      <w:kern w:val="2"/>
      <w:sz w:val="21"/>
      <w:szCs w:val="21"/>
      <w:lang w:val="en-US" w:eastAsia="zh-CN" w:bidi="ar-SA"/>
    </w:rPr>
  </w:style>
  <w:style w:type="character" w:customStyle="1" w:styleId="591">
    <w:name w:val="不明显参考1"/>
    <w:qFormat/>
    <w:uiPriority w:val="0"/>
    <w:rPr>
      <w:smallCaps/>
      <w:color w:val="C0504D"/>
      <w:u w:val="single"/>
    </w:rPr>
  </w:style>
  <w:style w:type="character" w:customStyle="1" w:styleId="592">
    <w:name w:val="初设正文 Char Char"/>
    <w:semiHidden/>
    <w:qFormat/>
    <w:uiPriority w:val="0"/>
    <w:rPr>
      <w:rFonts w:ascii="Arial" w:hAnsi="Arial" w:eastAsia="宋体" w:cs="宋体"/>
      <w:sz w:val="24"/>
      <w:lang w:val="en-US" w:eastAsia="zh-CN" w:bidi="ar-SA"/>
    </w:rPr>
  </w:style>
  <w:style w:type="character" w:customStyle="1" w:styleId="593">
    <w:name w:val="段落 Char Char"/>
    <w:semiHidden/>
    <w:qFormat/>
    <w:uiPriority w:val="0"/>
    <w:rPr>
      <w:rFonts w:eastAsia="宋体"/>
      <w:color w:val="000000"/>
      <w:spacing w:val="6"/>
      <w:kern w:val="24"/>
      <w:sz w:val="24"/>
      <w:szCs w:val="24"/>
      <w:lang w:val="en-US" w:eastAsia="zh-CN" w:bidi="ar-SA"/>
    </w:rPr>
  </w:style>
  <w:style w:type="character" w:customStyle="1" w:styleId="594">
    <w:name w:val="段落1 Char Char1"/>
    <w:semiHidden/>
    <w:qFormat/>
    <w:uiPriority w:val="0"/>
    <w:rPr>
      <w:rFonts w:eastAsia="宋体"/>
      <w:color w:val="000000"/>
      <w:spacing w:val="8"/>
      <w:kern w:val="2"/>
      <w:sz w:val="24"/>
      <w:szCs w:val="21"/>
      <w:lang w:val="en-US" w:eastAsia="zh-CN" w:bidi="ar-SA"/>
    </w:rPr>
  </w:style>
  <w:style w:type="character" w:customStyle="1" w:styleId="595">
    <w:name w:val="付正文 Char Char Char"/>
    <w:semiHidden/>
    <w:qFormat/>
    <w:uiPriority w:val="0"/>
    <w:rPr>
      <w:rFonts w:ascii="宋体" w:eastAsia="宋体"/>
      <w:color w:val="000000"/>
      <w:kern w:val="2"/>
      <w:sz w:val="24"/>
      <w:szCs w:val="24"/>
      <w:lang w:val="en-US" w:eastAsia="zh-CN" w:bidi="ar-SA"/>
    </w:rPr>
  </w:style>
  <w:style w:type="character" w:customStyle="1" w:styleId="596">
    <w:name w:val="规划正文样式 Char Char"/>
    <w:semiHidden/>
    <w:qFormat/>
    <w:uiPriority w:val="0"/>
    <w:rPr>
      <w:rFonts w:eastAsia="宋体"/>
      <w:kern w:val="2"/>
      <w:sz w:val="24"/>
      <w:szCs w:val="24"/>
      <w:lang w:val="en-US" w:eastAsia="zh-CN" w:bidi="ar-SA"/>
    </w:rPr>
  </w:style>
  <w:style w:type="character" w:customStyle="1" w:styleId="597">
    <w:name w:val="脚注文本 字符"/>
    <w:link w:val="66"/>
    <w:semiHidden/>
    <w:qFormat/>
    <w:uiPriority w:val="0"/>
    <w:rPr>
      <w:rFonts w:ascii="Calibri" w:hAnsi="Calibri"/>
      <w:kern w:val="2"/>
      <w:sz w:val="18"/>
    </w:rPr>
  </w:style>
  <w:style w:type="character" w:customStyle="1" w:styleId="598">
    <w:name w:val="结束语 字符"/>
    <w:link w:val="31"/>
    <w:semiHidden/>
    <w:qFormat/>
    <w:uiPriority w:val="0"/>
    <w:rPr>
      <w:rFonts w:ascii="Calibri" w:hAnsi="Calibri"/>
      <w:kern w:val="2"/>
      <w:sz w:val="21"/>
      <w:szCs w:val="21"/>
    </w:rPr>
  </w:style>
  <w:style w:type="character" w:customStyle="1" w:styleId="599">
    <w:name w:val="可研-正文 Char1"/>
    <w:semiHidden/>
    <w:qFormat/>
    <w:uiPriority w:val="0"/>
    <w:rPr>
      <w:rFonts w:ascii="宋体" w:eastAsia="宋体"/>
      <w:kern w:val="2"/>
      <w:sz w:val="28"/>
      <w:szCs w:val="24"/>
      <w:lang w:val="en-US" w:eastAsia="zh-CN" w:bidi="ar-SA"/>
    </w:rPr>
  </w:style>
  <w:style w:type="character" w:customStyle="1" w:styleId="600">
    <w:name w:val="可研-正文首行缩进 Char Char"/>
    <w:semiHidden/>
    <w:qFormat/>
    <w:uiPriority w:val="0"/>
    <w:rPr>
      <w:rFonts w:eastAsia="宋体"/>
      <w:spacing w:val="6"/>
      <w:kern w:val="2"/>
      <w:sz w:val="24"/>
      <w:szCs w:val="24"/>
      <w:lang w:val="en-US" w:eastAsia="zh-CN" w:bidi="ar-SA"/>
    </w:rPr>
  </w:style>
  <w:style w:type="character" w:customStyle="1" w:styleId="601">
    <w:name w:val="明显参考11"/>
    <w:semiHidden/>
    <w:qFormat/>
    <w:uiPriority w:val="0"/>
    <w:rPr>
      <w:b/>
      <w:bCs/>
      <w:smallCaps/>
      <w:color w:val="C0504D"/>
      <w:spacing w:val="5"/>
      <w:u w:val="single"/>
    </w:rPr>
  </w:style>
  <w:style w:type="character" w:customStyle="1" w:styleId="602">
    <w:name w:val="明显强调1"/>
    <w:qFormat/>
    <w:uiPriority w:val="0"/>
    <w:rPr>
      <w:b/>
      <w:bCs/>
      <w:i/>
      <w:iCs/>
      <w:color w:val="4F81BD"/>
    </w:rPr>
  </w:style>
  <w:style w:type="character" w:customStyle="1" w:styleId="603">
    <w:name w:val="批注文字 Char1"/>
    <w:semiHidden/>
    <w:qFormat/>
    <w:uiPriority w:val="0"/>
    <w:rPr>
      <w:rFonts w:ascii="Times New Roman" w:hAnsi="Times New Roman" w:eastAsia="宋体" w:cs="Times New Roman"/>
      <w:szCs w:val="24"/>
    </w:rPr>
  </w:style>
  <w:style w:type="character" w:customStyle="1" w:styleId="604">
    <w:name w:val="批注主题 字符"/>
    <w:link w:val="84"/>
    <w:semiHidden/>
    <w:qFormat/>
    <w:uiPriority w:val="0"/>
    <w:rPr>
      <w:rFonts w:ascii="Calibri" w:hAnsi="Calibri"/>
      <w:b/>
      <w:bCs/>
      <w:kern w:val="2"/>
      <w:sz w:val="21"/>
      <w:szCs w:val="21"/>
    </w:rPr>
  </w:style>
  <w:style w:type="character" w:customStyle="1" w:styleId="605">
    <w:name w:val="上标"/>
    <w:semiHidden/>
    <w:qFormat/>
    <w:uiPriority w:val="0"/>
    <w:rPr>
      <w:vertAlign w:val="superscript"/>
    </w:rPr>
  </w:style>
  <w:style w:type="character" w:customStyle="1" w:styleId="606">
    <w:name w:val="信息标题 字符"/>
    <w:link w:val="78"/>
    <w:semiHidden/>
    <w:qFormat/>
    <w:uiPriority w:val="0"/>
    <w:rPr>
      <w:rFonts w:ascii="Arial" w:hAnsi="Arial"/>
      <w:kern w:val="2"/>
      <w:sz w:val="24"/>
      <w:szCs w:val="21"/>
      <w:shd w:val="pct20" w:color="auto" w:fill="auto"/>
    </w:rPr>
  </w:style>
  <w:style w:type="character" w:customStyle="1" w:styleId="607">
    <w:name w:val="特点标题 Char Char"/>
    <w:semiHidden/>
    <w:qFormat/>
    <w:uiPriority w:val="0"/>
    <w:rPr>
      <w:rFonts w:eastAsia="宋体"/>
      <w:kern w:val="2"/>
      <w:sz w:val="36"/>
      <w:lang w:val="en-US" w:eastAsia="zh-CN" w:bidi="ar-SA"/>
    </w:rPr>
  </w:style>
  <w:style w:type="character" w:customStyle="1" w:styleId="608">
    <w:name w:val="图表注 Char Char"/>
    <w:semiHidden/>
    <w:qFormat/>
    <w:uiPriority w:val="0"/>
    <w:rPr>
      <w:rFonts w:ascii="宋体" w:hAnsi="宋体" w:eastAsia="宋体" w:cs="Arial"/>
      <w:b/>
      <w:color w:val="000000"/>
      <w:kern w:val="2"/>
      <w:sz w:val="24"/>
      <w:szCs w:val="21"/>
      <w:lang w:val="en-US" w:eastAsia="zh-CN" w:bidi="ar-SA"/>
    </w:rPr>
  </w:style>
  <w:style w:type="character" w:customStyle="1" w:styleId="609">
    <w:name w:val="尾注文本 Char1"/>
    <w:semiHidden/>
    <w:qFormat/>
    <w:uiPriority w:val="0"/>
    <w:rPr>
      <w:kern w:val="2"/>
      <w:sz w:val="21"/>
      <w:szCs w:val="24"/>
    </w:rPr>
  </w:style>
  <w:style w:type="character" w:customStyle="1" w:styleId="610">
    <w:name w:val="文档结构图 Char2"/>
    <w:semiHidden/>
    <w:qFormat/>
    <w:uiPriority w:val="0"/>
    <w:rPr>
      <w:rFonts w:eastAsia="宋体"/>
      <w:kern w:val="2"/>
      <w:sz w:val="21"/>
      <w:szCs w:val="24"/>
      <w:lang w:val="en-US" w:eastAsia="zh-CN" w:bidi="ar-SA"/>
    </w:rPr>
  </w:style>
  <w:style w:type="character" w:customStyle="1" w:styleId="611">
    <w:name w:val="燕山正文 Char Char Char Char"/>
    <w:semiHidden/>
    <w:qFormat/>
    <w:uiPriority w:val="0"/>
    <w:rPr>
      <w:rFonts w:ascii="宋体" w:hAnsi="宋体" w:eastAsia="宋体"/>
      <w:b/>
      <w:color w:val="000000"/>
      <w:kern w:val="2"/>
      <w:sz w:val="24"/>
      <w:szCs w:val="24"/>
      <w:lang w:val="en-US" w:eastAsia="zh-CN" w:bidi="ar-SA"/>
    </w:rPr>
  </w:style>
  <w:style w:type="character" w:customStyle="1" w:styleId="612">
    <w:name w:val="样式 (符号) 宋体 13 磅"/>
    <w:semiHidden/>
    <w:qFormat/>
    <w:uiPriority w:val="0"/>
    <w:rPr>
      <w:rFonts w:ascii="宋体" w:eastAsia="宋体"/>
      <w:sz w:val="27"/>
      <w:szCs w:val="27"/>
    </w:rPr>
  </w:style>
  <w:style w:type="character" w:customStyle="1" w:styleId="613">
    <w:name w:val="样式 hb22 + 宋体 Char Char"/>
    <w:semiHidden/>
    <w:qFormat/>
    <w:uiPriority w:val="0"/>
    <w:rPr>
      <w:rFonts w:ascii="宋体" w:hAnsi="宋体" w:eastAsia="宋体" w:cs="Arial"/>
      <w:b/>
      <w:bCs/>
      <w:kern w:val="2"/>
      <w:sz w:val="32"/>
      <w:szCs w:val="32"/>
      <w:lang w:val="en-US" w:eastAsia="zh-CN" w:bidi="ar-SA"/>
    </w:rPr>
  </w:style>
  <w:style w:type="character" w:customStyle="1" w:styleId="614">
    <w:name w:val="样式 Times New Roman"/>
    <w:semiHidden/>
    <w:qFormat/>
    <w:uiPriority w:val="0"/>
    <w:rPr>
      <w:rFonts w:ascii="宋体" w:hAnsi="Times New Roman" w:eastAsia="宋体"/>
    </w:rPr>
  </w:style>
  <w:style w:type="character" w:customStyle="1" w:styleId="615">
    <w:name w:val="样式 标题 4款标题1.1.1.11.1.1.1 + (符号) 宋体 左 段前: 7.8 磅 段后: 7.8 磅 Char Char"/>
    <w:semiHidden/>
    <w:qFormat/>
    <w:uiPriority w:val="0"/>
    <w:rPr>
      <w:rFonts w:ascii="Arial" w:hAnsi="宋体" w:eastAsia="仿宋_GB2312" w:cs="宋体"/>
      <w:bCs/>
      <w:snapToGrid w:val="0"/>
      <w:kern w:val="2"/>
      <w:sz w:val="28"/>
      <w:szCs w:val="28"/>
      <w:lang w:val="en-US" w:eastAsia="zh-CN" w:bidi="ar-SA"/>
    </w:rPr>
  </w:style>
  <w:style w:type="character" w:customStyle="1" w:styleId="616">
    <w:name w:val="样式 表内小5 + 黑体 加粗 倾斜 下划线 Char Char"/>
    <w:semiHidden/>
    <w:qFormat/>
    <w:uiPriority w:val="0"/>
    <w:rPr>
      <w:rFonts w:ascii="黑体" w:hAnsi="黑体" w:eastAsia="黑体"/>
      <w:b/>
      <w:bCs/>
      <w:i/>
      <w:iCs/>
      <w:kern w:val="2"/>
      <w:sz w:val="18"/>
      <w:szCs w:val="24"/>
      <w:u w:val="single"/>
      <w:lang w:val="en-US" w:eastAsia="zh-CN" w:bidi="ar-SA"/>
    </w:rPr>
  </w:style>
  <w:style w:type="character" w:customStyle="1" w:styleId="617">
    <w:name w:val="样式 黑色"/>
    <w:semiHidden/>
    <w:qFormat/>
    <w:uiPriority w:val="0"/>
    <w:rPr>
      <w:color w:val="auto"/>
    </w:rPr>
  </w:style>
  <w:style w:type="character" w:customStyle="1" w:styleId="618">
    <w:name w:val="样式 黑体 三号"/>
    <w:semiHidden/>
    <w:qFormat/>
    <w:uiPriority w:val="0"/>
    <w:rPr>
      <w:rFonts w:ascii="黑体" w:eastAsia="黑体"/>
      <w:b/>
      <w:position w:val="8"/>
      <w:sz w:val="32"/>
      <w:szCs w:val="32"/>
    </w:rPr>
  </w:style>
  <w:style w:type="character" w:customStyle="1" w:styleId="619">
    <w:name w:val="样式 四号 加粗 黑色 Char Char Char"/>
    <w:semiHidden/>
    <w:qFormat/>
    <w:uiPriority w:val="0"/>
    <w:rPr>
      <w:rFonts w:eastAsia="宋体"/>
      <w:b/>
      <w:color w:val="000000"/>
      <w:kern w:val="2"/>
      <w:sz w:val="28"/>
      <w:szCs w:val="28"/>
      <w:lang w:val="en-US" w:eastAsia="zh-CN" w:bidi="ar-SA"/>
    </w:rPr>
  </w:style>
  <w:style w:type="character" w:customStyle="1" w:styleId="620">
    <w:name w:val="样式 宋体"/>
    <w:semiHidden/>
    <w:qFormat/>
    <w:uiPriority w:val="0"/>
    <w:rPr>
      <w:rFonts w:ascii="宋体" w:hAnsi="宋体" w:eastAsia="宋体"/>
      <w:sz w:val="24"/>
    </w:rPr>
  </w:style>
  <w:style w:type="character" w:customStyle="1" w:styleId="621">
    <w:name w:val="样式 宋体 黑色"/>
    <w:semiHidden/>
    <w:qFormat/>
    <w:uiPriority w:val="0"/>
    <w:rPr>
      <w:rFonts w:ascii="宋体" w:hAnsi="宋体" w:eastAsia="宋体"/>
      <w:color w:val="000000"/>
      <w:spacing w:val="0"/>
      <w:w w:val="100"/>
      <w:position w:val="0"/>
    </w:rPr>
  </w:style>
  <w:style w:type="character" w:customStyle="1" w:styleId="622">
    <w:name w:val="样式 宋体 四号"/>
    <w:qFormat/>
    <w:uiPriority w:val="0"/>
    <w:rPr>
      <w:rFonts w:ascii="宋体" w:hAnsi="宋体"/>
      <w:sz w:val="28"/>
    </w:rPr>
  </w:style>
  <w:style w:type="character" w:customStyle="1" w:styleId="623">
    <w:name w:val="样式 小四 加粗"/>
    <w:semiHidden/>
    <w:qFormat/>
    <w:uiPriority w:val="0"/>
    <w:rPr>
      <w:b/>
      <w:bCs/>
      <w:sz w:val="24"/>
    </w:rPr>
  </w:style>
  <w:style w:type="character" w:customStyle="1" w:styleId="624">
    <w:name w:val="样式 样式 小四 加粗 + Arial 非加粗"/>
    <w:semiHidden/>
    <w:qFormat/>
    <w:uiPriority w:val="0"/>
    <w:rPr>
      <w:rFonts w:ascii="Arial" w:hAnsi="Arial"/>
      <w:b/>
      <w:bCs/>
      <w:kern w:val="0"/>
      <w:sz w:val="24"/>
    </w:rPr>
  </w:style>
  <w:style w:type="character" w:customStyle="1" w:styleId="625">
    <w:name w:val="样式 样式 样式 小四 加粗 + Arial +"/>
    <w:semiHidden/>
    <w:qFormat/>
    <w:uiPriority w:val="0"/>
  </w:style>
  <w:style w:type="character" w:customStyle="1" w:styleId="626">
    <w:name w:val="样式 样式 正文(首行缩进) + 首行缩进:  2 字符 + 首行缩进:  2 字符 Char Char Char"/>
    <w:semiHidden/>
    <w:qFormat/>
    <w:uiPriority w:val="0"/>
    <w:rPr>
      <w:rFonts w:eastAsia="宋体" w:cs="宋体"/>
      <w:snapToGrid w:val="0"/>
      <w:sz w:val="24"/>
      <w:lang w:val="en-US" w:eastAsia="zh-CN" w:bidi="ar-SA"/>
    </w:rPr>
  </w:style>
  <w:style w:type="character" w:customStyle="1" w:styleId="627">
    <w:name w:val="样式1 Char1"/>
    <w:semiHidden/>
    <w:qFormat/>
    <w:uiPriority w:val="0"/>
    <w:rPr>
      <w:rFonts w:eastAsia="宋体"/>
      <w:kern w:val="2"/>
      <w:sz w:val="24"/>
      <w:szCs w:val="24"/>
      <w:lang w:val="en-US" w:eastAsia="zh-CN" w:bidi="ar-SA"/>
    </w:rPr>
  </w:style>
  <w:style w:type="character" w:customStyle="1" w:styleId="628">
    <w:name w:val="样式4 Char1"/>
    <w:semiHidden/>
    <w:qFormat/>
    <w:uiPriority w:val="0"/>
    <w:rPr>
      <w:rFonts w:ascii="黑体" w:eastAsia="黑体"/>
      <w:b/>
      <w:kern w:val="2"/>
      <w:sz w:val="24"/>
      <w:szCs w:val="24"/>
      <w:lang w:val="en-US" w:eastAsia="zh-CN" w:bidi="ar-SA"/>
    </w:rPr>
  </w:style>
  <w:style w:type="character" w:customStyle="1" w:styleId="629">
    <w:name w:val="样式6 Char1"/>
    <w:semiHidden/>
    <w:qFormat/>
    <w:uiPriority w:val="0"/>
    <w:rPr>
      <w:rFonts w:ascii="黑体" w:eastAsia="宋体"/>
      <w:b/>
      <w:kern w:val="2"/>
      <w:sz w:val="24"/>
      <w:szCs w:val="24"/>
      <w:lang w:val="en-US" w:eastAsia="zh-CN" w:bidi="ar-SA"/>
    </w:rPr>
  </w:style>
  <w:style w:type="character" w:customStyle="1" w:styleId="630">
    <w:name w:val="页脚 Char1"/>
    <w:semiHidden/>
    <w:qFormat/>
    <w:uiPriority w:val="0"/>
    <w:rPr>
      <w:rFonts w:eastAsia="宋体"/>
      <w:kern w:val="2"/>
      <w:sz w:val="18"/>
      <w:szCs w:val="18"/>
      <w:lang w:val="en-US" w:eastAsia="zh-CN" w:bidi="ar-SA"/>
    </w:rPr>
  </w:style>
  <w:style w:type="character" w:styleId="631">
    <w:name w:val="Placeholder Text"/>
    <w:semiHidden/>
    <w:qFormat/>
    <w:uiPriority w:val="0"/>
    <w:rPr>
      <w:color w:val="808080"/>
    </w:rPr>
  </w:style>
  <w:style w:type="character" w:customStyle="1" w:styleId="632">
    <w:name w:val="正文 + 宋体 Char"/>
    <w:semiHidden/>
    <w:qFormat/>
    <w:uiPriority w:val="0"/>
    <w:rPr>
      <w:rFonts w:ascii="宋体" w:hAnsi="宋体" w:eastAsia="宋体" w:cs="宋体"/>
      <w:sz w:val="24"/>
      <w:szCs w:val="24"/>
      <w:lang w:val="en-US" w:eastAsia="zh-CN" w:bidi="ar-SA"/>
    </w:rPr>
  </w:style>
  <w:style w:type="character" w:customStyle="1" w:styleId="633">
    <w:name w:val="正文 Char Char Char"/>
    <w:semiHidden/>
    <w:qFormat/>
    <w:uiPriority w:val="0"/>
    <w:rPr>
      <w:rFonts w:ascii="Times New Roman" w:hAnsi="Times New Roman"/>
      <w:sz w:val="28"/>
      <w:lang w:val="en-US" w:eastAsia="zh-CN" w:bidi="ar-SA"/>
    </w:rPr>
  </w:style>
  <w:style w:type="character" w:customStyle="1" w:styleId="634">
    <w:name w:val="正文(首行缩进)宋旭峰 Char Char"/>
    <w:semiHidden/>
    <w:qFormat/>
    <w:uiPriority w:val="0"/>
    <w:rPr>
      <w:rFonts w:eastAsia="宋体"/>
      <w:snapToGrid w:val="0"/>
      <w:spacing w:val="16"/>
      <w:sz w:val="24"/>
      <w:szCs w:val="24"/>
      <w:lang w:val="en-US" w:eastAsia="zh-CN" w:bidi="ar-SA"/>
    </w:rPr>
  </w:style>
  <w:style w:type="character" w:customStyle="1" w:styleId="635">
    <w:name w:val="正文（首行缩进两字） Char Char Char"/>
    <w:semiHidden/>
    <w:qFormat/>
    <w:uiPriority w:val="0"/>
    <w:rPr>
      <w:rFonts w:eastAsia="宋体"/>
      <w:kern w:val="2"/>
      <w:sz w:val="21"/>
      <w:szCs w:val="21"/>
      <w:lang w:val="en-US" w:eastAsia="zh-CN"/>
    </w:rPr>
  </w:style>
  <w:style w:type="character" w:customStyle="1" w:styleId="636">
    <w:name w:val="正文1 Char Char"/>
    <w:semiHidden/>
    <w:qFormat/>
    <w:uiPriority w:val="0"/>
    <w:rPr>
      <w:rFonts w:ascii="宋体" w:eastAsia="宋体"/>
      <w:spacing w:val="14"/>
      <w:kern w:val="2"/>
      <w:sz w:val="24"/>
      <w:lang w:val="en-US" w:eastAsia="zh-CN" w:bidi="ar-SA"/>
    </w:rPr>
  </w:style>
  <w:style w:type="character" w:customStyle="1" w:styleId="637">
    <w:name w:val="正文格式 Char Char1"/>
    <w:semiHidden/>
    <w:qFormat/>
    <w:uiPriority w:val="0"/>
    <w:rPr>
      <w:rFonts w:ascii="宋体" w:hAnsi="宋体" w:eastAsia="宋体" w:cs="宋体"/>
      <w:color w:val="000000"/>
      <w:kern w:val="2"/>
      <w:sz w:val="24"/>
      <w:szCs w:val="24"/>
      <w:lang w:val="en-US" w:eastAsia="zh-CN" w:bidi="ar-SA"/>
    </w:rPr>
  </w:style>
  <w:style w:type="character" w:customStyle="1" w:styleId="638">
    <w:name w:val="正文缩进 Char Char1"/>
    <w:semiHidden/>
    <w:qFormat/>
    <w:uiPriority w:val="0"/>
    <w:rPr>
      <w:rFonts w:eastAsia="宋体"/>
      <w:color w:val="000000"/>
      <w:kern w:val="2"/>
      <w:sz w:val="28"/>
      <w:szCs w:val="21"/>
      <w:lang w:val="en-US" w:eastAsia="zh-CN" w:bidi="ar-SA"/>
    </w:rPr>
  </w:style>
  <w:style w:type="character" w:customStyle="1" w:styleId="639">
    <w:name w:val="正文文本 (104) + Arial Unicode MS"/>
    <w:semiHidden/>
    <w:qFormat/>
    <w:uiPriority w:val="0"/>
    <w:rPr>
      <w:rFonts w:ascii="Arial Unicode MS" w:eastAsia="Arial Unicode MS" w:cs="Arial Unicode MS"/>
      <w:sz w:val="27"/>
      <w:szCs w:val="27"/>
      <w:shd w:val="clear" w:color="auto" w:fill="FFFFFF"/>
    </w:rPr>
  </w:style>
  <w:style w:type="character" w:customStyle="1" w:styleId="640">
    <w:name w:val="正文文本 (111) + 10.5 pt"/>
    <w:semiHidden/>
    <w:qFormat/>
    <w:uiPriority w:val="0"/>
    <w:rPr>
      <w:rFonts w:ascii="黑体" w:eastAsia="黑体" w:cs="黑体"/>
      <w:sz w:val="21"/>
      <w:szCs w:val="21"/>
      <w:shd w:val="clear" w:color="auto" w:fill="FFFFFF"/>
    </w:rPr>
  </w:style>
  <w:style w:type="character" w:customStyle="1" w:styleId="641">
    <w:name w:val="正文文本 (111) + 4 pt1"/>
    <w:semiHidden/>
    <w:qFormat/>
    <w:uiPriority w:val="0"/>
    <w:rPr>
      <w:rFonts w:ascii="黑体" w:hAnsi="黑体" w:eastAsia="黑体" w:cs="黑体"/>
      <w:w w:val="150"/>
      <w:sz w:val="8"/>
      <w:szCs w:val="8"/>
      <w:shd w:val="clear" w:color="auto" w:fill="FFFFFF"/>
      <w:lang w:val="en-US" w:eastAsia="zh-CN"/>
    </w:rPr>
  </w:style>
  <w:style w:type="character" w:customStyle="1" w:styleId="642">
    <w:name w:val="正文文本 (111) + Angsana New"/>
    <w:semiHidden/>
    <w:qFormat/>
    <w:uiPriority w:val="0"/>
    <w:rPr>
      <w:rFonts w:ascii="Angsana New" w:hAnsi="Angsana New" w:eastAsia="黑体" w:cs="Angsana New"/>
      <w:i/>
      <w:iCs/>
      <w:spacing w:val="-10"/>
      <w:sz w:val="19"/>
      <w:szCs w:val="19"/>
      <w:shd w:val="clear" w:color="auto" w:fill="FFFFFF"/>
    </w:rPr>
  </w:style>
  <w:style w:type="character" w:customStyle="1" w:styleId="643">
    <w:name w:val="正文文本 (111) + Arial Unicode MS"/>
    <w:semiHidden/>
    <w:qFormat/>
    <w:uiPriority w:val="0"/>
    <w:rPr>
      <w:rFonts w:ascii="Arial Unicode MS" w:eastAsia="Arial Unicode MS" w:cs="Arial Unicode MS"/>
      <w:spacing w:val="0"/>
      <w:sz w:val="20"/>
      <w:szCs w:val="20"/>
      <w:shd w:val="clear" w:color="auto" w:fill="FFFFFF"/>
    </w:rPr>
  </w:style>
  <w:style w:type="character" w:customStyle="1" w:styleId="644">
    <w:name w:val="正文文本 (111) + Arial Unicode MS1"/>
    <w:semiHidden/>
    <w:qFormat/>
    <w:uiPriority w:val="0"/>
    <w:rPr>
      <w:rFonts w:ascii="Arial Unicode MS" w:eastAsia="Arial Unicode MS" w:cs="Arial Unicode MS"/>
      <w:b/>
      <w:bCs/>
      <w:spacing w:val="0"/>
      <w:sz w:val="22"/>
      <w:szCs w:val="22"/>
      <w:shd w:val="clear" w:color="auto" w:fill="FFFFFF"/>
    </w:rPr>
  </w:style>
  <w:style w:type="character" w:customStyle="1" w:styleId="645">
    <w:name w:val="正文文本 (111) + Arial Unicode MS12"/>
    <w:semiHidden/>
    <w:qFormat/>
    <w:uiPriority w:val="0"/>
    <w:rPr>
      <w:rFonts w:ascii="Arial Unicode MS" w:eastAsia="Arial Unicode MS" w:cs="Arial Unicode MS"/>
      <w:spacing w:val="0"/>
      <w:sz w:val="20"/>
      <w:szCs w:val="20"/>
      <w:shd w:val="clear" w:color="auto" w:fill="FFFFFF"/>
    </w:rPr>
  </w:style>
  <w:style w:type="character" w:customStyle="1" w:styleId="646">
    <w:name w:val="正文文本 (111) + Arial Unicode MS15"/>
    <w:semiHidden/>
    <w:qFormat/>
    <w:uiPriority w:val="0"/>
    <w:rPr>
      <w:rFonts w:ascii="Arial Unicode MS" w:eastAsia="Arial Unicode MS" w:cs="Arial Unicode MS"/>
      <w:spacing w:val="0"/>
      <w:sz w:val="20"/>
      <w:szCs w:val="20"/>
      <w:shd w:val="clear" w:color="auto" w:fill="FFFFFF"/>
    </w:rPr>
  </w:style>
  <w:style w:type="character" w:customStyle="1" w:styleId="647">
    <w:name w:val="正文文本 (111) + Arial Unicode MS6"/>
    <w:semiHidden/>
    <w:qFormat/>
    <w:uiPriority w:val="0"/>
    <w:rPr>
      <w:rFonts w:ascii="Arial Unicode MS" w:eastAsia="Arial Unicode MS" w:cs="Arial Unicode MS"/>
      <w:spacing w:val="-20"/>
      <w:sz w:val="20"/>
      <w:szCs w:val="20"/>
      <w:shd w:val="clear" w:color="auto" w:fill="FFFFFF"/>
    </w:rPr>
  </w:style>
  <w:style w:type="character" w:customStyle="1" w:styleId="648">
    <w:name w:val="正文文本 (111) + Arial Unicode MS7"/>
    <w:semiHidden/>
    <w:qFormat/>
    <w:uiPriority w:val="0"/>
    <w:rPr>
      <w:rFonts w:ascii="Arial Unicode MS" w:eastAsia="Arial Unicode MS" w:cs="Arial Unicode MS"/>
      <w:spacing w:val="0"/>
      <w:sz w:val="20"/>
      <w:szCs w:val="20"/>
      <w:shd w:val="clear" w:color="auto" w:fill="FFFFFF"/>
    </w:rPr>
  </w:style>
  <w:style w:type="character" w:customStyle="1" w:styleId="649">
    <w:name w:val="正文文本 (111) + MingLiU3"/>
    <w:semiHidden/>
    <w:qFormat/>
    <w:uiPriority w:val="0"/>
    <w:rPr>
      <w:rFonts w:ascii="MingLiU" w:eastAsia="MingLiU" w:cs="MingLiU"/>
      <w:sz w:val="19"/>
      <w:szCs w:val="19"/>
      <w:shd w:val="clear" w:color="auto" w:fill="FFFFFF"/>
    </w:rPr>
  </w:style>
  <w:style w:type="character" w:customStyle="1" w:styleId="650">
    <w:name w:val="正文文本 (2) + 10 pt"/>
    <w:semiHidden/>
    <w:qFormat/>
    <w:uiPriority w:val="0"/>
    <w:rPr>
      <w:rFonts w:ascii="黑体" w:hAnsi="黑体" w:eastAsia="黑体" w:cs="黑体"/>
      <w:sz w:val="20"/>
      <w:szCs w:val="20"/>
      <w:shd w:val="clear" w:color="auto" w:fill="FFFFFF"/>
    </w:rPr>
  </w:style>
  <w:style w:type="character" w:customStyle="1" w:styleId="651">
    <w:name w:val="正文文本 (2) + 11 pt"/>
    <w:semiHidden/>
    <w:qFormat/>
    <w:uiPriority w:val="0"/>
    <w:rPr>
      <w:rFonts w:hint="eastAsia" w:ascii="黑体" w:hAnsi="黑体" w:eastAsia="黑体"/>
      <w:b/>
      <w:sz w:val="22"/>
      <w:shd w:val="clear" w:color="auto" w:fill="FFFFFF"/>
    </w:rPr>
  </w:style>
  <w:style w:type="character" w:customStyle="1" w:styleId="652">
    <w:name w:val="正文文本 (2) + 8 pt"/>
    <w:semiHidden/>
    <w:qFormat/>
    <w:uiPriority w:val="0"/>
    <w:rPr>
      <w:rFonts w:ascii="黑体" w:hAnsi="黑体" w:eastAsia="黑体" w:cs="黑体"/>
      <w:sz w:val="16"/>
      <w:szCs w:val="16"/>
      <w:shd w:val="clear" w:color="auto" w:fill="FFFFFF"/>
    </w:rPr>
  </w:style>
  <w:style w:type="character" w:customStyle="1" w:styleId="653">
    <w:name w:val="正文文本 (2) + Arial Unicode MS2"/>
    <w:semiHidden/>
    <w:qFormat/>
    <w:uiPriority w:val="0"/>
    <w:rPr>
      <w:rFonts w:ascii="Arial Unicode MS" w:hAnsi="黑体" w:eastAsia="Arial Unicode MS" w:cs="Arial Unicode MS"/>
      <w:spacing w:val="0"/>
      <w:sz w:val="20"/>
      <w:szCs w:val="20"/>
      <w:shd w:val="clear" w:color="auto" w:fill="FFFFFF"/>
    </w:rPr>
  </w:style>
  <w:style w:type="character" w:customStyle="1" w:styleId="654">
    <w:name w:val="正文文本 (2) + Arial Unicode MS6"/>
    <w:semiHidden/>
    <w:qFormat/>
    <w:uiPriority w:val="0"/>
    <w:rPr>
      <w:rFonts w:ascii="Arial Unicode MS" w:hAnsi="黑体" w:eastAsia="Arial Unicode MS" w:cs="Arial Unicode MS"/>
      <w:spacing w:val="0"/>
      <w:sz w:val="20"/>
      <w:szCs w:val="20"/>
      <w:shd w:val="clear" w:color="auto" w:fill="FFFFFF"/>
    </w:rPr>
  </w:style>
  <w:style w:type="character" w:customStyle="1" w:styleId="655">
    <w:name w:val="正文文本 (2) + Microsoft JhengHei"/>
    <w:semiHidden/>
    <w:qFormat/>
    <w:uiPriority w:val="0"/>
    <w:rPr>
      <w:rFonts w:ascii="Microsoft JhengHei" w:hAnsi="黑体" w:eastAsia="Microsoft JhengHei" w:cs="Microsoft JhengHei"/>
      <w:sz w:val="21"/>
      <w:szCs w:val="21"/>
      <w:shd w:val="clear" w:color="auto" w:fill="FFFFFF"/>
    </w:rPr>
  </w:style>
  <w:style w:type="character" w:customStyle="1" w:styleId="656">
    <w:name w:val="正文文本 (25) + Arial Unicode MS"/>
    <w:semiHidden/>
    <w:qFormat/>
    <w:uiPriority w:val="0"/>
    <w:rPr>
      <w:rFonts w:ascii="Arial Unicode MS" w:hAnsi="Arial Unicode MS" w:eastAsia="Arial Unicode MS"/>
      <w:spacing w:val="-20"/>
      <w:sz w:val="20"/>
      <w:shd w:val="clear" w:color="auto" w:fill="FFFFFF"/>
    </w:rPr>
  </w:style>
  <w:style w:type="character" w:customStyle="1" w:styleId="657">
    <w:name w:val="正文文本 (29) + 10.5 pt"/>
    <w:semiHidden/>
    <w:qFormat/>
    <w:uiPriority w:val="0"/>
    <w:rPr>
      <w:rFonts w:hint="eastAsia" w:ascii="黑体" w:hAnsi="黑体" w:eastAsia="黑体"/>
      <w:sz w:val="21"/>
      <w:shd w:val="clear" w:color="auto" w:fill="FFFFFF"/>
    </w:rPr>
  </w:style>
  <w:style w:type="character" w:customStyle="1" w:styleId="658">
    <w:name w:val="正文文本 (6) + MingLiU3"/>
    <w:semiHidden/>
    <w:qFormat/>
    <w:uiPriority w:val="0"/>
    <w:rPr>
      <w:rFonts w:ascii="MingLiU" w:hAnsi="Arial Unicode MS" w:eastAsia="MingLiU" w:cs="MingLiU"/>
      <w:spacing w:val="0"/>
      <w:sz w:val="8"/>
      <w:szCs w:val="8"/>
      <w:shd w:val="clear" w:color="auto" w:fill="FFFFFF"/>
    </w:rPr>
  </w:style>
  <w:style w:type="character" w:customStyle="1" w:styleId="659">
    <w:name w:val="正文文本 (6) + 间距 -1 pt"/>
    <w:semiHidden/>
    <w:qFormat/>
    <w:uiPriority w:val="0"/>
    <w:rPr>
      <w:rFonts w:ascii="Arial Unicode MS" w:hAnsi="Arial Unicode MS" w:eastAsia="Arial Unicode MS"/>
      <w:spacing w:val="-20"/>
      <w:shd w:val="clear" w:color="auto" w:fill="FFFFFF"/>
    </w:rPr>
  </w:style>
  <w:style w:type="character" w:customStyle="1" w:styleId="660">
    <w:name w:val="正文文本 (6) + 间距 -1 pt11"/>
    <w:semiHidden/>
    <w:qFormat/>
    <w:uiPriority w:val="0"/>
    <w:rPr>
      <w:rFonts w:ascii="Arial Unicode MS" w:hAnsi="Arial Unicode MS" w:eastAsia="Arial Unicode MS" w:cs="Arial Unicode MS"/>
      <w:spacing w:val="-20"/>
      <w:sz w:val="20"/>
      <w:szCs w:val="20"/>
      <w:shd w:val="clear" w:color="auto" w:fill="FFFFFF"/>
    </w:rPr>
  </w:style>
  <w:style w:type="character" w:customStyle="1" w:styleId="661">
    <w:name w:val="正文文本 (6) + 间距 -1 pt5"/>
    <w:semiHidden/>
    <w:qFormat/>
    <w:uiPriority w:val="0"/>
    <w:rPr>
      <w:rFonts w:ascii="Arial Unicode MS" w:hAnsi="Arial Unicode MS" w:eastAsia="Arial Unicode MS" w:cs="Arial Unicode MS"/>
      <w:spacing w:val="-20"/>
      <w:sz w:val="20"/>
      <w:szCs w:val="20"/>
      <w:shd w:val="clear" w:color="auto" w:fill="FFFFFF"/>
    </w:rPr>
  </w:style>
  <w:style w:type="character" w:customStyle="1" w:styleId="662">
    <w:name w:val="正文文本 (6) + 间距 -1 pt7"/>
    <w:semiHidden/>
    <w:qFormat/>
    <w:uiPriority w:val="0"/>
    <w:rPr>
      <w:rFonts w:ascii="Arial Unicode MS" w:hAnsi="Arial Unicode MS" w:eastAsia="Arial Unicode MS" w:cs="Arial Unicode MS"/>
      <w:spacing w:val="-20"/>
      <w:sz w:val="20"/>
      <w:szCs w:val="20"/>
      <w:shd w:val="clear" w:color="auto" w:fill="FFFFFF"/>
    </w:rPr>
  </w:style>
  <w:style w:type="character" w:customStyle="1" w:styleId="663">
    <w:name w:val="正文文本 (6)11"/>
    <w:semiHidden/>
    <w:qFormat/>
    <w:uiPriority w:val="0"/>
    <w:rPr>
      <w:rFonts w:ascii="Arial Unicode MS" w:hAnsi="Arial Unicode MS" w:eastAsia="Arial Unicode MS" w:cs="Arial Unicode MS"/>
      <w:spacing w:val="0"/>
      <w:sz w:val="20"/>
      <w:szCs w:val="20"/>
      <w:shd w:val="clear" w:color="auto" w:fill="FFFFFF"/>
    </w:rPr>
  </w:style>
  <w:style w:type="character" w:customStyle="1" w:styleId="664">
    <w:name w:val="正文文本 (6)13"/>
    <w:semiHidden/>
    <w:qFormat/>
    <w:uiPriority w:val="0"/>
    <w:rPr>
      <w:rFonts w:ascii="Arial Unicode MS" w:hAnsi="Arial Unicode MS" w:eastAsia="Arial Unicode MS" w:cs="Arial Unicode MS"/>
      <w:spacing w:val="0"/>
      <w:sz w:val="20"/>
      <w:szCs w:val="20"/>
      <w:shd w:val="clear" w:color="auto" w:fill="FFFFFF"/>
    </w:rPr>
  </w:style>
  <w:style w:type="character" w:customStyle="1" w:styleId="665">
    <w:name w:val="正文文本 (6)17"/>
    <w:semiHidden/>
    <w:qFormat/>
    <w:uiPriority w:val="0"/>
    <w:rPr>
      <w:rFonts w:ascii="Arial Unicode MS" w:eastAsia="Arial Unicode MS" w:cs="Arial Unicode MS"/>
      <w:spacing w:val="0"/>
      <w:sz w:val="20"/>
      <w:szCs w:val="20"/>
      <w:shd w:val="clear" w:color="auto" w:fill="FFFFFF"/>
    </w:rPr>
  </w:style>
  <w:style w:type="character" w:customStyle="1" w:styleId="666">
    <w:name w:val="正文文本 (6)2"/>
    <w:semiHidden/>
    <w:qFormat/>
    <w:uiPriority w:val="0"/>
    <w:rPr>
      <w:rFonts w:ascii="Arial Unicode MS" w:hAnsi="Arial Unicode MS" w:eastAsia="Arial Unicode MS" w:cs="Arial Unicode MS"/>
      <w:spacing w:val="0"/>
      <w:sz w:val="20"/>
      <w:szCs w:val="20"/>
      <w:shd w:val="clear" w:color="auto" w:fill="FFFFFF"/>
    </w:rPr>
  </w:style>
  <w:style w:type="character" w:customStyle="1" w:styleId="667">
    <w:name w:val="正文文本 (6)24"/>
    <w:semiHidden/>
    <w:qFormat/>
    <w:uiPriority w:val="0"/>
    <w:rPr>
      <w:rFonts w:ascii="Arial Unicode MS" w:hAnsi="Arial Unicode MS" w:eastAsia="Arial Unicode MS" w:cs="Arial Unicode MS"/>
      <w:spacing w:val="0"/>
      <w:sz w:val="20"/>
      <w:szCs w:val="20"/>
      <w:shd w:val="clear" w:color="auto" w:fill="FFFFFF"/>
    </w:rPr>
  </w:style>
  <w:style w:type="character" w:customStyle="1" w:styleId="668">
    <w:name w:val="正文文本缩进 Char1"/>
    <w:semiHidden/>
    <w:qFormat/>
    <w:uiPriority w:val="0"/>
    <w:rPr>
      <w:rFonts w:eastAsia="宋体"/>
      <w:kern w:val="2"/>
      <w:sz w:val="24"/>
      <w:szCs w:val="24"/>
      <w:lang w:val="en-US" w:eastAsia="zh-CN" w:bidi="ar-SA"/>
    </w:rPr>
  </w:style>
  <w:style w:type="character" w:customStyle="1" w:styleId="669">
    <w:name w:val="正文样式1 Char1"/>
    <w:qFormat/>
    <w:uiPriority w:val="0"/>
    <w:rPr>
      <w:rFonts w:ascii="宋体" w:hAnsi="宋体" w:eastAsia="宋体" w:cs="Arial"/>
      <w:snapToGrid w:val="0"/>
      <w:kern w:val="2"/>
      <w:sz w:val="24"/>
      <w:szCs w:val="24"/>
      <w:u w:color="EEECE1"/>
      <w:lang w:val="zh-CN" w:eastAsia="zh-CN" w:bidi="ar-SA"/>
    </w:rPr>
  </w:style>
  <w:style w:type="character" w:customStyle="1" w:styleId="670">
    <w:name w:val="职业"/>
    <w:semiHidden/>
    <w:qFormat/>
    <w:uiPriority w:val="0"/>
    <w:rPr>
      <w:i/>
    </w:rPr>
  </w:style>
  <w:style w:type="character" w:customStyle="1" w:styleId="671">
    <w:name w:val="标题 6 字符"/>
    <w:link w:val="7"/>
    <w:qFormat/>
    <w:locked/>
    <w:uiPriority w:val="0"/>
    <w:rPr>
      <w:rFonts w:ascii="Arial" w:hAnsi="Arial" w:eastAsia="黑体"/>
      <w:b/>
      <w:sz w:val="24"/>
    </w:rPr>
  </w:style>
  <w:style w:type="character" w:customStyle="1" w:styleId="672">
    <w:name w:val="标题 8 字符"/>
    <w:link w:val="9"/>
    <w:qFormat/>
    <w:locked/>
    <w:uiPriority w:val="0"/>
    <w:rPr>
      <w:rFonts w:ascii="Arial" w:hAnsi="Arial" w:eastAsia="黑体"/>
      <w:sz w:val="24"/>
    </w:rPr>
  </w:style>
  <w:style w:type="character" w:customStyle="1" w:styleId="673">
    <w:name w:val="文档结构图 字符"/>
    <w:link w:val="25"/>
    <w:semiHidden/>
    <w:qFormat/>
    <w:locked/>
    <w:uiPriority w:val="0"/>
    <w:rPr>
      <w:kern w:val="2"/>
      <w:sz w:val="21"/>
      <w:szCs w:val="24"/>
      <w:shd w:val="clear" w:color="auto" w:fill="000080"/>
    </w:rPr>
  </w:style>
  <w:style w:type="character" w:customStyle="1" w:styleId="674">
    <w:name w:val="正文文本 2 字符"/>
    <w:link w:val="75"/>
    <w:qFormat/>
    <w:locked/>
    <w:uiPriority w:val="0"/>
    <w:rPr>
      <w:kern w:val="2"/>
      <w:sz w:val="24"/>
      <w:szCs w:val="24"/>
    </w:rPr>
  </w:style>
  <w:style w:type="character" w:customStyle="1" w:styleId="675">
    <w:name w:val="样式 环保正文 + Times New Roman 首行缩进:  2 字符 Char"/>
    <w:link w:val="676"/>
    <w:qFormat/>
    <w:locked/>
    <w:uiPriority w:val="0"/>
    <w:rPr>
      <w:sz w:val="24"/>
    </w:rPr>
  </w:style>
  <w:style w:type="paragraph" w:customStyle="1" w:styleId="676">
    <w:name w:val="样式 环保正文 + Times New Roman 首行缩进:  2 字符"/>
    <w:basedOn w:val="371"/>
    <w:link w:val="675"/>
    <w:qFormat/>
    <w:uiPriority w:val="0"/>
    <w:pPr>
      <w:keepNext/>
      <w:tabs>
        <w:tab w:val="clear" w:pos="0"/>
        <w:tab w:val="clear" w:pos="7012"/>
      </w:tabs>
    </w:pPr>
    <w:rPr>
      <w:rFonts w:ascii="Times New Roman" w:hAnsi="Times New Roman"/>
      <w:kern w:val="0"/>
      <w:szCs w:val="20"/>
    </w:rPr>
  </w:style>
  <w:style w:type="character" w:customStyle="1" w:styleId="677">
    <w:name w:val="表样式 Char Char"/>
    <w:qFormat/>
    <w:uiPriority w:val="0"/>
    <w:rPr>
      <w:rFonts w:ascii="仿宋_GB2312" w:eastAsia="黑体"/>
      <w:szCs w:val="24"/>
    </w:rPr>
  </w:style>
  <w:style w:type="character" w:customStyle="1" w:styleId="678">
    <w:name w:val="条，(一) Char"/>
    <w:qFormat/>
    <w:uiPriority w:val="0"/>
    <w:rPr>
      <w:rFonts w:ascii="Cambria" w:hAnsi="Cambria"/>
      <w:b/>
      <w:bCs/>
      <w:kern w:val="2"/>
      <w:sz w:val="28"/>
      <w:szCs w:val="28"/>
    </w:rPr>
  </w:style>
  <w:style w:type="character" w:customStyle="1" w:styleId="679">
    <w:name w:val="样式 正文1 + 首行缩进:  2 字符 Char Char"/>
    <w:link w:val="680"/>
    <w:qFormat/>
    <w:uiPriority w:val="0"/>
    <w:rPr>
      <w:rFonts w:ascii="宋体" w:hAnsi="Calibri"/>
      <w:spacing w:val="14"/>
      <w:kern w:val="2"/>
      <w:sz w:val="24"/>
    </w:rPr>
  </w:style>
  <w:style w:type="paragraph" w:customStyle="1" w:styleId="680">
    <w:name w:val="样式 正文1 + 首行缩进:  2 字符"/>
    <w:basedOn w:val="1"/>
    <w:link w:val="679"/>
    <w:qFormat/>
    <w:uiPriority w:val="0"/>
    <w:pPr>
      <w:keepNext/>
      <w:spacing w:line="360" w:lineRule="auto"/>
      <w:ind w:firstLine="200" w:firstLineChars="200"/>
    </w:pPr>
    <w:rPr>
      <w:rFonts w:ascii="宋体" w:hAnsi="Calibri"/>
      <w:spacing w:val="14"/>
      <w:sz w:val="24"/>
      <w:szCs w:val="20"/>
    </w:rPr>
  </w:style>
  <w:style w:type="character" w:customStyle="1" w:styleId="681">
    <w:name w:val="表格15 Char"/>
    <w:link w:val="682"/>
    <w:qFormat/>
    <w:uiPriority w:val="0"/>
    <w:rPr>
      <w:rFonts w:ascii="宋体" w:hAnsi="Calibri"/>
      <w:sz w:val="21"/>
      <w:szCs w:val="28"/>
    </w:rPr>
  </w:style>
  <w:style w:type="paragraph" w:customStyle="1" w:styleId="682">
    <w:name w:val="表格15"/>
    <w:basedOn w:val="1"/>
    <w:link w:val="681"/>
    <w:qFormat/>
    <w:uiPriority w:val="0"/>
    <w:pPr>
      <w:adjustRightInd w:val="0"/>
      <w:snapToGrid w:val="0"/>
      <w:spacing w:line="300" w:lineRule="exact"/>
      <w:jc w:val="center"/>
      <w:textAlignment w:val="baseline"/>
    </w:pPr>
    <w:rPr>
      <w:rFonts w:ascii="宋体" w:hAnsi="Calibri"/>
      <w:kern w:val="0"/>
      <w:szCs w:val="28"/>
    </w:rPr>
  </w:style>
  <w:style w:type="character" w:customStyle="1" w:styleId="683">
    <w:name w:val="表格文字 Char"/>
    <w:link w:val="684"/>
    <w:qFormat/>
    <w:locked/>
    <w:uiPriority w:val="0"/>
    <w:rPr>
      <w:rFonts w:ascii="仿宋_GB2312" w:hAnsi="Arial Black" w:eastAsia="仿宋_GB2312"/>
      <w:kern w:val="44"/>
      <w:sz w:val="24"/>
    </w:rPr>
  </w:style>
  <w:style w:type="paragraph" w:customStyle="1" w:styleId="684">
    <w:name w:val="表格文字"/>
    <w:basedOn w:val="1"/>
    <w:link w:val="683"/>
    <w:qFormat/>
    <w:uiPriority w:val="0"/>
    <w:pPr>
      <w:jc w:val="center"/>
    </w:pPr>
    <w:rPr>
      <w:rFonts w:ascii="仿宋_GB2312" w:hAnsi="Arial Black" w:eastAsia="仿宋_GB2312"/>
      <w:kern w:val="44"/>
      <w:sz w:val="24"/>
      <w:szCs w:val="20"/>
    </w:rPr>
  </w:style>
  <w:style w:type="character" w:customStyle="1" w:styleId="685">
    <w:name w:val="标题 2 字符"/>
    <w:link w:val="3"/>
    <w:qFormat/>
    <w:uiPriority w:val="0"/>
    <w:rPr>
      <w:rFonts w:ascii="Arial" w:hAnsi="Arial" w:eastAsia="黑体"/>
      <w:b/>
      <w:bCs/>
      <w:kern w:val="2"/>
      <w:sz w:val="32"/>
      <w:szCs w:val="32"/>
    </w:rPr>
  </w:style>
  <w:style w:type="character" w:customStyle="1" w:styleId="686">
    <w:name w:val="常用表头样式 Char Char"/>
    <w:link w:val="687"/>
    <w:qFormat/>
    <w:uiPriority w:val="0"/>
    <w:rPr>
      <w:rFonts w:ascii="黑体" w:eastAsia="仿宋_GB2312"/>
      <w:b/>
      <w:kern w:val="2"/>
      <w:sz w:val="21"/>
      <w:szCs w:val="21"/>
    </w:rPr>
  </w:style>
  <w:style w:type="paragraph" w:customStyle="1" w:styleId="687">
    <w:name w:val="常用表头样式"/>
    <w:basedOn w:val="85"/>
    <w:link w:val="686"/>
    <w:qFormat/>
    <w:uiPriority w:val="0"/>
    <w:pPr>
      <w:overflowPunct w:val="0"/>
      <w:autoSpaceDE w:val="0"/>
      <w:autoSpaceDN w:val="0"/>
      <w:adjustRightInd w:val="0"/>
      <w:ind w:firstLine="0" w:firstLineChars="0"/>
      <w:jc w:val="center"/>
      <w:textAlignment w:val="baseline"/>
    </w:pPr>
    <w:rPr>
      <w:rFonts w:ascii="黑体" w:eastAsia="仿宋_GB2312"/>
      <w:b/>
      <w:sz w:val="21"/>
      <w:szCs w:val="21"/>
    </w:rPr>
  </w:style>
  <w:style w:type="character" w:customStyle="1" w:styleId="688">
    <w:name w:val="样式5 Char Char Char"/>
    <w:qFormat/>
    <w:uiPriority w:val="0"/>
    <w:rPr>
      <w:rFonts w:eastAsia="宋体"/>
      <w:kern w:val="2"/>
      <w:sz w:val="24"/>
      <w:szCs w:val="24"/>
      <w:lang w:val="en-US" w:eastAsia="zh-CN" w:bidi="ar-SA"/>
    </w:rPr>
  </w:style>
  <w:style w:type="character" w:customStyle="1" w:styleId="689">
    <w:name w:val="4号正文 Char1"/>
    <w:link w:val="690"/>
    <w:qFormat/>
    <w:uiPriority w:val="0"/>
    <w:rPr>
      <w:color w:val="000000"/>
      <w:sz w:val="24"/>
    </w:rPr>
  </w:style>
  <w:style w:type="paragraph" w:customStyle="1" w:styleId="690">
    <w:name w:val="4号正文"/>
    <w:basedOn w:val="1"/>
    <w:link w:val="689"/>
    <w:qFormat/>
    <w:uiPriority w:val="0"/>
    <w:pPr>
      <w:spacing w:line="460" w:lineRule="exact"/>
      <w:ind w:firstLine="480" w:firstLineChars="200"/>
    </w:pPr>
    <w:rPr>
      <w:color w:val="000000"/>
      <w:kern w:val="0"/>
      <w:sz w:val="24"/>
      <w:szCs w:val="20"/>
    </w:rPr>
  </w:style>
  <w:style w:type="paragraph" w:customStyle="1" w:styleId="691">
    <w:name w:val="xl159"/>
    <w:basedOn w:val="1"/>
    <w:semiHidden/>
    <w:qFormat/>
    <w:uiPriority w:val="0"/>
    <w:pPr>
      <w:widowControl/>
      <w:pBdr>
        <w:top w:val="double" w:color="auto" w:sz="6"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692">
    <w:name w:val="xl154"/>
    <w:basedOn w:val="1"/>
    <w:semiHidden/>
    <w:qFormat/>
    <w:uiPriority w:val="0"/>
    <w:pPr>
      <w:widowControl/>
      <w:pBdr>
        <w:top w:val="double" w:color="auto" w:sz="6"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693">
    <w:name w:val="段落"/>
    <w:basedOn w:val="1"/>
    <w:semiHidden/>
    <w:qFormat/>
    <w:uiPriority w:val="0"/>
    <w:pPr>
      <w:spacing w:line="420" w:lineRule="exact"/>
      <w:ind w:firstLine="480" w:firstLineChars="200"/>
    </w:pPr>
    <w:rPr>
      <w:rFonts w:ascii="Calibri" w:hAnsi="Calibri"/>
      <w:sz w:val="24"/>
      <w:szCs w:val="20"/>
    </w:rPr>
  </w:style>
  <w:style w:type="paragraph" w:customStyle="1" w:styleId="694">
    <w:name w:val="xl140"/>
    <w:basedOn w:val="1"/>
    <w:semiHidden/>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695">
    <w:name w:val="博泵1"/>
    <w:basedOn w:val="1"/>
    <w:semiHidden/>
    <w:qFormat/>
    <w:uiPriority w:val="0"/>
    <w:pPr>
      <w:adjustRightInd w:val="0"/>
      <w:spacing w:line="480" w:lineRule="exact"/>
      <w:ind w:firstLine="200" w:firstLineChars="200"/>
      <w:jc w:val="left"/>
      <w:textAlignment w:val="baseline"/>
    </w:pPr>
    <w:rPr>
      <w:rFonts w:ascii="Calibri" w:hAnsi="宋体"/>
      <w:color w:val="000000"/>
      <w:kern w:val="0"/>
      <w:sz w:val="24"/>
      <w:szCs w:val="20"/>
    </w:rPr>
  </w:style>
  <w:style w:type="paragraph" w:customStyle="1" w:styleId="696">
    <w:name w:val="xl122"/>
    <w:basedOn w:val="1"/>
    <w:semiHidden/>
    <w:qFormat/>
    <w:uiPriority w:val="0"/>
    <w:pPr>
      <w:widowControl/>
      <w:pBdr>
        <w:left w:val="single" w:color="auto" w:sz="8" w:space="0"/>
        <w:bottom w:val="single" w:color="auto" w:sz="12" w:space="0"/>
      </w:pBdr>
      <w:spacing w:before="100" w:beforeAutospacing="1" w:after="100" w:afterAutospacing="1" w:line="360" w:lineRule="auto"/>
      <w:ind w:firstLine="420" w:firstLineChars="200"/>
      <w:jc w:val="center"/>
    </w:pPr>
    <w:rPr>
      <w:rFonts w:ascii="宋体" w:hAnsi="宋体" w:cs="宋体"/>
      <w:kern w:val="0"/>
      <w:sz w:val="24"/>
      <w:szCs w:val="21"/>
    </w:rPr>
  </w:style>
  <w:style w:type="paragraph" w:customStyle="1" w:styleId="697">
    <w:name w:val="xl127"/>
    <w:basedOn w:val="1"/>
    <w:semiHidden/>
    <w:qFormat/>
    <w:uiPriority w:val="0"/>
    <w:pPr>
      <w:widowControl/>
      <w:pBdr>
        <w:top w:val="double" w:color="auto" w:sz="6" w:space="0"/>
        <w:left w:val="single" w:color="auto" w:sz="4"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698">
    <w:name w:val="初设正文"/>
    <w:basedOn w:val="1"/>
    <w:semiHidden/>
    <w:qFormat/>
    <w:uiPriority w:val="0"/>
    <w:pPr>
      <w:spacing w:after="120" w:line="440" w:lineRule="exact"/>
      <w:ind w:left="425" w:firstLine="425"/>
    </w:pPr>
    <w:rPr>
      <w:rFonts w:ascii="Arial" w:hAnsi="Arial"/>
      <w:kern w:val="0"/>
      <w:sz w:val="24"/>
      <w:szCs w:val="20"/>
    </w:rPr>
  </w:style>
  <w:style w:type="paragraph" w:customStyle="1" w:styleId="699">
    <w:name w:val="地址"/>
    <w:basedOn w:val="1"/>
    <w:semiHidden/>
    <w:qFormat/>
    <w:uiPriority w:val="0"/>
    <w:pPr>
      <w:keepLines/>
      <w:widowControl/>
      <w:overflowPunct w:val="0"/>
      <w:autoSpaceDE w:val="0"/>
      <w:autoSpaceDN w:val="0"/>
      <w:adjustRightInd w:val="0"/>
      <w:jc w:val="center"/>
      <w:textAlignment w:val="baseline"/>
    </w:pPr>
    <w:rPr>
      <w:rFonts w:ascii="Calibri" w:hAnsi="Calibri"/>
      <w:sz w:val="20"/>
      <w:szCs w:val="20"/>
    </w:rPr>
  </w:style>
  <w:style w:type="paragraph" w:customStyle="1" w:styleId="700">
    <w:name w:val="xl134"/>
    <w:basedOn w:val="1"/>
    <w:semiHidden/>
    <w:qFormat/>
    <w:uiPriority w:val="0"/>
    <w:pPr>
      <w:widowControl/>
      <w:pBdr>
        <w:top w:val="double" w:color="auto" w:sz="6" w:space="0"/>
      </w:pBdr>
      <w:spacing w:before="100" w:beforeAutospacing="1" w:after="100" w:afterAutospacing="1" w:line="360" w:lineRule="auto"/>
      <w:jc w:val="left"/>
    </w:pPr>
    <w:rPr>
      <w:rFonts w:ascii="Arial Unicode MS" w:hAnsi="Arial Unicode MS" w:eastAsia="Arial Unicode MS" w:cs="Arial Unicode MS"/>
      <w:kern w:val="0"/>
      <w:sz w:val="24"/>
      <w:szCs w:val="21"/>
    </w:rPr>
  </w:style>
  <w:style w:type="paragraph" w:customStyle="1" w:styleId="701">
    <w:name w:val="xl158"/>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702">
    <w:name w:val="xl153"/>
    <w:basedOn w:val="1"/>
    <w:semiHidden/>
    <w:qFormat/>
    <w:uiPriority w:val="0"/>
    <w:pPr>
      <w:widowControl/>
      <w:pBdr>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703">
    <w:name w:val="段落黑"/>
    <w:basedOn w:val="1"/>
    <w:semiHidden/>
    <w:qFormat/>
    <w:uiPriority w:val="0"/>
    <w:pPr>
      <w:spacing w:after="60" w:line="440" w:lineRule="exact"/>
      <w:ind w:firstLine="244" w:firstLineChars="100"/>
    </w:pPr>
    <w:rPr>
      <w:rFonts w:ascii="Calibri" w:hAnsi="Calibri" w:eastAsia="黑体"/>
      <w:spacing w:val="2"/>
      <w:kern w:val="0"/>
      <w:sz w:val="24"/>
      <w:szCs w:val="21"/>
    </w:rPr>
  </w:style>
  <w:style w:type="paragraph" w:customStyle="1" w:styleId="704">
    <w:name w:val="xl148"/>
    <w:basedOn w:val="1"/>
    <w:semiHidden/>
    <w:qFormat/>
    <w:uiPriority w:val="0"/>
    <w:pPr>
      <w:widowControl/>
      <w:pBdr>
        <w:top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705">
    <w:name w:val="段标题"/>
    <w:basedOn w:val="1"/>
    <w:next w:val="1"/>
    <w:semiHidden/>
    <w:qFormat/>
    <w:uiPriority w:val="0"/>
    <w:pPr>
      <w:ind w:firstLine="200" w:firstLineChars="200"/>
      <w:jc w:val="left"/>
      <w:outlineLvl w:val="2"/>
    </w:pPr>
    <w:rPr>
      <w:rFonts w:ascii="宋体" w:hAnsi="宋体"/>
      <w:bCs/>
      <w:kern w:val="0"/>
      <w:sz w:val="28"/>
      <w:szCs w:val="28"/>
    </w:rPr>
  </w:style>
  <w:style w:type="paragraph" w:customStyle="1" w:styleId="706">
    <w:name w:val="xl139"/>
    <w:basedOn w:val="1"/>
    <w:semiHidden/>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kern w:val="0"/>
      <w:sz w:val="20"/>
      <w:szCs w:val="20"/>
    </w:rPr>
  </w:style>
  <w:style w:type="paragraph" w:customStyle="1" w:styleId="707">
    <w:name w:val="城市"/>
    <w:basedOn w:val="33"/>
    <w:semiHidden/>
    <w:qFormat/>
    <w:uiPriority w:val="0"/>
    <w:pPr>
      <w:keepNext/>
      <w:widowControl/>
      <w:overflowPunct w:val="0"/>
      <w:autoSpaceDE w:val="0"/>
      <w:autoSpaceDN w:val="0"/>
      <w:adjustRightInd w:val="0"/>
      <w:spacing w:after="0" w:line="360" w:lineRule="auto"/>
      <w:ind w:firstLine="420" w:firstLineChars="200"/>
      <w:textAlignment w:val="baseline"/>
    </w:pPr>
    <w:rPr>
      <w:rFonts w:ascii="宋体" w:hAnsi="Calibri"/>
      <w:b/>
      <w:i/>
      <w:kern w:val="0"/>
      <w:sz w:val="20"/>
      <w:szCs w:val="20"/>
    </w:rPr>
  </w:style>
  <w:style w:type="paragraph" w:customStyle="1" w:styleId="708">
    <w:name w:val="xl125"/>
    <w:basedOn w:val="1"/>
    <w:semiHidden/>
    <w:qFormat/>
    <w:uiPriority w:val="0"/>
    <w:pPr>
      <w:widowControl/>
      <w:pBdr>
        <w:left w:val="single" w:color="auto" w:sz="8" w:space="0"/>
      </w:pBdr>
      <w:spacing w:before="100" w:beforeAutospacing="1" w:after="100" w:afterAutospacing="1" w:line="360" w:lineRule="auto"/>
      <w:ind w:firstLine="420" w:firstLineChars="200"/>
      <w:jc w:val="center"/>
      <w:textAlignment w:val="top"/>
    </w:pPr>
    <w:rPr>
      <w:rFonts w:ascii="宋体" w:hAnsi="宋体" w:cs="宋体"/>
      <w:color w:val="000000"/>
      <w:kern w:val="0"/>
      <w:sz w:val="24"/>
      <w:szCs w:val="21"/>
    </w:rPr>
  </w:style>
  <w:style w:type="paragraph" w:customStyle="1" w:styleId="709">
    <w:name w:val="灯泡注释(打印无效)"/>
    <w:basedOn w:val="85"/>
    <w:semiHidden/>
    <w:qFormat/>
    <w:uiPriority w:val="0"/>
    <w:pPr>
      <w:adjustRightInd w:val="0"/>
      <w:snapToGrid w:val="0"/>
      <w:spacing w:afterLines="100" w:line="480" w:lineRule="exact"/>
      <w:ind w:firstLine="0" w:firstLineChars="0"/>
    </w:pPr>
    <w:rPr>
      <w:rFonts w:ascii="宋体" w:hAnsi="宋体" w:eastAsia="汉鼎简书宋"/>
      <w:i/>
      <w:vanish/>
      <w:color w:val="FF0000"/>
      <w:kern w:val="32"/>
      <w:szCs w:val="21"/>
    </w:rPr>
  </w:style>
  <w:style w:type="paragraph" w:customStyle="1" w:styleId="710">
    <w:name w:val="xl132"/>
    <w:basedOn w:val="1"/>
    <w:semiHidden/>
    <w:qFormat/>
    <w:uiPriority w:val="0"/>
    <w:pPr>
      <w:widowControl/>
      <w:pBdr>
        <w:top w:val="single" w:color="auto" w:sz="4" w:space="0"/>
        <w:bottom w:val="single" w:color="auto" w:sz="4" w:space="0"/>
        <w:right w:val="single" w:color="auto" w:sz="4" w:space="0"/>
      </w:pBdr>
      <w:spacing w:before="100" w:beforeAutospacing="1" w:after="100" w:afterAutospacing="1" w:line="360" w:lineRule="auto"/>
      <w:jc w:val="left"/>
    </w:pPr>
    <w:rPr>
      <w:rFonts w:ascii="Arial Unicode MS" w:hAnsi="Arial Unicode MS" w:eastAsia="Arial Unicode MS" w:cs="Arial Unicode MS"/>
      <w:kern w:val="0"/>
      <w:sz w:val="24"/>
      <w:szCs w:val="21"/>
    </w:rPr>
  </w:style>
  <w:style w:type="paragraph" w:customStyle="1" w:styleId="711">
    <w:name w:val="xl156"/>
    <w:basedOn w:val="1"/>
    <w:semiHidden/>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712">
    <w:name w:val="图片标题 (2)"/>
    <w:basedOn w:val="1"/>
    <w:semiHidden/>
    <w:qFormat/>
    <w:uiPriority w:val="0"/>
    <w:pPr>
      <w:widowControl/>
      <w:shd w:val="clear" w:color="auto" w:fill="FFFFFF"/>
      <w:spacing w:line="240" w:lineRule="atLeast"/>
      <w:jc w:val="left"/>
    </w:pPr>
    <w:rPr>
      <w:rFonts w:ascii="黑体" w:hAnsi="Calibri" w:eastAsia="黑体"/>
      <w:kern w:val="0"/>
      <w:szCs w:val="21"/>
      <w:shd w:val="clear" w:color="auto" w:fill="FFFFFF"/>
    </w:rPr>
  </w:style>
  <w:style w:type="paragraph" w:customStyle="1" w:styleId="713">
    <w:name w:val="xl152"/>
    <w:basedOn w:val="1"/>
    <w:semiHidden/>
    <w:qFormat/>
    <w:uiPriority w:val="0"/>
    <w:pPr>
      <w:widowControl/>
      <w:pBdr>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714">
    <w:name w:val="段落2"/>
    <w:basedOn w:val="1"/>
    <w:semiHidden/>
    <w:qFormat/>
    <w:uiPriority w:val="0"/>
    <w:pPr>
      <w:adjustRightInd w:val="0"/>
      <w:spacing w:line="440" w:lineRule="atLeast"/>
      <w:ind w:firstLine="420" w:firstLineChars="200"/>
    </w:pPr>
    <w:rPr>
      <w:rFonts w:ascii="Calibri" w:hAnsi="Calibri"/>
      <w:spacing w:val="6"/>
      <w:sz w:val="24"/>
      <w:szCs w:val="20"/>
    </w:rPr>
  </w:style>
  <w:style w:type="paragraph" w:customStyle="1" w:styleId="715">
    <w:name w:val="xl145"/>
    <w:basedOn w:val="1"/>
    <w:semiHidden/>
    <w:qFormat/>
    <w:uiPriority w:val="0"/>
    <w:pPr>
      <w:widowControl/>
      <w:pBdr>
        <w:top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716">
    <w:name w:val="xl137"/>
    <w:basedOn w:val="1"/>
    <w:semiHidden/>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717">
    <w:name w:val="陈策次目录"/>
    <w:basedOn w:val="1"/>
    <w:semiHidden/>
    <w:qFormat/>
    <w:uiPriority w:val="0"/>
    <w:pPr>
      <w:widowControl/>
      <w:adjustRightInd w:val="0"/>
      <w:snapToGrid w:val="0"/>
      <w:spacing w:line="360" w:lineRule="auto"/>
      <w:ind w:firstLine="552" w:firstLineChars="200"/>
    </w:pPr>
    <w:rPr>
      <w:rFonts w:ascii="Arial Narrow" w:hAnsi="Arial Narrow" w:eastAsia="华文中宋"/>
      <w:sz w:val="24"/>
      <w:szCs w:val="21"/>
    </w:rPr>
  </w:style>
  <w:style w:type="paragraph" w:customStyle="1" w:styleId="718">
    <w:name w:val="xl124"/>
    <w:basedOn w:val="1"/>
    <w:semiHidden/>
    <w:qFormat/>
    <w:uiPriority w:val="0"/>
    <w:pPr>
      <w:widowControl/>
      <w:pBdr>
        <w:left w:val="single" w:color="auto" w:sz="8" w:space="0"/>
        <w:bottom w:val="single" w:color="auto" w:sz="8" w:space="0"/>
        <w:right w:val="single" w:color="auto" w:sz="8" w:space="0"/>
      </w:pBdr>
      <w:spacing w:before="100" w:beforeAutospacing="1" w:after="100" w:afterAutospacing="1" w:line="360" w:lineRule="auto"/>
      <w:ind w:firstLine="420" w:firstLineChars="200"/>
      <w:jc w:val="center"/>
      <w:textAlignment w:val="top"/>
    </w:pPr>
    <w:rPr>
      <w:rFonts w:ascii="Calibri" w:hAnsi="Calibri"/>
      <w:color w:val="000000"/>
      <w:kern w:val="0"/>
      <w:sz w:val="24"/>
      <w:szCs w:val="21"/>
    </w:rPr>
  </w:style>
  <w:style w:type="paragraph" w:customStyle="1" w:styleId="719">
    <w:name w:val="单元格"/>
    <w:basedOn w:val="1"/>
    <w:semiHidden/>
    <w:qFormat/>
    <w:uiPriority w:val="0"/>
    <w:pPr>
      <w:spacing w:line="360" w:lineRule="auto"/>
      <w:ind w:firstLine="420" w:firstLineChars="200"/>
      <w:jc w:val="center"/>
    </w:pPr>
    <w:rPr>
      <w:rFonts w:ascii="楷体_GB2312" w:hAnsi="Calibri" w:eastAsia="楷体_GB2312"/>
      <w:sz w:val="24"/>
      <w:szCs w:val="20"/>
    </w:rPr>
  </w:style>
  <w:style w:type="paragraph" w:customStyle="1" w:styleId="720">
    <w:name w:val="xl130"/>
    <w:basedOn w:val="1"/>
    <w:semiHidden/>
    <w:qFormat/>
    <w:uiPriority w:val="0"/>
    <w:pPr>
      <w:widowControl/>
      <w:pBdr>
        <w:top w:val="single" w:color="auto" w:sz="4" w:space="0"/>
        <w:left w:val="single" w:color="auto" w:sz="4" w:space="0"/>
        <w:bottom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kern w:val="0"/>
      <w:sz w:val="20"/>
      <w:szCs w:val="20"/>
    </w:rPr>
  </w:style>
  <w:style w:type="paragraph" w:customStyle="1" w:styleId="721">
    <w:name w:val="二级无标题条"/>
    <w:basedOn w:val="1"/>
    <w:semiHidden/>
    <w:qFormat/>
    <w:uiPriority w:val="0"/>
    <w:pPr>
      <w:spacing w:line="360" w:lineRule="auto"/>
    </w:pPr>
    <w:rPr>
      <w:rFonts w:ascii="宋体" w:hAnsi="Calibri"/>
      <w:sz w:val="24"/>
      <w:szCs w:val="21"/>
    </w:rPr>
  </w:style>
  <w:style w:type="paragraph" w:customStyle="1" w:styleId="722">
    <w:name w:val="xl155"/>
    <w:basedOn w:val="1"/>
    <w:semiHidden/>
    <w:qFormat/>
    <w:uiPriority w:val="0"/>
    <w:pPr>
      <w:widowControl/>
      <w:pBdr>
        <w:top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723">
    <w:name w:val="xl151"/>
    <w:basedOn w:val="1"/>
    <w:semiHidden/>
    <w:qFormat/>
    <w:uiPriority w:val="0"/>
    <w:pPr>
      <w:widowControl/>
      <w:pBdr>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724">
    <w:name w:val="xl143"/>
    <w:basedOn w:val="1"/>
    <w:semiHidden/>
    <w:qFormat/>
    <w:uiPriority w:val="0"/>
    <w:pPr>
      <w:widowControl/>
      <w:pBdr>
        <w:bottom w:val="double" w:color="auto" w:sz="6"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kern w:val="0"/>
      <w:sz w:val="20"/>
      <w:szCs w:val="20"/>
    </w:rPr>
  </w:style>
  <w:style w:type="paragraph" w:customStyle="1" w:styleId="725">
    <w:name w:val="段落1"/>
    <w:basedOn w:val="1"/>
    <w:semiHidden/>
    <w:qFormat/>
    <w:uiPriority w:val="0"/>
    <w:pPr>
      <w:adjustRightInd w:val="0"/>
      <w:spacing w:line="440" w:lineRule="exact"/>
      <w:ind w:firstLine="504" w:firstLineChars="200"/>
      <w:textAlignment w:val="baseline"/>
    </w:pPr>
    <w:rPr>
      <w:rFonts w:ascii="Calibri" w:hAnsi="宋体"/>
      <w:iCs/>
      <w:color w:val="000000"/>
      <w:spacing w:val="6"/>
      <w:sz w:val="24"/>
      <w:szCs w:val="21"/>
    </w:rPr>
  </w:style>
  <w:style w:type="paragraph" w:customStyle="1" w:styleId="726">
    <w:name w:val="段"/>
    <w:semiHidden/>
    <w:qFormat/>
    <w:uiPriority w:val="0"/>
    <w:pPr>
      <w:autoSpaceDE w:val="0"/>
      <w:autoSpaceDN w:val="0"/>
      <w:ind w:firstLine="200" w:firstLineChars="200"/>
      <w:jc w:val="both"/>
    </w:pPr>
    <w:rPr>
      <w:rFonts w:ascii="宋体" w:hAnsi="Calibri" w:eastAsia="宋体" w:cs="Times New Roman"/>
      <w:kern w:val="2"/>
      <w:sz w:val="21"/>
      <w:szCs w:val="21"/>
      <w:lang w:val="en-US" w:eastAsia="zh-CN" w:bidi="ar-SA"/>
    </w:rPr>
  </w:style>
  <w:style w:type="paragraph" w:customStyle="1" w:styleId="727">
    <w:name w:val="xl135"/>
    <w:basedOn w:val="1"/>
    <w:semiHidden/>
    <w:qFormat/>
    <w:uiPriority w:val="0"/>
    <w:pPr>
      <w:widowControl/>
      <w:pBdr>
        <w:top w:val="double" w:color="auto" w:sz="6" w:space="0"/>
        <w:right w:val="single" w:color="auto" w:sz="4" w:space="0"/>
      </w:pBdr>
      <w:spacing w:before="100" w:beforeAutospacing="1" w:after="100" w:afterAutospacing="1" w:line="360" w:lineRule="auto"/>
      <w:jc w:val="left"/>
    </w:pPr>
    <w:rPr>
      <w:rFonts w:ascii="Arial Unicode MS" w:hAnsi="Arial Unicode MS" w:eastAsia="Arial Unicode MS" w:cs="Arial Unicode MS"/>
      <w:kern w:val="0"/>
      <w:sz w:val="24"/>
      <w:szCs w:val="21"/>
    </w:rPr>
  </w:style>
  <w:style w:type="paragraph" w:customStyle="1" w:styleId="728">
    <w:name w:val="插图标题"/>
    <w:basedOn w:val="1"/>
    <w:semiHidden/>
    <w:qFormat/>
    <w:uiPriority w:val="0"/>
    <w:pPr>
      <w:tabs>
        <w:tab w:val="left" w:pos="1134"/>
        <w:tab w:val="right" w:pos="7371"/>
      </w:tabs>
      <w:overflowPunct w:val="0"/>
      <w:adjustRightInd w:val="0"/>
      <w:ind w:firstLine="567"/>
      <w:jc w:val="center"/>
      <w:textAlignment w:val="baseline"/>
    </w:pPr>
    <w:rPr>
      <w:rFonts w:ascii="黑体" w:hAnsi="Calibri" w:eastAsia="黑体"/>
      <w:kern w:val="0"/>
      <w:sz w:val="28"/>
      <w:szCs w:val="20"/>
    </w:rPr>
  </w:style>
  <w:style w:type="paragraph" w:customStyle="1" w:styleId="729">
    <w:name w:val="xl123"/>
    <w:basedOn w:val="1"/>
    <w:semiHidden/>
    <w:qFormat/>
    <w:uiPriority w:val="0"/>
    <w:pPr>
      <w:widowControl/>
      <w:pBdr>
        <w:top w:val="single" w:color="auto" w:sz="8" w:space="0"/>
        <w:left w:val="single" w:color="auto" w:sz="8" w:space="0"/>
        <w:right w:val="single" w:color="auto" w:sz="8" w:space="0"/>
      </w:pBdr>
      <w:spacing w:before="100" w:beforeAutospacing="1" w:after="100" w:afterAutospacing="1" w:line="360" w:lineRule="auto"/>
      <w:ind w:firstLine="420" w:firstLineChars="200"/>
      <w:jc w:val="center"/>
      <w:textAlignment w:val="top"/>
    </w:pPr>
    <w:rPr>
      <w:rFonts w:ascii="Calibri" w:hAnsi="Calibri"/>
      <w:color w:val="000000"/>
      <w:kern w:val="0"/>
      <w:sz w:val="24"/>
      <w:szCs w:val="21"/>
    </w:rPr>
  </w:style>
  <w:style w:type="paragraph" w:customStyle="1" w:styleId="730">
    <w:name w:val="单位名称"/>
    <w:basedOn w:val="1"/>
    <w:semiHidden/>
    <w:qFormat/>
    <w:uiPriority w:val="0"/>
    <w:pPr>
      <w:widowControl/>
      <w:overflowPunct w:val="0"/>
      <w:autoSpaceDE w:val="0"/>
      <w:autoSpaceDN w:val="0"/>
      <w:adjustRightInd w:val="0"/>
      <w:spacing w:before="120" w:after="80"/>
      <w:jc w:val="center"/>
      <w:textAlignment w:val="baseline"/>
    </w:pPr>
    <w:rPr>
      <w:rFonts w:ascii="Calibri" w:hAnsi="Calibri"/>
      <w:b/>
      <w:sz w:val="28"/>
      <w:szCs w:val="20"/>
    </w:rPr>
  </w:style>
  <w:style w:type="paragraph" w:customStyle="1" w:styleId="731">
    <w:name w:val="xl128"/>
    <w:basedOn w:val="1"/>
    <w:semiHidden/>
    <w:qFormat/>
    <w:uiPriority w:val="0"/>
    <w:pPr>
      <w:widowControl/>
      <w:pBdr>
        <w:left w:val="single" w:color="auto" w:sz="4"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732">
    <w:name w:val="3级题"/>
    <w:basedOn w:val="733"/>
    <w:semiHidden/>
    <w:qFormat/>
    <w:uiPriority w:val="0"/>
    <w:pPr>
      <w:spacing w:before="156" w:after="156"/>
      <w:jc w:val="both"/>
    </w:pPr>
    <w:rPr>
      <w:rFonts w:ascii="Calibri" w:hAnsi="Calibri" w:cs="宋体"/>
      <w:sz w:val="32"/>
      <w:szCs w:val="20"/>
    </w:rPr>
  </w:style>
  <w:style w:type="paragraph" w:customStyle="1" w:styleId="733">
    <w:name w:val="3级"/>
    <w:basedOn w:val="4"/>
    <w:qFormat/>
    <w:uiPriority w:val="0"/>
    <w:pPr>
      <w:spacing w:beforeLines="50" w:afterLines="50" w:line="440" w:lineRule="exact"/>
      <w:jc w:val="left"/>
    </w:pPr>
    <w:rPr>
      <w:rFonts w:eastAsia="黑体"/>
      <w:b w:val="0"/>
      <w:kern w:val="0"/>
      <w:sz w:val="28"/>
    </w:rPr>
  </w:style>
  <w:style w:type="paragraph" w:customStyle="1" w:styleId="734">
    <w:name w:val="Char2 Char Char Char"/>
    <w:basedOn w:val="1"/>
    <w:semiHidden/>
    <w:qFormat/>
    <w:uiPriority w:val="0"/>
    <w:pPr>
      <w:autoSpaceDE w:val="0"/>
      <w:autoSpaceDN w:val="0"/>
      <w:adjustRightInd w:val="0"/>
      <w:snapToGrid w:val="0"/>
      <w:spacing w:before="50" w:after="50" w:line="360" w:lineRule="auto"/>
      <w:ind w:firstLine="560" w:firstLineChars="200"/>
    </w:pPr>
    <w:rPr>
      <w:rFonts w:ascii="宋体" w:hAnsi="宋体" w:cs="宋体"/>
      <w:b/>
      <w:bCs/>
      <w:color w:val="000000"/>
      <w:kern w:val="0"/>
      <w:sz w:val="30"/>
      <w:szCs w:val="28"/>
    </w:rPr>
  </w:style>
  <w:style w:type="paragraph" w:customStyle="1" w:styleId="735">
    <w:name w:val="正文2 Char"/>
    <w:basedOn w:val="1"/>
    <w:qFormat/>
    <w:uiPriority w:val="0"/>
    <w:pPr>
      <w:adjustRightInd w:val="0"/>
      <w:snapToGrid w:val="0"/>
      <w:spacing w:line="360" w:lineRule="auto"/>
      <w:ind w:firstLine="414" w:firstLineChars="197"/>
      <w:jc w:val="left"/>
      <w:textAlignment w:val="baseline"/>
    </w:pPr>
    <w:rPr>
      <w:rFonts w:ascii="宋体" w:hAnsi="宋体"/>
      <w:color w:val="000000"/>
      <w:szCs w:val="21"/>
    </w:rPr>
  </w:style>
  <w:style w:type="paragraph" w:customStyle="1" w:styleId="736">
    <w:name w:val="yy标题3"/>
    <w:basedOn w:val="1"/>
    <w:next w:val="1"/>
    <w:semiHidden/>
    <w:qFormat/>
    <w:uiPriority w:val="0"/>
    <w:pPr>
      <w:keepNext/>
      <w:tabs>
        <w:tab w:val="left" w:pos="720"/>
        <w:tab w:val="left" w:pos="747"/>
      </w:tabs>
      <w:spacing w:line="360" w:lineRule="auto"/>
      <w:outlineLvl w:val="2"/>
    </w:pPr>
    <w:rPr>
      <w:rFonts w:ascii="宋体" w:hAnsi="宋体" w:eastAsia="黑体"/>
      <w:b/>
      <w:bCs/>
      <w:sz w:val="24"/>
      <w:szCs w:val="28"/>
    </w:rPr>
  </w:style>
  <w:style w:type="paragraph" w:customStyle="1" w:styleId="737">
    <w:name w:val="111111正文"/>
    <w:basedOn w:val="1"/>
    <w:semiHidden/>
    <w:qFormat/>
    <w:uiPriority w:val="0"/>
    <w:pPr>
      <w:spacing w:line="360" w:lineRule="auto"/>
      <w:ind w:firstLine="200" w:firstLineChars="200"/>
    </w:pPr>
    <w:rPr>
      <w:rFonts w:ascii="Calibri" w:hAnsi="Calibri"/>
      <w:sz w:val="24"/>
      <w:szCs w:val="21"/>
    </w:rPr>
  </w:style>
  <w:style w:type="paragraph" w:customStyle="1" w:styleId="738">
    <w:name w:val="T正文"/>
    <w:semiHidden/>
    <w:qFormat/>
    <w:uiPriority w:val="0"/>
    <w:pPr>
      <w:widowControl w:val="0"/>
      <w:adjustRightInd w:val="0"/>
      <w:snapToGrid w:val="0"/>
      <w:spacing w:line="360" w:lineRule="auto"/>
      <w:ind w:firstLine="200" w:firstLineChars="200"/>
      <w:jc w:val="both"/>
    </w:pPr>
    <w:rPr>
      <w:rFonts w:ascii="Calibri" w:hAnsi="Calibri" w:eastAsia="仿宋_GB2312" w:cs="Times New Roman"/>
      <w:kern w:val="2"/>
      <w:sz w:val="28"/>
      <w:szCs w:val="21"/>
      <w:lang w:val="en-US" w:eastAsia="zh-CN" w:bidi="ar-SA"/>
    </w:rPr>
  </w:style>
  <w:style w:type="paragraph" w:customStyle="1" w:styleId="739">
    <w:name w:val="xl100"/>
    <w:basedOn w:val="1"/>
    <w:semiHidden/>
    <w:qFormat/>
    <w:uiPriority w:val="0"/>
    <w:pPr>
      <w:widowControl/>
      <w:pBdr>
        <w:left w:val="single" w:color="auto" w:sz="12" w:space="0"/>
        <w:bottom w:val="single" w:color="auto" w:sz="8" w:space="0"/>
        <w:right w:val="single" w:color="auto" w:sz="8" w:space="0"/>
      </w:pBdr>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740">
    <w:name w:val="章节"/>
    <w:basedOn w:val="2"/>
    <w:qFormat/>
    <w:uiPriority w:val="0"/>
    <w:pPr>
      <w:spacing w:before="0" w:after="0"/>
      <w:jc w:val="left"/>
    </w:pPr>
    <w:rPr>
      <w:rFonts w:ascii="黑体" w:hAnsi="宋体" w:eastAsia="黑体"/>
      <w:sz w:val="28"/>
      <w:szCs w:val="28"/>
    </w:rPr>
  </w:style>
  <w:style w:type="paragraph" w:customStyle="1" w:styleId="741">
    <w:name w:val="样式 段落1 + 首行缩进:  2 字符 行距: 固定值 21 磅"/>
    <w:basedOn w:val="725"/>
    <w:semiHidden/>
    <w:qFormat/>
    <w:uiPriority w:val="0"/>
    <w:pPr>
      <w:spacing w:line="420" w:lineRule="exact"/>
    </w:pPr>
    <w:rPr>
      <w:rFonts w:hAnsi="Times New Roman"/>
      <w:iCs w:val="0"/>
    </w:rPr>
  </w:style>
  <w:style w:type="paragraph" w:customStyle="1" w:styleId="742">
    <w:name w:val="Footer Even"/>
    <w:basedOn w:val="54"/>
    <w:semiHidden/>
    <w:qFormat/>
    <w:uiPriority w:val="0"/>
    <w:pPr>
      <w:keepLines/>
      <w:widowControl/>
      <w:pBdr>
        <w:top w:val="single" w:color="auto" w:sz="8" w:space="1"/>
      </w:pBdr>
      <w:tabs>
        <w:tab w:val="center" w:pos="4320"/>
        <w:tab w:val="right" w:pos="8640"/>
        <w:tab w:val="clear" w:pos="4153"/>
        <w:tab w:val="clear" w:pos="8306"/>
      </w:tabs>
      <w:overflowPunct w:val="0"/>
      <w:autoSpaceDE w:val="0"/>
      <w:autoSpaceDN w:val="0"/>
      <w:adjustRightInd w:val="0"/>
      <w:snapToGrid/>
      <w:ind w:firstLine="420" w:firstLineChars="200"/>
      <w:textAlignment w:val="baseline"/>
    </w:pPr>
    <w:rPr>
      <w:rFonts w:ascii="Calibri" w:hAnsi="Calibri"/>
      <w:kern w:val="0"/>
      <w:sz w:val="20"/>
      <w:szCs w:val="20"/>
    </w:rPr>
  </w:style>
  <w:style w:type="paragraph" w:customStyle="1" w:styleId="743">
    <w:name w:val="dandan6-13正文"/>
    <w:basedOn w:val="1"/>
    <w:next w:val="1"/>
    <w:semiHidden/>
    <w:qFormat/>
    <w:uiPriority w:val="0"/>
    <w:pPr>
      <w:keepNext/>
      <w:keepLines/>
      <w:widowControl/>
      <w:adjustRightInd w:val="0"/>
      <w:spacing w:before="40" w:after="40" w:line="360" w:lineRule="auto"/>
      <w:ind w:firstLine="200" w:firstLineChars="200"/>
      <w:textAlignment w:val="baseline"/>
    </w:pPr>
    <w:rPr>
      <w:rFonts w:ascii="Calibri" w:hAnsi="Calibri" w:cs="宋体"/>
      <w:kern w:val="0"/>
      <w:sz w:val="24"/>
      <w:szCs w:val="28"/>
    </w:rPr>
  </w:style>
  <w:style w:type="paragraph" w:customStyle="1" w:styleId="744">
    <w:name w:val="xl26"/>
    <w:basedOn w:val="1"/>
    <w:qFormat/>
    <w:uiPriority w:val="0"/>
    <w:pPr>
      <w:widowControl/>
      <w:pBdr>
        <w:bottom w:val="single" w:color="auto" w:sz="4" w:space="0"/>
        <w:right w:val="single" w:color="auto" w:sz="4" w:space="0"/>
      </w:pBdr>
      <w:spacing w:before="100" w:after="100"/>
      <w:jc w:val="center"/>
      <w:textAlignment w:val="top"/>
    </w:pPr>
    <w:rPr>
      <w:rFonts w:ascii="宋体" w:hAnsi="宋体"/>
      <w:kern w:val="0"/>
      <w:szCs w:val="20"/>
    </w:rPr>
  </w:style>
  <w:style w:type="paragraph" w:customStyle="1" w:styleId="745">
    <w:name w:val="hp2"/>
    <w:basedOn w:val="3"/>
    <w:semiHidden/>
    <w:qFormat/>
    <w:uiPriority w:val="0"/>
    <w:pPr>
      <w:adjustRightInd w:val="0"/>
      <w:spacing w:line="416" w:lineRule="atLeast"/>
      <w:textAlignment w:val="baseline"/>
    </w:pPr>
    <w:rPr>
      <w:rFonts w:ascii="宋体" w:hAnsi="宋体" w:eastAsia="宋体"/>
      <w:color w:val="FF0000"/>
      <w:kern w:val="0"/>
      <w:sz w:val="28"/>
      <w:szCs w:val="28"/>
    </w:rPr>
  </w:style>
  <w:style w:type="paragraph" w:customStyle="1" w:styleId="746">
    <w:name w:val="FU2"/>
    <w:basedOn w:val="3"/>
    <w:semiHidden/>
    <w:qFormat/>
    <w:uiPriority w:val="0"/>
    <w:rPr>
      <w:rFonts w:ascii="黑体" w:hAnsi="宋体" w:eastAsia="宋体"/>
      <w:color w:val="000000"/>
      <w:sz w:val="24"/>
      <w:szCs w:val="24"/>
    </w:rPr>
  </w:style>
  <w:style w:type="paragraph" w:customStyle="1" w:styleId="747">
    <w:name w:val="样式 标题 3条标题1.1.1BSH-3 + (中文) 黑体 玫瑰红 首行缩进:  2 字符 段前: 6 磅 段后:..."/>
    <w:basedOn w:val="4"/>
    <w:semiHidden/>
    <w:qFormat/>
    <w:uiPriority w:val="0"/>
    <w:pPr>
      <w:spacing w:before="0" w:after="0" w:line="560" w:lineRule="exact"/>
    </w:pPr>
    <w:rPr>
      <w:rFonts w:ascii="Calibri" w:hAnsi="Calibri" w:eastAsia="黑体" w:cs="宋体"/>
      <w:b w:val="0"/>
      <w:bCs w:val="0"/>
      <w:color w:val="FF99CC"/>
      <w:kern w:val="0"/>
      <w:sz w:val="30"/>
      <w:szCs w:val="30"/>
    </w:rPr>
  </w:style>
  <w:style w:type="paragraph" w:customStyle="1" w:styleId="748">
    <w:name w:val="样式 标题 3小标题小节标题3h33rd levelH3l3CT二级节名条标题1.1.1BSH-3项目分..."/>
    <w:basedOn w:val="4"/>
    <w:qFormat/>
    <w:uiPriority w:val="0"/>
    <w:pPr>
      <w:keepNext w:val="0"/>
      <w:keepLines w:val="0"/>
      <w:adjustRightInd w:val="0"/>
      <w:spacing w:before="0" w:after="0" w:line="240" w:lineRule="auto"/>
      <w:textAlignment w:val="baseline"/>
    </w:pPr>
    <w:rPr>
      <w:rFonts w:ascii="Arial" w:hAnsi="Arial" w:eastAsia="黑体"/>
      <w:b w:val="0"/>
      <w:kern w:val="24"/>
      <w:sz w:val="24"/>
      <w:szCs w:val="24"/>
    </w:rPr>
  </w:style>
  <w:style w:type="paragraph" w:customStyle="1" w:styleId="749">
    <w:name w:val="默认段落字体 Para Char"/>
    <w:basedOn w:val="1"/>
    <w:next w:val="1"/>
    <w:qFormat/>
    <w:uiPriority w:val="0"/>
    <w:pPr>
      <w:spacing w:line="360" w:lineRule="auto"/>
      <w:ind w:firstLine="200" w:firstLineChars="200"/>
    </w:pPr>
    <w:rPr>
      <w:rFonts w:ascii="宋体" w:hAnsi="宋体" w:cs="宋体"/>
      <w:sz w:val="24"/>
    </w:rPr>
  </w:style>
  <w:style w:type="paragraph" w:customStyle="1" w:styleId="750">
    <w:name w:val="CM40"/>
    <w:basedOn w:val="1"/>
    <w:next w:val="1"/>
    <w:semiHidden/>
    <w:qFormat/>
    <w:uiPriority w:val="0"/>
    <w:pPr>
      <w:autoSpaceDE w:val="0"/>
      <w:autoSpaceDN w:val="0"/>
      <w:adjustRightInd w:val="0"/>
      <w:spacing w:line="280" w:lineRule="atLeast"/>
      <w:jc w:val="left"/>
    </w:pPr>
    <w:rPr>
      <w:rFonts w:ascii="Calibri" w:hAnsi="Calibri"/>
      <w:sz w:val="24"/>
      <w:szCs w:val="21"/>
    </w:rPr>
  </w:style>
  <w:style w:type="paragraph" w:customStyle="1" w:styleId="751">
    <w:name w:val="样式 标题 31.1.1条标题 3 Char Char标题 3 CharBSH-3条标题1.1.1H3b33..."/>
    <w:basedOn w:val="4"/>
    <w:semiHidden/>
    <w:qFormat/>
    <w:uiPriority w:val="0"/>
    <w:pPr>
      <w:spacing w:before="0" w:after="0"/>
    </w:pPr>
    <w:rPr>
      <w:rFonts w:ascii="Calibri" w:hAnsi="Calibri" w:eastAsia="黑体"/>
      <w:b w:val="0"/>
      <w:bCs w:val="0"/>
      <w:kern w:val="0"/>
      <w:sz w:val="24"/>
      <w:szCs w:val="20"/>
    </w:rPr>
  </w:style>
  <w:style w:type="paragraph" w:customStyle="1" w:styleId="752">
    <w:name w:val="xl142"/>
    <w:basedOn w:val="1"/>
    <w:semiHidden/>
    <w:qFormat/>
    <w:uiPriority w:val="0"/>
    <w:pPr>
      <w:widowControl/>
      <w:pBdr>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753">
    <w:name w:val="样式3"/>
    <w:basedOn w:val="1"/>
    <w:link w:val="2196"/>
    <w:qFormat/>
    <w:uiPriority w:val="0"/>
    <w:pPr>
      <w:widowControl/>
      <w:adjustRightInd w:val="0"/>
      <w:snapToGrid w:val="0"/>
      <w:spacing w:line="240" w:lineRule="atLeast"/>
      <w:jc w:val="center"/>
      <w:outlineLvl w:val="4"/>
    </w:pPr>
    <w:rPr>
      <w:rFonts w:ascii="黑体" w:hAnsi="宋体" w:eastAsia="黑体"/>
      <w:kern w:val="0"/>
      <w:sz w:val="24"/>
    </w:rPr>
  </w:style>
  <w:style w:type="paragraph" w:customStyle="1" w:styleId="754">
    <w:name w:val="xl174"/>
    <w:basedOn w:val="1"/>
    <w:semiHidden/>
    <w:qFormat/>
    <w:uiPriority w:val="0"/>
    <w:pPr>
      <w:widowControl/>
      <w:pBdr>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 w:val="20"/>
      <w:szCs w:val="20"/>
    </w:rPr>
  </w:style>
  <w:style w:type="paragraph" w:customStyle="1" w:styleId="755">
    <w:name w:val="xl79"/>
    <w:basedOn w:val="1"/>
    <w:semiHidden/>
    <w:qFormat/>
    <w:uiPriority w:val="0"/>
    <w:pPr>
      <w:widowControl/>
      <w:pBdr>
        <w:top w:val="single" w:color="auto" w:sz="12" w:space="0"/>
        <w:left w:val="single" w:color="auto" w:sz="12" w:space="0"/>
        <w:right w:val="single" w:color="auto" w:sz="8" w:space="0"/>
      </w:pBdr>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756">
    <w:name w:val="样式 标题 3 + 小四 非加粗 行距: 1.5 倍行距"/>
    <w:basedOn w:val="4"/>
    <w:semiHidden/>
    <w:qFormat/>
    <w:uiPriority w:val="0"/>
    <w:pPr>
      <w:ind w:left="1680" w:leftChars="100" w:right="100" w:rightChars="100"/>
    </w:pPr>
    <w:rPr>
      <w:rFonts w:ascii="Calibri" w:hAnsi="Calibri" w:cs="宋体"/>
      <w:b w:val="0"/>
      <w:bCs w:val="0"/>
      <w:kern w:val="0"/>
      <w:sz w:val="24"/>
      <w:szCs w:val="20"/>
    </w:rPr>
  </w:style>
  <w:style w:type="paragraph" w:customStyle="1" w:styleId="757">
    <w:name w:val="样式 标题 3 + 四号 非加粗 黑色"/>
    <w:basedOn w:val="4"/>
    <w:next w:val="4"/>
    <w:semiHidden/>
    <w:qFormat/>
    <w:uiPriority w:val="0"/>
    <w:pPr>
      <w:tabs>
        <w:tab w:val="left" w:pos="720"/>
      </w:tabs>
      <w:spacing w:before="0" w:after="0"/>
      <w:ind w:left="720" w:hanging="720"/>
    </w:pPr>
    <w:rPr>
      <w:rFonts w:ascii="Calibri" w:hAnsi="Calibri"/>
      <w:bCs w:val="0"/>
      <w:color w:val="000000"/>
      <w:kern w:val="0"/>
      <w:sz w:val="28"/>
      <w:szCs w:val="28"/>
    </w:rPr>
  </w:style>
  <w:style w:type="paragraph" w:customStyle="1" w:styleId="758">
    <w:name w:val="xl179"/>
    <w:basedOn w:val="1"/>
    <w:semiHidden/>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759">
    <w:name w:val="Char Char2 Char Char Char Char"/>
    <w:basedOn w:val="1"/>
    <w:semiHidden/>
    <w:qFormat/>
    <w:uiPriority w:val="0"/>
    <w:rPr>
      <w:rFonts w:ascii="Calibri" w:hAnsi="Calibri"/>
      <w:sz w:val="30"/>
      <w:szCs w:val="30"/>
    </w:rPr>
  </w:style>
  <w:style w:type="paragraph" w:customStyle="1" w:styleId="760">
    <w:name w:val="5级"/>
    <w:basedOn w:val="6"/>
    <w:semiHidden/>
    <w:qFormat/>
    <w:uiPriority w:val="0"/>
    <w:pPr>
      <w:tabs>
        <w:tab w:val="clear" w:pos="1008"/>
      </w:tabs>
      <w:spacing w:beforeLines="50" w:afterLines="50" w:line="440" w:lineRule="exact"/>
      <w:ind w:left="0" w:firstLine="0"/>
    </w:pPr>
    <w:rPr>
      <w:rFonts w:ascii="Calibri" w:hAnsi="宋体" w:eastAsia="黑体" w:cs="宋体"/>
      <w:sz w:val="24"/>
      <w:szCs w:val="20"/>
    </w:rPr>
  </w:style>
  <w:style w:type="paragraph" w:customStyle="1" w:styleId="761">
    <w:name w:val="样式 标题 3 + 段后: 7.8 磅"/>
    <w:basedOn w:val="4"/>
    <w:semiHidden/>
    <w:qFormat/>
    <w:uiPriority w:val="0"/>
    <w:pPr>
      <w:autoSpaceDE w:val="0"/>
      <w:autoSpaceDN w:val="0"/>
      <w:adjustRightInd w:val="0"/>
      <w:snapToGrid w:val="0"/>
      <w:spacing w:beforeLines="50" w:afterLines="50" w:line="360" w:lineRule="exact"/>
      <w:textAlignment w:val="baseline"/>
    </w:pPr>
    <w:rPr>
      <w:rFonts w:ascii="Calibri" w:hAnsi="Calibri" w:eastAsia="黑体"/>
      <w:b w:val="0"/>
      <w:bCs w:val="0"/>
      <w:spacing w:val="4"/>
      <w:kern w:val="0"/>
    </w:rPr>
  </w:style>
  <w:style w:type="paragraph" w:customStyle="1" w:styleId="762">
    <w:name w:val="样式 标题 4款标题1.1.1.11.1.1.1 + (符号) 宋体 左 段前: 7.8 磅 段后: 7.8 磅"/>
    <w:basedOn w:val="5"/>
    <w:semiHidden/>
    <w:qFormat/>
    <w:uiPriority w:val="0"/>
    <w:pPr>
      <w:widowControl/>
      <w:spacing w:beforeLines="50" w:afterLines="50" w:line="360" w:lineRule="auto"/>
    </w:pPr>
    <w:rPr>
      <w:rFonts w:ascii="黑体" w:hAnsi="宋体" w:cs="宋体"/>
      <w:b/>
      <w:snapToGrid w:val="0"/>
      <w:color w:val="1B1B1B"/>
      <w:sz w:val="28"/>
      <w:szCs w:val="28"/>
    </w:rPr>
  </w:style>
  <w:style w:type="paragraph" w:customStyle="1" w:styleId="763">
    <w:name w:val="样式 标题2　自动设置"/>
    <w:basedOn w:val="3"/>
    <w:semiHidden/>
    <w:qFormat/>
    <w:uiPriority w:val="0"/>
    <w:pPr>
      <w:tabs>
        <w:tab w:val="left" w:pos="0"/>
        <w:tab w:val="left" w:pos="360"/>
      </w:tabs>
      <w:spacing w:after="60" w:line="240" w:lineRule="auto"/>
    </w:pPr>
    <w:rPr>
      <w:rFonts w:ascii="宋体" w:hAnsi="宋体" w:eastAsia="宋体" w:cs="宋体"/>
      <w:kern w:val="0"/>
      <w:sz w:val="28"/>
      <w:szCs w:val="20"/>
    </w:rPr>
  </w:style>
  <w:style w:type="paragraph" w:customStyle="1" w:styleId="764">
    <w:name w:val="样式 标题4 + (中文) 黑体 四号 非加粗 蓝色 首行缩进:  1.8 字符"/>
    <w:basedOn w:val="5"/>
    <w:semiHidden/>
    <w:qFormat/>
    <w:uiPriority w:val="0"/>
    <w:pPr>
      <w:spacing w:before="280" w:after="290" w:line="376" w:lineRule="auto"/>
      <w:ind w:firstLine="504"/>
    </w:pPr>
    <w:rPr>
      <w:rFonts w:ascii="Cambria" w:hAnsi="Cambria" w:cs="宋体"/>
      <w:color w:val="0000FF"/>
      <w:sz w:val="28"/>
      <w:szCs w:val="20"/>
    </w:rPr>
  </w:style>
  <w:style w:type="paragraph" w:customStyle="1" w:styleId="765">
    <w:name w:val="样式 表格内容 +"/>
    <w:basedOn w:val="44"/>
    <w:semiHidden/>
    <w:qFormat/>
    <w:uiPriority w:val="0"/>
    <w:pPr>
      <w:adjustRightInd w:val="0"/>
      <w:snapToGrid w:val="0"/>
      <w:spacing w:line="320" w:lineRule="exact"/>
      <w:ind w:firstLine="420"/>
      <w:jc w:val="center"/>
    </w:pPr>
    <w:rPr>
      <w:rFonts w:cs="Times New Roman"/>
      <w:szCs w:val="20"/>
    </w:rPr>
  </w:style>
  <w:style w:type="paragraph" w:customStyle="1" w:styleId="766">
    <w:name w:val="样式 表格内容 + (中文) 宋体 居中"/>
    <w:basedOn w:val="1"/>
    <w:semiHidden/>
    <w:qFormat/>
    <w:uiPriority w:val="0"/>
    <w:pPr>
      <w:overflowPunct w:val="0"/>
      <w:adjustRightInd w:val="0"/>
      <w:snapToGrid w:val="0"/>
      <w:spacing w:after="120" w:line="440" w:lineRule="exact"/>
      <w:jc w:val="center"/>
      <w:textAlignment w:val="baseline"/>
    </w:pPr>
    <w:rPr>
      <w:rFonts w:ascii="Arial" w:hAnsi="Arial"/>
      <w:kern w:val="0"/>
      <w:szCs w:val="20"/>
    </w:rPr>
  </w:style>
  <w:style w:type="paragraph" w:customStyle="1" w:styleId="767">
    <w:name w:val="样式 表头 + 两端对齐 段后: 0 磅 行距: 1.5 倍行距"/>
    <w:basedOn w:val="768"/>
    <w:semiHidden/>
    <w:qFormat/>
    <w:uiPriority w:val="0"/>
    <w:pPr>
      <w:spacing w:after="0" w:line="360" w:lineRule="auto"/>
      <w:jc w:val="both"/>
    </w:pPr>
    <w:rPr>
      <w:rFonts w:ascii="Calibri" w:hAnsi="Calibri"/>
      <w:szCs w:val="21"/>
    </w:rPr>
  </w:style>
  <w:style w:type="paragraph" w:customStyle="1" w:styleId="768">
    <w:name w:val="表头"/>
    <w:basedOn w:val="1"/>
    <w:next w:val="1"/>
    <w:link w:val="2204"/>
    <w:qFormat/>
    <w:uiPriority w:val="0"/>
    <w:pPr>
      <w:snapToGrid w:val="0"/>
      <w:spacing w:before="240" w:after="240"/>
      <w:jc w:val="center"/>
    </w:pPr>
    <w:rPr>
      <w:rFonts w:ascii="宋体" w:hAnsi="宋体"/>
      <w:b/>
      <w:bCs/>
      <w:kern w:val="32"/>
      <w:sz w:val="24"/>
    </w:rPr>
  </w:style>
  <w:style w:type="paragraph" w:customStyle="1" w:styleId="769">
    <w:name w:val="样式 表内5 + (符号) 宋体 两端对齐 行距: 单倍行距"/>
    <w:basedOn w:val="1"/>
    <w:semiHidden/>
    <w:qFormat/>
    <w:uiPriority w:val="0"/>
    <w:pPr>
      <w:adjustRightInd w:val="0"/>
      <w:snapToGrid w:val="0"/>
      <w:spacing w:line="360" w:lineRule="auto"/>
      <w:ind w:firstLine="420" w:firstLineChars="200"/>
    </w:pPr>
    <w:rPr>
      <w:rFonts w:ascii="宋体" w:hAnsi="宋体" w:eastAsia="楷体_GB2312"/>
      <w:sz w:val="24"/>
      <w:szCs w:val="20"/>
    </w:rPr>
  </w:style>
  <w:style w:type="paragraph" w:customStyle="1" w:styleId="770">
    <w:name w:val="样式 表内小5 + 左侧:  0 厘米 悬挂缩进: 0.98 字符"/>
    <w:basedOn w:val="771"/>
    <w:semiHidden/>
    <w:qFormat/>
    <w:uiPriority w:val="0"/>
    <w:pPr>
      <w:ind w:left="0"/>
    </w:pPr>
    <w:rPr>
      <w:rFonts w:cs="宋体"/>
      <w:szCs w:val="20"/>
    </w:rPr>
  </w:style>
  <w:style w:type="paragraph" w:customStyle="1" w:styleId="771">
    <w:name w:val="表内小5"/>
    <w:basedOn w:val="1"/>
    <w:semiHidden/>
    <w:qFormat/>
    <w:uiPriority w:val="0"/>
    <w:pPr>
      <w:adjustRightInd w:val="0"/>
      <w:snapToGrid w:val="0"/>
      <w:spacing w:line="300" w:lineRule="auto"/>
      <w:ind w:left="176"/>
    </w:pPr>
    <w:rPr>
      <w:rFonts w:ascii="宋体" w:hAnsi="宋体"/>
      <w:sz w:val="18"/>
      <w:szCs w:val="21"/>
    </w:rPr>
  </w:style>
  <w:style w:type="paragraph" w:customStyle="1" w:styleId="772">
    <w:name w:val="样式 表头 + 两端对齐"/>
    <w:basedOn w:val="768"/>
    <w:semiHidden/>
    <w:qFormat/>
    <w:uiPriority w:val="0"/>
    <w:pPr>
      <w:jc w:val="both"/>
    </w:pPr>
    <w:rPr>
      <w:rFonts w:ascii="Calibri" w:hAnsi="Calibri"/>
      <w:szCs w:val="21"/>
    </w:rPr>
  </w:style>
  <w:style w:type="paragraph" w:styleId="773">
    <w:name w:val="No Spacing"/>
    <w:qFormat/>
    <w:uiPriority w:val="0"/>
    <w:pPr>
      <w:widowControl w:val="0"/>
      <w:jc w:val="both"/>
    </w:pPr>
    <w:rPr>
      <w:rFonts w:ascii="Calibri" w:hAnsi="Calibri" w:eastAsia="宋体" w:cs="Times New Roman"/>
      <w:kern w:val="2"/>
      <w:sz w:val="21"/>
      <w:szCs w:val="21"/>
      <w:lang w:val="en-US" w:eastAsia="zh-CN" w:bidi="ar-SA"/>
    </w:rPr>
  </w:style>
  <w:style w:type="paragraph" w:customStyle="1" w:styleId="774">
    <w:name w:val="无间距"/>
    <w:semiHidden/>
    <w:qFormat/>
    <w:uiPriority w:val="0"/>
    <w:pPr>
      <w:widowControl w:val="0"/>
      <w:spacing w:afterLines="100"/>
      <w:jc w:val="both"/>
    </w:pPr>
    <w:rPr>
      <w:rFonts w:ascii="Calibri" w:hAnsi="Calibri" w:eastAsia="宋体" w:cs="Times New Roman"/>
      <w:kern w:val="2"/>
      <w:sz w:val="21"/>
      <w:szCs w:val="22"/>
      <w:lang w:val="en-US" w:eastAsia="zh-CN" w:bidi="ar-SA"/>
    </w:rPr>
  </w:style>
  <w:style w:type="paragraph" w:customStyle="1" w:styleId="775">
    <w:name w:val="五级标题王"/>
    <w:basedOn w:val="1"/>
    <w:semiHidden/>
    <w:qFormat/>
    <w:uiPriority w:val="0"/>
    <w:pPr>
      <w:adjustRightInd w:val="0"/>
      <w:snapToGrid w:val="0"/>
      <w:spacing w:line="360" w:lineRule="auto"/>
      <w:outlineLvl w:val="4"/>
    </w:pPr>
    <w:rPr>
      <w:rFonts w:ascii="黑体" w:hAnsi="宋体" w:eastAsia="黑体"/>
      <w:color w:val="0000FF"/>
      <w:sz w:val="24"/>
      <w:szCs w:val="21"/>
    </w:rPr>
  </w:style>
  <w:style w:type="paragraph" w:customStyle="1" w:styleId="776">
    <w:name w:val="五级条"/>
    <w:basedOn w:val="1"/>
    <w:semiHidden/>
    <w:qFormat/>
    <w:uiPriority w:val="0"/>
    <w:pPr>
      <w:tabs>
        <w:tab w:val="left" w:pos="2520"/>
      </w:tabs>
      <w:spacing w:line="440" w:lineRule="exact"/>
      <w:ind w:left="2520" w:hanging="420"/>
    </w:pPr>
    <w:rPr>
      <w:rFonts w:ascii="宋体" w:hAnsi="Calibri"/>
      <w:sz w:val="24"/>
      <w:szCs w:val="20"/>
    </w:rPr>
  </w:style>
  <w:style w:type="paragraph" w:customStyle="1" w:styleId="777">
    <w:name w:val="项目编号"/>
    <w:basedOn w:val="1"/>
    <w:next w:val="1"/>
    <w:semiHidden/>
    <w:qFormat/>
    <w:uiPriority w:val="0"/>
    <w:pPr>
      <w:tabs>
        <w:tab w:val="left" w:pos="1077"/>
      </w:tabs>
      <w:spacing w:before="120" w:after="120" w:line="360" w:lineRule="auto"/>
      <w:ind w:left="1077" w:hanging="567"/>
    </w:pPr>
    <w:rPr>
      <w:rFonts w:ascii="Calibri" w:hAnsi="Calibri"/>
      <w:sz w:val="24"/>
      <w:szCs w:val="20"/>
    </w:rPr>
  </w:style>
  <w:style w:type="paragraph" w:customStyle="1" w:styleId="778">
    <w:name w:val="项目编号文字"/>
    <w:basedOn w:val="1"/>
    <w:next w:val="20"/>
    <w:semiHidden/>
    <w:qFormat/>
    <w:uiPriority w:val="0"/>
    <w:pPr>
      <w:spacing w:before="120" w:after="120" w:line="360" w:lineRule="auto"/>
      <w:ind w:left="1077"/>
    </w:pPr>
    <w:rPr>
      <w:rFonts w:ascii="Calibri" w:hAnsi="Calibri"/>
      <w:sz w:val="24"/>
      <w:szCs w:val="20"/>
    </w:rPr>
  </w:style>
  <w:style w:type="paragraph" w:customStyle="1" w:styleId="779">
    <w:name w:val="项目点符号"/>
    <w:basedOn w:val="1"/>
    <w:semiHidden/>
    <w:qFormat/>
    <w:uiPriority w:val="0"/>
    <w:pPr>
      <w:spacing w:line="360" w:lineRule="auto"/>
      <w:ind w:firstLine="539" w:firstLineChars="198"/>
    </w:pPr>
    <w:rPr>
      <w:rFonts w:ascii="Calibri" w:hAnsi="宋体"/>
      <w:color w:val="000000"/>
      <w:spacing w:val="16"/>
      <w:sz w:val="24"/>
      <w:szCs w:val="21"/>
    </w:rPr>
  </w:style>
  <w:style w:type="paragraph" w:customStyle="1" w:styleId="780">
    <w:name w:val="项目符号"/>
    <w:basedOn w:val="1"/>
    <w:semiHidden/>
    <w:qFormat/>
    <w:uiPriority w:val="0"/>
    <w:pPr>
      <w:tabs>
        <w:tab w:val="left" w:pos="0"/>
      </w:tabs>
      <w:overflowPunct w:val="0"/>
      <w:snapToGrid w:val="0"/>
      <w:spacing w:line="480" w:lineRule="exact"/>
      <w:ind w:left="567" w:hanging="567" w:firstLineChars="200"/>
    </w:pPr>
    <w:rPr>
      <w:rFonts w:ascii="Arial" w:hAnsi="Arial" w:eastAsia="仿宋_GB2312"/>
      <w:sz w:val="28"/>
      <w:szCs w:val="20"/>
    </w:rPr>
  </w:style>
  <w:style w:type="paragraph" w:customStyle="1" w:styleId="781">
    <w:name w:val="项目符号1"/>
    <w:basedOn w:val="1"/>
    <w:semiHidden/>
    <w:qFormat/>
    <w:uiPriority w:val="0"/>
    <w:pPr>
      <w:tabs>
        <w:tab w:val="left" w:pos="360"/>
        <w:tab w:val="left" w:pos="935"/>
      </w:tabs>
      <w:snapToGrid w:val="0"/>
      <w:spacing w:before="120" w:after="120" w:line="312" w:lineRule="auto"/>
      <w:ind w:left="935" w:hanging="360" w:hangingChars="200"/>
    </w:pPr>
    <w:rPr>
      <w:rFonts w:ascii="Arial" w:hAnsi="Arial" w:eastAsia="楷体_GB2312"/>
      <w:b/>
      <w:sz w:val="28"/>
      <w:szCs w:val="20"/>
    </w:rPr>
  </w:style>
  <w:style w:type="paragraph" w:customStyle="1" w:styleId="782">
    <w:name w:val="项目符号2"/>
    <w:basedOn w:val="781"/>
    <w:semiHidden/>
    <w:qFormat/>
    <w:uiPriority w:val="0"/>
    <w:pPr>
      <w:tabs>
        <w:tab w:val="left" w:pos="1275"/>
        <w:tab w:val="clear" w:pos="360"/>
        <w:tab w:val="clear" w:pos="935"/>
      </w:tabs>
      <w:ind w:left="850" w:hanging="1275"/>
    </w:pPr>
    <w:rPr>
      <w:b w:val="0"/>
    </w:rPr>
  </w:style>
  <w:style w:type="paragraph" w:customStyle="1" w:styleId="783">
    <w:name w:val="项目符号结尾"/>
    <w:basedOn w:val="23"/>
    <w:next w:val="33"/>
    <w:semiHidden/>
    <w:qFormat/>
    <w:uiPriority w:val="0"/>
    <w:pPr>
      <w:widowControl/>
      <w:tabs>
        <w:tab w:val="clear" w:pos="360"/>
      </w:tabs>
      <w:overflowPunct w:val="0"/>
      <w:autoSpaceDE w:val="0"/>
      <w:autoSpaceDN w:val="0"/>
      <w:adjustRightInd w:val="0"/>
      <w:spacing w:afterLines="100"/>
      <w:ind w:left="720" w:firstLine="0"/>
      <w:jc w:val="left"/>
      <w:textAlignment w:val="baseline"/>
    </w:pPr>
    <w:rPr>
      <w:kern w:val="0"/>
      <w:sz w:val="20"/>
      <w:szCs w:val="20"/>
    </w:rPr>
  </w:style>
  <w:style w:type="paragraph" w:customStyle="1" w:styleId="784">
    <w:name w:val="项目符号引导"/>
    <w:basedOn w:val="23"/>
    <w:next w:val="23"/>
    <w:semiHidden/>
    <w:qFormat/>
    <w:uiPriority w:val="0"/>
    <w:pPr>
      <w:widowControl/>
      <w:tabs>
        <w:tab w:val="clear" w:pos="360"/>
      </w:tabs>
      <w:overflowPunct w:val="0"/>
      <w:autoSpaceDE w:val="0"/>
      <w:autoSpaceDN w:val="0"/>
      <w:adjustRightInd w:val="0"/>
      <w:spacing w:before="80" w:afterLines="100"/>
      <w:ind w:left="720" w:firstLine="0"/>
      <w:jc w:val="left"/>
      <w:textAlignment w:val="baseline"/>
    </w:pPr>
    <w:rPr>
      <w:kern w:val="0"/>
      <w:sz w:val="20"/>
      <w:szCs w:val="20"/>
    </w:rPr>
  </w:style>
  <w:style w:type="paragraph" w:customStyle="1" w:styleId="785">
    <w:name w:val="消息标题号"/>
    <w:basedOn w:val="78"/>
    <w:next w:val="78"/>
    <w:semiHidden/>
    <w:qFormat/>
    <w:uiPriority w:val="0"/>
    <w:pPr>
      <w:keepLines/>
      <w:widowControl/>
      <w:pBdr>
        <w:top w:val="none" w:color="auto" w:sz="0" w:space="0"/>
        <w:left w:val="none" w:color="auto" w:sz="0" w:space="0"/>
        <w:bottom w:val="none" w:color="auto" w:sz="0" w:space="0"/>
        <w:right w:val="none" w:color="auto" w:sz="0" w:space="0"/>
      </w:pBdr>
      <w:shd w:val="clear" w:color="auto" w:fill="auto"/>
      <w:spacing w:before="40" w:afterLines="100" w:line="140" w:lineRule="atLeast"/>
      <w:ind w:left="0" w:firstLine="0"/>
      <w:jc w:val="left"/>
    </w:pPr>
    <w:rPr>
      <w:rFonts w:ascii="Garamond" w:hAnsi="Garamond" w:eastAsia="楷体_GB2312"/>
      <w:b/>
      <w:caps/>
      <w:kern w:val="0"/>
      <w:position w:val="6"/>
      <w:sz w:val="21"/>
      <w:szCs w:val="20"/>
    </w:rPr>
  </w:style>
  <w:style w:type="paragraph" w:customStyle="1" w:styleId="786">
    <w:name w:val="小4黑居中行1"/>
    <w:semiHidden/>
    <w:qFormat/>
    <w:uiPriority w:val="0"/>
    <w:pPr>
      <w:widowControl w:val="0"/>
      <w:tabs>
        <w:tab w:val="right" w:leader="middleDot" w:pos="8222"/>
      </w:tabs>
      <w:jc w:val="center"/>
    </w:pPr>
    <w:rPr>
      <w:rFonts w:ascii="仿宋_GB2312" w:hAnsi="宋体" w:eastAsia="仿宋_GB2312" w:cs="Times New Roman"/>
      <w:kern w:val="2"/>
      <w:sz w:val="24"/>
      <w:szCs w:val="24"/>
      <w:lang w:val="en-US" w:eastAsia="zh-CN" w:bidi="ar-SA"/>
    </w:rPr>
  </w:style>
  <w:style w:type="paragraph" w:customStyle="1" w:styleId="787">
    <w:name w:val="小5"/>
    <w:basedOn w:val="1"/>
    <w:semiHidden/>
    <w:qFormat/>
    <w:uiPriority w:val="0"/>
    <w:pPr>
      <w:widowControl/>
      <w:adjustRightInd w:val="0"/>
      <w:snapToGrid w:val="0"/>
      <w:jc w:val="center"/>
    </w:pPr>
    <w:rPr>
      <w:rFonts w:ascii="宋体" w:hAnsi="宋体" w:cs="宋体"/>
      <w:kern w:val="0"/>
      <w:sz w:val="18"/>
      <w:szCs w:val="18"/>
    </w:rPr>
  </w:style>
  <w:style w:type="paragraph" w:customStyle="1" w:styleId="788">
    <w:name w:val="小标题2"/>
    <w:basedOn w:val="1"/>
    <w:semiHidden/>
    <w:qFormat/>
    <w:uiPriority w:val="0"/>
    <w:pPr>
      <w:tabs>
        <w:tab w:val="left" w:pos="1120"/>
      </w:tabs>
      <w:overflowPunct w:val="0"/>
      <w:adjustRightInd w:val="0"/>
      <w:snapToGrid w:val="0"/>
      <w:spacing w:line="480" w:lineRule="exact"/>
    </w:pPr>
    <w:rPr>
      <w:rFonts w:ascii="Arial" w:hAnsi="Arial" w:eastAsia="仿宋_GB2312"/>
      <w:color w:val="000000"/>
      <w:sz w:val="28"/>
      <w:szCs w:val="20"/>
    </w:rPr>
  </w:style>
  <w:style w:type="paragraph" w:customStyle="1" w:styleId="789">
    <w:name w:val="小标题3"/>
    <w:basedOn w:val="790"/>
    <w:semiHidden/>
    <w:qFormat/>
    <w:uiPriority w:val="0"/>
    <w:pPr>
      <w:tabs>
        <w:tab w:val="left" w:pos="0"/>
      </w:tabs>
      <w:ind w:left="420" w:hanging="420"/>
    </w:pPr>
  </w:style>
  <w:style w:type="paragraph" w:customStyle="1" w:styleId="790">
    <w:name w:val="小标题1"/>
    <w:basedOn w:val="49"/>
    <w:semiHidden/>
    <w:qFormat/>
    <w:uiPriority w:val="0"/>
    <w:rPr>
      <w:rFonts w:ascii="仿宋_GB2312" w:hAnsi="Calibri" w:eastAsia="仿宋_GB2312"/>
      <w:sz w:val="21"/>
      <w:szCs w:val="28"/>
    </w:rPr>
  </w:style>
  <w:style w:type="paragraph" w:customStyle="1" w:styleId="791">
    <w:name w:val="xl42"/>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792">
    <w:name w:val="Char1 Char Char Char Char Char Char2 Char Char Char1"/>
    <w:basedOn w:val="1"/>
    <w:semiHidden/>
    <w:qFormat/>
    <w:uiPriority w:val="0"/>
    <w:pPr>
      <w:spacing w:line="360" w:lineRule="auto"/>
      <w:ind w:firstLine="200" w:firstLineChars="200"/>
    </w:pPr>
    <w:rPr>
      <w:rFonts w:ascii="宋体" w:hAnsi="Calibri"/>
      <w:color w:val="000000"/>
      <w:sz w:val="24"/>
      <w:szCs w:val="20"/>
    </w:rPr>
  </w:style>
  <w:style w:type="paragraph" w:customStyle="1" w:styleId="793">
    <w:name w:val="BT2"/>
    <w:basedOn w:val="3"/>
    <w:semiHidden/>
    <w:qFormat/>
    <w:uiPriority w:val="0"/>
    <w:pPr>
      <w:spacing w:before="0" w:after="0" w:line="240" w:lineRule="auto"/>
    </w:pPr>
    <w:rPr>
      <w:rFonts w:ascii="Cambria" w:hAnsi="Cambria" w:eastAsia="宋体"/>
      <w:b w:val="0"/>
      <w:sz w:val="28"/>
    </w:rPr>
  </w:style>
  <w:style w:type="paragraph" w:customStyle="1" w:styleId="794">
    <w:name w:val="Char Char Char Char1"/>
    <w:basedOn w:val="1"/>
    <w:semiHidden/>
    <w:qFormat/>
    <w:uiPriority w:val="0"/>
    <w:rPr>
      <w:rFonts w:ascii="Calibri" w:hAnsi="Calibri"/>
      <w:szCs w:val="21"/>
    </w:rPr>
  </w:style>
  <w:style w:type="paragraph" w:customStyle="1" w:styleId="795">
    <w:name w:val="7级"/>
    <w:basedOn w:val="1"/>
    <w:semiHidden/>
    <w:qFormat/>
    <w:uiPriority w:val="0"/>
    <w:pPr>
      <w:tabs>
        <w:tab w:val="left" w:pos="1107"/>
      </w:tabs>
      <w:ind w:left="1107" w:hanging="567"/>
    </w:pPr>
    <w:rPr>
      <w:rFonts w:ascii="Calibri" w:hAnsi="Calibri"/>
      <w:szCs w:val="20"/>
    </w:rPr>
  </w:style>
  <w:style w:type="paragraph" w:customStyle="1" w:styleId="796">
    <w:name w:val="xl147"/>
    <w:basedOn w:val="1"/>
    <w:semiHidden/>
    <w:qFormat/>
    <w:uiPriority w:val="0"/>
    <w:pPr>
      <w:widowControl/>
      <w:pBdr>
        <w:top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797">
    <w:name w:val="样式 初设正文 + 首行缩进:  0.85 厘米"/>
    <w:basedOn w:val="698"/>
    <w:semiHidden/>
    <w:qFormat/>
    <w:uiPriority w:val="0"/>
  </w:style>
  <w:style w:type="paragraph" w:customStyle="1" w:styleId="798">
    <w:name w:val="样式 纯文本 + 首行缩进:  2 字符 Char Char Char Char Char Char Char Char Char Char Char Char Char Char Char Char Char Char Char Char Char Char Char Char"/>
    <w:basedOn w:val="44"/>
    <w:semiHidden/>
    <w:qFormat/>
    <w:uiPriority w:val="0"/>
    <w:pPr>
      <w:ind w:firstLine="0" w:firstLineChars="0"/>
    </w:pPr>
    <w:rPr>
      <w:rFonts w:ascii="宋体" w:hAnsi="Courier New" w:cs="Times New Roman"/>
      <w:sz w:val="21"/>
      <w:szCs w:val="20"/>
    </w:rPr>
  </w:style>
  <w:style w:type="paragraph" w:customStyle="1" w:styleId="799">
    <w:name w:val="样式 标题 3 + Arial"/>
    <w:basedOn w:val="1"/>
    <w:semiHidden/>
    <w:qFormat/>
    <w:uiPriority w:val="0"/>
    <w:rPr>
      <w:rFonts w:ascii="Calibri" w:hAnsi="Calibri"/>
      <w:szCs w:val="20"/>
    </w:rPr>
  </w:style>
  <w:style w:type="paragraph" w:customStyle="1" w:styleId="800">
    <w:name w:val="样式 标题 3 + 两端对齐 行距: 1.5 倍行距"/>
    <w:basedOn w:val="4"/>
    <w:semiHidden/>
    <w:qFormat/>
    <w:uiPriority w:val="0"/>
    <w:pPr>
      <w:keepNext w:val="0"/>
      <w:keepLines w:val="0"/>
      <w:tabs>
        <w:tab w:val="left" w:pos="0"/>
        <w:tab w:val="left" w:pos="360"/>
      </w:tabs>
      <w:adjustRightInd w:val="0"/>
      <w:snapToGrid w:val="0"/>
      <w:spacing w:beforeLines="25" w:afterLines="25"/>
      <w:textAlignment w:val="baseline"/>
    </w:pPr>
    <w:rPr>
      <w:rFonts w:ascii="Arial" w:hAnsi="Arial" w:eastAsia="黑体" w:cs="宋体"/>
      <w:b w:val="0"/>
      <w:bCs w:val="0"/>
      <w:kern w:val="0"/>
      <w:sz w:val="24"/>
      <w:szCs w:val="24"/>
    </w:rPr>
  </w:style>
  <w:style w:type="paragraph" w:customStyle="1" w:styleId="801">
    <w:name w:val="样式 标题 4 + 小四 两端对齐"/>
    <w:basedOn w:val="5"/>
    <w:semiHidden/>
    <w:qFormat/>
    <w:uiPriority w:val="0"/>
    <w:pPr>
      <w:keepNext w:val="0"/>
      <w:widowControl/>
      <w:tabs>
        <w:tab w:val="left" w:pos="454"/>
      </w:tabs>
      <w:spacing w:before="76" w:after="76" w:line="360" w:lineRule="auto"/>
      <w:ind w:left="454" w:hanging="454"/>
    </w:pPr>
    <w:rPr>
      <w:rFonts w:ascii="宋体" w:hAnsi="宋体"/>
      <w:b/>
      <w:bCs w:val="0"/>
      <w:kern w:val="0"/>
      <w:szCs w:val="20"/>
    </w:rPr>
  </w:style>
  <w:style w:type="paragraph" w:customStyle="1" w:styleId="802">
    <w:name w:val="样式 标题 4款标题1.1.1.1标题 4 Char段项1.1.1.1标题 4.1.1.1.1款 + 宋体 小四..."/>
    <w:basedOn w:val="5"/>
    <w:semiHidden/>
    <w:qFormat/>
    <w:uiPriority w:val="0"/>
    <w:pPr>
      <w:spacing w:line="360" w:lineRule="auto"/>
    </w:pPr>
    <w:rPr>
      <w:rFonts w:ascii="宋体" w:hAnsi="宋体"/>
      <w:b/>
      <w:szCs w:val="20"/>
    </w:rPr>
  </w:style>
  <w:style w:type="paragraph" w:customStyle="1" w:styleId="803">
    <w:name w:val="Char Char1 Char Char Char Char Char Char Char Char Char Char Char Char Char Char Char Char Char Char Char Char Char Char"/>
    <w:basedOn w:val="1"/>
    <w:semiHidden/>
    <w:qFormat/>
    <w:uiPriority w:val="0"/>
    <w:rPr>
      <w:rFonts w:ascii="Calibri" w:hAnsi="Calibri"/>
      <w:szCs w:val="21"/>
    </w:rPr>
  </w:style>
  <w:style w:type="paragraph" w:customStyle="1" w:styleId="804">
    <w:name w:val="5 Char"/>
    <w:basedOn w:val="1"/>
    <w:qFormat/>
    <w:uiPriority w:val="0"/>
  </w:style>
  <w:style w:type="paragraph" w:customStyle="1" w:styleId="805">
    <w:name w:val="Char Char Char Char Char Char Char Char Char Char Char Char Char Char Char Char Char Char Char"/>
    <w:basedOn w:val="1"/>
    <w:semiHidden/>
    <w:qFormat/>
    <w:uiPriority w:val="0"/>
    <w:rPr>
      <w:rFonts w:ascii="Calibri" w:hAnsi="Calibri"/>
      <w:szCs w:val="21"/>
    </w:rPr>
  </w:style>
  <w:style w:type="paragraph" w:customStyle="1" w:styleId="806">
    <w:name w:val="纯文本1"/>
    <w:basedOn w:val="1"/>
    <w:qFormat/>
    <w:uiPriority w:val="0"/>
    <w:pPr>
      <w:adjustRightInd w:val="0"/>
      <w:jc w:val="left"/>
      <w:textAlignment w:val="baseline"/>
    </w:pPr>
    <w:rPr>
      <w:rFonts w:ascii="宋体" w:hAnsi="Courier New"/>
      <w:szCs w:val="20"/>
    </w:rPr>
  </w:style>
  <w:style w:type="paragraph" w:customStyle="1" w:styleId="807">
    <w:name w:val="正文11"/>
    <w:basedOn w:val="1"/>
    <w:qFormat/>
    <w:uiPriority w:val="0"/>
    <w:pPr>
      <w:spacing w:line="440" w:lineRule="exact"/>
      <w:ind w:firstLine="200" w:firstLineChars="200"/>
    </w:pPr>
    <w:rPr>
      <w:rFonts w:eastAsia="仿宋_GB2312"/>
      <w:sz w:val="32"/>
      <w:szCs w:val="32"/>
    </w:rPr>
  </w:style>
  <w:style w:type="paragraph" w:customStyle="1" w:styleId="808">
    <w:name w:val="1-表内"/>
    <w:basedOn w:val="1"/>
    <w:semiHidden/>
    <w:qFormat/>
    <w:uiPriority w:val="0"/>
    <w:pPr>
      <w:spacing w:line="360" w:lineRule="auto"/>
      <w:ind w:firstLine="200" w:firstLineChars="200"/>
    </w:pPr>
    <w:rPr>
      <w:rFonts w:ascii="宋体" w:hAnsi="宋体"/>
      <w:color w:val="000000"/>
      <w:sz w:val="24"/>
      <w:szCs w:val="21"/>
    </w:rPr>
  </w:style>
  <w:style w:type="paragraph" w:customStyle="1" w:styleId="809">
    <w:name w:val="样式 标题 1 + 居中 段前: 12 磅 段后: 3 磅 行距: 单倍行距"/>
    <w:basedOn w:val="2"/>
    <w:qFormat/>
    <w:uiPriority w:val="0"/>
    <w:pPr>
      <w:spacing w:before="240" w:after="60" w:line="240" w:lineRule="auto"/>
      <w:ind w:left="840" w:hanging="360"/>
      <w:jc w:val="center"/>
    </w:pPr>
    <w:rPr>
      <w:rFonts w:eastAsia="黑体" w:cs="宋体"/>
      <w:sz w:val="44"/>
    </w:rPr>
  </w:style>
  <w:style w:type="paragraph" w:customStyle="1" w:styleId="810">
    <w:name w:val="1.5行"/>
    <w:basedOn w:val="1"/>
    <w:semiHidden/>
    <w:qFormat/>
    <w:uiPriority w:val="0"/>
    <w:pPr>
      <w:adjustRightInd w:val="0"/>
      <w:snapToGrid w:val="0"/>
      <w:spacing w:line="360" w:lineRule="auto"/>
      <w:ind w:firstLine="560" w:firstLineChars="200"/>
    </w:pPr>
    <w:rPr>
      <w:rFonts w:ascii="宋体" w:hAnsi="Calibri"/>
      <w:sz w:val="28"/>
      <w:szCs w:val="21"/>
    </w:rPr>
  </w:style>
  <w:style w:type="paragraph" w:customStyle="1" w:styleId="811">
    <w:name w:val="表格标题"/>
    <w:basedOn w:val="1"/>
    <w:qFormat/>
    <w:uiPriority w:val="0"/>
    <w:pPr>
      <w:spacing w:before="120"/>
      <w:jc w:val="center"/>
    </w:pPr>
    <w:rPr>
      <w:sz w:val="24"/>
      <w:szCs w:val="20"/>
    </w:rPr>
  </w:style>
  <w:style w:type="paragraph" w:customStyle="1" w:styleId="812">
    <w:name w:val="121111111111"/>
    <w:basedOn w:val="1"/>
    <w:semiHidden/>
    <w:qFormat/>
    <w:uiPriority w:val="0"/>
    <w:pPr>
      <w:spacing w:line="460" w:lineRule="atLeast"/>
      <w:jc w:val="center"/>
    </w:pPr>
    <w:rPr>
      <w:rFonts w:ascii="Calibri" w:hAnsi="Calibri" w:eastAsia="黑体"/>
      <w:color w:val="000000"/>
      <w:spacing w:val="16"/>
      <w:sz w:val="24"/>
      <w:szCs w:val="21"/>
    </w:rPr>
  </w:style>
  <w:style w:type="paragraph" w:customStyle="1" w:styleId="813">
    <w:name w:val="正文文本 (94)"/>
    <w:basedOn w:val="1"/>
    <w:semiHidden/>
    <w:qFormat/>
    <w:uiPriority w:val="0"/>
    <w:pPr>
      <w:widowControl/>
      <w:shd w:val="clear" w:color="auto" w:fill="FFFFFF"/>
      <w:spacing w:line="542" w:lineRule="exact"/>
      <w:jc w:val="distribute"/>
    </w:pPr>
    <w:rPr>
      <w:rFonts w:ascii="黑体" w:hAnsi="Calibri" w:eastAsia="黑体"/>
      <w:kern w:val="0"/>
      <w:sz w:val="22"/>
      <w:szCs w:val="22"/>
      <w:shd w:val="clear" w:color="auto" w:fill="FFFFFF"/>
    </w:rPr>
  </w:style>
  <w:style w:type="paragraph" w:customStyle="1" w:styleId="814">
    <w:name w:val="陈标题2"/>
    <w:basedOn w:val="1"/>
    <w:next w:val="1"/>
    <w:qFormat/>
    <w:uiPriority w:val="0"/>
    <w:pPr>
      <w:keepNext/>
      <w:keepLines/>
      <w:spacing w:line="288" w:lineRule="auto"/>
      <w:jc w:val="left"/>
      <w:outlineLvl w:val="1"/>
    </w:pPr>
    <w:rPr>
      <w:b/>
      <w:kern w:val="0"/>
      <w:sz w:val="32"/>
      <w:szCs w:val="32"/>
    </w:rPr>
  </w:style>
  <w:style w:type="paragraph" w:customStyle="1" w:styleId="815">
    <w:name w:val="!节4标"/>
    <w:basedOn w:val="5"/>
    <w:semiHidden/>
    <w:qFormat/>
    <w:uiPriority w:val="0"/>
    <w:pPr>
      <w:widowControl/>
      <w:spacing w:beforeLines="50" w:afterLines="50" w:line="360" w:lineRule="auto"/>
      <w:jc w:val="left"/>
    </w:pPr>
    <w:rPr>
      <w:rFonts w:ascii="仿宋_GB2312" w:hAnsi="Times New Roman" w:eastAsia="仿宋_GB2312"/>
      <w:b/>
      <w:bCs w:val="0"/>
      <w:snapToGrid w:val="0"/>
      <w:kern w:val="20"/>
      <w:sz w:val="28"/>
      <w:szCs w:val="28"/>
    </w:rPr>
  </w:style>
  <w:style w:type="paragraph" w:customStyle="1" w:styleId="816">
    <w:name w:val="Char Char Char Char Char Char1 Char"/>
    <w:basedOn w:val="1"/>
    <w:semiHidden/>
    <w:qFormat/>
    <w:uiPriority w:val="0"/>
    <w:rPr>
      <w:rFonts w:ascii="Calibri" w:hAnsi="Calibri"/>
      <w:szCs w:val="21"/>
    </w:rPr>
  </w:style>
  <w:style w:type="paragraph" w:customStyle="1" w:styleId="817">
    <w:name w:val="1级标题"/>
    <w:basedOn w:val="1"/>
    <w:semiHidden/>
    <w:qFormat/>
    <w:uiPriority w:val="0"/>
    <w:pPr>
      <w:spacing w:before="60" w:line="460" w:lineRule="exact"/>
      <w:ind w:firstLine="420" w:firstLineChars="200"/>
      <w:outlineLvl w:val="0"/>
    </w:pPr>
    <w:rPr>
      <w:rFonts w:ascii="Arial" w:hAnsi="Arial" w:cs="Arial"/>
      <w:b/>
      <w:sz w:val="32"/>
      <w:szCs w:val="20"/>
    </w:rPr>
  </w:style>
  <w:style w:type="paragraph" w:customStyle="1" w:styleId="818">
    <w:name w:val="Char Char1 Char"/>
    <w:basedOn w:val="1"/>
    <w:next w:val="1"/>
    <w:qFormat/>
    <w:uiPriority w:val="0"/>
    <w:pPr>
      <w:spacing w:line="360" w:lineRule="auto"/>
      <w:ind w:firstLine="200" w:firstLineChars="200"/>
    </w:pPr>
    <w:rPr>
      <w:rFonts w:ascii="宋体" w:hAnsi="宋体" w:cs="宋体"/>
      <w:sz w:val="24"/>
    </w:rPr>
  </w:style>
  <w:style w:type="paragraph" w:customStyle="1" w:styleId="819">
    <w:name w:val="三级"/>
    <w:basedOn w:val="4"/>
    <w:qFormat/>
    <w:uiPriority w:val="0"/>
    <w:pPr>
      <w:spacing w:before="0" w:after="0" w:line="360" w:lineRule="auto"/>
    </w:pPr>
    <w:rPr>
      <w:rFonts w:ascii="黑体" w:hAnsi="宋体" w:eastAsia="黑体"/>
      <w:sz w:val="24"/>
    </w:rPr>
  </w:style>
  <w:style w:type="paragraph" w:customStyle="1" w:styleId="820">
    <w:name w:val="封面"/>
    <w:basedOn w:val="1"/>
    <w:qFormat/>
    <w:uiPriority w:val="0"/>
    <w:pPr>
      <w:spacing w:line="360" w:lineRule="auto"/>
      <w:jc w:val="center"/>
    </w:pPr>
    <w:rPr>
      <w:rFonts w:ascii="宋体" w:hAnsi="宋体"/>
      <w:b/>
      <w:kern w:val="32"/>
      <w:sz w:val="42"/>
      <w:szCs w:val="32"/>
    </w:rPr>
  </w:style>
  <w:style w:type="paragraph" w:customStyle="1" w:styleId="821">
    <w:name w:val="环龙公司文本正文"/>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822">
    <w:name w:val="正文文本1"/>
    <w:basedOn w:val="1"/>
    <w:next w:val="1"/>
    <w:semiHidden/>
    <w:qFormat/>
    <w:uiPriority w:val="0"/>
    <w:pPr>
      <w:widowControl/>
      <w:autoSpaceDE w:val="0"/>
      <w:autoSpaceDN w:val="0"/>
      <w:adjustRightInd w:val="0"/>
      <w:spacing w:before="60" w:after="60"/>
      <w:jc w:val="left"/>
    </w:pPr>
    <w:rPr>
      <w:rFonts w:ascii="宋体" w:hAnsi="Calibri"/>
      <w:kern w:val="0"/>
      <w:sz w:val="24"/>
      <w:szCs w:val="21"/>
      <w:lang w:eastAsia="en-US"/>
    </w:rPr>
  </w:style>
  <w:style w:type="paragraph" w:customStyle="1" w:styleId="823">
    <w:name w:val="样式 样式 hb11 + 段后: 7.8 磅"/>
    <w:basedOn w:val="1"/>
    <w:qFormat/>
    <w:uiPriority w:val="0"/>
    <w:pPr>
      <w:keepNext/>
      <w:pageBreakBefore/>
      <w:topLinePunct/>
      <w:adjustRightInd w:val="0"/>
      <w:spacing w:after="120"/>
      <w:jc w:val="left"/>
      <w:textAlignment w:val="baseline"/>
      <w:outlineLvl w:val="0"/>
    </w:pPr>
    <w:rPr>
      <w:rFonts w:cs="宋体"/>
      <w:b/>
      <w:bCs/>
      <w:kern w:val="4"/>
      <w:sz w:val="44"/>
      <w:szCs w:val="20"/>
    </w:rPr>
  </w:style>
  <w:style w:type="paragraph" w:customStyle="1" w:styleId="824">
    <w:name w:val="正文文本 21"/>
    <w:basedOn w:val="1"/>
    <w:semiHidden/>
    <w:qFormat/>
    <w:uiPriority w:val="0"/>
    <w:pPr>
      <w:adjustRightInd w:val="0"/>
      <w:spacing w:line="560" w:lineRule="exact"/>
      <w:ind w:firstLine="567"/>
      <w:jc w:val="left"/>
      <w:textAlignment w:val="baseline"/>
    </w:pPr>
    <w:rPr>
      <w:rFonts w:ascii="Calibri" w:hAnsi="Calibri"/>
      <w:kern w:val="0"/>
      <w:sz w:val="28"/>
      <w:szCs w:val="20"/>
    </w:rPr>
  </w:style>
  <w:style w:type="paragraph" w:customStyle="1" w:styleId="825">
    <w:name w:val="陈正文"/>
    <w:basedOn w:val="1"/>
    <w:next w:val="1"/>
    <w:qFormat/>
    <w:uiPriority w:val="0"/>
    <w:pPr>
      <w:spacing w:line="360" w:lineRule="auto"/>
      <w:ind w:firstLine="200" w:firstLineChars="200"/>
    </w:pPr>
    <w:rPr>
      <w:kern w:val="0"/>
      <w:sz w:val="24"/>
    </w:rPr>
  </w:style>
  <w:style w:type="paragraph" w:customStyle="1" w:styleId="826">
    <w:name w:val="PSPSPSPS"/>
    <w:basedOn w:val="1"/>
    <w:qFormat/>
    <w:uiPriority w:val="0"/>
    <w:pPr>
      <w:adjustRightInd w:val="0"/>
      <w:spacing w:line="600" w:lineRule="atLeast"/>
      <w:textAlignment w:val="baseline"/>
    </w:pPr>
    <w:rPr>
      <w:kern w:val="0"/>
      <w:sz w:val="28"/>
      <w:szCs w:val="20"/>
    </w:rPr>
  </w:style>
  <w:style w:type="paragraph" w:customStyle="1" w:styleId="827">
    <w:name w:val="1 Char Char Char Char Char Char Char Char Char Char Char Char Char Char Char Char"/>
    <w:basedOn w:val="1"/>
    <w:semiHidden/>
    <w:qFormat/>
    <w:uiPriority w:val="0"/>
    <w:rPr>
      <w:rFonts w:ascii="Calibri" w:hAnsi="Calibri"/>
      <w:szCs w:val="21"/>
    </w:rPr>
  </w:style>
  <w:style w:type="paragraph" w:customStyle="1" w:styleId="828">
    <w:name w:val="我的样式（正文）"/>
    <w:basedOn w:val="1"/>
    <w:qFormat/>
    <w:uiPriority w:val="0"/>
    <w:pPr>
      <w:spacing w:line="440" w:lineRule="exact"/>
    </w:pPr>
    <w:rPr>
      <w:rFonts w:ascii="宋体"/>
      <w:sz w:val="28"/>
      <w:szCs w:val="20"/>
    </w:rPr>
  </w:style>
  <w:style w:type="paragraph" w:customStyle="1" w:styleId="829">
    <w:name w:val="Body Text 21"/>
    <w:basedOn w:val="1"/>
    <w:semiHidden/>
    <w:qFormat/>
    <w:uiPriority w:val="0"/>
    <w:pPr>
      <w:autoSpaceDE w:val="0"/>
      <w:autoSpaceDN w:val="0"/>
      <w:adjustRightInd w:val="0"/>
      <w:spacing w:line="500" w:lineRule="atLeast"/>
      <w:ind w:firstLine="480"/>
      <w:jc w:val="left"/>
      <w:textAlignment w:val="bottom"/>
    </w:pPr>
    <w:rPr>
      <w:rFonts w:ascii="Calibri" w:hAnsi="Calibri"/>
      <w:sz w:val="28"/>
      <w:szCs w:val="28"/>
    </w:rPr>
  </w:style>
  <w:style w:type="paragraph" w:customStyle="1" w:styleId="830">
    <w:name w:val="z表内"/>
    <w:qFormat/>
    <w:uiPriority w:val="0"/>
    <w:pPr>
      <w:jc w:val="center"/>
    </w:pPr>
    <w:rPr>
      <w:rFonts w:ascii="Times New Roman" w:hAnsi="Times New Roman" w:eastAsia="宋体" w:cs="Times New Roman"/>
      <w:color w:val="000000"/>
      <w:kern w:val="2"/>
      <w:sz w:val="21"/>
      <w:szCs w:val="24"/>
      <w:lang w:val="en-US" w:eastAsia="zh-CN" w:bidi="ar-SA"/>
    </w:rPr>
  </w:style>
  <w:style w:type="paragraph" w:customStyle="1" w:styleId="831">
    <w:name w:val="样式 hb33 + 段后: 0.5 行"/>
    <w:basedOn w:val="1"/>
    <w:qFormat/>
    <w:uiPriority w:val="0"/>
    <w:pPr>
      <w:keepNext/>
      <w:spacing w:line="240" w:lineRule="atLeast"/>
      <w:jc w:val="left"/>
      <w:textAlignment w:val="baseline"/>
      <w:outlineLvl w:val="2"/>
    </w:pPr>
    <w:rPr>
      <w:rFonts w:cs="宋体"/>
      <w:b/>
      <w:bCs/>
      <w:kern w:val="0"/>
      <w:sz w:val="28"/>
      <w:szCs w:val="20"/>
    </w:rPr>
  </w:style>
  <w:style w:type="paragraph" w:customStyle="1" w:styleId="832">
    <w:name w:val="1级"/>
    <w:basedOn w:val="2"/>
    <w:semiHidden/>
    <w:qFormat/>
    <w:uiPriority w:val="0"/>
    <w:pPr>
      <w:spacing w:beforeLines="50" w:afterLines="50" w:line="440" w:lineRule="exact"/>
    </w:pPr>
    <w:rPr>
      <w:rFonts w:ascii="Calibri" w:hAnsi="Calibri" w:eastAsia="黑体"/>
      <w:b w:val="0"/>
      <w:bCs w:val="0"/>
    </w:rPr>
  </w:style>
  <w:style w:type="paragraph" w:customStyle="1" w:styleId="833">
    <w:name w:val="1标题2级"/>
    <w:basedOn w:val="1"/>
    <w:semiHidden/>
    <w:qFormat/>
    <w:uiPriority w:val="0"/>
    <w:pPr>
      <w:snapToGrid w:val="0"/>
      <w:spacing w:line="360" w:lineRule="auto"/>
      <w:ind w:firstLine="420" w:firstLineChars="200"/>
      <w:outlineLvl w:val="1"/>
    </w:pPr>
    <w:rPr>
      <w:rFonts w:ascii="Calibri" w:hAnsi="Calibri" w:eastAsia="仿宋_GB2312"/>
      <w:b/>
      <w:sz w:val="32"/>
      <w:szCs w:val="20"/>
    </w:rPr>
  </w:style>
  <w:style w:type="paragraph" w:customStyle="1" w:styleId="834">
    <w:name w:val="2级"/>
    <w:basedOn w:val="3"/>
    <w:qFormat/>
    <w:uiPriority w:val="0"/>
    <w:pPr>
      <w:spacing w:beforeLines="50" w:afterLines="50" w:line="440" w:lineRule="exact"/>
    </w:pPr>
    <w:rPr>
      <w:rFonts w:ascii="Times New Roman" w:hAnsi="Times New Roman"/>
      <w:b w:val="0"/>
      <w:kern w:val="0"/>
      <w:sz w:val="30"/>
    </w:rPr>
  </w:style>
  <w:style w:type="paragraph" w:customStyle="1" w:styleId="835">
    <w:name w:val="正文样式100"/>
    <w:basedOn w:val="1"/>
    <w:qFormat/>
    <w:uiPriority w:val="0"/>
    <w:pPr>
      <w:spacing w:line="500" w:lineRule="exact"/>
      <w:jc w:val="center"/>
    </w:pPr>
    <w:rPr>
      <w:rFonts w:ascii="宋体" w:hAnsi="宋体" w:cs="Courier New"/>
      <w:bCs/>
      <w:color w:val="000000"/>
      <w:sz w:val="24"/>
    </w:rPr>
  </w:style>
  <w:style w:type="paragraph" w:customStyle="1" w:styleId="836">
    <w:name w:val="xl41"/>
    <w:basedOn w:val="1"/>
    <w:qFormat/>
    <w:uiPriority w:val="0"/>
    <w:pPr>
      <w:widowControl/>
      <w:pBdr>
        <w:bottom w:val="single" w:color="auto" w:sz="4" w:space="0"/>
      </w:pBdr>
      <w:spacing w:before="100" w:beforeAutospacing="1" w:after="100" w:afterAutospacing="1"/>
      <w:jc w:val="center"/>
    </w:pPr>
    <w:rPr>
      <w:kern w:val="0"/>
      <w:szCs w:val="21"/>
    </w:rPr>
  </w:style>
  <w:style w:type="paragraph" w:customStyle="1" w:styleId="837">
    <w:name w:val="Body Text 22"/>
    <w:basedOn w:val="1"/>
    <w:semiHidden/>
    <w:qFormat/>
    <w:uiPriority w:val="0"/>
    <w:pPr>
      <w:adjustRightInd w:val="0"/>
      <w:spacing w:line="440" w:lineRule="atLeast"/>
      <w:ind w:firstLine="480" w:firstLineChars="200"/>
      <w:textAlignment w:val="baseline"/>
    </w:pPr>
    <w:rPr>
      <w:rFonts w:ascii="Calibri" w:hAnsi="Calibri" w:eastAsia="仿宋_GB2312"/>
      <w:sz w:val="24"/>
      <w:szCs w:val="20"/>
    </w:rPr>
  </w:style>
  <w:style w:type="paragraph" w:customStyle="1" w:styleId="838">
    <w:name w:val="样式 新宋体 蓝色"/>
    <w:basedOn w:val="1"/>
    <w:qFormat/>
    <w:uiPriority w:val="0"/>
    <w:pPr>
      <w:keepNext/>
      <w:spacing w:line="360" w:lineRule="auto"/>
      <w:ind w:firstLine="200" w:firstLineChars="200"/>
    </w:pPr>
    <w:rPr>
      <w:rFonts w:ascii="新宋体" w:hAnsi="新宋体" w:eastAsia="新宋体" w:cs="宋体"/>
      <w:color w:val="0000FF"/>
      <w:sz w:val="24"/>
      <w:szCs w:val="20"/>
    </w:rPr>
  </w:style>
  <w:style w:type="paragraph" w:customStyle="1" w:styleId="839">
    <w:name w:val="王正文"/>
    <w:basedOn w:val="1"/>
    <w:qFormat/>
    <w:uiPriority w:val="0"/>
    <w:pPr>
      <w:spacing w:line="560" w:lineRule="exact"/>
      <w:ind w:firstLine="200" w:firstLineChars="200"/>
    </w:pPr>
    <w:rPr>
      <w:rFonts w:cs="宋体"/>
      <w:kern w:val="0"/>
      <w:sz w:val="28"/>
      <w:szCs w:val="20"/>
    </w:rPr>
  </w:style>
  <w:style w:type="paragraph" w:customStyle="1" w:styleId="840">
    <w:name w:val="xl28"/>
    <w:basedOn w:val="1"/>
    <w:qFormat/>
    <w:uiPriority w:val="0"/>
    <w:pPr>
      <w:widowControl/>
      <w:pBdr>
        <w:bottom w:val="single" w:color="auto" w:sz="4" w:space="0"/>
        <w:right w:val="single" w:color="auto" w:sz="4" w:space="0"/>
      </w:pBdr>
      <w:spacing w:before="100" w:beforeAutospacing="1" w:after="100" w:afterAutospacing="1"/>
      <w:textAlignment w:val="top"/>
    </w:pPr>
    <w:rPr>
      <w:kern w:val="0"/>
      <w:szCs w:val="21"/>
    </w:rPr>
  </w:style>
  <w:style w:type="paragraph" w:customStyle="1" w:styleId="841">
    <w:name w:val="body 1"/>
    <w:basedOn w:val="1"/>
    <w:semiHidden/>
    <w:qFormat/>
    <w:uiPriority w:val="0"/>
    <w:pPr>
      <w:adjustRightInd w:val="0"/>
      <w:spacing w:line="360" w:lineRule="atLeast"/>
      <w:ind w:firstLine="420" w:firstLineChars="200"/>
      <w:textAlignment w:val="baseline"/>
    </w:pPr>
    <w:rPr>
      <w:rFonts w:ascii="華康中楷體" w:hAnsi="Calibri" w:eastAsia="華康中楷體"/>
      <w:spacing w:val="60"/>
      <w:kern w:val="0"/>
      <w:sz w:val="24"/>
      <w:szCs w:val="20"/>
      <w:lang w:eastAsia="zh-TW"/>
    </w:rPr>
  </w:style>
  <w:style w:type="paragraph" w:customStyle="1" w:styleId="842">
    <w:name w:val="Char Char Char1 Char"/>
    <w:basedOn w:val="1"/>
    <w:semiHidden/>
    <w:qFormat/>
    <w:uiPriority w:val="0"/>
    <w:pPr>
      <w:spacing w:line="360" w:lineRule="auto"/>
      <w:ind w:firstLine="200" w:firstLineChars="200"/>
    </w:pPr>
    <w:rPr>
      <w:rFonts w:ascii="宋体" w:hAnsi="宋体" w:cs="宋体"/>
      <w:sz w:val="24"/>
    </w:rPr>
  </w:style>
  <w:style w:type="paragraph" w:customStyle="1" w:styleId="843">
    <w:name w:val="标题3"/>
    <w:basedOn w:val="4"/>
    <w:qFormat/>
    <w:uiPriority w:val="0"/>
    <w:pPr>
      <w:spacing w:before="0" w:after="0" w:line="360" w:lineRule="auto"/>
    </w:pPr>
    <w:rPr>
      <w:sz w:val="28"/>
    </w:rPr>
  </w:style>
  <w:style w:type="paragraph" w:customStyle="1" w:styleId="844">
    <w:name w:val="正文文本缩进 21"/>
    <w:basedOn w:val="1"/>
    <w:semiHidden/>
    <w:qFormat/>
    <w:uiPriority w:val="0"/>
    <w:pPr>
      <w:adjustRightInd w:val="0"/>
      <w:ind w:firstLine="454"/>
      <w:textAlignment w:val="baseline"/>
    </w:pPr>
    <w:rPr>
      <w:rFonts w:ascii="Calibri" w:hAnsi="Calibri"/>
      <w:kern w:val="0"/>
      <w:sz w:val="28"/>
      <w:szCs w:val="20"/>
    </w:rPr>
  </w:style>
  <w:style w:type="paragraph" w:customStyle="1" w:styleId="845">
    <w:name w:val="BT1"/>
    <w:basedOn w:val="2"/>
    <w:semiHidden/>
    <w:qFormat/>
    <w:uiPriority w:val="0"/>
    <w:pPr>
      <w:keepNext w:val="0"/>
      <w:keepLines w:val="0"/>
      <w:pageBreakBefore/>
      <w:spacing w:before="0" w:after="0" w:line="578" w:lineRule="auto"/>
      <w:jc w:val="center"/>
    </w:pPr>
    <w:rPr>
      <w:rFonts w:ascii="黑体" w:hAnsi="Calibri" w:eastAsia="黑体"/>
      <w:b w:val="0"/>
      <w:sz w:val="28"/>
    </w:rPr>
  </w:style>
  <w:style w:type="paragraph" w:customStyle="1" w:styleId="846">
    <w:name w:val="表格内容1"/>
    <w:basedOn w:val="1"/>
    <w:qFormat/>
    <w:uiPriority w:val="0"/>
    <w:pPr>
      <w:tabs>
        <w:tab w:val="left" w:pos="1535"/>
        <w:tab w:val="left" w:pos="3105"/>
        <w:tab w:val="left" w:pos="4676"/>
        <w:tab w:val="left" w:pos="6247"/>
        <w:tab w:val="left" w:pos="7740"/>
        <w:tab w:val="left" w:pos="9288"/>
      </w:tabs>
      <w:adjustRightInd w:val="0"/>
      <w:snapToGrid w:val="0"/>
      <w:spacing w:line="300" w:lineRule="atLeast"/>
      <w:jc w:val="center"/>
      <w:textAlignment w:val="baseline"/>
    </w:pPr>
    <w:rPr>
      <w:rFonts w:ascii="宋体" w:hAnsi="宋体" w:cs="宋体"/>
      <w:szCs w:val="20"/>
    </w:rPr>
  </w:style>
  <w:style w:type="paragraph" w:customStyle="1" w:styleId="847">
    <w:name w:val="表格头"/>
    <w:basedOn w:val="1"/>
    <w:qFormat/>
    <w:uiPriority w:val="0"/>
    <w:pPr>
      <w:spacing w:line="360" w:lineRule="exact"/>
      <w:jc w:val="center"/>
    </w:pPr>
    <w:rPr>
      <w:rFonts w:ascii="宋体" w:hAnsi="宋体"/>
      <w:sz w:val="24"/>
    </w:rPr>
  </w:style>
  <w:style w:type="paragraph" w:customStyle="1" w:styleId="848">
    <w:name w:val="Char Char1 Char3"/>
    <w:basedOn w:val="1"/>
    <w:semiHidden/>
    <w:qFormat/>
    <w:uiPriority w:val="0"/>
    <w:rPr>
      <w:rFonts w:ascii="Calibri" w:hAnsi="Calibri"/>
      <w:szCs w:val="21"/>
    </w:rPr>
  </w:style>
  <w:style w:type="paragraph" w:customStyle="1" w:styleId="849">
    <w:name w:val="ALT+B"/>
    <w:basedOn w:val="1"/>
    <w:next w:val="1"/>
    <w:qFormat/>
    <w:uiPriority w:val="0"/>
    <w:pPr>
      <w:spacing w:line="360" w:lineRule="auto"/>
      <w:jc w:val="center"/>
    </w:pPr>
    <w:rPr>
      <w:rFonts w:cs="宋体"/>
      <w:b/>
      <w:sz w:val="24"/>
    </w:rPr>
  </w:style>
  <w:style w:type="paragraph" w:customStyle="1" w:styleId="850">
    <w:name w:val="1表内容"/>
    <w:basedOn w:val="1"/>
    <w:semiHidden/>
    <w:qFormat/>
    <w:uiPriority w:val="0"/>
    <w:pPr>
      <w:tabs>
        <w:tab w:val="left" w:pos="0"/>
        <w:tab w:val="left" w:pos="7012"/>
      </w:tabs>
      <w:autoSpaceDE w:val="0"/>
      <w:autoSpaceDN w:val="0"/>
      <w:jc w:val="center"/>
    </w:pPr>
    <w:rPr>
      <w:rFonts w:ascii="Calibri" w:hAnsi="Calibri"/>
      <w:color w:val="0000FF"/>
      <w:szCs w:val="21"/>
    </w:rPr>
  </w:style>
  <w:style w:type="paragraph" w:customStyle="1" w:styleId="851">
    <w:name w:val="1正文段落"/>
    <w:basedOn w:val="1"/>
    <w:qFormat/>
    <w:uiPriority w:val="0"/>
    <w:pPr>
      <w:spacing w:line="360" w:lineRule="auto"/>
      <w:ind w:firstLine="480" w:firstLineChars="200"/>
      <w:jc w:val="left"/>
    </w:pPr>
    <w:rPr>
      <w:kern w:val="0"/>
      <w:sz w:val="24"/>
    </w:rPr>
  </w:style>
  <w:style w:type="paragraph" w:customStyle="1" w:styleId="852">
    <w:name w:val="标准4"/>
    <w:basedOn w:val="5"/>
    <w:qFormat/>
    <w:uiPriority w:val="0"/>
    <w:pPr>
      <w:spacing w:before="240" w:after="120" w:line="360" w:lineRule="auto"/>
      <w:ind w:firstLine="482"/>
      <w:jc w:val="left"/>
    </w:pPr>
    <w:rPr>
      <w:rFonts w:eastAsia="黑体"/>
      <w:b/>
      <w:szCs w:val="28"/>
    </w:rPr>
  </w:style>
  <w:style w:type="paragraph" w:customStyle="1" w:styleId="853">
    <w:name w:val="1表格"/>
    <w:basedOn w:val="1"/>
    <w:semiHidden/>
    <w:qFormat/>
    <w:uiPriority w:val="0"/>
    <w:pPr>
      <w:snapToGrid w:val="0"/>
      <w:spacing w:line="360" w:lineRule="auto"/>
      <w:ind w:firstLine="420" w:firstLineChars="200"/>
      <w:jc w:val="center"/>
      <w:outlineLvl w:val="4"/>
    </w:pPr>
    <w:rPr>
      <w:rFonts w:ascii="Calibri" w:hAnsi="Calibri"/>
      <w:spacing w:val="4"/>
      <w:sz w:val="24"/>
      <w:szCs w:val="21"/>
    </w:rPr>
  </w:style>
  <w:style w:type="paragraph" w:customStyle="1" w:styleId="854">
    <w:name w:val="样式 标题 1 + 行距: 单倍行距"/>
    <w:next w:val="1"/>
    <w:qFormat/>
    <w:uiPriority w:val="0"/>
    <w:rPr>
      <w:rFonts w:ascii="Times New Roman" w:hAnsi="Times New Roman" w:eastAsia="宋体" w:cs="宋体"/>
      <w:b/>
      <w:bCs/>
      <w:kern w:val="44"/>
      <w:sz w:val="32"/>
      <w:szCs w:val="44"/>
      <w:lang w:val="en-US" w:eastAsia="zh-CN" w:bidi="ar-SA"/>
    </w:rPr>
  </w:style>
  <w:style w:type="paragraph" w:customStyle="1" w:styleId="855">
    <w:name w:val="主题封页"/>
    <w:basedOn w:val="856"/>
    <w:next w:val="857"/>
    <w:semiHidden/>
    <w:qFormat/>
    <w:uiPriority w:val="0"/>
    <w:pPr>
      <w:spacing w:before="720" w:after="160"/>
      <w:jc w:val="center"/>
    </w:pPr>
    <w:rPr>
      <w:sz w:val="40"/>
    </w:rPr>
  </w:style>
  <w:style w:type="paragraph" w:customStyle="1" w:styleId="856">
    <w:name w:val="基准篇头"/>
    <w:basedOn w:val="1"/>
    <w:next w:val="33"/>
    <w:semiHidden/>
    <w:qFormat/>
    <w:uiPriority w:val="0"/>
    <w:pPr>
      <w:keepNext/>
      <w:widowControl/>
      <w:overflowPunct w:val="0"/>
      <w:autoSpaceDE w:val="0"/>
      <w:autoSpaceDN w:val="0"/>
      <w:adjustRightInd w:val="0"/>
      <w:spacing w:before="240" w:after="120"/>
      <w:jc w:val="left"/>
      <w:textAlignment w:val="baseline"/>
    </w:pPr>
    <w:rPr>
      <w:rFonts w:ascii="Arial" w:hAnsi="Arial"/>
      <w:b/>
      <w:kern w:val="28"/>
      <w:sz w:val="36"/>
      <w:szCs w:val="20"/>
    </w:rPr>
  </w:style>
  <w:style w:type="paragraph" w:customStyle="1" w:styleId="857">
    <w:name w:val="副题封页"/>
    <w:basedOn w:val="1"/>
    <w:next w:val="33"/>
    <w:semiHidden/>
    <w:qFormat/>
    <w:uiPriority w:val="0"/>
    <w:pPr>
      <w:keepNext/>
      <w:widowControl/>
      <w:overflowPunct w:val="0"/>
      <w:autoSpaceDE w:val="0"/>
      <w:autoSpaceDN w:val="0"/>
      <w:adjustRightInd w:val="0"/>
      <w:spacing w:before="240" w:after="480"/>
      <w:jc w:val="center"/>
      <w:textAlignment w:val="baseline"/>
    </w:pPr>
    <w:rPr>
      <w:rFonts w:ascii="Calibri" w:hAnsi="Calibri"/>
      <w:i/>
      <w:kern w:val="28"/>
      <w:sz w:val="32"/>
      <w:szCs w:val="20"/>
    </w:rPr>
  </w:style>
  <w:style w:type="paragraph" w:customStyle="1" w:styleId="858">
    <w:name w:val="MFS正文 Char Char"/>
    <w:basedOn w:val="85"/>
    <w:qFormat/>
    <w:uiPriority w:val="0"/>
    <w:pPr>
      <w:adjustRightInd w:val="0"/>
      <w:snapToGrid w:val="0"/>
      <w:spacing w:before="93" w:after="120"/>
      <w:ind w:firstLine="487"/>
    </w:pPr>
  </w:style>
  <w:style w:type="paragraph" w:customStyle="1" w:styleId="859">
    <w:name w:val="表格样式"/>
    <w:basedOn w:val="1"/>
    <w:qFormat/>
    <w:uiPriority w:val="0"/>
    <w:pPr>
      <w:spacing w:line="360" w:lineRule="exact"/>
      <w:jc w:val="center"/>
    </w:pPr>
    <w:rPr>
      <w:rFonts w:ascii="宋体" w:hAnsi="宋体"/>
    </w:rPr>
  </w:style>
  <w:style w:type="paragraph" w:customStyle="1" w:styleId="860">
    <w:name w:val="1表"/>
    <w:basedOn w:val="1"/>
    <w:semiHidden/>
    <w:qFormat/>
    <w:uiPriority w:val="0"/>
    <w:pPr>
      <w:spacing w:beforeLines="25" w:afterLines="25" w:line="400" w:lineRule="exact"/>
      <w:jc w:val="center"/>
    </w:pPr>
    <w:rPr>
      <w:rFonts w:ascii="Calibri" w:hAnsi="Calibri" w:eastAsia="黑体" w:cs="宋体"/>
      <w:sz w:val="24"/>
      <w:szCs w:val="20"/>
    </w:rPr>
  </w:style>
  <w:style w:type="paragraph" w:customStyle="1" w:styleId="861">
    <w:name w:val="自定义正文 Char Char Char"/>
    <w:semiHidden/>
    <w:qFormat/>
    <w:uiPriority w:val="0"/>
    <w:pPr>
      <w:widowControl w:val="0"/>
      <w:adjustRightInd w:val="0"/>
      <w:snapToGrid w:val="0"/>
      <w:spacing w:line="360" w:lineRule="auto"/>
      <w:ind w:firstLine="510"/>
      <w:jc w:val="both"/>
    </w:pPr>
    <w:rPr>
      <w:rFonts w:ascii="Calibri" w:hAnsi="Calibri" w:eastAsia="宋体" w:cs="Times New Roman"/>
      <w:spacing w:val="-2"/>
      <w:kern w:val="2"/>
      <w:sz w:val="28"/>
      <w:szCs w:val="24"/>
      <w:lang w:val="en-US" w:eastAsia="zh-CN" w:bidi="ar-SA"/>
    </w:rPr>
  </w:style>
  <w:style w:type="paragraph" w:customStyle="1" w:styleId="862">
    <w:name w:val="标题 3 + 四号"/>
    <w:basedOn w:val="4"/>
    <w:qFormat/>
    <w:uiPriority w:val="0"/>
    <w:pPr>
      <w:adjustRightInd w:val="0"/>
      <w:snapToGrid w:val="0"/>
      <w:spacing w:before="0" w:after="0" w:line="700" w:lineRule="exact"/>
      <w:ind w:left="769" w:leftChars="257" w:hanging="229" w:hangingChars="76"/>
    </w:pPr>
    <w:rPr>
      <w:rFonts w:eastAsia="楷体_GB2312"/>
      <w:sz w:val="30"/>
      <w:szCs w:val="30"/>
    </w:rPr>
  </w:style>
  <w:style w:type="paragraph" w:customStyle="1" w:styleId="863">
    <w:name w:val="样式2"/>
    <w:basedOn w:val="4"/>
    <w:qFormat/>
    <w:uiPriority w:val="0"/>
    <w:pPr>
      <w:spacing w:before="0" w:after="0" w:line="500" w:lineRule="exact"/>
      <w:jc w:val="left"/>
    </w:pPr>
    <w:rPr>
      <w:rFonts w:eastAsia="黑体"/>
      <w:b w:val="0"/>
      <w:sz w:val="24"/>
      <w:szCs w:val="24"/>
    </w:rPr>
  </w:style>
  <w:style w:type="paragraph" w:customStyle="1" w:styleId="864">
    <w:name w:val="表体"/>
    <w:basedOn w:val="1"/>
    <w:semiHidden/>
    <w:qFormat/>
    <w:uiPriority w:val="0"/>
    <w:pPr>
      <w:overflowPunct w:val="0"/>
      <w:adjustRightInd w:val="0"/>
      <w:spacing w:line="300" w:lineRule="atLeast"/>
      <w:jc w:val="center"/>
      <w:textAlignment w:val="baseline"/>
    </w:pPr>
    <w:rPr>
      <w:kern w:val="0"/>
      <w:sz w:val="18"/>
      <w:szCs w:val="20"/>
    </w:rPr>
  </w:style>
  <w:style w:type="paragraph" w:customStyle="1" w:styleId="865">
    <w:name w:val="正文文本 (6)"/>
    <w:basedOn w:val="1"/>
    <w:semiHidden/>
    <w:qFormat/>
    <w:uiPriority w:val="0"/>
    <w:pPr>
      <w:widowControl/>
      <w:shd w:val="clear" w:color="auto" w:fill="FFFFFF"/>
      <w:spacing w:line="240" w:lineRule="atLeast"/>
      <w:jc w:val="distribute"/>
    </w:pPr>
    <w:rPr>
      <w:rFonts w:ascii="Arial Unicode MS" w:hAnsi="Arial Unicode MS" w:eastAsia="Arial Unicode MS"/>
      <w:kern w:val="0"/>
      <w:sz w:val="20"/>
      <w:szCs w:val="20"/>
      <w:shd w:val="clear" w:color="auto" w:fill="FFFFFF"/>
    </w:rPr>
  </w:style>
  <w:style w:type="paragraph" w:customStyle="1" w:styleId="866">
    <w:name w:val="项目"/>
    <w:basedOn w:val="1"/>
    <w:qFormat/>
    <w:uiPriority w:val="0"/>
    <w:pPr>
      <w:tabs>
        <w:tab w:val="left" w:pos="1200"/>
      </w:tabs>
      <w:ind w:left="1200" w:hanging="720"/>
    </w:pPr>
    <w:rPr>
      <w:sz w:val="24"/>
    </w:rPr>
  </w:style>
  <w:style w:type="paragraph" w:customStyle="1" w:styleId="867">
    <w:name w:val="正文文本 (6)1"/>
    <w:basedOn w:val="1"/>
    <w:semiHidden/>
    <w:qFormat/>
    <w:uiPriority w:val="0"/>
    <w:pPr>
      <w:widowControl/>
      <w:shd w:val="clear" w:color="auto" w:fill="FFFFFF"/>
      <w:spacing w:line="240" w:lineRule="atLeast"/>
      <w:jc w:val="distribute"/>
    </w:pPr>
    <w:rPr>
      <w:rFonts w:ascii="Arial Unicode MS" w:hAnsi="Microsoft JhengHei" w:eastAsia="Arial Unicode MS" w:cs="Arial Unicode MS"/>
      <w:kern w:val="0"/>
      <w:sz w:val="20"/>
      <w:szCs w:val="20"/>
    </w:rPr>
  </w:style>
  <w:style w:type="paragraph" w:customStyle="1" w:styleId="868">
    <w:name w:val="1)"/>
    <w:basedOn w:val="1"/>
    <w:semiHidden/>
    <w:qFormat/>
    <w:uiPriority w:val="0"/>
    <w:pPr>
      <w:autoSpaceDE w:val="0"/>
      <w:autoSpaceDN w:val="0"/>
      <w:adjustRightInd w:val="0"/>
      <w:spacing w:line="360" w:lineRule="auto"/>
      <w:ind w:firstLine="845"/>
      <w:jc w:val="left"/>
      <w:textAlignment w:val="baseline"/>
    </w:pPr>
    <w:rPr>
      <w:rFonts w:ascii="Calibri" w:hAnsi="Calibri"/>
      <w:kern w:val="0"/>
      <w:sz w:val="28"/>
      <w:szCs w:val="20"/>
    </w:rPr>
  </w:style>
  <w:style w:type="paragraph" w:customStyle="1" w:styleId="869">
    <w:name w:val="15"/>
    <w:basedOn w:val="1"/>
    <w:semiHidden/>
    <w:qFormat/>
    <w:uiPriority w:val="0"/>
    <w:pPr>
      <w:widowControl/>
      <w:snapToGrid w:val="0"/>
      <w:spacing w:before="100" w:beforeAutospacing="1" w:after="100" w:afterAutospacing="1" w:line="440" w:lineRule="atLeast"/>
      <w:ind w:firstLine="420" w:firstLineChars="200"/>
    </w:pPr>
    <w:rPr>
      <w:rFonts w:ascii="Calibri" w:hAnsi="Calibri"/>
      <w:spacing w:val="20"/>
      <w:kern w:val="0"/>
      <w:sz w:val="24"/>
      <w:szCs w:val="20"/>
    </w:rPr>
  </w:style>
  <w:style w:type="paragraph" w:customStyle="1" w:styleId="870">
    <w:name w:val="【标题4】"/>
    <w:basedOn w:val="1"/>
    <w:semiHidden/>
    <w:qFormat/>
    <w:uiPriority w:val="0"/>
    <w:pPr>
      <w:keepLines/>
      <w:spacing w:before="120" w:after="120"/>
      <w:jc w:val="left"/>
      <w:outlineLvl w:val="3"/>
    </w:pPr>
    <w:rPr>
      <w:rFonts w:ascii="Calibri" w:hAnsi="Calibri" w:cs="宋体"/>
      <w:b/>
      <w:bCs/>
      <w:sz w:val="24"/>
      <w:szCs w:val="20"/>
    </w:rPr>
  </w:style>
  <w:style w:type="paragraph" w:customStyle="1" w:styleId="871">
    <w:name w:val="正文文本 (8)"/>
    <w:basedOn w:val="1"/>
    <w:semiHidden/>
    <w:qFormat/>
    <w:uiPriority w:val="0"/>
    <w:pPr>
      <w:widowControl/>
      <w:shd w:val="clear" w:color="auto" w:fill="FFFFFF"/>
      <w:spacing w:line="240" w:lineRule="atLeast"/>
      <w:jc w:val="left"/>
    </w:pPr>
    <w:rPr>
      <w:rFonts w:ascii="Calibri" w:hAnsi="Calibri"/>
      <w:kern w:val="0"/>
      <w:sz w:val="20"/>
      <w:szCs w:val="20"/>
      <w:shd w:val="clear" w:color="auto" w:fill="FFFFFF"/>
    </w:rPr>
  </w:style>
  <w:style w:type="paragraph" w:customStyle="1" w:styleId="872">
    <w:name w:val="!节2标"/>
    <w:basedOn w:val="3"/>
    <w:semiHidden/>
    <w:qFormat/>
    <w:uiPriority w:val="0"/>
    <w:pPr>
      <w:tabs>
        <w:tab w:val="left" w:pos="576"/>
      </w:tabs>
      <w:ind w:left="557" w:hanging="557"/>
    </w:pPr>
    <w:rPr>
      <w:rFonts w:ascii="Cambria" w:hAnsi="Cambria" w:eastAsia="仿宋_GB2312"/>
    </w:rPr>
  </w:style>
  <w:style w:type="paragraph" w:customStyle="1" w:styleId="873">
    <w:name w:val="三级标题"/>
    <w:basedOn w:val="1"/>
    <w:qFormat/>
    <w:uiPriority w:val="0"/>
    <w:pPr>
      <w:keepNext/>
      <w:spacing w:line="360" w:lineRule="auto"/>
      <w:outlineLvl w:val="2"/>
    </w:pPr>
    <w:rPr>
      <w:b/>
      <w:sz w:val="28"/>
      <w:szCs w:val="28"/>
    </w:rPr>
  </w:style>
  <w:style w:type="paragraph" w:customStyle="1" w:styleId="874">
    <w:name w:val="!节3标"/>
    <w:basedOn w:val="4"/>
    <w:semiHidden/>
    <w:qFormat/>
    <w:uiPriority w:val="0"/>
    <w:pPr>
      <w:overflowPunct w:val="0"/>
      <w:snapToGrid w:val="0"/>
      <w:spacing w:beforeLines="50" w:afterLines="50"/>
      <w:ind w:left="540" w:hanging="540"/>
    </w:pPr>
    <w:rPr>
      <w:rFonts w:ascii="Calibri" w:hAnsi="宋体"/>
      <w:bCs w:val="0"/>
      <w:color w:val="000000"/>
      <w:kern w:val="0"/>
      <w:lang w:val="zh-CN"/>
    </w:rPr>
  </w:style>
  <w:style w:type="paragraph" w:customStyle="1" w:styleId="875">
    <w:name w:val="Char"/>
    <w:basedOn w:val="1"/>
    <w:qFormat/>
    <w:uiPriority w:val="0"/>
  </w:style>
  <w:style w:type="paragraph" w:customStyle="1" w:styleId="876">
    <w:name w:val="正文文本 (82)1"/>
    <w:basedOn w:val="1"/>
    <w:semiHidden/>
    <w:qFormat/>
    <w:uiPriority w:val="0"/>
    <w:pPr>
      <w:widowControl/>
      <w:shd w:val="clear" w:color="auto" w:fill="FFFFFF"/>
      <w:spacing w:line="240" w:lineRule="atLeast"/>
      <w:jc w:val="left"/>
    </w:pPr>
    <w:rPr>
      <w:rFonts w:ascii="Angsana New" w:hAnsi="Angsana New"/>
      <w:i/>
      <w:iCs/>
      <w:kern w:val="0"/>
      <w:sz w:val="29"/>
      <w:szCs w:val="29"/>
      <w:shd w:val="clear" w:color="auto" w:fill="FFFFFF"/>
    </w:rPr>
  </w:style>
  <w:style w:type="paragraph" w:customStyle="1" w:styleId="877">
    <w:name w:val="陈标题4"/>
    <w:basedOn w:val="1"/>
    <w:next w:val="1"/>
    <w:qFormat/>
    <w:uiPriority w:val="0"/>
    <w:pPr>
      <w:keepNext/>
      <w:keepLines/>
      <w:spacing w:line="360" w:lineRule="auto"/>
      <w:outlineLvl w:val="3"/>
    </w:pPr>
    <w:rPr>
      <w:b/>
      <w:kern w:val="0"/>
      <w:sz w:val="24"/>
    </w:rPr>
  </w:style>
  <w:style w:type="paragraph" w:customStyle="1" w:styleId="878">
    <w:name w:val="陈标题3"/>
    <w:basedOn w:val="1"/>
    <w:next w:val="1"/>
    <w:qFormat/>
    <w:uiPriority w:val="0"/>
    <w:pPr>
      <w:keepNext/>
      <w:keepLines/>
      <w:spacing w:line="360" w:lineRule="auto"/>
      <w:outlineLvl w:val="2"/>
    </w:pPr>
    <w:rPr>
      <w:b/>
      <w:kern w:val="0"/>
      <w:sz w:val="30"/>
      <w:szCs w:val="30"/>
    </w:rPr>
  </w:style>
  <w:style w:type="paragraph" w:customStyle="1" w:styleId="879">
    <w:name w:val="正文文本 (88)"/>
    <w:basedOn w:val="1"/>
    <w:semiHidden/>
    <w:qFormat/>
    <w:uiPriority w:val="0"/>
    <w:pPr>
      <w:widowControl/>
      <w:shd w:val="clear" w:color="auto" w:fill="FFFFFF"/>
      <w:spacing w:line="240" w:lineRule="atLeast"/>
      <w:jc w:val="left"/>
    </w:pPr>
    <w:rPr>
      <w:rFonts w:ascii="MingLiU" w:hAnsi="Calibri" w:eastAsia="MingLiU"/>
      <w:kern w:val="0"/>
      <w:sz w:val="20"/>
      <w:szCs w:val="20"/>
      <w:shd w:val="clear" w:color="auto" w:fill="FFFFFF"/>
    </w:rPr>
  </w:style>
  <w:style w:type="paragraph" w:customStyle="1" w:styleId="880">
    <w:name w:val="表格样式1"/>
    <w:basedOn w:val="1"/>
    <w:qFormat/>
    <w:uiPriority w:val="0"/>
    <w:pPr>
      <w:adjustRightInd w:val="0"/>
      <w:spacing w:line="20" w:lineRule="atLeast"/>
      <w:jc w:val="center"/>
      <w:textAlignment w:val="baseline"/>
    </w:pPr>
    <w:rPr>
      <w:rFonts w:ascii="宋体"/>
      <w:kern w:val="0"/>
      <w:szCs w:val="20"/>
    </w:rPr>
  </w:style>
  <w:style w:type="paragraph" w:customStyle="1" w:styleId="881">
    <w:name w:val="字元 字元 字元"/>
    <w:basedOn w:val="1"/>
    <w:semiHidden/>
    <w:qFormat/>
    <w:uiPriority w:val="0"/>
    <w:pPr>
      <w:spacing w:line="360" w:lineRule="auto"/>
      <w:ind w:firstLine="200" w:firstLineChars="200"/>
    </w:pPr>
    <w:rPr>
      <w:rFonts w:ascii="宋体" w:hAnsi="宋体" w:cs="宋体"/>
      <w:sz w:val="24"/>
      <w:szCs w:val="28"/>
    </w:rPr>
  </w:style>
  <w:style w:type="paragraph" w:customStyle="1" w:styleId="882">
    <w:name w:val="正文文本 (95)"/>
    <w:basedOn w:val="1"/>
    <w:semiHidden/>
    <w:qFormat/>
    <w:uiPriority w:val="0"/>
    <w:pPr>
      <w:widowControl/>
      <w:shd w:val="clear" w:color="auto" w:fill="FFFFFF"/>
      <w:spacing w:line="240" w:lineRule="atLeast"/>
      <w:jc w:val="left"/>
    </w:pPr>
    <w:rPr>
      <w:rFonts w:ascii="MingLiU" w:hAnsi="Calibri" w:eastAsia="MingLiU"/>
      <w:w w:val="150"/>
      <w:kern w:val="0"/>
      <w:sz w:val="8"/>
      <w:szCs w:val="8"/>
      <w:shd w:val="clear" w:color="auto" w:fill="FFFFFF"/>
    </w:rPr>
  </w:style>
  <w:style w:type="paragraph" w:customStyle="1" w:styleId="883">
    <w:name w:val="框图"/>
    <w:basedOn w:val="1"/>
    <w:qFormat/>
    <w:uiPriority w:val="0"/>
    <w:pPr>
      <w:tabs>
        <w:tab w:val="left" w:pos="1350"/>
      </w:tabs>
      <w:autoSpaceDE w:val="0"/>
      <w:autoSpaceDN w:val="0"/>
      <w:adjustRightInd w:val="0"/>
      <w:snapToGrid w:val="0"/>
      <w:spacing w:line="300" w:lineRule="auto"/>
      <w:jc w:val="center"/>
    </w:pPr>
    <w:rPr>
      <w:rFonts w:ascii="仿宋_GB2312"/>
      <w:szCs w:val="20"/>
    </w:rPr>
  </w:style>
  <w:style w:type="paragraph" w:customStyle="1" w:styleId="884">
    <w:name w:val="样式 宋体 五号 左侧:  1.56 厘米"/>
    <w:basedOn w:val="1"/>
    <w:qFormat/>
    <w:uiPriority w:val="0"/>
    <w:pPr>
      <w:keepNext/>
      <w:spacing w:line="200" w:lineRule="atLeast"/>
    </w:pPr>
    <w:rPr>
      <w:rFonts w:ascii="宋体" w:hAnsi="宋体" w:cs="宋体"/>
      <w:szCs w:val="21"/>
    </w:rPr>
  </w:style>
  <w:style w:type="paragraph" w:customStyle="1" w:styleId="885">
    <w:name w:val="图框"/>
    <w:basedOn w:val="1"/>
    <w:qFormat/>
    <w:uiPriority w:val="0"/>
    <w:pPr>
      <w:jc w:val="center"/>
    </w:pPr>
    <w:rPr>
      <w:rFonts w:eastAsia="Batang"/>
      <w:szCs w:val="21"/>
    </w:rPr>
  </w:style>
  <w:style w:type="paragraph" w:customStyle="1" w:styleId="886">
    <w:name w:val="样式 表文字 + 字符缩放: 90%"/>
    <w:basedOn w:val="1"/>
    <w:qFormat/>
    <w:uiPriority w:val="0"/>
    <w:pPr>
      <w:keepNext/>
      <w:adjustRightInd w:val="0"/>
      <w:spacing w:line="240" w:lineRule="exact"/>
      <w:ind w:left="-50" w:leftChars="-50" w:right="-50" w:rightChars="-50"/>
      <w:jc w:val="center"/>
      <w:textAlignment w:val="baseline"/>
    </w:pPr>
    <w:rPr>
      <w:rFonts w:cs="宋体"/>
      <w:kern w:val="0"/>
      <w:sz w:val="18"/>
      <w:szCs w:val="18"/>
    </w:rPr>
  </w:style>
  <w:style w:type="paragraph" w:customStyle="1" w:styleId="887">
    <w:name w:val="19号令"/>
    <w:basedOn w:val="1"/>
    <w:semiHidden/>
    <w:qFormat/>
    <w:uiPriority w:val="0"/>
    <w:pPr>
      <w:widowControl/>
      <w:spacing w:before="100" w:beforeAutospacing="1" w:after="100" w:afterAutospacing="1" w:line="500" w:lineRule="atLeast"/>
      <w:jc w:val="left"/>
    </w:pPr>
    <w:rPr>
      <w:rFonts w:ascii="Calibri" w:hAnsi="Calibri"/>
      <w:kern w:val="0"/>
      <w:sz w:val="24"/>
      <w:szCs w:val="20"/>
    </w:rPr>
  </w:style>
  <w:style w:type="paragraph" w:customStyle="1" w:styleId="888">
    <w:name w:val="表名"/>
    <w:basedOn w:val="1"/>
    <w:qFormat/>
    <w:uiPriority w:val="0"/>
    <w:pPr>
      <w:adjustRightInd w:val="0"/>
      <w:spacing w:line="360" w:lineRule="auto"/>
      <w:jc w:val="center"/>
      <w:textAlignment w:val="baseline"/>
    </w:pPr>
    <w:rPr>
      <w:rFonts w:ascii="昆仑仿宋" w:eastAsia="昆仑仿宋"/>
      <w:kern w:val="0"/>
      <w:sz w:val="28"/>
      <w:szCs w:val="20"/>
    </w:rPr>
  </w:style>
  <w:style w:type="paragraph" w:customStyle="1" w:styleId="889">
    <w:name w:val="表头样式"/>
    <w:basedOn w:val="1"/>
    <w:qFormat/>
    <w:uiPriority w:val="0"/>
    <w:pPr>
      <w:ind w:firstLine="560" w:firstLineChars="200"/>
    </w:pPr>
    <w:rPr>
      <w:rFonts w:ascii="黑体" w:eastAsia="黑体"/>
      <w:sz w:val="28"/>
    </w:rPr>
  </w:style>
  <w:style w:type="paragraph" w:customStyle="1" w:styleId="890">
    <w:name w:val="样式1"/>
    <w:basedOn w:val="19"/>
    <w:qFormat/>
    <w:uiPriority w:val="0"/>
    <w:pPr>
      <w:ind w:firstLine="0" w:firstLineChars="0"/>
    </w:pPr>
  </w:style>
  <w:style w:type="paragraph" w:customStyle="1" w:styleId="891">
    <w:name w:val="1.1.1.1报告标题"/>
    <w:semiHidden/>
    <w:qFormat/>
    <w:uiPriority w:val="0"/>
    <w:pPr>
      <w:spacing w:line="360" w:lineRule="auto"/>
    </w:pPr>
    <w:rPr>
      <w:rFonts w:ascii="Calibri" w:hAnsi="Calibri" w:eastAsia="黑体" w:cs="Times New Roman"/>
      <w:spacing w:val="4"/>
      <w:kern w:val="2"/>
      <w:sz w:val="24"/>
      <w:szCs w:val="21"/>
      <w:lang w:val="en-US" w:eastAsia="zh-CN" w:bidi="ar-SA"/>
    </w:rPr>
  </w:style>
  <w:style w:type="paragraph" w:customStyle="1" w:styleId="892">
    <w:name w:val="样式 标题 2节标题h2l22nd levelTitre22Header 2节标题 1.1节1.1标题2H..."/>
    <w:basedOn w:val="3"/>
    <w:qFormat/>
    <w:uiPriority w:val="0"/>
    <w:pPr>
      <w:widowControl/>
      <w:tabs>
        <w:tab w:val="left" w:pos="1320"/>
      </w:tabs>
      <w:spacing w:before="0" w:after="0" w:line="360" w:lineRule="auto"/>
      <w:ind w:left="1320" w:hanging="420"/>
      <w:jc w:val="left"/>
    </w:pPr>
    <w:rPr>
      <w:rFonts w:cs="宋体"/>
      <w:b w:val="0"/>
      <w:bCs w:val="0"/>
      <w:kern w:val="0"/>
      <w:sz w:val="24"/>
      <w:szCs w:val="20"/>
    </w:rPr>
  </w:style>
  <w:style w:type="paragraph" w:customStyle="1" w:styleId="893">
    <w:name w:val="1.1报告标题"/>
    <w:basedOn w:val="3"/>
    <w:semiHidden/>
    <w:qFormat/>
    <w:uiPriority w:val="0"/>
    <w:pPr>
      <w:keepNext w:val="0"/>
      <w:keepLines w:val="0"/>
      <w:tabs>
        <w:tab w:val="left" w:pos="540"/>
      </w:tabs>
      <w:autoSpaceDE w:val="0"/>
      <w:autoSpaceDN w:val="0"/>
      <w:adjustRightInd w:val="0"/>
      <w:snapToGrid w:val="0"/>
      <w:spacing w:before="0"/>
    </w:pPr>
    <w:rPr>
      <w:rFonts w:ascii="Cambria" w:hAnsi="Cambria" w:eastAsia="宋体"/>
      <w:bCs w:val="0"/>
      <w:spacing w:val="4"/>
      <w:szCs w:val="20"/>
    </w:rPr>
  </w:style>
  <w:style w:type="paragraph" w:customStyle="1" w:styleId="894">
    <w:name w:val="表格正文"/>
    <w:qFormat/>
    <w:uiPriority w:val="0"/>
    <w:pPr>
      <w:keepNext/>
      <w:keepLines/>
      <w:widowControl w:val="0"/>
      <w:tabs>
        <w:tab w:val="left" w:pos="42"/>
        <w:tab w:val="left" w:pos="4584"/>
      </w:tabs>
      <w:adjustRightInd w:val="0"/>
      <w:snapToGrid w:val="0"/>
      <w:spacing w:line="240" w:lineRule="exact"/>
      <w:jc w:val="center"/>
      <w:textAlignment w:val="center"/>
    </w:pPr>
    <w:rPr>
      <w:rFonts w:ascii="Times New Roman" w:hAnsi="Times New Roman" w:eastAsia="宋体" w:cs="宋体"/>
      <w:snapToGrid w:val="0"/>
      <w:sz w:val="21"/>
      <w:szCs w:val="21"/>
      <w:lang w:val="zh-CN" w:eastAsia="zh-CN" w:bidi="ar-SA"/>
    </w:rPr>
  </w:style>
  <w:style w:type="paragraph" w:customStyle="1" w:styleId="895">
    <w:name w:val="正文文本 (96)"/>
    <w:basedOn w:val="1"/>
    <w:semiHidden/>
    <w:qFormat/>
    <w:uiPriority w:val="0"/>
    <w:pPr>
      <w:widowControl/>
      <w:shd w:val="clear" w:color="auto" w:fill="FFFFFF"/>
      <w:spacing w:line="240" w:lineRule="atLeast"/>
      <w:jc w:val="left"/>
    </w:pPr>
    <w:rPr>
      <w:rFonts w:ascii="MingLiU" w:hAnsi="Calibri" w:eastAsia="MingLiU"/>
      <w:kern w:val="0"/>
      <w:sz w:val="19"/>
      <w:szCs w:val="19"/>
      <w:shd w:val="clear" w:color="auto" w:fill="FFFFFF"/>
    </w:rPr>
  </w:style>
  <w:style w:type="paragraph" w:customStyle="1" w:styleId="896">
    <w:name w:val="！表注正文"/>
    <w:basedOn w:val="1"/>
    <w:semiHidden/>
    <w:qFormat/>
    <w:uiPriority w:val="0"/>
    <w:pPr>
      <w:spacing w:line="360" w:lineRule="auto"/>
      <w:ind w:firstLine="200" w:firstLineChars="200"/>
    </w:pPr>
    <w:rPr>
      <w:rFonts w:ascii="宋体" w:hAnsi="宋体"/>
      <w:kern w:val="0"/>
      <w:sz w:val="24"/>
      <w:szCs w:val="28"/>
    </w:rPr>
  </w:style>
  <w:style w:type="paragraph" w:customStyle="1" w:styleId="897">
    <w:name w:val="标题2-1"/>
    <w:basedOn w:val="3"/>
    <w:qFormat/>
    <w:uiPriority w:val="0"/>
    <w:pPr>
      <w:spacing w:before="0" w:after="0" w:line="500" w:lineRule="exact"/>
    </w:pPr>
    <w:rPr>
      <w:rFonts w:ascii="宋体" w:hAnsi="宋体" w:eastAsia="宋体"/>
      <w:bCs w:val="0"/>
      <w:color w:val="000000"/>
      <w:kern w:val="44"/>
      <w:sz w:val="24"/>
      <w:szCs w:val="44"/>
    </w:rPr>
  </w:style>
  <w:style w:type="paragraph" w:customStyle="1" w:styleId="898">
    <w:name w:val="Char Char Char Char"/>
    <w:basedOn w:val="1"/>
    <w:qFormat/>
    <w:uiPriority w:val="0"/>
    <w:pPr>
      <w:spacing w:line="336" w:lineRule="auto"/>
      <w:jc w:val="left"/>
    </w:pPr>
    <w:rPr>
      <w:rFonts w:ascii="Verdana" w:hAnsi="Verdana"/>
      <w:kern w:val="0"/>
      <w:sz w:val="20"/>
      <w:szCs w:val="20"/>
      <w:lang w:eastAsia="en-US"/>
    </w:rPr>
  </w:style>
  <w:style w:type="paragraph" w:customStyle="1" w:styleId="899">
    <w:name w:val="样式 标题 3小标题小节标题3h33rd levelH3l3CT二级节名条标题1.1.1BSH-3项目分...1"/>
    <w:basedOn w:val="4"/>
    <w:qFormat/>
    <w:uiPriority w:val="0"/>
    <w:pPr>
      <w:keepNext w:val="0"/>
      <w:keepLines w:val="0"/>
      <w:adjustRightInd w:val="0"/>
      <w:spacing w:before="0" w:after="0" w:line="360" w:lineRule="auto"/>
      <w:textAlignment w:val="baseline"/>
    </w:pPr>
    <w:rPr>
      <w:rFonts w:ascii="黑体" w:hAnsi="Arial" w:eastAsia="黑体" w:cs="宋体"/>
      <w:b w:val="0"/>
      <w:bCs w:val="0"/>
      <w:kern w:val="24"/>
      <w:sz w:val="24"/>
      <w:szCs w:val="20"/>
    </w:rPr>
  </w:style>
  <w:style w:type="paragraph" w:customStyle="1" w:styleId="900">
    <w:name w:val="18"/>
    <w:basedOn w:val="1"/>
    <w:semiHidden/>
    <w:qFormat/>
    <w:uiPriority w:val="0"/>
    <w:pPr>
      <w:widowControl/>
      <w:snapToGrid w:val="0"/>
      <w:spacing w:before="100" w:beforeAutospacing="1" w:after="100" w:afterAutospacing="1" w:line="360" w:lineRule="auto"/>
      <w:ind w:firstLine="420" w:firstLineChars="200"/>
    </w:pPr>
    <w:rPr>
      <w:rFonts w:ascii="Calibri" w:hAnsi="Calibri"/>
      <w:kern w:val="0"/>
      <w:sz w:val="24"/>
      <w:szCs w:val="20"/>
    </w:rPr>
  </w:style>
  <w:style w:type="paragraph" w:customStyle="1" w:styleId="901">
    <w:name w:val="表中"/>
    <w:basedOn w:val="1"/>
    <w:qFormat/>
    <w:uiPriority w:val="0"/>
    <w:pPr>
      <w:spacing w:line="280" w:lineRule="exact"/>
      <w:jc w:val="center"/>
    </w:pPr>
    <w:rPr>
      <w:sz w:val="18"/>
      <w:szCs w:val="18"/>
    </w:rPr>
  </w:style>
  <w:style w:type="paragraph" w:customStyle="1" w:styleId="902">
    <w:name w:val="标题样式2"/>
    <w:basedOn w:val="3"/>
    <w:qFormat/>
    <w:uiPriority w:val="0"/>
    <w:pPr>
      <w:adjustRightInd w:val="0"/>
      <w:spacing w:before="0" w:after="0" w:line="360" w:lineRule="auto"/>
      <w:jc w:val="left"/>
      <w:textAlignment w:val="baseline"/>
    </w:pPr>
    <w:rPr>
      <w:rFonts w:ascii="黑体"/>
      <w:bCs w:val="0"/>
      <w:kern w:val="0"/>
      <w:sz w:val="24"/>
      <w:szCs w:val="24"/>
    </w:rPr>
  </w:style>
  <w:style w:type="paragraph" w:customStyle="1" w:styleId="903">
    <w:name w:val="Char Char Char Char6"/>
    <w:basedOn w:val="1"/>
    <w:semiHidden/>
    <w:qFormat/>
    <w:uiPriority w:val="0"/>
    <w:pPr>
      <w:spacing w:line="360" w:lineRule="auto"/>
      <w:ind w:firstLine="200" w:firstLineChars="200"/>
    </w:pPr>
    <w:rPr>
      <w:rFonts w:ascii="宋体" w:hAnsi="宋体" w:cs="宋体"/>
      <w:sz w:val="24"/>
      <w:szCs w:val="21"/>
    </w:rPr>
  </w:style>
  <w:style w:type="paragraph" w:customStyle="1" w:styleId="904">
    <w:name w:val="评价样式1"/>
    <w:basedOn w:val="1"/>
    <w:next w:val="33"/>
    <w:qFormat/>
    <w:uiPriority w:val="0"/>
    <w:pPr>
      <w:spacing w:line="460" w:lineRule="atLeast"/>
    </w:pPr>
    <w:rPr>
      <w:rFonts w:ascii="Times" w:hAnsi="Times"/>
      <w:bCs/>
      <w:sz w:val="24"/>
    </w:rPr>
  </w:style>
  <w:style w:type="paragraph" w:customStyle="1" w:styleId="905">
    <w:name w:val="正正文"/>
    <w:basedOn w:val="1"/>
    <w:qFormat/>
    <w:uiPriority w:val="0"/>
    <w:pPr>
      <w:spacing w:line="480" w:lineRule="exact"/>
      <w:ind w:firstLine="480" w:firstLineChars="200"/>
      <w:jc w:val="left"/>
    </w:pPr>
    <w:rPr>
      <w:rFonts w:ascii="宋体" w:hAnsi="宋体"/>
      <w:sz w:val="24"/>
    </w:rPr>
  </w:style>
  <w:style w:type="paragraph" w:customStyle="1" w:styleId="906">
    <w:name w:val="二级"/>
    <w:basedOn w:val="3"/>
    <w:qFormat/>
    <w:uiPriority w:val="0"/>
    <w:pPr>
      <w:spacing w:before="0" w:after="0" w:line="360" w:lineRule="auto"/>
    </w:pPr>
    <w:rPr>
      <w:rFonts w:ascii="黑体" w:hAnsi="宋体"/>
      <w:sz w:val="24"/>
      <w:szCs w:val="24"/>
    </w:rPr>
  </w:style>
  <w:style w:type="paragraph" w:customStyle="1" w:styleId="907">
    <w:name w:val="样式 样式 标题 3小标题小节标题3h33rd levelH3l3CT二级节名条标题1.1.1BSH-3项目分... + 非加粗..."/>
    <w:basedOn w:val="748"/>
    <w:qFormat/>
    <w:uiPriority w:val="0"/>
    <w:pPr>
      <w:spacing w:line="360" w:lineRule="auto"/>
      <w:jc w:val="left"/>
    </w:pPr>
    <w:rPr>
      <w:rFonts w:cs="宋体"/>
      <w:bCs w:val="0"/>
      <w:szCs w:val="20"/>
    </w:rPr>
  </w:style>
  <w:style w:type="paragraph" w:customStyle="1" w:styleId="908">
    <w:name w:val="标题样式3"/>
    <w:basedOn w:val="4"/>
    <w:qFormat/>
    <w:uiPriority w:val="0"/>
    <w:pPr>
      <w:spacing w:before="0" w:after="0" w:line="360" w:lineRule="auto"/>
    </w:pPr>
    <w:rPr>
      <w:rFonts w:ascii="黑体" w:eastAsia="黑体"/>
      <w:sz w:val="24"/>
      <w:szCs w:val="24"/>
    </w:rPr>
  </w:style>
  <w:style w:type="paragraph" w:customStyle="1" w:styleId="909">
    <w:name w:val="表格1"/>
    <w:basedOn w:val="1"/>
    <w:qFormat/>
    <w:uiPriority w:val="0"/>
    <w:pPr>
      <w:spacing w:line="400" w:lineRule="exact"/>
    </w:pPr>
    <w:rPr>
      <w:rFonts w:ascii="宋体" w:hAnsi="宋体"/>
      <w:sz w:val="18"/>
    </w:rPr>
  </w:style>
  <w:style w:type="paragraph" w:customStyle="1" w:styleId="910">
    <w:name w:val="——"/>
    <w:basedOn w:val="1"/>
    <w:semiHidden/>
    <w:qFormat/>
    <w:uiPriority w:val="0"/>
    <w:pPr>
      <w:widowControl/>
      <w:spacing w:before="120" w:after="120"/>
      <w:ind w:firstLine="680"/>
    </w:pPr>
    <w:rPr>
      <w:rFonts w:ascii="Arial" w:hAnsi="Arial"/>
      <w:kern w:val="0"/>
      <w:sz w:val="24"/>
      <w:szCs w:val="20"/>
    </w:rPr>
  </w:style>
  <w:style w:type="paragraph" w:customStyle="1" w:styleId="911">
    <w:name w:val="样式 hb33 + 蓝色 段前: 0 磅 段后: 0 磅 行距: 1.5 倍行距"/>
    <w:basedOn w:val="366"/>
    <w:qFormat/>
    <w:uiPriority w:val="0"/>
    <w:pPr>
      <w:spacing w:after="0"/>
    </w:pPr>
    <w:rPr>
      <w:bCs/>
      <w:color w:val="0000FF"/>
      <w:szCs w:val="20"/>
    </w:rPr>
  </w:style>
  <w:style w:type="paragraph" w:customStyle="1" w:styleId="912">
    <w:name w:val="表格 2"/>
    <w:basedOn w:val="1"/>
    <w:qFormat/>
    <w:uiPriority w:val="0"/>
    <w:pPr>
      <w:autoSpaceDE w:val="0"/>
      <w:autoSpaceDN w:val="0"/>
      <w:adjustRightInd w:val="0"/>
      <w:jc w:val="center"/>
      <w:textAlignment w:val="baseline"/>
    </w:pPr>
    <w:rPr>
      <w:kern w:val="0"/>
      <w:sz w:val="24"/>
      <w:szCs w:val="20"/>
    </w:rPr>
  </w:style>
  <w:style w:type="paragraph" w:customStyle="1" w:styleId="913">
    <w:name w:val="样式 正文首行缩进 + 首行缩进:  1 字符2"/>
    <w:basedOn w:val="85"/>
    <w:qFormat/>
    <w:uiPriority w:val="0"/>
    <w:pPr>
      <w:spacing w:after="120"/>
      <w:jc w:val="left"/>
    </w:pPr>
    <w:rPr>
      <w:rFonts w:cs="宋体"/>
      <w:bCs/>
      <w:sz w:val="28"/>
      <w:szCs w:val="28"/>
    </w:rPr>
  </w:style>
  <w:style w:type="paragraph" w:customStyle="1" w:styleId="914">
    <w:name w:val="周闯4"/>
    <w:basedOn w:val="915"/>
    <w:semiHidden/>
    <w:qFormat/>
    <w:uiPriority w:val="0"/>
    <w:pPr>
      <w:spacing w:before="0"/>
      <w:ind w:firstLine="200" w:firstLineChars="200"/>
    </w:pPr>
    <w:rPr>
      <w:rFonts w:ascii="宋体"/>
    </w:rPr>
  </w:style>
  <w:style w:type="paragraph" w:customStyle="1" w:styleId="915">
    <w:name w:val="新标题4"/>
    <w:basedOn w:val="916"/>
    <w:semiHidden/>
    <w:qFormat/>
    <w:uiPriority w:val="0"/>
    <w:pPr>
      <w:keepLines/>
      <w:autoSpaceDE/>
      <w:autoSpaceDN/>
      <w:adjustRightInd/>
      <w:spacing w:after="0" w:line="360" w:lineRule="auto"/>
      <w:outlineLvl w:val="3"/>
    </w:pPr>
  </w:style>
  <w:style w:type="paragraph" w:customStyle="1" w:styleId="916">
    <w:name w:val="新标题3"/>
    <w:basedOn w:val="1"/>
    <w:semiHidden/>
    <w:qFormat/>
    <w:uiPriority w:val="0"/>
    <w:pPr>
      <w:keepNext/>
      <w:autoSpaceDE w:val="0"/>
      <w:autoSpaceDN w:val="0"/>
      <w:adjustRightInd w:val="0"/>
      <w:spacing w:before="120" w:after="120" w:line="460" w:lineRule="exact"/>
      <w:outlineLvl w:val="2"/>
    </w:pPr>
    <w:rPr>
      <w:rFonts w:ascii="Calibri" w:hAnsi="Calibri"/>
      <w:szCs w:val="21"/>
    </w:rPr>
  </w:style>
  <w:style w:type="paragraph" w:customStyle="1" w:styleId="917">
    <w:name w:val="主要文字"/>
    <w:basedOn w:val="1"/>
    <w:qFormat/>
    <w:uiPriority w:val="0"/>
    <w:pPr>
      <w:spacing w:line="360" w:lineRule="auto"/>
      <w:ind w:firstLine="480" w:firstLineChars="200"/>
    </w:pPr>
    <w:rPr>
      <w:rFonts w:ascii="宋体" w:hAnsi="宋体"/>
      <w:sz w:val="24"/>
    </w:rPr>
  </w:style>
  <w:style w:type="paragraph" w:customStyle="1" w:styleId="918">
    <w:name w:val="_正文格式"/>
    <w:basedOn w:val="1"/>
    <w:semiHidden/>
    <w:qFormat/>
    <w:uiPriority w:val="0"/>
    <w:pPr>
      <w:spacing w:line="480" w:lineRule="exact"/>
      <w:ind w:firstLine="567"/>
    </w:pPr>
    <w:rPr>
      <w:rFonts w:ascii="Calibri" w:hAnsi="Calibri" w:eastAsia="仿宋_GB2312"/>
      <w:sz w:val="28"/>
      <w:szCs w:val="21"/>
    </w:rPr>
  </w:style>
  <w:style w:type="paragraph" w:customStyle="1" w:styleId="919">
    <w:name w:val="Char Char Char Char Char Char Char"/>
    <w:basedOn w:val="1"/>
    <w:next w:val="1"/>
    <w:semiHidden/>
    <w:qFormat/>
    <w:uiPriority w:val="0"/>
    <w:pPr>
      <w:spacing w:line="360" w:lineRule="auto"/>
      <w:ind w:firstLine="200" w:firstLineChars="200"/>
    </w:pPr>
    <w:rPr>
      <w:rFonts w:ascii="宋体" w:hAnsi="宋体" w:cs="宋体"/>
      <w:sz w:val="24"/>
      <w:szCs w:val="21"/>
    </w:rPr>
  </w:style>
  <w:style w:type="paragraph" w:customStyle="1" w:styleId="920">
    <w:name w:val="样式 宋体 小四 加粗 左 行距: 1.5 倍行距"/>
    <w:basedOn w:val="1"/>
    <w:qFormat/>
    <w:uiPriority w:val="0"/>
    <w:pPr>
      <w:spacing w:line="360" w:lineRule="auto"/>
      <w:ind w:firstLine="482" w:firstLineChars="200"/>
    </w:pPr>
    <w:rPr>
      <w:rFonts w:ascii="宋体" w:hAnsi="宋体" w:cs="宋体"/>
      <w:b/>
      <w:bCs/>
      <w:kern w:val="0"/>
      <w:sz w:val="24"/>
    </w:rPr>
  </w:style>
  <w:style w:type="paragraph" w:customStyle="1" w:styleId="921">
    <w:name w:val="！正文"/>
    <w:basedOn w:val="1"/>
    <w:semiHidden/>
    <w:qFormat/>
    <w:uiPriority w:val="0"/>
    <w:pPr>
      <w:adjustRightInd w:val="0"/>
      <w:snapToGrid w:val="0"/>
      <w:spacing w:before="60" w:after="60" w:line="360" w:lineRule="auto"/>
      <w:ind w:firstLine="560" w:firstLineChars="200"/>
    </w:pPr>
    <w:rPr>
      <w:rFonts w:ascii="Calibri" w:hAnsi="Calibri"/>
      <w:sz w:val="28"/>
      <w:szCs w:val="21"/>
    </w:rPr>
  </w:style>
  <w:style w:type="paragraph" w:customStyle="1" w:styleId="922">
    <w:name w:val="xl21"/>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FF0000"/>
      <w:kern w:val="0"/>
      <w:sz w:val="18"/>
      <w:szCs w:val="18"/>
    </w:rPr>
  </w:style>
  <w:style w:type="paragraph" w:customStyle="1" w:styleId="923">
    <w:name w:val="Char Char Char Char Char Char Char Char2 Char Char Char Char Char Char Char Char Char Char Char Char Char Char Char Char Char Char Char Char Char"/>
    <w:basedOn w:val="1"/>
    <w:next w:val="1"/>
    <w:semiHidden/>
    <w:qFormat/>
    <w:uiPriority w:val="0"/>
    <w:pPr>
      <w:snapToGrid w:val="0"/>
      <w:spacing w:line="336" w:lineRule="auto"/>
      <w:ind w:firstLine="200" w:firstLineChars="200"/>
    </w:pPr>
    <w:rPr>
      <w:rFonts w:ascii="Calibri" w:hAnsi="Calibri"/>
      <w:color w:val="000000"/>
      <w:sz w:val="24"/>
      <w:szCs w:val="21"/>
    </w:rPr>
  </w:style>
  <w:style w:type="paragraph" w:customStyle="1" w:styleId="924">
    <w:name w:val="表格段落1"/>
    <w:basedOn w:val="1"/>
    <w:qFormat/>
    <w:uiPriority w:val="0"/>
    <w:pPr>
      <w:snapToGrid w:val="0"/>
      <w:spacing w:line="240" w:lineRule="atLeast"/>
      <w:jc w:val="center"/>
    </w:pPr>
    <w:rPr>
      <w:sz w:val="24"/>
      <w:szCs w:val="20"/>
    </w:rPr>
  </w:style>
  <w:style w:type="paragraph" w:customStyle="1" w:styleId="925">
    <w:name w:val="Char Char Char1 Char Char Char Char"/>
    <w:basedOn w:val="1"/>
    <w:next w:val="1"/>
    <w:qFormat/>
    <w:uiPriority w:val="0"/>
    <w:pPr>
      <w:spacing w:line="360" w:lineRule="auto"/>
      <w:ind w:firstLine="200" w:firstLineChars="200"/>
    </w:pPr>
    <w:rPr>
      <w:rFonts w:ascii="宋体" w:hAnsi="宋体" w:eastAsia="汉鼎简书宋" w:cs="宋体"/>
      <w:sz w:val="24"/>
    </w:rPr>
  </w:style>
  <w:style w:type="paragraph" w:customStyle="1" w:styleId="926">
    <w:name w:val="xl25"/>
    <w:basedOn w:val="1"/>
    <w:qFormat/>
    <w:uiPriority w:val="0"/>
    <w:pPr>
      <w:widowControl/>
      <w:pBdr>
        <w:bottom w:val="single" w:color="auto" w:sz="4" w:space="0"/>
        <w:right w:val="single" w:color="auto" w:sz="4" w:space="0"/>
      </w:pBdr>
      <w:spacing w:before="100" w:beforeAutospacing="1" w:after="100" w:afterAutospacing="1"/>
      <w:textAlignment w:val="top"/>
    </w:pPr>
    <w:rPr>
      <w:rFonts w:ascii="宋体" w:hAnsi="宋体"/>
      <w:kern w:val="0"/>
      <w:sz w:val="15"/>
      <w:szCs w:val="15"/>
    </w:rPr>
  </w:style>
  <w:style w:type="paragraph" w:customStyle="1" w:styleId="927">
    <w:name w:val="xl73"/>
    <w:basedOn w:val="1"/>
    <w:semiHidden/>
    <w:qFormat/>
    <w:uiPriority w:val="0"/>
    <w:pPr>
      <w:widowControl/>
      <w:pBdr>
        <w:top w:val="single" w:color="000000" w:sz="4" w:space="0"/>
        <w:left w:val="single" w:color="000000" w:sz="4" w:space="0"/>
        <w:right w:val="single" w:color="000000" w:sz="4" w:space="0"/>
      </w:pBdr>
      <w:spacing w:before="100" w:beforeAutospacing="1" w:after="100" w:afterAutospacing="1"/>
      <w:jc w:val="center"/>
    </w:pPr>
    <w:rPr>
      <w:rFonts w:ascii="Calibri" w:hAnsi="Calibri"/>
      <w:szCs w:val="21"/>
    </w:rPr>
  </w:style>
  <w:style w:type="paragraph" w:customStyle="1" w:styleId="928">
    <w:name w:val="CM3"/>
    <w:basedOn w:val="1"/>
    <w:next w:val="1"/>
    <w:semiHidden/>
    <w:qFormat/>
    <w:uiPriority w:val="0"/>
    <w:pPr>
      <w:autoSpaceDE w:val="0"/>
      <w:autoSpaceDN w:val="0"/>
      <w:adjustRightInd w:val="0"/>
      <w:spacing w:line="463" w:lineRule="atLeast"/>
      <w:jc w:val="left"/>
    </w:pPr>
    <w:rPr>
      <w:rFonts w:ascii="Calibri" w:hAnsi="Calibri"/>
      <w:kern w:val="0"/>
      <w:sz w:val="24"/>
      <w:szCs w:val="21"/>
    </w:rPr>
  </w:style>
  <w:style w:type="paragraph" w:customStyle="1" w:styleId="929">
    <w:name w:val="1-正文"/>
    <w:basedOn w:val="1"/>
    <w:semiHidden/>
    <w:qFormat/>
    <w:uiPriority w:val="0"/>
    <w:pPr>
      <w:spacing w:line="360" w:lineRule="auto"/>
      <w:ind w:firstLine="200" w:firstLineChars="200"/>
    </w:pPr>
    <w:rPr>
      <w:rFonts w:ascii="宋体" w:hAnsi="宋体"/>
      <w:sz w:val="24"/>
      <w:szCs w:val="21"/>
    </w:rPr>
  </w:style>
  <w:style w:type="paragraph" w:customStyle="1" w:styleId="930">
    <w:name w:val="1 Char Char Char Char Char Char Char Char Char Char Char Char"/>
    <w:basedOn w:val="1"/>
    <w:semiHidden/>
    <w:qFormat/>
    <w:uiPriority w:val="0"/>
    <w:rPr>
      <w:rFonts w:ascii="Calibri" w:hAnsi="Calibri"/>
      <w:szCs w:val="21"/>
    </w:rPr>
  </w:style>
  <w:style w:type="paragraph" w:customStyle="1" w:styleId="931">
    <w:name w:val="xl31"/>
    <w:basedOn w:val="1"/>
    <w:semiHidden/>
    <w:qFormat/>
    <w:uiPriority w:val="0"/>
    <w:pPr>
      <w:widowControl/>
      <w:pBdr>
        <w:bottom w:val="single" w:color="auto" w:sz="4" w:space="0"/>
        <w:right w:val="single" w:color="auto" w:sz="4" w:space="0"/>
      </w:pBdr>
      <w:spacing w:before="100" w:beforeAutospacing="1" w:after="100" w:afterAutospacing="1"/>
      <w:ind w:firstLine="200" w:firstLineChars="200"/>
      <w:textAlignment w:val="top"/>
    </w:pPr>
    <w:rPr>
      <w:rFonts w:ascii="Arial Unicode MS" w:hAnsi="Arial Unicode MS" w:eastAsia="Arial Unicode MS" w:cs="Arial Unicode MS"/>
      <w:kern w:val="0"/>
      <w:szCs w:val="21"/>
    </w:rPr>
  </w:style>
  <w:style w:type="paragraph" w:customStyle="1" w:styleId="932">
    <w:name w:val="5"/>
    <w:basedOn w:val="1"/>
    <w:next w:val="75"/>
    <w:qFormat/>
    <w:uiPriority w:val="0"/>
    <w:pPr>
      <w:spacing w:after="120" w:line="480" w:lineRule="auto"/>
    </w:pPr>
  </w:style>
  <w:style w:type="paragraph" w:customStyle="1" w:styleId="933">
    <w:name w:val="样式 列表 2 + 华文仿宋 居中"/>
    <w:basedOn w:val="36"/>
    <w:qFormat/>
    <w:uiPriority w:val="0"/>
    <w:pPr>
      <w:ind w:left="0" w:leftChars="0" w:firstLine="0" w:firstLineChars="0"/>
      <w:jc w:val="center"/>
    </w:pPr>
    <w:rPr>
      <w:rFonts w:eastAsia="楷体_GB2312" w:cs="宋体"/>
      <w:color w:val="000000"/>
      <w:szCs w:val="21"/>
    </w:rPr>
  </w:style>
  <w:style w:type="paragraph" w:customStyle="1" w:styleId="934">
    <w:name w:val="::"/>
    <w:basedOn w:val="1"/>
    <w:semiHidden/>
    <w:qFormat/>
    <w:uiPriority w:val="0"/>
    <w:pPr>
      <w:adjustRightInd w:val="0"/>
      <w:spacing w:line="310" w:lineRule="atLeast"/>
      <w:textAlignment w:val="baseline"/>
    </w:pPr>
    <w:rPr>
      <w:rFonts w:ascii="Calibri" w:hAnsi="Calibri"/>
      <w:kern w:val="0"/>
      <w:sz w:val="24"/>
      <w:szCs w:val="20"/>
    </w:rPr>
  </w:style>
  <w:style w:type="paragraph" w:customStyle="1" w:styleId="935">
    <w:name w:val="CM63"/>
    <w:basedOn w:val="1"/>
    <w:next w:val="1"/>
    <w:semiHidden/>
    <w:qFormat/>
    <w:uiPriority w:val="0"/>
    <w:pPr>
      <w:autoSpaceDE w:val="0"/>
      <w:autoSpaceDN w:val="0"/>
      <w:adjustRightInd w:val="0"/>
      <w:spacing w:after="415"/>
      <w:jc w:val="left"/>
    </w:pPr>
    <w:rPr>
      <w:rFonts w:ascii="Calibri" w:hAnsi="Calibri"/>
      <w:sz w:val="24"/>
      <w:szCs w:val="21"/>
    </w:rPr>
  </w:style>
  <w:style w:type="paragraph" w:customStyle="1" w:styleId="936">
    <w:name w:val="xl83"/>
    <w:basedOn w:val="1"/>
    <w:semiHidden/>
    <w:qFormat/>
    <w:uiPriority w:val="0"/>
    <w:pPr>
      <w:widowControl/>
      <w:pBdr>
        <w:bottom w:val="single" w:color="auto" w:sz="8" w:space="0"/>
        <w:right w:val="single" w:color="auto" w:sz="8" w:space="0"/>
      </w:pBdr>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937">
    <w:name w:val="4级"/>
    <w:basedOn w:val="5"/>
    <w:semiHidden/>
    <w:qFormat/>
    <w:uiPriority w:val="0"/>
    <w:pPr>
      <w:spacing w:before="40" w:after="40" w:line="360" w:lineRule="auto"/>
    </w:pPr>
    <w:rPr>
      <w:rFonts w:ascii="Times New Roman" w:hAnsi="Times New Roman" w:eastAsia="仿宋_GB2312"/>
      <w:b/>
      <w:szCs w:val="28"/>
    </w:rPr>
  </w:style>
  <w:style w:type="paragraph" w:customStyle="1" w:styleId="938">
    <w:name w:val="cdb"/>
    <w:basedOn w:val="1"/>
    <w:semiHidden/>
    <w:qFormat/>
    <w:uiPriority w:val="0"/>
    <w:pPr>
      <w:spacing w:before="120"/>
      <w:ind w:left="851" w:firstLine="482"/>
    </w:pPr>
    <w:rPr>
      <w:rFonts w:ascii="Calibri" w:hAnsi="Calibri"/>
      <w:sz w:val="24"/>
      <w:szCs w:val="20"/>
    </w:rPr>
  </w:style>
  <w:style w:type="paragraph" w:customStyle="1" w:styleId="939">
    <w:name w:val="1正文"/>
    <w:basedOn w:val="1"/>
    <w:link w:val="2229"/>
    <w:qFormat/>
    <w:uiPriority w:val="0"/>
    <w:pPr>
      <w:spacing w:line="360" w:lineRule="auto"/>
      <w:ind w:firstLine="198" w:firstLineChars="200"/>
    </w:pPr>
    <w:rPr>
      <w:sz w:val="24"/>
    </w:rPr>
  </w:style>
  <w:style w:type="paragraph" w:customStyle="1" w:styleId="940">
    <w:name w:val="T表格小"/>
    <w:basedOn w:val="941"/>
    <w:semiHidden/>
    <w:qFormat/>
    <w:uiPriority w:val="0"/>
    <w:pPr>
      <w:widowControl w:val="0"/>
    </w:pPr>
    <w:rPr>
      <w:rFonts w:ascii="宋体"/>
      <w:b/>
      <w:bCs/>
      <w:sz w:val="24"/>
      <w:szCs w:val="24"/>
    </w:rPr>
  </w:style>
  <w:style w:type="paragraph" w:customStyle="1" w:styleId="941">
    <w:name w:val="T表格"/>
    <w:semiHidden/>
    <w:qFormat/>
    <w:uiPriority w:val="0"/>
    <w:pPr>
      <w:jc w:val="center"/>
    </w:pPr>
    <w:rPr>
      <w:rFonts w:ascii="Calibri" w:hAnsi="Calibri" w:eastAsia="宋体" w:cs="Times New Roman"/>
      <w:kern w:val="2"/>
      <w:sz w:val="21"/>
      <w:szCs w:val="21"/>
      <w:lang w:val="en-US" w:eastAsia="zh-CN" w:bidi="ar-SA"/>
    </w:rPr>
  </w:style>
  <w:style w:type="paragraph" w:customStyle="1" w:styleId="942">
    <w:name w:val="Char Char Char Char Char Char Char Char2 Char Char Char Char Char Char Char Char Char Char Char Char Char"/>
    <w:basedOn w:val="1"/>
    <w:next w:val="1"/>
    <w:semiHidden/>
    <w:qFormat/>
    <w:uiPriority w:val="0"/>
    <w:pPr>
      <w:spacing w:line="336" w:lineRule="auto"/>
      <w:ind w:firstLine="200" w:firstLineChars="200"/>
    </w:pPr>
    <w:rPr>
      <w:rFonts w:ascii="宋体" w:hAnsi="宋体" w:eastAsia="汉鼎简书宋"/>
      <w:spacing w:val="4"/>
      <w:sz w:val="24"/>
      <w:szCs w:val="20"/>
    </w:rPr>
  </w:style>
  <w:style w:type="paragraph" w:customStyle="1" w:styleId="943">
    <w:name w:val="报告"/>
    <w:basedOn w:val="1"/>
    <w:semiHidden/>
    <w:qFormat/>
    <w:uiPriority w:val="0"/>
    <w:pPr>
      <w:spacing w:line="440" w:lineRule="exact"/>
      <w:ind w:firstLine="451" w:firstLineChars="196"/>
    </w:pPr>
    <w:rPr>
      <w:rFonts w:ascii="宋体" w:hAnsi="宋体"/>
      <w:spacing w:val="-5"/>
      <w:sz w:val="24"/>
      <w:szCs w:val="32"/>
    </w:rPr>
  </w:style>
  <w:style w:type="paragraph" w:customStyle="1" w:styleId="944">
    <w:name w:val="a)"/>
    <w:basedOn w:val="1"/>
    <w:semiHidden/>
    <w:qFormat/>
    <w:uiPriority w:val="0"/>
    <w:pPr>
      <w:autoSpaceDE w:val="0"/>
      <w:autoSpaceDN w:val="0"/>
      <w:adjustRightInd w:val="0"/>
      <w:spacing w:line="360" w:lineRule="auto"/>
      <w:ind w:firstLine="567"/>
      <w:jc w:val="left"/>
      <w:textAlignment w:val="baseline"/>
    </w:pPr>
    <w:rPr>
      <w:rFonts w:ascii="Calibri" w:hAnsi="Calibri"/>
      <w:kern w:val="0"/>
      <w:sz w:val="28"/>
      <w:szCs w:val="20"/>
    </w:rPr>
  </w:style>
  <w:style w:type="paragraph" w:customStyle="1" w:styleId="945">
    <w:name w:val="head"/>
    <w:basedOn w:val="1"/>
    <w:next w:val="85"/>
    <w:semiHidden/>
    <w:qFormat/>
    <w:uiPriority w:val="0"/>
    <w:pPr>
      <w:keepNext/>
      <w:keepLines/>
      <w:snapToGrid w:val="0"/>
      <w:spacing w:before="120" w:after="120" w:line="360" w:lineRule="auto"/>
      <w:jc w:val="left"/>
    </w:pPr>
    <w:rPr>
      <w:rFonts w:ascii="宋体" w:hAnsi="宋体" w:cs="宋体"/>
      <w:sz w:val="32"/>
      <w:szCs w:val="32"/>
    </w:rPr>
  </w:style>
  <w:style w:type="paragraph" w:customStyle="1" w:styleId="946">
    <w:name w:val="Cover"/>
    <w:semiHidden/>
    <w:qFormat/>
    <w:uiPriority w:val="0"/>
    <w:pPr>
      <w:adjustRightInd w:val="0"/>
      <w:spacing w:before="240" w:after="240"/>
      <w:jc w:val="center"/>
      <w:textAlignment w:val="baseline"/>
    </w:pPr>
    <w:rPr>
      <w:rFonts w:ascii="Arial" w:hAnsi="Arial" w:eastAsia="宋体" w:cs="Times New Roman"/>
      <w:b/>
      <w:kern w:val="2"/>
      <w:sz w:val="40"/>
      <w:szCs w:val="21"/>
      <w:lang w:val="en-US" w:eastAsia="zh-CN" w:bidi="ar-SA"/>
    </w:rPr>
  </w:style>
  <w:style w:type="paragraph" w:customStyle="1" w:styleId="947">
    <w:name w:val="杨正文"/>
    <w:basedOn w:val="1"/>
    <w:semiHidden/>
    <w:qFormat/>
    <w:uiPriority w:val="0"/>
    <w:pPr>
      <w:spacing w:line="360" w:lineRule="auto"/>
      <w:ind w:firstLine="200" w:firstLineChars="200"/>
    </w:pPr>
    <w:rPr>
      <w:rFonts w:ascii="宋体" w:hAnsi="Calibri"/>
      <w:sz w:val="24"/>
      <w:szCs w:val="21"/>
    </w:rPr>
  </w:style>
  <w:style w:type="paragraph" w:customStyle="1" w:styleId="948">
    <w:name w:val="标题9"/>
    <w:qFormat/>
    <w:uiPriority w:val="0"/>
    <w:pPr>
      <w:adjustRightInd w:val="0"/>
      <w:snapToGrid w:val="0"/>
      <w:spacing w:line="360" w:lineRule="auto"/>
      <w:jc w:val="center"/>
    </w:pPr>
    <w:rPr>
      <w:rFonts w:ascii="Times New Roman" w:hAnsi="Times New Roman" w:eastAsia="黑体" w:cs="Times New Roman"/>
      <w:sz w:val="21"/>
      <w:lang w:val="en-US" w:eastAsia="zh-CN" w:bidi="ar-SA"/>
    </w:rPr>
  </w:style>
  <w:style w:type="paragraph" w:customStyle="1" w:styleId="949">
    <w:name w:val="xl178"/>
    <w:basedOn w:val="1"/>
    <w:semiHidden/>
    <w:qFormat/>
    <w:uiPriority w:val="0"/>
    <w:pPr>
      <w:widowControl/>
      <w:pBdr>
        <w:top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kern w:val="0"/>
      <w:sz w:val="20"/>
      <w:szCs w:val="20"/>
    </w:rPr>
  </w:style>
  <w:style w:type="paragraph" w:customStyle="1" w:styleId="950">
    <w:name w:val="List First"/>
    <w:basedOn w:val="65"/>
    <w:next w:val="65"/>
    <w:semiHidden/>
    <w:qFormat/>
    <w:uiPriority w:val="0"/>
    <w:pPr>
      <w:widowControl/>
      <w:tabs>
        <w:tab w:val="left" w:pos="720"/>
      </w:tabs>
      <w:overflowPunct w:val="0"/>
      <w:autoSpaceDE w:val="0"/>
      <w:autoSpaceDN w:val="0"/>
      <w:adjustRightInd w:val="0"/>
      <w:spacing w:before="80" w:after="80" w:line="360" w:lineRule="auto"/>
      <w:ind w:left="720" w:hanging="360" w:firstLineChars="200"/>
      <w:textAlignment w:val="baseline"/>
    </w:pPr>
    <w:rPr>
      <w:rFonts w:ascii="Calibri" w:hAnsi="Calibri" w:eastAsia="汉鼎简书宋"/>
      <w:kern w:val="0"/>
      <w:sz w:val="20"/>
      <w:szCs w:val="20"/>
    </w:rPr>
  </w:style>
  <w:style w:type="paragraph" w:customStyle="1" w:styleId="951">
    <w:name w:val="环评标题3"/>
    <w:basedOn w:val="1"/>
    <w:semiHidden/>
    <w:qFormat/>
    <w:uiPriority w:val="0"/>
    <w:pPr>
      <w:spacing w:line="560" w:lineRule="exact"/>
      <w:ind w:firstLine="480" w:firstLineChars="200"/>
    </w:pPr>
    <w:rPr>
      <w:rFonts w:ascii="宋体" w:hAnsi="宋体"/>
      <w:color w:val="FF0000"/>
      <w:sz w:val="24"/>
      <w:szCs w:val="21"/>
    </w:rPr>
  </w:style>
  <w:style w:type="paragraph" w:customStyle="1" w:styleId="952">
    <w:name w:val="c_"/>
    <w:semiHidden/>
    <w:qFormat/>
    <w:uiPriority w:val="0"/>
    <w:pPr>
      <w:widowControl w:val="0"/>
      <w:autoSpaceDE w:val="0"/>
      <w:autoSpaceDN w:val="0"/>
      <w:adjustRightInd w:val="0"/>
      <w:jc w:val="both"/>
    </w:pPr>
    <w:rPr>
      <w:rFonts w:ascii="五" w:hAnsi="Calibri" w:eastAsia="五" w:cs="Times New Roman"/>
      <w:kern w:val="2"/>
      <w:sz w:val="24"/>
      <w:szCs w:val="21"/>
      <w:lang w:val="en-US" w:eastAsia="zh-CN" w:bidi="ar-SA"/>
    </w:rPr>
  </w:style>
  <w:style w:type="paragraph" w:customStyle="1" w:styleId="953">
    <w:name w:val="＠正文"/>
    <w:basedOn w:val="1"/>
    <w:semiHidden/>
    <w:qFormat/>
    <w:uiPriority w:val="0"/>
    <w:pPr>
      <w:spacing w:line="360" w:lineRule="auto"/>
      <w:ind w:firstLine="200" w:firstLineChars="200"/>
    </w:pPr>
    <w:rPr>
      <w:rFonts w:ascii="宋体" w:hAnsi="宋体" w:eastAsia="仿宋_GB2312"/>
      <w:color w:val="000000"/>
      <w:kern w:val="0"/>
      <w:sz w:val="28"/>
      <w:szCs w:val="28"/>
    </w:rPr>
  </w:style>
  <w:style w:type="paragraph" w:customStyle="1" w:styleId="954">
    <w:name w:val="Char Char Char Char Char Char Char Char Char Char Char Char Char Char Char Char Char"/>
    <w:basedOn w:val="1"/>
    <w:next w:val="1"/>
    <w:semiHidden/>
    <w:qFormat/>
    <w:uiPriority w:val="0"/>
    <w:pPr>
      <w:spacing w:line="336" w:lineRule="auto"/>
      <w:ind w:firstLine="200" w:firstLineChars="200"/>
    </w:pPr>
    <w:rPr>
      <w:rFonts w:ascii="宋体" w:hAnsi="宋体" w:eastAsia="汉鼎简书宋"/>
      <w:spacing w:val="4"/>
      <w:sz w:val="24"/>
      <w:szCs w:val="20"/>
    </w:rPr>
  </w:style>
  <w:style w:type="paragraph" w:customStyle="1" w:styleId="955">
    <w:name w:val="List Bullet Last"/>
    <w:basedOn w:val="23"/>
    <w:next w:val="33"/>
    <w:semiHidden/>
    <w:qFormat/>
    <w:uiPriority w:val="0"/>
    <w:pPr>
      <w:widowControl/>
      <w:overflowPunct w:val="0"/>
      <w:autoSpaceDE w:val="0"/>
      <w:autoSpaceDN w:val="0"/>
      <w:adjustRightInd w:val="0"/>
      <w:spacing w:afterLines="100" w:line="360" w:lineRule="auto"/>
      <w:ind w:left="720" w:firstLine="200" w:firstLineChars="200"/>
      <w:textAlignment w:val="baseline"/>
    </w:pPr>
    <w:rPr>
      <w:kern w:val="0"/>
      <w:sz w:val="20"/>
      <w:szCs w:val="20"/>
    </w:rPr>
  </w:style>
  <w:style w:type="paragraph" w:customStyle="1" w:styleId="956">
    <w:name w:val="xl84"/>
    <w:basedOn w:val="1"/>
    <w:semiHidden/>
    <w:qFormat/>
    <w:uiPriority w:val="0"/>
    <w:pPr>
      <w:widowControl/>
      <w:pBdr>
        <w:left w:val="single" w:color="auto" w:sz="8" w:space="0"/>
      </w:pBdr>
      <w:spacing w:before="100" w:beforeAutospacing="1" w:after="100" w:afterAutospacing="1" w:line="360" w:lineRule="auto"/>
      <w:ind w:firstLine="420" w:firstLineChars="200"/>
      <w:textAlignment w:val="top"/>
    </w:pPr>
    <w:rPr>
      <w:rFonts w:ascii="Calibri" w:hAnsi="Calibri"/>
      <w:color w:val="000000"/>
      <w:kern w:val="0"/>
      <w:sz w:val="24"/>
      <w:szCs w:val="21"/>
    </w:rPr>
  </w:style>
  <w:style w:type="paragraph" w:customStyle="1" w:styleId="957">
    <w:name w:val="页眉1"/>
    <w:basedOn w:val="1"/>
    <w:semiHidden/>
    <w:qFormat/>
    <w:uiPriority w:val="0"/>
    <w:pPr>
      <w:pBdr>
        <w:bottom w:val="single" w:color="auto" w:sz="6" w:space="1"/>
      </w:pBdr>
      <w:tabs>
        <w:tab w:val="center" w:pos="4153"/>
        <w:tab w:val="right" w:pos="8306"/>
      </w:tabs>
      <w:adjustRightInd w:val="0"/>
      <w:spacing w:line="240" w:lineRule="atLeast"/>
      <w:jc w:val="center"/>
    </w:pPr>
    <w:rPr>
      <w:rFonts w:hint="eastAsia" w:ascii="宋体" w:hAnsi="Calibri"/>
      <w:kern w:val="0"/>
      <w:sz w:val="18"/>
      <w:szCs w:val="20"/>
    </w:rPr>
  </w:style>
  <w:style w:type="paragraph" w:customStyle="1" w:styleId="958">
    <w:name w:val="Char Char2 Char Char Char Char1"/>
    <w:basedOn w:val="1"/>
    <w:semiHidden/>
    <w:qFormat/>
    <w:uiPriority w:val="0"/>
    <w:rPr>
      <w:rFonts w:ascii="Calibri" w:hAnsi="Calibri"/>
      <w:sz w:val="30"/>
      <w:szCs w:val="30"/>
    </w:rPr>
  </w:style>
  <w:style w:type="paragraph" w:customStyle="1" w:styleId="959">
    <w:name w:val="xl35"/>
    <w:basedOn w:val="1"/>
    <w:semiHidden/>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960">
    <w:name w:val="样式 标题 2 + 首行缩进:  1.13 厘米"/>
    <w:basedOn w:val="3"/>
    <w:qFormat/>
    <w:uiPriority w:val="0"/>
    <w:pPr>
      <w:spacing w:before="120" w:after="120" w:line="360" w:lineRule="auto"/>
      <w:jc w:val="left"/>
    </w:pPr>
    <w:rPr>
      <w:rFonts w:ascii="Times New Roman" w:hAnsi="Times New Roman" w:eastAsia="宋体" w:cs="宋体"/>
      <w:szCs w:val="20"/>
    </w:rPr>
  </w:style>
  <w:style w:type="paragraph" w:customStyle="1" w:styleId="961">
    <w:name w:val="WPS Plain"/>
    <w:semiHidden/>
    <w:qFormat/>
    <w:uiPriority w:val="0"/>
    <w:rPr>
      <w:rFonts w:ascii="Calibri" w:hAnsi="Calibri" w:eastAsia="宋体" w:cs="Times New Roman"/>
      <w:kern w:val="2"/>
      <w:sz w:val="21"/>
      <w:szCs w:val="21"/>
      <w:lang w:val="en-US" w:eastAsia="zh-CN" w:bidi="ar-SA"/>
    </w:rPr>
  </w:style>
  <w:style w:type="paragraph" w:customStyle="1" w:styleId="962">
    <w:name w:val="xl94"/>
    <w:basedOn w:val="1"/>
    <w:semiHidden/>
    <w:qFormat/>
    <w:uiPriority w:val="0"/>
    <w:pPr>
      <w:widowControl/>
      <w:pBdr>
        <w:bottom w:val="single" w:color="auto" w:sz="8" w:space="0"/>
        <w:right w:val="single" w:color="auto" w:sz="8" w:space="0"/>
      </w:pBdr>
      <w:spacing w:before="100" w:beforeAutospacing="1" w:after="100" w:afterAutospacing="1" w:line="360" w:lineRule="auto"/>
      <w:ind w:firstLine="420" w:firstLineChars="200"/>
      <w:textAlignment w:val="top"/>
    </w:pPr>
    <w:rPr>
      <w:rFonts w:ascii="Calibri" w:hAnsi="Calibri"/>
      <w:color w:val="000000"/>
      <w:kern w:val="0"/>
      <w:sz w:val="24"/>
      <w:szCs w:val="21"/>
    </w:rPr>
  </w:style>
  <w:style w:type="paragraph" w:customStyle="1" w:styleId="963">
    <w:name w:val="a14"/>
    <w:basedOn w:val="1"/>
    <w:semiHidden/>
    <w:qFormat/>
    <w:uiPriority w:val="0"/>
    <w:pPr>
      <w:widowControl/>
      <w:spacing w:before="100" w:beforeAutospacing="1" w:after="100" w:afterAutospacing="1" w:line="400" w:lineRule="atLeast"/>
      <w:ind w:firstLine="500"/>
      <w:jc w:val="left"/>
    </w:pPr>
    <w:rPr>
      <w:rFonts w:ascii="宋体" w:hAnsi="宋体"/>
      <w:kern w:val="0"/>
      <w:sz w:val="28"/>
      <w:szCs w:val="28"/>
    </w:rPr>
  </w:style>
  <w:style w:type="paragraph" w:customStyle="1" w:styleId="964">
    <w:name w:val="Company Name"/>
    <w:basedOn w:val="33"/>
    <w:semiHidden/>
    <w:qFormat/>
    <w:uiPriority w:val="0"/>
    <w:pPr>
      <w:widowControl/>
      <w:overflowPunct w:val="0"/>
      <w:autoSpaceDE w:val="0"/>
      <w:autoSpaceDN w:val="0"/>
      <w:adjustRightInd w:val="0"/>
      <w:spacing w:after="0" w:line="360" w:lineRule="auto"/>
      <w:ind w:firstLine="420" w:firstLineChars="200"/>
      <w:textAlignment w:val="baseline"/>
    </w:pPr>
    <w:rPr>
      <w:rFonts w:ascii="宋体" w:hAnsi="Calibri"/>
      <w:caps/>
      <w:kern w:val="0"/>
      <w:sz w:val="20"/>
      <w:szCs w:val="20"/>
    </w:rPr>
  </w:style>
  <w:style w:type="paragraph" w:customStyle="1" w:styleId="965">
    <w:name w:val="Char Char Char Char Char Char Char Char2 Char Char Char Char Char Char Char Char Char Char Char Char Char Char Char Char Char Char Char"/>
    <w:basedOn w:val="1"/>
    <w:next w:val="1"/>
    <w:semiHidden/>
    <w:qFormat/>
    <w:uiPriority w:val="0"/>
    <w:pPr>
      <w:spacing w:line="336" w:lineRule="auto"/>
      <w:ind w:firstLine="200" w:firstLineChars="200"/>
    </w:pPr>
    <w:rPr>
      <w:rFonts w:ascii="宋体" w:hAnsi="宋体" w:eastAsia="汉鼎简书宋" w:cs="宋体"/>
      <w:spacing w:val="4"/>
      <w:sz w:val="24"/>
      <w:szCs w:val="21"/>
    </w:rPr>
  </w:style>
  <w:style w:type="paragraph" w:customStyle="1" w:styleId="966">
    <w:name w:val="表格文字2"/>
    <w:basedOn w:val="1"/>
    <w:qFormat/>
    <w:uiPriority w:val="0"/>
    <w:pPr>
      <w:tabs>
        <w:tab w:val="left" w:pos="277"/>
        <w:tab w:val="left" w:pos="600"/>
        <w:tab w:val="left" w:pos="780"/>
        <w:tab w:val="left" w:pos="2517"/>
      </w:tabs>
      <w:adjustRightInd w:val="0"/>
      <w:spacing w:before="60" w:line="240" w:lineRule="atLeast"/>
      <w:jc w:val="center"/>
      <w:textAlignment w:val="baseline"/>
    </w:pPr>
    <w:rPr>
      <w:kern w:val="0"/>
      <w:szCs w:val="20"/>
    </w:rPr>
  </w:style>
  <w:style w:type="paragraph" w:customStyle="1" w:styleId="967">
    <w:name w:val="hb4 Char Char"/>
    <w:basedOn w:val="5"/>
    <w:semiHidden/>
    <w:qFormat/>
    <w:uiPriority w:val="0"/>
    <w:pPr>
      <w:topLinePunct/>
      <w:spacing w:beforeLines="50" w:afterLines="50" w:line="300" w:lineRule="exact"/>
    </w:pPr>
    <w:rPr>
      <w:rFonts w:ascii="宋体" w:hAnsi="宋体"/>
      <w:bCs w:val="0"/>
    </w:rPr>
  </w:style>
  <w:style w:type="paragraph" w:customStyle="1" w:styleId="968">
    <w:name w:val="xl184"/>
    <w:basedOn w:val="1"/>
    <w:semiHidden/>
    <w:qFormat/>
    <w:uiPriority w:val="0"/>
    <w:pPr>
      <w:widowControl/>
      <w:pBdr>
        <w:top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969">
    <w:name w:val="标题 4 + 四号"/>
    <w:basedOn w:val="4"/>
    <w:semiHidden/>
    <w:qFormat/>
    <w:uiPriority w:val="0"/>
    <w:pPr>
      <w:tabs>
        <w:tab w:val="left" w:pos="1440"/>
      </w:tabs>
      <w:ind w:left="720" w:hanging="720"/>
    </w:pPr>
    <w:rPr>
      <w:rFonts w:ascii="Calibri" w:hAnsi="Calibri"/>
      <w:kern w:val="0"/>
    </w:rPr>
  </w:style>
  <w:style w:type="paragraph" w:customStyle="1" w:styleId="970">
    <w:name w:val="Char Char1 Char Char Char Char"/>
    <w:basedOn w:val="1"/>
    <w:semiHidden/>
    <w:qFormat/>
    <w:uiPriority w:val="0"/>
    <w:rPr>
      <w:rFonts w:ascii="Calibri" w:hAnsi="Calibri" w:eastAsia="楷体_GB2312"/>
      <w:sz w:val="28"/>
      <w:szCs w:val="21"/>
    </w:rPr>
  </w:style>
  <w:style w:type="paragraph" w:customStyle="1" w:styleId="971">
    <w:name w:val="xl136"/>
    <w:basedOn w:val="1"/>
    <w:semiHidden/>
    <w:qFormat/>
    <w:uiPriority w:val="0"/>
    <w:pPr>
      <w:widowControl/>
      <w:pBdr>
        <w:lef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kern w:val="0"/>
      <w:sz w:val="20"/>
      <w:szCs w:val="20"/>
    </w:rPr>
  </w:style>
  <w:style w:type="paragraph" w:customStyle="1" w:styleId="97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973">
    <w:name w:val="List Number First"/>
    <w:basedOn w:val="19"/>
    <w:next w:val="19"/>
    <w:semiHidden/>
    <w:qFormat/>
    <w:uiPriority w:val="0"/>
    <w:pPr>
      <w:widowControl/>
      <w:tabs>
        <w:tab w:val="left" w:pos="973"/>
        <w:tab w:val="clear" w:pos="540"/>
      </w:tabs>
      <w:overflowPunct w:val="0"/>
      <w:autoSpaceDE w:val="0"/>
      <w:autoSpaceDN w:val="0"/>
      <w:adjustRightInd w:val="0"/>
      <w:spacing w:before="80" w:afterLines="100" w:line="360" w:lineRule="auto"/>
      <w:ind w:left="720" w:firstLine="200" w:firstLineChars="200"/>
      <w:textAlignment w:val="baseline"/>
    </w:pPr>
    <w:rPr>
      <w:rFonts w:ascii="Calibri" w:hAnsi="Calibri"/>
      <w:kern w:val="0"/>
      <w:sz w:val="20"/>
      <w:szCs w:val="20"/>
    </w:rPr>
  </w:style>
  <w:style w:type="paragraph" w:customStyle="1" w:styleId="974">
    <w:name w:val="16"/>
    <w:basedOn w:val="1"/>
    <w:semiHidden/>
    <w:qFormat/>
    <w:uiPriority w:val="0"/>
    <w:pPr>
      <w:widowControl/>
      <w:snapToGrid w:val="0"/>
      <w:spacing w:before="100" w:beforeAutospacing="1" w:after="100" w:afterAutospacing="1" w:line="440" w:lineRule="atLeast"/>
      <w:ind w:firstLine="420" w:firstLineChars="200"/>
    </w:pPr>
    <w:rPr>
      <w:rFonts w:ascii="Calibri" w:hAnsi="Calibri"/>
      <w:kern w:val="0"/>
      <w:sz w:val="24"/>
      <w:szCs w:val="20"/>
    </w:rPr>
  </w:style>
  <w:style w:type="paragraph" w:customStyle="1" w:styleId="975">
    <w:name w:val="List Bullet First"/>
    <w:basedOn w:val="23"/>
    <w:next w:val="23"/>
    <w:semiHidden/>
    <w:qFormat/>
    <w:uiPriority w:val="0"/>
    <w:pPr>
      <w:widowControl/>
      <w:overflowPunct w:val="0"/>
      <w:autoSpaceDE w:val="0"/>
      <w:autoSpaceDN w:val="0"/>
      <w:adjustRightInd w:val="0"/>
      <w:spacing w:before="80" w:afterLines="100" w:line="360" w:lineRule="auto"/>
      <w:ind w:left="720" w:firstLine="200" w:firstLineChars="200"/>
      <w:textAlignment w:val="baseline"/>
    </w:pPr>
    <w:rPr>
      <w:kern w:val="0"/>
      <w:sz w:val="20"/>
      <w:szCs w:val="20"/>
    </w:rPr>
  </w:style>
  <w:style w:type="paragraph" w:customStyle="1" w:styleId="976">
    <w:name w:val="Footer First"/>
    <w:basedOn w:val="54"/>
    <w:semiHidden/>
    <w:qFormat/>
    <w:uiPriority w:val="0"/>
    <w:pPr>
      <w:keepLines/>
      <w:widowControl/>
      <w:pBdr>
        <w:top w:val="single" w:color="auto" w:sz="8" w:space="1"/>
      </w:pBdr>
      <w:tabs>
        <w:tab w:val="center" w:pos="4320"/>
        <w:tab w:val="clear" w:pos="4153"/>
        <w:tab w:val="clear" w:pos="8306"/>
      </w:tabs>
      <w:overflowPunct w:val="0"/>
      <w:autoSpaceDE w:val="0"/>
      <w:autoSpaceDN w:val="0"/>
      <w:adjustRightInd w:val="0"/>
      <w:snapToGrid/>
      <w:ind w:firstLine="420" w:firstLineChars="200"/>
      <w:jc w:val="center"/>
      <w:textAlignment w:val="baseline"/>
    </w:pPr>
    <w:rPr>
      <w:rFonts w:ascii="Calibri" w:hAnsi="Calibri"/>
      <w:kern w:val="0"/>
      <w:sz w:val="20"/>
      <w:szCs w:val="20"/>
    </w:rPr>
  </w:style>
  <w:style w:type="paragraph" w:customStyle="1" w:styleId="977">
    <w:name w:val="标题 3 + Arial 小四 非加粗 段前: 0 磅 段后: 6 磅 行距: 固定值 22 磅"/>
    <w:basedOn w:val="4"/>
    <w:next w:val="1"/>
    <w:semiHidden/>
    <w:qFormat/>
    <w:uiPriority w:val="0"/>
    <w:pPr>
      <w:spacing w:before="0" w:line="440" w:lineRule="exact"/>
    </w:pPr>
    <w:rPr>
      <w:rFonts w:ascii="Arial" w:hAnsi="Arial"/>
      <w:b w:val="0"/>
      <w:bCs w:val="0"/>
      <w:kern w:val="0"/>
      <w:sz w:val="24"/>
      <w:szCs w:val="20"/>
    </w:rPr>
  </w:style>
  <w:style w:type="paragraph" w:customStyle="1" w:styleId="978">
    <w:name w:val="font18"/>
    <w:basedOn w:val="1"/>
    <w:semiHidden/>
    <w:qFormat/>
    <w:uiPriority w:val="0"/>
    <w:pPr>
      <w:widowControl/>
      <w:spacing w:before="100" w:beforeAutospacing="1" w:after="100" w:afterAutospacing="1"/>
      <w:jc w:val="left"/>
    </w:pPr>
    <w:rPr>
      <w:rFonts w:ascii="宋体" w:hAnsi="宋体" w:cs="宋体"/>
      <w:b/>
      <w:bCs/>
      <w:kern w:val="0"/>
      <w:sz w:val="22"/>
      <w:szCs w:val="22"/>
    </w:rPr>
  </w:style>
  <w:style w:type="paragraph" w:customStyle="1" w:styleId="979">
    <w:name w:val="Char Char Char Char Char Char Char Char Char Char Char Char Char2"/>
    <w:basedOn w:val="1"/>
    <w:next w:val="1"/>
    <w:semiHidden/>
    <w:qFormat/>
    <w:uiPriority w:val="0"/>
    <w:pPr>
      <w:adjustRightInd w:val="0"/>
      <w:spacing w:line="360" w:lineRule="auto"/>
      <w:ind w:firstLine="200" w:firstLineChars="200"/>
      <w:textAlignment w:val="baseline"/>
    </w:pPr>
    <w:rPr>
      <w:rFonts w:ascii="宋体" w:hAnsi="宋体" w:cs="宋体"/>
      <w:sz w:val="24"/>
      <w:szCs w:val="21"/>
    </w:rPr>
  </w:style>
  <w:style w:type="paragraph" w:customStyle="1" w:styleId="980">
    <w:name w:val="Char2"/>
    <w:basedOn w:val="1"/>
    <w:semiHidden/>
    <w:qFormat/>
    <w:uiPriority w:val="0"/>
    <w:rPr>
      <w:rFonts w:ascii="Calibri" w:hAnsi="Calibri"/>
      <w:szCs w:val="21"/>
    </w:rPr>
  </w:style>
  <w:style w:type="paragraph" w:customStyle="1" w:styleId="981">
    <w:name w:val="biaot"/>
    <w:basedOn w:val="1"/>
    <w:semiHidden/>
    <w:qFormat/>
    <w:uiPriority w:val="0"/>
    <w:pPr>
      <w:widowControl/>
      <w:spacing w:before="100" w:beforeAutospacing="1" w:after="100" w:afterAutospacing="1"/>
      <w:jc w:val="left"/>
    </w:pPr>
    <w:rPr>
      <w:rFonts w:ascii="宋体" w:hAnsi="宋体"/>
      <w:kern w:val="0"/>
      <w:sz w:val="24"/>
      <w:szCs w:val="21"/>
    </w:rPr>
  </w:style>
  <w:style w:type="paragraph" w:customStyle="1" w:styleId="982">
    <w:name w:val="CM55"/>
    <w:basedOn w:val="1"/>
    <w:next w:val="1"/>
    <w:semiHidden/>
    <w:qFormat/>
    <w:uiPriority w:val="0"/>
    <w:pPr>
      <w:autoSpaceDE w:val="0"/>
      <w:autoSpaceDN w:val="0"/>
      <w:adjustRightInd w:val="0"/>
      <w:spacing w:after="470"/>
      <w:jc w:val="left"/>
    </w:pPr>
    <w:rPr>
      <w:rFonts w:ascii="Calibri" w:hAnsi="Calibri"/>
      <w:sz w:val="24"/>
      <w:szCs w:val="21"/>
    </w:rPr>
  </w:style>
  <w:style w:type="paragraph" w:customStyle="1" w:styleId="983">
    <w:name w:val="二级标题"/>
    <w:basedOn w:val="1"/>
    <w:qFormat/>
    <w:uiPriority w:val="0"/>
    <w:pPr>
      <w:keepNext/>
      <w:spacing w:line="360" w:lineRule="auto"/>
      <w:outlineLvl w:val="1"/>
    </w:pPr>
    <w:rPr>
      <w:b/>
      <w:sz w:val="32"/>
      <w:szCs w:val="32"/>
    </w:rPr>
  </w:style>
  <w:style w:type="paragraph" w:customStyle="1" w:styleId="984">
    <w:name w:val="CM64"/>
    <w:basedOn w:val="1"/>
    <w:next w:val="1"/>
    <w:semiHidden/>
    <w:qFormat/>
    <w:uiPriority w:val="0"/>
    <w:pPr>
      <w:autoSpaceDE w:val="0"/>
      <w:autoSpaceDN w:val="0"/>
      <w:adjustRightInd w:val="0"/>
      <w:spacing w:after="5355"/>
      <w:jc w:val="left"/>
    </w:pPr>
    <w:rPr>
      <w:rFonts w:ascii="Calibri" w:hAnsi="Calibri"/>
      <w:sz w:val="24"/>
      <w:szCs w:val="21"/>
    </w:rPr>
  </w:style>
  <w:style w:type="paragraph" w:customStyle="1" w:styleId="985">
    <w:name w:val="M"/>
    <w:basedOn w:val="2"/>
    <w:semiHidden/>
    <w:qFormat/>
    <w:uiPriority w:val="0"/>
    <w:pPr>
      <w:keepLines w:val="0"/>
      <w:widowControl/>
      <w:tabs>
        <w:tab w:val="left" w:pos="720"/>
        <w:tab w:val="left" w:pos="1020"/>
        <w:tab w:val="left" w:pos="2260"/>
        <w:tab w:val="left" w:pos="2820"/>
        <w:tab w:val="left" w:pos="3420"/>
      </w:tabs>
      <w:spacing w:before="440" w:line="240" w:lineRule="auto"/>
      <w:ind w:left="851" w:right="-28" w:hanging="851"/>
      <w:jc w:val="center"/>
    </w:pPr>
    <w:rPr>
      <w:rFonts w:ascii="Arial" w:hAnsi="Arial"/>
      <w:b w:val="0"/>
      <w:bCs w:val="0"/>
      <w:kern w:val="0"/>
      <w:sz w:val="22"/>
      <w:szCs w:val="20"/>
      <w:lang w:val="en-GB"/>
    </w:rPr>
  </w:style>
  <w:style w:type="paragraph" w:customStyle="1" w:styleId="986">
    <w:name w:val="xl85"/>
    <w:basedOn w:val="1"/>
    <w:semiHidden/>
    <w:qFormat/>
    <w:uiPriority w:val="0"/>
    <w:pPr>
      <w:widowControl/>
      <w:spacing w:before="100" w:beforeAutospacing="1" w:after="100" w:afterAutospacing="1" w:line="360" w:lineRule="auto"/>
      <w:ind w:firstLine="420" w:firstLineChars="200"/>
      <w:textAlignment w:val="top"/>
    </w:pPr>
    <w:rPr>
      <w:rFonts w:ascii="Calibri" w:hAnsi="Calibri"/>
      <w:color w:val="000000"/>
      <w:kern w:val="0"/>
      <w:sz w:val="24"/>
      <w:szCs w:val="21"/>
    </w:rPr>
  </w:style>
  <w:style w:type="paragraph" w:customStyle="1" w:styleId="987">
    <w:name w:val="基准页脚样式"/>
    <w:basedOn w:val="33"/>
    <w:semiHidden/>
    <w:qFormat/>
    <w:uiPriority w:val="0"/>
    <w:pPr>
      <w:spacing w:after="0" w:line="320" w:lineRule="exact"/>
      <w:jc w:val="center"/>
    </w:pPr>
    <w:rPr>
      <w:rFonts w:ascii="宋体" w:hAnsi="Calibri"/>
      <w:sz w:val="18"/>
    </w:rPr>
  </w:style>
  <w:style w:type="paragraph" w:customStyle="1" w:styleId="988">
    <w:name w:val="Char Char1 Char Char Char Char1"/>
    <w:basedOn w:val="1"/>
    <w:semiHidden/>
    <w:qFormat/>
    <w:uiPriority w:val="0"/>
    <w:rPr>
      <w:rFonts w:ascii="Calibri" w:hAnsi="Calibri" w:eastAsia="楷体_GB2312"/>
      <w:sz w:val="28"/>
      <w:szCs w:val="21"/>
    </w:rPr>
  </w:style>
  <w:style w:type="paragraph" w:customStyle="1" w:styleId="989">
    <w:name w:val="xl131"/>
    <w:basedOn w:val="1"/>
    <w:semiHidden/>
    <w:qFormat/>
    <w:uiPriority w:val="0"/>
    <w:pPr>
      <w:widowControl/>
      <w:pBdr>
        <w:top w:val="single" w:color="auto" w:sz="4" w:space="0"/>
        <w:bottom w:val="single" w:color="auto" w:sz="4" w:space="0"/>
      </w:pBdr>
      <w:spacing w:before="100" w:beforeAutospacing="1" w:after="100" w:afterAutospacing="1" w:line="360" w:lineRule="auto"/>
      <w:jc w:val="left"/>
    </w:pPr>
    <w:rPr>
      <w:rFonts w:ascii="Arial Unicode MS" w:hAnsi="Arial Unicode MS" w:eastAsia="Arial Unicode MS" w:cs="Arial Unicode MS"/>
      <w:kern w:val="0"/>
      <w:sz w:val="24"/>
      <w:szCs w:val="21"/>
    </w:rPr>
  </w:style>
  <w:style w:type="paragraph" w:customStyle="1" w:styleId="990">
    <w:name w:val="m4"/>
    <w:basedOn w:val="1"/>
    <w:semiHidden/>
    <w:qFormat/>
    <w:uiPriority w:val="0"/>
    <w:pPr>
      <w:widowControl/>
      <w:spacing w:before="100" w:beforeAutospacing="1" w:after="100" w:afterAutospacing="1" w:line="280" w:lineRule="atLeast"/>
      <w:jc w:val="left"/>
    </w:pPr>
    <w:rPr>
      <w:rFonts w:ascii="宋体" w:hAnsi="宋体"/>
      <w:b/>
      <w:bCs/>
      <w:color w:val="000000"/>
      <w:kern w:val="0"/>
      <w:sz w:val="28"/>
      <w:szCs w:val="28"/>
    </w:rPr>
  </w:style>
  <w:style w:type="paragraph" w:customStyle="1" w:styleId="991">
    <w:name w:val="a3"/>
    <w:basedOn w:val="1"/>
    <w:semiHidden/>
    <w:qFormat/>
    <w:uiPriority w:val="0"/>
    <w:pPr>
      <w:widowControl/>
      <w:spacing w:before="100" w:beforeAutospacing="1" w:after="100" w:afterAutospacing="1" w:line="360" w:lineRule="auto"/>
      <w:ind w:firstLine="420" w:firstLineChars="200"/>
    </w:pPr>
    <w:rPr>
      <w:rFonts w:ascii="宋体" w:hAnsi="宋体"/>
      <w:color w:val="000000"/>
      <w:kern w:val="0"/>
      <w:sz w:val="24"/>
      <w:szCs w:val="21"/>
    </w:rPr>
  </w:style>
  <w:style w:type="paragraph" w:customStyle="1" w:styleId="992">
    <w:name w:val="Char Char1 Char Char Char Char Char Char"/>
    <w:basedOn w:val="1"/>
    <w:semiHidden/>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993">
    <w:name w:val="CM44"/>
    <w:basedOn w:val="1"/>
    <w:next w:val="1"/>
    <w:semiHidden/>
    <w:qFormat/>
    <w:uiPriority w:val="0"/>
    <w:pPr>
      <w:autoSpaceDE w:val="0"/>
      <w:autoSpaceDN w:val="0"/>
      <w:adjustRightInd w:val="0"/>
      <w:jc w:val="left"/>
    </w:pPr>
    <w:rPr>
      <w:rFonts w:ascii="Calibri" w:hAnsi="Calibri"/>
      <w:sz w:val="24"/>
      <w:szCs w:val="21"/>
    </w:rPr>
  </w:style>
  <w:style w:type="paragraph" w:customStyle="1" w:styleId="994">
    <w:name w:val="m5"/>
    <w:basedOn w:val="1"/>
    <w:semiHidden/>
    <w:qFormat/>
    <w:uiPriority w:val="0"/>
    <w:pPr>
      <w:widowControl/>
      <w:spacing w:before="100" w:beforeAutospacing="1" w:after="100" w:afterAutospacing="1" w:line="280" w:lineRule="atLeast"/>
      <w:jc w:val="left"/>
    </w:pPr>
    <w:rPr>
      <w:rFonts w:ascii="宋体" w:hAnsi="宋体"/>
      <w:color w:val="000000"/>
      <w:kern w:val="0"/>
      <w:sz w:val="26"/>
      <w:szCs w:val="26"/>
    </w:rPr>
  </w:style>
  <w:style w:type="paragraph" w:customStyle="1" w:styleId="995">
    <w:name w:val="xl185"/>
    <w:basedOn w:val="1"/>
    <w:semiHidden/>
    <w:qFormat/>
    <w:uiPriority w:val="0"/>
    <w:pPr>
      <w:widowControl/>
      <w:pBdr>
        <w:right w:val="single" w:color="auto" w:sz="4" w:space="0"/>
      </w:pBdr>
      <w:spacing w:before="100" w:beforeAutospacing="1" w:after="100" w:afterAutospacing="1" w:line="360" w:lineRule="auto"/>
      <w:jc w:val="left"/>
      <w:textAlignment w:val="center"/>
    </w:pPr>
    <w:rPr>
      <w:rFonts w:ascii="Arial Unicode MS" w:hAnsi="Arial Unicode MS"/>
      <w:color w:val="000000"/>
      <w:kern w:val="0"/>
      <w:sz w:val="20"/>
      <w:szCs w:val="20"/>
    </w:rPr>
  </w:style>
  <w:style w:type="paragraph" w:customStyle="1" w:styleId="996">
    <w:name w:val="MFS正文 Char"/>
    <w:basedOn w:val="85"/>
    <w:semiHidden/>
    <w:qFormat/>
    <w:uiPriority w:val="0"/>
    <w:pPr>
      <w:adjustRightInd w:val="0"/>
      <w:snapToGrid w:val="0"/>
      <w:spacing w:before="93" w:afterLines="100"/>
    </w:pPr>
    <w:rPr>
      <w:rFonts w:ascii="宋体" w:hAnsi="宋体" w:eastAsia="楷体_GB2312"/>
      <w:kern w:val="32"/>
    </w:rPr>
  </w:style>
  <w:style w:type="paragraph" w:customStyle="1" w:styleId="997">
    <w:name w:val="CM56"/>
    <w:basedOn w:val="1"/>
    <w:next w:val="1"/>
    <w:semiHidden/>
    <w:qFormat/>
    <w:uiPriority w:val="0"/>
    <w:pPr>
      <w:autoSpaceDE w:val="0"/>
      <w:autoSpaceDN w:val="0"/>
      <w:adjustRightInd w:val="0"/>
      <w:spacing w:after="598"/>
      <w:jc w:val="left"/>
    </w:pPr>
    <w:rPr>
      <w:rFonts w:ascii="Calibri" w:hAnsi="Calibri"/>
      <w:sz w:val="24"/>
      <w:szCs w:val="21"/>
    </w:rPr>
  </w:style>
  <w:style w:type="paragraph" w:customStyle="1" w:styleId="998">
    <w:name w:val="font5"/>
    <w:basedOn w:val="1"/>
    <w:semiHidden/>
    <w:qFormat/>
    <w:uiPriority w:val="0"/>
    <w:pPr>
      <w:widowControl/>
      <w:spacing w:before="100" w:beforeAutospacing="1" w:after="100" w:afterAutospacing="1"/>
      <w:ind w:firstLine="200" w:firstLineChars="200"/>
      <w:jc w:val="left"/>
    </w:pPr>
    <w:rPr>
      <w:rFonts w:ascii="宋体" w:hAnsi="宋体" w:eastAsia="汉鼎简书宋" w:cs="宋体"/>
      <w:kern w:val="0"/>
      <w:sz w:val="18"/>
      <w:szCs w:val="18"/>
    </w:rPr>
  </w:style>
  <w:style w:type="paragraph" w:customStyle="1" w:styleId="999">
    <w:name w:val="样式 Arial 首行缩进:  1.01 厘米 行距: 最小值 20 磅"/>
    <w:basedOn w:val="1"/>
    <w:semiHidden/>
    <w:qFormat/>
    <w:uiPriority w:val="0"/>
    <w:pPr>
      <w:spacing w:line="400" w:lineRule="atLeast"/>
    </w:pPr>
    <w:rPr>
      <w:rFonts w:ascii="Arial" w:hAnsi="Arial"/>
      <w:sz w:val="24"/>
      <w:szCs w:val="20"/>
    </w:rPr>
  </w:style>
  <w:style w:type="paragraph" w:customStyle="1" w:styleId="1000">
    <w:name w:val="Char Char1 Char Char Char Char Char Char Char"/>
    <w:basedOn w:val="1"/>
    <w:next w:val="1"/>
    <w:qFormat/>
    <w:uiPriority w:val="0"/>
    <w:pPr>
      <w:spacing w:line="360" w:lineRule="auto"/>
      <w:ind w:firstLine="200" w:firstLineChars="200"/>
    </w:pPr>
    <w:rPr>
      <w:rFonts w:ascii="宋体" w:hAnsi="宋体" w:cs="宋体"/>
      <w:sz w:val="24"/>
    </w:rPr>
  </w:style>
  <w:style w:type="paragraph" w:customStyle="1" w:styleId="1001">
    <w:name w:val="MG"/>
    <w:basedOn w:val="2"/>
    <w:semiHidden/>
    <w:qFormat/>
    <w:uiPriority w:val="0"/>
    <w:pPr>
      <w:keepLines w:val="0"/>
      <w:widowControl/>
      <w:tabs>
        <w:tab w:val="left" w:pos="720"/>
        <w:tab w:val="left" w:pos="1020"/>
        <w:tab w:val="left" w:pos="2260"/>
        <w:tab w:val="left" w:pos="2820"/>
        <w:tab w:val="left" w:pos="3420"/>
      </w:tabs>
      <w:spacing w:before="440" w:line="240" w:lineRule="auto"/>
      <w:ind w:left="851" w:right="-28" w:hanging="851"/>
      <w:jc w:val="center"/>
    </w:pPr>
    <w:rPr>
      <w:rFonts w:ascii="Arial" w:hAnsi="Arial"/>
      <w:bCs w:val="0"/>
      <w:kern w:val="0"/>
      <w:sz w:val="22"/>
      <w:szCs w:val="20"/>
      <w:lang w:val="en-GB"/>
    </w:rPr>
  </w:style>
  <w:style w:type="paragraph" w:customStyle="1" w:styleId="1002">
    <w:name w:val="List Bullet 1"/>
    <w:semiHidden/>
    <w:qFormat/>
    <w:uiPriority w:val="0"/>
    <w:pPr>
      <w:adjustRightInd w:val="0"/>
      <w:ind w:left="1135" w:right="567" w:hanging="284"/>
      <w:textAlignment w:val="baseline"/>
    </w:pPr>
    <w:rPr>
      <w:rFonts w:ascii="Arial" w:hAnsi="Arial" w:eastAsia="宋体" w:cs="Times New Roman"/>
      <w:kern w:val="2"/>
      <w:sz w:val="21"/>
      <w:szCs w:val="21"/>
      <w:lang w:val="en-US" w:eastAsia="zh-CN" w:bidi="ar-SA"/>
    </w:rPr>
  </w:style>
  <w:style w:type="paragraph" w:customStyle="1" w:styleId="1003">
    <w:name w:val="标题 #4"/>
    <w:basedOn w:val="1"/>
    <w:semiHidden/>
    <w:qFormat/>
    <w:uiPriority w:val="0"/>
    <w:pPr>
      <w:widowControl/>
      <w:shd w:val="clear" w:color="auto" w:fill="FFFFFF"/>
      <w:spacing w:line="552" w:lineRule="exact"/>
      <w:jc w:val="distribute"/>
      <w:outlineLvl w:val="3"/>
    </w:pPr>
    <w:rPr>
      <w:rFonts w:ascii="Arial Unicode MS" w:hAnsi="Calibri" w:eastAsia="Arial Unicode MS"/>
      <w:kern w:val="0"/>
      <w:sz w:val="27"/>
      <w:szCs w:val="27"/>
      <w:shd w:val="clear" w:color="auto" w:fill="FFFFFF"/>
    </w:rPr>
  </w:style>
  <w:style w:type="paragraph" w:customStyle="1" w:styleId="1004">
    <w:name w:val="3级标题"/>
    <w:basedOn w:val="1"/>
    <w:semiHidden/>
    <w:qFormat/>
    <w:uiPriority w:val="0"/>
    <w:pPr>
      <w:spacing w:before="300" w:line="460" w:lineRule="exact"/>
      <w:ind w:firstLine="420" w:firstLineChars="200"/>
      <w:outlineLvl w:val="2"/>
    </w:pPr>
    <w:rPr>
      <w:rFonts w:ascii="Arial" w:hAnsi="Arial"/>
      <w:b/>
      <w:bCs/>
      <w:sz w:val="24"/>
      <w:szCs w:val="28"/>
    </w:rPr>
  </w:style>
  <w:style w:type="paragraph" w:customStyle="1" w:styleId="1005">
    <w:name w:val="1）"/>
    <w:basedOn w:val="1"/>
    <w:semiHidden/>
    <w:qFormat/>
    <w:uiPriority w:val="0"/>
    <w:pPr>
      <w:spacing w:line="440" w:lineRule="exact"/>
      <w:ind w:firstLine="454"/>
    </w:pPr>
    <w:rPr>
      <w:rFonts w:ascii="宋体" w:hAnsi="Calibri"/>
      <w:sz w:val="24"/>
      <w:szCs w:val="21"/>
    </w:rPr>
  </w:style>
  <w:style w:type="paragraph" w:customStyle="1" w:styleId="1006">
    <w:name w:val="BG1"/>
    <w:basedOn w:val="1"/>
    <w:semiHidden/>
    <w:qFormat/>
    <w:uiPriority w:val="0"/>
    <w:pPr>
      <w:spacing w:line="320" w:lineRule="exact"/>
      <w:jc w:val="center"/>
    </w:pPr>
    <w:rPr>
      <w:rFonts w:ascii="宋体" w:hAnsi="宋体"/>
      <w:color w:val="0000FF"/>
      <w:sz w:val="24"/>
      <w:szCs w:val="21"/>
    </w:rPr>
  </w:style>
  <w:style w:type="paragraph" w:customStyle="1" w:styleId="1007">
    <w:name w:val="Char Char Char Char Char Char1 Char2"/>
    <w:basedOn w:val="1"/>
    <w:semiHidden/>
    <w:qFormat/>
    <w:uiPriority w:val="0"/>
    <w:rPr>
      <w:rFonts w:ascii="Calibri" w:hAnsi="Calibri"/>
      <w:szCs w:val="21"/>
    </w:rPr>
  </w:style>
  <w:style w:type="paragraph" w:customStyle="1" w:styleId="1008">
    <w:name w:val="Char Char Char Char Char Char Char Char Char Char"/>
    <w:basedOn w:val="1"/>
    <w:next w:val="1"/>
    <w:semiHidden/>
    <w:qFormat/>
    <w:uiPriority w:val="0"/>
    <w:pPr>
      <w:keepNext/>
      <w:spacing w:afterLines="50" w:line="360" w:lineRule="auto"/>
      <w:jc w:val="left"/>
      <w:outlineLvl w:val="1"/>
    </w:pPr>
    <w:rPr>
      <w:rFonts w:ascii="Calibri" w:hAnsi="Calibri" w:cs="宋体"/>
      <w:b/>
      <w:sz w:val="30"/>
      <w:szCs w:val="30"/>
    </w:rPr>
  </w:style>
  <w:style w:type="paragraph" w:customStyle="1" w:styleId="1009">
    <w:name w:val="Footnote Base"/>
    <w:basedOn w:val="1"/>
    <w:semiHidden/>
    <w:qFormat/>
    <w:uiPriority w:val="0"/>
    <w:pPr>
      <w:widowControl/>
      <w:tabs>
        <w:tab w:val="left" w:pos="187"/>
      </w:tabs>
      <w:overflowPunct w:val="0"/>
      <w:autoSpaceDE w:val="0"/>
      <w:autoSpaceDN w:val="0"/>
      <w:adjustRightInd w:val="0"/>
      <w:spacing w:line="220" w:lineRule="exact"/>
      <w:ind w:left="187" w:hanging="187" w:firstLineChars="200"/>
      <w:textAlignment w:val="baseline"/>
    </w:pPr>
    <w:rPr>
      <w:rFonts w:ascii="Calibri" w:hAnsi="Calibri"/>
      <w:kern w:val="0"/>
      <w:sz w:val="18"/>
      <w:szCs w:val="20"/>
    </w:rPr>
  </w:style>
  <w:style w:type="paragraph" w:customStyle="1" w:styleId="1010">
    <w:name w:val="Char4"/>
    <w:basedOn w:val="1"/>
    <w:semiHidden/>
    <w:qFormat/>
    <w:uiPriority w:val="0"/>
    <w:pPr>
      <w:widowControl/>
      <w:spacing w:after="160" w:line="240" w:lineRule="exact"/>
      <w:jc w:val="left"/>
    </w:pPr>
    <w:rPr>
      <w:rFonts w:ascii="Tahoma" w:hAnsi="Tahoma"/>
      <w:sz w:val="24"/>
      <w:szCs w:val="20"/>
    </w:rPr>
  </w:style>
  <w:style w:type="paragraph" w:customStyle="1" w:styleId="1011">
    <w:name w:val="Char4 Char Char Char"/>
    <w:basedOn w:val="1"/>
    <w:semiHidden/>
    <w:qFormat/>
    <w:uiPriority w:val="0"/>
    <w:rPr>
      <w:rFonts w:ascii="Calibri" w:hAnsi="Calibri"/>
      <w:szCs w:val="21"/>
    </w:rPr>
  </w:style>
  <w:style w:type="paragraph" w:customStyle="1" w:styleId="1012">
    <w:name w:val="xl39"/>
    <w:basedOn w:val="1"/>
    <w:semiHidden/>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013">
    <w:name w:val="Char Char Char1 Char Char Char Char Char Char Char Char Char Char1"/>
    <w:basedOn w:val="1"/>
    <w:semiHidden/>
    <w:qFormat/>
    <w:uiPriority w:val="0"/>
    <w:rPr>
      <w:rFonts w:ascii="Calibri" w:hAnsi="Calibri"/>
      <w:szCs w:val="21"/>
    </w:rPr>
  </w:style>
  <w:style w:type="paragraph" w:customStyle="1" w:styleId="1014">
    <w:name w:val="基准篇眉"/>
    <w:basedOn w:val="1"/>
    <w:semiHidden/>
    <w:qFormat/>
    <w:uiPriority w:val="0"/>
    <w:pPr>
      <w:keepLines/>
      <w:widowControl/>
      <w:tabs>
        <w:tab w:val="center" w:pos="7200"/>
        <w:tab w:val="right" w:pos="14400"/>
      </w:tabs>
      <w:overflowPunct w:val="0"/>
      <w:autoSpaceDE w:val="0"/>
      <w:autoSpaceDN w:val="0"/>
      <w:adjustRightInd w:val="0"/>
      <w:jc w:val="center"/>
      <w:textAlignment w:val="baseline"/>
    </w:pPr>
    <w:rPr>
      <w:rFonts w:ascii="Calibri" w:hAnsi="Calibri"/>
      <w:spacing w:val="80"/>
      <w:sz w:val="20"/>
      <w:szCs w:val="20"/>
    </w:rPr>
  </w:style>
  <w:style w:type="paragraph" w:customStyle="1" w:styleId="1015">
    <w:name w:val="xl37"/>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textAlignment w:val="center"/>
    </w:pPr>
    <w:rPr>
      <w:rFonts w:ascii="Calibri" w:hAnsi="Calibri" w:eastAsia="汉鼎简书宋"/>
      <w:kern w:val="0"/>
      <w:sz w:val="20"/>
      <w:szCs w:val="20"/>
    </w:rPr>
  </w:style>
  <w:style w:type="paragraph" w:customStyle="1" w:styleId="1016">
    <w:name w:val="0"/>
    <w:basedOn w:val="1"/>
    <w:semiHidden/>
    <w:qFormat/>
    <w:uiPriority w:val="0"/>
    <w:pPr>
      <w:widowControl/>
      <w:snapToGrid w:val="0"/>
      <w:spacing w:line="365" w:lineRule="atLeast"/>
      <w:ind w:left="1"/>
      <w:textAlignment w:val="bottom"/>
    </w:pPr>
    <w:rPr>
      <w:rFonts w:ascii="Calibri" w:hAnsi="Calibri"/>
      <w:kern w:val="0"/>
      <w:sz w:val="20"/>
      <w:szCs w:val="20"/>
    </w:rPr>
  </w:style>
  <w:style w:type="paragraph" w:customStyle="1" w:styleId="1017">
    <w:name w:val="a9"/>
    <w:basedOn w:val="1"/>
    <w:semiHidden/>
    <w:qFormat/>
    <w:uiPriority w:val="0"/>
    <w:pPr>
      <w:widowControl/>
      <w:spacing w:before="100" w:beforeAutospacing="1" w:after="100" w:afterAutospacing="1"/>
      <w:jc w:val="left"/>
    </w:pPr>
    <w:rPr>
      <w:rFonts w:ascii="宋体" w:hAnsi="宋体"/>
      <w:kern w:val="0"/>
      <w:sz w:val="24"/>
      <w:szCs w:val="20"/>
    </w:rPr>
  </w:style>
  <w:style w:type="paragraph" w:customStyle="1" w:styleId="1018">
    <w:name w:val="xl116"/>
    <w:basedOn w:val="1"/>
    <w:semiHidden/>
    <w:qFormat/>
    <w:uiPriority w:val="0"/>
    <w:pPr>
      <w:widowControl/>
      <w:pBdr>
        <w:left w:val="single" w:color="auto" w:sz="8" w:space="0"/>
      </w:pBdr>
      <w:spacing w:before="100" w:beforeAutospacing="1" w:after="100" w:afterAutospacing="1" w:line="360" w:lineRule="auto"/>
      <w:ind w:firstLine="420" w:firstLineChars="200"/>
      <w:jc w:val="center"/>
      <w:textAlignment w:val="top"/>
    </w:pPr>
    <w:rPr>
      <w:rFonts w:ascii="Calibri" w:hAnsi="Calibri"/>
      <w:color w:val="000000"/>
      <w:kern w:val="0"/>
      <w:sz w:val="24"/>
      <w:szCs w:val="21"/>
    </w:rPr>
  </w:style>
  <w:style w:type="paragraph" w:customStyle="1" w:styleId="1019">
    <w:name w:val="标题 #2 (3)"/>
    <w:basedOn w:val="1"/>
    <w:semiHidden/>
    <w:qFormat/>
    <w:uiPriority w:val="0"/>
    <w:pPr>
      <w:widowControl/>
      <w:shd w:val="clear" w:color="auto" w:fill="FFFFFF"/>
      <w:spacing w:after="540" w:line="240" w:lineRule="atLeast"/>
      <w:jc w:val="left"/>
      <w:outlineLvl w:val="1"/>
    </w:pPr>
    <w:rPr>
      <w:rFonts w:ascii="黑体" w:hAnsi="Calibri" w:eastAsia="黑体"/>
      <w:kern w:val="0"/>
      <w:sz w:val="32"/>
      <w:szCs w:val="32"/>
      <w:shd w:val="clear" w:color="auto" w:fill="FFFFFF"/>
    </w:rPr>
  </w:style>
  <w:style w:type="paragraph" w:customStyle="1" w:styleId="1020">
    <w:name w:val="Char1 Char Char Char"/>
    <w:basedOn w:val="1"/>
    <w:semiHidden/>
    <w:qFormat/>
    <w:uiPriority w:val="0"/>
    <w:pPr>
      <w:spacing w:line="360" w:lineRule="auto"/>
      <w:ind w:firstLine="200" w:firstLineChars="200"/>
    </w:pPr>
    <w:rPr>
      <w:rFonts w:ascii="宋体" w:hAnsi="宋体" w:cs="宋体"/>
      <w:sz w:val="24"/>
      <w:szCs w:val="21"/>
    </w:rPr>
  </w:style>
  <w:style w:type="paragraph" w:customStyle="1" w:styleId="1021">
    <w:name w:val="样式17"/>
    <w:basedOn w:val="886"/>
    <w:qFormat/>
    <w:uiPriority w:val="0"/>
    <w:pPr>
      <w:ind w:left="0" w:leftChars="0" w:right="0" w:rightChars="0"/>
    </w:pPr>
    <w:rPr>
      <w:sz w:val="21"/>
      <w:szCs w:val="21"/>
    </w:rPr>
  </w:style>
  <w:style w:type="paragraph" w:customStyle="1" w:styleId="1022">
    <w:name w:val="CM61"/>
    <w:basedOn w:val="1"/>
    <w:next w:val="1"/>
    <w:semiHidden/>
    <w:qFormat/>
    <w:uiPriority w:val="0"/>
    <w:pPr>
      <w:autoSpaceDE w:val="0"/>
      <w:autoSpaceDN w:val="0"/>
      <w:adjustRightInd w:val="0"/>
      <w:spacing w:after="68"/>
      <w:jc w:val="left"/>
    </w:pPr>
    <w:rPr>
      <w:rFonts w:ascii="Calibri" w:hAnsi="Calibri"/>
      <w:sz w:val="24"/>
      <w:szCs w:val="21"/>
    </w:rPr>
  </w:style>
  <w:style w:type="paragraph" w:customStyle="1" w:styleId="1023">
    <w:name w:val="CM6"/>
    <w:basedOn w:val="1"/>
    <w:next w:val="1"/>
    <w:semiHidden/>
    <w:qFormat/>
    <w:uiPriority w:val="0"/>
    <w:pPr>
      <w:autoSpaceDE w:val="0"/>
      <w:autoSpaceDN w:val="0"/>
      <w:adjustRightInd w:val="0"/>
      <w:spacing w:line="460" w:lineRule="atLeast"/>
      <w:jc w:val="left"/>
    </w:pPr>
    <w:rPr>
      <w:rFonts w:ascii="Calibri" w:hAnsi="Calibri"/>
      <w:sz w:val="24"/>
      <w:szCs w:val="21"/>
    </w:rPr>
  </w:style>
  <w:style w:type="paragraph" w:customStyle="1" w:styleId="1024">
    <w:name w:val="标题 32"/>
    <w:basedOn w:val="972"/>
    <w:next w:val="972"/>
    <w:semiHidden/>
    <w:qFormat/>
    <w:uiPriority w:val="0"/>
    <w:rPr>
      <w:rFonts w:ascii="Arial,Bold" w:hAnsi="Arial,Bold" w:cs="Times New Roman"/>
      <w:color w:val="auto"/>
      <w:kern w:val="2"/>
      <w:sz w:val="21"/>
    </w:rPr>
  </w:style>
  <w:style w:type="paragraph" w:customStyle="1" w:styleId="1025">
    <w:name w:val="xl89"/>
    <w:basedOn w:val="1"/>
    <w:semiHidden/>
    <w:qFormat/>
    <w:uiPriority w:val="0"/>
    <w:pPr>
      <w:widowControl/>
      <w:pBdr>
        <w:left w:val="single" w:color="auto" w:sz="8" w:space="0"/>
        <w:right w:val="single" w:color="auto" w:sz="8" w:space="0"/>
      </w:pBdr>
      <w:spacing w:before="100" w:beforeAutospacing="1" w:after="100" w:afterAutospacing="1" w:line="360" w:lineRule="auto"/>
      <w:ind w:firstLine="420" w:firstLineChars="200"/>
    </w:pPr>
    <w:rPr>
      <w:rFonts w:ascii="宋体" w:hAnsi="宋体" w:cs="宋体"/>
      <w:color w:val="000000"/>
      <w:kern w:val="0"/>
      <w:sz w:val="24"/>
      <w:szCs w:val="21"/>
    </w:rPr>
  </w:style>
  <w:style w:type="paragraph" w:customStyle="1" w:styleId="1026">
    <w:name w:val="Char Char Char1 Char Char Char"/>
    <w:basedOn w:val="1"/>
    <w:semiHidden/>
    <w:qFormat/>
    <w:uiPriority w:val="0"/>
    <w:pPr>
      <w:spacing w:line="360" w:lineRule="auto"/>
      <w:ind w:firstLine="420" w:firstLineChars="200"/>
    </w:pPr>
    <w:rPr>
      <w:rFonts w:ascii="Calibri" w:hAnsi="Calibri"/>
      <w:sz w:val="24"/>
      <w:szCs w:val="20"/>
    </w:rPr>
  </w:style>
  <w:style w:type="paragraph" w:customStyle="1" w:styleId="1027">
    <w:name w:val="Char Char Char Char Char Char Char Char1"/>
    <w:basedOn w:val="1"/>
    <w:next w:val="1"/>
    <w:semiHidden/>
    <w:qFormat/>
    <w:uiPriority w:val="0"/>
    <w:pPr>
      <w:spacing w:line="336" w:lineRule="auto"/>
      <w:ind w:firstLine="200" w:firstLineChars="200"/>
    </w:pPr>
    <w:rPr>
      <w:rFonts w:ascii="宋体" w:hAnsi="宋体" w:eastAsia="汉鼎简书宋"/>
      <w:spacing w:val="4"/>
      <w:sz w:val="24"/>
      <w:szCs w:val="20"/>
    </w:rPr>
  </w:style>
  <w:style w:type="paragraph" w:customStyle="1" w:styleId="1028">
    <w:name w:val="Char Char Char Char Char Char Char Char Char Char Char Char Char"/>
    <w:basedOn w:val="1"/>
    <w:semiHidden/>
    <w:qFormat/>
    <w:uiPriority w:val="0"/>
    <w:pPr>
      <w:spacing w:line="360" w:lineRule="auto"/>
      <w:ind w:firstLine="200" w:firstLineChars="200"/>
    </w:pPr>
    <w:rPr>
      <w:rFonts w:ascii="宋体" w:hAnsi="宋体" w:cs="宋体"/>
      <w:sz w:val="26"/>
      <w:szCs w:val="26"/>
    </w:rPr>
  </w:style>
  <w:style w:type="paragraph" w:customStyle="1" w:styleId="1029">
    <w:name w:val="AFTERTITLE"/>
    <w:basedOn w:val="1"/>
    <w:semiHidden/>
    <w:qFormat/>
    <w:uiPriority w:val="0"/>
    <w:pPr>
      <w:widowControl/>
      <w:spacing w:afterLines="25" w:line="360" w:lineRule="atLeast"/>
      <w:ind w:firstLine="200" w:firstLineChars="200"/>
      <w:jc w:val="center"/>
    </w:pPr>
    <w:rPr>
      <w:rFonts w:ascii="Calibri" w:hAnsi="Calibri"/>
      <w:b/>
      <w:caps/>
      <w:kern w:val="0"/>
      <w:sz w:val="24"/>
      <w:szCs w:val="20"/>
      <w:lang w:val="fr-FR"/>
    </w:rPr>
  </w:style>
  <w:style w:type="paragraph" w:customStyle="1" w:styleId="1030">
    <w:name w:val="杨2"/>
    <w:basedOn w:val="1"/>
    <w:next w:val="1"/>
    <w:semiHidden/>
    <w:qFormat/>
    <w:uiPriority w:val="0"/>
    <w:pPr>
      <w:keepNext/>
      <w:keepLines/>
      <w:spacing w:before="120" w:afterLines="100"/>
      <w:outlineLvl w:val="1"/>
    </w:pPr>
    <w:rPr>
      <w:rFonts w:ascii="黑体" w:hAnsi="Arial" w:eastAsia="黑体"/>
      <w:b/>
      <w:bCs/>
      <w:sz w:val="24"/>
      <w:szCs w:val="21"/>
    </w:rPr>
  </w:style>
  <w:style w:type="paragraph" w:customStyle="1" w:styleId="1031">
    <w:name w:val="Char Char Char1 Char Char Char Char1"/>
    <w:basedOn w:val="1"/>
    <w:next w:val="1"/>
    <w:semiHidden/>
    <w:qFormat/>
    <w:uiPriority w:val="0"/>
    <w:pPr>
      <w:spacing w:line="360" w:lineRule="auto"/>
      <w:ind w:firstLine="200" w:firstLineChars="200"/>
    </w:pPr>
    <w:rPr>
      <w:rFonts w:ascii="宋体" w:hAnsi="宋体" w:eastAsia="汉鼎简书宋" w:cs="宋体"/>
      <w:sz w:val="24"/>
      <w:szCs w:val="21"/>
    </w:rPr>
  </w:style>
  <w:style w:type="paragraph" w:customStyle="1" w:styleId="1032">
    <w:name w:val="111-1"/>
    <w:basedOn w:val="1"/>
    <w:semiHidden/>
    <w:qFormat/>
    <w:uiPriority w:val="0"/>
    <w:pPr>
      <w:spacing w:line="360" w:lineRule="auto"/>
      <w:ind w:firstLine="200" w:firstLineChars="200"/>
    </w:pPr>
    <w:rPr>
      <w:rFonts w:ascii="Calibri" w:hAnsi="Calibri"/>
      <w:kern w:val="0"/>
      <w:sz w:val="24"/>
      <w:szCs w:val="21"/>
    </w:rPr>
  </w:style>
  <w:style w:type="paragraph" w:customStyle="1" w:styleId="1033">
    <w:name w:val="TBBT"/>
    <w:semiHidden/>
    <w:qFormat/>
    <w:uiPriority w:val="0"/>
    <w:pPr>
      <w:spacing w:before="77"/>
      <w:jc w:val="center"/>
    </w:pPr>
    <w:rPr>
      <w:rFonts w:ascii="Calibri" w:hAnsi="Calibri" w:eastAsia="宋体" w:cs="宋体"/>
      <w:b/>
      <w:bCs/>
      <w:kern w:val="2"/>
      <w:sz w:val="24"/>
      <w:szCs w:val="24"/>
      <w:lang w:val="en-US" w:eastAsia="zh-CN" w:bidi="ar-SA"/>
    </w:rPr>
  </w:style>
  <w:style w:type="paragraph" w:customStyle="1" w:styleId="1034">
    <w:name w:val="xl92"/>
    <w:basedOn w:val="1"/>
    <w:semiHidden/>
    <w:qFormat/>
    <w:uiPriority w:val="0"/>
    <w:pPr>
      <w:widowControl/>
      <w:pBdr>
        <w:top w:val="single" w:color="auto" w:sz="8" w:space="0"/>
        <w:left w:val="single" w:color="auto" w:sz="8" w:space="0"/>
        <w:right w:val="single" w:color="auto" w:sz="8" w:space="0"/>
      </w:pBdr>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1035">
    <w:name w:val="Char Char Char Char Char Char1 Char Char Char Char"/>
    <w:basedOn w:val="1"/>
    <w:semiHidden/>
    <w:qFormat/>
    <w:uiPriority w:val="0"/>
    <w:pPr>
      <w:spacing w:line="360" w:lineRule="auto"/>
      <w:ind w:firstLine="200" w:firstLineChars="200"/>
    </w:pPr>
    <w:rPr>
      <w:rFonts w:ascii="宋体" w:hAnsi="宋体" w:cs="宋体"/>
      <w:sz w:val="24"/>
      <w:szCs w:val="21"/>
    </w:rPr>
  </w:style>
  <w:style w:type="paragraph" w:customStyle="1" w:styleId="1036">
    <w:name w:val="样式 2"/>
    <w:basedOn w:val="4"/>
    <w:semiHidden/>
    <w:qFormat/>
    <w:uiPriority w:val="0"/>
    <w:pPr>
      <w:tabs>
        <w:tab w:val="left" w:pos="2550"/>
        <w:tab w:val="left" w:pos="3990"/>
        <w:tab w:val="left" w:pos="6855"/>
        <w:tab w:val="left" w:pos="6975"/>
      </w:tabs>
      <w:adjustRightInd w:val="0"/>
      <w:spacing w:beforeLines="50" w:afterLines="50" w:line="560" w:lineRule="exact"/>
      <w:jc w:val="center"/>
      <w:outlineLvl w:val="5"/>
    </w:pPr>
    <w:rPr>
      <w:rFonts w:ascii="仿宋_GB2312" w:hAnsi="宋体" w:eastAsia="仿宋_GB2312"/>
      <w:bCs w:val="0"/>
      <w:kern w:val="0"/>
      <w:sz w:val="30"/>
      <w:szCs w:val="30"/>
      <w:lang w:val="zh-CN"/>
    </w:rPr>
  </w:style>
  <w:style w:type="paragraph" w:customStyle="1" w:styleId="1037">
    <w:name w:val="正文样式11"/>
    <w:basedOn w:val="1"/>
    <w:qFormat/>
    <w:uiPriority w:val="0"/>
    <w:pPr>
      <w:keepNext/>
      <w:spacing w:line="360" w:lineRule="auto"/>
      <w:jc w:val="center"/>
    </w:pPr>
    <w:rPr>
      <w:rFonts w:ascii="宋体" w:hAnsi="宋体" w:cs="Arial"/>
      <w:b/>
      <w:kern w:val="0"/>
      <w:sz w:val="24"/>
    </w:rPr>
  </w:style>
  <w:style w:type="paragraph" w:customStyle="1" w:styleId="1038">
    <w:name w:val="hb3MXH"/>
    <w:basedOn w:val="4"/>
    <w:semiHidden/>
    <w:qFormat/>
    <w:uiPriority w:val="0"/>
    <w:pPr>
      <w:keepLines w:val="0"/>
      <w:adjustRightInd w:val="0"/>
      <w:spacing w:line="240" w:lineRule="auto"/>
      <w:textAlignment w:val="baseline"/>
    </w:pPr>
    <w:rPr>
      <w:rFonts w:ascii="Calibri" w:hAnsi="Calibri" w:cs="宋体"/>
      <w:bCs w:val="0"/>
      <w:kern w:val="0"/>
      <w:szCs w:val="24"/>
    </w:rPr>
  </w:style>
  <w:style w:type="paragraph" w:customStyle="1" w:styleId="1039">
    <w:name w:val="Byline"/>
    <w:basedOn w:val="33"/>
    <w:semiHidden/>
    <w:qFormat/>
    <w:uiPriority w:val="0"/>
    <w:pPr>
      <w:widowControl/>
      <w:spacing w:after="0" w:line="360" w:lineRule="auto"/>
    </w:pPr>
    <w:rPr>
      <w:rFonts w:ascii="Arial" w:hAnsi="Arial"/>
      <w:kern w:val="0"/>
      <w:sz w:val="24"/>
      <w:szCs w:val="20"/>
    </w:rPr>
  </w:style>
  <w:style w:type="paragraph" w:customStyle="1" w:styleId="1040">
    <w:name w:val="xl70"/>
    <w:basedOn w:val="1"/>
    <w:semiHidden/>
    <w:qFormat/>
    <w:uiPriority w:val="0"/>
    <w:pPr>
      <w:widowControl/>
      <w:spacing w:before="100" w:beforeAutospacing="1" w:after="100" w:afterAutospacing="1"/>
      <w:jc w:val="center"/>
    </w:pPr>
    <w:rPr>
      <w:rFonts w:ascii="Calibri" w:hAnsi="Calibri"/>
      <w:kern w:val="0"/>
      <w:sz w:val="24"/>
      <w:szCs w:val="20"/>
    </w:rPr>
  </w:style>
  <w:style w:type="paragraph" w:customStyle="1" w:styleId="1041">
    <w:name w:val="Char Char Char Char Char Char Char Char Char1 Char Char Char Char"/>
    <w:basedOn w:val="1"/>
    <w:semiHidden/>
    <w:qFormat/>
    <w:uiPriority w:val="0"/>
    <w:pPr>
      <w:spacing w:line="360" w:lineRule="auto"/>
      <w:ind w:firstLine="420" w:firstLineChars="200"/>
    </w:pPr>
    <w:rPr>
      <w:rFonts w:ascii="Calibri" w:hAnsi="Calibri"/>
      <w:sz w:val="24"/>
      <w:szCs w:val="20"/>
    </w:rPr>
  </w:style>
  <w:style w:type="paragraph" w:customStyle="1" w:styleId="1042">
    <w:name w:val="17"/>
    <w:basedOn w:val="1"/>
    <w:semiHidden/>
    <w:qFormat/>
    <w:uiPriority w:val="0"/>
    <w:pPr>
      <w:widowControl/>
      <w:snapToGrid w:val="0"/>
      <w:spacing w:before="100" w:beforeAutospacing="1" w:after="100" w:afterAutospacing="1" w:line="360" w:lineRule="auto"/>
      <w:ind w:firstLine="420" w:firstLineChars="200"/>
    </w:pPr>
    <w:rPr>
      <w:rFonts w:ascii="宋体" w:hAnsi="宋体"/>
      <w:color w:val="000000"/>
      <w:spacing w:val="4"/>
      <w:kern w:val="0"/>
      <w:sz w:val="24"/>
      <w:szCs w:val="20"/>
    </w:rPr>
  </w:style>
  <w:style w:type="paragraph" w:customStyle="1" w:styleId="1043">
    <w:name w:val="BGWZ1 Char"/>
    <w:basedOn w:val="1"/>
    <w:semiHidden/>
    <w:qFormat/>
    <w:uiPriority w:val="0"/>
    <w:pPr>
      <w:snapToGrid w:val="0"/>
      <w:spacing w:line="300" w:lineRule="exact"/>
      <w:jc w:val="center"/>
    </w:pPr>
    <w:rPr>
      <w:rFonts w:ascii="Calibri" w:hAnsi="Calibri"/>
      <w:szCs w:val="21"/>
      <w:lang w:eastAsia="zh-TW"/>
    </w:rPr>
  </w:style>
  <w:style w:type="paragraph" w:customStyle="1" w:styleId="1044">
    <w:name w:val="正文缩进1"/>
    <w:basedOn w:val="1045"/>
    <w:semiHidden/>
    <w:qFormat/>
    <w:uiPriority w:val="0"/>
    <w:pPr>
      <w:spacing w:line="318" w:lineRule="atLeast"/>
      <w:ind w:firstLine="420"/>
      <w:jc w:val="left"/>
      <w:textAlignment w:val="auto"/>
    </w:pPr>
    <w:rPr>
      <w:rFonts w:hint="eastAsia"/>
    </w:rPr>
  </w:style>
  <w:style w:type="paragraph" w:customStyle="1" w:styleId="1045">
    <w:name w:val="正文2"/>
    <w:basedOn w:val="1"/>
    <w:semiHidden/>
    <w:qFormat/>
    <w:uiPriority w:val="0"/>
    <w:pPr>
      <w:adjustRightInd w:val="0"/>
      <w:spacing w:line="480" w:lineRule="exact"/>
      <w:textAlignment w:val="baseline"/>
    </w:pPr>
    <w:rPr>
      <w:rFonts w:ascii="宋体" w:hAnsi="Calibri"/>
      <w:kern w:val="0"/>
      <w:sz w:val="24"/>
      <w:szCs w:val="20"/>
    </w:rPr>
  </w:style>
  <w:style w:type="paragraph" w:customStyle="1" w:styleId="1046">
    <w:name w:val="h"/>
    <w:basedOn w:val="1"/>
    <w:semiHidden/>
    <w:qFormat/>
    <w:uiPriority w:val="0"/>
    <w:pPr>
      <w:spacing w:before="60"/>
      <w:ind w:firstLine="482"/>
    </w:pPr>
    <w:rPr>
      <w:rFonts w:ascii="Arial" w:hAnsi="Arial" w:eastAsia="仿宋_GB2312"/>
      <w:kern w:val="0"/>
      <w:sz w:val="24"/>
      <w:szCs w:val="20"/>
    </w:rPr>
  </w:style>
  <w:style w:type="paragraph" w:customStyle="1" w:styleId="1047">
    <w:name w:val="xl80"/>
    <w:basedOn w:val="1"/>
    <w:semiHidden/>
    <w:qFormat/>
    <w:uiPriority w:val="0"/>
    <w:pPr>
      <w:widowControl/>
      <w:pBdr>
        <w:bottom w:val="single" w:color="auto" w:sz="8" w:space="0"/>
        <w:right w:val="single" w:color="auto" w:sz="8" w:space="0"/>
      </w:pBdr>
      <w:spacing w:before="100" w:beforeAutospacing="1" w:after="100" w:afterAutospacing="1" w:line="360" w:lineRule="auto"/>
      <w:ind w:firstLine="420" w:firstLineChars="200"/>
    </w:pPr>
    <w:rPr>
      <w:rFonts w:ascii="Calibri" w:hAnsi="Calibri"/>
      <w:color w:val="0000FF"/>
      <w:kern w:val="0"/>
      <w:sz w:val="24"/>
      <w:szCs w:val="21"/>
    </w:rPr>
  </w:style>
  <w:style w:type="paragraph" w:customStyle="1" w:styleId="1048">
    <w:name w:val="FU4"/>
    <w:basedOn w:val="5"/>
    <w:semiHidden/>
    <w:qFormat/>
    <w:uiPriority w:val="0"/>
    <w:pPr>
      <w:tabs>
        <w:tab w:val="left" w:pos="1263"/>
      </w:tabs>
      <w:spacing w:before="120" w:after="120" w:line="460" w:lineRule="exact"/>
      <w:ind w:firstLine="200" w:firstLineChars="200"/>
    </w:pPr>
    <w:rPr>
      <w:rFonts w:ascii="黑体" w:hAnsi="宋体" w:cs="Arial"/>
      <w:b/>
      <w:color w:val="000000"/>
    </w:rPr>
  </w:style>
  <w:style w:type="paragraph" w:customStyle="1" w:styleId="1049">
    <w:name w:val="xl38"/>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050">
    <w:name w:val="标-5"/>
    <w:basedOn w:val="1"/>
    <w:semiHidden/>
    <w:qFormat/>
    <w:uiPriority w:val="0"/>
    <w:pPr>
      <w:tabs>
        <w:tab w:val="right" w:leader="dot" w:pos="8789"/>
      </w:tabs>
      <w:spacing w:before="120"/>
      <w:ind w:left="1276" w:hanging="425"/>
    </w:pPr>
    <w:rPr>
      <w:rFonts w:ascii="Calibri" w:hAnsi="Calibri"/>
      <w:sz w:val="24"/>
      <w:szCs w:val="20"/>
    </w:rPr>
  </w:style>
  <w:style w:type="paragraph" w:customStyle="1" w:styleId="1051">
    <w:name w:val="样式24"/>
    <w:basedOn w:val="1"/>
    <w:qFormat/>
    <w:uiPriority w:val="0"/>
    <w:pPr>
      <w:keepNext/>
      <w:keepLines/>
      <w:spacing w:line="360" w:lineRule="auto"/>
      <w:outlineLvl w:val="2"/>
    </w:pPr>
    <w:rPr>
      <w:rFonts w:cs="宋体"/>
      <w:b/>
      <w:bCs/>
      <w:sz w:val="30"/>
      <w:szCs w:val="30"/>
    </w:rPr>
  </w:style>
  <w:style w:type="paragraph" w:customStyle="1" w:styleId="1052">
    <w:name w:val="xl32"/>
    <w:basedOn w:val="1"/>
    <w:semiHidden/>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b/>
      <w:bCs/>
      <w:kern w:val="0"/>
      <w:sz w:val="20"/>
      <w:szCs w:val="20"/>
    </w:rPr>
  </w:style>
  <w:style w:type="paragraph" w:customStyle="1" w:styleId="1053">
    <w:name w:val="Char2 Char Char Char1"/>
    <w:basedOn w:val="1"/>
    <w:semiHidden/>
    <w:qFormat/>
    <w:uiPriority w:val="0"/>
    <w:pPr>
      <w:autoSpaceDE w:val="0"/>
      <w:autoSpaceDN w:val="0"/>
      <w:adjustRightInd w:val="0"/>
      <w:snapToGrid w:val="0"/>
      <w:spacing w:before="50" w:after="50" w:line="360" w:lineRule="auto"/>
      <w:ind w:firstLine="560" w:firstLineChars="200"/>
    </w:pPr>
    <w:rPr>
      <w:rFonts w:ascii="宋体" w:hAnsi="宋体" w:eastAsia="仿宋_GB2312"/>
      <w:color w:val="000000"/>
      <w:sz w:val="24"/>
      <w:szCs w:val="21"/>
    </w:rPr>
  </w:style>
  <w:style w:type="paragraph" w:customStyle="1" w:styleId="1054">
    <w:name w:val="CM62"/>
    <w:basedOn w:val="1"/>
    <w:next w:val="1"/>
    <w:semiHidden/>
    <w:qFormat/>
    <w:uiPriority w:val="0"/>
    <w:pPr>
      <w:autoSpaceDE w:val="0"/>
      <w:autoSpaceDN w:val="0"/>
      <w:adjustRightInd w:val="0"/>
      <w:spacing w:after="185"/>
      <w:jc w:val="left"/>
    </w:pPr>
    <w:rPr>
      <w:rFonts w:ascii="Calibri" w:hAnsi="Calibri"/>
      <w:sz w:val="24"/>
      <w:szCs w:val="21"/>
    </w:rPr>
  </w:style>
  <w:style w:type="paragraph" w:customStyle="1" w:styleId="1055">
    <w:name w:val="IDC A-Head (2nd Line)"/>
    <w:basedOn w:val="1"/>
    <w:next w:val="1"/>
    <w:semiHidden/>
    <w:qFormat/>
    <w:uiPriority w:val="0"/>
    <w:pPr>
      <w:widowControl/>
      <w:spacing w:line="360" w:lineRule="auto"/>
      <w:ind w:firstLine="420" w:firstLineChars="200"/>
      <w:jc w:val="center"/>
    </w:pPr>
    <w:rPr>
      <w:rFonts w:ascii="Calibri" w:hAnsi="Calibri"/>
      <w:caps/>
      <w:kern w:val="0"/>
      <w:sz w:val="24"/>
      <w:szCs w:val="20"/>
    </w:rPr>
  </w:style>
  <w:style w:type="paragraph" w:customStyle="1" w:styleId="1056">
    <w:name w:val="xl149"/>
    <w:basedOn w:val="1"/>
    <w:semiHidden/>
    <w:qFormat/>
    <w:uiPriority w:val="0"/>
    <w:pPr>
      <w:widowControl/>
      <w:pBdr>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057">
    <w:name w:val="xl71"/>
    <w:basedOn w:val="1"/>
    <w:semiHidden/>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360" w:lineRule="auto"/>
      <w:ind w:firstLine="200" w:firstLineChars="200"/>
      <w:jc w:val="center"/>
      <w:textAlignment w:val="center"/>
    </w:pPr>
    <w:rPr>
      <w:rFonts w:ascii="Arial Unicode MS" w:hAnsi="Arial Unicode MS" w:eastAsia="Arial Unicode MS"/>
      <w:kern w:val="0"/>
      <w:sz w:val="24"/>
      <w:szCs w:val="21"/>
    </w:rPr>
  </w:style>
  <w:style w:type="paragraph" w:customStyle="1" w:styleId="1058">
    <w:name w:val="font10"/>
    <w:basedOn w:val="1"/>
    <w:semiHidden/>
    <w:qFormat/>
    <w:uiPriority w:val="0"/>
    <w:pPr>
      <w:widowControl/>
      <w:spacing w:before="100" w:beforeAutospacing="1" w:after="100" w:afterAutospacing="1"/>
      <w:jc w:val="left"/>
    </w:pPr>
    <w:rPr>
      <w:rFonts w:hint="eastAsia" w:ascii="宋体" w:hAnsi="宋体"/>
      <w:color w:val="000000"/>
      <w:kern w:val="0"/>
      <w:szCs w:val="21"/>
    </w:rPr>
  </w:style>
  <w:style w:type="paragraph" w:customStyle="1" w:styleId="1059">
    <w:name w:val="正文文本缩进 31"/>
    <w:basedOn w:val="1"/>
    <w:qFormat/>
    <w:uiPriority w:val="0"/>
    <w:pPr>
      <w:adjustRightInd w:val="0"/>
      <w:ind w:firstLine="540"/>
    </w:pPr>
    <w:rPr>
      <w:rFonts w:ascii="宋体"/>
      <w:sz w:val="28"/>
      <w:szCs w:val="20"/>
    </w:rPr>
  </w:style>
  <w:style w:type="paragraph" w:customStyle="1" w:styleId="1060">
    <w:name w:val="xl133"/>
    <w:basedOn w:val="1"/>
    <w:semiHidden/>
    <w:qFormat/>
    <w:uiPriority w:val="0"/>
    <w:pPr>
      <w:widowControl/>
      <w:pBdr>
        <w:top w:val="double" w:color="auto" w:sz="6" w:space="0"/>
        <w:lef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kern w:val="0"/>
      <w:sz w:val="20"/>
      <w:szCs w:val="20"/>
    </w:rPr>
  </w:style>
  <w:style w:type="paragraph" w:customStyle="1" w:styleId="1061">
    <w:name w:val="4 Char"/>
    <w:basedOn w:val="1"/>
    <w:qFormat/>
    <w:uiPriority w:val="0"/>
  </w:style>
  <w:style w:type="paragraph" w:customStyle="1" w:styleId="1062">
    <w:name w:val="xl20"/>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FF0000"/>
      <w:kern w:val="0"/>
      <w:sz w:val="18"/>
      <w:szCs w:val="18"/>
    </w:rPr>
  </w:style>
  <w:style w:type="paragraph" w:customStyle="1" w:styleId="1063">
    <w:name w:val="一级标题"/>
    <w:basedOn w:val="1"/>
    <w:qFormat/>
    <w:uiPriority w:val="0"/>
    <w:pPr>
      <w:keepNext/>
      <w:spacing w:line="360" w:lineRule="auto"/>
      <w:outlineLvl w:val="0"/>
    </w:pPr>
    <w:rPr>
      <w:rFonts w:cs="宋体"/>
      <w:b/>
      <w:bCs/>
      <w:sz w:val="44"/>
      <w:szCs w:val="44"/>
    </w:rPr>
  </w:style>
  <w:style w:type="paragraph" w:customStyle="1" w:styleId="1064">
    <w:name w:val="xl88"/>
    <w:basedOn w:val="1"/>
    <w:semiHidden/>
    <w:qFormat/>
    <w:uiPriority w:val="0"/>
    <w:pPr>
      <w:widowControl/>
      <w:pBdr>
        <w:left w:val="single" w:color="auto" w:sz="8" w:space="0"/>
        <w:bottom w:val="single" w:color="auto" w:sz="12" w:space="0"/>
      </w:pBdr>
      <w:spacing w:before="100" w:beforeAutospacing="1" w:after="100" w:afterAutospacing="1" w:line="360" w:lineRule="auto"/>
      <w:ind w:firstLine="420" w:firstLineChars="200"/>
    </w:pPr>
    <w:rPr>
      <w:rFonts w:ascii="宋体" w:hAnsi="宋体" w:cs="宋体"/>
      <w:kern w:val="0"/>
      <w:sz w:val="24"/>
      <w:szCs w:val="21"/>
    </w:rPr>
  </w:style>
  <w:style w:type="paragraph" w:customStyle="1" w:styleId="1065">
    <w:name w:val="4"/>
    <w:basedOn w:val="1"/>
    <w:next w:val="20"/>
    <w:semiHidden/>
    <w:qFormat/>
    <w:uiPriority w:val="0"/>
    <w:pPr>
      <w:ind w:firstLine="420" w:firstLineChars="200"/>
    </w:pPr>
    <w:rPr>
      <w:rFonts w:ascii="Calibri" w:hAnsi="Calibri" w:eastAsia="汉鼎简书宋"/>
      <w:szCs w:val="21"/>
    </w:rPr>
  </w:style>
  <w:style w:type="paragraph" w:customStyle="1" w:styleId="1066">
    <w:name w:val="Body Text 23"/>
    <w:basedOn w:val="1"/>
    <w:semiHidden/>
    <w:qFormat/>
    <w:uiPriority w:val="0"/>
    <w:pPr>
      <w:autoSpaceDE w:val="0"/>
      <w:autoSpaceDN w:val="0"/>
      <w:adjustRightInd w:val="0"/>
      <w:spacing w:line="500" w:lineRule="atLeast"/>
      <w:ind w:firstLine="600"/>
      <w:jc w:val="left"/>
      <w:textAlignment w:val="bottom"/>
    </w:pPr>
    <w:rPr>
      <w:rFonts w:ascii="Calibri" w:hAnsi="Calibri"/>
      <w:kern w:val="0"/>
      <w:sz w:val="28"/>
      <w:szCs w:val="20"/>
    </w:rPr>
  </w:style>
  <w:style w:type="paragraph" w:customStyle="1" w:styleId="1067">
    <w:name w:val="Texte"/>
    <w:basedOn w:val="1"/>
    <w:semiHidden/>
    <w:qFormat/>
    <w:uiPriority w:val="0"/>
    <w:pPr>
      <w:widowControl/>
      <w:spacing w:before="120" w:after="120"/>
      <w:ind w:left="851" w:firstLine="200" w:firstLineChars="200"/>
    </w:pPr>
    <w:rPr>
      <w:rFonts w:ascii="Arial" w:hAnsi="Arial"/>
      <w:kern w:val="0"/>
      <w:sz w:val="22"/>
      <w:szCs w:val="20"/>
      <w:lang w:val="en-GB"/>
    </w:rPr>
  </w:style>
  <w:style w:type="paragraph" w:customStyle="1" w:styleId="1068">
    <w:name w:val="Char Char Char1 Char1"/>
    <w:basedOn w:val="1"/>
    <w:semiHidden/>
    <w:qFormat/>
    <w:uiPriority w:val="0"/>
    <w:rPr>
      <w:rFonts w:ascii="Calibri" w:hAnsi="Calibri"/>
      <w:szCs w:val="21"/>
    </w:rPr>
  </w:style>
  <w:style w:type="paragraph" w:customStyle="1" w:styleId="1069">
    <w:name w:val="Address"/>
    <w:basedOn w:val="33"/>
    <w:semiHidden/>
    <w:qFormat/>
    <w:uiPriority w:val="0"/>
    <w:pPr>
      <w:keepLines/>
      <w:widowControl/>
      <w:overflowPunct w:val="0"/>
      <w:autoSpaceDE w:val="0"/>
      <w:autoSpaceDN w:val="0"/>
      <w:adjustRightInd w:val="0"/>
      <w:spacing w:after="0" w:line="360" w:lineRule="auto"/>
      <w:ind w:firstLine="420" w:firstLineChars="200"/>
      <w:textAlignment w:val="baseline"/>
    </w:pPr>
    <w:rPr>
      <w:rFonts w:ascii="宋体" w:hAnsi="Calibri"/>
      <w:kern w:val="0"/>
      <w:sz w:val="20"/>
      <w:szCs w:val="20"/>
    </w:rPr>
  </w:style>
  <w:style w:type="paragraph" w:customStyle="1" w:styleId="1070">
    <w:name w:val="样式"/>
    <w:basedOn w:val="1"/>
    <w:next w:val="44"/>
    <w:semiHidden/>
    <w:qFormat/>
    <w:uiPriority w:val="0"/>
    <w:pPr>
      <w:adjustRightInd w:val="0"/>
      <w:snapToGrid w:val="0"/>
      <w:spacing w:line="480" w:lineRule="exact"/>
      <w:ind w:firstLine="200" w:firstLineChars="200"/>
    </w:pPr>
    <w:rPr>
      <w:rFonts w:ascii="宋体" w:hAnsi="Courier New"/>
      <w:sz w:val="28"/>
      <w:szCs w:val="20"/>
    </w:rPr>
  </w:style>
  <w:style w:type="paragraph" w:customStyle="1" w:styleId="1071">
    <w:name w:val="Char Char Char Char Char Char Char Char Char Char Char Char Char Char Char Char"/>
    <w:basedOn w:val="1"/>
    <w:semiHidden/>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1072">
    <w:name w:val="CM59"/>
    <w:basedOn w:val="1"/>
    <w:next w:val="1"/>
    <w:semiHidden/>
    <w:qFormat/>
    <w:uiPriority w:val="0"/>
    <w:pPr>
      <w:autoSpaceDE w:val="0"/>
      <w:autoSpaceDN w:val="0"/>
      <w:adjustRightInd w:val="0"/>
      <w:spacing w:after="145"/>
      <w:jc w:val="left"/>
    </w:pPr>
    <w:rPr>
      <w:rFonts w:ascii="Calibri" w:hAnsi="Calibri"/>
      <w:sz w:val="24"/>
      <w:szCs w:val="21"/>
    </w:rPr>
  </w:style>
  <w:style w:type="paragraph" w:customStyle="1" w:styleId="1073">
    <w:name w:val="xl33"/>
    <w:basedOn w:val="1"/>
    <w:semiHidden/>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074">
    <w:name w:val="hb3"/>
    <w:basedOn w:val="4"/>
    <w:semiHidden/>
    <w:qFormat/>
    <w:uiPriority w:val="0"/>
    <w:pPr>
      <w:adjustRightInd w:val="0"/>
      <w:spacing w:before="360" w:after="180" w:line="240" w:lineRule="auto"/>
      <w:textAlignment w:val="baseline"/>
    </w:pPr>
    <w:rPr>
      <w:rFonts w:ascii="宋体" w:hAnsi="宋体" w:cs="宋体"/>
      <w:bCs w:val="0"/>
      <w:kern w:val="0"/>
      <w:sz w:val="24"/>
      <w:szCs w:val="24"/>
    </w:rPr>
  </w:style>
  <w:style w:type="paragraph" w:customStyle="1" w:styleId="1075">
    <w:name w:val="Char Char5 Char Char Char"/>
    <w:basedOn w:val="1"/>
    <w:next w:val="1"/>
    <w:semiHidden/>
    <w:qFormat/>
    <w:uiPriority w:val="0"/>
    <w:pPr>
      <w:spacing w:line="360" w:lineRule="auto"/>
      <w:ind w:firstLine="200" w:firstLineChars="200"/>
    </w:pPr>
    <w:rPr>
      <w:rFonts w:ascii="宋体" w:hAnsi="宋体" w:cs="宋体"/>
      <w:sz w:val="24"/>
      <w:szCs w:val="21"/>
    </w:rPr>
  </w:style>
  <w:style w:type="paragraph" w:customStyle="1" w:styleId="1076">
    <w:name w:val="CM35"/>
    <w:basedOn w:val="1"/>
    <w:next w:val="1"/>
    <w:semiHidden/>
    <w:qFormat/>
    <w:uiPriority w:val="0"/>
    <w:pPr>
      <w:autoSpaceDE w:val="0"/>
      <w:autoSpaceDN w:val="0"/>
      <w:adjustRightInd w:val="0"/>
      <w:spacing w:line="223" w:lineRule="atLeast"/>
      <w:jc w:val="left"/>
    </w:pPr>
    <w:rPr>
      <w:rFonts w:ascii="Calibri" w:hAnsi="Calibri"/>
      <w:sz w:val="24"/>
      <w:szCs w:val="21"/>
    </w:rPr>
  </w:style>
  <w:style w:type="paragraph" w:customStyle="1" w:styleId="1077">
    <w:name w:val="Char1 Char Char Char Char Char Char Char Char Char"/>
    <w:basedOn w:val="1"/>
    <w:qFormat/>
    <w:uiPriority w:val="0"/>
    <w:rPr>
      <w:rFonts w:ascii="Tahoma" w:hAnsi="Tahoma"/>
      <w:sz w:val="28"/>
      <w:szCs w:val="20"/>
    </w:rPr>
  </w:style>
  <w:style w:type="paragraph" w:customStyle="1" w:styleId="1078">
    <w:name w:val="TOC 标题1"/>
    <w:basedOn w:val="2"/>
    <w:next w:val="1"/>
    <w:semiHidden/>
    <w:qFormat/>
    <w:uiPriority w:val="0"/>
    <w:pPr>
      <w:widowControl/>
      <w:spacing w:before="480" w:after="0" w:line="276" w:lineRule="auto"/>
      <w:outlineLvl w:val="9"/>
    </w:pPr>
    <w:rPr>
      <w:rFonts w:ascii="Cambria" w:hAnsi="Cambria"/>
      <w:color w:val="365F91"/>
      <w:kern w:val="0"/>
      <w:szCs w:val="32"/>
    </w:rPr>
  </w:style>
  <w:style w:type="paragraph" w:customStyle="1" w:styleId="1079">
    <w:name w:val="xl93"/>
    <w:basedOn w:val="1"/>
    <w:semiHidden/>
    <w:qFormat/>
    <w:uiPriority w:val="0"/>
    <w:pPr>
      <w:widowControl/>
      <w:pBdr>
        <w:left w:val="single" w:color="auto" w:sz="8" w:space="0"/>
        <w:bottom w:val="single" w:color="auto" w:sz="8" w:space="0"/>
        <w:right w:val="single" w:color="auto" w:sz="8" w:space="0"/>
      </w:pBdr>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1080">
    <w:name w:val="Char Char Char Char4"/>
    <w:basedOn w:val="1"/>
    <w:semiHidden/>
    <w:qFormat/>
    <w:uiPriority w:val="0"/>
    <w:rPr>
      <w:rFonts w:ascii="Calibri" w:hAnsi="Calibri"/>
      <w:szCs w:val="21"/>
    </w:rPr>
  </w:style>
  <w:style w:type="paragraph" w:customStyle="1" w:styleId="1081">
    <w:name w:val="CM7"/>
    <w:basedOn w:val="1"/>
    <w:next w:val="1"/>
    <w:semiHidden/>
    <w:qFormat/>
    <w:uiPriority w:val="0"/>
    <w:pPr>
      <w:autoSpaceDE w:val="0"/>
      <w:autoSpaceDN w:val="0"/>
      <w:adjustRightInd w:val="0"/>
      <w:jc w:val="left"/>
    </w:pPr>
    <w:rPr>
      <w:rFonts w:ascii="黑体" w:hAnsi="Calibri" w:eastAsia="黑体"/>
      <w:sz w:val="24"/>
      <w:szCs w:val="21"/>
    </w:rPr>
  </w:style>
  <w:style w:type="paragraph" w:customStyle="1" w:styleId="1082">
    <w:name w:val="hb4"/>
    <w:basedOn w:val="5"/>
    <w:semiHidden/>
    <w:qFormat/>
    <w:uiPriority w:val="0"/>
    <w:pPr>
      <w:spacing w:beforeLines="50" w:afterLines="50" w:line="529" w:lineRule="exact"/>
    </w:pPr>
    <w:rPr>
      <w:rFonts w:ascii="宋体" w:hAnsi="宋体"/>
      <w:bCs w:val="0"/>
    </w:rPr>
  </w:style>
  <w:style w:type="paragraph" w:customStyle="1" w:styleId="1083">
    <w:name w:val="font9"/>
    <w:basedOn w:val="1"/>
    <w:semiHidden/>
    <w:qFormat/>
    <w:uiPriority w:val="0"/>
    <w:pPr>
      <w:widowControl/>
      <w:spacing w:before="100" w:beforeAutospacing="1" w:after="100" w:afterAutospacing="1"/>
      <w:jc w:val="left"/>
    </w:pPr>
    <w:rPr>
      <w:rFonts w:ascii="Calibri" w:hAnsi="Calibri"/>
      <w:kern w:val="0"/>
      <w:sz w:val="20"/>
      <w:szCs w:val="20"/>
    </w:rPr>
  </w:style>
  <w:style w:type="paragraph" w:customStyle="1" w:styleId="1084">
    <w:name w:val="CM36"/>
    <w:basedOn w:val="1"/>
    <w:next w:val="1"/>
    <w:semiHidden/>
    <w:qFormat/>
    <w:uiPriority w:val="0"/>
    <w:pPr>
      <w:autoSpaceDE w:val="0"/>
      <w:autoSpaceDN w:val="0"/>
      <w:adjustRightInd w:val="0"/>
      <w:spacing w:line="266" w:lineRule="atLeast"/>
      <w:jc w:val="left"/>
    </w:pPr>
    <w:rPr>
      <w:rFonts w:ascii="Calibri" w:hAnsi="Calibri"/>
      <w:sz w:val="24"/>
      <w:szCs w:val="21"/>
    </w:rPr>
  </w:style>
  <w:style w:type="paragraph" w:customStyle="1" w:styleId="1085">
    <w:name w:val="!Texte courant"/>
    <w:semiHidden/>
    <w:qFormat/>
    <w:uiPriority w:val="0"/>
    <w:pPr>
      <w:spacing w:before="120" w:line="280" w:lineRule="atLeast"/>
      <w:jc w:val="both"/>
    </w:pPr>
    <w:rPr>
      <w:rFonts w:ascii="Calibri" w:hAnsi="Calibri" w:eastAsia="宋体" w:cs="Times New Roman"/>
      <w:kern w:val="2"/>
      <w:sz w:val="24"/>
      <w:szCs w:val="21"/>
      <w:lang w:val="fr-FR" w:eastAsia="en-US" w:bidi="ar-SA"/>
    </w:rPr>
  </w:style>
  <w:style w:type="paragraph" w:customStyle="1" w:styleId="1086">
    <w:name w:val="2005年10月"/>
    <w:basedOn w:val="3"/>
    <w:semiHidden/>
    <w:qFormat/>
    <w:uiPriority w:val="0"/>
    <w:pPr>
      <w:tabs>
        <w:tab w:val="left" w:pos="360"/>
      </w:tabs>
      <w:spacing w:before="0" w:after="0"/>
    </w:pPr>
    <w:rPr>
      <w:rFonts w:ascii="Cambria" w:hAnsi="Cambria" w:eastAsia="宋体"/>
      <w:b w:val="0"/>
      <w:sz w:val="28"/>
    </w:rPr>
  </w:style>
  <w:style w:type="paragraph" w:customStyle="1" w:styleId="1087">
    <w:name w:val="04"/>
    <w:basedOn w:val="1"/>
    <w:semiHidden/>
    <w:qFormat/>
    <w:uiPriority w:val="0"/>
    <w:pPr>
      <w:spacing w:line="312" w:lineRule="auto"/>
    </w:pPr>
    <w:rPr>
      <w:rFonts w:ascii="Calibri" w:hAnsi="Calibri" w:eastAsia="华文仿宋"/>
      <w:sz w:val="24"/>
      <w:szCs w:val="30"/>
    </w:rPr>
  </w:style>
  <w:style w:type="paragraph" w:customStyle="1" w:styleId="1088">
    <w:name w:val="TY"/>
    <w:basedOn w:val="1"/>
    <w:semiHidden/>
    <w:qFormat/>
    <w:uiPriority w:val="0"/>
    <w:pPr>
      <w:adjustRightInd w:val="0"/>
      <w:snapToGrid w:val="0"/>
      <w:spacing w:before="40" w:after="40"/>
    </w:pPr>
    <w:rPr>
      <w:rFonts w:ascii="Calibri" w:hAnsi="Calibri"/>
      <w:szCs w:val="20"/>
    </w:rPr>
  </w:style>
  <w:style w:type="paragraph" w:customStyle="1" w:styleId="1089">
    <w:name w:val="biao2"/>
    <w:basedOn w:val="1"/>
    <w:semiHidden/>
    <w:qFormat/>
    <w:uiPriority w:val="0"/>
    <w:pPr>
      <w:widowControl/>
      <w:adjustRightInd w:val="0"/>
      <w:spacing w:before="100" w:after="100" w:line="360" w:lineRule="auto"/>
      <w:ind w:firstLine="420" w:firstLineChars="200"/>
      <w:jc w:val="center"/>
      <w:textAlignment w:val="center"/>
    </w:pPr>
    <w:rPr>
      <w:rFonts w:ascii="??" w:hAnsi="??"/>
      <w:color w:val="000000"/>
      <w:kern w:val="0"/>
      <w:sz w:val="27"/>
      <w:szCs w:val="20"/>
    </w:rPr>
  </w:style>
  <w:style w:type="paragraph" w:customStyle="1" w:styleId="1090">
    <w:name w:val="xl82"/>
    <w:basedOn w:val="1"/>
    <w:semiHidden/>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16"/>
      <w:szCs w:val="16"/>
    </w:rPr>
  </w:style>
  <w:style w:type="paragraph" w:customStyle="1" w:styleId="1091">
    <w:name w:val="Char Char Char Char Char Char Char Char2 Char Char Char Char Char Char Char Char Char Char Char Char Char Char Char Char Char Char Char1"/>
    <w:basedOn w:val="1"/>
    <w:next w:val="1"/>
    <w:semiHidden/>
    <w:qFormat/>
    <w:uiPriority w:val="0"/>
    <w:pPr>
      <w:snapToGrid w:val="0"/>
      <w:spacing w:line="336" w:lineRule="auto"/>
      <w:ind w:firstLine="200" w:firstLineChars="200"/>
    </w:pPr>
    <w:rPr>
      <w:rFonts w:ascii="Calibri" w:hAnsi="Calibri"/>
      <w:color w:val="000000"/>
      <w:sz w:val="24"/>
      <w:szCs w:val="21"/>
    </w:rPr>
  </w:style>
  <w:style w:type="paragraph" w:customStyle="1" w:styleId="1092">
    <w:name w:val="xl27"/>
    <w:basedOn w:val="1"/>
    <w:semiHidden/>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b/>
      <w:bCs/>
      <w:kern w:val="0"/>
      <w:sz w:val="20"/>
      <w:szCs w:val="20"/>
    </w:rPr>
  </w:style>
  <w:style w:type="paragraph" w:customStyle="1" w:styleId="1093">
    <w:name w:val="8"/>
    <w:basedOn w:val="1"/>
    <w:next w:val="34"/>
    <w:semiHidden/>
    <w:qFormat/>
    <w:uiPriority w:val="0"/>
    <w:pPr>
      <w:spacing w:line="400" w:lineRule="exact"/>
      <w:ind w:firstLine="516" w:firstLineChars="215"/>
    </w:pPr>
    <w:rPr>
      <w:rFonts w:ascii="Calibri" w:hAnsi="Calibri"/>
      <w:sz w:val="24"/>
      <w:szCs w:val="21"/>
    </w:rPr>
  </w:style>
  <w:style w:type="paragraph" w:customStyle="1" w:styleId="1094">
    <w:name w:val="fu5"/>
    <w:basedOn w:val="6"/>
    <w:semiHidden/>
    <w:qFormat/>
    <w:uiPriority w:val="0"/>
    <w:pPr>
      <w:tabs>
        <w:tab w:val="clear" w:pos="1008"/>
      </w:tabs>
      <w:adjustRightInd w:val="0"/>
      <w:snapToGrid w:val="0"/>
      <w:spacing w:before="0" w:afterLines="100" w:line="460" w:lineRule="atLeast"/>
      <w:ind w:left="0" w:firstLine="0"/>
      <w:jc w:val="left"/>
      <w:textAlignment w:val="baseline"/>
    </w:pPr>
    <w:rPr>
      <w:rFonts w:ascii="黑体" w:hAnsi="宋体" w:eastAsia="黑体"/>
      <w:b/>
      <w:color w:val="000000"/>
      <w:kern w:val="0"/>
      <w:sz w:val="24"/>
      <w:szCs w:val="24"/>
    </w:rPr>
  </w:style>
  <w:style w:type="paragraph" w:customStyle="1" w:styleId="1095">
    <w:name w:val="couv"/>
    <w:basedOn w:val="1"/>
    <w:semiHidden/>
    <w:qFormat/>
    <w:uiPriority w:val="0"/>
    <w:pPr>
      <w:widowControl/>
      <w:spacing w:before="120" w:after="120"/>
      <w:ind w:firstLine="200" w:firstLineChars="200"/>
      <w:jc w:val="center"/>
    </w:pPr>
    <w:rPr>
      <w:rFonts w:ascii="Calibri" w:hAnsi="Calibri"/>
      <w:b/>
      <w:kern w:val="0"/>
      <w:sz w:val="40"/>
      <w:szCs w:val="20"/>
      <w:lang w:val="en-GB"/>
    </w:rPr>
  </w:style>
  <w:style w:type="paragraph" w:customStyle="1" w:styleId="1096">
    <w:name w:val="Char3"/>
    <w:basedOn w:val="1"/>
    <w:next w:val="1"/>
    <w:semiHidden/>
    <w:qFormat/>
    <w:uiPriority w:val="0"/>
    <w:pPr>
      <w:spacing w:line="360" w:lineRule="auto"/>
      <w:ind w:firstLine="200" w:firstLineChars="200"/>
    </w:pPr>
    <w:rPr>
      <w:rFonts w:ascii="宋体" w:hAnsi="宋体" w:eastAsia="汉鼎简书宋" w:cs="宋体"/>
      <w:sz w:val="24"/>
      <w:szCs w:val="21"/>
    </w:rPr>
  </w:style>
  <w:style w:type="paragraph" w:customStyle="1" w:styleId="1097">
    <w:name w:val="Body Text First Indent3"/>
    <w:basedOn w:val="33"/>
    <w:semiHidden/>
    <w:qFormat/>
    <w:uiPriority w:val="0"/>
    <w:pPr>
      <w:adjustRightInd w:val="0"/>
      <w:spacing w:after="0" w:line="312" w:lineRule="auto"/>
      <w:ind w:firstLine="567"/>
      <w:textAlignment w:val="baseline"/>
    </w:pPr>
    <w:rPr>
      <w:rFonts w:ascii="宋体" w:hAnsi="Calibri"/>
      <w:kern w:val="0"/>
      <w:sz w:val="28"/>
      <w:szCs w:val="20"/>
    </w:rPr>
  </w:style>
  <w:style w:type="paragraph" w:customStyle="1" w:styleId="1098">
    <w:name w:val="CM66"/>
    <w:basedOn w:val="1"/>
    <w:next w:val="1"/>
    <w:semiHidden/>
    <w:qFormat/>
    <w:uiPriority w:val="0"/>
    <w:pPr>
      <w:autoSpaceDE w:val="0"/>
      <w:autoSpaceDN w:val="0"/>
      <w:adjustRightInd w:val="0"/>
      <w:spacing w:after="830"/>
      <w:jc w:val="left"/>
    </w:pPr>
    <w:rPr>
      <w:rFonts w:ascii="Calibri" w:hAnsi="Calibri"/>
      <w:sz w:val="24"/>
      <w:szCs w:val="21"/>
    </w:rPr>
  </w:style>
  <w:style w:type="paragraph" w:customStyle="1" w:styleId="1099">
    <w:name w:val="xl87"/>
    <w:basedOn w:val="1"/>
    <w:semiHidden/>
    <w:qFormat/>
    <w:uiPriority w:val="0"/>
    <w:pPr>
      <w:widowControl/>
      <w:pBdr>
        <w:bottom w:val="single" w:color="auto" w:sz="12" w:space="0"/>
      </w:pBdr>
      <w:spacing w:before="100" w:beforeAutospacing="1" w:after="100" w:afterAutospacing="1" w:line="360" w:lineRule="auto"/>
      <w:ind w:firstLine="420" w:firstLineChars="200"/>
      <w:textAlignment w:val="top"/>
    </w:pPr>
    <w:rPr>
      <w:rFonts w:ascii="Calibri" w:hAnsi="Calibri"/>
      <w:color w:val="000000"/>
      <w:kern w:val="0"/>
      <w:sz w:val="24"/>
      <w:szCs w:val="21"/>
    </w:rPr>
  </w:style>
  <w:style w:type="paragraph" w:customStyle="1" w:styleId="1100">
    <w:name w:val="EIA标题3"/>
    <w:basedOn w:val="4"/>
    <w:semiHidden/>
    <w:qFormat/>
    <w:uiPriority w:val="0"/>
    <w:pPr>
      <w:tabs>
        <w:tab w:val="left" w:pos="360"/>
      </w:tabs>
      <w:autoSpaceDE w:val="0"/>
      <w:autoSpaceDN w:val="0"/>
      <w:adjustRightInd w:val="0"/>
      <w:snapToGrid w:val="0"/>
      <w:spacing w:beforeLines="50" w:afterLines="50" w:line="440" w:lineRule="exact"/>
      <w:ind w:left="360" w:hanging="360"/>
    </w:pPr>
    <w:rPr>
      <w:rFonts w:ascii="Calibri" w:hAnsi="Calibri" w:eastAsia="楷体_GB2312"/>
      <w:b w:val="0"/>
      <w:bCs w:val="0"/>
      <w:kern w:val="0"/>
      <w:sz w:val="24"/>
      <w:szCs w:val="24"/>
    </w:rPr>
  </w:style>
  <w:style w:type="paragraph" w:customStyle="1" w:styleId="1101">
    <w:name w:val="Char1 Char Char Char Char Char Char2 Char Char Char11"/>
    <w:basedOn w:val="1"/>
    <w:semiHidden/>
    <w:qFormat/>
    <w:uiPriority w:val="0"/>
    <w:rPr>
      <w:rFonts w:ascii="Calibri" w:hAnsi="Calibri"/>
      <w:szCs w:val="21"/>
    </w:rPr>
  </w:style>
  <w:style w:type="paragraph" w:customStyle="1" w:styleId="1102">
    <w:name w:val="xl24"/>
    <w:basedOn w:val="1"/>
    <w:semiHidden/>
    <w:qFormat/>
    <w:uiPriority w:val="0"/>
    <w:pPr>
      <w:widowControl/>
      <w:spacing w:before="100" w:beforeAutospacing="1" w:after="100" w:afterAutospacing="1"/>
      <w:jc w:val="center"/>
    </w:pPr>
    <w:rPr>
      <w:rFonts w:ascii="宋体" w:hAnsi="宋体"/>
      <w:kern w:val="0"/>
      <w:szCs w:val="21"/>
    </w:rPr>
  </w:style>
  <w:style w:type="paragraph" w:customStyle="1" w:styleId="1103">
    <w:name w:val="xl126"/>
    <w:basedOn w:val="1"/>
    <w:semiHidden/>
    <w:qFormat/>
    <w:uiPriority w:val="0"/>
    <w:pPr>
      <w:widowControl/>
      <w:pBdr>
        <w:top w:val="single" w:color="auto" w:sz="4" w:space="0"/>
        <w:left w:val="single" w:color="auto" w:sz="4" w:space="0"/>
        <w:bottom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1104">
    <w:name w:val="7 Char Char Char Char"/>
    <w:basedOn w:val="1"/>
    <w:semiHidden/>
    <w:qFormat/>
    <w:uiPriority w:val="0"/>
    <w:pPr>
      <w:spacing w:line="360" w:lineRule="auto"/>
      <w:ind w:firstLine="200" w:firstLineChars="200"/>
    </w:pPr>
    <w:rPr>
      <w:rFonts w:ascii="宋体" w:hAnsi="宋体" w:cs="宋体"/>
      <w:sz w:val="24"/>
      <w:szCs w:val="21"/>
    </w:rPr>
  </w:style>
  <w:style w:type="paragraph" w:customStyle="1" w:styleId="1105">
    <w:name w:val="Char Char Char Char Char Char Char Char Char Char Char Char1 Char Char Char Char Char Char Char Char Char Char Char Char1"/>
    <w:basedOn w:val="1"/>
    <w:next w:val="1"/>
    <w:semiHidden/>
    <w:qFormat/>
    <w:uiPriority w:val="0"/>
    <w:pPr>
      <w:spacing w:line="336" w:lineRule="auto"/>
      <w:ind w:firstLine="200" w:firstLineChars="200"/>
    </w:pPr>
    <w:rPr>
      <w:rFonts w:ascii="宋体" w:hAnsi="宋体" w:eastAsia="汉鼎简书宋"/>
      <w:spacing w:val="4"/>
      <w:sz w:val="24"/>
      <w:szCs w:val="20"/>
    </w:rPr>
  </w:style>
  <w:style w:type="paragraph" w:customStyle="1" w:styleId="1106">
    <w:name w:val="xl129"/>
    <w:basedOn w:val="1"/>
    <w:semiHidden/>
    <w:qFormat/>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1107">
    <w:name w:val="CM4"/>
    <w:basedOn w:val="1"/>
    <w:next w:val="1"/>
    <w:semiHidden/>
    <w:qFormat/>
    <w:uiPriority w:val="0"/>
    <w:pPr>
      <w:autoSpaceDE w:val="0"/>
      <w:autoSpaceDN w:val="0"/>
      <w:adjustRightInd w:val="0"/>
      <w:spacing w:line="468" w:lineRule="atLeast"/>
      <w:jc w:val="left"/>
    </w:pPr>
    <w:rPr>
      <w:rFonts w:ascii="黑体" w:hAnsi="Calibri" w:eastAsia="黑体"/>
      <w:sz w:val="24"/>
      <w:szCs w:val="21"/>
    </w:rPr>
  </w:style>
  <w:style w:type="paragraph" w:customStyle="1" w:styleId="1108">
    <w:name w:val="gb1"/>
    <w:basedOn w:val="1"/>
    <w:semiHidden/>
    <w:qFormat/>
    <w:uiPriority w:val="0"/>
    <w:pPr>
      <w:widowControl/>
      <w:tabs>
        <w:tab w:val="left" w:pos="227"/>
      </w:tabs>
      <w:overflowPunct w:val="0"/>
      <w:autoSpaceDE w:val="0"/>
      <w:autoSpaceDN w:val="0"/>
      <w:adjustRightInd w:val="0"/>
      <w:spacing w:before="120" w:after="120"/>
      <w:textAlignment w:val="baseline"/>
    </w:pPr>
    <w:rPr>
      <w:rFonts w:ascii="Arial" w:hAnsi="Arial" w:eastAsia="仿宋体"/>
      <w:kern w:val="0"/>
      <w:szCs w:val="20"/>
    </w:rPr>
  </w:style>
  <w:style w:type="paragraph" w:customStyle="1" w:styleId="1109">
    <w:name w:val="font6"/>
    <w:basedOn w:val="1"/>
    <w:semiHidden/>
    <w:qFormat/>
    <w:uiPriority w:val="0"/>
    <w:pPr>
      <w:widowControl/>
      <w:spacing w:before="100" w:beforeAutospacing="1" w:after="100" w:afterAutospacing="1"/>
      <w:ind w:firstLine="200" w:firstLineChars="200"/>
      <w:jc w:val="left"/>
    </w:pPr>
    <w:rPr>
      <w:rFonts w:ascii="Calibri" w:hAnsi="Calibri" w:eastAsia="汉鼎简书宋"/>
      <w:kern w:val="0"/>
      <w:sz w:val="20"/>
      <w:szCs w:val="20"/>
    </w:rPr>
  </w:style>
  <w:style w:type="paragraph" w:customStyle="1" w:styleId="1110">
    <w:name w:val="Char Char Char Char Char Char Char Char2 Char Char Char Char Char Char Char Char Char"/>
    <w:basedOn w:val="1"/>
    <w:next w:val="1"/>
    <w:semiHidden/>
    <w:qFormat/>
    <w:uiPriority w:val="0"/>
    <w:pPr>
      <w:spacing w:line="336" w:lineRule="auto"/>
      <w:ind w:firstLine="200" w:firstLineChars="200"/>
    </w:pPr>
    <w:rPr>
      <w:rFonts w:ascii="宋体" w:hAnsi="宋体" w:eastAsia="汉鼎简书宋"/>
      <w:spacing w:val="4"/>
      <w:sz w:val="24"/>
      <w:szCs w:val="20"/>
    </w:rPr>
  </w:style>
  <w:style w:type="paragraph" w:customStyle="1" w:styleId="1111">
    <w:name w:val="Indent1"/>
    <w:basedOn w:val="1"/>
    <w:semiHidden/>
    <w:qFormat/>
    <w:uiPriority w:val="0"/>
    <w:pPr>
      <w:overflowPunct w:val="0"/>
      <w:autoSpaceDE w:val="0"/>
      <w:autoSpaceDN w:val="0"/>
      <w:adjustRightInd w:val="0"/>
      <w:spacing w:line="360" w:lineRule="auto"/>
      <w:ind w:left="1440" w:hanging="720" w:firstLineChars="200"/>
      <w:textAlignment w:val="baseline"/>
    </w:pPr>
    <w:rPr>
      <w:rFonts w:ascii="Arial" w:hAnsi="Arial"/>
      <w:kern w:val="0"/>
      <w:sz w:val="22"/>
      <w:szCs w:val="20"/>
    </w:rPr>
  </w:style>
  <w:style w:type="paragraph" w:customStyle="1" w:styleId="1112">
    <w:name w:val="xl81"/>
    <w:basedOn w:val="1"/>
    <w:semiHidden/>
    <w:qFormat/>
    <w:uiPriority w:val="0"/>
    <w:pPr>
      <w:widowControl/>
      <w:pBdr>
        <w:left w:val="single" w:color="auto" w:sz="8" w:space="0"/>
        <w:right w:val="single" w:color="auto" w:sz="8" w:space="0"/>
      </w:pBdr>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1113">
    <w:name w:val="!正文"/>
    <w:basedOn w:val="1"/>
    <w:semiHidden/>
    <w:qFormat/>
    <w:uiPriority w:val="0"/>
    <w:pPr>
      <w:spacing w:line="360" w:lineRule="auto"/>
      <w:ind w:firstLine="560" w:firstLineChars="200"/>
    </w:pPr>
    <w:rPr>
      <w:rFonts w:ascii="宋体" w:hAnsi="宋体"/>
      <w:kern w:val="0"/>
      <w:sz w:val="28"/>
      <w:szCs w:val="28"/>
    </w:rPr>
  </w:style>
  <w:style w:type="paragraph" w:customStyle="1" w:styleId="1114">
    <w:name w:val="ZW"/>
    <w:basedOn w:val="1"/>
    <w:semiHidden/>
    <w:qFormat/>
    <w:uiPriority w:val="0"/>
    <w:pPr>
      <w:adjustRightInd w:val="0"/>
      <w:spacing w:line="300" w:lineRule="auto"/>
      <w:ind w:firstLine="200" w:firstLineChars="200"/>
    </w:pPr>
    <w:rPr>
      <w:rFonts w:ascii="Calibri" w:hAnsi="Calibri" w:cs="宋体"/>
      <w:sz w:val="24"/>
      <w:szCs w:val="21"/>
    </w:rPr>
  </w:style>
  <w:style w:type="paragraph" w:customStyle="1" w:styleId="1115">
    <w:name w:val="9"/>
    <w:basedOn w:val="1"/>
    <w:next w:val="34"/>
    <w:semiHidden/>
    <w:qFormat/>
    <w:uiPriority w:val="0"/>
    <w:pPr>
      <w:spacing w:line="400" w:lineRule="exact"/>
      <w:ind w:firstLine="516" w:firstLineChars="215"/>
    </w:pPr>
    <w:rPr>
      <w:rFonts w:ascii="Calibri" w:hAnsi="Calibri"/>
      <w:sz w:val="24"/>
      <w:szCs w:val="21"/>
    </w:rPr>
  </w:style>
  <w:style w:type="paragraph" w:customStyle="1" w:styleId="1116">
    <w:name w:val="gy-4"/>
    <w:basedOn w:val="1"/>
    <w:semiHidden/>
    <w:qFormat/>
    <w:uiPriority w:val="0"/>
    <w:pPr>
      <w:widowControl/>
      <w:adjustRightInd w:val="0"/>
      <w:snapToGrid w:val="0"/>
      <w:spacing w:line="400" w:lineRule="atLeast"/>
      <w:ind w:firstLine="480" w:firstLineChars="200"/>
    </w:pPr>
    <w:rPr>
      <w:rFonts w:ascii="宋体" w:hAnsi="宋体"/>
      <w:kern w:val="0"/>
      <w:sz w:val="24"/>
      <w:szCs w:val="21"/>
    </w:rPr>
  </w:style>
  <w:style w:type="paragraph" w:customStyle="1" w:styleId="1117">
    <w:name w:val="4标"/>
    <w:basedOn w:val="1"/>
    <w:semiHidden/>
    <w:qFormat/>
    <w:uiPriority w:val="0"/>
    <w:pPr>
      <w:keepNext/>
      <w:keepLines/>
      <w:spacing w:beforeLines="50" w:afterLines="50"/>
      <w:outlineLvl w:val="3"/>
    </w:pPr>
    <w:rPr>
      <w:rFonts w:ascii="Calibri" w:hAnsi="Calibri" w:eastAsia="黑体" w:cs="宋体"/>
      <w:szCs w:val="20"/>
    </w:rPr>
  </w:style>
  <w:style w:type="paragraph" w:customStyle="1" w:styleId="1118">
    <w:name w:val="Job Title"/>
    <w:basedOn w:val="33"/>
    <w:semiHidden/>
    <w:qFormat/>
    <w:uiPriority w:val="0"/>
    <w:pPr>
      <w:keepLines/>
      <w:widowControl/>
      <w:overflowPunct w:val="0"/>
      <w:autoSpaceDE w:val="0"/>
      <w:autoSpaceDN w:val="0"/>
      <w:adjustRightInd w:val="0"/>
      <w:spacing w:after="0" w:line="360" w:lineRule="auto"/>
      <w:ind w:left="187" w:firstLine="420" w:firstLineChars="200"/>
      <w:textAlignment w:val="baseline"/>
    </w:pPr>
    <w:rPr>
      <w:rFonts w:ascii="宋体" w:hAnsi="Calibri"/>
      <w:i/>
      <w:kern w:val="0"/>
      <w:sz w:val="20"/>
      <w:szCs w:val="20"/>
    </w:rPr>
  </w:style>
  <w:style w:type="paragraph" w:customStyle="1" w:styleId="1119">
    <w:name w:val="xl118"/>
    <w:basedOn w:val="1"/>
    <w:semiHidden/>
    <w:qFormat/>
    <w:uiPriority w:val="0"/>
    <w:pPr>
      <w:widowControl/>
      <w:pBdr>
        <w:right w:val="single" w:color="auto" w:sz="8" w:space="0"/>
      </w:pBdr>
      <w:spacing w:before="100" w:beforeAutospacing="1" w:after="100" w:afterAutospacing="1" w:line="360" w:lineRule="auto"/>
      <w:ind w:firstLine="420" w:firstLineChars="200"/>
      <w:jc w:val="center"/>
      <w:textAlignment w:val="top"/>
    </w:pPr>
    <w:rPr>
      <w:rFonts w:ascii="Calibri" w:hAnsi="Calibri"/>
      <w:color w:val="000000"/>
      <w:kern w:val="0"/>
      <w:sz w:val="24"/>
      <w:szCs w:val="21"/>
    </w:rPr>
  </w:style>
  <w:style w:type="paragraph" w:customStyle="1" w:styleId="1120">
    <w:name w:val="hb1"/>
    <w:basedOn w:val="2"/>
    <w:semiHidden/>
    <w:qFormat/>
    <w:uiPriority w:val="0"/>
    <w:pPr>
      <w:adjustRightInd w:val="0"/>
      <w:spacing w:line="578" w:lineRule="atLeast"/>
      <w:jc w:val="center"/>
      <w:textAlignment w:val="baseline"/>
    </w:pPr>
    <w:rPr>
      <w:rFonts w:ascii="黑体" w:hAnsi="宋体" w:eastAsia="黑体" w:cs="黑体"/>
      <w:szCs w:val="32"/>
    </w:rPr>
  </w:style>
  <w:style w:type="paragraph" w:customStyle="1" w:styleId="1121">
    <w:name w:val="xl141"/>
    <w:basedOn w:val="1"/>
    <w:semiHidden/>
    <w:qFormat/>
    <w:uiPriority w:val="0"/>
    <w:pPr>
      <w:widowControl/>
      <w:pBdr>
        <w:top w:val="double" w:color="auto" w:sz="6" w:space="0"/>
        <w:left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1122">
    <w:name w:val="1.1.1报告标题"/>
    <w:semiHidden/>
    <w:qFormat/>
    <w:uiPriority w:val="0"/>
    <w:pPr>
      <w:adjustRightInd w:val="0"/>
      <w:snapToGrid w:val="0"/>
      <w:spacing w:line="360" w:lineRule="auto"/>
      <w:outlineLvl w:val="2"/>
    </w:pPr>
    <w:rPr>
      <w:rFonts w:ascii="Calibri" w:hAnsi="Calibri" w:eastAsia="黑体" w:cs="Times New Roman"/>
      <w:color w:val="000000"/>
      <w:kern w:val="2"/>
      <w:sz w:val="28"/>
      <w:szCs w:val="21"/>
      <w:lang w:val="en-US" w:eastAsia="zh-CN" w:bidi="ar-SA"/>
    </w:rPr>
  </w:style>
  <w:style w:type="paragraph" w:customStyle="1" w:styleId="1123">
    <w:name w:val="z表头"/>
    <w:qFormat/>
    <w:uiPriority w:val="0"/>
    <w:pPr>
      <w:kinsoku w:val="0"/>
      <w:overflowPunct w:val="0"/>
      <w:autoSpaceDE w:val="0"/>
      <w:autoSpaceDN w:val="0"/>
      <w:adjustRightInd w:val="0"/>
      <w:snapToGrid w:val="0"/>
    </w:pPr>
    <w:rPr>
      <w:rFonts w:ascii="Times New Roman" w:hAnsi="Times New Roman" w:eastAsia="宋体" w:cs="Times New Roman"/>
      <w:b/>
      <w:color w:val="000000"/>
      <w:kern w:val="2"/>
      <w:sz w:val="24"/>
      <w:szCs w:val="24"/>
      <w:lang w:val="en-US" w:eastAsia="zh-CN" w:bidi="ar-SA"/>
    </w:rPr>
  </w:style>
  <w:style w:type="paragraph" w:customStyle="1" w:styleId="1124">
    <w:name w:val="c"/>
    <w:semiHidden/>
    <w:qFormat/>
    <w:uiPriority w:val="0"/>
    <w:pPr>
      <w:widowControl w:val="0"/>
      <w:autoSpaceDE w:val="0"/>
      <w:autoSpaceDN w:val="0"/>
      <w:adjustRightInd w:val="0"/>
      <w:jc w:val="both"/>
    </w:pPr>
    <w:rPr>
      <w:rFonts w:ascii="Arial" w:hAnsi="Arial" w:eastAsia="宋体" w:cs="Times New Roman"/>
      <w:kern w:val="2"/>
      <w:sz w:val="24"/>
      <w:szCs w:val="21"/>
      <w:lang w:val="en-US" w:eastAsia="zh-CN" w:bidi="ar-SA"/>
    </w:rPr>
  </w:style>
  <w:style w:type="paragraph" w:customStyle="1" w:styleId="1125">
    <w:name w:val="hb2"/>
    <w:basedOn w:val="3"/>
    <w:semiHidden/>
    <w:qFormat/>
    <w:uiPriority w:val="0"/>
    <w:pPr>
      <w:adjustRightInd w:val="0"/>
      <w:spacing w:before="360" w:after="180" w:line="416" w:lineRule="atLeast"/>
      <w:textAlignment w:val="baseline"/>
    </w:pPr>
    <w:rPr>
      <w:rFonts w:ascii="宋体" w:hAnsi="宋体" w:eastAsia="宋体" w:cs="Arial"/>
      <w:kern w:val="0"/>
      <w:sz w:val="28"/>
      <w:szCs w:val="28"/>
    </w:rPr>
  </w:style>
  <w:style w:type="paragraph" w:customStyle="1" w:styleId="1126">
    <w:name w:val="xl109"/>
    <w:basedOn w:val="1"/>
    <w:semiHidden/>
    <w:qFormat/>
    <w:uiPriority w:val="0"/>
    <w:pPr>
      <w:widowControl/>
      <w:pBdr>
        <w:left w:val="single" w:color="auto" w:sz="8" w:space="0"/>
        <w:bottom w:val="single" w:color="auto" w:sz="8" w:space="0"/>
        <w:right w:val="single" w:color="auto" w:sz="8" w:space="0"/>
      </w:pBdr>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1127">
    <w:name w:val="-"/>
    <w:basedOn w:val="1"/>
    <w:semiHidden/>
    <w:qFormat/>
    <w:uiPriority w:val="0"/>
    <w:pPr>
      <w:widowControl/>
      <w:spacing w:before="100" w:beforeAutospacing="1" w:after="100" w:afterAutospacing="1" w:line="360" w:lineRule="auto"/>
      <w:ind w:firstLine="420" w:firstLineChars="200"/>
    </w:pPr>
    <w:rPr>
      <w:rFonts w:ascii="宋体" w:hAnsi="宋体"/>
      <w:kern w:val="0"/>
      <w:sz w:val="24"/>
      <w:szCs w:val="21"/>
    </w:rPr>
  </w:style>
  <w:style w:type="paragraph" w:customStyle="1" w:styleId="1128">
    <w:name w:val="hb3 Char Char Char"/>
    <w:basedOn w:val="4"/>
    <w:semiHidden/>
    <w:qFormat/>
    <w:uiPriority w:val="0"/>
    <w:pPr>
      <w:adjustRightInd w:val="0"/>
      <w:spacing w:before="240" w:after="240" w:line="240" w:lineRule="auto"/>
      <w:textAlignment w:val="baseline"/>
    </w:pPr>
    <w:rPr>
      <w:rFonts w:ascii="Calibri" w:hAnsi="Calibri" w:cs="宋体"/>
      <w:bCs w:val="0"/>
      <w:kern w:val="0"/>
      <w:sz w:val="24"/>
      <w:szCs w:val="24"/>
    </w:rPr>
  </w:style>
  <w:style w:type="paragraph" w:customStyle="1" w:styleId="1129">
    <w:name w:val="Char Char Char Char1 Char Char Char"/>
    <w:basedOn w:val="1"/>
    <w:next w:val="1"/>
    <w:semiHidden/>
    <w:qFormat/>
    <w:uiPriority w:val="0"/>
    <w:pPr>
      <w:spacing w:line="336" w:lineRule="auto"/>
      <w:ind w:firstLine="200" w:firstLineChars="200"/>
    </w:pPr>
    <w:rPr>
      <w:rFonts w:ascii="宋体" w:hAnsi="宋体" w:eastAsia="汉鼎简书宋" w:cs="宋体"/>
      <w:spacing w:val="4"/>
      <w:sz w:val="24"/>
      <w:szCs w:val="21"/>
    </w:rPr>
  </w:style>
  <w:style w:type="paragraph" w:customStyle="1" w:styleId="1130">
    <w:name w:val="font15"/>
    <w:basedOn w:val="1"/>
    <w:semiHidden/>
    <w:qFormat/>
    <w:uiPriority w:val="0"/>
    <w:pPr>
      <w:widowControl/>
      <w:spacing w:before="100" w:beforeAutospacing="1" w:after="100" w:afterAutospacing="1"/>
      <w:jc w:val="left"/>
    </w:pPr>
    <w:rPr>
      <w:rFonts w:ascii="Calibri" w:hAnsi="Calibri"/>
      <w:color w:val="000000"/>
      <w:kern w:val="0"/>
      <w:szCs w:val="21"/>
    </w:rPr>
  </w:style>
  <w:style w:type="paragraph" w:customStyle="1" w:styleId="1131">
    <w:name w:val="font16"/>
    <w:basedOn w:val="1"/>
    <w:semiHidden/>
    <w:qFormat/>
    <w:uiPriority w:val="0"/>
    <w:pPr>
      <w:widowControl/>
      <w:spacing w:before="100" w:beforeAutospacing="1" w:after="100" w:afterAutospacing="1"/>
      <w:jc w:val="left"/>
    </w:pPr>
    <w:rPr>
      <w:rFonts w:ascii="宋体" w:hAnsi="宋体" w:cs="宋体"/>
      <w:kern w:val="0"/>
      <w:sz w:val="18"/>
      <w:szCs w:val="18"/>
    </w:rPr>
  </w:style>
  <w:style w:type="paragraph" w:customStyle="1" w:styleId="1132">
    <w:name w:val="CM39"/>
    <w:basedOn w:val="1"/>
    <w:next w:val="1"/>
    <w:semiHidden/>
    <w:qFormat/>
    <w:uiPriority w:val="0"/>
    <w:pPr>
      <w:autoSpaceDE w:val="0"/>
      <w:autoSpaceDN w:val="0"/>
      <w:adjustRightInd w:val="0"/>
      <w:spacing w:line="271" w:lineRule="atLeast"/>
      <w:jc w:val="left"/>
    </w:pPr>
    <w:rPr>
      <w:rFonts w:ascii="Calibri" w:hAnsi="Calibri"/>
      <w:sz w:val="24"/>
      <w:szCs w:val="21"/>
    </w:rPr>
  </w:style>
  <w:style w:type="paragraph" w:customStyle="1" w:styleId="1133">
    <w:name w:val="4级标"/>
    <w:basedOn w:val="937"/>
    <w:next w:val="937"/>
    <w:semiHidden/>
    <w:qFormat/>
    <w:uiPriority w:val="0"/>
    <w:pPr>
      <w:spacing w:beforeLines="50" w:afterLines="50" w:line="440" w:lineRule="exact"/>
      <w:jc w:val="left"/>
    </w:pPr>
    <w:rPr>
      <w:rFonts w:eastAsia="黑体" w:cs="宋体"/>
      <w:b w:val="0"/>
      <w:bCs w:val="0"/>
      <w:szCs w:val="20"/>
    </w:rPr>
  </w:style>
  <w:style w:type="paragraph" w:customStyle="1" w:styleId="1134">
    <w:name w:val="font17"/>
    <w:basedOn w:val="1"/>
    <w:semiHidden/>
    <w:qFormat/>
    <w:uiPriority w:val="0"/>
    <w:pPr>
      <w:widowControl/>
      <w:spacing w:before="100" w:beforeAutospacing="1" w:after="100" w:afterAutospacing="1"/>
      <w:jc w:val="left"/>
    </w:pPr>
    <w:rPr>
      <w:rFonts w:ascii="宋体" w:hAnsi="宋体" w:cs="宋体"/>
      <w:kern w:val="0"/>
      <w:sz w:val="18"/>
      <w:szCs w:val="18"/>
    </w:rPr>
  </w:style>
  <w:style w:type="paragraph" w:customStyle="1" w:styleId="1135">
    <w:name w:val="Char11"/>
    <w:basedOn w:val="1"/>
    <w:semiHidden/>
    <w:qFormat/>
    <w:uiPriority w:val="0"/>
    <w:pPr>
      <w:spacing w:line="360" w:lineRule="auto"/>
      <w:ind w:firstLine="200" w:firstLineChars="200"/>
    </w:pPr>
    <w:rPr>
      <w:rFonts w:ascii="宋体" w:hAnsi="宋体" w:cs="宋体"/>
      <w:sz w:val="24"/>
      <w:szCs w:val="21"/>
    </w:rPr>
  </w:style>
  <w:style w:type="paragraph" w:customStyle="1" w:styleId="1136">
    <w:name w:val="2级标题"/>
    <w:basedOn w:val="1"/>
    <w:link w:val="2243"/>
    <w:qFormat/>
    <w:uiPriority w:val="0"/>
    <w:pPr>
      <w:spacing w:before="60" w:line="460" w:lineRule="exact"/>
      <w:ind w:firstLine="420" w:firstLineChars="200"/>
      <w:outlineLvl w:val="1"/>
    </w:pPr>
    <w:rPr>
      <w:rFonts w:ascii="Arial" w:hAnsi="Arial" w:cs="Arial"/>
      <w:b/>
      <w:sz w:val="28"/>
      <w:szCs w:val="20"/>
    </w:rPr>
  </w:style>
  <w:style w:type="paragraph" w:customStyle="1" w:styleId="1137">
    <w:name w:val="CM60"/>
    <w:basedOn w:val="1"/>
    <w:next w:val="1"/>
    <w:semiHidden/>
    <w:qFormat/>
    <w:uiPriority w:val="0"/>
    <w:pPr>
      <w:autoSpaceDE w:val="0"/>
      <w:autoSpaceDN w:val="0"/>
      <w:adjustRightInd w:val="0"/>
      <w:spacing w:after="240"/>
      <w:jc w:val="left"/>
    </w:pPr>
    <w:rPr>
      <w:rFonts w:ascii="Calibri" w:hAnsi="Calibri"/>
      <w:sz w:val="24"/>
      <w:szCs w:val="21"/>
    </w:rPr>
  </w:style>
  <w:style w:type="paragraph" w:customStyle="1" w:styleId="1138">
    <w:name w:val="Char Char Char Char1 Char Char Char Char Char"/>
    <w:basedOn w:val="1"/>
    <w:next w:val="1"/>
    <w:semiHidden/>
    <w:qFormat/>
    <w:uiPriority w:val="0"/>
    <w:pPr>
      <w:spacing w:line="336" w:lineRule="auto"/>
      <w:ind w:firstLine="200" w:firstLineChars="200"/>
    </w:pPr>
    <w:rPr>
      <w:rFonts w:ascii="宋体" w:hAnsi="宋体" w:eastAsia="汉鼎简书宋" w:cs="宋体"/>
      <w:spacing w:val="4"/>
      <w:sz w:val="24"/>
      <w:szCs w:val="21"/>
    </w:rPr>
  </w:style>
  <w:style w:type="paragraph" w:customStyle="1" w:styleId="1139">
    <w:name w:val="33"/>
    <w:basedOn w:val="1"/>
    <w:semiHidden/>
    <w:qFormat/>
    <w:uiPriority w:val="0"/>
    <w:pPr>
      <w:tabs>
        <w:tab w:val="left" w:pos="720"/>
      </w:tabs>
      <w:spacing w:beforeLines="50" w:afterLines="50"/>
      <w:jc w:val="left"/>
      <w:outlineLvl w:val="2"/>
    </w:pPr>
    <w:rPr>
      <w:rFonts w:ascii="Calibri" w:hAnsi="Calibri" w:eastAsia="黑体" w:cs="宋体"/>
      <w:bCs/>
      <w:sz w:val="28"/>
      <w:szCs w:val="20"/>
    </w:rPr>
  </w:style>
  <w:style w:type="paragraph" w:customStyle="1" w:styleId="1140">
    <w:name w:val="xl23"/>
    <w:basedOn w:val="1"/>
    <w:semiHidden/>
    <w:qFormat/>
    <w:uiPriority w:val="0"/>
    <w:pPr>
      <w:widowControl/>
      <w:pBdr>
        <w:bottom w:val="single" w:color="auto" w:sz="4" w:space="0"/>
        <w:right w:val="single" w:color="auto" w:sz="4" w:space="0"/>
      </w:pBdr>
      <w:spacing w:before="100" w:beforeAutospacing="1" w:after="100" w:afterAutospacing="1"/>
      <w:jc w:val="center"/>
    </w:pPr>
    <w:rPr>
      <w:rFonts w:ascii="Calibri" w:hAnsi="Calibri"/>
      <w:kern w:val="0"/>
      <w:szCs w:val="21"/>
    </w:rPr>
  </w:style>
  <w:style w:type="paragraph" w:customStyle="1" w:styleId="1141">
    <w:name w:val="Footer Odd"/>
    <w:basedOn w:val="54"/>
    <w:semiHidden/>
    <w:qFormat/>
    <w:uiPriority w:val="0"/>
    <w:pPr>
      <w:keepLines/>
      <w:widowControl/>
      <w:pBdr>
        <w:top w:val="single" w:color="auto" w:sz="8" w:space="1"/>
      </w:pBdr>
      <w:tabs>
        <w:tab w:val="right" w:pos="0"/>
        <w:tab w:val="center" w:pos="4320"/>
        <w:tab w:val="right" w:pos="8640"/>
        <w:tab w:val="clear" w:pos="4153"/>
        <w:tab w:val="clear" w:pos="8306"/>
      </w:tabs>
      <w:overflowPunct w:val="0"/>
      <w:autoSpaceDE w:val="0"/>
      <w:autoSpaceDN w:val="0"/>
      <w:adjustRightInd w:val="0"/>
      <w:snapToGrid/>
      <w:ind w:firstLine="420" w:firstLineChars="200"/>
      <w:jc w:val="right"/>
      <w:textAlignment w:val="baseline"/>
    </w:pPr>
    <w:rPr>
      <w:rFonts w:ascii="Calibri" w:hAnsi="Calibri"/>
      <w:kern w:val="0"/>
      <w:sz w:val="20"/>
      <w:szCs w:val="20"/>
    </w:rPr>
  </w:style>
  <w:style w:type="paragraph" w:customStyle="1" w:styleId="1142">
    <w:name w:val="Char Char1 Char2"/>
    <w:basedOn w:val="1"/>
    <w:next w:val="1"/>
    <w:semiHidden/>
    <w:qFormat/>
    <w:uiPriority w:val="0"/>
    <w:pPr>
      <w:spacing w:line="360" w:lineRule="auto"/>
      <w:ind w:firstLine="200" w:firstLineChars="200"/>
    </w:pPr>
    <w:rPr>
      <w:rFonts w:ascii="宋体" w:hAnsi="宋体" w:cs="宋体"/>
      <w:sz w:val="24"/>
      <w:szCs w:val="21"/>
    </w:rPr>
  </w:style>
  <w:style w:type="paragraph" w:customStyle="1" w:styleId="1143">
    <w:name w:val="Char Char Char Char Char Char Char3"/>
    <w:basedOn w:val="1"/>
    <w:next w:val="1"/>
    <w:semiHidden/>
    <w:qFormat/>
    <w:uiPriority w:val="0"/>
    <w:pPr>
      <w:spacing w:line="360" w:lineRule="auto"/>
      <w:ind w:firstLine="200" w:firstLineChars="200"/>
    </w:pPr>
    <w:rPr>
      <w:rFonts w:ascii="宋体" w:hAnsi="宋体" w:cs="宋体"/>
      <w:sz w:val="24"/>
      <w:szCs w:val="21"/>
    </w:rPr>
  </w:style>
  <w:style w:type="paragraph" w:customStyle="1" w:styleId="1144">
    <w:name w:val="标题 #21"/>
    <w:basedOn w:val="1"/>
    <w:semiHidden/>
    <w:qFormat/>
    <w:uiPriority w:val="0"/>
    <w:pPr>
      <w:widowControl/>
      <w:shd w:val="clear" w:color="auto" w:fill="FFFFFF"/>
      <w:spacing w:before="360" w:line="547" w:lineRule="exact"/>
      <w:jc w:val="distribute"/>
      <w:outlineLvl w:val="1"/>
    </w:pPr>
    <w:rPr>
      <w:rFonts w:ascii="黑体" w:hAnsi="Calibri" w:eastAsia="黑体"/>
      <w:b/>
      <w:bCs/>
      <w:kern w:val="0"/>
      <w:sz w:val="29"/>
      <w:szCs w:val="29"/>
      <w:shd w:val="clear" w:color="auto" w:fill="FFFFFF"/>
    </w:rPr>
  </w:style>
  <w:style w:type="paragraph" w:customStyle="1" w:styleId="1145">
    <w:name w:val="content"/>
    <w:basedOn w:val="1"/>
    <w:semiHidden/>
    <w:qFormat/>
    <w:uiPriority w:val="0"/>
    <w:pPr>
      <w:widowControl/>
      <w:spacing w:before="100" w:beforeAutospacing="1" w:after="100" w:afterAutospacing="1" w:line="270" w:lineRule="atLeast"/>
      <w:jc w:val="left"/>
    </w:pPr>
    <w:rPr>
      <w:rFonts w:ascii="宋体" w:hAnsi="宋体"/>
      <w:color w:val="000000"/>
      <w:kern w:val="0"/>
      <w:szCs w:val="21"/>
    </w:rPr>
  </w:style>
  <w:style w:type="paragraph" w:customStyle="1" w:styleId="1146">
    <w:name w:val="xl86"/>
    <w:basedOn w:val="1"/>
    <w:semiHidden/>
    <w:qFormat/>
    <w:uiPriority w:val="0"/>
    <w:pPr>
      <w:widowControl/>
      <w:pBdr>
        <w:left w:val="single" w:color="auto" w:sz="8" w:space="0"/>
        <w:bottom w:val="single" w:color="auto" w:sz="12" w:space="0"/>
      </w:pBdr>
      <w:spacing w:before="100" w:beforeAutospacing="1" w:after="100" w:afterAutospacing="1" w:line="360" w:lineRule="auto"/>
      <w:ind w:firstLine="420" w:firstLineChars="200"/>
      <w:textAlignment w:val="top"/>
    </w:pPr>
    <w:rPr>
      <w:rFonts w:ascii="Calibri" w:hAnsi="Calibri"/>
      <w:color w:val="000000"/>
      <w:kern w:val="0"/>
      <w:sz w:val="24"/>
      <w:szCs w:val="21"/>
    </w:rPr>
  </w:style>
  <w:style w:type="paragraph" w:customStyle="1" w:styleId="1147">
    <w:name w:val="基准脚注"/>
    <w:basedOn w:val="1"/>
    <w:semiHidden/>
    <w:qFormat/>
    <w:uiPriority w:val="0"/>
    <w:pPr>
      <w:widowControl/>
      <w:tabs>
        <w:tab w:val="left" w:pos="187"/>
      </w:tabs>
      <w:overflowPunct w:val="0"/>
      <w:autoSpaceDE w:val="0"/>
      <w:autoSpaceDN w:val="0"/>
      <w:adjustRightInd w:val="0"/>
      <w:spacing w:line="220" w:lineRule="exact"/>
      <w:ind w:left="187" w:hanging="187"/>
      <w:jc w:val="left"/>
      <w:textAlignment w:val="baseline"/>
    </w:pPr>
    <w:rPr>
      <w:rFonts w:ascii="Calibri" w:hAnsi="Calibri"/>
      <w:sz w:val="18"/>
      <w:szCs w:val="20"/>
    </w:rPr>
  </w:style>
  <w:style w:type="paragraph" w:customStyle="1" w:styleId="1148">
    <w:name w:val="xl138"/>
    <w:basedOn w:val="1"/>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kern w:val="0"/>
      <w:sz w:val="20"/>
      <w:szCs w:val="20"/>
    </w:rPr>
  </w:style>
  <w:style w:type="paragraph" w:customStyle="1" w:styleId="1149">
    <w:name w:val="CM5"/>
    <w:basedOn w:val="1"/>
    <w:next w:val="1"/>
    <w:semiHidden/>
    <w:qFormat/>
    <w:uiPriority w:val="0"/>
    <w:pPr>
      <w:autoSpaceDE w:val="0"/>
      <w:autoSpaceDN w:val="0"/>
      <w:adjustRightInd w:val="0"/>
      <w:spacing w:line="460" w:lineRule="atLeast"/>
      <w:jc w:val="left"/>
    </w:pPr>
    <w:rPr>
      <w:rFonts w:ascii="Calibri" w:hAnsi="Calibri"/>
      <w:sz w:val="24"/>
      <w:szCs w:val="21"/>
    </w:rPr>
  </w:style>
  <w:style w:type="paragraph" w:customStyle="1" w:styleId="1150">
    <w:name w:val="Char Char Char Char Char Char Char Char2"/>
    <w:basedOn w:val="1"/>
    <w:next w:val="1"/>
    <w:semiHidden/>
    <w:qFormat/>
    <w:uiPriority w:val="0"/>
    <w:pPr>
      <w:spacing w:line="336" w:lineRule="auto"/>
      <w:ind w:firstLine="200" w:firstLineChars="200"/>
    </w:pPr>
    <w:rPr>
      <w:rFonts w:ascii="宋体" w:hAnsi="宋体" w:eastAsia="汉鼎简书宋"/>
      <w:spacing w:val="4"/>
      <w:sz w:val="24"/>
      <w:szCs w:val="20"/>
    </w:rPr>
  </w:style>
  <w:style w:type="paragraph" w:customStyle="1" w:styleId="1151">
    <w:name w:val="6"/>
    <w:basedOn w:val="1"/>
    <w:next w:val="50"/>
    <w:semiHidden/>
    <w:qFormat/>
    <w:uiPriority w:val="0"/>
    <w:pPr>
      <w:keepNext/>
      <w:spacing w:after="120" w:line="480" w:lineRule="auto"/>
      <w:ind w:left="420" w:leftChars="200" w:firstLine="200" w:firstLineChars="200"/>
    </w:pPr>
    <w:rPr>
      <w:rFonts w:ascii="Calibri" w:hAnsi="Calibri"/>
      <w:sz w:val="24"/>
      <w:szCs w:val="21"/>
    </w:rPr>
  </w:style>
  <w:style w:type="paragraph" w:customStyle="1" w:styleId="1152">
    <w:name w:val="a正文"/>
    <w:basedOn w:val="1"/>
    <w:semiHidden/>
    <w:qFormat/>
    <w:uiPriority w:val="0"/>
    <w:pPr>
      <w:spacing w:line="360" w:lineRule="auto"/>
      <w:ind w:firstLine="200" w:firstLineChars="200"/>
    </w:pPr>
    <w:rPr>
      <w:rFonts w:ascii="Calibri" w:hAnsi="Calibri"/>
      <w:sz w:val="24"/>
      <w:szCs w:val="21"/>
    </w:rPr>
  </w:style>
  <w:style w:type="paragraph" w:customStyle="1" w:styleId="1153">
    <w:name w:val="7"/>
    <w:basedOn w:val="1"/>
    <w:next w:val="50"/>
    <w:semiHidden/>
    <w:qFormat/>
    <w:uiPriority w:val="0"/>
    <w:pPr>
      <w:keepNext/>
      <w:spacing w:after="120" w:line="480" w:lineRule="auto"/>
      <w:ind w:left="420" w:leftChars="200" w:firstLine="200" w:firstLineChars="200"/>
    </w:pPr>
    <w:rPr>
      <w:rFonts w:ascii="Calibri" w:hAnsi="Calibri"/>
      <w:sz w:val="24"/>
      <w:szCs w:val="21"/>
    </w:rPr>
  </w:style>
  <w:style w:type="paragraph" w:customStyle="1" w:styleId="1154">
    <w:name w:val="Char Char Char Char Char Char Char Char Char Char Char Char"/>
    <w:basedOn w:val="1"/>
    <w:semiHidden/>
    <w:qFormat/>
    <w:uiPriority w:val="0"/>
    <w:pPr>
      <w:spacing w:line="360" w:lineRule="auto"/>
      <w:ind w:firstLine="420" w:firstLineChars="200"/>
    </w:pPr>
    <w:rPr>
      <w:rFonts w:ascii="Calibri" w:hAnsi="Calibri"/>
      <w:sz w:val="24"/>
      <w:szCs w:val="20"/>
    </w:rPr>
  </w:style>
  <w:style w:type="paragraph" w:customStyle="1" w:styleId="1155">
    <w:name w:val="xl90"/>
    <w:basedOn w:val="1"/>
    <w:semiHidden/>
    <w:qFormat/>
    <w:uiPriority w:val="0"/>
    <w:pPr>
      <w:widowControl/>
      <w:pBdr>
        <w:top w:val="single" w:color="auto" w:sz="8" w:space="0"/>
        <w:left w:val="single" w:color="auto" w:sz="8" w:space="0"/>
        <w:right w:val="single" w:color="auto" w:sz="12" w:space="0"/>
      </w:pBdr>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1156">
    <w:name w:val="Char Char Char Char1 Char Char Char Char Char Char"/>
    <w:basedOn w:val="1"/>
    <w:next w:val="1"/>
    <w:semiHidden/>
    <w:qFormat/>
    <w:uiPriority w:val="0"/>
    <w:pPr>
      <w:spacing w:line="336" w:lineRule="auto"/>
      <w:ind w:firstLine="200" w:firstLineChars="200"/>
    </w:pPr>
    <w:rPr>
      <w:rFonts w:ascii="宋体" w:hAnsi="宋体" w:eastAsia="汉鼎简书宋" w:cs="宋体"/>
      <w:spacing w:val="4"/>
      <w:sz w:val="24"/>
      <w:szCs w:val="21"/>
    </w:rPr>
  </w:style>
  <w:style w:type="paragraph" w:customStyle="1" w:styleId="1157">
    <w:name w:val="xl91"/>
    <w:basedOn w:val="1"/>
    <w:semiHidden/>
    <w:qFormat/>
    <w:uiPriority w:val="0"/>
    <w:pPr>
      <w:widowControl/>
      <w:pBdr>
        <w:left w:val="single" w:color="auto" w:sz="8" w:space="0"/>
        <w:bottom w:val="single" w:color="auto" w:sz="8" w:space="0"/>
        <w:right w:val="single" w:color="auto" w:sz="12" w:space="0"/>
      </w:pBdr>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1158">
    <w:name w:val="阿表"/>
    <w:basedOn w:val="1"/>
    <w:semiHidden/>
    <w:qFormat/>
    <w:uiPriority w:val="0"/>
    <w:pPr>
      <w:jc w:val="center"/>
    </w:pPr>
    <w:rPr>
      <w:rFonts w:ascii="Calibri" w:hAnsi="Calibri"/>
      <w:szCs w:val="21"/>
    </w:rPr>
  </w:style>
  <w:style w:type="paragraph" w:customStyle="1" w:styleId="1159">
    <w:name w:val="Bullet"/>
    <w:basedOn w:val="1"/>
    <w:next w:val="1"/>
    <w:semiHidden/>
    <w:qFormat/>
    <w:uiPriority w:val="0"/>
    <w:pPr>
      <w:widowControl/>
      <w:suppressLineNumbers/>
      <w:tabs>
        <w:tab w:val="left" w:pos="360"/>
      </w:tabs>
      <w:suppressAutoHyphens/>
      <w:spacing w:after="240"/>
      <w:ind w:left="720" w:hanging="360"/>
    </w:pPr>
    <w:rPr>
      <w:rFonts w:ascii="Calibri" w:hAnsi="Calibri"/>
      <w:kern w:val="0"/>
      <w:sz w:val="23"/>
      <w:szCs w:val="20"/>
      <w:lang w:eastAsia="en-US"/>
    </w:rPr>
  </w:style>
  <w:style w:type="paragraph" w:customStyle="1" w:styleId="1160">
    <w:name w:val="基准标题"/>
    <w:basedOn w:val="33"/>
    <w:next w:val="33"/>
    <w:semiHidden/>
    <w:qFormat/>
    <w:uiPriority w:val="0"/>
    <w:pPr>
      <w:widowControl/>
      <w:spacing w:after="0" w:line="620" w:lineRule="exact"/>
      <w:jc w:val="center"/>
    </w:pPr>
    <w:rPr>
      <w:rFonts w:ascii="宋体" w:hAnsi="Calibri"/>
      <w:sz w:val="18"/>
      <w:szCs w:val="18"/>
    </w:rPr>
  </w:style>
  <w:style w:type="paragraph" w:customStyle="1" w:styleId="1161">
    <w:name w:val="ch中文正文"/>
    <w:semiHidden/>
    <w:qFormat/>
    <w:uiPriority w:val="0"/>
    <w:pPr>
      <w:spacing w:beforeLines="50" w:afterLines="50" w:line="360" w:lineRule="auto"/>
      <w:ind w:firstLine="200" w:firstLineChars="200"/>
    </w:pPr>
    <w:rPr>
      <w:rFonts w:ascii="Calibri" w:hAnsi="Calibri" w:eastAsia="宋体" w:cs="Times New Roman"/>
      <w:kern w:val="2"/>
      <w:sz w:val="24"/>
      <w:szCs w:val="21"/>
      <w:lang w:val="en-US" w:eastAsia="zh-CN" w:bidi="ar-SA"/>
    </w:rPr>
  </w:style>
  <w:style w:type="paragraph" w:customStyle="1" w:styleId="1162">
    <w:name w:val="xl19"/>
    <w:basedOn w:val="1"/>
    <w:semiHidden/>
    <w:qFormat/>
    <w:uiPriority w:val="0"/>
    <w:pPr>
      <w:widowControl/>
      <w:spacing w:before="100" w:beforeAutospacing="1" w:after="100" w:afterAutospacing="1"/>
      <w:jc w:val="left"/>
    </w:pPr>
    <w:rPr>
      <w:rFonts w:ascii="Arial Unicode MS" w:hAnsi="Arial Unicode MS" w:eastAsia="Arial Unicode MS"/>
      <w:color w:val="FF0000"/>
      <w:kern w:val="0"/>
      <w:sz w:val="18"/>
      <w:szCs w:val="18"/>
    </w:rPr>
  </w:style>
  <w:style w:type="paragraph" w:customStyle="1" w:styleId="1163">
    <w:name w:val="Heading Base"/>
    <w:basedOn w:val="1"/>
    <w:next w:val="33"/>
    <w:semiHidden/>
    <w:qFormat/>
    <w:uiPriority w:val="0"/>
    <w:pPr>
      <w:keepNext/>
      <w:keepLines/>
      <w:widowControl/>
      <w:overflowPunct w:val="0"/>
      <w:autoSpaceDE w:val="0"/>
      <w:autoSpaceDN w:val="0"/>
      <w:adjustRightInd w:val="0"/>
      <w:spacing w:before="240" w:after="120" w:line="360" w:lineRule="auto"/>
      <w:ind w:firstLine="420" w:firstLineChars="200"/>
      <w:textAlignment w:val="baseline"/>
    </w:pPr>
    <w:rPr>
      <w:rFonts w:ascii="Arial" w:hAnsi="Arial"/>
      <w:b/>
      <w:kern w:val="28"/>
      <w:sz w:val="36"/>
      <w:szCs w:val="20"/>
    </w:rPr>
  </w:style>
  <w:style w:type="paragraph" w:customStyle="1" w:styleId="1164">
    <w:name w:val="Char Char Char1 Char Char Char Char Char Char Char"/>
    <w:basedOn w:val="1"/>
    <w:semiHidden/>
    <w:qFormat/>
    <w:uiPriority w:val="0"/>
    <w:pPr>
      <w:spacing w:line="360" w:lineRule="auto"/>
      <w:ind w:firstLine="420" w:firstLineChars="200"/>
    </w:pPr>
    <w:rPr>
      <w:rFonts w:ascii="Calibri" w:hAnsi="Calibri"/>
      <w:sz w:val="24"/>
      <w:szCs w:val="21"/>
    </w:rPr>
  </w:style>
  <w:style w:type="paragraph" w:customStyle="1" w:styleId="1165">
    <w:name w:val="CM57"/>
    <w:basedOn w:val="1"/>
    <w:next w:val="1"/>
    <w:semiHidden/>
    <w:qFormat/>
    <w:uiPriority w:val="0"/>
    <w:pPr>
      <w:autoSpaceDE w:val="0"/>
      <w:autoSpaceDN w:val="0"/>
      <w:adjustRightInd w:val="0"/>
      <w:spacing w:after="318"/>
      <w:jc w:val="left"/>
    </w:pPr>
    <w:rPr>
      <w:rFonts w:ascii="Calibri" w:hAnsi="Calibri"/>
      <w:sz w:val="24"/>
      <w:szCs w:val="21"/>
    </w:rPr>
  </w:style>
  <w:style w:type="paragraph" w:customStyle="1" w:styleId="1166">
    <w:name w:val="yy标题2"/>
    <w:basedOn w:val="1"/>
    <w:next w:val="1"/>
    <w:semiHidden/>
    <w:qFormat/>
    <w:uiPriority w:val="0"/>
    <w:pPr>
      <w:keepNext/>
      <w:spacing w:line="360" w:lineRule="auto"/>
      <w:outlineLvl w:val="1"/>
    </w:pPr>
    <w:rPr>
      <w:rFonts w:ascii="宋体" w:hAnsi="宋体" w:eastAsia="黑体"/>
      <w:b/>
      <w:bCs/>
      <w:sz w:val="28"/>
      <w:szCs w:val="32"/>
    </w:rPr>
  </w:style>
  <w:style w:type="paragraph" w:customStyle="1" w:styleId="1167">
    <w:name w:val="zhengwenzhengwen"/>
    <w:basedOn w:val="1"/>
    <w:semiHidden/>
    <w:qFormat/>
    <w:uiPriority w:val="0"/>
    <w:pPr>
      <w:spacing w:line="460" w:lineRule="exact"/>
      <w:ind w:firstLine="200" w:firstLineChars="200"/>
    </w:pPr>
    <w:rPr>
      <w:rFonts w:ascii="Calibri" w:hAnsi="Calibri"/>
      <w:sz w:val="24"/>
      <w:szCs w:val="21"/>
    </w:rPr>
  </w:style>
  <w:style w:type="paragraph" w:customStyle="1" w:styleId="1168">
    <w:name w:val="xl180"/>
    <w:basedOn w:val="1"/>
    <w:semiHidden/>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169">
    <w:name w:val="xl29"/>
    <w:basedOn w:val="1"/>
    <w:semiHidden/>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ind w:firstLine="200" w:firstLineChars="200"/>
      <w:jc w:val="right"/>
    </w:pPr>
    <w:rPr>
      <w:rFonts w:ascii="宋体" w:hAnsi="宋体" w:eastAsia="汉鼎简书宋" w:cs="宋体"/>
      <w:kern w:val="0"/>
      <w:sz w:val="20"/>
      <w:szCs w:val="20"/>
    </w:rPr>
  </w:style>
  <w:style w:type="paragraph" w:customStyle="1" w:styleId="1170">
    <w:name w:val="a"/>
    <w:basedOn w:val="1"/>
    <w:semiHidden/>
    <w:qFormat/>
    <w:uiPriority w:val="0"/>
    <w:pPr>
      <w:widowControl/>
      <w:spacing w:before="100" w:beforeAutospacing="1" w:after="100" w:afterAutospacing="1" w:line="360" w:lineRule="auto"/>
      <w:ind w:firstLine="420" w:firstLineChars="200"/>
    </w:pPr>
    <w:rPr>
      <w:rFonts w:ascii="宋体" w:hAnsi="宋体" w:cs="宋体"/>
      <w:kern w:val="0"/>
      <w:sz w:val="24"/>
      <w:szCs w:val="21"/>
    </w:rPr>
  </w:style>
  <w:style w:type="paragraph" w:customStyle="1" w:styleId="1171">
    <w:name w:val="xl30"/>
    <w:basedOn w:val="1"/>
    <w:semiHidden/>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kern w:val="0"/>
      <w:sz w:val="24"/>
      <w:szCs w:val="21"/>
    </w:rPr>
  </w:style>
  <w:style w:type="paragraph" w:customStyle="1" w:styleId="1172">
    <w:name w:val="ljw正文"/>
    <w:basedOn w:val="1"/>
    <w:semiHidden/>
    <w:qFormat/>
    <w:uiPriority w:val="0"/>
    <w:pPr>
      <w:adjustRightInd w:val="0"/>
      <w:snapToGrid w:val="0"/>
      <w:spacing w:afterLines="50" w:line="300" w:lineRule="auto"/>
      <w:ind w:firstLine="480" w:firstLineChars="200"/>
    </w:pPr>
    <w:rPr>
      <w:rFonts w:ascii="宋体" w:hAnsi="宋体" w:cs="宋体"/>
      <w:sz w:val="24"/>
      <w:szCs w:val="21"/>
    </w:rPr>
  </w:style>
  <w:style w:type="paragraph" w:customStyle="1" w:styleId="1173">
    <w:name w:val="C0 Plain Text"/>
    <w:basedOn w:val="1"/>
    <w:semiHidden/>
    <w:qFormat/>
    <w:uiPriority w:val="0"/>
    <w:pPr>
      <w:widowControl/>
      <w:overflowPunct w:val="0"/>
      <w:autoSpaceDE w:val="0"/>
      <w:autoSpaceDN w:val="0"/>
      <w:adjustRightInd w:val="0"/>
      <w:spacing w:before="120" w:after="120"/>
      <w:textAlignment w:val="baseline"/>
    </w:pPr>
    <w:rPr>
      <w:rFonts w:ascii="Calibri" w:hAnsi="Calibri"/>
      <w:kern w:val="0"/>
      <w:sz w:val="24"/>
      <w:szCs w:val="20"/>
      <w:lang w:val="en-GB" w:eastAsia="en-US"/>
    </w:rPr>
  </w:style>
  <w:style w:type="paragraph" w:customStyle="1" w:styleId="1174">
    <w:name w:val="Achievement"/>
    <w:basedOn w:val="33"/>
    <w:semiHidden/>
    <w:qFormat/>
    <w:uiPriority w:val="0"/>
    <w:pPr>
      <w:widowControl/>
      <w:tabs>
        <w:tab w:val="left" w:pos="851"/>
      </w:tabs>
      <w:spacing w:after="60" w:line="220" w:lineRule="atLeast"/>
      <w:ind w:left="851" w:right="-360" w:hanging="454"/>
      <w:jc w:val="left"/>
    </w:pPr>
    <w:rPr>
      <w:rFonts w:ascii="宋体" w:hAnsi="Calibri"/>
      <w:kern w:val="0"/>
      <w:sz w:val="20"/>
      <w:szCs w:val="20"/>
    </w:rPr>
  </w:style>
  <w:style w:type="paragraph" w:customStyle="1" w:styleId="1175">
    <w:name w:val="CM58"/>
    <w:basedOn w:val="1"/>
    <w:next w:val="1"/>
    <w:semiHidden/>
    <w:qFormat/>
    <w:uiPriority w:val="0"/>
    <w:pPr>
      <w:autoSpaceDE w:val="0"/>
      <w:autoSpaceDN w:val="0"/>
      <w:adjustRightInd w:val="0"/>
      <w:spacing w:after="155"/>
      <w:jc w:val="left"/>
    </w:pPr>
    <w:rPr>
      <w:rFonts w:ascii="Calibri" w:hAnsi="Calibri"/>
      <w:sz w:val="24"/>
      <w:szCs w:val="21"/>
    </w:rPr>
  </w:style>
  <w:style w:type="paragraph" w:customStyle="1" w:styleId="1176">
    <w:name w:val="xl181"/>
    <w:basedOn w:val="1"/>
    <w:semiHidden/>
    <w:qFormat/>
    <w:uiPriority w:val="0"/>
    <w:pPr>
      <w:widowControl/>
      <w:pBdr>
        <w:top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177">
    <w:name w:val="hb3新"/>
    <w:basedOn w:val="4"/>
    <w:semiHidden/>
    <w:qFormat/>
    <w:uiPriority w:val="0"/>
    <w:pPr>
      <w:topLinePunct/>
      <w:adjustRightInd w:val="0"/>
      <w:spacing w:line="240" w:lineRule="auto"/>
      <w:ind w:firstLine="200" w:firstLineChars="200"/>
      <w:textAlignment w:val="baseline"/>
    </w:pPr>
    <w:rPr>
      <w:rFonts w:ascii="宋体" w:hAnsi="宋体"/>
      <w:b w:val="0"/>
      <w:color w:val="000000"/>
      <w:kern w:val="0"/>
      <w:szCs w:val="24"/>
    </w:rPr>
  </w:style>
  <w:style w:type="paragraph" w:customStyle="1" w:styleId="1178">
    <w:name w:val="xl157"/>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179">
    <w:name w:val="Char Char Char Char Char Char Char Char2 Char Char Char Char Char Char Char"/>
    <w:basedOn w:val="1"/>
    <w:next w:val="1"/>
    <w:semiHidden/>
    <w:qFormat/>
    <w:uiPriority w:val="0"/>
    <w:pPr>
      <w:spacing w:line="336" w:lineRule="auto"/>
      <w:ind w:firstLine="200" w:firstLineChars="200"/>
    </w:pPr>
    <w:rPr>
      <w:rFonts w:ascii="宋体" w:hAnsi="宋体" w:eastAsia="汉鼎简书宋"/>
      <w:spacing w:val="4"/>
      <w:sz w:val="24"/>
      <w:szCs w:val="20"/>
    </w:rPr>
  </w:style>
  <w:style w:type="paragraph" w:customStyle="1" w:styleId="1180">
    <w:name w:val="xl22"/>
    <w:basedOn w:val="1"/>
    <w:semiHidden/>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宋体" w:eastAsia="仿宋_GB2312"/>
      <w:kern w:val="0"/>
      <w:szCs w:val="21"/>
    </w:rPr>
  </w:style>
  <w:style w:type="paragraph" w:customStyle="1" w:styleId="1181">
    <w:name w:val="Char Char Char Char Char Char Char Char2 Char Char Char Char Char Char Char Char Char Char Char Char Char Char Char"/>
    <w:basedOn w:val="1"/>
    <w:next w:val="1"/>
    <w:semiHidden/>
    <w:qFormat/>
    <w:uiPriority w:val="0"/>
    <w:pPr>
      <w:spacing w:line="336" w:lineRule="auto"/>
      <w:ind w:firstLine="200" w:firstLineChars="200"/>
    </w:pPr>
    <w:rPr>
      <w:rFonts w:ascii="Calibri" w:hAnsi="Calibri"/>
      <w:spacing w:val="4"/>
      <w:sz w:val="24"/>
      <w:szCs w:val="20"/>
    </w:rPr>
  </w:style>
  <w:style w:type="paragraph" w:customStyle="1" w:styleId="1182">
    <w:name w:val="List Last"/>
    <w:basedOn w:val="65"/>
    <w:next w:val="33"/>
    <w:semiHidden/>
    <w:qFormat/>
    <w:uiPriority w:val="0"/>
    <w:pPr>
      <w:widowControl/>
      <w:tabs>
        <w:tab w:val="left" w:pos="720"/>
      </w:tabs>
      <w:overflowPunct w:val="0"/>
      <w:autoSpaceDE w:val="0"/>
      <w:autoSpaceDN w:val="0"/>
      <w:adjustRightInd w:val="0"/>
      <w:spacing w:after="240" w:line="360" w:lineRule="auto"/>
      <w:ind w:left="720" w:hanging="360" w:firstLineChars="200"/>
      <w:textAlignment w:val="baseline"/>
    </w:pPr>
    <w:rPr>
      <w:rFonts w:ascii="Calibri" w:hAnsi="Calibri" w:eastAsia="汉鼎简书宋"/>
      <w:kern w:val="0"/>
      <w:sz w:val="20"/>
      <w:szCs w:val="20"/>
    </w:rPr>
  </w:style>
  <w:style w:type="paragraph" w:customStyle="1" w:styleId="1183">
    <w:name w:val="Char Char Char Char Char Char Char Char Char Char Char Char Char1"/>
    <w:basedOn w:val="1"/>
    <w:next w:val="1"/>
    <w:semiHidden/>
    <w:qFormat/>
    <w:uiPriority w:val="0"/>
    <w:pPr>
      <w:adjustRightInd w:val="0"/>
      <w:spacing w:line="360" w:lineRule="auto"/>
      <w:ind w:firstLine="200" w:firstLineChars="200"/>
      <w:textAlignment w:val="baseline"/>
    </w:pPr>
    <w:rPr>
      <w:rFonts w:ascii="宋体" w:hAnsi="宋体" w:cs="宋体"/>
      <w:sz w:val="24"/>
      <w:szCs w:val="21"/>
    </w:rPr>
  </w:style>
  <w:style w:type="paragraph" w:customStyle="1" w:styleId="1184">
    <w:name w:val="xl95"/>
    <w:basedOn w:val="1"/>
    <w:semiHidden/>
    <w:qFormat/>
    <w:uiPriority w:val="0"/>
    <w:pPr>
      <w:widowControl/>
      <w:pBdr>
        <w:bottom w:val="single" w:color="auto" w:sz="8" w:space="0"/>
        <w:right w:val="single" w:color="auto" w:sz="8" w:space="0"/>
      </w:pBdr>
      <w:spacing w:before="100" w:beforeAutospacing="1" w:after="100" w:afterAutospacing="1" w:line="360" w:lineRule="auto"/>
      <w:ind w:firstLine="420" w:firstLineChars="200"/>
      <w:textAlignment w:val="top"/>
    </w:pPr>
    <w:rPr>
      <w:rFonts w:ascii="Calibri" w:hAnsi="Calibri"/>
      <w:color w:val="000000"/>
      <w:kern w:val="0"/>
      <w:sz w:val="24"/>
      <w:szCs w:val="21"/>
    </w:rPr>
  </w:style>
  <w:style w:type="paragraph" w:customStyle="1" w:styleId="1185">
    <w:name w:val="BIG BOLD"/>
    <w:basedOn w:val="1"/>
    <w:semiHidden/>
    <w:qFormat/>
    <w:uiPriority w:val="0"/>
    <w:pPr>
      <w:tabs>
        <w:tab w:val="left" w:leader="underscore" w:pos="1134"/>
      </w:tabs>
    </w:pPr>
    <w:rPr>
      <w:rFonts w:ascii="Calibri" w:hAnsi="Calibri"/>
      <w:szCs w:val="20"/>
    </w:rPr>
  </w:style>
  <w:style w:type="paragraph" w:customStyle="1" w:styleId="1186">
    <w:name w:val="Document Label"/>
    <w:basedOn w:val="1"/>
    <w:semiHidden/>
    <w:qFormat/>
    <w:uiPriority w:val="0"/>
    <w:pPr>
      <w:keepNext/>
      <w:widowControl/>
      <w:overflowPunct w:val="0"/>
      <w:autoSpaceDE w:val="0"/>
      <w:autoSpaceDN w:val="0"/>
      <w:adjustRightInd w:val="0"/>
      <w:spacing w:before="240" w:after="360" w:line="360" w:lineRule="auto"/>
      <w:ind w:firstLine="420" w:firstLineChars="200"/>
      <w:textAlignment w:val="baseline"/>
    </w:pPr>
    <w:rPr>
      <w:rFonts w:ascii="Calibri" w:hAnsi="Calibri"/>
      <w:b/>
      <w:kern w:val="28"/>
      <w:sz w:val="36"/>
      <w:szCs w:val="20"/>
    </w:rPr>
  </w:style>
  <w:style w:type="paragraph" w:customStyle="1" w:styleId="1187">
    <w:name w:val="Char Char Char Char2"/>
    <w:basedOn w:val="1"/>
    <w:semiHidden/>
    <w:qFormat/>
    <w:uiPriority w:val="0"/>
    <w:pPr>
      <w:spacing w:line="360" w:lineRule="auto"/>
      <w:ind w:firstLine="200" w:firstLineChars="200"/>
    </w:pPr>
    <w:rPr>
      <w:rFonts w:ascii="宋体" w:hAnsi="宋体" w:cs="宋体"/>
      <w:sz w:val="24"/>
      <w:szCs w:val="21"/>
    </w:rPr>
  </w:style>
  <w:style w:type="paragraph" w:customStyle="1" w:styleId="1188">
    <w:name w:val="In Table"/>
    <w:basedOn w:val="1"/>
    <w:semiHidden/>
    <w:qFormat/>
    <w:uiPriority w:val="0"/>
    <w:pPr>
      <w:tabs>
        <w:tab w:val="left" w:pos="2200"/>
        <w:tab w:val="left" w:pos="3960"/>
        <w:tab w:val="left" w:pos="5280"/>
      </w:tabs>
      <w:spacing w:before="96" w:after="96" w:line="0" w:lineRule="atLeast"/>
      <w:jc w:val="center"/>
    </w:pPr>
    <w:rPr>
      <w:rFonts w:ascii="Tahoma" w:hAnsi="Tahoma" w:eastAsia="华文中宋"/>
      <w:szCs w:val="20"/>
    </w:rPr>
  </w:style>
  <w:style w:type="paragraph" w:customStyle="1" w:styleId="1189">
    <w:name w:val="Bullet 1"/>
    <w:basedOn w:val="1"/>
    <w:next w:val="1"/>
    <w:semiHidden/>
    <w:qFormat/>
    <w:uiPriority w:val="0"/>
    <w:pPr>
      <w:widowControl/>
      <w:tabs>
        <w:tab w:val="left" w:pos="1440"/>
      </w:tabs>
      <w:jc w:val="left"/>
    </w:pPr>
    <w:rPr>
      <w:rFonts w:ascii="Arial" w:hAnsi="Arial"/>
      <w:kern w:val="0"/>
      <w:sz w:val="20"/>
      <w:szCs w:val="20"/>
    </w:rPr>
  </w:style>
  <w:style w:type="paragraph" w:customStyle="1" w:styleId="1190">
    <w:name w:val="FU3"/>
    <w:basedOn w:val="4"/>
    <w:semiHidden/>
    <w:qFormat/>
    <w:uiPriority w:val="0"/>
    <w:pPr>
      <w:adjustRightInd w:val="0"/>
      <w:snapToGrid w:val="0"/>
      <w:spacing w:beforeLines="50" w:afterLines="50" w:line="240" w:lineRule="auto"/>
      <w:ind w:firstLine="200" w:firstLineChars="200"/>
      <w:textAlignment w:val="baseline"/>
    </w:pPr>
    <w:rPr>
      <w:rFonts w:ascii="宋体" w:hAnsi="宋体" w:eastAsia="黑体"/>
      <w:b w:val="0"/>
      <w:color w:val="000000"/>
      <w:kern w:val="44"/>
      <w:sz w:val="24"/>
      <w:szCs w:val="20"/>
    </w:rPr>
  </w:style>
  <w:style w:type="paragraph" w:customStyle="1" w:styleId="1191">
    <w:name w:val="文本块1"/>
    <w:basedOn w:val="1"/>
    <w:semiHidden/>
    <w:qFormat/>
    <w:uiPriority w:val="0"/>
    <w:pPr>
      <w:widowControl/>
      <w:tabs>
        <w:tab w:val="left" w:pos="3119"/>
        <w:tab w:val="left" w:pos="5387"/>
        <w:tab w:val="left" w:pos="8080"/>
        <w:tab w:val="right" w:leader="dot" w:pos="8505"/>
      </w:tabs>
      <w:adjustRightInd w:val="0"/>
      <w:spacing w:before="20" w:after="20"/>
      <w:ind w:left="1260" w:right="425"/>
      <w:textAlignment w:val="baseline"/>
    </w:pPr>
    <w:rPr>
      <w:rFonts w:ascii="Arial" w:hAnsi="Arial"/>
      <w:kern w:val="0"/>
      <w:sz w:val="20"/>
      <w:szCs w:val="20"/>
      <w:lang w:val="en-GB"/>
    </w:rPr>
  </w:style>
  <w:style w:type="paragraph" w:customStyle="1" w:styleId="1192">
    <w:name w:val="xl43"/>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宋体" w:hAnsi="宋体" w:eastAsia="汉鼎简书宋" w:cs="宋体"/>
      <w:kern w:val="0"/>
      <w:sz w:val="20"/>
      <w:szCs w:val="20"/>
    </w:rPr>
  </w:style>
  <w:style w:type="paragraph" w:customStyle="1" w:styleId="1193">
    <w:name w:val="日期1"/>
    <w:basedOn w:val="1"/>
    <w:next w:val="1"/>
    <w:semiHidden/>
    <w:qFormat/>
    <w:uiPriority w:val="0"/>
    <w:pPr>
      <w:tabs>
        <w:tab w:val="left" w:pos="1134"/>
        <w:tab w:val="right" w:pos="7371"/>
      </w:tabs>
      <w:adjustRightInd w:val="0"/>
      <w:spacing w:line="360" w:lineRule="atLeast"/>
      <w:ind w:firstLine="560" w:firstLineChars="200"/>
      <w:textAlignment w:val="baseline"/>
    </w:pPr>
    <w:rPr>
      <w:rFonts w:ascii="宋体" w:hAnsi="Calibri"/>
      <w:kern w:val="0"/>
      <w:sz w:val="28"/>
      <w:szCs w:val="20"/>
    </w:rPr>
  </w:style>
  <w:style w:type="paragraph" w:customStyle="1" w:styleId="1194">
    <w:name w:val="y表格"/>
    <w:basedOn w:val="33"/>
    <w:semiHidden/>
    <w:qFormat/>
    <w:uiPriority w:val="0"/>
    <w:pPr>
      <w:widowControl/>
      <w:adjustRightInd w:val="0"/>
      <w:snapToGrid w:val="0"/>
      <w:spacing w:after="0" w:line="360" w:lineRule="auto"/>
      <w:ind w:firstLine="420" w:firstLineChars="200"/>
      <w:jc w:val="center"/>
      <w:textAlignment w:val="baseline"/>
    </w:pPr>
    <w:rPr>
      <w:rFonts w:hint="eastAsia" w:ascii="宋体" w:hAnsi="宋体"/>
      <w:kern w:val="0"/>
      <w:sz w:val="24"/>
      <w:szCs w:val="20"/>
    </w:rPr>
  </w:style>
  <w:style w:type="paragraph" w:customStyle="1" w:styleId="1195">
    <w:name w:val="HP3"/>
    <w:semiHidden/>
    <w:qFormat/>
    <w:uiPriority w:val="0"/>
    <w:rPr>
      <w:rFonts w:ascii="宋体" w:hAnsi="宋体" w:eastAsia="宋体" w:cs="Times New Roman"/>
      <w:b/>
      <w:kern w:val="2"/>
      <w:sz w:val="24"/>
      <w:szCs w:val="24"/>
      <w:lang w:val="en-US" w:eastAsia="zh-CN" w:bidi="ar-SA"/>
    </w:rPr>
  </w:style>
  <w:style w:type="paragraph" w:customStyle="1" w:styleId="1196">
    <w:name w:val="BT3"/>
    <w:basedOn w:val="4"/>
    <w:semiHidden/>
    <w:qFormat/>
    <w:uiPriority w:val="0"/>
    <w:pPr>
      <w:spacing w:before="0" w:after="0" w:line="415" w:lineRule="auto"/>
    </w:pPr>
    <w:rPr>
      <w:rFonts w:ascii="宋体" w:hAnsi="宋体" w:eastAsia="黑体"/>
      <w:b w:val="0"/>
      <w:kern w:val="0"/>
      <w:szCs w:val="24"/>
      <w:lang w:val="zh-CN"/>
    </w:rPr>
  </w:style>
  <w:style w:type="paragraph" w:customStyle="1" w:styleId="1197">
    <w:name w:val="xl44"/>
    <w:basedOn w:val="1"/>
    <w:semiHidden/>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198">
    <w:name w:val="dandan6-13正文 Char Char Char"/>
    <w:basedOn w:val="1"/>
    <w:next w:val="1"/>
    <w:semiHidden/>
    <w:qFormat/>
    <w:uiPriority w:val="0"/>
    <w:pPr>
      <w:keepNext/>
      <w:keepLines/>
      <w:widowControl/>
      <w:adjustRightInd w:val="0"/>
      <w:spacing w:before="40" w:after="40" w:line="360" w:lineRule="auto"/>
      <w:ind w:firstLine="200" w:firstLineChars="200"/>
      <w:textAlignment w:val="baseline"/>
    </w:pPr>
    <w:rPr>
      <w:rFonts w:ascii="Calibri" w:hAnsi="Calibri" w:cs="宋体"/>
      <w:kern w:val="0"/>
      <w:sz w:val="24"/>
      <w:szCs w:val="28"/>
    </w:rPr>
  </w:style>
  <w:style w:type="paragraph" w:customStyle="1" w:styleId="1199">
    <w:name w:val="xl144"/>
    <w:basedOn w:val="1"/>
    <w:semiHidden/>
    <w:qFormat/>
    <w:uiPriority w:val="0"/>
    <w:pPr>
      <w:widowControl/>
      <w:pBdr>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1200">
    <w:name w:val="Char1 Char Char Char1"/>
    <w:basedOn w:val="1"/>
    <w:semiHidden/>
    <w:qFormat/>
    <w:uiPriority w:val="0"/>
    <w:rPr>
      <w:rFonts w:ascii="Calibri" w:hAnsi="Calibri"/>
      <w:sz w:val="24"/>
      <w:szCs w:val="21"/>
    </w:rPr>
  </w:style>
  <w:style w:type="paragraph" w:customStyle="1" w:styleId="1201">
    <w:name w:val="BT4"/>
    <w:basedOn w:val="5"/>
    <w:semiHidden/>
    <w:qFormat/>
    <w:uiPriority w:val="0"/>
    <w:pPr>
      <w:spacing w:line="376" w:lineRule="auto"/>
    </w:pPr>
    <w:rPr>
      <w:rFonts w:ascii="Times New Roman" w:hAnsi="Times New Roman"/>
      <w:b/>
    </w:rPr>
  </w:style>
  <w:style w:type="paragraph" w:customStyle="1" w:styleId="1202">
    <w:name w:val="Char Char Char Char Char Char1 Char1"/>
    <w:basedOn w:val="1"/>
    <w:semiHidden/>
    <w:qFormat/>
    <w:uiPriority w:val="0"/>
    <w:rPr>
      <w:rFonts w:ascii="Calibri" w:hAnsi="Calibri"/>
      <w:szCs w:val="21"/>
    </w:rPr>
  </w:style>
  <w:style w:type="paragraph" w:customStyle="1" w:styleId="1203">
    <w:name w:val="BT5"/>
    <w:basedOn w:val="6"/>
    <w:semiHidden/>
    <w:qFormat/>
    <w:uiPriority w:val="0"/>
    <w:pPr>
      <w:tabs>
        <w:tab w:val="clear" w:pos="1008"/>
      </w:tabs>
      <w:spacing w:beforeLines="30" w:afterLines="30" w:line="240" w:lineRule="auto"/>
      <w:ind w:left="0" w:firstLine="0"/>
    </w:pPr>
    <w:rPr>
      <w:rFonts w:ascii="Calibri" w:hAnsi="Calibri"/>
      <w:sz w:val="24"/>
      <w:szCs w:val="24"/>
    </w:rPr>
  </w:style>
  <w:style w:type="paragraph" w:customStyle="1" w:styleId="1204">
    <w:name w:val="Char23"/>
    <w:basedOn w:val="1"/>
    <w:semiHidden/>
    <w:qFormat/>
    <w:uiPriority w:val="0"/>
    <w:rPr>
      <w:rFonts w:ascii="Calibri" w:hAnsi="Calibri"/>
      <w:szCs w:val="21"/>
    </w:rPr>
  </w:style>
  <w:style w:type="paragraph" w:customStyle="1" w:styleId="1205">
    <w:name w:val="In Table (II)"/>
    <w:basedOn w:val="1"/>
    <w:semiHidden/>
    <w:qFormat/>
    <w:uiPriority w:val="0"/>
    <w:pPr>
      <w:tabs>
        <w:tab w:val="left" w:pos="2200"/>
        <w:tab w:val="left" w:pos="3960"/>
        <w:tab w:val="left" w:pos="5280"/>
      </w:tabs>
      <w:spacing w:before="60" w:after="60" w:line="0" w:lineRule="atLeast"/>
      <w:ind w:left="52"/>
      <w:jc w:val="left"/>
    </w:pPr>
    <w:rPr>
      <w:rFonts w:ascii="Tahoma" w:hAnsi="Tahoma" w:eastAsia="华文中宋"/>
      <w:szCs w:val="20"/>
    </w:rPr>
  </w:style>
  <w:style w:type="paragraph" w:customStyle="1" w:styleId="1206">
    <w:name w:val="Bullet1(square)"/>
    <w:basedOn w:val="1"/>
    <w:semiHidden/>
    <w:qFormat/>
    <w:uiPriority w:val="0"/>
    <w:pPr>
      <w:widowControl/>
      <w:spacing w:before="120"/>
      <w:ind w:left="1418" w:right="284" w:hanging="284"/>
    </w:pPr>
    <w:rPr>
      <w:rFonts w:ascii="Calibri" w:hAnsi="Calibri"/>
      <w:color w:val="000000"/>
      <w:kern w:val="0"/>
      <w:sz w:val="22"/>
      <w:szCs w:val="20"/>
      <w:lang w:val="en-GB" w:eastAsia="en-US"/>
    </w:rPr>
  </w:style>
  <w:style w:type="paragraph" w:customStyle="1" w:styleId="1207">
    <w:name w:val="EIA标题2"/>
    <w:basedOn w:val="3"/>
    <w:semiHidden/>
    <w:qFormat/>
    <w:uiPriority w:val="0"/>
    <w:pPr>
      <w:tabs>
        <w:tab w:val="left" w:pos="360"/>
        <w:tab w:val="left" w:pos="540"/>
      </w:tabs>
      <w:autoSpaceDE w:val="0"/>
      <w:autoSpaceDN w:val="0"/>
      <w:adjustRightInd w:val="0"/>
      <w:snapToGrid w:val="0"/>
      <w:spacing w:line="440" w:lineRule="exact"/>
      <w:ind w:left="360" w:hanging="360"/>
    </w:pPr>
    <w:rPr>
      <w:rFonts w:ascii="Cambria" w:hAnsi="Cambria" w:eastAsia="宋体"/>
      <w:b w:val="0"/>
      <w:bCs w:val="0"/>
      <w:color w:val="000000"/>
      <w:sz w:val="24"/>
      <w:szCs w:val="24"/>
    </w:rPr>
  </w:style>
  <w:style w:type="paragraph" w:customStyle="1" w:styleId="1208">
    <w:name w:val="Char22"/>
    <w:basedOn w:val="1"/>
    <w:semiHidden/>
    <w:qFormat/>
    <w:uiPriority w:val="0"/>
    <w:pPr>
      <w:spacing w:line="360" w:lineRule="auto"/>
      <w:ind w:firstLine="200" w:firstLineChars="200"/>
    </w:pPr>
    <w:rPr>
      <w:rFonts w:ascii="宋体" w:hAnsi="宋体" w:cs="宋体"/>
      <w:sz w:val="24"/>
      <w:szCs w:val="21"/>
    </w:rPr>
  </w:style>
  <w:style w:type="paragraph" w:customStyle="1" w:styleId="1209">
    <w:name w:val="ZW1"/>
    <w:basedOn w:val="1"/>
    <w:semiHidden/>
    <w:qFormat/>
    <w:uiPriority w:val="0"/>
    <w:pPr>
      <w:spacing w:line="312" w:lineRule="auto"/>
      <w:ind w:firstLine="480" w:firstLineChars="200"/>
    </w:pPr>
    <w:rPr>
      <w:rFonts w:ascii="Calibri" w:hAnsi="Calibri" w:cs="宋体"/>
      <w:sz w:val="24"/>
      <w:szCs w:val="21"/>
    </w:rPr>
  </w:style>
  <w:style w:type="paragraph" w:customStyle="1" w:styleId="1210">
    <w:name w:val="kk"/>
    <w:basedOn w:val="33"/>
    <w:semiHidden/>
    <w:qFormat/>
    <w:uiPriority w:val="0"/>
    <w:pPr>
      <w:autoSpaceDE w:val="0"/>
      <w:autoSpaceDN w:val="0"/>
      <w:adjustRightInd w:val="0"/>
      <w:spacing w:after="0" w:line="360" w:lineRule="auto"/>
      <w:ind w:firstLine="200" w:firstLineChars="200"/>
      <w:textAlignment w:val="baseline"/>
    </w:pPr>
    <w:rPr>
      <w:rFonts w:ascii="Arial" w:hAnsi="Arial"/>
      <w:b/>
      <w:bCs/>
      <w:color w:val="000000"/>
      <w:spacing w:val="10"/>
      <w:kern w:val="0"/>
      <w:sz w:val="24"/>
      <w:szCs w:val="20"/>
    </w:rPr>
  </w:style>
  <w:style w:type="paragraph" w:customStyle="1" w:styleId="1211">
    <w:name w:val="b标题3"/>
    <w:basedOn w:val="4"/>
    <w:qFormat/>
    <w:uiPriority w:val="99"/>
    <w:pPr>
      <w:spacing w:beforeLines="50" w:afterLines="50"/>
    </w:pPr>
    <w:rPr>
      <w:rFonts w:ascii="Calibri" w:hAnsi="Calibri"/>
      <w:kern w:val="0"/>
      <w:sz w:val="28"/>
      <w:szCs w:val="28"/>
    </w:rPr>
  </w:style>
  <w:style w:type="paragraph" w:customStyle="1" w:styleId="1212">
    <w:name w:val="EQUATIONS"/>
    <w:semiHidden/>
    <w:qFormat/>
    <w:uiPriority w:val="0"/>
    <w:pPr>
      <w:keepNext/>
      <w:adjustRightInd w:val="0"/>
      <w:spacing w:before="360"/>
      <w:ind w:left="1134" w:right="567"/>
      <w:textAlignment w:val="baseline"/>
    </w:pPr>
    <w:rPr>
      <w:rFonts w:ascii="Arial" w:hAnsi="Arial" w:eastAsia="楷体" w:cs="Times New Roman"/>
      <w:b/>
      <w:caps/>
      <w:kern w:val="2"/>
      <w:sz w:val="21"/>
      <w:szCs w:val="21"/>
      <w:lang w:val="en-US" w:eastAsia="zh-CN" w:bidi="ar-SA"/>
    </w:rPr>
  </w:style>
  <w:style w:type="paragraph" w:customStyle="1" w:styleId="1213">
    <w:name w:val="Char4 Char Char Char Char Char Char1"/>
    <w:basedOn w:val="1"/>
    <w:semiHidden/>
    <w:qFormat/>
    <w:uiPriority w:val="0"/>
    <w:pPr>
      <w:spacing w:line="360" w:lineRule="auto"/>
      <w:ind w:firstLine="200" w:firstLineChars="200"/>
    </w:pPr>
    <w:rPr>
      <w:rFonts w:ascii="宋体" w:hAnsi="宋体" w:cs="宋体"/>
      <w:sz w:val="24"/>
      <w:szCs w:val="21"/>
    </w:rPr>
  </w:style>
  <w:style w:type="paragraph" w:customStyle="1" w:styleId="1214">
    <w:name w:val="Char Char Char1 Char Char Char Char Char Char Char Char Char"/>
    <w:basedOn w:val="1"/>
    <w:semiHidden/>
    <w:qFormat/>
    <w:uiPriority w:val="0"/>
    <w:pPr>
      <w:spacing w:line="360" w:lineRule="auto"/>
      <w:ind w:firstLine="420" w:firstLineChars="200"/>
    </w:pPr>
    <w:rPr>
      <w:rFonts w:ascii="Calibri" w:hAnsi="Calibri"/>
      <w:sz w:val="24"/>
      <w:szCs w:val="20"/>
    </w:rPr>
  </w:style>
  <w:style w:type="paragraph" w:customStyle="1" w:styleId="1215">
    <w:name w:val="Char Char Char Char Char Char Char Char Char Char Char Char1 Char Char Char Char Char Char Char Char Char Char Char Char1 Char"/>
    <w:basedOn w:val="1"/>
    <w:next w:val="1"/>
    <w:semiHidden/>
    <w:qFormat/>
    <w:uiPriority w:val="0"/>
    <w:pPr>
      <w:spacing w:line="336" w:lineRule="auto"/>
      <w:ind w:firstLine="200" w:firstLineChars="200"/>
    </w:pPr>
    <w:rPr>
      <w:rFonts w:ascii="宋体" w:hAnsi="宋体" w:eastAsia="汉鼎简书宋" w:cs="宋体"/>
      <w:sz w:val="24"/>
      <w:szCs w:val="21"/>
    </w:rPr>
  </w:style>
  <w:style w:type="paragraph" w:customStyle="1" w:styleId="1216">
    <w:name w:val="cd1"/>
    <w:basedOn w:val="1"/>
    <w:semiHidden/>
    <w:qFormat/>
    <w:uiPriority w:val="0"/>
    <w:pPr>
      <w:spacing w:before="120"/>
      <w:jc w:val="center"/>
    </w:pPr>
    <w:rPr>
      <w:rFonts w:ascii="Calibri" w:hAnsi="Calibri" w:eastAsia="黑体"/>
      <w:b/>
      <w:sz w:val="24"/>
      <w:szCs w:val="20"/>
    </w:rPr>
  </w:style>
  <w:style w:type="paragraph" w:customStyle="1" w:styleId="1217">
    <w:name w:val="FIGURES"/>
    <w:semiHidden/>
    <w:qFormat/>
    <w:uiPriority w:val="0"/>
    <w:pPr>
      <w:keepNext/>
      <w:adjustRightInd w:val="0"/>
      <w:spacing w:before="360"/>
      <w:ind w:left="1134" w:right="567"/>
      <w:textAlignment w:val="baseline"/>
    </w:pPr>
    <w:rPr>
      <w:rFonts w:ascii="Arial" w:hAnsi="Arial" w:eastAsia="楷体" w:cs="Times New Roman"/>
      <w:b/>
      <w:caps/>
      <w:kern w:val="2"/>
      <w:sz w:val="21"/>
      <w:szCs w:val="21"/>
      <w:lang w:val="en-US" w:eastAsia="zh-CN" w:bidi="ar-SA"/>
    </w:rPr>
  </w:style>
  <w:style w:type="paragraph" w:customStyle="1" w:styleId="1218">
    <w:name w:val="Char5"/>
    <w:basedOn w:val="1"/>
    <w:next w:val="1"/>
    <w:semiHidden/>
    <w:qFormat/>
    <w:uiPriority w:val="0"/>
    <w:pPr>
      <w:spacing w:line="360" w:lineRule="auto"/>
      <w:ind w:firstLine="200" w:firstLineChars="200"/>
    </w:pPr>
    <w:rPr>
      <w:rFonts w:ascii="Calibri" w:hAnsi="Calibri" w:eastAsia="Times"/>
      <w:b/>
      <w:bCs/>
      <w:szCs w:val="21"/>
    </w:rPr>
  </w:style>
  <w:style w:type="paragraph" w:customStyle="1" w:styleId="1219">
    <w:name w:val="Char Char Char1 Char Char Char Char Char Char Char Char Char Char"/>
    <w:basedOn w:val="1"/>
    <w:semiHidden/>
    <w:qFormat/>
    <w:uiPriority w:val="0"/>
    <w:pPr>
      <w:adjustRightInd w:val="0"/>
      <w:snapToGrid w:val="0"/>
      <w:spacing w:line="360" w:lineRule="auto"/>
      <w:ind w:firstLine="200" w:firstLineChars="200"/>
    </w:pPr>
    <w:rPr>
      <w:rFonts w:ascii="Calibri" w:hAnsi="Calibri" w:cs="宋体"/>
      <w:szCs w:val="21"/>
    </w:rPr>
  </w:style>
  <w:style w:type="paragraph" w:customStyle="1" w:styleId="1220">
    <w:name w:val="样式 4级 + 段前: 0.5 行 段后: 0.5 行"/>
    <w:basedOn w:val="937"/>
    <w:semiHidden/>
    <w:qFormat/>
    <w:uiPriority w:val="0"/>
    <w:pPr>
      <w:spacing w:beforeLines="50" w:afterLines="50" w:line="440" w:lineRule="exact"/>
      <w:jc w:val="left"/>
    </w:pPr>
    <w:rPr>
      <w:rFonts w:eastAsia="黑体" w:cs="宋体"/>
      <w:b w:val="0"/>
      <w:bCs w:val="0"/>
      <w:szCs w:val="20"/>
    </w:rPr>
  </w:style>
  <w:style w:type="paragraph" w:customStyle="1" w:styleId="1221">
    <w:name w:val="Char Char Char Char Char Char Char Char Char Char Char1 Char"/>
    <w:basedOn w:val="1"/>
    <w:next w:val="1"/>
    <w:semiHidden/>
    <w:qFormat/>
    <w:uiPriority w:val="0"/>
    <w:pPr>
      <w:spacing w:line="336" w:lineRule="auto"/>
      <w:ind w:firstLine="200" w:firstLineChars="200"/>
    </w:pPr>
    <w:rPr>
      <w:rFonts w:ascii="宋体" w:hAnsi="宋体" w:eastAsia="汉鼎简书宋" w:cs="宋体"/>
      <w:spacing w:val="4"/>
      <w:sz w:val="24"/>
      <w:szCs w:val="21"/>
    </w:rPr>
  </w:style>
  <w:style w:type="paragraph" w:customStyle="1" w:styleId="1222">
    <w:name w:val="安评章"/>
    <w:basedOn w:val="2"/>
    <w:semiHidden/>
    <w:qFormat/>
    <w:uiPriority w:val="0"/>
    <w:pPr>
      <w:tabs>
        <w:tab w:val="left" w:pos="567"/>
      </w:tabs>
      <w:overflowPunct w:val="0"/>
      <w:autoSpaceDE w:val="0"/>
      <w:autoSpaceDN w:val="0"/>
      <w:adjustRightInd w:val="0"/>
      <w:spacing w:before="240" w:after="240" w:line="578" w:lineRule="auto"/>
      <w:jc w:val="center"/>
      <w:textAlignment w:val="baseline"/>
    </w:pPr>
    <w:rPr>
      <w:rFonts w:ascii="Calibri" w:hAnsi="Calibri" w:eastAsia="黑体"/>
      <w:b w:val="0"/>
      <w:bCs w:val="0"/>
      <w:kern w:val="16"/>
      <w:szCs w:val="20"/>
    </w:rPr>
  </w:style>
  <w:style w:type="paragraph" w:customStyle="1" w:styleId="1223">
    <w:name w:val="ld标题1"/>
    <w:basedOn w:val="2"/>
    <w:semiHidden/>
    <w:qFormat/>
    <w:uiPriority w:val="0"/>
    <w:pPr>
      <w:spacing w:before="0" w:after="0" w:line="578" w:lineRule="auto"/>
    </w:pPr>
    <w:rPr>
      <w:rFonts w:ascii="宋体" w:hAnsi="宋体" w:eastAsia="黑体"/>
      <w:b w:val="0"/>
      <w:bCs w:val="0"/>
      <w:sz w:val="28"/>
    </w:rPr>
  </w:style>
  <w:style w:type="paragraph" w:customStyle="1" w:styleId="1224">
    <w:name w:val="cd5"/>
    <w:basedOn w:val="1"/>
    <w:semiHidden/>
    <w:qFormat/>
    <w:uiPriority w:val="0"/>
    <w:pPr>
      <w:spacing w:before="120"/>
    </w:pPr>
    <w:rPr>
      <w:rFonts w:ascii="Calibri" w:hAnsi="Calibri"/>
      <w:sz w:val="24"/>
      <w:szCs w:val="20"/>
    </w:rPr>
  </w:style>
  <w:style w:type="paragraph" w:customStyle="1" w:styleId="1225">
    <w:name w:val="Fließtext"/>
    <w:basedOn w:val="1"/>
    <w:semiHidden/>
    <w:qFormat/>
    <w:uiPriority w:val="0"/>
    <w:pPr>
      <w:widowControl/>
      <w:spacing w:line="280" w:lineRule="exact"/>
    </w:pPr>
    <w:rPr>
      <w:rFonts w:ascii="Arial" w:hAnsi="Arial"/>
      <w:kern w:val="0"/>
      <w:sz w:val="22"/>
      <w:szCs w:val="20"/>
      <w:lang w:eastAsia="de-DE"/>
    </w:rPr>
  </w:style>
  <w:style w:type="paragraph" w:customStyle="1" w:styleId="1226">
    <w:name w:val="cjh"/>
    <w:basedOn w:val="1"/>
    <w:next w:val="1"/>
    <w:semiHidden/>
    <w:qFormat/>
    <w:uiPriority w:val="0"/>
    <w:pPr>
      <w:keepLines/>
      <w:suppressLineNumbers/>
      <w:suppressAutoHyphens/>
      <w:spacing w:line="360" w:lineRule="auto"/>
      <w:ind w:firstLine="200" w:firstLineChars="200"/>
      <w:jc w:val="center"/>
      <w:outlineLvl w:val="0"/>
    </w:pPr>
    <w:rPr>
      <w:rFonts w:ascii="宋体" w:hAnsi="Calibri"/>
      <w:color w:val="000000"/>
      <w:kern w:val="24"/>
      <w:sz w:val="24"/>
      <w:szCs w:val="20"/>
    </w:rPr>
  </w:style>
  <w:style w:type="paragraph" w:customStyle="1" w:styleId="1227">
    <w:name w:val="Char Char Char1 Char Char Char Char Char Char Char Char Char Char Char Char Char"/>
    <w:basedOn w:val="1"/>
    <w:semiHidden/>
    <w:qFormat/>
    <w:uiPriority w:val="0"/>
    <w:pPr>
      <w:spacing w:line="360" w:lineRule="auto"/>
      <w:ind w:firstLine="420" w:firstLineChars="200"/>
    </w:pPr>
    <w:rPr>
      <w:rFonts w:ascii="Calibri" w:hAnsi="Calibri"/>
      <w:sz w:val="24"/>
      <w:szCs w:val="20"/>
    </w:rPr>
  </w:style>
  <w:style w:type="paragraph" w:customStyle="1" w:styleId="1228">
    <w:name w:val="样式 Arial 居中"/>
    <w:basedOn w:val="1"/>
    <w:semiHidden/>
    <w:qFormat/>
    <w:uiPriority w:val="0"/>
    <w:pPr>
      <w:spacing w:line="300" w:lineRule="auto"/>
      <w:jc w:val="center"/>
    </w:pPr>
    <w:rPr>
      <w:rFonts w:ascii="Arial" w:hAnsi="Arial" w:cs="宋体"/>
      <w:szCs w:val="20"/>
    </w:rPr>
  </w:style>
  <w:style w:type="paragraph" w:customStyle="1" w:styleId="1229">
    <w:name w:val="Char Char Char Char Char Char Char Char Char Char1"/>
    <w:basedOn w:val="1"/>
    <w:next w:val="1"/>
    <w:semiHidden/>
    <w:qFormat/>
    <w:uiPriority w:val="0"/>
    <w:pPr>
      <w:spacing w:line="360" w:lineRule="auto"/>
      <w:ind w:firstLine="200" w:firstLineChars="200"/>
    </w:pPr>
    <w:rPr>
      <w:rFonts w:ascii="宋体" w:hAnsi="宋体" w:cs="宋体"/>
      <w:sz w:val="24"/>
      <w:szCs w:val="21"/>
    </w:rPr>
  </w:style>
  <w:style w:type="paragraph" w:customStyle="1" w:styleId="1230">
    <w:name w:val="保留正文"/>
    <w:basedOn w:val="33"/>
    <w:semiHidden/>
    <w:qFormat/>
    <w:uiPriority w:val="0"/>
    <w:pPr>
      <w:keepNext/>
      <w:widowControl/>
      <w:overflowPunct w:val="0"/>
      <w:autoSpaceDE w:val="0"/>
      <w:autoSpaceDN w:val="0"/>
      <w:adjustRightInd w:val="0"/>
      <w:spacing w:after="160" w:line="620" w:lineRule="exact"/>
      <w:jc w:val="left"/>
      <w:textAlignment w:val="baseline"/>
    </w:pPr>
    <w:rPr>
      <w:rFonts w:ascii="宋体" w:hAnsi="Calibri"/>
      <w:kern w:val="0"/>
      <w:sz w:val="20"/>
      <w:szCs w:val="20"/>
    </w:rPr>
  </w:style>
  <w:style w:type="paragraph" w:customStyle="1" w:styleId="1231">
    <w:name w:val="ld标题2"/>
    <w:basedOn w:val="3"/>
    <w:semiHidden/>
    <w:qFormat/>
    <w:uiPriority w:val="0"/>
    <w:pPr>
      <w:spacing w:before="0" w:after="0"/>
    </w:pPr>
    <w:rPr>
      <w:rFonts w:ascii="黑体" w:hAnsi="Cambria" w:eastAsia="宋体"/>
      <w:b w:val="0"/>
      <w:bCs w:val="0"/>
      <w:sz w:val="24"/>
    </w:rPr>
  </w:style>
  <w:style w:type="paragraph" w:customStyle="1" w:styleId="1232">
    <w:name w:val="CM65"/>
    <w:basedOn w:val="1"/>
    <w:next w:val="1"/>
    <w:semiHidden/>
    <w:qFormat/>
    <w:uiPriority w:val="0"/>
    <w:pPr>
      <w:autoSpaceDE w:val="0"/>
      <w:autoSpaceDN w:val="0"/>
      <w:adjustRightInd w:val="0"/>
      <w:spacing w:after="52"/>
      <w:jc w:val="left"/>
    </w:pPr>
    <w:rPr>
      <w:rFonts w:ascii="Calibri" w:hAnsi="Calibri"/>
      <w:sz w:val="24"/>
      <w:szCs w:val="21"/>
    </w:rPr>
  </w:style>
  <w:style w:type="paragraph" w:customStyle="1" w:styleId="1233">
    <w:name w:val="样式  + 首行缩进:  0.75 厘米"/>
    <w:basedOn w:val="1"/>
    <w:semiHidden/>
    <w:qFormat/>
    <w:uiPriority w:val="0"/>
    <w:pPr>
      <w:ind w:firstLine="425"/>
      <w:jc w:val="left"/>
    </w:pPr>
    <w:rPr>
      <w:rFonts w:ascii="Calibri" w:hAnsi="Calibri"/>
      <w:bCs/>
      <w:sz w:val="24"/>
      <w:szCs w:val="21"/>
    </w:rPr>
  </w:style>
  <w:style w:type="paragraph" w:customStyle="1" w:styleId="1234">
    <w:name w:val="EIA正文"/>
    <w:basedOn w:val="1"/>
    <w:semiHidden/>
    <w:qFormat/>
    <w:uiPriority w:val="0"/>
    <w:pPr>
      <w:spacing w:line="360" w:lineRule="auto"/>
      <w:ind w:firstLine="578" w:firstLineChars="200"/>
    </w:pPr>
    <w:rPr>
      <w:rFonts w:ascii="宋体" w:hAnsi="宋体"/>
      <w:sz w:val="24"/>
      <w:szCs w:val="21"/>
    </w:rPr>
  </w:style>
  <w:style w:type="paragraph" w:customStyle="1" w:styleId="1235">
    <w:name w:val="CM48"/>
    <w:basedOn w:val="1"/>
    <w:next w:val="1"/>
    <w:semiHidden/>
    <w:qFormat/>
    <w:uiPriority w:val="0"/>
    <w:pPr>
      <w:autoSpaceDE w:val="0"/>
      <w:autoSpaceDN w:val="0"/>
      <w:adjustRightInd w:val="0"/>
      <w:spacing w:line="460" w:lineRule="atLeast"/>
      <w:jc w:val="left"/>
    </w:pPr>
    <w:rPr>
      <w:rFonts w:ascii="Calibri" w:hAnsi="Calibri"/>
      <w:sz w:val="24"/>
      <w:szCs w:val="21"/>
    </w:rPr>
  </w:style>
  <w:style w:type="paragraph" w:customStyle="1" w:styleId="1236">
    <w:name w:val="Char31"/>
    <w:basedOn w:val="1"/>
    <w:next w:val="1"/>
    <w:semiHidden/>
    <w:qFormat/>
    <w:uiPriority w:val="0"/>
    <w:pPr>
      <w:spacing w:line="360" w:lineRule="auto"/>
      <w:ind w:firstLine="200" w:firstLineChars="200"/>
    </w:pPr>
    <w:rPr>
      <w:rFonts w:ascii="宋体" w:hAnsi="宋体" w:eastAsia="汉鼎简书宋" w:cs="宋体"/>
      <w:sz w:val="24"/>
      <w:szCs w:val="21"/>
    </w:rPr>
  </w:style>
  <w:style w:type="paragraph" w:customStyle="1" w:styleId="1237">
    <w:name w:val="Char Char Char Char Char Char Char Char Char Char Char Char1 Char Char Char Char Char Char Char Char Char"/>
    <w:basedOn w:val="1"/>
    <w:next w:val="1"/>
    <w:semiHidden/>
    <w:qFormat/>
    <w:uiPriority w:val="0"/>
    <w:pPr>
      <w:spacing w:line="336" w:lineRule="auto"/>
      <w:ind w:firstLine="200" w:firstLineChars="200"/>
    </w:pPr>
    <w:rPr>
      <w:rFonts w:hint="eastAsia" w:ascii="宋体" w:hAnsi="宋体" w:eastAsia="汉鼎简书宋"/>
      <w:sz w:val="24"/>
      <w:szCs w:val="20"/>
    </w:rPr>
  </w:style>
  <w:style w:type="paragraph" w:customStyle="1" w:styleId="1238">
    <w:name w:val="ENUM"/>
    <w:basedOn w:val="1"/>
    <w:semiHidden/>
    <w:qFormat/>
    <w:uiPriority w:val="0"/>
    <w:pPr>
      <w:widowControl/>
      <w:tabs>
        <w:tab w:val="left" w:pos="1020"/>
        <w:tab w:val="left" w:pos="1418"/>
      </w:tabs>
      <w:spacing w:before="60" w:after="60"/>
      <w:ind w:left="1418" w:hanging="284" w:firstLineChars="200"/>
    </w:pPr>
    <w:rPr>
      <w:rFonts w:ascii="Arial" w:hAnsi="Arial"/>
      <w:kern w:val="0"/>
      <w:sz w:val="22"/>
      <w:szCs w:val="20"/>
      <w:lang w:val="en-GB"/>
    </w:rPr>
  </w:style>
  <w:style w:type="paragraph" w:customStyle="1" w:styleId="1239">
    <w:name w:val="font0"/>
    <w:basedOn w:val="1"/>
    <w:semiHidden/>
    <w:qFormat/>
    <w:uiPriority w:val="0"/>
    <w:pPr>
      <w:widowControl/>
      <w:spacing w:before="100" w:beforeAutospacing="1" w:after="100" w:afterAutospacing="1"/>
      <w:jc w:val="left"/>
    </w:pPr>
    <w:rPr>
      <w:rFonts w:hint="eastAsia" w:ascii="宋体" w:hAnsi="宋体"/>
      <w:kern w:val="0"/>
      <w:sz w:val="24"/>
      <w:szCs w:val="21"/>
    </w:rPr>
  </w:style>
  <w:style w:type="paragraph" w:customStyle="1" w:styleId="1240">
    <w:name w:val="Char Char1 Char1"/>
    <w:basedOn w:val="1"/>
    <w:next w:val="1"/>
    <w:semiHidden/>
    <w:qFormat/>
    <w:uiPriority w:val="0"/>
    <w:pPr>
      <w:spacing w:line="360" w:lineRule="auto"/>
      <w:ind w:firstLine="200" w:firstLineChars="200"/>
    </w:pPr>
    <w:rPr>
      <w:rFonts w:ascii="宋体" w:hAnsi="宋体" w:cs="宋体"/>
      <w:sz w:val="24"/>
      <w:szCs w:val="21"/>
    </w:rPr>
  </w:style>
  <w:style w:type="paragraph" w:customStyle="1" w:styleId="1241">
    <w:name w:val="杨政文"/>
    <w:basedOn w:val="33"/>
    <w:semiHidden/>
    <w:qFormat/>
    <w:uiPriority w:val="0"/>
    <w:pPr>
      <w:spacing w:after="0" w:line="460" w:lineRule="exact"/>
      <w:ind w:firstLine="200" w:firstLineChars="200"/>
    </w:pPr>
    <w:rPr>
      <w:rFonts w:ascii="宋体" w:hAnsi="Calibri"/>
      <w:sz w:val="24"/>
    </w:rPr>
  </w:style>
  <w:style w:type="paragraph" w:customStyle="1" w:styleId="1242">
    <w:name w:val="xl34"/>
    <w:basedOn w:val="1"/>
    <w:semiHidden/>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243">
    <w:name w:val="CM9"/>
    <w:basedOn w:val="1"/>
    <w:next w:val="1"/>
    <w:semiHidden/>
    <w:qFormat/>
    <w:uiPriority w:val="0"/>
    <w:pPr>
      <w:autoSpaceDE w:val="0"/>
      <w:autoSpaceDN w:val="0"/>
      <w:adjustRightInd w:val="0"/>
      <w:spacing w:line="468" w:lineRule="atLeast"/>
      <w:jc w:val="left"/>
    </w:pPr>
    <w:rPr>
      <w:rFonts w:ascii="黑体" w:hAnsi="Calibri" w:eastAsia="黑体"/>
      <w:sz w:val="24"/>
      <w:szCs w:val="21"/>
    </w:rPr>
  </w:style>
  <w:style w:type="paragraph" w:customStyle="1" w:styleId="1244">
    <w:name w:val="Char Char Char Char Char Char Char Char2 Char Char Char Char Char Char Char Char Char Char1"/>
    <w:basedOn w:val="1"/>
    <w:next w:val="1"/>
    <w:semiHidden/>
    <w:qFormat/>
    <w:uiPriority w:val="0"/>
    <w:pPr>
      <w:spacing w:line="336" w:lineRule="auto"/>
      <w:ind w:firstLine="200" w:firstLineChars="200"/>
    </w:pPr>
    <w:rPr>
      <w:rFonts w:ascii="宋体" w:hAnsi="宋体" w:eastAsia="汉鼎简书宋" w:cs="宋体"/>
      <w:spacing w:val="4"/>
      <w:sz w:val="24"/>
      <w:szCs w:val="21"/>
    </w:rPr>
  </w:style>
  <w:style w:type="paragraph" w:customStyle="1" w:styleId="1245">
    <w:name w:val="CM42"/>
    <w:basedOn w:val="1"/>
    <w:next w:val="1"/>
    <w:semiHidden/>
    <w:qFormat/>
    <w:uiPriority w:val="0"/>
    <w:pPr>
      <w:autoSpaceDE w:val="0"/>
      <w:autoSpaceDN w:val="0"/>
      <w:adjustRightInd w:val="0"/>
      <w:spacing w:line="236" w:lineRule="atLeast"/>
      <w:jc w:val="left"/>
    </w:pPr>
    <w:rPr>
      <w:rFonts w:ascii="Calibri" w:hAnsi="Calibri"/>
      <w:sz w:val="24"/>
      <w:szCs w:val="21"/>
    </w:rPr>
  </w:style>
  <w:style w:type="paragraph" w:customStyle="1" w:styleId="1246">
    <w:name w:val="杨4"/>
    <w:basedOn w:val="242"/>
    <w:semiHidden/>
    <w:qFormat/>
    <w:uiPriority w:val="0"/>
    <w:pPr>
      <w:spacing w:line="460" w:lineRule="exact"/>
      <w:ind w:firstLine="0" w:firstLineChars="0"/>
      <w:jc w:val="left"/>
      <w:outlineLvl w:val="3"/>
    </w:pPr>
    <w:rPr>
      <w:rFonts w:ascii="Times New Roman" w:hAnsi="Times New Roman" w:eastAsia="黑体"/>
      <w:b/>
    </w:rPr>
  </w:style>
  <w:style w:type="paragraph" w:customStyle="1" w:styleId="1247">
    <w:name w:val="Char Char Char Char Char Char Char1"/>
    <w:basedOn w:val="1"/>
    <w:next w:val="1"/>
    <w:semiHidden/>
    <w:qFormat/>
    <w:uiPriority w:val="0"/>
    <w:pPr>
      <w:spacing w:line="360" w:lineRule="auto"/>
      <w:ind w:firstLine="200" w:firstLineChars="200"/>
    </w:pPr>
    <w:rPr>
      <w:rFonts w:ascii="宋体" w:hAnsi="宋体" w:cs="宋体"/>
      <w:sz w:val="24"/>
      <w:szCs w:val="21"/>
    </w:rPr>
  </w:style>
  <w:style w:type="paragraph" w:customStyle="1" w:styleId="1248">
    <w:name w:val="xl36"/>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249">
    <w:name w:val="Content"/>
    <w:basedOn w:val="1"/>
    <w:semiHidden/>
    <w:qFormat/>
    <w:uiPriority w:val="0"/>
    <w:pPr>
      <w:widowControl/>
      <w:tabs>
        <w:tab w:val="left" w:pos="9480"/>
        <w:tab w:val="left" w:pos="9600"/>
      </w:tabs>
      <w:spacing w:before="120" w:after="120" w:line="240" w:lineRule="atLeast"/>
      <w:jc w:val="center"/>
    </w:pPr>
    <w:rPr>
      <w:rFonts w:ascii="Arial" w:hAnsi="Arial"/>
      <w:b/>
      <w:kern w:val="0"/>
      <w:sz w:val="28"/>
      <w:szCs w:val="20"/>
      <w:lang w:val="fr-FR"/>
    </w:rPr>
  </w:style>
  <w:style w:type="paragraph" w:customStyle="1" w:styleId="1250">
    <w:name w:val="杨3"/>
    <w:basedOn w:val="1"/>
    <w:next w:val="1"/>
    <w:semiHidden/>
    <w:qFormat/>
    <w:uiPriority w:val="0"/>
    <w:pPr>
      <w:keepNext/>
      <w:keepLines/>
      <w:spacing w:before="120" w:afterLines="100" w:line="460" w:lineRule="exact"/>
      <w:outlineLvl w:val="2"/>
    </w:pPr>
    <w:rPr>
      <w:rFonts w:ascii="黑体" w:hAnsi="Calibri" w:eastAsia="黑体"/>
      <w:sz w:val="24"/>
      <w:szCs w:val="21"/>
    </w:rPr>
  </w:style>
  <w:style w:type="paragraph" w:customStyle="1" w:styleId="1251">
    <w:name w:val="Char Char Char Char Char Char Char2"/>
    <w:basedOn w:val="1"/>
    <w:next w:val="1"/>
    <w:semiHidden/>
    <w:qFormat/>
    <w:uiPriority w:val="0"/>
    <w:pPr>
      <w:spacing w:line="360" w:lineRule="auto"/>
      <w:ind w:firstLine="200" w:firstLineChars="200"/>
    </w:pPr>
    <w:rPr>
      <w:rFonts w:ascii="宋体" w:hAnsi="宋体" w:cs="宋体"/>
      <w:sz w:val="24"/>
      <w:szCs w:val="21"/>
    </w:rPr>
  </w:style>
  <w:style w:type="paragraph" w:customStyle="1" w:styleId="1252">
    <w:name w:val="dan6-16正文"/>
    <w:basedOn w:val="1"/>
    <w:semiHidden/>
    <w:qFormat/>
    <w:uiPriority w:val="0"/>
    <w:pPr>
      <w:spacing w:before="40" w:after="40" w:line="360" w:lineRule="auto"/>
      <w:ind w:firstLine="200" w:firstLineChars="200"/>
    </w:pPr>
    <w:rPr>
      <w:rFonts w:ascii="Calibri" w:hAnsi="Calibri"/>
      <w:sz w:val="24"/>
      <w:szCs w:val="21"/>
    </w:rPr>
  </w:style>
  <w:style w:type="paragraph" w:customStyle="1" w:styleId="1253">
    <w:name w:val="xl108"/>
    <w:basedOn w:val="1"/>
    <w:semiHidden/>
    <w:qFormat/>
    <w:uiPriority w:val="0"/>
    <w:pPr>
      <w:widowControl/>
      <w:pBdr>
        <w:left w:val="single" w:color="auto" w:sz="8" w:space="0"/>
        <w:bottom w:val="single" w:color="auto" w:sz="8" w:space="0"/>
        <w:right w:val="single" w:color="auto" w:sz="8" w:space="0"/>
      </w:pBdr>
      <w:spacing w:before="100" w:beforeAutospacing="1" w:after="100" w:afterAutospacing="1" w:line="360" w:lineRule="auto"/>
      <w:ind w:firstLine="420" w:firstLineChars="200"/>
      <w:jc w:val="center"/>
    </w:pPr>
    <w:rPr>
      <w:rFonts w:ascii="Calibri" w:hAnsi="Calibri"/>
      <w:color w:val="000000"/>
      <w:kern w:val="0"/>
      <w:sz w:val="24"/>
      <w:szCs w:val="21"/>
    </w:rPr>
  </w:style>
  <w:style w:type="paragraph" w:customStyle="1" w:styleId="1254">
    <w:name w:val="Char Char Char Char Char Char1 Char Char Char Char1"/>
    <w:basedOn w:val="1"/>
    <w:semiHidden/>
    <w:qFormat/>
    <w:uiPriority w:val="0"/>
    <w:pPr>
      <w:spacing w:line="360" w:lineRule="auto"/>
      <w:ind w:firstLine="200" w:firstLineChars="200"/>
    </w:pPr>
    <w:rPr>
      <w:rFonts w:ascii="宋体" w:hAnsi="宋体" w:cs="宋体"/>
      <w:sz w:val="24"/>
      <w:szCs w:val="21"/>
    </w:rPr>
  </w:style>
  <w:style w:type="paragraph" w:customStyle="1" w:styleId="1255">
    <w:name w:val="文档结构图1"/>
    <w:basedOn w:val="1"/>
    <w:semiHidden/>
    <w:qFormat/>
    <w:uiPriority w:val="0"/>
    <w:pPr>
      <w:widowControl/>
      <w:shd w:val="clear" w:color="auto" w:fill="000080"/>
      <w:adjustRightInd w:val="0"/>
      <w:jc w:val="left"/>
      <w:textAlignment w:val="baseline"/>
    </w:pPr>
    <w:rPr>
      <w:rFonts w:ascii="Tahoma" w:hAnsi="Tahoma"/>
      <w:kern w:val="0"/>
      <w:sz w:val="20"/>
      <w:szCs w:val="20"/>
      <w:lang w:val="en-GB"/>
    </w:rPr>
  </w:style>
  <w:style w:type="paragraph" w:customStyle="1" w:styleId="1256">
    <w:name w:val="Char Char Char Char3"/>
    <w:basedOn w:val="1"/>
    <w:semiHidden/>
    <w:qFormat/>
    <w:uiPriority w:val="0"/>
    <w:rPr>
      <w:rFonts w:ascii="Calibri" w:hAnsi="Calibri"/>
      <w:szCs w:val="21"/>
    </w:rPr>
  </w:style>
  <w:style w:type="paragraph" w:customStyle="1" w:styleId="1257">
    <w:name w:val="Char Char Char Char5"/>
    <w:basedOn w:val="1"/>
    <w:semiHidden/>
    <w:qFormat/>
    <w:uiPriority w:val="0"/>
    <w:rPr>
      <w:rFonts w:ascii="Calibri" w:hAnsi="Calibri"/>
      <w:szCs w:val="22"/>
    </w:rPr>
  </w:style>
  <w:style w:type="paragraph" w:customStyle="1" w:styleId="1258">
    <w:name w:val="CM11"/>
    <w:basedOn w:val="1"/>
    <w:next w:val="1"/>
    <w:semiHidden/>
    <w:qFormat/>
    <w:uiPriority w:val="0"/>
    <w:pPr>
      <w:autoSpaceDE w:val="0"/>
      <w:autoSpaceDN w:val="0"/>
      <w:adjustRightInd w:val="0"/>
      <w:spacing w:line="468" w:lineRule="atLeast"/>
      <w:jc w:val="left"/>
    </w:pPr>
    <w:rPr>
      <w:rFonts w:ascii="黑体" w:hAnsi="Calibri" w:eastAsia="黑体"/>
      <w:sz w:val="24"/>
      <w:szCs w:val="21"/>
    </w:rPr>
  </w:style>
  <w:style w:type="paragraph" w:customStyle="1" w:styleId="1259">
    <w:name w:val="Char Char Char1 Char Char Char1 Char"/>
    <w:basedOn w:val="1"/>
    <w:semiHidden/>
    <w:qFormat/>
    <w:uiPriority w:val="0"/>
    <w:pPr>
      <w:spacing w:line="360" w:lineRule="auto"/>
      <w:ind w:firstLine="420" w:firstLineChars="200"/>
    </w:pPr>
    <w:rPr>
      <w:rFonts w:ascii="Calibri" w:hAnsi="Calibri"/>
      <w:sz w:val="24"/>
      <w:szCs w:val="20"/>
    </w:rPr>
  </w:style>
  <w:style w:type="paragraph" w:customStyle="1" w:styleId="1260">
    <w:name w:val="font11"/>
    <w:basedOn w:val="1"/>
    <w:semiHidden/>
    <w:qFormat/>
    <w:uiPriority w:val="0"/>
    <w:pPr>
      <w:widowControl/>
      <w:spacing w:before="100" w:beforeAutospacing="1" w:after="100" w:afterAutospacing="1"/>
      <w:jc w:val="left"/>
    </w:pPr>
    <w:rPr>
      <w:rFonts w:hint="eastAsia" w:ascii="宋体" w:hAnsi="宋体"/>
      <w:kern w:val="0"/>
      <w:sz w:val="24"/>
      <w:szCs w:val="21"/>
    </w:rPr>
  </w:style>
  <w:style w:type="paragraph" w:customStyle="1" w:styleId="1261">
    <w:name w:val="CM15"/>
    <w:basedOn w:val="1"/>
    <w:next w:val="1"/>
    <w:semiHidden/>
    <w:qFormat/>
    <w:uiPriority w:val="0"/>
    <w:pPr>
      <w:autoSpaceDE w:val="0"/>
      <w:autoSpaceDN w:val="0"/>
      <w:adjustRightInd w:val="0"/>
      <w:spacing w:after="97"/>
      <w:jc w:val="left"/>
    </w:pPr>
    <w:rPr>
      <w:rFonts w:ascii="宋体" w:hAnsi="Calibri"/>
      <w:sz w:val="24"/>
      <w:szCs w:val="21"/>
    </w:rPr>
  </w:style>
  <w:style w:type="paragraph" w:customStyle="1" w:styleId="1262">
    <w:name w:val="Char Char Char2 Char"/>
    <w:basedOn w:val="1"/>
    <w:semiHidden/>
    <w:qFormat/>
    <w:uiPriority w:val="0"/>
    <w:pPr>
      <w:spacing w:line="360" w:lineRule="auto"/>
      <w:ind w:firstLine="200" w:firstLineChars="200"/>
    </w:pPr>
    <w:rPr>
      <w:rFonts w:ascii="宋体" w:hAnsi="宋体" w:cs="宋体"/>
      <w:sz w:val="24"/>
      <w:szCs w:val="21"/>
    </w:rPr>
  </w:style>
  <w:style w:type="paragraph" w:customStyle="1" w:styleId="1263">
    <w:name w:val="Char Char Char2 Char1"/>
    <w:basedOn w:val="1"/>
    <w:semiHidden/>
    <w:qFormat/>
    <w:uiPriority w:val="0"/>
    <w:pPr>
      <w:spacing w:line="360" w:lineRule="auto"/>
      <w:ind w:firstLine="200" w:firstLineChars="200"/>
    </w:pPr>
    <w:rPr>
      <w:rFonts w:ascii="宋体" w:hAnsi="宋体" w:cs="宋体"/>
      <w:sz w:val="24"/>
      <w:szCs w:val="21"/>
    </w:rPr>
  </w:style>
  <w:style w:type="paragraph" w:customStyle="1" w:styleId="1264">
    <w:name w:val="xl46"/>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pPr>
    <w:rPr>
      <w:rFonts w:ascii="Calibri" w:hAnsi="Calibri" w:eastAsia="汉鼎简书宋"/>
      <w:kern w:val="0"/>
      <w:sz w:val="20"/>
      <w:szCs w:val="20"/>
    </w:rPr>
  </w:style>
  <w:style w:type="paragraph" w:customStyle="1" w:styleId="1265">
    <w:name w:val="Definition Term"/>
    <w:basedOn w:val="1"/>
    <w:next w:val="1"/>
    <w:semiHidden/>
    <w:qFormat/>
    <w:uiPriority w:val="0"/>
    <w:pPr>
      <w:autoSpaceDE w:val="0"/>
      <w:autoSpaceDN w:val="0"/>
      <w:adjustRightInd w:val="0"/>
      <w:jc w:val="left"/>
    </w:pPr>
    <w:rPr>
      <w:rFonts w:ascii="宋体" w:hAnsi="Calibri"/>
      <w:kern w:val="0"/>
      <w:sz w:val="24"/>
      <w:szCs w:val="20"/>
    </w:rPr>
  </w:style>
  <w:style w:type="paragraph" w:customStyle="1" w:styleId="1266">
    <w:name w:val="xl146"/>
    <w:basedOn w:val="1"/>
    <w:semiHidden/>
    <w:qFormat/>
    <w:uiPriority w:val="0"/>
    <w:pPr>
      <w:widowControl/>
      <w:pBdr>
        <w:top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1267">
    <w:name w:val="style1"/>
    <w:basedOn w:val="1"/>
    <w:semiHidden/>
    <w:qFormat/>
    <w:uiPriority w:val="0"/>
    <w:pPr>
      <w:widowControl/>
      <w:spacing w:before="100" w:beforeAutospacing="1" w:after="100" w:afterAutospacing="1"/>
      <w:jc w:val="left"/>
    </w:pPr>
    <w:rPr>
      <w:rFonts w:ascii="宋体" w:hAnsi="宋体"/>
      <w:kern w:val="0"/>
      <w:sz w:val="24"/>
      <w:szCs w:val="21"/>
    </w:rPr>
  </w:style>
  <w:style w:type="paragraph" w:customStyle="1" w:styleId="1268">
    <w:name w:val="Char12"/>
    <w:basedOn w:val="1"/>
    <w:semiHidden/>
    <w:qFormat/>
    <w:uiPriority w:val="0"/>
    <w:pPr>
      <w:spacing w:line="360" w:lineRule="auto"/>
      <w:ind w:firstLine="200" w:firstLineChars="200"/>
    </w:pPr>
    <w:rPr>
      <w:rFonts w:ascii="宋体" w:hAnsi="宋体" w:cs="宋体"/>
      <w:sz w:val="24"/>
      <w:szCs w:val="21"/>
    </w:rPr>
  </w:style>
  <w:style w:type="paragraph" w:customStyle="1" w:styleId="1269">
    <w:name w:val="Standardeinz"/>
    <w:basedOn w:val="1"/>
    <w:next w:val="20"/>
    <w:semiHidden/>
    <w:qFormat/>
    <w:uiPriority w:val="0"/>
    <w:pPr>
      <w:adjustRightInd w:val="0"/>
      <w:spacing w:line="312" w:lineRule="auto"/>
      <w:ind w:firstLine="567"/>
      <w:textAlignment w:val="baseline"/>
    </w:pPr>
    <w:rPr>
      <w:rFonts w:ascii="Calibri" w:hAnsi="Calibri"/>
      <w:kern w:val="0"/>
      <w:sz w:val="28"/>
      <w:szCs w:val="20"/>
    </w:rPr>
  </w:style>
  <w:style w:type="paragraph" w:customStyle="1" w:styleId="1270">
    <w:name w:val="Document Map1"/>
    <w:basedOn w:val="1"/>
    <w:semiHidden/>
    <w:qFormat/>
    <w:uiPriority w:val="0"/>
    <w:pPr>
      <w:shd w:val="clear" w:color="auto" w:fill="000080"/>
      <w:adjustRightInd w:val="0"/>
      <w:spacing w:line="360" w:lineRule="auto"/>
      <w:ind w:firstLine="420" w:firstLineChars="200"/>
      <w:textAlignment w:val="baseline"/>
    </w:pPr>
    <w:rPr>
      <w:rFonts w:ascii="宋体" w:hAnsi="Calibri"/>
      <w:kern w:val="0"/>
      <w:sz w:val="24"/>
      <w:szCs w:val="20"/>
    </w:rPr>
  </w:style>
  <w:style w:type="paragraph" w:customStyle="1" w:styleId="1271">
    <w:name w:val="ST20_32"/>
    <w:basedOn w:val="54"/>
    <w:semiHidden/>
    <w:qFormat/>
    <w:uiPriority w:val="0"/>
    <w:pPr>
      <w:keepLines/>
      <w:pBdr>
        <w:top w:val="single" w:color="auto" w:sz="8" w:space="1"/>
      </w:pBdr>
      <w:tabs>
        <w:tab w:val="center" w:pos="4320"/>
        <w:tab w:val="clear" w:pos="4153"/>
        <w:tab w:val="clear" w:pos="8306"/>
      </w:tabs>
      <w:autoSpaceDE w:val="0"/>
      <w:autoSpaceDN w:val="0"/>
      <w:adjustRightInd w:val="0"/>
      <w:snapToGrid/>
      <w:spacing w:line="360" w:lineRule="atLeast"/>
      <w:jc w:val="center"/>
      <w:textAlignment w:val="baseline"/>
    </w:pPr>
    <w:rPr>
      <w:rFonts w:ascii="宋体" w:hAnsi="Tms Rmn"/>
      <w:kern w:val="0"/>
      <w:sz w:val="28"/>
      <w:szCs w:val="20"/>
    </w:rPr>
  </w:style>
  <w:style w:type="paragraph" w:customStyle="1" w:styleId="1272">
    <w:name w:val="CM49"/>
    <w:basedOn w:val="1"/>
    <w:next w:val="1"/>
    <w:semiHidden/>
    <w:qFormat/>
    <w:uiPriority w:val="0"/>
    <w:pPr>
      <w:autoSpaceDE w:val="0"/>
      <w:autoSpaceDN w:val="0"/>
      <w:adjustRightInd w:val="0"/>
      <w:spacing w:line="460" w:lineRule="atLeast"/>
      <w:jc w:val="left"/>
    </w:pPr>
    <w:rPr>
      <w:rFonts w:ascii="Calibri" w:hAnsi="Calibri"/>
      <w:sz w:val="24"/>
      <w:szCs w:val="21"/>
    </w:rPr>
  </w:style>
  <w:style w:type="paragraph" w:customStyle="1" w:styleId="1273">
    <w:name w:val="ST20_1"/>
    <w:basedOn w:val="1"/>
    <w:semiHidden/>
    <w:qFormat/>
    <w:uiPriority w:val="0"/>
    <w:pPr>
      <w:adjustRightInd w:val="0"/>
      <w:spacing w:line="360" w:lineRule="auto"/>
      <w:ind w:firstLine="420" w:firstLineChars="200"/>
      <w:jc w:val="center"/>
      <w:textAlignment w:val="baseline"/>
    </w:pPr>
    <w:rPr>
      <w:rFonts w:ascii="宋体" w:hAnsi="Calibri"/>
      <w:kern w:val="0"/>
      <w:sz w:val="24"/>
      <w:szCs w:val="20"/>
    </w:rPr>
  </w:style>
  <w:style w:type="paragraph" w:customStyle="1" w:styleId="1274">
    <w:name w:val="Char21"/>
    <w:basedOn w:val="1"/>
    <w:semiHidden/>
    <w:qFormat/>
    <w:uiPriority w:val="0"/>
    <w:pPr>
      <w:spacing w:line="360" w:lineRule="auto"/>
      <w:ind w:firstLine="200" w:firstLineChars="200"/>
    </w:pPr>
    <w:rPr>
      <w:rFonts w:ascii="Calibri" w:hAnsi="Calibri"/>
      <w:color w:val="000000"/>
      <w:sz w:val="24"/>
      <w:szCs w:val="21"/>
    </w:rPr>
  </w:style>
  <w:style w:type="paragraph" w:customStyle="1" w:styleId="1275">
    <w:name w:val="font1"/>
    <w:basedOn w:val="1"/>
    <w:semiHidden/>
    <w:qFormat/>
    <w:uiPriority w:val="0"/>
    <w:pPr>
      <w:widowControl/>
      <w:spacing w:before="100" w:beforeAutospacing="1" w:after="100" w:afterAutospacing="1"/>
      <w:jc w:val="left"/>
    </w:pPr>
    <w:rPr>
      <w:rFonts w:hint="eastAsia" w:ascii="宋体" w:hAnsi="宋体"/>
      <w:kern w:val="0"/>
      <w:sz w:val="24"/>
      <w:szCs w:val="21"/>
    </w:rPr>
  </w:style>
  <w:style w:type="paragraph" w:customStyle="1" w:styleId="1276">
    <w:name w:val="Section Heading"/>
    <w:basedOn w:val="1163"/>
    <w:next w:val="33"/>
    <w:semiHidden/>
    <w:qFormat/>
    <w:uiPriority w:val="0"/>
    <w:pPr>
      <w:spacing w:after="0"/>
    </w:pPr>
    <w:rPr>
      <w:rFonts w:ascii="Times New Roman" w:hAnsi="Times New Roman"/>
      <w:sz w:val="28"/>
    </w:rPr>
  </w:style>
  <w:style w:type="paragraph" w:customStyle="1" w:styleId="1277">
    <w:name w:val="CM10"/>
    <w:basedOn w:val="1"/>
    <w:next w:val="1"/>
    <w:semiHidden/>
    <w:qFormat/>
    <w:uiPriority w:val="0"/>
    <w:pPr>
      <w:autoSpaceDE w:val="0"/>
      <w:autoSpaceDN w:val="0"/>
      <w:adjustRightInd w:val="0"/>
      <w:spacing w:line="468" w:lineRule="atLeast"/>
      <w:jc w:val="left"/>
    </w:pPr>
    <w:rPr>
      <w:rFonts w:ascii="黑体" w:hAnsi="Calibri" w:eastAsia="黑体"/>
      <w:sz w:val="24"/>
      <w:szCs w:val="21"/>
    </w:rPr>
  </w:style>
  <w:style w:type="paragraph" w:customStyle="1" w:styleId="1278">
    <w:name w:val="font12"/>
    <w:basedOn w:val="1"/>
    <w:semiHidden/>
    <w:qFormat/>
    <w:uiPriority w:val="0"/>
    <w:pPr>
      <w:widowControl/>
      <w:spacing w:before="100" w:beforeAutospacing="1" w:after="100" w:afterAutospacing="1"/>
      <w:jc w:val="left"/>
    </w:pPr>
    <w:rPr>
      <w:rFonts w:ascii="Calibri" w:hAnsi="Calibri"/>
      <w:kern w:val="0"/>
      <w:sz w:val="22"/>
      <w:szCs w:val="22"/>
    </w:rPr>
  </w:style>
  <w:style w:type="paragraph" w:customStyle="1" w:styleId="1279">
    <w:name w:val="CM16"/>
    <w:basedOn w:val="1"/>
    <w:next w:val="1"/>
    <w:semiHidden/>
    <w:qFormat/>
    <w:uiPriority w:val="0"/>
    <w:pPr>
      <w:autoSpaceDE w:val="0"/>
      <w:autoSpaceDN w:val="0"/>
      <w:adjustRightInd w:val="0"/>
      <w:spacing w:after="50"/>
      <w:jc w:val="left"/>
    </w:pPr>
    <w:rPr>
      <w:rFonts w:ascii="宋体" w:hAnsi="Calibri"/>
      <w:sz w:val="24"/>
      <w:szCs w:val="21"/>
    </w:rPr>
  </w:style>
  <w:style w:type="paragraph" w:customStyle="1" w:styleId="1280">
    <w:name w:val="CM18"/>
    <w:basedOn w:val="1"/>
    <w:next w:val="1"/>
    <w:semiHidden/>
    <w:qFormat/>
    <w:uiPriority w:val="0"/>
    <w:pPr>
      <w:autoSpaceDE w:val="0"/>
      <w:autoSpaceDN w:val="0"/>
      <w:adjustRightInd w:val="0"/>
      <w:jc w:val="left"/>
    </w:pPr>
    <w:rPr>
      <w:rFonts w:ascii="黑体" w:hAnsi="Calibri" w:eastAsia="黑体"/>
      <w:sz w:val="24"/>
      <w:szCs w:val="21"/>
    </w:rPr>
  </w:style>
  <w:style w:type="paragraph" w:customStyle="1" w:styleId="1281">
    <w:name w:val="xl45"/>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right"/>
    </w:pPr>
    <w:rPr>
      <w:rFonts w:ascii="宋体" w:hAnsi="宋体" w:eastAsia="汉鼎简书宋" w:cs="宋体"/>
      <w:kern w:val="0"/>
      <w:sz w:val="20"/>
      <w:szCs w:val="20"/>
    </w:rPr>
  </w:style>
  <w:style w:type="paragraph" w:customStyle="1" w:styleId="1282">
    <w:name w:val="PP 行"/>
    <w:basedOn w:val="57"/>
    <w:semiHidden/>
    <w:qFormat/>
    <w:uiPriority w:val="0"/>
  </w:style>
  <w:style w:type="paragraph" w:customStyle="1" w:styleId="1283">
    <w:name w:val="declear1"/>
    <w:basedOn w:val="1"/>
    <w:semiHidden/>
    <w:qFormat/>
    <w:uiPriority w:val="0"/>
    <w:pPr>
      <w:widowControl/>
      <w:spacing w:after="27" w:line="217" w:lineRule="atLeast"/>
      <w:jc w:val="left"/>
    </w:pPr>
    <w:rPr>
      <w:rFonts w:ascii="宋体" w:hAnsi="宋体" w:cs="宋体"/>
      <w:color w:val="999999"/>
      <w:kern w:val="0"/>
      <w:sz w:val="16"/>
      <w:szCs w:val="16"/>
    </w:rPr>
  </w:style>
  <w:style w:type="paragraph" w:customStyle="1" w:styleId="1284">
    <w:name w:val="font13"/>
    <w:basedOn w:val="1"/>
    <w:semiHidden/>
    <w:qFormat/>
    <w:uiPriority w:val="0"/>
    <w:pPr>
      <w:widowControl/>
      <w:spacing w:before="100" w:beforeAutospacing="1" w:after="100" w:afterAutospacing="1"/>
      <w:jc w:val="left"/>
    </w:pPr>
    <w:rPr>
      <w:rFonts w:hint="eastAsia" w:ascii="宋体" w:hAnsi="宋体"/>
      <w:b/>
      <w:bCs/>
      <w:color w:val="000000"/>
      <w:kern w:val="0"/>
      <w:sz w:val="18"/>
      <w:szCs w:val="18"/>
    </w:rPr>
  </w:style>
  <w:style w:type="paragraph" w:customStyle="1" w:styleId="1285">
    <w:name w:val="font14"/>
    <w:basedOn w:val="1"/>
    <w:semiHidden/>
    <w:qFormat/>
    <w:uiPriority w:val="0"/>
    <w:pPr>
      <w:widowControl/>
      <w:spacing w:before="100" w:beforeAutospacing="1" w:after="100" w:afterAutospacing="1" w:line="360" w:lineRule="auto"/>
      <w:ind w:firstLine="420" w:firstLineChars="200"/>
    </w:pPr>
    <w:rPr>
      <w:rFonts w:ascii="Calibri" w:hAnsi="Calibri"/>
      <w:color w:val="0000FF"/>
      <w:kern w:val="0"/>
      <w:sz w:val="24"/>
      <w:szCs w:val="21"/>
    </w:rPr>
  </w:style>
  <w:style w:type="paragraph" w:customStyle="1" w:styleId="1286">
    <w:name w:val="font7"/>
    <w:basedOn w:val="1"/>
    <w:semiHidden/>
    <w:qFormat/>
    <w:uiPriority w:val="0"/>
    <w:pPr>
      <w:widowControl/>
      <w:spacing w:before="100" w:beforeAutospacing="1" w:after="100" w:afterAutospacing="1"/>
      <w:ind w:firstLine="200" w:firstLineChars="200"/>
      <w:jc w:val="left"/>
    </w:pPr>
    <w:rPr>
      <w:rFonts w:ascii="宋体" w:hAnsi="宋体" w:eastAsia="汉鼎简书宋" w:cs="宋体"/>
      <w:kern w:val="0"/>
      <w:sz w:val="20"/>
      <w:szCs w:val="20"/>
    </w:rPr>
  </w:style>
  <w:style w:type="paragraph" w:customStyle="1" w:styleId="1287">
    <w:name w:val="font8"/>
    <w:basedOn w:val="1"/>
    <w:semiHidden/>
    <w:qFormat/>
    <w:uiPriority w:val="0"/>
    <w:pPr>
      <w:widowControl/>
      <w:spacing w:before="100" w:beforeAutospacing="1" w:after="100" w:afterAutospacing="1"/>
      <w:jc w:val="left"/>
    </w:pPr>
    <w:rPr>
      <w:rFonts w:ascii="Calibri" w:hAnsi="Calibri"/>
      <w:kern w:val="0"/>
      <w:sz w:val="20"/>
      <w:szCs w:val="20"/>
    </w:rPr>
  </w:style>
  <w:style w:type="paragraph" w:customStyle="1" w:styleId="1288">
    <w:name w:val="页脚1"/>
    <w:basedOn w:val="1"/>
    <w:semiHidden/>
    <w:qFormat/>
    <w:uiPriority w:val="0"/>
    <w:pPr>
      <w:tabs>
        <w:tab w:val="center" w:pos="4320"/>
        <w:tab w:val="right" w:pos="8640"/>
      </w:tabs>
      <w:adjustRightInd w:val="0"/>
      <w:spacing w:line="240" w:lineRule="atLeast"/>
      <w:jc w:val="left"/>
    </w:pPr>
    <w:rPr>
      <w:rFonts w:hint="eastAsia" w:ascii="宋体" w:hAnsi="Calibri"/>
      <w:kern w:val="0"/>
      <w:sz w:val="18"/>
      <w:szCs w:val="20"/>
    </w:rPr>
  </w:style>
  <w:style w:type="paragraph" w:customStyle="1" w:styleId="1289">
    <w:name w:val="GM"/>
    <w:basedOn w:val="2"/>
    <w:semiHidden/>
    <w:qFormat/>
    <w:uiPriority w:val="0"/>
    <w:pPr>
      <w:keepLines w:val="0"/>
      <w:widowControl/>
      <w:tabs>
        <w:tab w:val="left" w:pos="720"/>
        <w:tab w:val="left" w:pos="1020"/>
        <w:tab w:val="left" w:pos="2260"/>
        <w:tab w:val="left" w:pos="2820"/>
        <w:tab w:val="left" w:pos="3420"/>
      </w:tabs>
      <w:spacing w:before="240" w:line="240" w:lineRule="auto"/>
      <w:ind w:left="851" w:right="-28" w:hanging="851"/>
      <w:jc w:val="center"/>
    </w:pPr>
    <w:rPr>
      <w:rFonts w:ascii="Arial" w:hAnsi="Arial"/>
      <w:bCs w:val="0"/>
      <w:kern w:val="0"/>
      <w:sz w:val="22"/>
      <w:szCs w:val="20"/>
      <w:lang w:val="en-GB"/>
    </w:rPr>
  </w:style>
  <w:style w:type="paragraph" w:customStyle="1" w:styleId="1290">
    <w:name w:val="xl96"/>
    <w:basedOn w:val="1"/>
    <w:semiHidden/>
    <w:qFormat/>
    <w:uiPriority w:val="0"/>
    <w:pPr>
      <w:widowControl/>
      <w:pBdr>
        <w:left w:val="single" w:color="auto" w:sz="8" w:space="0"/>
        <w:bottom w:val="single" w:color="auto" w:sz="8" w:space="0"/>
        <w:right w:val="single" w:color="auto" w:sz="8" w:space="0"/>
      </w:pBdr>
      <w:spacing w:before="100" w:beforeAutospacing="1" w:after="100" w:afterAutospacing="1" w:line="360" w:lineRule="auto"/>
      <w:ind w:firstLine="420" w:firstLineChars="200"/>
    </w:pPr>
    <w:rPr>
      <w:rFonts w:ascii="宋体" w:hAnsi="宋体" w:cs="宋体"/>
      <w:kern w:val="0"/>
      <w:sz w:val="24"/>
      <w:szCs w:val="21"/>
    </w:rPr>
  </w:style>
  <w:style w:type="paragraph" w:customStyle="1" w:styleId="1291">
    <w:name w:val="xl97"/>
    <w:basedOn w:val="1"/>
    <w:semiHidden/>
    <w:qFormat/>
    <w:uiPriority w:val="0"/>
    <w:pPr>
      <w:widowControl/>
      <w:pBdr>
        <w:bottom w:val="single" w:color="auto" w:sz="8" w:space="0"/>
      </w:pBdr>
      <w:shd w:val="clear" w:color="auto" w:fill="FFFF00"/>
      <w:spacing w:before="100" w:beforeAutospacing="1" w:after="100" w:afterAutospacing="1" w:line="360" w:lineRule="auto"/>
      <w:ind w:firstLine="420" w:firstLineChars="200"/>
    </w:pPr>
    <w:rPr>
      <w:rFonts w:ascii="Calibri" w:hAnsi="Calibri"/>
      <w:color w:val="000000"/>
      <w:kern w:val="0"/>
      <w:sz w:val="24"/>
      <w:szCs w:val="21"/>
    </w:rPr>
  </w:style>
  <w:style w:type="paragraph" w:customStyle="1" w:styleId="1292">
    <w:name w:val="xl98"/>
    <w:basedOn w:val="1"/>
    <w:semiHidden/>
    <w:qFormat/>
    <w:uiPriority w:val="0"/>
    <w:pPr>
      <w:widowControl/>
      <w:pBdr>
        <w:bottom w:val="single" w:color="auto" w:sz="8" w:space="0"/>
        <w:right w:val="single" w:color="auto" w:sz="8" w:space="0"/>
      </w:pBdr>
      <w:shd w:val="clear" w:color="auto" w:fill="FFFF00"/>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1293">
    <w:name w:val="Header Base"/>
    <w:basedOn w:val="1"/>
    <w:semiHidden/>
    <w:qFormat/>
    <w:uiPriority w:val="0"/>
    <w:pPr>
      <w:keepLines/>
      <w:widowControl/>
      <w:tabs>
        <w:tab w:val="center" w:pos="4320"/>
        <w:tab w:val="right" w:pos="8640"/>
      </w:tabs>
      <w:overflowPunct w:val="0"/>
      <w:autoSpaceDE w:val="0"/>
      <w:autoSpaceDN w:val="0"/>
      <w:adjustRightInd w:val="0"/>
      <w:spacing w:line="360" w:lineRule="auto"/>
      <w:ind w:firstLine="420" w:firstLineChars="200"/>
      <w:textAlignment w:val="baseline"/>
    </w:pPr>
    <w:rPr>
      <w:rFonts w:ascii="Calibri" w:hAnsi="Calibri"/>
      <w:kern w:val="0"/>
      <w:sz w:val="20"/>
      <w:szCs w:val="20"/>
    </w:rPr>
  </w:style>
  <w:style w:type="paragraph" w:customStyle="1" w:styleId="1294">
    <w:name w:val="xl99"/>
    <w:basedOn w:val="1"/>
    <w:semiHidden/>
    <w:qFormat/>
    <w:uiPriority w:val="0"/>
    <w:pPr>
      <w:widowControl/>
      <w:pBdr>
        <w:bottom w:val="single" w:color="auto" w:sz="8" w:space="0"/>
        <w:right w:val="single" w:color="auto" w:sz="8" w:space="0"/>
      </w:pBdr>
      <w:spacing w:before="100" w:beforeAutospacing="1" w:after="100" w:afterAutospacing="1" w:line="360" w:lineRule="auto"/>
      <w:ind w:firstLine="420" w:firstLineChars="200"/>
      <w:textAlignment w:val="top"/>
    </w:pPr>
    <w:rPr>
      <w:rFonts w:ascii="Calibri" w:hAnsi="Calibri"/>
      <w:color w:val="000000"/>
      <w:kern w:val="0"/>
      <w:sz w:val="24"/>
      <w:szCs w:val="21"/>
    </w:rPr>
  </w:style>
  <w:style w:type="paragraph" w:customStyle="1" w:styleId="1295">
    <w:name w:val="Header Even"/>
    <w:basedOn w:val="56"/>
    <w:semiHidden/>
    <w:qFormat/>
    <w:uiPriority w:val="0"/>
    <w:pPr>
      <w:keepLines/>
      <w:widowControl/>
      <w:pBdr>
        <w:bottom w:val="none" w:color="auto" w:sz="0" w:space="0"/>
      </w:pBdr>
      <w:tabs>
        <w:tab w:val="center" w:pos="4320"/>
        <w:tab w:val="right" w:pos="8640"/>
        <w:tab w:val="clear" w:pos="4153"/>
        <w:tab w:val="clear" w:pos="8306"/>
      </w:tabs>
      <w:overflowPunct w:val="0"/>
      <w:autoSpaceDE w:val="0"/>
      <w:autoSpaceDN w:val="0"/>
      <w:adjustRightInd w:val="0"/>
      <w:snapToGrid/>
      <w:ind w:firstLine="420" w:firstLineChars="200"/>
      <w:jc w:val="left"/>
      <w:textAlignment w:val="baseline"/>
    </w:pPr>
    <w:rPr>
      <w:rFonts w:ascii="Calibri" w:hAnsi="Calibri"/>
      <w:kern w:val="0"/>
      <w:sz w:val="20"/>
      <w:szCs w:val="20"/>
    </w:rPr>
  </w:style>
  <w:style w:type="paragraph" w:customStyle="1" w:styleId="1296">
    <w:name w:val="xxxxx正文"/>
    <w:basedOn w:val="1"/>
    <w:semiHidden/>
    <w:qFormat/>
    <w:uiPriority w:val="0"/>
    <w:pPr>
      <w:topLinePunct/>
      <w:spacing w:line="360" w:lineRule="auto"/>
      <w:ind w:firstLine="200" w:firstLineChars="200"/>
    </w:pPr>
    <w:rPr>
      <w:rFonts w:ascii="宋体" w:hAnsi="Calibri"/>
      <w:sz w:val="24"/>
      <w:szCs w:val="21"/>
      <w:lang w:val="zh-CN"/>
    </w:rPr>
  </w:style>
  <w:style w:type="paragraph" w:customStyle="1" w:styleId="1297">
    <w:name w:val="Header First"/>
    <w:basedOn w:val="56"/>
    <w:semiHidden/>
    <w:qFormat/>
    <w:uiPriority w:val="0"/>
    <w:pPr>
      <w:keepLines/>
      <w:widowControl/>
      <w:pBdr>
        <w:bottom w:val="none" w:color="auto" w:sz="0" w:space="0"/>
      </w:pBdr>
      <w:tabs>
        <w:tab w:val="center" w:pos="4320"/>
        <w:tab w:val="clear" w:pos="4153"/>
        <w:tab w:val="clear" w:pos="8306"/>
      </w:tabs>
      <w:overflowPunct w:val="0"/>
      <w:autoSpaceDE w:val="0"/>
      <w:autoSpaceDN w:val="0"/>
      <w:adjustRightInd w:val="0"/>
      <w:snapToGrid/>
      <w:ind w:firstLine="420" w:firstLineChars="200"/>
      <w:textAlignment w:val="baseline"/>
    </w:pPr>
    <w:rPr>
      <w:rFonts w:ascii="Calibri" w:hAnsi="Calibri"/>
      <w:kern w:val="0"/>
      <w:sz w:val="20"/>
      <w:szCs w:val="20"/>
    </w:rPr>
  </w:style>
  <w:style w:type="paragraph" w:customStyle="1" w:styleId="1298">
    <w:name w:val="x正文"/>
    <w:basedOn w:val="1"/>
    <w:link w:val="2184"/>
    <w:qFormat/>
    <w:uiPriority w:val="0"/>
    <w:pPr>
      <w:spacing w:line="360" w:lineRule="auto"/>
      <w:ind w:firstLine="480" w:firstLineChars="200"/>
    </w:pPr>
    <w:rPr>
      <w:rFonts w:ascii="宋体" w:hAnsi="宋体"/>
      <w:sz w:val="24"/>
      <w:szCs w:val="21"/>
    </w:rPr>
  </w:style>
  <w:style w:type="paragraph" w:customStyle="1" w:styleId="1299">
    <w:name w:val="Header Odd"/>
    <w:basedOn w:val="56"/>
    <w:semiHidden/>
    <w:qFormat/>
    <w:uiPriority w:val="0"/>
    <w:pPr>
      <w:keepLines/>
      <w:widowControl/>
      <w:pBdr>
        <w:bottom w:val="none" w:color="auto" w:sz="0" w:space="0"/>
      </w:pBdr>
      <w:tabs>
        <w:tab w:val="right" w:pos="0"/>
        <w:tab w:val="center" w:pos="4320"/>
        <w:tab w:val="right" w:pos="8640"/>
        <w:tab w:val="clear" w:pos="4153"/>
        <w:tab w:val="clear" w:pos="8306"/>
      </w:tabs>
      <w:overflowPunct w:val="0"/>
      <w:autoSpaceDE w:val="0"/>
      <w:autoSpaceDN w:val="0"/>
      <w:adjustRightInd w:val="0"/>
      <w:snapToGrid/>
      <w:ind w:firstLine="420" w:firstLineChars="200"/>
      <w:jc w:val="right"/>
      <w:textAlignment w:val="baseline"/>
    </w:pPr>
    <w:rPr>
      <w:rFonts w:ascii="Calibri" w:hAnsi="Calibri"/>
      <w:kern w:val="0"/>
      <w:sz w:val="20"/>
      <w:szCs w:val="20"/>
    </w:rPr>
  </w:style>
  <w:style w:type="paragraph" w:customStyle="1" w:styleId="1300">
    <w:name w:val="yin4"/>
    <w:basedOn w:val="1"/>
    <w:semiHidden/>
    <w:qFormat/>
    <w:uiPriority w:val="0"/>
    <w:pPr>
      <w:ind w:firstLine="200" w:firstLineChars="200"/>
      <w:jc w:val="left"/>
    </w:pPr>
    <w:rPr>
      <w:rFonts w:ascii="Calibri" w:hAnsi="Calibri"/>
      <w:sz w:val="28"/>
      <w:szCs w:val="28"/>
      <w:lang w:val="zh-CN"/>
    </w:rPr>
  </w:style>
  <w:style w:type="paragraph" w:customStyle="1" w:styleId="1301">
    <w:name w:val="标题 11"/>
    <w:basedOn w:val="1"/>
    <w:next w:val="1"/>
    <w:semiHidden/>
    <w:qFormat/>
    <w:uiPriority w:val="0"/>
    <w:pPr>
      <w:autoSpaceDE w:val="0"/>
      <w:autoSpaceDN w:val="0"/>
      <w:adjustRightInd w:val="0"/>
      <w:jc w:val="left"/>
    </w:pPr>
    <w:rPr>
      <w:rFonts w:ascii="Arial,Bold" w:hAnsi="Arial,Bold"/>
      <w:kern w:val="0"/>
      <w:sz w:val="20"/>
      <w:szCs w:val="21"/>
    </w:rPr>
  </w:style>
  <w:style w:type="paragraph" w:customStyle="1" w:styleId="1302">
    <w:name w:val="报告标题3"/>
    <w:basedOn w:val="4"/>
    <w:semiHidden/>
    <w:qFormat/>
    <w:uiPriority w:val="0"/>
    <w:pPr>
      <w:tabs>
        <w:tab w:val="left" w:pos="0"/>
      </w:tabs>
      <w:spacing w:before="0" w:after="0"/>
    </w:pPr>
    <w:rPr>
      <w:rFonts w:ascii="Arial" w:hAnsi="Arial"/>
      <w:bCs w:val="0"/>
      <w:color w:val="000000"/>
      <w:kern w:val="0"/>
      <w:sz w:val="24"/>
    </w:rPr>
  </w:style>
  <w:style w:type="paragraph" w:customStyle="1" w:styleId="1303">
    <w:name w:val="yxp_正文段落"/>
    <w:basedOn w:val="1"/>
    <w:semiHidden/>
    <w:qFormat/>
    <w:uiPriority w:val="0"/>
    <w:pPr>
      <w:spacing w:line="360" w:lineRule="auto"/>
      <w:ind w:firstLine="200" w:firstLineChars="200"/>
    </w:pPr>
    <w:rPr>
      <w:rFonts w:ascii="Calibri" w:hAnsi="Calibri"/>
      <w:sz w:val="28"/>
      <w:szCs w:val="20"/>
    </w:rPr>
  </w:style>
  <w:style w:type="paragraph" w:customStyle="1" w:styleId="1304">
    <w:name w:val="报告标题10"/>
    <w:basedOn w:val="2"/>
    <w:semiHidden/>
    <w:qFormat/>
    <w:uiPriority w:val="0"/>
    <w:pPr>
      <w:spacing w:line="578" w:lineRule="auto"/>
    </w:pPr>
    <w:rPr>
      <w:rFonts w:ascii="黑体" w:hAnsi="宋体" w:eastAsia="黑体"/>
      <w:b w:val="0"/>
      <w:spacing w:val="4"/>
      <w:kern w:val="0"/>
      <w:szCs w:val="20"/>
    </w:rPr>
  </w:style>
  <w:style w:type="paragraph" w:customStyle="1" w:styleId="1305">
    <w:name w:val="hp1"/>
    <w:basedOn w:val="2"/>
    <w:semiHidden/>
    <w:qFormat/>
    <w:uiPriority w:val="0"/>
    <w:pPr>
      <w:adjustRightInd w:val="0"/>
      <w:spacing w:line="578" w:lineRule="atLeast"/>
      <w:ind w:firstLine="482"/>
      <w:jc w:val="center"/>
      <w:textAlignment w:val="baseline"/>
    </w:pPr>
    <w:rPr>
      <w:rFonts w:ascii="黑体" w:hAnsi="宋体"/>
      <w:szCs w:val="28"/>
    </w:rPr>
  </w:style>
  <w:style w:type="paragraph" w:customStyle="1" w:styleId="1306">
    <w:name w:val="z1"/>
    <w:next w:val="1"/>
    <w:qFormat/>
    <w:uiPriority w:val="0"/>
    <w:pPr>
      <w:spacing w:line="360" w:lineRule="auto"/>
      <w:jc w:val="center"/>
      <w:outlineLvl w:val="0"/>
    </w:pPr>
    <w:rPr>
      <w:rFonts w:ascii="Times New Roman" w:hAnsi="Times New Roman" w:eastAsia="宋体" w:cs="Times New Roman"/>
      <w:b/>
      <w:bCs/>
      <w:color w:val="000000"/>
      <w:kern w:val="2"/>
      <w:sz w:val="36"/>
      <w:szCs w:val="30"/>
      <w:lang w:val="en-US" w:eastAsia="zh-CN" w:bidi="ar-SA"/>
    </w:rPr>
  </w:style>
  <w:style w:type="paragraph" w:customStyle="1" w:styleId="1307">
    <w:name w:val="HTML 预先格式化"/>
    <w:basedOn w:val="1"/>
    <w:semiHidden/>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kern w:val="0"/>
      <w:sz w:val="20"/>
      <w:szCs w:val="20"/>
    </w:rPr>
  </w:style>
  <w:style w:type="paragraph" w:customStyle="1" w:styleId="1308">
    <w:name w:val="kt1"/>
    <w:basedOn w:val="1"/>
    <w:semiHidden/>
    <w:qFormat/>
    <w:uiPriority w:val="0"/>
    <w:pPr>
      <w:adjustRightInd w:val="0"/>
      <w:snapToGrid w:val="0"/>
      <w:spacing w:before="156" w:after="156" w:line="300" w:lineRule="auto"/>
      <w:ind w:left="-1" w:leftChars="-1" w:hanging="1"/>
      <w:jc w:val="center"/>
    </w:pPr>
    <w:rPr>
      <w:rFonts w:ascii="宋体" w:hAnsi="宋体"/>
      <w:color w:val="FF0000"/>
      <w:szCs w:val="21"/>
    </w:rPr>
  </w:style>
  <w:style w:type="paragraph" w:customStyle="1" w:styleId="1309">
    <w:name w:val="ky-txt Char"/>
    <w:semiHidden/>
    <w:qFormat/>
    <w:uiPriority w:val="0"/>
    <w:pPr>
      <w:widowControl w:val="0"/>
      <w:spacing w:line="500" w:lineRule="exact"/>
      <w:ind w:firstLine="480" w:firstLineChars="200"/>
      <w:jc w:val="both"/>
    </w:pPr>
    <w:rPr>
      <w:rFonts w:ascii="宋体" w:hAnsi="宋体" w:eastAsia="宋体" w:cs="Times New Roman"/>
      <w:color w:val="000000"/>
      <w:kern w:val="2"/>
      <w:sz w:val="24"/>
      <w:szCs w:val="24"/>
      <w:lang w:val="en-US" w:eastAsia="zh-CN" w:bidi="ar-SA"/>
    </w:rPr>
  </w:style>
  <w:style w:type="paragraph" w:customStyle="1" w:styleId="1310">
    <w:name w:val="阿正文"/>
    <w:basedOn w:val="1"/>
    <w:qFormat/>
    <w:uiPriority w:val="0"/>
    <w:pPr>
      <w:spacing w:line="360" w:lineRule="auto"/>
      <w:ind w:firstLine="200" w:firstLineChars="200"/>
    </w:pPr>
    <w:rPr>
      <w:rFonts w:ascii="Calibri" w:hAnsi="Calibri"/>
      <w:sz w:val="24"/>
      <w:szCs w:val="21"/>
    </w:rPr>
  </w:style>
  <w:style w:type="paragraph" w:customStyle="1" w:styleId="1311">
    <w:name w:val="kyzhw Char Char"/>
    <w:basedOn w:val="1"/>
    <w:semiHidden/>
    <w:qFormat/>
    <w:uiPriority w:val="0"/>
    <w:pPr>
      <w:spacing w:line="580" w:lineRule="exact"/>
      <w:ind w:firstLine="560" w:firstLineChars="200"/>
    </w:pPr>
    <w:rPr>
      <w:rFonts w:ascii="宋体" w:hAnsi="宋体"/>
      <w:sz w:val="28"/>
      <w:szCs w:val="21"/>
    </w:rPr>
  </w:style>
  <w:style w:type="paragraph" w:customStyle="1" w:styleId="1312">
    <w:name w:val="ld标题3"/>
    <w:basedOn w:val="4"/>
    <w:qFormat/>
    <w:uiPriority w:val="0"/>
    <w:pPr>
      <w:spacing w:before="0" w:after="0"/>
    </w:pPr>
    <w:rPr>
      <w:rFonts w:ascii="黑体" w:hAnsi="Calibri" w:eastAsia="黑体"/>
      <w:b w:val="0"/>
      <w:bCs w:val="0"/>
      <w:kern w:val="0"/>
      <w:sz w:val="24"/>
    </w:rPr>
  </w:style>
  <w:style w:type="paragraph" w:customStyle="1" w:styleId="1313">
    <w:name w:val="List Number Last"/>
    <w:basedOn w:val="19"/>
    <w:next w:val="33"/>
    <w:semiHidden/>
    <w:qFormat/>
    <w:uiPriority w:val="0"/>
    <w:pPr>
      <w:widowControl/>
      <w:tabs>
        <w:tab w:val="left" w:pos="973"/>
        <w:tab w:val="clear" w:pos="540"/>
      </w:tabs>
      <w:overflowPunct w:val="0"/>
      <w:autoSpaceDE w:val="0"/>
      <w:autoSpaceDN w:val="0"/>
      <w:adjustRightInd w:val="0"/>
      <w:spacing w:afterLines="100" w:line="360" w:lineRule="auto"/>
      <w:ind w:left="720" w:firstLine="200" w:firstLineChars="200"/>
      <w:textAlignment w:val="baseline"/>
    </w:pPr>
    <w:rPr>
      <w:rFonts w:ascii="Calibri" w:hAnsi="Calibri"/>
      <w:kern w:val="0"/>
      <w:sz w:val="20"/>
      <w:szCs w:val="20"/>
    </w:rPr>
  </w:style>
  <w:style w:type="paragraph" w:customStyle="1" w:styleId="1314">
    <w:name w:val="MTDisplayEquation"/>
    <w:basedOn w:val="1"/>
    <w:next w:val="1"/>
    <w:semiHidden/>
    <w:qFormat/>
    <w:uiPriority w:val="0"/>
    <w:pPr>
      <w:tabs>
        <w:tab w:val="center" w:pos="4160"/>
        <w:tab w:val="right" w:pos="8320"/>
      </w:tabs>
      <w:spacing w:line="460" w:lineRule="exact"/>
      <w:ind w:firstLine="420" w:firstLineChars="200"/>
    </w:pPr>
    <w:rPr>
      <w:rFonts w:ascii="方正宋三简体" w:hAnsi="Calibri"/>
      <w:szCs w:val="21"/>
    </w:rPr>
  </w:style>
  <w:style w:type="paragraph" w:customStyle="1" w:styleId="1315">
    <w:name w:val="mulu2"/>
    <w:basedOn w:val="1"/>
    <w:semiHidden/>
    <w:qFormat/>
    <w:uiPriority w:val="0"/>
    <w:pPr>
      <w:spacing w:beforeLines="50" w:line="360" w:lineRule="auto"/>
      <w:ind w:firstLine="200" w:firstLineChars="200"/>
    </w:pPr>
    <w:rPr>
      <w:rFonts w:ascii="Calibri" w:hAnsi="宋体"/>
      <w:b/>
      <w:bCs/>
      <w:color w:val="000000"/>
      <w:sz w:val="24"/>
      <w:szCs w:val="21"/>
    </w:rPr>
  </w:style>
  <w:style w:type="paragraph" w:customStyle="1" w:styleId="1316">
    <w:name w:val="mulu3"/>
    <w:basedOn w:val="33"/>
    <w:semiHidden/>
    <w:qFormat/>
    <w:uiPriority w:val="0"/>
    <w:pPr>
      <w:adjustRightInd w:val="0"/>
      <w:spacing w:beforeLines="50" w:after="0" w:line="360" w:lineRule="auto"/>
      <w:ind w:firstLine="200" w:firstLineChars="200"/>
      <w:textAlignment w:val="baseline"/>
    </w:pPr>
    <w:rPr>
      <w:rFonts w:ascii="Arial" w:hAnsi="宋体"/>
      <w:bCs/>
      <w:color w:val="000000"/>
      <w:kern w:val="0"/>
      <w:sz w:val="28"/>
      <w:szCs w:val="20"/>
    </w:rPr>
  </w:style>
  <w:style w:type="paragraph" w:customStyle="1" w:styleId="1317">
    <w:name w:val="mytext11"/>
    <w:basedOn w:val="1"/>
    <w:semiHidden/>
    <w:qFormat/>
    <w:uiPriority w:val="0"/>
    <w:pPr>
      <w:widowControl/>
      <w:spacing w:before="100" w:beforeAutospacing="1" w:after="100" w:afterAutospacing="1"/>
      <w:jc w:val="left"/>
    </w:pPr>
    <w:rPr>
      <w:rFonts w:ascii="宋体" w:hAnsi="宋体" w:cs="宋体"/>
      <w:color w:val="000000"/>
      <w:kern w:val="0"/>
      <w:sz w:val="24"/>
      <w:szCs w:val="21"/>
    </w:rPr>
  </w:style>
  <w:style w:type="paragraph" w:customStyle="1" w:styleId="1318">
    <w:name w:val="Name"/>
    <w:basedOn w:val="33"/>
    <w:semiHidden/>
    <w:qFormat/>
    <w:uiPriority w:val="0"/>
    <w:pPr>
      <w:keepNext/>
      <w:widowControl/>
      <w:tabs>
        <w:tab w:val="right" w:pos="3960"/>
      </w:tabs>
      <w:overflowPunct w:val="0"/>
      <w:autoSpaceDE w:val="0"/>
      <w:autoSpaceDN w:val="0"/>
      <w:adjustRightInd w:val="0"/>
      <w:spacing w:before="120" w:after="0" w:line="360" w:lineRule="auto"/>
      <w:ind w:firstLine="420" w:firstLineChars="200"/>
      <w:textAlignment w:val="baseline"/>
    </w:pPr>
    <w:rPr>
      <w:rFonts w:ascii="Arial" w:hAnsi="Arial"/>
      <w:b/>
      <w:kern w:val="0"/>
      <w:sz w:val="20"/>
      <w:szCs w:val="20"/>
    </w:rPr>
  </w:style>
  <w:style w:type="paragraph" w:customStyle="1" w:styleId="1319">
    <w:name w:val="Normal Char"/>
    <w:semiHidden/>
    <w:qFormat/>
    <w:uiPriority w:val="0"/>
    <w:pPr>
      <w:widowControl w:val="0"/>
      <w:adjustRightInd w:val="0"/>
      <w:spacing w:line="315" w:lineRule="atLeast"/>
      <w:textAlignment w:val="baseline"/>
    </w:pPr>
    <w:rPr>
      <w:rFonts w:ascii="宋体" w:hAnsi="Calibri" w:eastAsia="宋体" w:cs="Times New Roman"/>
      <w:kern w:val="2"/>
      <w:sz w:val="24"/>
      <w:szCs w:val="21"/>
      <w:lang w:val="en-US" w:eastAsia="zh-CN" w:bidi="ar-SA"/>
    </w:rPr>
  </w:style>
  <w:style w:type="paragraph" w:customStyle="1" w:styleId="1320">
    <w:name w:val="NOTES"/>
    <w:semiHidden/>
    <w:qFormat/>
    <w:uiPriority w:val="0"/>
    <w:pPr>
      <w:adjustRightInd w:val="0"/>
      <w:ind w:left="1701" w:right="567" w:hanging="567"/>
      <w:textAlignment w:val="baseline"/>
    </w:pPr>
    <w:rPr>
      <w:rFonts w:ascii="Arial" w:hAnsi="Arial" w:eastAsia="宋体" w:cs="Times New Roman"/>
      <w:kern w:val="2"/>
      <w:sz w:val="21"/>
      <w:szCs w:val="21"/>
      <w:lang w:val="en-US" w:eastAsia="zh-CN" w:bidi="ar-SA"/>
    </w:rPr>
  </w:style>
  <w:style w:type="paragraph" w:customStyle="1" w:styleId="1321">
    <w:name w:val="Objective"/>
    <w:basedOn w:val="1"/>
    <w:next w:val="33"/>
    <w:semiHidden/>
    <w:qFormat/>
    <w:uiPriority w:val="0"/>
    <w:pPr>
      <w:widowControl/>
      <w:spacing w:before="220" w:after="220" w:line="220" w:lineRule="atLeast"/>
      <w:jc w:val="left"/>
    </w:pPr>
    <w:rPr>
      <w:rFonts w:ascii="Calibri" w:hAnsi="Calibri"/>
      <w:kern w:val="0"/>
      <w:sz w:val="20"/>
      <w:szCs w:val="20"/>
    </w:rPr>
  </w:style>
  <w:style w:type="paragraph" w:customStyle="1" w:styleId="1322">
    <w:name w:val="p0"/>
    <w:basedOn w:val="1"/>
    <w:qFormat/>
    <w:uiPriority w:val="0"/>
    <w:pPr>
      <w:widowControl/>
      <w:spacing w:line="360" w:lineRule="auto"/>
      <w:ind w:firstLine="420" w:firstLineChars="200"/>
    </w:pPr>
    <w:rPr>
      <w:rFonts w:ascii="Calibri" w:hAnsi="Calibri"/>
      <w:kern w:val="0"/>
      <w:sz w:val="24"/>
      <w:szCs w:val="21"/>
    </w:rPr>
  </w:style>
  <w:style w:type="paragraph" w:customStyle="1" w:styleId="1323">
    <w:name w:val="p9"/>
    <w:basedOn w:val="1"/>
    <w:semiHidden/>
    <w:qFormat/>
    <w:uiPriority w:val="0"/>
    <w:pPr>
      <w:widowControl/>
      <w:spacing w:before="100" w:beforeAutospacing="1" w:after="100" w:afterAutospacing="1"/>
      <w:jc w:val="left"/>
    </w:pPr>
    <w:rPr>
      <w:rFonts w:hint="eastAsia" w:ascii="宋体" w:hAnsi="宋体"/>
      <w:kern w:val="0"/>
      <w:sz w:val="18"/>
      <w:szCs w:val="18"/>
    </w:rPr>
  </w:style>
  <w:style w:type="paragraph" w:customStyle="1" w:styleId="1324">
    <w:name w:val="Paragraph 2"/>
    <w:basedOn w:val="1"/>
    <w:semiHidden/>
    <w:qFormat/>
    <w:uiPriority w:val="0"/>
    <w:pPr>
      <w:widowControl/>
      <w:tabs>
        <w:tab w:val="left" w:pos="720"/>
        <w:tab w:val="left" w:pos="1728"/>
        <w:tab w:val="left" w:pos="2736"/>
      </w:tabs>
      <w:spacing w:after="120"/>
      <w:ind w:left="1728" w:hanging="1008"/>
    </w:pPr>
    <w:rPr>
      <w:rFonts w:ascii="Arial" w:hAnsi="Arial"/>
      <w:spacing w:val="-2"/>
      <w:kern w:val="0"/>
      <w:sz w:val="22"/>
      <w:szCs w:val="20"/>
    </w:rPr>
  </w:style>
  <w:style w:type="paragraph" w:customStyle="1" w:styleId="1325">
    <w:name w:val="Paragraph 5"/>
    <w:basedOn w:val="1"/>
    <w:semiHidden/>
    <w:qFormat/>
    <w:uiPriority w:val="0"/>
    <w:pPr>
      <w:widowControl/>
      <w:tabs>
        <w:tab w:val="left" w:pos="2736"/>
      </w:tabs>
      <w:spacing w:after="120"/>
      <w:ind w:left="2736"/>
    </w:pPr>
    <w:rPr>
      <w:rFonts w:ascii="Arial" w:hAnsi="Arial"/>
      <w:kern w:val="0"/>
      <w:sz w:val="22"/>
      <w:szCs w:val="20"/>
    </w:rPr>
  </w:style>
  <w:style w:type="paragraph" w:customStyle="1" w:styleId="1326">
    <w:name w:val="Paratitre"/>
    <w:basedOn w:val="1"/>
    <w:semiHidden/>
    <w:qFormat/>
    <w:uiPriority w:val="0"/>
    <w:pPr>
      <w:widowControl/>
      <w:overflowPunct w:val="0"/>
      <w:autoSpaceDE w:val="0"/>
      <w:autoSpaceDN w:val="0"/>
      <w:adjustRightInd w:val="0"/>
      <w:spacing w:before="240"/>
      <w:ind w:left="700"/>
      <w:textAlignment w:val="baseline"/>
    </w:pPr>
    <w:rPr>
      <w:rFonts w:ascii="Arial" w:hAnsi="Arial"/>
      <w:kern w:val="0"/>
      <w:sz w:val="20"/>
      <w:szCs w:val="20"/>
      <w:lang w:val="fr-FR"/>
    </w:rPr>
  </w:style>
  <w:style w:type="paragraph" w:customStyle="1" w:styleId="1327">
    <w:name w:val="Phone Number"/>
    <w:basedOn w:val="33"/>
    <w:semiHidden/>
    <w:qFormat/>
    <w:uiPriority w:val="0"/>
    <w:pPr>
      <w:widowControl/>
      <w:overflowPunct w:val="0"/>
      <w:autoSpaceDE w:val="0"/>
      <w:autoSpaceDN w:val="0"/>
      <w:adjustRightInd w:val="0"/>
      <w:spacing w:after="160" w:line="360" w:lineRule="auto"/>
      <w:ind w:firstLine="420" w:firstLineChars="200"/>
      <w:textAlignment w:val="baseline"/>
    </w:pPr>
    <w:rPr>
      <w:rFonts w:ascii="宋体" w:hAnsi="Calibri"/>
      <w:b/>
      <w:kern w:val="0"/>
      <w:sz w:val="20"/>
      <w:szCs w:val="20"/>
    </w:rPr>
  </w:style>
  <w:style w:type="paragraph" w:customStyle="1" w:styleId="1328">
    <w:name w:val="pic-info"/>
    <w:basedOn w:val="1"/>
    <w:semiHidden/>
    <w:qFormat/>
    <w:uiPriority w:val="0"/>
    <w:pPr>
      <w:widowControl/>
      <w:spacing w:before="100" w:beforeAutospacing="1" w:after="100" w:afterAutospacing="1"/>
      <w:jc w:val="left"/>
    </w:pPr>
    <w:rPr>
      <w:rFonts w:ascii="宋体" w:hAnsi="宋体" w:cs="宋体"/>
      <w:kern w:val="0"/>
      <w:sz w:val="24"/>
      <w:szCs w:val="21"/>
    </w:rPr>
  </w:style>
  <w:style w:type="paragraph" w:customStyle="1" w:styleId="1329">
    <w:name w:val="Picture"/>
    <w:basedOn w:val="33"/>
    <w:semiHidden/>
    <w:qFormat/>
    <w:uiPriority w:val="0"/>
    <w:pPr>
      <w:keepNext/>
      <w:widowControl/>
      <w:overflowPunct w:val="0"/>
      <w:autoSpaceDE w:val="0"/>
      <w:autoSpaceDN w:val="0"/>
      <w:adjustRightInd w:val="0"/>
      <w:spacing w:after="160" w:line="360" w:lineRule="auto"/>
      <w:ind w:firstLine="420" w:firstLineChars="200"/>
      <w:jc w:val="center"/>
      <w:textAlignment w:val="baseline"/>
    </w:pPr>
    <w:rPr>
      <w:rFonts w:ascii="宋体" w:hAnsi="Calibri"/>
      <w:kern w:val="0"/>
      <w:sz w:val="20"/>
      <w:szCs w:val="20"/>
    </w:rPr>
  </w:style>
  <w:style w:type="paragraph" w:customStyle="1" w:styleId="1330">
    <w:name w:val="Plain Text1"/>
    <w:basedOn w:val="1"/>
    <w:semiHidden/>
    <w:qFormat/>
    <w:uiPriority w:val="0"/>
    <w:pPr>
      <w:autoSpaceDE w:val="0"/>
      <w:autoSpaceDN w:val="0"/>
      <w:adjustRightInd w:val="0"/>
      <w:textAlignment w:val="baseline"/>
    </w:pPr>
    <w:rPr>
      <w:rFonts w:ascii="宋体" w:hAnsi="Calibri"/>
      <w:szCs w:val="20"/>
    </w:rPr>
  </w:style>
  <w:style w:type="paragraph" w:customStyle="1" w:styleId="1331">
    <w:name w:val="puce"/>
    <w:basedOn w:val="1"/>
    <w:semiHidden/>
    <w:qFormat/>
    <w:uiPriority w:val="0"/>
    <w:pPr>
      <w:widowControl/>
      <w:adjustRightInd w:val="0"/>
      <w:snapToGrid w:val="0"/>
      <w:spacing w:before="120" w:after="120"/>
      <w:ind w:left="-22"/>
    </w:pPr>
    <w:rPr>
      <w:rFonts w:ascii="Arial" w:hAnsi="Arial"/>
      <w:kern w:val="0"/>
      <w:sz w:val="24"/>
      <w:szCs w:val="20"/>
    </w:rPr>
  </w:style>
  <w:style w:type="paragraph" w:customStyle="1" w:styleId="1332">
    <w:name w:val="s0"/>
    <w:semiHidden/>
    <w:qFormat/>
    <w:uiPriority w:val="0"/>
    <w:pPr>
      <w:widowControl w:val="0"/>
      <w:autoSpaceDE w:val="0"/>
      <w:autoSpaceDN w:val="0"/>
      <w:adjustRightInd w:val="0"/>
    </w:pPr>
    <w:rPr>
      <w:rFonts w:ascii="????" w:hAnsi="Calibri" w:eastAsia="????" w:cs="Times New Roman"/>
      <w:kern w:val="2"/>
      <w:sz w:val="21"/>
      <w:szCs w:val="21"/>
      <w:lang w:val="en-US" w:eastAsia="zh-CN" w:bidi="ar-SA"/>
    </w:rPr>
  </w:style>
  <w:style w:type="paragraph" w:customStyle="1" w:styleId="1333">
    <w:name w:val="s16qcsl240slmult0nowidct"/>
    <w:semiHidden/>
    <w:qFormat/>
    <w:uiPriority w:val="0"/>
    <w:pPr>
      <w:widowControl w:val="0"/>
      <w:adjustRightInd w:val="0"/>
      <w:textAlignment w:val="baseline"/>
    </w:pPr>
    <w:rPr>
      <w:rFonts w:ascii="Calibri" w:hAnsi="Calibri" w:eastAsia="宋体" w:cs="Times New Roman"/>
      <w:kern w:val="2"/>
      <w:sz w:val="21"/>
      <w:szCs w:val="21"/>
      <w:lang w:val="en-US" w:eastAsia="zh-CN" w:bidi="ar-SA"/>
    </w:rPr>
  </w:style>
  <w:style w:type="paragraph" w:customStyle="1" w:styleId="1334">
    <w:name w:val="s3级标题"/>
    <w:basedOn w:val="1"/>
    <w:semiHidden/>
    <w:qFormat/>
    <w:uiPriority w:val="0"/>
    <w:pPr>
      <w:keepNext/>
      <w:widowControl/>
      <w:spacing w:line="520" w:lineRule="exact"/>
      <w:jc w:val="left"/>
      <w:outlineLvl w:val="2"/>
    </w:pPr>
    <w:rPr>
      <w:rFonts w:ascii="黑体" w:hAnsi="宋体" w:eastAsia="黑体"/>
      <w:b/>
      <w:kern w:val="0"/>
      <w:sz w:val="24"/>
      <w:szCs w:val="21"/>
      <w:lang w:val="zh-CN"/>
    </w:rPr>
  </w:style>
  <w:style w:type="paragraph" w:customStyle="1" w:styleId="1335">
    <w:name w:val="size12"/>
    <w:basedOn w:val="1"/>
    <w:semiHidden/>
    <w:qFormat/>
    <w:uiPriority w:val="0"/>
    <w:pPr>
      <w:widowControl/>
      <w:tabs>
        <w:tab w:val="left" w:pos="360"/>
      </w:tabs>
      <w:spacing w:before="100" w:beforeAutospacing="1" w:after="100" w:afterAutospacing="1"/>
      <w:jc w:val="left"/>
    </w:pPr>
    <w:rPr>
      <w:rFonts w:ascii="宋体" w:hAnsi="宋体" w:cs="宋体"/>
      <w:color w:val="000000"/>
      <w:kern w:val="0"/>
      <w:sz w:val="18"/>
      <w:szCs w:val="18"/>
    </w:rPr>
  </w:style>
  <w:style w:type="paragraph" w:customStyle="1" w:styleId="1336">
    <w:name w:val="Subtitle Cover"/>
    <w:basedOn w:val="1"/>
    <w:next w:val="33"/>
    <w:semiHidden/>
    <w:qFormat/>
    <w:uiPriority w:val="0"/>
    <w:pPr>
      <w:keepNext/>
      <w:widowControl/>
      <w:overflowPunct w:val="0"/>
      <w:autoSpaceDE w:val="0"/>
      <w:autoSpaceDN w:val="0"/>
      <w:adjustRightInd w:val="0"/>
      <w:spacing w:before="240" w:after="160" w:line="360" w:lineRule="auto"/>
      <w:ind w:firstLine="420" w:firstLineChars="200"/>
      <w:jc w:val="center"/>
      <w:textAlignment w:val="baseline"/>
    </w:pPr>
    <w:rPr>
      <w:rFonts w:ascii="Arial" w:hAnsi="Arial"/>
      <w:i/>
      <w:kern w:val="28"/>
      <w:sz w:val="36"/>
      <w:szCs w:val="20"/>
    </w:rPr>
  </w:style>
  <w:style w:type="paragraph" w:customStyle="1" w:styleId="1337">
    <w:name w:val="syh2级标题"/>
    <w:basedOn w:val="1"/>
    <w:semiHidden/>
    <w:qFormat/>
    <w:uiPriority w:val="0"/>
    <w:pPr>
      <w:keepNext/>
      <w:widowControl/>
      <w:spacing w:line="520" w:lineRule="exact"/>
      <w:jc w:val="left"/>
      <w:outlineLvl w:val="1"/>
    </w:pPr>
    <w:rPr>
      <w:rFonts w:ascii="黑体" w:hAnsi="Gungsuh" w:eastAsia="黑体"/>
      <w:b/>
      <w:color w:val="000000"/>
      <w:kern w:val="0"/>
      <w:sz w:val="28"/>
      <w:szCs w:val="28"/>
      <w:lang w:val="zh-CN"/>
    </w:rPr>
  </w:style>
  <w:style w:type="paragraph" w:customStyle="1" w:styleId="1338">
    <w:name w:val="syh3级标题"/>
    <w:basedOn w:val="1"/>
    <w:semiHidden/>
    <w:qFormat/>
    <w:uiPriority w:val="0"/>
    <w:pPr>
      <w:keepNext/>
      <w:widowControl/>
      <w:spacing w:line="360" w:lineRule="auto"/>
      <w:jc w:val="left"/>
      <w:outlineLvl w:val="2"/>
    </w:pPr>
    <w:rPr>
      <w:rFonts w:ascii="宋体" w:hAnsi="宋体"/>
      <w:b/>
      <w:color w:val="C0504D"/>
      <w:kern w:val="0"/>
      <w:sz w:val="28"/>
      <w:szCs w:val="28"/>
      <w:lang w:val="zh-CN"/>
    </w:rPr>
  </w:style>
  <w:style w:type="paragraph" w:customStyle="1" w:styleId="1339">
    <w:name w:val="S表格"/>
    <w:basedOn w:val="1"/>
    <w:semiHidden/>
    <w:qFormat/>
    <w:uiPriority w:val="0"/>
    <w:pPr>
      <w:spacing w:before="240" w:line="360" w:lineRule="auto"/>
      <w:outlineLvl w:val="2"/>
    </w:pPr>
    <w:rPr>
      <w:rFonts w:ascii="Calibri" w:hAnsi="Calibri"/>
      <w:bCs/>
      <w:sz w:val="24"/>
      <w:szCs w:val="21"/>
    </w:rPr>
  </w:style>
  <w:style w:type="paragraph" w:customStyle="1" w:styleId="1340">
    <w:name w:val="table"/>
    <w:basedOn w:val="1"/>
    <w:semiHidden/>
    <w:qFormat/>
    <w:uiPriority w:val="0"/>
    <w:pPr>
      <w:adjustRightInd w:val="0"/>
      <w:snapToGrid w:val="0"/>
      <w:jc w:val="center"/>
    </w:pPr>
    <w:rPr>
      <w:rFonts w:ascii="Calibri" w:hAnsi="Calibri"/>
      <w:snapToGrid w:val="0"/>
      <w:kern w:val="0"/>
      <w:sz w:val="24"/>
      <w:szCs w:val="21"/>
    </w:rPr>
  </w:style>
  <w:style w:type="paragraph" w:customStyle="1" w:styleId="1341">
    <w:name w:val="TABLES"/>
    <w:semiHidden/>
    <w:qFormat/>
    <w:uiPriority w:val="0"/>
    <w:pPr>
      <w:keepNext/>
      <w:adjustRightInd w:val="0"/>
      <w:spacing w:before="360"/>
      <w:ind w:left="1134" w:right="567"/>
      <w:textAlignment w:val="baseline"/>
    </w:pPr>
    <w:rPr>
      <w:rFonts w:ascii="Arial" w:hAnsi="Arial" w:eastAsia="楷体" w:cs="Times New Roman"/>
      <w:b/>
      <w:caps/>
      <w:kern w:val="2"/>
      <w:sz w:val="21"/>
      <w:szCs w:val="21"/>
      <w:lang w:val="en-US" w:eastAsia="zh-CN" w:bidi="ar-SA"/>
    </w:rPr>
  </w:style>
  <w:style w:type="paragraph" w:customStyle="1" w:styleId="1342">
    <w:name w:val="Tblhead"/>
    <w:basedOn w:val="1"/>
    <w:next w:val="1"/>
    <w:semiHidden/>
    <w:qFormat/>
    <w:uiPriority w:val="0"/>
    <w:pPr>
      <w:pageBreakBefore/>
      <w:suppressAutoHyphens/>
      <w:autoSpaceDE w:val="0"/>
      <w:autoSpaceDN w:val="0"/>
      <w:adjustRightInd w:val="0"/>
      <w:jc w:val="center"/>
    </w:pPr>
    <w:rPr>
      <w:rFonts w:hint="eastAsia" w:ascii="宋体" w:hAnsi="Calibri"/>
      <w:spacing w:val="-3"/>
      <w:kern w:val="0"/>
      <w:sz w:val="24"/>
      <w:szCs w:val="20"/>
    </w:rPr>
  </w:style>
  <w:style w:type="paragraph" w:customStyle="1" w:styleId="1343">
    <w:name w:val="Text"/>
    <w:semiHidden/>
    <w:qFormat/>
    <w:uiPriority w:val="0"/>
    <w:pPr>
      <w:adjustRightInd w:val="0"/>
      <w:spacing w:before="120" w:line="360" w:lineRule="auto"/>
      <w:ind w:left="1134" w:right="567"/>
      <w:textAlignment w:val="baseline"/>
    </w:pPr>
    <w:rPr>
      <w:rFonts w:ascii="Arial" w:hAnsi="Arial" w:eastAsia="宋体" w:cs="Times New Roman"/>
      <w:kern w:val="2"/>
      <w:sz w:val="21"/>
      <w:szCs w:val="21"/>
      <w:lang w:val="en-US" w:eastAsia="zh-CN" w:bidi="ar-SA"/>
    </w:rPr>
  </w:style>
  <w:style w:type="paragraph" w:customStyle="1" w:styleId="1344">
    <w:name w:val="text"/>
    <w:basedOn w:val="1"/>
    <w:semiHidden/>
    <w:qFormat/>
    <w:uiPriority w:val="0"/>
    <w:pPr>
      <w:widowControl/>
      <w:spacing w:line="360" w:lineRule="auto"/>
      <w:ind w:firstLine="420" w:firstLineChars="200"/>
    </w:pPr>
    <w:rPr>
      <w:rFonts w:ascii="Courier New" w:hAnsi="Courier New" w:eastAsia="Arial Unicode MS" w:cs="Courier New"/>
      <w:color w:val="000000"/>
      <w:kern w:val="0"/>
      <w:sz w:val="22"/>
      <w:szCs w:val="22"/>
    </w:rPr>
  </w:style>
  <w:style w:type="paragraph" w:customStyle="1" w:styleId="1345">
    <w:name w:val="Text1"/>
    <w:semiHidden/>
    <w:qFormat/>
    <w:uiPriority w:val="0"/>
    <w:pPr>
      <w:adjustRightInd w:val="0"/>
      <w:spacing w:before="60" w:line="360" w:lineRule="auto"/>
      <w:ind w:left="1134" w:right="567"/>
      <w:textAlignment w:val="baseline"/>
    </w:pPr>
    <w:rPr>
      <w:rFonts w:ascii="Arial" w:hAnsi="Arial" w:eastAsia="宋体" w:cs="Times New Roman"/>
      <w:kern w:val="2"/>
      <w:sz w:val="21"/>
      <w:szCs w:val="21"/>
      <w:lang w:val="en-US" w:eastAsia="zh-CN" w:bidi="ar-SA"/>
    </w:rPr>
  </w:style>
  <w:style w:type="paragraph" w:customStyle="1" w:styleId="1346">
    <w:name w:val="text-13"/>
    <w:basedOn w:val="1"/>
    <w:semiHidden/>
    <w:qFormat/>
    <w:uiPriority w:val="0"/>
    <w:pPr>
      <w:widowControl/>
      <w:spacing w:before="100" w:beforeAutospacing="1" w:after="100" w:afterAutospacing="1" w:line="336" w:lineRule="atLeast"/>
      <w:ind w:firstLine="200" w:firstLineChars="200"/>
      <w:jc w:val="left"/>
    </w:pPr>
    <w:rPr>
      <w:rFonts w:ascii="Arial" w:hAnsi="Arial"/>
      <w:color w:val="333333"/>
      <w:kern w:val="0"/>
      <w:sz w:val="24"/>
      <w:szCs w:val="20"/>
    </w:rPr>
  </w:style>
  <w:style w:type="paragraph" w:customStyle="1" w:styleId="1347">
    <w:name w:val="Text2"/>
    <w:semiHidden/>
    <w:qFormat/>
    <w:uiPriority w:val="0"/>
    <w:pPr>
      <w:adjustRightInd w:val="0"/>
      <w:spacing w:before="60" w:line="360" w:lineRule="auto"/>
      <w:ind w:left="1701" w:right="567"/>
      <w:textAlignment w:val="baseline"/>
    </w:pPr>
    <w:rPr>
      <w:rFonts w:ascii="Arial" w:hAnsi="Arial" w:eastAsia="宋体" w:cs="Times New Roman"/>
      <w:kern w:val="2"/>
      <w:sz w:val="21"/>
      <w:szCs w:val="21"/>
      <w:lang w:val="en-US" w:eastAsia="zh-CN" w:bidi="ar-SA"/>
    </w:rPr>
  </w:style>
  <w:style w:type="paragraph" w:customStyle="1" w:styleId="1348">
    <w:name w:val="Title Cover"/>
    <w:basedOn w:val="1163"/>
    <w:next w:val="1"/>
    <w:semiHidden/>
    <w:qFormat/>
    <w:uiPriority w:val="0"/>
    <w:pPr>
      <w:spacing w:before="720" w:after="160"/>
      <w:jc w:val="center"/>
    </w:pPr>
    <w:rPr>
      <w:sz w:val="48"/>
    </w:rPr>
  </w:style>
  <w:style w:type="paragraph" w:customStyle="1" w:styleId="1349">
    <w:name w:val="xl183"/>
    <w:basedOn w:val="1"/>
    <w:semiHidden/>
    <w:qFormat/>
    <w:uiPriority w:val="0"/>
    <w:pPr>
      <w:widowControl/>
      <w:pBdr>
        <w:top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1350">
    <w:name w:val="wang1级"/>
    <w:basedOn w:val="2"/>
    <w:semiHidden/>
    <w:qFormat/>
    <w:uiPriority w:val="0"/>
    <w:pPr>
      <w:spacing w:beforeLines="50" w:afterLines="50" w:line="440" w:lineRule="exact"/>
    </w:pPr>
    <w:rPr>
      <w:rFonts w:ascii="黑体" w:hAnsi="Calibri" w:eastAsia="黑体" w:cs="宋体"/>
      <w:bCs w:val="0"/>
      <w:kern w:val="0"/>
      <w:szCs w:val="20"/>
    </w:rPr>
  </w:style>
  <w:style w:type="paragraph" w:customStyle="1" w:styleId="1351">
    <w:name w:val="xl176"/>
    <w:basedOn w:val="1"/>
    <w:semiHidden/>
    <w:qFormat/>
    <w:uiPriority w:val="0"/>
    <w:pPr>
      <w:widowControl/>
      <w:pBdr>
        <w:top w:val="single" w:color="auto" w:sz="4" w:space="0"/>
        <w:left w:val="single" w:color="auto" w:sz="4"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1352">
    <w:name w:val="wtext"/>
    <w:basedOn w:val="1"/>
    <w:semiHidden/>
    <w:qFormat/>
    <w:uiPriority w:val="0"/>
    <w:pPr>
      <w:widowControl/>
      <w:spacing w:before="100" w:beforeAutospacing="1" w:after="100" w:afterAutospacing="1" w:line="360" w:lineRule="auto"/>
      <w:ind w:firstLine="480" w:firstLineChars="200"/>
    </w:pPr>
    <w:rPr>
      <w:rFonts w:ascii="Arial" w:hAnsi="Arial" w:cs="Arial"/>
      <w:kern w:val="0"/>
      <w:sz w:val="24"/>
      <w:szCs w:val="21"/>
    </w:rPr>
  </w:style>
  <w:style w:type="paragraph" w:customStyle="1" w:styleId="1353">
    <w:name w:val="xl175"/>
    <w:basedOn w:val="1"/>
    <w:semiHidden/>
    <w:qFormat/>
    <w:uiPriority w:val="0"/>
    <w:pPr>
      <w:widowControl/>
      <w:pBdr>
        <w:top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354">
    <w:name w:val="xiaotou"/>
    <w:basedOn w:val="1"/>
    <w:semiHidden/>
    <w:qFormat/>
    <w:uiPriority w:val="0"/>
    <w:pPr>
      <w:spacing w:line="360" w:lineRule="auto"/>
      <w:ind w:firstLine="200" w:firstLineChars="200"/>
    </w:pPr>
    <w:rPr>
      <w:rFonts w:ascii="宋体" w:hAnsi="宋体"/>
      <w:b/>
      <w:color w:val="000000"/>
      <w:sz w:val="24"/>
      <w:szCs w:val="20"/>
    </w:rPr>
  </w:style>
  <w:style w:type="paragraph" w:customStyle="1" w:styleId="1355">
    <w:name w:val="xl173"/>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1356">
    <w:name w:val="正文样式 行距: 固定值 30 磅"/>
    <w:basedOn w:val="1"/>
    <w:semiHidden/>
    <w:qFormat/>
    <w:uiPriority w:val="0"/>
    <w:pPr>
      <w:adjustRightInd w:val="0"/>
      <w:spacing w:line="600" w:lineRule="exact"/>
      <w:ind w:firstLine="200" w:firstLineChars="200"/>
      <w:textAlignment w:val="baseline"/>
    </w:pPr>
    <w:rPr>
      <w:rFonts w:ascii="Calibri" w:hAnsi="Calibri" w:cs="宋体"/>
      <w:spacing w:val="-2"/>
      <w:kern w:val="0"/>
      <w:sz w:val="28"/>
      <w:szCs w:val="20"/>
    </w:rPr>
  </w:style>
  <w:style w:type="paragraph" w:customStyle="1" w:styleId="1357">
    <w:name w:val="xl101"/>
    <w:basedOn w:val="1"/>
    <w:semiHidden/>
    <w:qFormat/>
    <w:uiPriority w:val="0"/>
    <w:pPr>
      <w:widowControl/>
      <w:pBdr>
        <w:top w:val="single" w:color="auto" w:sz="8" w:space="0"/>
        <w:left w:val="single" w:color="auto" w:sz="12" w:space="0"/>
        <w:right w:val="single" w:color="auto" w:sz="8" w:space="0"/>
      </w:pBdr>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1358">
    <w:name w:val="正文新"/>
    <w:basedOn w:val="20"/>
    <w:semiHidden/>
    <w:qFormat/>
    <w:uiPriority w:val="0"/>
    <w:pPr>
      <w:topLinePunct/>
      <w:adjustRightInd/>
      <w:spacing w:line="500" w:lineRule="exact"/>
      <w:ind w:firstLine="420" w:firstLineChars="200"/>
      <w:jc w:val="both"/>
      <w:textAlignment w:val="auto"/>
    </w:pPr>
    <w:rPr>
      <w:rFonts w:hAnsi="宋体" w:eastAsia="汉鼎简书宋"/>
      <w:kern w:val="2"/>
    </w:rPr>
  </w:style>
  <w:style w:type="paragraph" w:customStyle="1" w:styleId="1359">
    <w:name w:val="xl172"/>
    <w:basedOn w:val="1"/>
    <w:semiHidden/>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1360">
    <w:name w:val="正文小4"/>
    <w:basedOn w:val="1361"/>
    <w:semiHidden/>
    <w:qFormat/>
    <w:uiPriority w:val="0"/>
    <w:pPr>
      <w:adjustRightInd/>
      <w:spacing w:line="360" w:lineRule="auto"/>
      <w:ind w:left="-1" w:leftChars="-1" w:right="-107" w:rightChars="-51" w:hanging="2" w:hangingChars="1"/>
      <w:jc w:val="both"/>
      <w:textAlignment w:val="auto"/>
    </w:pPr>
    <w:rPr>
      <w:rFonts w:hAnsi="宋体" w:eastAsia="仿宋_GB2312"/>
      <w:szCs w:val="28"/>
    </w:rPr>
  </w:style>
  <w:style w:type="paragraph" w:customStyle="1" w:styleId="1361">
    <w:name w:val="正文4"/>
    <w:semiHidden/>
    <w:qFormat/>
    <w:uiPriority w:val="0"/>
    <w:pPr>
      <w:widowControl w:val="0"/>
      <w:adjustRightInd w:val="0"/>
      <w:spacing w:line="360" w:lineRule="atLeast"/>
      <w:textAlignment w:val="baseline"/>
    </w:pPr>
    <w:rPr>
      <w:rFonts w:ascii="宋体" w:hAnsi="Calibri" w:eastAsia="宋体" w:cs="Times New Roman"/>
      <w:kern w:val="2"/>
      <w:sz w:val="24"/>
      <w:szCs w:val="21"/>
      <w:lang w:val="en-US" w:eastAsia="zh-CN" w:bidi="ar-SA"/>
    </w:rPr>
  </w:style>
  <w:style w:type="paragraph" w:customStyle="1" w:styleId="1362">
    <w:name w:val="xl102"/>
    <w:basedOn w:val="1"/>
    <w:semiHidden/>
    <w:qFormat/>
    <w:uiPriority w:val="0"/>
    <w:pPr>
      <w:widowControl/>
      <w:pBdr>
        <w:left w:val="single" w:color="auto" w:sz="12" w:space="0"/>
        <w:right w:val="single" w:color="auto" w:sz="8" w:space="0"/>
      </w:pBdr>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1363">
    <w:name w:val="正文文本最新 Char Char Char1 Char Char Char Char Char"/>
    <w:semiHidden/>
    <w:qFormat/>
    <w:uiPriority w:val="0"/>
    <w:pPr>
      <w:spacing w:line="360" w:lineRule="auto"/>
      <w:ind w:firstLine="200" w:firstLineChars="200"/>
      <w:jc w:val="both"/>
    </w:pPr>
    <w:rPr>
      <w:rFonts w:ascii="Calibri" w:hAnsi="Calibri" w:eastAsia="宋体" w:cs="Times New Roman"/>
      <w:bCs/>
      <w:kern w:val="2"/>
      <w:sz w:val="28"/>
      <w:szCs w:val="24"/>
      <w:lang w:val="en-US" w:eastAsia="zh-CN" w:bidi="ar-SA"/>
    </w:rPr>
  </w:style>
  <w:style w:type="paragraph" w:customStyle="1" w:styleId="1364">
    <w:name w:val="xl171"/>
    <w:basedOn w:val="1"/>
    <w:semiHidden/>
    <w:qFormat/>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1365">
    <w:name w:val="正文文本缩进 22"/>
    <w:basedOn w:val="1"/>
    <w:semiHidden/>
    <w:qFormat/>
    <w:uiPriority w:val="0"/>
    <w:pPr>
      <w:adjustRightInd w:val="0"/>
      <w:spacing w:line="360" w:lineRule="auto"/>
      <w:ind w:firstLine="510"/>
      <w:textAlignment w:val="baseline"/>
    </w:pPr>
    <w:rPr>
      <w:rFonts w:ascii="宋体" w:hAnsi="宋体"/>
      <w:sz w:val="28"/>
      <w:szCs w:val="20"/>
    </w:rPr>
  </w:style>
  <w:style w:type="paragraph" w:customStyle="1" w:styleId="1366">
    <w:name w:val="xl103"/>
    <w:basedOn w:val="1"/>
    <w:semiHidden/>
    <w:qFormat/>
    <w:uiPriority w:val="0"/>
    <w:pPr>
      <w:widowControl/>
      <w:pBdr>
        <w:top w:val="single" w:color="auto" w:sz="8" w:space="0"/>
        <w:left w:val="single" w:color="auto" w:sz="8" w:space="0"/>
        <w:right w:val="single" w:color="auto" w:sz="8" w:space="0"/>
      </w:pBdr>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1367">
    <w:name w:val="正文文本 31"/>
    <w:basedOn w:val="1"/>
    <w:semiHidden/>
    <w:qFormat/>
    <w:uiPriority w:val="0"/>
    <w:pPr>
      <w:adjustRightInd w:val="0"/>
      <w:textAlignment w:val="baseline"/>
    </w:pPr>
    <w:rPr>
      <w:rFonts w:ascii="Calibri" w:hAnsi="Calibri"/>
      <w:sz w:val="24"/>
      <w:szCs w:val="20"/>
    </w:rPr>
  </w:style>
  <w:style w:type="paragraph" w:customStyle="1" w:styleId="1368">
    <w:name w:val="xl170"/>
    <w:basedOn w:val="1"/>
    <w:semiHidden/>
    <w:qFormat/>
    <w:uiPriority w:val="0"/>
    <w:pPr>
      <w:widowControl/>
      <w:pBdr>
        <w:top w:val="double" w:color="auto" w:sz="6" w:space="0"/>
        <w:left w:val="single" w:color="auto" w:sz="4"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color w:val="000000"/>
      <w:kern w:val="0"/>
      <w:szCs w:val="21"/>
    </w:rPr>
  </w:style>
  <w:style w:type="paragraph" w:customStyle="1" w:styleId="1369">
    <w:name w:val="表文左对齐"/>
    <w:basedOn w:val="1"/>
    <w:semiHidden/>
    <w:qFormat/>
    <w:uiPriority w:val="0"/>
    <w:pPr>
      <w:adjustRightInd w:val="0"/>
      <w:snapToGrid w:val="0"/>
      <w:spacing w:line="360" w:lineRule="exact"/>
      <w:ind w:left="-1" w:leftChars="-1" w:hanging="2" w:firstLineChars="200"/>
      <w:jc w:val="center"/>
    </w:pPr>
    <w:rPr>
      <w:rFonts w:ascii="Calibri" w:hAnsi="宋体"/>
      <w:sz w:val="24"/>
      <w:szCs w:val="21"/>
    </w:rPr>
  </w:style>
  <w:style w:type="paragraph" w:customStyle="1" w:styleId="1370">
    <w:name w:val="xl104"/>
    <w:basedOn w:val="1"/>
    <w:semiHidden/>
    <w:qFormat/>
    <w:uiPriority w:val="0"/>
    <w:pPr>
      <w:widowControl/>
      <w:pBdr>
        <w:top w:val="single" w:color="auto" w:sz="8" w:space="0"/>
        <w:right w:val="single" w:color="auto" w:sz="8" w:space="0"/>
      </w:pBdr>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1371">
    <w:name w:val="表小4"/>
    <w:basedOn w:val="1"/>
    <w:semiHidden/>
    <w:qFormat/>
    <w:uiPriority w:val="0"/>
    <w:pPr>
      <w:tabs>
        <w:tab w:val="left" w:pos="0"/>
        <w:tab w:val="left" w:pos="2619"/>
      </w:tabs>
      <w:snapToGrid w:val="0"/>
      <w:spacing w:beforeLines="10" w:afterLines="10" w:line="0" w:lineRule="atLeast"/>
      <w:jc w:val="center"/>
    </w:pPr>
    <w:rPr>
      <w:rFonts w:ascii="宋体" w:hAnsi="宋体"/>
      <w:sz w:val="24"/>
      <w:szCs w:val="20"/>
    </w:rPr>
  </w:style>
  <w:style w:type="paragraph" w:customStyle="1" w:styleId="1372">
    <w:name w:val="xl169"/>
    <w:basedOn w:val="1"/>
    <w:semiHidden/>
    <w:qFormat/>
    <w:uiPriority w:val="0"/>
    <w:pPr>
      <w:widowControl/>
      <w:pBdr>
        <w:top w:val="double" w:color="auto" w:sz="6" w:space="0"/>
        <w:right w:val="single" w:color="auto" w:sz="4" w:space="0"/>
      </w:pBdr>
      <w:spacing w:before="100" w:beforeAutospacing="1" w:after="100" w:afterAutospacing="1" w:line="360" w:lineRule="auto"/>
      <w:jc w:val="left"/>
      <w:textAlignment w:val="center"/>
    </w:pPr>
    <w:rPr>
      <w:rFonts w:ascii="Arial Unicode MS" w:hAnsi="Arial Unicode MS" w:eastAsia="Arial Unicode MS" w:cs="Arial Unicode MS"/>
      <w:color w:val="000000"/>
      <w:kern w:val="0"/>
      <w:sz w:val="20"/>
      <w:szCs w:val="20"/>
    </w:rPr>
  </w:style>
  <w:style w:type="paragraph" w:customStyle="1" w:styleId="1373">
    <w:name w:val="表新13"/>
    <w:basedOn w:val="880"/>
    <w:semiHidden/>
    <w:qFormat/>
    <w:uiPriority w:val="0"/>
    <w:pPr>
      <w:widowControl/>
      <w:spacing w:line="260" w:lineRule="exact"/>
      <w:ind w:firstLine="200" w:firstLineChars="200"/>
    </w:pPr>
    <w:rPr>
      <w:rFonts w:hAnsi="Calibri" w:cs="宋体"/>
      <w:color w:val="000000"/>
      <w:sz w:val="24"/>
      <w:szCs w:val="21"/>
    </w:rPr>
  </w:style>
  <w:style w:type="paragraph" w:customStyle="1" w:styleId="1374">
    <w:name w:val="xl105"/>
    <w:basedOn w:val="1"/>
    <w:semiHidden/>
    <w:qFormat/>
    <w:uiPriority w:val="0"/>
    <w:pPr>
      <w:widowControl/>
      <w:pBdr>
        <w:right w:val="single" w:color="auto" w:sz="8" w:space="0"/>
      </w:pBdr>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1375">
    <w:name w:val="表样式3"/>
    <w:basedOn w:val="1"/>
    <w:semiHidden/>
    <w:qFormat/>
    <w:uiPriority w:val="0"/>
    <w:pPr>
      <w:spacing w:line="320" w:lineRule="exact"/>
      <w:ind w:left="-140" w:leftChars="-50" w:right="-140" w:rightChars="-50"/>
      <w:jc w:val="center"/>
    </w:pPr>
    <w:rPr>
      <w:rFonts w:ascii="宋体" w:hAnsi="宋体"/>
      <w:szCs w:val="21"/>
    </w:rPr>
  </w:style>
  <w:style w:type="paragraph" w:customStyle="1" w:styleId="1376">
    <w:name w:val="xl168"/>
    <w:basedOn w:val="1"/>
    <w:semiHidden/>
    <w:qFormat/>
    <w:uiPriority w:val="0"/>
    <w:pPr>
      <w:widowControl/>
      <w:pBdr>
        <w:top w:val="double" w:color="auto" w:sz="6" w:space="0"/>
        <w:left w:val="single" w:color="auto" w:sz="4" w:space="0"/>
      </w:pBdr>
      <w:spacing w:before="100" w:beforeAutospacing="1" w:after="100" w:afterAutospacing="1" w:line="360" w:lineRule="auto"/>
      <w:jc w:val="left"/>
      <w:textAlignment w:val="center"/>
    </w:pPr>
    <w:rPr>
      <w:rFonts w:ascii="Arial Unicode MS" w:hAnsi="Arial Unicode MS" w:eastAsia="Arial Unicode MS" w:cs="Arial Unicode MS"/>
      <w:color w:val="000000"/>
      <w:kern w:val="0"/>
      <w:sz w:val="20"/>
      <w:szCs w:val="20"/>
    </w:rPr>
  </w:style>
  <w:style w:type="paragraph" w:customStyle="1" w:styleId="1377">
    <w:name w:val="表样式MXH"/>
    <w:basedOn w:val="1"/>
    <w:semiHidden/>
    <w:qFormat/>
    <w:uiPriority w:val="0"/>
    <w:pPr>
      <w:keepNext/>
      <w:spacing w:line="240" w:lineRule="atLeast"/>
      <w:jc w:val="center"/>
    </w:pPr>
    <w:rPr>
      <w:rFonts w:ascii="仿宋_GB2312" w:hAnsi="Calibri"/>
      <w:szCs w:val="21"/>
    </w:rPr>
  </w:style>
  <w:style w:type="paragraph" w:customStyle="1" w:styleId="1378">
    <w:name w:val="xl106"/>
    <w:basedOn w:val="1"/>
    <w:semiHidden/>
    <w:qFormat/>
    <w:uiPriority w:val="0"/>
    <w:pPr>
      <w:widowControl/>
      <w:pBdr>
        <w:bottom w:val="single" w:color="auto" w:sz="8" w:space="0"/>
        <w:right w:val="single" w:color="auto" w:sz="8" w:space="0"/>
      </w:pBdr>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1379">
    <w:name w:val="表右"/>
    <w:basedOn w:val="1"/>
    <w:semiHidden/>
    <w:qFormat/>
    <w:uiPriority w:val="0"/>
    <w:pPr>
      <w:spacing w:line="280" w:lineRule="exact"/>
      <w:ind w:firstLine="200" w:firstLineChars="200"/>
      <w:jc w:val="right"/>
    </w:pPr>
    <w:rPr>
      <w:rFonts w:ascii="宋体" w:hAnsi="Calibri"/>
      <w:color w:val="000000"/>
      <w:sz w:val="18"/>
      <w:szCs w:val="21"/>
    </w:rPr>
  </w:style>
  <w:style w:type="paragraph" w:customStyle="1" w:styleId="1380">
    <w:name w:val="xl107"/>
    <w:basedOn w:val="1"/>
    <w:semiHidden/>
    <w:qFormat/>
    <w:uiPriority w:val="0"/>
    <w:pPr>
      <w:widowControl/>
      <w:pBdr>
        <w:top w:val="single" w:color="auto" w:sz="8" w:space="0"/>
        <w:left w:val="single" w:color="auto" w:sz="8" w:space="0"/>
        <w:right w:val="single" w:color="auto" w:sz="8" w:space="0"/>
      </w:pBdr>
      <w:spacing w:before="100" w:beforeAutospacing="1" w:after="100" w:afterAutospacing="1" w:line="360" w:lineRule="auto"/>
      <w:ind w:firstLine="420" w:firstLineChars="200"/>
      <w:jc w:val="center"/>
    </w:pPr>
    <w:rPr>
      <w:rFonts w:ascii="Calibri" w:hAnsi="Calibri"/>
      <w:color w:val="000000"/>
      <w:kern w:val="0"/>
      <w:sz w:val="24"/>
      <w:szCs w:val="21"/>
    </w:rPr>
  </w:style>
  <w:style w:type="paragraph" w:customStyle="1" w:styleId="1381">
    <w:name w:val="表中居中文字!"/>
    <w:basedOn w:val="1"/>
    <w:semiHidden/>
    <w:qFormat/>
    <w:uiPriority w:val="0"/>
    <w:pPr>
      <w:adjustRightInd w:val="0"/>
      <w:snapToGrid w:val="0"/>
      <w:jc w:val="center"/>
    </w:pPr>
    <w:rPr>
      <w:rFonts w:ascii="宋体" w:hAnsi="宋体"/>
      <w:kern w:val="0"/>
      <w:sz w:val="24"/>
      <w:szCs w:val="21"/>
    </w:rPr>
  </w:style>
  <w:style w:type="paragraph" w:customStyle="1" w:styleId="1382">
    <w:name w:val="xl110"/>
    <w:basedOn w:val="1"/>
    <w:semiHidden/>
    <w:qFormat/>
    <w:uiPriority w:val="0"/>
    <w:pPr>
      <w:widowControl/>
      <w:pBdr>
        <w:left w:val="single" w:color="auto" w:sz="12" w:space="0"/>
        <w:right w:val="single" w:color="auto" w:sz="8" w:space="0"/>
      </w:pBdr>
      <w:spacing w:before="100" w:beforeAutospacing="1" w:after="100" w:afterAutospacing="1" w:line="360" w:lineRule="auto"/>
      <w:ind w:firstLine="420" w:firstLineChars="200"/>
    </w:pPr>
    <w:rPr>
      <w:rFonts w:ascii="宋体" w:hAnsi="宋体" w:cs="宋体"/>
      <w:color w:val="000000"/>
      <w:kern w:val="0"/>
      <w:sz w:val="24"/>
      <w:szCs w:val="21"/>
    </w:rPr>
  </w:style>
  <w:style w:type="paragraph" w:customStyle="1" w:styleId="1383">
    <w:name w:val="表中文字"/>
    <w:basedOn w:val="1"/>
    <w:semiHidden/>
    <w:qFormat/>
    <w:uiPriority w:val="0"/>
    <w:pPr>
      <w:adjustRightInd w:val="0"/>
      <w:snapToGrid w:val="0"/>
      <w:jc w:val="center"/>
    </w:pPr>
    <w:rPr>
      <w:rFonts w:ascii="Calibri" w:hAnsi="Calibri"/>
      <w:kern w:val="0"/>
      <w:sz w:val="24"/>
      <w:szCs w:val="20"/>
    </w:rPr>
  </w:style>
  <w:style w:type="paragraph" w:customStyle="1" w:styleId="1384">
    <w:name w:val="xl111"/>
    <w:basedOn w:val="1"/>
    <w:semiHidden/>
    <w:qFormat/>
    <w:uiPriority w:val="0"/>
    <w:pPr>
      <w:widowControl/>
      <w:pBdr>
        <w:top w:val="single" w:color="auto" w:sz="8" w:space="0"/>
        <w:left w:val="single" w:color="auto" w:sz="8" w:space="0"/>
        <w:right w:val="single" w:color="auto" w:sz="8" w:space="0"/>
      </w:pBdr>
      <w:spacing w:before="100" w:beforeAutospacing="1" w:after="100" w:afterAutospacing="1" w:line="360" w:lineRule="auto"/>
      <w:ind w:firstLine="420" w:firstLineChars="200"/>
      <w:jc w:val="center"/>
    </w:pPr>
    <w:rPr>
      <w:rFonts w:ascii="Calibri" w:hAnsi="Calibri"/>
      <w:color w:val="000000"/>
      <w:kern w:val="0"/>
      <w:sz w:val="24"/>
      <w:szCs w:val="21"/>
    </w:rPr>
  </w:style>
  <w:style w:type="paragraph" w:customStyle="1" w:styleId="1385">
    <w:name w:val="表中文字1"/>
    <w:basedOn w:val="1"/>
    <w:semiHidden/>
    <w:qFormat/>
    <w:uiPriority w:val="0"/>
    <w:pPr>
      <w:spacing w:line="440" w:lineRule="exact"/>
      <w:ind w:firstLine="420" w:firstLineChars="200"/>
    </w:pPr>
    <w:rPr>
      <w:rFonts w:ascii="Calibri" w:hAnsi="Calibri"/>
      <w:sz w:val="28"/>
      <w:szCs w:val="21"/>
    </w:rPr>
  </w:style>
  <w:style w:type="paragraph" w:customStyle="1" w:styleId="1386">
    <w:name w:val="xl112"/>
    <w:basedOn w:val="1"/>
    <w:semiHidden/>
    <w:qFormat/>
    <w:uiPriority w:val="0"/>
    <w:pPr>
      <w:widowControl/>
      <w:pBdr>
        <w:left w:val="single" w:color="auto" w:sz="8" w:space="0"/>
        <w:bottom w:val="single" w:color="auto" w:sz="8" w:space="0"/>
        <w:right w:val="single" w:color="auto" w:sz="8" w:space="0"/>
      </w:pBdr>
      <w:spacing w:before="100" w:beforeAutospacing="1" w:after="100" w:afterAutospacing="1" w:line="360" w:lineRule="auto"/>
      <w:ind w:firstLine="420" w:firstLineChars="200"/>
      <w:jc w:val="center"/>
    </w:pPr>
    <w:rPr>
      <w:rFonts w:ascii="Calibri" w:hAnsi="Calibri"/>
      <w:color w:val="000000"/>
      <w:kern w:val="0"/>
      <w:sz w:val="24"/>
      <w:szCs w:val="21"/>
    </w:rPr>
  </w:style>
  <w:style w:type="paragraph" w:customStyle="1" w:styleId="1387">
    <w:name w:val="表中字"/>
    <w:semiHidden/>
    <w:qFormat/>
    <w:uiPriority w:val="0"/>
    <w:pPr>
      <w:widowControl w:val="0"/>
      <w:adjustRightInd w:val="0"/>
      <w:snapToGrid w:val="0"/>
      <w:jc w:val="center"/>
    </w:pPr>
    <w:rPr>
      <w:rFonts w:ascii="Calibri" w:hAnsi="Calibri" w:eastAsia="宋体" w:cs="Times New Roman"/>
      <w:w w:val="90"/>
      <w:kern w:val="2"/>
      <w:sz w:val="21"/>
      <w:szCs w:val="21"/>
      <w:lang w:val="en-US" w:eastAsia="zh-CN" w:bidi="ar-SA"/>
    </w:rPr>
  </w:style>
  <w:style w:type="paragraph" w:customStyle="1" w:styleId="1388">
    <w:name w:val="xl113"/>
    <w:basedOn w:val="1"/>
    <w:semiHidden/>
    <w:qFormat/>
    <w:uiPriority w:val="0"/>
    <w:pPr>
      <w:widowControl/>
      <w:pBdr>
        <w:top w:val="single" w:color="auto" w:sz="8" w:space="0"/>
        <w:right w:val="single" w:color="auto" w:sz="8" w:space="0"/>
      </w:pBdr>
      <w:spacing w:before="100" w:beforeAutospacing="1" w:after="100" w:afterAutospacing="1" w:line="360" w:lineRule="auto"/>
      <w:ind w:firstLine="420" w:firstLineChars="200"/>
      <w:jc w:val="center"/>
    </w:pPr>
    <w:rPr>
      <w:rFonts w:ascii="宋体" w:hAnsi="宋体" w:cs="宋体"/>
      <w:color w:val="000000"/>
      <w:kern w:val="0"/>
      <w:sz w:val="24"/>
      <w:szCs w:val="21"/>
    </w:rPr>
  </w:style>
  <w:style w:type="paragraph" w:customStyle="1" w:styleId="1389">
    <w:name w:val="xl114"/>
    <w:basedOn w:val="1"/>
    <w:semiHidden/>
    <w:qFormat/>
    <w:uiPriority w:val="0"/>
    <w:pPr>
      <w:widowControl/>
      <w:pBdr>
        <w:top w:val="single" w:color="auto" w:sz="8" w:space="0"/>
        <w:left w:val="single" w:color="auto" w:sz="8" w:space="0"/>
      </w:pBdr>
      <w:spacing w:before="100" w:beforeAutospacing="1" w:after="100" w:afterAutospacing="1" w:line="360" w:lineRule="auto"/>
      <w:ind w:firstLine="420" w:firstLineChars="200"/>
      <w:jc w:val="center"/>
    </w:pPr>
    <w:rPr>
      <w:rFonts w:ascii="Calibri" w:hAnsi="Calibri"/>
      <w:color w:val="000000"/>
      <w:kern w:val="0"/>
      <w:sz w:val="24"/>
      <w:szCs w:val="21"/>
    </w:rPr>
  </w:style>
  <w:style w:type="paragraph" w:customStyle="1" w:styleId="1390">
    <w:name w:val="表中字样"/>
    <w:basedOn w:val="1"/>
    <w:semiHidden/>
    <w:qFormat/>
    <w:uiPriority w:val="0"/>
    <w:pPr>
      <w:adjustRightInd w:val="0"/>
      <w:spacing w:line="320" w:lineRule="atLeast"/>
      <w:ind w:firstLine="420" w:firstLineChars="200"/>
      <w:jc w:val="center"/>
    </w:pPr>
    <w:rPr>
      <w:rFonts w:ascii="Calibri" w:hAnsi="Calibri"/>
      <w:spacing w:val="4"/>
      <w:sz w:val="24"/>
      <w:szCs w:val="20"/>
    </w:rPr>
  </w:style>
  <w:style w:type="paragraph" w:customStyle="1" w:styleId="1391">
    <w:name w:val="xl115"/>
    <w:basedOn w:val="1"/>
    <w:semiHidden/>
    <w:qFormat/>
    <w:uiPriority w:val="0"/>
    <w:pPr>
      <w:widowControl/>
      <w:pBdr>
        <w:left w:val="single" w:color="auto" w:sz="8" w:space="0"/>
        <w:bottom w:val="single" w:color="auto" w:sz="8" w:space="0"/>
      </w:pBdr>
      <w:spacing w:before="100" w:beforeAutospacing="1" w:after="100" w:afterAutospacing="1" w:line="360" w:lineRule="auto"/>
      <w:ind w:firstLine="420" w:firstLineChars="200"/>
      <w:jc w:val="center"/>
    </w:pPr>
    <w:rPr>
      <w:rFonts w:ascii="Calibri" w:hAnsi="Calibri"/>
      <w:color w:val="000000"/>
      <w:kern w:val="0"/>
      <w:sz w:val="24"/>
      <w:szCs w:val="21"/>
    </w:rPr>
  </w:style>
  <w:style w:type="paragraph" w:customStyle="1" w:styleId="1392">
    <w:name w:val="表注"/>
    <w:basedOn w:val="1393"/>
    <w:semiHidden/>
    <w:qFormat/>
    <w:uiPriority w:val="0"/>
    <w:pPr>
      <w:adjustRightInd/>
      <w:spacing w:before="0"/>
      <w:jc w:val="left"/>
      <w:textAlignment w:val="auto"/>
    </w:pPr>
    <w:rPr>
      <w:rFonts w:ascii="宋体" w:hAnsi="宋体" w:eastAsia="仿宋_GB2312" w:cs="宋体"/>
    </w:rPr>
  </w:style>
  <w:style w:type="paragraph" w:customStyle="1" w:styleId="1393">
    <w:name w:val="表"/>
    <w:basedOn w:val="1"/>
    <w:next w:val="1"/>
    <w:semiHidden/>
    <w:qFormat/>
    <w:uiPriority w:val="0"/>
    <w:pPr>
      <w:adjustRightInd w:val="0"/>
      <w:spacing w:before="120"/>
      <w:jc w:val="center"/>
      <w:textAlignment w:val="baseline"/>
    </w:pPr>
    <w:rPr>
      <w:rFonts w:ascii="Calibri" w:hAnsi="Calibri"/>
      <w:kern w:val="0"/>
      <w:szCs w:val="20"/>
    </w:rPr>
  </w:style>
  <w:style w:type="paragraph" w:customStyle="1" w:styleId="1394">
    <w:name w:val="xl117"/>
    <w:basedOn w:val="1"/>
    <w:semiHidden/>
    <w:qFormat/>
    <w:uiPriority w:val="0"/>
    <w:pPr>
      <w:widowControl/>
      <w:spacing w:before="100" w:beforeAutospacing="1" w:after="100" w:afterAutospacing="1" w:line="360" w:lineRule="auto"/>
      <w:ind w:firstLine="420" w:firstLineChars="200"/>
      <w:jc w:val="center"/>
      <w:textAlignment w:val="top"/>
    </w:pPr>
    <w:rPr>
      <w:rFonts w:ascii="Calibri" w:hAnsi="Calibri"/>
      <w:color w:val="000000"/>
      <w:kern w:val="0"/>
      <w:sz w:val="24"/>
      <w:szCs w:val="21"/>
    </w:rPr>
  </w:style>
  <w:style w:type="paragraph" w:customStyle="1" w:styleId="1395">
    <w:name w:val="表注+左对齐"/>
    <w:basedOn w:val="1"/>
    <w:semiHidden/>
    <w:qFormat/>
    <w:uiPriority w:val="0"/>
    <w:pPr>
      <w:widowControl/>
      <w:adjustRightInd w:val="0"/>
      <w:snapToGrid w:val="0"/>
      <w:spacing w:line="240" w:lineRule="atLeast"/>
      <w:ind w:firstLine="420" w:firstLineChars="200"/>
      <w:textAlignment w:val="baseline"/>
    </w:pPr>
    <w:rPr>
      <w:rFonts w:ascii="仿宋_GB2312" w:hAnsi="Calibri" w:eastAsia="仿宋_GB2312"/>
      <w:sz w:val="18"/>
      <w:szCs w:val="20"/>
    </w:rPr>
  </w:style>
  <w:style w:type="paragraph" w:customStyle="1" w:styleId="1396">
    <w:name w:val="xl119"/>
    <w:basedOn w:val="1"/>
    <w:semiHidden/>
    <w:qFormat/>
    <w:uiPriority w:val="0"/>
    <w:pPr>
      <w:widowControl/>
      <w:pBdr>
        <w:left w:val="single" w:color="auto" w:sz="8" w:space="0"/>
        <w:bottom w:val="single" w:color="auto" w:sz="12" w:space="0"/>
      </w:pBdr>
      <w:spacing w:before="100" w:beforeAutospacing="1" w:after="100" w:afterAutospacing="1" w:line="360" w:lineRule="auto"/>
      <w:ind w:firstLine="420" w:firstLineChars="200"/>
      <w:jc w:val="center"/>
      <w:textAlignment w:val="top"/>
    </w:pPr>
    <w:rPr>
      <w:rFonts w:ascii="Calibri" w:hAnsi="Calibri"/>
      <w:color w:val="000000"/>
      <w:kern w:val="0"/>
      <w:sz w:val="24"/>
      <w:szCs w:val="21"/>
    </w:rPr>
  </w:style>
  <w:style w:type="paragraph" w:customStyle="1" w:styleId="1397">
    <w:name w:val="表左"/>
    <w:basedOn w:val="1"/>
    <w:semiHidden/>
    <w:qFormat/>
    <w:uiPriority w:val="0"/>
    <w:pPr>
      <w:overflowPunct w:val="0"/>
      <w:adjustRightInd w:val="0"/>
      <w:spacing w:line="280" w:lineRule="exact"/>
      <w:jc w:val="left"/>
      <w:textAlignment w:val="baseline"/>
    </w:pPr>
    <w:rPr>
      <w:rFonts w:ascii="宋体" w:hAnsi="Calibri"/>
      <w:color w:val="000000"/>
      <w:kern w:val="24"/>
      <w:sz w:val="18"/>
      <w:szCs w:val="20"/>
    </w:rPr>
  </w:style>
  <w:style w:type="paragraph" w:customStyle="1" w:styleId="1398">
    <w:name w:val="xl120"/>
    <w:basedOn w:val="1"/>
    <w:semiHidden/>
    <w:qFormat/>
    <w:uiPriority w:val="0"/>
    <w:pPr>
      <w:widowControl/>
      <w:pBdr>
        <w:bottom w:val="single" w:color="auto" w:sz="12" w:space="0"/>
      </w:pBdr>
      <w:spacing w:before="100" w:beforeAutospacing="1" w:after="100" w:afterAutospacing="1" w:line="360" w:lineRule="auto"/>
      <w:ind w:firstLine="420" w:firstLineChars="200"/>
      <w:jc w:val="center"/>
      <w:textAlignment w:val="top"/>
    </w:pPr>
    <w:rPr>
      <w:rFonts w:ascii="Calibri" w:hAnsi="Calibri"/>
      <w:color w:val="000000"/>
      <w:kern w:val="0"/>
      <w:sz w:val="24"/>
      <w:szCs w:val="21"/>
    </w:rPr>
  </w:style>
  <w:style w:type="paragraph" w:customStyle="1" w:styleId="1399">
    <w:name w:val="xl121"/>
    <w:basedOn w:val="1"/>
    <w:semiHidden/>
    <w:qFormat/>
    <w:uiPriority w:val="0"/>
    <w:pPr>
      <w:widowControl/>
      <w:pBdr>
        <w:bottom w:val="single" w:color="auto" w:sz="12" w:space="0"/>
        <w:right w:val="single" w:color="auto" w:sz="8" w:space="0"/>
      </w:pBdr>
      <w:spacing w:before="100" w:beforeAutospacing="1" w:after="100" w:afterAutospacing="1" w:line="360" w:lineRule="auto"/>
      <w:ind w:firstLine="420" w:firstLineChars="200"/>
      <w:jc w:val="center"/>
      <w:textAlignment w:val="top"/>
    </w:pPr>
    <w:rPr>
      <w:rFonts w:ascii="Calibri" w:hAnsi="Calibri"/>
      <w:color w:val="000000"/>
      <w:kern w:val="0"/>
      <w:sz w:val="24"/>
      <w:szCs w:val="21"/>
    </w:rPr>
  </w:style>
  <w:style w:type="paragraph" w:customStyle="1" w:styleId="1400">
    <w:name w:val="二级标题 Char Char Char"/>
    <w:basedOn w:val="1"/>
    <w:next w:val="1"/>
    <w:semiHidden/>
    <w:qFormat/>
    <w:uiPriority w:val="0"/>
    <w:pPr>
      <w:spacing w:line="529" w:lineRule="exact"/>
      <w:ind w:firstLine="200" w:firstLineChars="200"/>
    </w:pPr>
    <w:rPr>
      <w:rFonts w:ascii="宋体" w:hAnsi="宋体" w:cs="宋体"/>
      <w:sz w:val="24"/>
      <w:szCs w:val="21"/>
    </w:rPr>
  </w:style>
  <w:style w:type="paragraph" w:customStyle="1" w:styleId="1401">
    <w:name w:val="xl150"/>
    <w:basedOn w:val="1"/>
    <w:semiHidden/>
    <w:qFormat/>
    <w:uiPriority w:val="0"/>
    <w:pPr>
      <w:widowControl/>
      <w:pBdr>
        <w:top w:val="double" w:color="auto" w:sz="6"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402">
    <w:name w:val="xl160"/>
    <w:basedOn w:val="1"/>
    <w:semiHidden/>
    <w:qFormat/>
    <w:uiPriority w:val="0"/>
    <w:pPr>
      <w:widowControl/>
      <w:pBdr>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403">
    <w:name w:val="xl161"/>
    <w:basedOn w:val="1"/>
    <w:semiHidden/>
    <w:qFormat/>
    <w:uiPriority w:val="0"/>
    <w:pPr>
      <w:widowControl/>
      <w:pBdr>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404">
    <w:name w:val="封面标准文稿编辑信息"/>
    <w:semiHidden/>
    <w:qFormat/>
    <w:uiPriority w:val="0"/>
    <w:pPr>
      <w:spacing w:before="180" w:line="180" w:lineRule="exact"/>
      <w:jc w:val="center"/>
    </w:pPr>
    <w:rPr>
      <w:rFonts w:ascii="宋体" w:hAnsi="Calibri" w:eastAsia="宋体" w:cs="Times New Roman"/>
      <w:kern w:val="2"/>
      <w:sz w:val="21"/>
      <w:szCs w:val="21"/>
      <w:lang w:val="en-US" w:eastAsia="zh-CN" w:bidi="ar-SA"/>
    </w:rPr>
  </w:style>
  <w:style w:type="paragraph" w:customStyle="1" w:styleId="1405">
    <w:name w:val="xl162"/>
    <w:basedOn w:val="1"/>
    <w:semiHidden/>
    <w:qFormat/>
    <w:uiPriority w:val="0"/>
    <w:pPr>
      <w:widowControl/>
      <w:pBdr>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406">
    <w:name w:val="xl163"/>
    <w:basedOn w:val="1"/>
    <w:semiHidden/>
    <w:qFormat/>
    <w:uiPriority w:val="0"/>
    <w:pPr>
      <w:widowControl/>
      <w:pBdr>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407">
    <w:name w:val="xl164"/>
    <w:basedOn w:val="1"/>
    <w:semiHidden/>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408">
    <w:name w:val="封面正文"/>
    <w:semiHidden/>
    <w:qFormat/>
    <w:uiPriority w:val="0"/>
    <w:pPr>
      <w:jc w:val="both"/>
    </w:pPr>
    <w:rPr>
      <w:rFonts w:ascii="Calibri" w:hAnsi="Calibri" w:eastAsia="宋体" w:cs="Times New Roman"/>
      <w:kern w:val="2"/>
      <w:sz w:val="21"/>
      <w:szCs w:val="21"/>
      <w:lang w:val="en-US" w:eastAsia="zh-CN" w:bidi="ar-SA"/>
    </w:rPr>
  </w:style>
  <w:style w:type="paragraph" w:customStyle="1" w:styleId="1409">
    <w:name w:val="xl165"/>
    <w:basedOn w:val="1"/>
    <w:semiHidden/>
    <w:qFormat/>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Calibri" w:hAnsi="Calibri" w:eastAsia="Arial Unicode MS"/>
      <w:color w:val="000000"/>
      <w:kern w:val="0"/>
      <w:sz w:val="20"/>
      <w:szCs w:val="20"/>
    </w:rPr>
  </w:style>
  <w:style w:type="paragraph" w:customStyle="1" w:styleId="1410">
    <w:name w:val="xl166"/>
    <w:basedOn w:val="1"/>
    <w:semiHidden/>
    <w:qFormat/>
    <w:uiPriority w:val="0"/>
    <w:pPr>
      <w:widowControl/>
      <w:pBdr>
        <w:left w:val="single" w:color="auto" w:sz="4" w:space="0"/>
      </w:pBdr>
      <w:spacing w:before="100" w:beforeAutospacing="1" w:after="100" w:afterAutospacing="1" w:line="360" w:lineRule="auto"/>
      <w:jc w:val="left"/>
      <w:textAlignment w:val="center"/>
    </w:pPr>
    <w:rPr>
      <w:rFonts w:ascii="Arial Unicode MS" w:hAnsi="Arial Unicode MS" w:eastAsia="Arial Unicode MS" w:cs="Arial Unicode MS"/>
      <w:color w:val="000000"/>
      <w:kern w:val="0"/>
      <w:sz w:val="20"/>
      <w:szCs w:val="20"/>
    </w:rPr>
  </w:style>
  <w:style w:type="paragraph" w:customStyle="1" w:styleId="1411">
    <w:name w:val="xl167"/>
    <w:basedOn w:val="1"/>
    <w:semiHidden/>
    <w:qFormat/>
    <w:uiPriority w:val="0"/>
    <w:pPr>
      <w:widowControl/>
      <w:pBdr>
        <w:right w:val="single" w:color="auto" w:sz="4" w:space="0"/>
      </w:pBdr>
      <w:spacing w:before="100" w:beforeAutospacing="1" w:after="100" w:afterAutospacing="1" w:line="360" w:lineRule="auto"/>
      <w:jc w:val="left"/>
      <w:textAlignment w:val="center"/>
    </w:pPr>
    <w:rPr>
      <w:rFonts w:ascii="Arial Unicode MS" w:hAnsi="Arial Unicode MS" w:eastAsia="Arial Unicode MS" w:cs="Arial Unicode MS"/>
      <w:color w:val="000000"/>
      <w:kern w:val="0"/>
      <w:sz w:val="20"/>
      <w:szCs w:val="20"/>
    </w:rPr>
  </w:style>
  <w:style w:type="paragraph" w:customStyle="1" w:styleId="1412">
    <w:name w:val="xl177"/>
    <w:basedOn w:val="1"/>
    <w:semiHidden/>
    <w:qFormat/>
    <w:uiPriority w:val="0"/>
    <w:pPr>
      <w:widowControl/>
      <w:pBdr>
        <w:top w:val="single" w:color="auto" w:sz="4" w:space="0"/>
        <w:bottom w:val="double" w:color="auto" w:sz="6" w:space="0"/>
        <w:right w:val="single" w:color="auto" w:sz="4" w:space="0"/>
      </w:pBdr>
      <w:spacing w:before="100" w:beforeAutospacing="1" w:after="100" w:afterAutospacing="1" w:line="360" w:lineRule="auto"/>
      <w:jc w:val="center"/>
      <w:textAlignment w:val="center"/>
    </w:pPr>
    <w:rPr>
      <w:rFonts w:ascii="Calibri" w:hAnsi="Calibri" w:eastAsia="Arial Unicode MS"/>
      <w:kern w:val="0"/>
      <w:sz w:val="20"/>
      <w:szCs w:val="20"/>
    </w:rPr>
  </w:style>
  <w:style w:type="paragraph" w:customStyle="1" w:styleId="1413">
    <w:name w:val="付1X"/>
    <w:basedOn w:val="2"/>
    <w:semiHidden/>
    <w:qFormat/>
    <w:uiPriority w:val="0"/>
    <w:pPr>
      <w:spacing w:before="0" w:after="0" w:line="578" w:lineRule="auto"/>
    </w:pPr>
    <w:rPr>
      <w:rFonts w:ascii="Calibri" w:hAnsi="Calibri" w:eastAsia="黑体"/>
      <w:b w:val="0"/>
      <w:sz w:val="30"/>
    </w:rPr>
  </w:style>
  <w:style w:type="paragraph" w:customStyle="1" w:styleId="1414">
    <w:name w:val="xl18"/>
    <w:basedOn w:val="1"/>
    <w:semiHidden/>
    <w:qFormat/>
    <w:uiPriority w:val="0"/>
    <w:pPr>
      <w:widowControl/>
      <w:pBdr>
        <w:bottom w:val="single" w:color="auto" w:sz="4" w:space="0"/>
      </w:pBdr>
      <w:spacing w:before="100" w:beforeAutospacing="1" w:after="100" w:afterAutospacing="1"/>
      <w:jc w:val="center"/>
      <w:textAlignment w:val="center"/>
    </w:pPr>
    <w:rPr>
      <w:rFonts w:ascii="Arial Unicode MS" w:hAnsi="Arial Unicode MS" w:eastAsia="Arial Unicode MS"/>
      <w:b/>
      <w:bCs/>
      <w:color w:val="FF0000"/>
      <w:kern w:val="0"/>
      <w:sz w:val="32"/>
      <w:szCs w:val="32"/>
    </w:rPr>
  </w:style>
  <w:style w:type="paragraph" w:customStyle="1" w:styleId="1415">
    <w:name w:val="付2"/>
    <w:basedOn w:val="3"/>
    <w:semiHidden/>
    <w:qFormat/>
    <w:uiPriority w:val="0"/>
    <w:pPr>
      <w:spacing w:before="0" w:after="0"/>
    </w:pPr>
    <w:rPr>
      <w:rFonts w:ascii="Cambria" w:hAnsi="Cambria"/>
      <w:b w:val="0"/>
      <w:sz w:val="28"/>
    </w:rPr>
  </w:style>
  <w:style w:type="paragraph" w:customStyle="1" w:styleId="1416">
    <w:name w:val="xl182"/>
    <w:basedOn w:val="1"/>
    <w:semiHidden/>
    <w:qFormat/>
    <w:uiPriority w:val="0"/>
    <w:pPr>
      <w:widowControl/>
      <w:pBdr>
        <w:top w:val="double" w:color="auto" w:sz="6" w:space="0"/>
        <w:right w:val="single" w:color="auto" w:sz="4" w:space="0"/>
      </w:pBdr>
      <w:spacing w:before="100" w:beforeAutospacing="1" w:after="100" w:afterAutospacing="1" w:line="360" w:lineRule="auto"/>
      <w:jc w:val="center"/>
      <w:textAlignment w:val="center"/>
    </w:pPr>
    <w:rPr>
      <w:rFonts w:ascii="Arial Unicode MS" w:hAnsi="Arial Unicode MS" w:eastAsia="Arial Unicode MS" w:cs="Arial Unicode MS"/>
      <w:kern w:val="0"/>
      <w:sz w:val="20"/>
      <w:szCs w:val="20"/>
    </w:rPr>
  </w:style>
  <w:style w:type="paragraph" w:customStyle="1" w:styleId="1417">
    <w:name w:val="付3"/>
    <w:basedOn w:val="4"/>
    <w:semiHidden/>
    <w:qFormat/>
    <w:uiPriority w:val="0"/>
    <w:pPr>
      <w:spacing w:before="0" w:after="0"/>
    </w:pPr>
    <w:rPr>
      <w:rFonts w:ascii="Calibri" w:hAnsi="Calibri" w:eastAsia="黑体"/>
      <w:b w:val="0"/>
      <w:color w:val="000000"/>
      <w:kern w:val="0"/>
      <w:sz w:val="24"/>
    </w:rPr>
  </w:style>
  <w:style w:type="paragraph" w:customStyle="1" w:styleId="1418">
    <w:name w:val="xl40"/>
    <w:basedOn w:val="1"/>
    <w:semiHidden/>
    <w:qFormat/>
    <w:uiPriority w:val="0"/>
    <w:pPr>
      <w:widowControl/>
      <w:topLinePunct/>
      <w:spacing w:before="100" w:beforeAutospacing="1" w:after="100" w:afterAutospacing="1" w:line="529" w:lineRule="exact"/>
      <w:ind w:firstLine="200" w:firstLineChars="200"/>
      <w:jc w:val="center"/>
    </w:pPr>
    <w:rPr>
      <w:rFonts w:ascii="Arial Unicode MS" w:hAnsi="Arial Unicode MS" w:eastAsia="Arial Unicode MS"/>
      <w:kern w:val="0"/>
      <w:sz w:val="24"/>
      <w:szCs w:val="21"/>
    </w:rPr>
  </w:style>
  <w:style w:type="paragraph" w:customStyle="1" w:styleId="1419">
    <w:name w:val="xl47"/>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420">
    <w:name w:val="xl48"/>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200" w:firstLineChars="200"/>
      <w:jc w:val="left"/>
      <w:textAlignment w:val="center"/>
    </w:pPr>
    <w:rPr>
      <w:rFonts w:ascii="宋体" w:hAnsi="宋体" w:eastAsia="汉鼎简书宋" w:cs="宋体"/>
      <w:kern w:val="0"/>
      <w:sz w:val="20"/>
      <w:szCs w:val="20"/>
    </w:rPr>
  </w:style>
  <w:style w:type="paragraph" w:customStyle="1" w:styleId="1421">
    <w:name w:val="xl49"/>
    <w:basedOn w:val="1"/>
    <w:semiHidden/>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422">
    <w:name w:val="xl50"/>
    <w:basedOn w:val="1"/>
    <w:semiHidden/>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423">
    <w:name w:val="xl51"/>
    <w:basedOn w:val="1"/>
    <w:semiHidden/>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424">
    <w:name w:val="xl52"/>
    <w:basedOn w:val="1"/>
    <w:semiHidden/>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425">
    <w:name w:val="xl53"/>
    <w:basedOn w:val="1"/>
    <w:semiHidden/>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ind w:firstLine="200" w:firstLineChars="200"/>
      <w:jc w:val="center"/>
      <w:textAlignment w:val="center"/>
    </w:pPr>
    <w:rPr>
      <w:rFonts w:ascii="宋体" w:hAnsi="宋体" w:eastAsia="汉鼎简书宋" w:cs="宋体"/>
      <w:kern w:val="0"/>
      <w:sz w:val="20"/>
      <w:szCs w:val="20"/>
    </w:rPr>
  </w:style>
  <w:style w:type="paragraph" w:customStyle="1" w:styleId="1426">
    <w:name w:val="xl54"/>
    <w:basedOn w:val="1"/>
    <w:semiHidden/>
    <w:qFormat/>
    <w:uiPriority w:val="0"/>
    <w:pPr>
      <w:widowControl/>
      <w:pBdr>
        <w:bottom w:val="single" w:color="auto" w:sz="8" w:space="0"/>
      </w:pBdr>
      <w:spacing w:before="100" w:beforeAutospacing="1" w:after="100" w:afterAutospacing="1"/>
      <w:ind w:firstLine="200" w:firstLineChars="200"/>
      <w:jc w:val="center"/>
      <w:textAlignment w:val="center"/>
    </w:pPr>
    <w:rPr>
      <w:rFonts w:ascii="宋体" w:hAnsi="宋体" w:eastAsia="汉鼎简书宋" w:cs="宋体"/>
      <w:b/>
      <w:bCs/>
      <w:kern w:val="0"/>
      <w:sz w:val="28"/>
      <w:szCs w:val="28"/>
    </w:rPr>
  </w:style>
  <w:style w:type="paragraph" w:customStyle="1" w:styleId="1427">
    <w:name w:val="xl55"/>
    <w:basedOn w:val="1"/>
    <w:semiHidden/>
    <w:qFormat/>
    <w:uiPriority w:val="0"/>
    <w:pPr>
      <w:widowControl/>
      <w:pBdr>
        <w:lef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428">
    <w:name w:val="xl56"/>
    <w:basedOn w:val="1"/>
    <w:semiHidden/>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429">
    <w:name w:val="xl57"/>
    <w:basedOn w:val="1"/>
    <w:semiHidden/>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kern w:val="0"/>
      <w:sz w:val="24"/>
      <w:szCs w:val="21"/>
    </w:rPr>
  </w:style>
  <w:style w:type="paragraph" w:customStyle="1" w:styleId="1430">
    <w:name w:val="xl58"/>
    <w:basedOn w:val="1"/>
    <w:semiHidden/>
    <w:qFormat/>
    <w:uiPriority w:val="0"/>
    <w:pPr>
      <w:widowControl/>
      <w:pBdr>
        <w:top w:val="single" w:color="auto" w:sz="4" w:space="0"/>
        <w:left w:val="single" w:color="auto" w:sz="4" w:space="0"/>
      </w:pBdr>
      <w:spacing w:before="100" w:beforeAutospacing="1" w:after="100" w:afterAutospacing="1"/>
      <w:jc w:val="center"/>
      <w:textAlignment w:val="center"/>
    </w:pPr>
    <w:rPr>
      <w:rFonts w:ascii="Arial Unicode MS" w:hAnsi="Arial Unicode MS" w:eastAsia="Arial Unicode MS" w:cs="Arial Unicode MS"/>
      <w:color w:val="000000"/>
      <w:kern w:val="0"/>
      <w:sz w:val="18"/>
      <w:szCs w:val="18"/>
    </w:rPr>
  </w:style>
  <w:style w:type="paragraph" w:customStyle="1" w:styleId="1431">
    <w:name w:val="xl59"/>
    <w:basedOn w:val="1"/>
    <w:semiHidden/>
    <w:qFormat/>
    <w:uiPriority w:val="0"/>
    <w:pPr>
      <w:widowControl/>
      <w:pBdr>
        <w:left w:val="single" w:color="auto" w:sz="4" w:space="0"/>
      </w:pBdr>
      <w:spacing w:before="100" w:beforeAutospacing="1" w:after="100" w:afterAutospacing="1"/>
      <w:jc w:val="center"/>
      <w:textAlignment w:val="center"/>
    </w:pPr>
    <w:rPr>
      <w:rFonts w:ascii="Arial Unicode MS" w:hAnsi="Arial Unicode MS" w:eastAsia="Arial Unicode MS" w:cs="Arial Unicode MS"/>
      <w:color w:val="000000"/>
      <w:kern w:val="0"/>
      <w:sz w:val="18"/>
      <w:szCs w:val="18"/>
    </w:rPr>
  </w:style>
  <w:style w:type="paragraph" w:customStyle="1" w:styleId="1432">
    <w:name w:val="xl60"/>
    <w:basedOn w:val="1"/>
    <w:semiHidden/>
    <w:qFormat/>
    <w:uiPriority w:val="0"/>
    <w:pPr>
      <w:widowControl/>
      <w:pBdr>
        <w:left w:val="single" w:color="auto" w:sz="4" w:space="0"/>
        <w:bottom w:val="single" w:color="auto" w:sz="4" w:space="0"/>
      </w:pBdr>
      <w:spacing w:before="100" w:beforeAutospacing="1" w:after="100" w:afterAutospacing="1"/>
      <w:jc w:val="center"/>
      <w:textAlignment w:val="center"/>
    </w:pPr>
    <w:rPr>
      <w:rFonts w:ascii="Arial Unicode MS" w:hAnsi="Arial Unicode MS" w:eastAsia="Arial Unicode MS" w:cs="Arial Unicode MS"/>
      <w:color w:val="000000"/>
      <w:kern w:val="0"/>
      <w:sz w:val="18"/>
      <w:szCs w:val="18"/>
    </w:rPr>
  </w:style>
  <w:style w:type="paragraph" w:customStyle="1" w:styleId="1433">
    <w:name w:val="xl61"/>
    <w:basedOn w:val="1"/>
    <w:semiHidden/>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18"/>
      <w:szCs w:val="18"/>
    </w:rPr>
  </w:style>
  <w:style w:type="paragraph" w:customStyle="1" w:styleId="1434">
    <w:name w:val="xl62"/>
    <w:basedOn w:val="1"/>
    <w:semiHidden/>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b/>
      <w:bCs/>
      <w:kern w:val="0"/>
      <w:sz w:val="24"/>
      <w:szCs w:val="21"/>
    </w:rPr>
  </w:style>
  <w:style w:type="paragraph" w:customStyle="1" w:styleId="1435">
    <w:name w:val="xl63"/>
    <w:basedOn w:val="1"/>
    <w:semiHidden/>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1436">
    <w:name w:val="xl64"/>
    <w:basedOn w:val="1"/>
    <w:semiHidden/>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360" w:lineRule="auto"/>
      <w:ind w:firstLine="200" w:firstLineChars="200"/>
      <w:jc w:val="left"/>
      <w:textAlignment w:val="center"/>
    </w:pPr>
    <w:rPr>
      <w:rFonts w:ascii="Arial Unicode MS" w:hAnsi="Arial Unicode MS" w:eastAsia="Arial Unicode MS"/>
      <w:kern w:val="0"/>
      <w:sz w:val="24"/>
      <w:szCs w:val="21"/>
    </w:rPr>
  </w:style>
  <w:style w:type="paragraph" w:customStyle="1" w:styleId="1437">
    <w:name w:val="xl65"/>
    <w:basedOn w:val="1"/>
    <w:semiHidden/>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szCs w:val="21"/>
    </w:rPr>
  </w:style>
  <w:style w:type="paragraph" w:customStyle="1" w:styleId="1438">
    <w:name w:val="xl66"/>
    <w:basedOn w:val="1"/>
    <w:semiHidden/>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kern w:val="0"/>
      <w:sz w:val="24"/>
      <w:szCs w:val="21"/>
    </w:rPr>
  </w:style>
  <w:style w:type="paragraph" w:customStyle="1" w:styleId="1439">
    <w:name w:val="xl67"/>
    <w:basedOn w:val="1"/>
    <w:semiHidden/>
    <w:qFormat/>
    <w:uiPriority w:val="0"/>
    <w:pPr>
      <w:widowControl/>
      <w:pBdr>
        <w:bottom w:val="single" w:color="auto" w:sz="8" w:space="0"/>
        <w:right w:val="single" w:color="auto" w:sz="8" w:space="0"/>
      </w:pBdr>
      <w:spacing w:before="100" w:beforeAutospacing="1" w:after="100" w:afterAutospacing="1"/>
      <w:jc w:val="center"/>
    </w:pPr>
    <w:rPr>
      <w:rFonts w:ascii="Arial Unicode MS" w:hAnsi="Arial Unicode MS" w:eastAsia="Arial Unicode MS" w:cs="Arial Unicode MS"/>
      <w:color w:val="000000"/>
      <w:kern w:val="0"/>
      <w:szCs w:val="21"/>
    </w:rPr>
  </w:style>
  <w:style w:type="paragraph" w:customStyle="1" w:styleId="1440">
    <w:name w:val="xl68"/>
    <w:basedOn w:val="1"/>
    <w:semiHidden/>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kern w:val="0"/>
      <w:sz w:val="24"/>
      <w:szCs w:val="21"/>
    </w:rPr>
  </w:style>
  <w:style w:type="paragraph" w:customStyle="1" w:styleId="1441">
    <w:name w:val="公式样式1"/>
    <w:basedOn w:val="1"/>
    <w:semiHidden/>
    <w:qFormat/>
    <w:uiPriority w:val="0"/>
    <w:pPr>
      <w:jc w:val="center"/>
    </w:pPr>
    <w:rPr>
      <w:rFonts w:ascii="宋体" w:hAnsi="宋体"/>
      <w:color w:val="FF0000"/>
      <w:szCs w:val="21"/>
    </w:rPr>
  </w:style>
  <w:style w:type="paragraph" w:customStyle="1" w:styleId="1442">
    <w:name w:val="xl69"/>
    <w:basedOn w:val="1"/>
    <w:semiHidden/>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360" w:lineRule="auto"/>
      <w:ind w:firstLine="200" w:firstLineChars="200"/>
      <w:jc w:val="center"/>
      <w:textAlignment w:val="center"/>
    </w:pPr>
    <w:rPr>
      <w:rFonts w:ascii="Arial Unicode MS" w:hAnsi="Arial Unicode MS" w:eastAsia="Arial Unicode MS"/>
      <w:kern w:val="0"/>
      <w:sz w:val="24"/>
      <w:szCs w:val="21"/>
    </w:rPr>
  </w:style>
  <w:style w:type="paragraph" w:customStyle="1" w:styleId="1443">
    <w:name w:val="xl72"/>
    <w:basedOn w:val="1"/>
    <w:semiHidden/>
    <w:qFormat/>
    <w:uiPriority w:val="0"/>
    <w:pPr>
      <w:widowControl/>
      <w:pBdr>
        <w:top w:val="single" w:color="auto" w:sz="4" w:space="0"/>
        <w:bottom w:val="single" w:color="auto" w:sz="4" w:space="0"/>
        <w:right w:val="single" w:color="auto" w:sz="8" w:space="0"/>
      </w:pBdr>
      <w:spacing w:before="100" w:beforeAutospacing="1" w:after="100" w:afterAutospacing="1" w:line="360" w:lineRule="auto"/>
      <w:ind w:firstLine="200" w:firstLineChars="200"/>
      <w:jc w:val="center"/>
      <w:textAlignment w:val="center"/>
    </w:pPr>
    <w:rPr>
      <w:rFonts w:ascii="Arial Unicode MS" w:hAnsi="Arial Unicode MS" w:eastAsia="Arial Unicode MS"/>
      <w:kern w:val="0"/>
      <w:sz w:val="24"/>
      <w:szCs w:val="21"/>
    </w:rPr>
  </w:style>
  <w:style w:type="paragraph" w:customStyle="1" w:styleId="1444">
    <w:name w:val="xl74"/>
    <w:basedOn w:val="1"/>
    <w:semiHidden/>
    <w:qFormat/>
    <w:uiPriority w:val="0"/>
    <w:pPr>
      <w:widowControl/>
      <w:pBdr>
        <w:left w:val="single" w:color="000000" w:sz="4" w:space="0"/>
        <w:right w:val="single" w:color="000000" w:sz="4" w:space="0"/>
      </w:pBdr>
      <w:spacing w:before="100" w:beforeAutospacing="1" w:after="100" w:afterAutospacing="1"/>
      <w:jc w:val="center"/>
    </w:pPr>
    <w:rPr>
      <w:rFonts w:ascii="Calibri" w:hAnsi="Calibri"/>
      <w:szCs w:val="21"/>
    </w:rPr>
  </w:style>
  <w:style w:type="paragraph" w:customStyle="1" w:styleId="1445">
    <w:name w:val="xl75"/>
    <w:basedOn w:val="1"/>
    <w:semiHidden/>
    <w:qFormat/>
    <w:uiPriority w:val="0"/>
    <w:pPr>
      <w:widowControl/>
      <w:pBdr>
        <w:left w:val="single" w:color="000000" w:sz="4" w:space="0"/>
        <w:bottom w:val="single" w:color="000000" w:sz="4" w:space="0"/>
        <w:right w:val="single" w:color="000000" w:sz="4" w:space="0"/>
      </w:pBdr>
      <w:spacing w:before="100" w:beforeAutospacing="1" w:after="100" w:afterAutospacing="1"/>
      <w:jc w:val="center"/>
    </w:pPr>
    <w:rPr>
      <w:rFonts w:ascii="Calibri" w:hAnsi="Calibri"/>
      <w:szCs w:val="21"/>
    </w:rPr>
  </w:style>
  <w:style w:type="paragraph" w:customStyle="1" w:styleId="1446">
    <w:name w:val="xl76"/>
    <w:basedOn w:val="1"/>
    <w:semiHidden/>
    <w:qFormat/>
    <w:uiPriority w:val="0"/>
    <w:pPr>
      <w:widowControl/>
      <w:pBdr>
        <w:bottom w:val="single" w:color="auto" w:sz="12" w:space="0"/>
      </w:pBdr>
      <w:spacing w:before="100" w:beforeAutospacing="1" w:after="100" w:afterAutospacing="1" w:line="360" w:lineRule="auto"/>
      <w:ind w:firstLine="420" w:firstLineChars="200"/>
    </w:pPr>
    <w:rPr>
      <w:rFonts w:ascii="宋体" w:hAnsi="宋体" w:cs="宋体"/>
      <w:kern w:val="0"/>
      <w:sz w:val="24"/>
      <w:szCs w:val="21"/>
    </w:rPr>
  </w:style>
  <w:style w:type="paragraph" w:customStyle="1" w:styleId="1447">
    <w:name w:val="河石管道 表格正文5"/>
    <w:semiHidden/>
    <w:qFormat/>
    <w:uiPriority w:val="0"/>
    <w:pPr>
      <w:spacing w:line="0" w:lineRule="atLeast"/>
      <w:jc w:val="both"/>
    </w:pPr>
    <w:rPr>
      <w:rFonts w:ascii="Calibri" w:hAnsi="Calibri" w:eastAsia="宋体" w:cs="Times New Roman"/>
      <w:kern w:val="2"/>
      <w:sz w:val="18"/>
      <w:szCs w:val="21"/>
      <w:lang w:val="en-US" w:eastAsia="zh-CN" w:bidi="ar-SA"/>
    </w:rPr>
  </w:style>
  <w:style w:type="paragraph" w:customStyle="1" w:styleId="1448">
    <w:name w:val="xl77"/>
    <w:basedOn w:val="1"/>
    <w:semiHidden/>
    <w:qFormat/>
    <w:uiPriority w:val="0"/>
    <w:pPr>
      <w:widowControl/>
      <w:pBdr>
        <w:bottom w:val="single" w:color="auto" w:sz="8" w:space="0"/>
        <w:right w:val="single" w:color="auto" w:sz="8" w:space="0"/>
      </w:pBdr>
      <w:spacing w:before="100" w:beforeAutospacing="1" w:after="100" w:afterAutospacing="1" w:line="360" w:lineRule="auto"/>
      <w:ind w:firstLine="420" w:firstLineChars="200"/>
    </w:pPr>
    <w:rPr>
      <w:rFonts w:ascii="Calibri" w:hAnsi="Calibri"/>
      <w:color w:val="FF0000"/>
      <w:kern w:val="0"/>
      <w:sz w:val="24"/>
      <w:szCs w:val="21"/>
    </w:rPr>
  </w:style>
  <w:style w:type="paragraph" w:customStyle="1" w:styleId="1449">
    <w:name w:val="河石管道 表头8"/>
    <w:semiHidden/>
    <w:qFormat/>
    <w:uiPriority w:val="0"/>
    <w:pPr>
      <w:jc w:val="center"/>
    </w:pPr>
    <w:rPr>
      <w:rFonts w:ascii="Calibri" w:hAnsi="Calibri" w:eastAsia="宋体" w:cs="Times New Roman"/>
      <w:b/>
      <w:bCs/>
      <w:kern w:val="2"/>
      <w:sz w:val="18"/>
      <w:szCs w:val="21"/>
      <w:lang w:val="en-US" w:eastAsia="zh-CN" w:bidi="ar-SA"/>
    </w:rPr>
  </w:style>
  <w:style w:type="paragraph" w:customStyle="1" w:styleId="1450">
    <w:name w:val="xl78"/>
    <w:basedOn w:val="1"/>
    <w:semiHidden/>
    <w:qFormat/>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Arial Unicode MS" w:hAnsi="Arial Unicode MS" w:eastAsia="Arial Unicode MS"/>
      <w:kern w:val="0"/>
      <w:sz w:val="24"/>
      <w:szCs w:val="21"/>
    </w:rPr>
  </w:style>
  <w:style w:type="paragraph" w:customStyle="1" w:styleId="1451">
    <w:name w:val="yy1"/>
    <w:basedOn w:val="1"/>
    <w:semiHidden/>
    <w:qFormat/>
    <w:uiPriority w:val="0"/>
    <w:pPr>
      <w:keepNext/>
      <w:keepLines/>
      <w:spacing w:line="460" w:lineRule="exact"/>
      <w:ind w:firstLine="482" w:firstLineChars="200"/>
    </w:pPr>
    <w:rPr>
      <w:rFonts w:ascii="宋体" w:hAnsi="宋体"/>
      <w:color w:val="000000"/>
      <w:sz w:val="24"/>
      <w:szCs w:val="21"/>
    </w:rPr>
  </w:style>
  <w:style w:type="paragraph" w:customStyle="1" w:styleId="1452">
    <w:name w:val="胡"/>
    <w:basedOn w:val="1"/>
    <w:semiHidden/>
    <w:qFormat/>
    <w:uiPriority w:val="0"/>
    <w:pPr>
      <w:adjustRightInd w:val="0"/>
      <w:spacing w:line="360" w:lineRule="atLeast"/>
      <w:jc w:val="left"/>
      <w:textAlignment w:val="baseline"/>
    </w:pPr>
    <w:rPr>
      <w:rFonts w:ascii="宋体" w:hAnsi="Calibri"/>
      <w:kern w:val="0"/>
      <w:sz w:val="24"/>
      <w:szCs w:val="20"/>
    </w:rPr>
  </w:style>
  <w:style w:type="paragraph" w:customStyle="1" w:styleId="1453">
    <w:name w:val="yy标题4"/>
    <w:basedOn w:val="5"/>
    <w:next w:val="1"/>
    <w:semiHidden/>
    <w:qFormat/>
    <w:uiPriority w:val="0"/>
    <w:pPr>
      <w:spacing w:line="360" w:lineRule="auto"/>
    </w:pPr>
    <w:rPr>
      <w:rFonts w:ascii="宋体" w:hAnsi="宋体"/>
      <w:szCs w:val="28"/>
    </w:rPr>
  </w:style>
  <w:style w:type="paragraph" w:customStyle="1" w:styleId="1454">
    <w:name w:val="z2.2"/>
    <w:next w:val="1"/>
    <w:qFormat/>
    <w:uiPriority w:val="0"/>
    <w:pPr>
      <w:kinsoku w:val="0"/>
      <w:overflowPunct w:val="0"/>
      <w:autoSpaceDE w:val="0"/>
      <w:autoSpaceDN w:val="0"/>
      <w:adjustRightInd w:val="0"/>
      <w:snapToGrid w:val="0"/>
      <w:spacing w:line="360" w:lineRule="auto"/>
      <w:jc w:val="both"/>
      <w:outlineLvl w:val="1"/>
    </w:pPr>
    <w:rPr>
      <w:rFonts w:ascii="Times New Roman" w:hAnsi="Times New Roman" w:eastAsia="宋体" w:cs="Times New Roman"/>
      <w:b/>
      <w:bCs/>
      <w:color w:val="000000"/>
      <w:kern w:val="2"/>
      <w:sz w:val="30"/>
      <w:szCs w:val="30"/>
      <w:lang w:val="en-US" w:eastAsia="zh-CN" w:bidi="ar-SA"/>
    </w:rPr>
  </w:style>
  <w:style w:type="paragraph" w:customStyle="1" w:styleId="1455">
    <w:name w:val="z3.3.3"/>
    <w:next w:val="1"/>
    <w:qFormat/>
    <w:uiPriority w:val="0"/>
    <w:pPr>
      <w:kinsoku w:val="0"/>
      <w:overflowPunct w:val="0"/>
      <w:autoSpaceDE w:val="0"/>
      <w:autoSpaceDN w:val="0"/>
      <w:adjustRightInd w:val="0"/>
      <w:spacing w:line="360" w:lineRule="auto"/>
      <w:jc w:val="both"/>
      <w:outlineLvl w:val="2"/>
    </w:pPr>
    <w:rPr>
      <w:rFonts w:ascii="Times New Roman" w:hAnsi="Times New Roman" w:eastAsia="宋体" w:cs="Times New Roman"/>
      <w:b/>
      <w:bCs/>
      <w:color w:val="000000"/>
      <w:kern w:val="2"/>
      <w:sz w:val="28"/>
      <w:szCs w:val="28"/>
      <w:lang w:val="en-US" w:eastAsia="zh-CN" w:bidi="ar-SA"/>
    </w:rPr>
  </w:style>
  <w:style w:type="paragraph" w:customStyle="1" w:styleId="1456">
    <w:name w:val="报告1"/>
    <w:basedOn w:val="943"/>
    <w:semiHidden/>
    <w:qFormat/>
    <w:uiPriority w:val="0"/>
    <w:pPr>
      <w:adjustRightInd w:val="0"/>
      <w:spacing w:line="360" w:lineRule="auto"/>
      <w:ind w:firstLine="505" w:firstLineChars="200"/>
    </w:pPr>
    <w:rPr>
      <w:rFonts w:ascii="TimesNewRoman" w:hAnsi="TimesNewRoman"/>
      <w:spacing w:val="0"/>
      <w:kern w:val="24"/>
      <w:szCs w:val="20"/>
    </w:rPr>
  </w:style>
  <w:style w:type="paragraph" w:customStyle="1" w:styleId="1457">
    <w:name w:val="报告标题10.1"/>
    <w:basedOn w:val="3"/>
    <w:semiHidden/>
    <w:qFormat/>
    <w:uiPriority w:val="0"/>
    <w:pPr>
      <w:keepNext w:val="0"/>
      <w:keepLines w:val="0"/>
      <w:tabs>
        <w:tab w:val="left" w:pos="540"/>
      </w:tabs>
      <w:autoSpaceDE w:val="0"/>
      <w:autoSpaceDN w:val="0"/>
      <w:snapToGrid w:val="0"/>
      <w:spacing w:before="0" w:line="240" w:lineRule="auto"/>
    </w:pPr>
    <w:rPr>
      <w:rFonts w:ascii="Cambria" w:hAnsi="Cambria" w:eastAsia="宋体"/>
      <w:bCs w:val="0"/>
      <w:szCs w:val="20"/>
    </w:rPr>
  </w:style>
  <w:style w:type="paragraph" w:customStyle="1" w:styleId="1458">
    <w:name w:val="报告表正文"/>
    <w:basedOn w:val="1"/>
    <w:semiHidden/>
    <w:qFormat/>
    <w:uiPriority w:val="0"/>
    <w:pPr>
      <w:adjustRightInd w:val="0"/>
      <w:spacing w:line="312" w:lineRule="auto"/>
      <w:ind w:left="113" w:right="113" w:firstLine="482" w:firstLineChars="200"/>
    </w:pPr>
    <w:rPr>
      <w:rFonts w:ascii="Calibri" w:hAnsi="Calibri"/>
      <w:kern w:val="0"/>
      <w:sz w:val="24"/>
      <w:szCs w:val="20"/>
    </w:rPr>
  </w:style>
  <w:style w:type="paragraph" w:customStyle="1" w:styleId="1459">
    <w:name w:val="报告书"/>
    <w:basedOn w:val="1"/>
    <w:semiHidden/>
    <w:qFormat/>
    <w:uiPriority w:val="0"/>
    <w:pPr>
      <w:adjustRightInd w:val="0"/>
      <w:snapToGrid w:val="0"/>
      <w:spacing w:beforeLines="50" w:afterLines="50" w:line="312" w:lineRule="auto"/>
      <w:jc w:val="center"/>
    </w:pPr>
    <w:rPr>
      <w:rFonts w:ascii="Times" w:hAnsi="Times" w:eastAsia="黑体"/>
      <w:snapToGrid w:val="0"/>
      <w:spacing w:val="16"/>
      <w:kern w:val="0"/>
      <w:sz w:val="72"/>
      <w:szCs w:val="21"/>
    </w:rPr>
  </w:style>
  <w:style w:type="paragraph" w:customStyle="1" w:styleId="1460">
    <w:name w:val="简单回函地址"/>
    <w:basedOn w:val="1"/>
    <w:qFormat/>
    <w:uiPriority w:val="0"/>
    <w:rPr>
      <w:rFonts w:ascii="Calibri" w:hAnsi="Calibri"/>
      <w:szCs w:val="20"/>
    </w:rPr>
  </w:style>
  <w:style w:type="paragraph" w:customStyle="1" w:styleId="1461">
    <w:name w:val="报告书表格"/>
    <w:basedOn w:val="1"/>
    <w:semiHidden/>
    <w:qFormat/>
    <w:uiPriority w:val="0"/>
    <w:pPr>
      <w:adjustRightInd w:val="0"/>
      <w:spacing w:before="60" w:after="60" w:line="240" w:lineRule="atLeast"/>
      <w:jc w:val="center"/>
      <w:textAlignment w:val="baseline"/>
    </w:pPr>
    <w:rPr>
      <w:rFonts w:ascii="Calibri" w:hAnsi="Calibri"/>
      <w:kern w:val="0"/>
      <w:szCs w:val="20"/>
    </w:rPr>
  </w:style>
  <w:style w:type="paragraph" w:customStyle="1" w:styleId="1462">
    <w:name w:val="报告正文"/>
    <w:basedOn w:val="1"/>
    <w:semiHidden/>
    <w:qFormat/>
    <w:uiPriority w:val="0"/>
    <w:pPr>
      <w:tabs>
        <w:tab w:val="left" w:pos="0"/>
      </w:tabs>
      <w:spacing w:line="360" w:lineRule="auto"/>
      <w:ind w:firstLine="200" w:firstLineChars="200"/>
    </w:pPr>
    <w:rPr>
      <w:rFonts w:ascii="Calibri" w:hAnsi="Calibri"/>
      <w:color w:val="000000"/>
      <w:sz w:val="24"/>
      <w:szCs w:val="21"/>
    </w:rPr>
  </w:style>
  <w:style w:type="paragraph" w:customStyle="1" w:styleId="1463">
    <w:name w:val="可研-表格正文"/>
    <w:basedOn w:val="1"/>
    <w:semiHidden/>
    <w:qFormat/>
    <w:uiPriority w:val="0"/>
    <w:pPr>
      <w:spacing w:line="0" w:lineRule="atLeast"/>
    </w:pPr>
    <w:rPr>
      <w:rFonts w:ascii="宋体" w:hAnsi="Calibri"/>
      <w:sz w:val="24"/>
      <w:szCs w:val="21"/>
    </w:rPr>
  </w:style>
  <w:style w:type="paragraph" w:customStyle="1" w:styleId="1464">
    <w:name w:val="报告正文文字"/>
    <w:basedOn w:val="1"/>
    <w:semiHidden/>
    <w:qFormat/>
    <w:uiPriority w:val="0"/>
    <w:pPr>
      <w:widowControl/>
      <w:autoSpaceDE w:val="0"/>
      <w:autoSpaceDN w:val="0"/>
      <w:spacing w:line="360" w:lineRule="auto"/>
      <w:ind w:firstLine="480" w:firstLineChars="200"/>
    </w:pPr>
    <w:rPr>
      <w:rFonts w:ascii="宋体" w:hAnsi="宋体"/>
      <w:color w:val="000000"/>
      <w:spacing w:val="4"/>
      <w:kern w:val="0"/>
      <w:sz w:val="24"/>
      <w:szCs w:val="20"/>
    </w:rPr>
  </w:style>
  <w:style w:type="paragraph" w:customStyle="1" w:styleId="1465">
    <w:name w:val="可研-节标题"/>
    <w:next w:val="1"/>
    <w:semiHidden/>
    <w:qFormat/>
    <w:uiPriority w:val="0"/>
    <w:pPr>
      <w:spacing w:line="360" w:lineRule="auto"/>
      <w:outlineLvl w:val="1"/>
    </w:pPr>
    <w:rPr>
      <w:rFonts w:ascii="Calibri" w:hAnsi="Calibri" w:eastAsia="宋体" w:cs="Times New Roman"/>
      <w:b/>
      <w:kern w:val="2"/>
      <w:sz w:val="28"/>
      <w:szCs w:val="30"/>
      <w:lang w:val="en-US" w:eastAsia="zh-CN" w:bidi="ar-SA"/>
    </w:rPr>
  </w:style>
  <w:style w:type="paragraph" w:customStyle="1" w:styleId="1466">
    <w:name w:val="备注"/>
    <w:next w:val="1"/>
    <w:semiHidden/>
    <w:qFormat/>
    <w:uiPriority w:val="0"/>
    <w:rPr>
      <w:rFonts w:ascii="Calibri" w:hAnsi="Calibri" w:eastAsia="宋体" w:cs="Times New Roman"/>
      <w:kern w:val="2"/>
      <w:sz w:val="18"/>
      <w:szCs w:val="24"/>
      <w:lang w:val="en-US" w:eastAsia="zh-CN" w:bidi="ar-SA"/>
    </w:rPr>
  </w:style>
  <w:style w:type="paragraph" w:customStyle="1" w:styleId="1467">
    <w:name w:val="编号结尾"/>
    <w:basedOn w:val="19"/>
    <w:next w:val="33"/>
    <w:semiHidden/>
    <w:qFormat/>
    <w:uiPriority w:val="0"/>
    <w:pPr>
      <w:widowControl/>
      <w:tabs>
        <w:tab w:val="left" w:pos="973"/>
        <w:tab w:val="clear" w:pos="540"/>
      </w:tabs>
      <w:overflowPunct w:val="0"/>
      <w:autoSpaceDE w:val="0"/>
      <w:autoSpaceDN w:val="0"/>
      <w:adjustRightInd w:val="0"/>
      <w:spacing w:afterLines="100"/>
      <w:ind w:left="720" w:firstLine="0" w:firstLineChars="0"/>
      <w:jc w:val="left"/>
      <w:textAlignment w:val="baseline"/>
    </w:pPr>
    <w:rPr>
      <w:rFonts w:ascii="Calibri" w:hAnsi="Calibri"/>
      <w:kern w:val="0"/>
      <w:sz w:val="20"/>
      <w:szCs w:val="20"/>
    </w:rPr>
  </w:style>
  <w:style w:type="paragraph" w:customStyle="1" w:styleId="1468">
    <w:name w:val="环评报告书"/>
    <w:basedOn w:val="5"/>
    <w:semiHidden/>
    <w:qFormat/>
    <w:uiPriority w:val="0"/>
    <w:pPr>
      <w:autoSpaceDE w:val="0"/>
      <w:autoSpaceDN w:val="0"/>
      <w:adjustRightInd w:val="0"/>
      <w:spacing w:before="280" w:after="290" w:line="360" w:lineRule="auto"/>
      <w:jc w:val="left"/>
      <w:textAlignment w:val="baseline"/>
      <w:outlineLvl w:val="9"/>
    </w:pPr>
    <w:rPr>
      <w:rFonts w:ascii="Times New Roman" w:hAnsi="Times New Roman"/>
      <w:kern w:val="0"/>
      <w:sz w:val="28"/>
      <w:szCs w:val="20"/>
    </w:rPr>
  </w:style>
  <w:style w:type="paragraph" w:customStyle="1" w:styleId="1469">
    <w:name w:val="编号引导"/>
    <w:basedOn w:val="19"/>
    <w:next w:val="19"/>
    <w:semiHidden/>
    <w:qFormat/>
    <w:uiPriority w:val="0"/>
    <w:pPr>
      <w:widowControl/>
      <w:tabs>
        <w:tab w:val="left" w:pos="973"/>
        <w:tab w:val="clear" w:pos="540"/>
      </w:tabs>
      <w:overflowPunct w:val="0"/>
      <w:autoSpaceDE w:val="0"/>
      <w:autoSpaceDN w:val="0"/>
      <w:adjustRightInd w:val="0"/>
      <w:spacing w:before="80" w:afterLines="100"/>
      <w:ind w:left="720" w:firstLine="0" w:firstLineChars="0"/>
      <w:jc w:val="left"/>
      <w:textAlignment w:val="baseline"/>
    </w:pPr>
    <w:rPr>
      <w:rFonts w:ascii="Calibri" w:hAnsi="Calibri"/>
      <w:kern w:val="0"/>
      <w:sz w:val="20"/>
      <w:szCs w:val="20"/>
    </w:rPr>
  </w:style>
  <w:style w:type="paragraph" w:customStyle="1" w:styleId="1470">
    <w:name w:val="环评标题"/>
    <w:basedOn w:val="1"/>
    <w:semiHidden/>
    <w:qFormat/>
    <w:uiPriority w:val="0"/>
    <w:pPr>
      <w:widowControl/>
      <w:tabs>
        <w:tab w:val="left" w:pos="567"/>
      </w:tabs>
      <w:snapToGrid w:val="0"/>
      <w:spacing w:line="360" w:lineRule="auto"/>
      <w:jc w:val="left"/>
    </w:pPr>
    <w:rPr>
      <w:rFonts w:ascii="Calibri" w:hAnsi="Calibri" w:eastAsia="黑体" w:cs="Times"/>
      <w:kern w:val="0"/>
      <w:sz w:val="24"/>
      <w:szCs w:val="21"/>
    </w:rPr>
  </w:style>
  <w:style w:type="paragraph" w:customStyle="1" w:styleId="1471">
    <w:name w:val="编制正文"/>
    <w:basedOn w:val="1"/>
    <w:semiHidden/>
    <w:qFormat/>
    <w:uiPriority w:val="0"/>
    <w:pPr>
      <w:tabs>
        <w:tab w:val="left" w:pos="0"/>
        <w:tab w:val="left" w:pos="7012"/>
      </w:tabs>
      <w:autoSpaceDE w:val="0"/>
      <w:autoSpaceDN w:val="0"/>
      <w:adjustRightInd w:val="0"/>
      <w:spacing w:before="120" w:after="120" w:line="360" w:lineRule="auto"/>
      <w:ind w:right="210" w:rightChars="100" w:firstLine="480" w:firstLineChars="200"/>
    </w:pPr>
    <w:rPr>
      <w:rFonts w:ascii="Calibri" w:hAnsi="Calibri" w:cs="宋体"/>
      <w:sz w:val="24"/>
      <w:szCs w:val="21"/>
    </w:rPr>
  </w:style>
  <w:style w:type="paragraph" w:customStyle="1" w:styleId="1472">
    <w:name w:val="标-4"/>
    <w:basedOn w:val="1"/>
    <w:semiHidden/>
    <w:qFormat/>
    <w:uiPriority w:val="0"/>
    <w:pPr>
      <w:spacing w:before="120"/>
      <w:ind w:left="851" w:hanging="851"/>
    </w:pPr>
    <w:rPr>
      <w:rFonts w:ascii="Calibri" w:hAnsi="Calibri"/>
      <w:sz w:val="24"/>
      <w:szCs w:val="20"/>
    </w:rPr>
  </w:style>
  <w:style w:type="paragraph" w:customStyle="1" w:styleId="1473">
    <w:name w:val="回信地址"/>
    <w:semiHidden/>
    <w:qFormat/>
    <w:uiPriority w:val="0"/>
    <w:pPr>
      <w:tabs>
        <w:tab w:val="left" w:pos="2160"/>
      </w:tabs>
      <w:spacing w:line="240" w:lineRule="atLeast"/>
      <w:ind w:right="-240"/>
      <w:jc w:val="center"/>
    </w:pPr>
    <w:rPr>
      <w:rFonts w:ascii="Garamond" w:hAnsi="Garamond" w:eastAsia="宋体" w:cs="Times New Roman"/>
      <w:caps/>
      <w:spacing w:val="30"/>
      <w:kern w:val="2"/>
      <w:sz w:val="15"/>
      <w:szCs w:val="21"/>
      <w:lang w:val="en-US" w:eastAsia="zh-CN" w:bidi="ar-SA"/>
    </w:rPr>
  </w:style>
  <w:style w:type="paragraph" w:customStyle="1" w:styleId="1474">
    <w:name w:val="标-7"/>
    <w:basedOn w:val="1"/>
    <w:semiHidden/>
    <w:qFormat/>
    <w:uiPriority w:val="0"/>
    <w:pPr>
      <w:tabs>
        <w:tab w:val="left" w:pos="420"/>
      </w:tabs>
      <w:spacing w:before="120" w:line="360" w:lineRule="auto"/>
      <w:ind w:left="1701" w:hanging="425"/>
    </w:pPr>
    <w:rPr>
      <w:rFonts w:ascii="宋体" w:hAnsi="Calibri"/>
      <w:sz w:val="24"/>
      <w:szCs w:val="20"/>
    </w:rPr>
  </w:style>
  <w:style w:type="paragraph" w:customStyle="1" w:styleId="1475">
    <w:name w:val="标题 0"/>
    <w:basedOn w:val="1"/>
    <w:next w:val="2"/>
    <w:semiHidden/>
    <w:qFormat/>
    <w:uiPriority w:val="0"/>
    <w:pPr>
      <w:tabs>
        <w:tab w:val="left" w:pos="720"/>
      </w:tabs>
      <w:ind w:left="720" w:hanging="720"/>
      <w:jc w:val="center"/>
    </w:pPr>
    <w:rPr>
      <w:rFonts w:ascii="Calibri" w:hAnsi="Calibri" w:eastAsia="隶书"/>
      <w:sz w:val="72"/>
      <w:szCs w:val="20"/>
    </w:rPr>
  </w:style>
  <w:style w:type="paragraph" w:customStyle="1" w:styleId="1476">
    <w:name w:val="基准页眉样式"/>
    <w:basedOn w:val="33"/>
    <w:semiHidden/>
    <w:qFormat/>
    <w:uiPriority w:val="0"/>
    <w:pPr>
      <w:snapToGrid w:val="0"/>
      <w:spacing w:after="0" w:line="620" w:lineRule="exact"/>
      <w:jc w:val="center"/>
    </w:pPr>
    <w:rPr>
      <w:rFonts w:ascii="宋体" w:hAnsi="宋体"/>
      <w:color w:val="000000"/>
      <w:sz w:val="28"/>
    </w:rPr>
  </w:style>
  <w:style w:type="paragraph" w:customStyle="1" w:styleId="1477">
    <w:name w:val="标题 1 + 段前: 0.5 行 段后: 0.5 行1"/>
    <w:basedOn w:val="1"/>
    <w:semiHidden/>
    <w:qFormat/>
    <w:uiPriority w:val="0"/>
    <w:pPr>
      <w:spacing w:before="120" w:after="120"/>
      <w:jc w:val="left"/>
      <w:outlineLvl w:val="0"/>
    </w:pPr>
    <w:rPr>
      <w:rFonts w:ascii="Calibri" w:hAnsi="Calibri" w:eastAsia="黑体" w:cs="宋体"/>
      <w:sz w:val="28"/>
      <w:szCs w:val="20"/>
    </w:rPr>
  </w:style>
  <w:style w:type="paragraph" w:customStyle="1" w:styleId="1478">
    <w:name w:val="标题（2）"/>
    <w:basedOn w:val="3"/>
    <w:semiHidden/>
    <w:qFormat/>
    <w:uiPriority w:val="0"/>
    <w:pPr>
      <w:adjustRightInd w:val="0"/>
      <w:spacing w:beforeLines="50" w:afterLines="50"/>
      <w:ind w:firstLine="200" w:firstLineChars="200"/>
      <w:textAlignment w:val="baseline"/>
    </w:pPr>
    <w:rPr>
      <w:rFonts w:ascii="黑体"/>
      <w:color w:val="000000"/>
      <w:kern w:val="44"/>
      <w:sz w:val="30"/>
      <w:szCs w:val="20"/>
    </w:rPr>
  </w:style>
  <w:style w:type="paragraph" w:customStyle="1" w:styleId="1479">
    <w:name w:val="节副题"/>
    <w:basedOn w:val="3"/>
    <w:semiHidden/>
    <w:qFormat/>
    <w:uiPriority w:val="0"/>
    <w:pPr>
      <w:keepLines w:val="0"/>
      <w:widowControl/>
      <w:tabs>
        <w:tab w:val="left" w:pos="540"/>
      </w:tabs>
      <w:overflowPunct w:val="0"/>
      <w:autoSpaceDE w:val="0"/>
      <w:autoSpaceDN w:val="0"/>
      <w:adjustRightInd w:val="0"/>
      <w:snapToGrid w:val="0"/>
      <w:spacing w:before="160" w:after="0" w:line="240" w:lineRule="auto"/>
      <w:textAlignment w:val="baseline"/>
      <w:outlineLvl w:val="9"/>
    </w:pPr>
    <w:rPr>
      <w:rFonts w:eastAsia="宋体"/>
      <w:bCs w:val="0"/>
      <w:kern w:val="0"/>
      <w:sz w:val="20"/>
      <w:szCs w:val="20"/>
    </w:rPr>
  </w:style>
  <w:style w:type="paragraph" w:customStyle="1" w:styleId="1480">
    <w:name w:val="标题06"/>
    <w:basedOn w:val="1"/>
    <w:semiHidden/>
    <w:qFormat/>
    <w:uiPriority w:val="0"/>
    <w:pPr>
      <w:adjustRightInd w:val="0"/>
      <w:spacing w:before="2040" w:line="400" w:lineRule="atLeast"/>
      <w:textAlignment w:val="baseline"/>
    </w:pPr>
    <w:rPr>
      <w:rFonts w:ascii="Calibri" w:hAnsi="Calibri" w:eastAsia="黑体"/>
      <w:spacing w:val="10"/>
      <w:kern w:val="0"/>
      <w:sz w:val="28"/>
      <w:szCs w:val="20"/>
    </w:rPr>
  </w:style>
  <w:style w:type="paragraph" w:customStyle="1" w:styleId="1481">
    <w:name w:val="居中正文"/>
    <w:basedOn w:val="85"/>
    <w:semiHidden/>
    <w:qFormat/>
    <w:uiPriority w:val="0"/>
    <w:pPr>
      <w:adjustRightInd w:val="0"/>
      <w:snapToGrid w:val="0"/>
      <w:spacing w:before="120" w:afterLines="100"/>
      <w:ind w:firstLine="0" w:firstLineChars="0"/>
      <w:jc w:val="center"/>
    </w:pPr>
    <w:rPr>
      <w:rFonts w:hint="eastAsia" w:ascii="宋体" w:hAnsi="宋体" w:eastAsia="汉鼎简书宋"/>
      <w:kern w:val="28"/>
      <w:szCs w:val="20"/>
    </w:rPr>
  </w:style>
  <w:style w:type="paragraph" w:customStyle="1" w:styleId="1482">
    <w:name w:val="标题11"/>
    <w:basedOn w:val="1"/>
    <w:next w:val="6"/>
    <w:semiHidden/>
    <w:qFormat/>
    <w:uiPriority w:val="0"/>
    <w:pPr>
      <w:spacing w:beforeLines="220" w:afterLines="100" w:afterAutospacing="1" w:line="360" w:lineRule="auto"/>
      <w:jc w:val="left"/>
    </w:pPr>
    <w:rPr>
      <w:rFonts w:ascii="Calibri" w:hAnsi="Calibri"/>
      <w:b/>
      <w:sz w:val="44"/>
      <w:szCs w:val="44"/>
    </w:rPr>
  </w:style>
  <w:style w:type="paragraph" w:customStyle="1" w:styleId="1483">
    <w:name w:val="可研文字 Char"/>
    <w:basedOn w:val="1"/>
    <w:semiHidden/>
    <w:qFormat/>
    <w:uiPriority w:val="0"/>
    <w:pPr>
      <w:spacing w:line="360" w:lineRule="auto"/>
      <w:ind w:firstLine="554" w:firstLineChars="200"/>
    </w:pPr>
    <w:rPr>
      <w:rFonts w:ascii="宋体" w:hAnsi="宋体"/>
      <w:kern w:val="32"/>
      <w:sz w:val="28"/>
      <w:szCs w:val="32"/>
    </w:rPr>
  </w:style>
  <w:style w:type="paragraph" w:customStyle="1" w:styleId="1484">
    <w:name w:val="标题1x"/>
    <w:basedOn w:val="1"/>
    <w:semiHidden/>
    <w:qFormat/>
    <w:uiPriority w:val="0"/>
    <w:pPr>
      <w:keepNext/>
      <w:keepLines/>
      <w:spacing w:before="120" w:line="578" w:lineRule="auto"/>
      <w:outlineLvl w:val="0"/>
    </w:pPr>
    <w:rPr>
      <w:rFonts w:ascii="Calibri" w:hAnsi="Calibri" w:eastAsia="黑体"/>
      <w:b/>
      <w:bCs/>
      <w:kern w:val="44"/>
      <w:sz w:val="32"/>
      <w:szCs w:val="32"/>
    </w:rPr>
  </w:style>
  <w:style w:type="paragraph" w:customStyle="1" w:styleId="1485">
    <w:name w:val="标题1王"/>
    <w:basedOn w:val="1"/>
    <w:semiHidden/>
    <w:qFormat/>
    <w:uiPriority w:val="0"/>
    <w:pPr>
      <w:spacing w:before="50" w:after="50" w:line="440" w:lineRule="exact"/>
      <w:ind w:firstLine="200" w:firstLineChars="200"/>
      <w:jc w:val="left"/>
      <w:outlineLvl w:val="0"/>
    </w:pPr>
    <w:rPr>
      <w:rFonts w:ascii="Arial" w:hAnsi="Arial"/>
      <w:b/>
      <w:color w:val="000000"/>
      <w:kern w:val="0"/>
      <w:sz w:val="24"/>
      <w:szCs w:val="20"/>
    </w:rPr>
  </w:style>
  <w:style w:type="paragraph" w:customStyle="1" w:styleId="1486">
    <w:name w:val="标题1样式"/>
    <w:basedOn w:val="2"/>
    <w:semiHidden/>
    <w:qFormat/>
    <w:uiPriority w:val="0"/>
    <w:pPr>
      <w:widowControl/>
      <w:spacing w:before="0" w:after="0" w:line="500" w:lineRule="exact"/>
    </w:pPr>
    <w:rPr>
      <w:rFonts w:ascii="宋体" w:hAnsi="宋体" w:eastAsia="黑体"/>
      <w:kern w:val="2"/>
      <w:sz w:val="24"/>
    </w:rPr>
  </w:style>
  <w:style w:type="paragraph" w:customStyle="1" w:styleId="1487">
    <w:name w:val="内容"/>
    <w:basedOn w:val="86"/>
    <w:semiHidden/>
    <w:qFormat/>
    <w:uiPriority w:val="0"/>
    <w:pPr>
      <w:keepNext/>
      <w:spacing w:after="0" w:line="500" w:lineRule="exact"/>
      <w:ind w:left="0" w:leftChars="0" w:firstLine="200"/>
    </w:pPr>
    <w:rPr>
      <w:rFonts w:ascii="Calibri" w:hAnsi="Calibri"/>
      <w:sz w:val="28"/>
      <w:szCs w:val="28"/>
    </w:rPr>
  </w:style>
  <w:style w:type="paragraph" w:customStyle="1" w:styleId="1488">
    <w:name w:val="标题2.2"/>
    <w:basedOn w:val="1"/>
    <w:semiHidden/>
    <w:qFormat/>
    <w:uiPriority w:val="0"/>
    <w:pPr>
      <w:spacing w:line="360" w:lineRule="auto"/>
    </w:pPr>
    <w:rPr>
      <w:rFonts w:ascii="Calibri" w:hAnsi="Calibri"/>
      <w:b/>
      <w:sz w:val="32"/>
      <w:szCs w:val="32"/>
    </w:rPr>
  </w:style>
  <w:style w:type="paragraph" w:customStyle="1" w:styleId="1489">
    <w:name w:val="可研正文"/>
    <w:basedOn w:val="1"/>
    <w:semiHidden/>
    <w:qFormat/>
    <w:uiPriority w:val="0"/>
    <w:pPr>
      <w:spacing w:line="440" w:lineRule="exact"/>
      <w:ind w:firstLine="563" w:firstLineChars="201"/>
      <w:jc w:val="left"/>
    </w:pPr>
    <w:rPr>
      <w:rFonts w:ascii="宋体" w:hAnsi="宋体"/>
      <w:bCs/>
      <w:color w:val="000000"/>
      <w:sz w:val="28"/>
      <w:szCs w:val="28"/>
    </w:rPr>
  </w:style>
  <w:style w:type="paragraph" w:customStyle="1" w:styleId="1490">
    <w:name w:val="标题2x"/>
    <w:basedOn w:val="1"/>
    <w:semiHidden/>
    <w:qFormat/>
    <w:uiPriority w:val="0"/>
    <w:pPr>
      <w:keepNext/>
      <w:keepLines/>
      <w:spacing w:before="120" w:line="360" w:lineRule="auto"/>
      <w:outlineLvl w:val="1"/>
    </w:pPr>
    <w:rPr>
      <w:rFonts w:ascii="Calibri" w:hAnsi="Calibri"/>
      <w:b/>
      <w:bCs/>
      <w:color w:val="000000"/>
      <w:sz w:val="28"/>
      <w:szCs w:val="28"/>
      <w:lang w:val="zh-CN"/>
    </w:rPr>
  </w:style>
  <w:style w:type="paragraph" w:customStyle="1" w:styleId="1491">
    <w:name w:val="偶数页脚注"/>
    <w:basedOn w:val="54"/>
    <w:semiHidden/>
    <w:qFormat/>
    <w:uiPriority w:val="0"/>
    <w:pPr>
      <w:keepLines/>
      <w:widowControl/>
      <w:pBdr>
        <w:top w:val="single" w:color="auto" w:sz="8" w:space="1"/>
      </w:pBdr>
      <w:tabs>
        <w:tab w:val="right" w:pos="0"/>
        <w:tab w:val="center" w:pos="7200"/>
        <w:tab w:val="right" w:pos="14400"/>
        <w:tab w:val="clear" w:pos="4153"/>
        <w:tab w:val="clear" w:pos="8306"/>
      </w:tabs>
      <w:overflowPunct w:val="0"/>
      <w:autoSpaceDE w:val="0"/>
      <w:autoSpaceDN w:val="0"/>
      <w:adjustRightInd w:val="0"/>
      <w:snapToGrid/>
      <w:jc w:val="right"/>
      <w:textAlignment w:val="baseline"/>
    </w:pPr>
    <w:rPr>
      <w:rFonts w:ascii="Calibri" w:hAnsi="Calibri"/>
      <w:spacing w:val="80"/>
      <w:sz w:val="20"/>
      <w:szCs w:val="20"/>
    </w:rPr>
  </w:style>
  <w:style w:type="paragraph" w:customStyle="1" w:styleId="1492">
    <w:name w:val="库文"/>
    <w:basedOn w:val="44"/>
    <w:semiHidden/>
    <w:qFormat/>
    <w:uiPriority w:val="0"/>
    <w:rPr>
      <w:rFonts w:ascii="宋体" w:hAnsi="Courier New" w:cs="Times New Roman"/>
      <w:szCs w:val="18"/>
    </w:rPr>
  </w:style>
  <w:style w:type="paragraph" w:customStyle="1" w:styleId="1493">
    <w:name w:val="偶数页眉"/>
    <w:basedOn w:val="56"/>
    <w:semiHidden/>
    <w:qFormat/>
    <w:uiPriority w:val="0"/>
    <w:pPr>
      <w:widowControl/>
      <w:pBdr>
        <w:bottom w:val="thinThickSmallGap" w:color="auto" w:sz="12" w:space="1"/>
      </w:pBdr>
      <w:adjustRightInd w:val="0"/>
      <w:ind w:firstLine="480" w:firstLineChars="200"/>
      <w:jc w:val="left"/>
    </w:pPr>
    <w:rPr>
      <w:rFonts w:ascii="宋体" w:hAnsi="Calibri"/>
      <w:i/>
      <w:iCs/>
      <w:sz w:val="24"/>
    </w:rPr>
  </w:style>
  <w:style w:type="paragraph" w:customStyle="1" w:styleId="1494">
    <w:name w:val="标题2付"/>
    <w:basedOn w:val="3"/>
    <w:semiHidden/>
    <w:qFormat/>
    <w:uiPriority w:val="0"/>
    <w:pPr>
      <w:spacing w:before="0" w:after="0" w:line="500" w:lineRule="exact"/>
    </w:pPr>
    <w:rPr>
      <w:rFonts w:ascii="Cambria" w:hAnsi="Cambria"/>
      <w:b w:val="0"/>
      <w:color w:val="000000"/>
      <w:sz w:val="28"/>
      <w:szCs w:val="28"/>
    </w:rPr>
  </w:style>
  <w:style w:type="paragraph" w:customStyle="1" w:styleId="1495">
    <w:name w:val="偶数页篇眉"/>
    <w:basedOn w:val="56"/>
    <w:semiHidden/>
    <w:qFormat/>
    <w:uiPriority w:val="0"/>
    <w:pPr>
      <w:keepLines/>
      <w:widowControl/>
      <w:pBdr>
        <w:bottom w:val="none" w:color="auto" w:sz="0" w:space="0"/>
      </w:pBdr>
      <w:tabs>
        <w:tab w:val="right" w:pos="0"/>
        <w:tab w:val="center" w:pos="7200"/>
        <w:tab w:val="right" w:pos="14400"/>
        <w:tab w:val="clear" w:pos="4153"/>
        <w:tab w:val="clear" w:pos="8306"/>
      </w:tabs>
      <w:overflowPunct w:val="0"/>
      <w:autoSpaceDE w:val="0"/>
      <w:autoSpaceDN w:val="0"/>
      <w:adjustRightInd w:val="0"/>
      <w:snapToGrid/>
      <w:jc w:val="right"/>
      <w:textAlignment w:val="baseline"/>
    </w:pPr>
    <w:rPr>
      <w:rFonts w:ascii="Calibri" w:hAnsi="Calibri"/>
      <w:spacing w:val="80"/>
      <w:sz w:val="20"/>
      <w:szCs w:val="20"/>
    </w:rPr>
  </w:style>
  <w:style w:type="paragraph" w:customStyle="1" w:styleId="1496">
    <w:name w:val="标题2样式"/>
    <w:basedOn w:val="3"/>
    <w:semiHidden/>
    <w:qFormat/>
    <w:uiPriority w:val="0"/>
    <w:pPr>
      <w:spacing w:before="0" w:after="0"/>
    </w:pPr>
    <w:rPr>
      <w:rFonts w:ascii="黑体"/>
      <w:sz w:val="24"/>
    </w:rPr>
  </w:style>
  <w:style w:type="paragraph" w:customStyle="1" w:styleId="1497">
    <w:name w:val="块引用"/>
    <w:basedOn w:val="1"/>
    <w:semiHidden/>
    <w:qFormat/>
    <w:uiPriority w:val="0"/>
    <w:pPr>
      <w:keepLines/>
      <w:widowControl/>
      <w:overflowPunct w:val="0"/>
      <w:autoSpaceDE w:val="0"/>
      <w:autoSpaceDN w:val="0"/>
      <w:adjustRightInd w:val="0"/>
      <w:ind w:left="360" w:right="360"/>
      <w:jc w:val="center"/>
      <w:textAlignment w:val="baseline"/>
    </w:pPr>
    <w:rPr>
      <w:rFonts w:ascii="Calibri" w:hAnsi="Calibri"/>
      <w:i/>
      <w:sz w:val="20"/>
      <w:szCs w:val="20"/>
    </w:rPr>
  </w:style>
  <w:style w:type="paragraph" w:customStyle="1" w:styleId="1498">
    <w:name w:val="排序（1）（2）"/>
    <w:basedOn w:val="1"/>
    <w:semiHidden/>
    <w:qFormat/>
    <w:uiPriority w:val="0"/>
    <w:pPr>
      <w:spacing w:line="460" w:lineRule="atLeast"/>
    </w:pPr>
    <w:rPr>
      <w:rFonts w:ascii="Calibri" w:hAnsi="Calibri"/>
      <w:spacing w:val="12"/>
      <w:sz w:val="24"/>
      <w:szCs w:val="21"/>
    </w:rPr>
  </w:style>
  <w:style w:type="paragraph" w:customStyle="1" w:styleId="1499">
    <w:name w:val="标题3x"/>
    <w:basedOn w:val="1"/>
    <w:semiHidden/>
    <w:qFormat/>
    <w:uiPriority w:val="0"/>
    <w:pPr>
      <w:keepNext/>
      <w:keepLines/>
      <w:spacing w:before="120" w:line="360" w:lineRule="auto"/>
      <w:outlineLvl w:val="2"/>
    </w:pPr>
    <w:rPr>
      <w:rFonts w:ascii="Calibri" w:hAnsi="Calibri"/>
      <w:szCs w:val="21"/>
    </w:rPr>
  </w:style>
  <w:style w:type="paragraph" w:customStyle="1" w:styleId="1500">
    <w:name w:val="普通 (Web)"/>
    <w:basedOn w:val="1"/>
    <w:semiHidden/>
    <w:qFormat/>
    <w:uiPriority w:val="0"/>
    <w:pPr>
      <w:widowControl/>
      <w:spacing w:before="100" w:beforeAutospacing="1" w:after="100" w:afterAutospacing="1"/>
      <w:jc w:val="left"/>
    </w:pPr>
    <w:rPr>
      <w:rFonts w:ascii="宋体" w:hAnsi="宋体"/>
      <w:kern w:val="0"/>
      <w:sz w:val="24"/>
      <w:szCs w:val="21"/>
    </w:rPr>
  </w:style>
  <w:style w:type="paragraph" w:customStyle="1" w:styleId="1501">
    <w:name w:val="标题3xx"/>
    <w:basedOn w:val="2"/>
    <w:semiHidden/>
    <w:qFormat/>
    <w:uiPriority w:val="0"/>
    <w:pPr>
      <w:adjustRightInd w:val="0"/>
      <w:spacing w:line="578" w:lineRule="auto"/>
      <w:textAlignment w:val="baseline"/>
      <w:outlineLvl w:val="2"/>
    </w:pPr>
    <w:rPr>
      <w:rFonts w:ascii="黑体" w:hAnsi="Calibri" w:eastAsia="黑体"/>
      <w:b w:val="0"/>
      <w:bCs w:val="0"/>
      <w:color w:val="000000"/>
      <w:sz w:val="24"/>
      <w:szCs w:val="24"/>
    </w:rPr>
  </w:style>
  <w:style w:type="paragraph" w:customStyle="1" w:styleId="1502">
    <w:name w:val="评注"/>
    <w:basedOn w:val="1"/>
    <w:semiHidden/>
    <w:qFormat/>
    <w:uiPriority w:val="0"/>
    <w:pPr>
      <w:spacing w:beforeLines="20"/>
      <w:ind w:firstLine="360" w:firstLineChars="200"/>
    </w:pPr>
    <w:rPr>
      <w:rFonts w:ascii="Calibri" w:hAnsi="Calibri" w:cs="宋体"/>
      <w:sz w:val="18"/>
      <w:szCs w:val="18"/>
    </w:rPr>
  </w:style>
  <w:style w:type="paragraph" w:customStyle="1" w:styleId="1503">
    <w:name w:val="标题3样式"/>
    <w:basedOn w:val="4"/>
    <w:semiHidden/>
    <w:qFormat/>
    <w:uiPriority w:val="0"/>
    <w:pPr>
      <w:spacing w:before="0" w:after="0"/>
    </w:pPr>
    <w:rPr>
      <w:rFonts w:ascii="黑体" w:hAnsi="Calibri" w:eastAsia="黑体"/>
      <w:b w:val="0"/>
      <w:kern w:val="0"/>
      <w:sz w:val="24"/>
    </w:rPr>
  </w:style>
  <w:style w:type="paragraph" w:customStyle="1" w:styleId="1504">
    <w:name w:val="标题4（1）"/>
    <w:basedOn w:val="1"/>
    <w:semiHidden/>
    <w:qFormat/>
    <w:uiPriority w:val="0"/>
    <w:pPr>
      <w:keepNext/>
      <w:keepLines/>
      <w:spacing w:line="360" w:lineRule="auto"/>
      <w:jc w:val="left"/>
      <w:outlineLvl w:val="3"/>
    </w:pPr>
    <w:rPr>
      <w:rFonts w:ascii="宋体" w:hAnsi="Cambria"/>
      <w:bCs/>
      <w:kern w:val="44"/>
      <w:sz w:val="24"/>
      <w:szCs w:val="44"/>
    </w:rPr>
  </w:style>
  <w:style w:type="paragraph" w:customStyle="1" w:styleId="1505">
    <w:name w:val="普通(网站)1"/>
    <w:basedOn w:val="1"/>
    <w:semiHidden/>
    <w:qFormat/>
    <w:uiPriority w:val="0"/>
    <w:pPr>
      <w:adjustRightInd w:val="0"/>
      <w:spacing w:line="360" w:lineRule="auto"/>
      <w:ind w:firstLine="420" w:firstLineChars="200"/>
      <w:textAlignment w:val="baseline"/>
    </w:pPr>
    <w:rPr>
      <w:rFonts w:ascii="Calibri" w:hAnsi="Calibri"/>
      <w:sz w:val="24"/>
      <w:szCs w:val="20"/>
    </w:rPr>
  </w:style>
  <w:style w:type="paragraph" w:customStyle="1" w:styleId="1506">
    <w:name w:val="标题4x"/>
    <w:basedOn w:val="1"/>
    <w:semiHidden/>
    <w:qFormat/>
    <w:uiPriority w:val="0"/>
    <w:pPr>
      <w:keepNext/>
      <w:keepLines/>
      <w:spacing w:before="120" w:line="360" w:lineRule="auto"/>
      <w:outlineLvl w:val="3"/>
    </w:pPr>
    <w:rPr>
      <w:rFonts w:ascii="黑体" w:hAnsi="Cambria" w:eastAsia="黑体"/>
      <w:b/>
      <w:bCs/>
      <w:color w:val="000000"/>
      <w:kern w:val="44"/>
      <w:sz w:val="24"/>
      <w:szCs w:val="44"/>
      <w:lang w:val="zh-CN"/>
    </w:rPr>
  </w:style>
  <w:style w:type="paragraph" w:customStyle="1" w:styleId="1507">
    <w:name w:val="奇数页脚"/>
    <w:basedOn w:val="54"/>
    <w:semiHidden/>
    <w:qFormat/>
    <w:uiPriority w:val="0"/>
    <w:pPr>
      <w:widowControl/>
      <w:pBdr>
        <w:top w:val="single" w:color="auto" w:sz="8" w:space="1"/>
      </w:pBdr>
      <w:tabs>
        <w:tab w:val="center" w:pos="4320"/>
        <w:tab w:val="right" w:pos="8640"/>
        <w:tab w:val="clear" w:pos="4153"/>
        <w:tab w:val="clear" w:pos="8306"/>
      </w:tabs>
      <w:adjustRightInd w:val="0"/>
      <w:spacing w:line="360" w:lineRule="auto"/>
      <w:ind w:firstLine="480" w:firstLineChars="200"/>
      <w:jc w:val="right"/>
    </w:pPr>
    <w:rPr>
      <w:rFonts w:ascii="宋体" w:hAnsi="Calibri"/>
      <w:i/>
      <w:sz w:val="24"/>
    </w:rPr>
  </w:style>
  <w:style w:type="paragraph" w:customStyle="1" w:styleId="1508">
    <w:name w:val="标题4付"/>
    <w:basedOn w:val="1"/>
    <w:next w:val="1"/>
    <w:semiHidden/>
    <w:qFormat/>
    <w:uiPriority w:val="0"/>
    <w:pPr>
      <w:keepNext/>
      <w:keepLines/>
      <w:spacing w:before="120" w:afterLines="100"/>
      <w:jc w:val="left"/>
      <w:outlineLvl w:val="3"/>
    </w:pPr>
    <w:rPr>
      <w:rFonts w:ascii="黑体" w:hAnsi="Calibri" w:eastAsia="黑体"/>
      <w:sz w:val="24"/>
      <w:szCs w:val="21"/>
    </w:rPr>
  </w:style>
  <w:style w:type="paragraph" w:customStyle="1" w:styleId="1509">
    <w:name w:val="奇数页脚注"/>
    <w:basedOn w:val="54"/>
    <w:semiHidden/>
    <w:qFormat/>
    <w:uiPriority w:val="0"/>
    <w:pPr>
      <w:keepLines/>
      <w:widowControl/>
      <w:pBdr>
        <w:top w:val="single" w:color="auto" w:sz="8" w:space="1"/>
      </w:pBdr>
      <w:tabs>
        <w:tab w:val="center" w:pos="7200"/>
        <w:tab w:val="right" w:pos="14400"/>
        <w:tab w:val="clear" w:pos="4153"/>
        <w:tab w:val="clear" w:pos="8306"/>
      </w:tabs>
      <w:overflowPunct w:val="0"/>
      <w:autoSpaceDE w:val="0"/>
      <w:autoSpaceDN w:val="0"/>
      <w:adjustRightInd w:val="0"/>
      <w:snapToGrid/>
      <w:jc w:val="center"/>
      <w:textAlignment w:val="baseline"/>
    </w:pPr>
    <w:rPr>
      <w:rFonts w:ascii="Calibri" w:hAnsi="Calibri"/>
      <w:spacing w:val="80"/>
      <w:sz w:val="20"/>
      <w:szCs w:val="20"/>
    </w:rPr>
  </w:style>
  <w:style w:type="paragraph" w:customStyle="1" w:styleId="1510">
    <w:name w:val="标题4附"/>
    <w:basedOn w:val="1"/>
    <w:next w:val="1"/>
    <w:semiHidden/>
    <w:qFormat/>
    <w:uiPriority w:val="0"/>
    <w:pPr>
      <w:spacing w:beforeLines="50" w:afterLines="50" w:line="360" w:lineRule="auto"/>
      <w:jc w:val="left"/>
      <w:outlineLvl w:val="3"/>
    </w:pPr>
    <w:rPr>
      <w:rFonts w:ascii="宋体" w:hAnsi="Calibri"/>
      <w:b/>
      <w:color w:val="000000"/>
      <w:sz w:val="24"/>
      <w:szCs w:val="21"/>
    </w:rPr>
  </w:style>
  <w:style w:type="paragraph" w:customStyle="1" w:styleId="1511">
    <w:name w:val="奇数页眉"/>
    <w:basedOn w:val="56"/>
    <w:semiHidden/>
    <w:qFormat/>
    <w:uiPriority w:val="0"/>
    <w:pPr>
      <w:widowControl/>
      <w:pBdr>
        <w:bottom w:val="thinThickSmallGap" w:color="auto" w:sz="12" w:space="1"/>
      </w:pBdr>
      <w:adjustRightInd w:val="0"/>
      <w:ind w:firstLine="480" w:firstLineChars="200"/>
      <w:jc w:val="right"/>
    </w:pPr>
    <w:rPr>
      <w:rFonts w:ascii="宋体" w:hAnsi="Calibri"/>
      <w:i/>
      <w:iCs/>
      <w:sz w:val="24"/>
    </w:rPr>
  </w:style>
  <w:style w:type="paragraph" w:customStyle="1" w:styleId="1512">
    <w:name w:val="标题4样式"/>
    <w:basedOn w:val="5"/>
    <w:semiHidden/>
    <w:qFormat/>
    <w:uiPriority w:val="0"/>
    <w:pPr>
      <w:widowControl/>
      <w:autoSpaceDE w:val="0"/>
      <w:autoSpaceDN w:val="0"/>
      <w:adjustRightInd w:val="0"/>
      <w:spacing w:line="360" w:lineRule="auto"/>
      <w:jc w:val="left"/>
      <w:textAlignment w:val="baseline"/>
    </w:pPr>
    <w:rPr>
      <w:rFonts w:ascii="黑体" w:hAnsi="Cambria"/>
      <w:b/>
      <w:bCs w:val="0"/>
      <w:kern w:val="0"/>
      <w:szCs w:val="20"/>
    </w:rPr>
  </w:style>
  <w:style w:type="paragraph" w:customStyle="1" w:styleId="1513">
    <w:name w:val="标题5"/>
    <w:next w:val="20"/>
    <w:semiHidden/>
    <w:qFormat/>
    <w:uiPriority w:val="0"/>
    <w:pPr>
      <w:spacing w:line="360" w:lineRule="auto"/>
    </w:pPr>
    <w:rPr>
      <w:rFonts w:ascii="宋体" w:hAnsi="宋体" w:eastAsia="宋体" w:cs="Times New Roman"/>
      <w:b/>
      <w:bCs/>
      <w:kern w:val="2"/>
      <w:sz w:val="24"/>
      <w:szCs w:val="24"/>
      <w:lang w:val="en-US" w:eastAsia="zh-CN" w:bidi="ar-SA"/>
    </w:rPr>
  </w:style>
  <w:style w:type="paragraph" w:customStyle="1" w:styleId="1514">
    <w:name w:val="奇数页篇眉"/>
    <w:basedOn w:val="56"/>
    <w:semiHidden/>
    <w:qFormat/>
    <w:uiPriority w:val="0"/>
    <w:pPr>
      <w:keepLines/>
      <w:widowControl/>
      <w:pBdr>
        <w:bottom w:val="none" w:color="auto" w:sz="0" w:space="0"/>
      </w:pBdr>
      <w:tabs>
        <w:tab w:val="center" w:pos="7200"/>
        <w:tab w:val="right" w:pos="14400"/>
        <w:tab w:val="clear" w:pos="4153"/>
        <w:tab w:val="clear" w:pos="8306"/>
      </w:tabs>
      <w:overflowPunct w:val="0"/>
      <w:autoSpaceDE w:val="0"/>
      <w:autoSpaceDN w:val="0"/>
      <w:adjustRightInd w:val="0"/>
      <w:snapToGrid/>
      <w:textAlignment w:val="baseline"/>
    </w:pPr>
    <w:rPr>
      <w:rFonts w:ascii="Calibri" w:hAnsi="Calibri"/>
      <w:spacing w:val="80"/>
      <w:sz w:val="20"/>
      <w:szCs w:val="20"/>
    </w:rPr>
  </w:style>
  <w:style w:type="paragraph" w:customStyle="1" w:styleId="1515">
    <w:name w:val="标题8"/>
    <w:basedOn w:val="1"/>
    <w:next w:val="1"/>
    <w:semiHidden/>
    <w:qFormat/>
    <w:uiPriority w:val="0"/>
    <w:pPr>
      <w:tabs>
        <w:tab w:val="left" w:pos="425"/>
        <w:tab w:val="left" w:pos="851"/>
      </w:tabs>
      <w:spacing w:after="120" w:line="400" w:lineRule="exact"/>
      <w:ind w:left="851" w:hanging="851"/>
    </w:pPr>
    <w:rPr>
      <w:rFonts w:ascii="Arial" w:hAnsi="Arial"/>
      <w:szCs w:val="20"/>
    </w:rPr>
  </w:style>
  <w:style w:type="paragraph" w:customStyle="1" w:styleId="1516">
    <w:name w:val="前言、引言标题"/>
    <w:next w:val="1"/>
    <w:semiHidden/>
    <w:qFormat/>
    <w:uiPriority w:val="0"/>
    <w:pPr>
      <w:shd w:val="clear" w:color="FFFFFF" w:fill="FFFFFF"/>
      <w:tabs>
        <w:tab w:val="left" w:pos="903"/>
      </w:tabs>
      <w:spacing w:before="640" w:after="560"/>
      <w:ind w:left="903" w:hanging="315"/>
      <w:jc w:val="center"/>
      <w:outlineLvl w:val="0"/>
    </w:pPr>
    <w:rPr>
      <w:rFonts w:ascii="黑体" w:hAnsi="Calibri" w:eastAsia="黑体" w:cs="Times New Roman"/>
      <w:kern w:val="2"/>
      <w:sz w:val="32"/>
      <w:szCs w:val="21"/>
      <w:lang w:val="en-US" w:eastAsia="zh-CN" w:bidi="ar-SA"/>
    </w:rPr>
  </w:style>
  <w:style w:type="paragraph" w:customStyle="1" w:styleId="1517">
    <w:name w:val="标题B"/>
    <w:basedOn w:val="3"/>
    <w:next w:val="3"/>
    <w:semiHidden/>
    <w:qFormat/>
    <w:uiPriority w:val="0"/>
    <w:pPr>
      <w:keepNext w:val="0"/>
      <w:spacing w:line="460" w:lineRule="exact"/>
      <w:ind w:firstLine="200" w:firstLineChars="200"/>
    </w:pPr>
    <w:rPr>
      <w:rFonts w:ascii="宋体" w:eastAsia="宋体"/>
      <w:color w:val="000000"/>
      <w:sz w:val="21"/>
      <w:szCs w:val="24"/>
    </w:rPr>
  </w:style>
  <w:style w:type="paragraph" w:customStyle="1" w:styleId="1518">
    <w:name w:val="清除格式"/>
    <w:basedOn w:val="1"/>
    <w:semiHidden/>
    <w:qFormat/>
    <w:uiPriority w:val="0"/>
    <w:pPr>
      <w:spacing w:line="360" w:lineRule="auto"/>
      <w:ind w:firstLine="200" w:firstLineChars="200"/>
    </w:pPr>
    <w:rPr>
      <w:rFonts w:ascii="宋体" w:hAnsi="宋体"/>
      <w:color w:val="000000"/>
      <w:sz w:val="24"/>
      <w:szCs w:val="21"/>
    </w:rPr>
  </w:style>
  <w:style w:type="paragraph" w:customStyle="1" w:styleId="1519">
    <w:name w:val="标题C"/>
    <w:basedOn w:val="4"/>
    <w:semiHidden/>
    <w:qFormat/>
    <w:uiPriority w:val="0"/>
    <w:pPr>
      <w:spacing w:line="240" w:lineRule="auto"/>
      <w:ind w:firstLine="200" w:firstLineChars="200"/>
    </w:pPr>
    <w:rPr>
      <w:rFonts w:ascii="宋体" w:hAnsi="Calibri"/>
      <w:color w:val="000000"/>
      <w:kern w:val="0"/>
      <w:sz w:val="24"/>
    </w:rPr>
  </w:style>
  <w:style w:type="paragraph" w:customStyle="1" w:styleId="1520">
    <w:name w:val="请勿折叠！"/>
    <w:semiHidden/>
    <w:qFormat/>
    <w:uiPriority w:val="0"/>
    <w:pPr>
      <w:widowControl w:val="0"/>
      <w:jc w:val="both"/>
    </w:pPr>
    <w:rPr>
      <w:rFonts w:ascii="Calibri" w:hAnsi="Calibri" w:eastAsia="宋体" w:cs="Times New Roman"/>
      <w:kern w:val="2"/>
      <w:sz w:val="21"/>
      <w:szCs w:val="24"/>
      <w:lang w:val="en-US" w:eastAsia="zh-CN" w:bidi="ar-SA"/>
    </w:rPr>
  </w:style>
  <w:style w:type="paragraph" w:customStyle="1" w:styleId="1521">
    <w:name w:val="标题dh3"/>
    <w:basedOn w:val="1"/>
    <w:semiHidden/>
    <w:qFormat/>
    <w:uiPriority w:val="0"/>
    <w:pPr>
      <w:spacing w:line="520" w:lineRule="exact"/>
      <w:ind w:firstLine="482"/>
    </w:pPr>
    <w:rPr>
      <w:rFonts w:ascii="宋体" w:hAnsi="Calibri"/>
      <w:sz w:val="24"/>
      <w:szCs w:val="20"/>
    </w:rPr>
  </w:style>
  <w:style w:type="paragraph" w:customStyle="1" w:styleId="1522">
    <w:name w:val="热电厂正文 Char"/>
    <w:basedOn w:val="1"/>
    <w:semiHidden/>
    <w:qFormat/>
    <w:uiPriority w:val="0"/>
    <w:pPr>
      <w:spacing w:line="440" w:lineRule="exact"/>
      <w:ind w:firstLine="480" w:firstLineChars="200"/>
    </w:pPr>
    <w:rPr>
      <w:rFonts w:ascii="Calibri" w:hAnsi="Calibri"/>
      <w:sz w:val="24"/>
      <w:szCs w:val="20"/>
    </w:rPr>
  </w:style>
  <w:style w:type="paragraph" w:customStyle="1" w:styleId="1523">
    <w:name w:val="标题二"/>
    <w:basedOn w:val="1"/>
    <w:next w:val="1"/>
    <w:semiHidden/>
    <w:qFormat/>
    <w:uiPriority w:val="0"/>
    <w:pPr>
      <w:spacing w:afterLines="100" w:line="560" w:lineRule="exact"/>
      <w:ind w:firstLine="200" w:firstLineChars="200"/>
      <w:jc w:val="left"/>
    </w:pPr>
    <w:rPr>
      <w:rFonts w:ascii="宋体" w:hAnsi="宋体"/>
      <w:color w:val="000000"/>
      <w:sz w:val="24"/>
      <w:szCs w:val="21"/>
    </w:rPr>
  </w:style>
  <w:style w:type="paragraph" w:customStyle="1" w:styleId="1524">
    <w:name w:val="日期11"/>
    <w:basedOn w:val="1"/>
    <w:next w:val="1"/>
    <w:semiHidden/>
    <w:qFormat/>
    <w:uiPriority w:val="0"/>
    <w:pPr>
      <w:adjustRightInd w:val="0"/>
      <w:textAlignment w:val="baseline"/>
    </w:pPr>
    <w:rPr>
      <w:rFonts w:ascii="Calibri" w:hAnsi="Calibri"/>
      <w:szCs w:val="20"/>
    </w:rPr>
  </w:style>
  <w:style w:type="paragraph" w:customStyle="1" w:styleId="1525">
    <w:name w:val="标题符"/>
    <w:basedOn w:val="1"/>
    <w:semiHidden/>
    <w:qFormat/>
    <w:uiPriority w:val="0"/>
    <w:pPr>
      <w:tabs>
        <w:tab w:val="left" w:pos="360"/>
      </w:tabs>
      <w:overflowPunct w:val="0"/>
      <w:snapToGrid w:val="0"/>
      <w:spacing w:line="480" w:lineRule="exact"/>
      <w:ind w:firstLine="560" w:firstLineChars="200"/>
    </w:pPr>
    <w:rPr>
      <w:rFonts w:ascii="Arial" w:hAnsi="Arial" w:eastAsia="仿宋_GB2312"/>
      <w:sz w:val="28"/>
      <w:szCs w:val="20"/>
    </w:rPr>
  </w:style>
  <w:style w:type="paragraph" w:customStyle="1" w:styleId="1526">
    <w:name w:val="热电厂正文 Char Char Char Char"/>
    <w:basedOn w:val="1"/>
    <w:semiHidden/>
    <w:qFormat/>
    <w:uiPriority w:val="0"/>
    <w:pPr>
      <w:spacing w:line="440" w:lineRule="exact"/>
      <w:ind w:firstLine="480" w:firstLineChars="200"/>
    </w:pPr>
    <w:rPr>
      <w:rFonts w:ascii="Calibri" w:hAnsi="Calibri"/>
      <w:sz w:val="24"/>
      <w:szCs w:val="20"/>
    </w:rPr>
  </w:style>
  <w:style w:type="paragraph" w:customStyle="1" w:styleId="1527">
    <w:name w:val="标题五"/>
    <w:basedOn w:val="1"/>
    <w:semiHidden/>
    <w:qFormat/>
    <w:uiPriority w:val="0"/>
    <w:pPr>
      <w:tabs>
        <w:tab w:val="left" w:pos="620"/>
        <w:tab w:val="left" w:pos="2007"/>
      </w:tabs>
      <w:ind w:left="620" w:firstLine="567"/>
    </w:pPr>
    <w:rPr>
      <w:rFonts w:ascii="Calibri" w:hAnsi="Calibri"/>
      <w:sz w:val="28"/>
      <w:szCs w:val="20"/>
    </w:rPr>
  </w:style>
  <w:style w:type="paragraph" w:customStyle="1" w:styleId="1528">
    <w:name w:val="三级dan"/>
    <w:basedOn w:val="1"/>
    <w:next w:val="1"/>
    <w:semiHidden/>
    <w:qFormat/>
    <w:uiPriority w:val="0"/>
    <w:pPr>
      <w:keepNext/>
      <w:keepLines/>
      <w:widowControl/>
      <w:adjustRightInd w:val="0"/>
      <w:spacing w:before="80" w:after="80"/>
      <w:textAlignment w:val="baseline"/>
      <w:outlineLvl w:val="2"/>
    </w:pPr>
    <w:rPr>
      <w:rFonts w:ascii="黑体" w:hAnsi="Calibri" w:eastAsia="黑体" w:cs="宋体"/>
      <w:b/>
      <w:kern w:val="0"/>
      <w:sz w:val="28"/>
      <w:szCs w:val="28"/>
    </w:rPr>
  </w:style>
  <w:style w:type="paragraph" w:customStyle="1" w:styleId="1529">
    <w:name w:val="标题样式1"/>
    <w:basedOn w:val="33"/>
    <w:semiHidden/>
    <w:qFormat/>
    <w:uiPriority w:val="0"/>
    <w:pPr>
      <w:adjustRightInd w:val="0"/>
      <w:snapToGrid w:val="0"/>
      <w:spacing w:after="0" w:line="0" w:lineRule="atLeast"/>
      <w:jc w:val="center"/>
      <w:textAlignment w:val="baseline"/>
    </w:pPr>
    <w:rPr>
      <w:rFonts w:ascii="宋体" w:hAnsi="Calibri"/>
      <w:b/>
      <w:bCs/>
      <w:snapToGrid w:val="0"/>
      <w:kern w:val="0"/>
      <w:sz w:val="24"/>
      <w:szCs w:val="20"/>
    </w:rPr>
  </w:style>
  <w:style w:type="paragraph" w:customStyle="1" w:styleId="1530">
    <w:name w:val="三级条标题"/>
    <w:basedOn w:val="1531"/>
    <w:next w:val="1"/>
    <w:semiHidden/>
    <w:qFormat/>
    <w:uiPriority w:val="0"/>
    <w:pPr>
      <w:tabs>
        <w:tab w:val="left" w:pos="360"/>
      </w:tabs>
      <w:outlineLvl w:val="4"/>
    </w:pPr>
  </w:style>
  <w:style w:type="paragraph" w:customStyle="1" w:styleId="1531">
    <w:name w:val="二级条标题"/>
    <w:basedOn w:val="1"/>
    <w:next w:val="1"/>
    <w:semiHidden/>
    <w:qFormat/>
    <w:uiPriority w:val="0"/>
    <w:pPr>
      <w:widowControl/>
      <w:tabs>
        <w:tab w:val="left" w:pos="360"/>
      </w:tabs>
      <w:outlineLvl w:val="3"/>
    </w:pPr>
    <w:rPr>
      <w:rFonts w:ascii="黑体" w:hAnsi="Calibri" w:eastAsia="黑体"/>
      <w:kern w:val="0"/>
      <w:szCs w:val="20"/>
    </w:rPr>
  </w:style>
  <w:style w:type="paragraph" w:customStyle="1" w:styleId="1532">
    <w:name w:val="标题样式5"/>
    <w:basedOn w:val="6"/>
    <w:semiHidden/>
    <w:qFormat/>
    <w:uiPriority w:val="0"/>
    <w:pPr>
      <w:tabs>
        <w:tab w:val="clear" w:pos="1008"/>
      </w:tabs>
      <w:spacing w:before="0" w:afterLines="100" w:line="360" w:lineRule="auto"/>
      <w:ind w:left="0" w:firstLine="0"/>
    </w:pPr>
    <w:rPr>
      <w:rFonts w:ascii="黑体" w:hAnsi="Calibri" w:eastAsia="黑体"/>
      <w:b/>
      <w:color w:val="000000"/>
    </w:rPr>
  </w:style>
  <w:style w:type="paragraph" w:customStyle="1" w:styleId="1533">
    <w:name w:val="三级正文"/>
    <w:basedOn w:val="1"/>
    <w:semiHidden/>
    <w:qFormat/>
    <w:uiPriority w:val="0"/>
    <w:pPr>
      <w:widowControl/>
      <w:adjustRightInd w:val="0"/>
      <w:spacing w:line="300" w:lineRule="auto"/>
      <w:ind w:firstLine="567"/>
    </w:pPr>
    <w:rPr>
      <w:rFonts w:ascii="Calibri" w:hAnsi="Calibri"/>
      <w:kern w:val="28"/>
      <w:sz w:val="28"/>
      <w:szCs w:val="20"/>
    </w:rPr>
  </w:style>
  <w:style w:type="paragraph" w:customStyle="1" w:styleId="1534">
    <w:name w:val="标题一"/>
    <w:basedOn w:val="2"/>
    <w:semiHidden/>
    <w:qFormat/>
    <w:uiPriority w:val="0"/>
    <w:pPr>
      <w:adjustRightInd w:val="0"/>
      <w:spacing w:beforeLines="50" w:afterLines="50" w:line="578" w:lineRule="auto"/>
      <w:ind w:firstLine="200" w:firstLineChars="200"/>
      <w:textAlignment w:val="baseline"/>
    </w:pPr>
    <w:rPr>
      <w:rFonts w:ascii="黑体" w:hAnsi="Calibri" w:eastAsia="黑体"/>
      <w:b w:val="0"/>
      <w:bCs w:val="0"/>
      <w:color w:val="000000"/>
      <w:sz w:val="28"/>
      <w:szCs w:val="21"/>
    </w:rPr>
  </w:style>
  <w:style w:type="paragraph" w:customStyle="1" w:styleId="1535">
    <w:name w:val="标准"/>
    <w:basedOn w:val="1"/>
    <w:semiHidden/>
    <w:qFormat/>
    <w:uiPriority w:val="0"/>
    <w:pPr>
      <w:tabs>
        <w:tab w:val="left" w:pos="720"/>
      </w:tabs>
      <w:adjustRightInd w:val="0"/>
      <w:spacing w:line="312" w:lineRule="atLeast"/>
      <w:textAlignment w:val="baseline"/>
    </w:pPr>
    <w:rPr>
      <w:rFonts w:ascii="Calibri" w:hAnsi="Calibri"/>
      <w:kern w:val="0"/>
      <w:szCs w:val="20"/>
    </w:rPr>
  </w:style>
  <w:style w:type="paragraph" w:customStyle="1" w:styleId="1536">
    <w:name w:val="标准条文"/>
    <w:basedOn w:val="972"/>
    <w:next w:val="972"/>
    <w:semiHidden/>
    <w:qFormat/>
    <w:uiPriority w:val="0"/>
    <w:rPr>
      <w:rFonts w:hAnsi="Calibri" w:cs="Times New Roman"/>
      <w:color w:val="auto"/>
      <w:kern w:val="2"/>
    </w:rPr>
  </w:style>
  <w:style w:type="paragraph" w:customStyle="1" w:styleId="1537">
    <w:name w:val="神华4.1"/>
    <w:basedOn w:val="1"/>
    <w:next w:val="1"/>
    <w:semiHidden/>
    <w:qFormat/>
    <w:uiPriority w:val="0"/>
    <w:pPr>
      <w:tabs>
        <w:tab w:val="left" w:pos="435"/>
      </w:tabs>
      <w:spacing w:line="360" w:lineRule="auto"/>
      <w:ind w:left="435" w:hanging="435"/>
    </w:pPr>
    <w:rPr>
      <w:rFonts w:ascii="宋体" w:hAnsi="宋体" w:cs="宋体"/>
      <w:sz w:val="24"/>
      <w:szCs w:val="21"/>
    </w:rPr>
  </w:style>
  <w:style w:type="paragraph" w:customStyle="1" w:styleId="1538">
    <w:name w:val="标准图表目录"/>
    <w:basedOn w:val="1"/>
    <w:next w:val="72"/>
    <w:semiHidden/>
    <w:qFormat/>
    <w:uiPriority w:val="0"/>
    <w:pPr>
      <w:tabs>
        <w:tab w:val="left" w:pos="0"/>
        <w:tab w:val="center" w:pos="4498"/>
        <w:tab w:val="right" w:pos="8997"/>
      </w:tabs>
      <w:autoSpaceDE w:val="0"/>
      <w:autoSpaceDN w:val="0"/>
      <w:adjustRightInd w:val="0"/>
      <w:spacing w:beforeLines="50" w:afterLines="50" w:line="300" w:lineRule="exact"/>
      <w:jc w:val="left"/>
    </w:pPr>
    <w:rPr>
      <w:rFonts w:ascii="宋体" w:hAnsi="宋体" w:eastAsia="楷体_GB2312"/>
      <w:b/>
      <w:sz w:val="24"/>
      <w:szCs w:val="21"/>
    </w:rPr>
  </w:style>
  <w:style w:type="paragraph" w:customStyle="1" w:styleId="1539">
    <w:name w:val="示例"/>
    <w:next w:val="5"/>
    <w:semiHidden/>
    <w:qFormat/>
    <w:uiPriority w:val="0"/>
    <w:pPr>
      <w:tabs>
        <w:tab w:val="left" w:pos="816"/>
      </w:tabs>
      <w:ind w:left="360" w:firstLine="419" w:firstLineChars="233"/>
      <w:jc w:val="both"/>
    </w:pPr>
    <w:rPr>
      <w:rFonts w:ascii="宋体" w:hAnsi="Calibri" w:eastAsia="宋体" w:cs="Times New Roman"/>
      <w:kern w:val="2"/>
      <w:sz w:val="18"/>
      <w:szCs w:val="21"/>
      <w:lang w:val="en-US" w:eastAsia="zh-CN" w:bidi="ar-SA"/>
    </w:rPr>
  </w:style>
  <w:style w:type="paragraph" w:customStyle="1" w:styleId="1540">
    <w:name w:val="標準インデント　2"/>
    <w:basedOn w:val="20"/>
    <w:semiHidden/>
    <w:qFormat/>
    <w:uiPriority w:val="0"/>
    <w:pPr>
      <w:overflowPunct w:val="0"/>
      <w:autoSpaceDE w:val="0"/>
      <w:autoSpaceDN w:val="0"/>
      <w:spacing w:line="240" w:lineRule="auto"/>
      <w:ind w:left="2900" w:hanging="2038"/>
    </w:pPr>
    <w:rPr>
      <w:rFonts w:ascii="Calibri" w:hAnsi="Calibri" w:eastAsia="MS Mincho"/>
      <w:sz w:val="20"/>
      <w:lang w:eastAsia="ja-JP"/>
    </w:rPr>
  </w:style>
  <w:style w:type="paragraph" w:customStyle="1" w:styleId="1541">
    <w:name w:val="首消息标题"/>
    <w:basedOn w:val="78"/>
    <w:next w:val="78"/>
    <w:semiHidden/>
    <w:qFormat/>
    <w:uiPriority w:val="0"/>
    <w:pPr>
      <w:keepLines/>
      <w:widowControl/>
      <w:pBdr>
        <w:top w:val="none" w:color="auto" w:sz="0" w:space="0"/>
        <w:left w:val="none" w:color="auto" w:sz="0" w:space="0"/>
        <w:bottom w:val="none" w:color="auto" w:sz="0" w:space="0"/>
        <w:right w:val="none" w:color="auto" w:sz="0" w:space="0"/>
      </w:pBdr>
      <w:shd w:val="clear" w:color="auto" w:fill="auto"/>
      <w:spacing w:afterLines="100" w:line="140" w:lineRule="atLeast"/>
      <w:ind w:left="360" w:firstLine="0"/>
      <w:jc w:val="left"/>
    </w:pPr>
    <w:rPr>
      <w:rFonts w:ascii="Garamond" w:hAnsi="Garamond"/>
      <w:spacing w:val="-5"/>
      <w:kern w:val="0"/>
      <w:sz w:val="21"/>
      <w:szCs w:val="20"/>
    </w:rPr>
  </w:style>
  <w:style w:type="paragraph" w:customStyle="1" w:styleId="1542">
    <w:name w:val="首行缩进"/>
    <w:basedOn w:val="1"/>
    <w:semiHidden/>
    <w:qFormat/>
    <w:uiPriority w:val="0"/>
    <w:pPr>
      <w:spacing w:line="400" w:lineRule="exact"/>
      <w:jc w:val="center"/>
    </w:pPr>
    <w:rPr>
      <w:rFonts w:ascii="Calibri" w:hAnsi="Calibri" w:eastAsia="黑体"/>
      <w:sz w:val="24"/>
      <w:szCs w:val="21"/>
    </w:rPr>
  </w:style>
  <w:style w:type="paragraph" w:customStyle="1" w:styleId="1543">
    <w:name w:val="表 头"/>
    <w:basedOn w:val="1"/>
    <w:qFormat/>
    <w:uiPriority w:val="0"/>
    <w:pPr>
      <w:adjustRightInd w:val="0"/>
      <w:spacing w:before="120" w:after="120" w:line="360" w:lineRule="atLeast"/>
      <w:jc w:val="center"/>
    </w:pPr>
    <w:rPr>
      <w:rFonts w:ascii="Calibri" w:hAnsi="Calibri" w:eastAsia="黑体"/>
      <w:spacing w:val="10"/>
      <w:kern w:val="0"/>
      <w:sz w:val="24"/>
      <w:szCs w:val="20"/>
    </w:rPr>
  </w:style>
  <w:style w:type="paragraph" w:customStyle="1" w:styleId="1544">
    <w:name w:val="首行缩进正文"/>
    <w:basedOn w:val="1"/>
    <w:semiHidden/>
    <w:qFormat/>
    <w:uiPriority w:val="0"/>
    <w:pPr>
      <w:adjustRightInd w:val="0"/>
      <w:snapToGrid w:val="0"/>
      <w:spacing w:beforeLines="50" w:line="300" w:lineRule="auto"/>
      <w:ind w:firstLine="480" w:firstLineChars="200"/>
    </w:pPr>
    <w:rPr>
      <w:rFonts w:ascii="Calibri" w:hAnsi="Calibri"/>
      <w:sz w:val="24"/>
      <w:szCs w:val="21"/>
    </w:rPr>
  </w:style>
  <w:style w:type="paragraph" w:customStyle="1" w:styleId="1545">
    <w:name w:val="表、图名"/>
    <w:basedOn w:val="1"/>
    <w:semiHidden/>
    <w:qFormat/>
    <w:uiPriority w:val="0"/>
    <w:pPr>
      <w:adjustRightInd w:val="0"/>
      <w:snapToGrid w:val="0"/>
      <w:spacing w:line="360" w:lineRule="auto"/>
      <w:jc w:val="center"/>
    </w:pPr>
    <w:rPr>
      <w:rFonts w:ascii="黑体" w:hAnsi="黑体" w:eastAsia="黑体"/>
      <w:color w:val="000000"/>
      <w:kern w:val="0"/>
      <w:szCs w:val="20"/>
    </w:rPr>
  </w:style>
  <w:style w:type="paragraph" w:customStyle="1" w:styleId="1546">
    <w:name w:val="首页脚注"/>
    <w:basedOn w:val="54"/>
    <w:semiHidden/>
    <w:qFormat/>
    <w:uiPriority w:val="0"/>
    <w:pPr>
      <w:keepLines/>
      <w:widowControl/>
      <w:pBdr>
        <w:top w:val="single" w:color="auto" w:sz="8" w:space="1"/>
      </w:pBdr>
      <w:tabs>
        <w:tab w:val="center" w:pos="7200"/>
        <w:tab w:val="clear" w:pos="4153"/>
        <w:tab w:val="clear" w:pos="8306"/>
      </w:tabs>
      <w:overflowPunct w:val="0"/>
      <w:autoSpaceDE w:val="0"/>
      <w:autoSpaceDN w:val="0"/>
      <w:adjustRightInd w:val="0"/>
      <w:snapToGrid/>
      <w:jc w:val="center"/>
      <w:textAlignment w:val="baseline"/>
    </w:pPr>
    <w:rPr>
      <w:rFonts w:ascii="Calibri" w:hAnsi="Calibri"/>
      <w:spacing w:val="80"/>
      <w:sz w:val="20"/>
      <w:szCs w:val="20"/>
    </w:rPr>
  </w:style>
  <w:style w:type="paragraph" w:customStyle="1" w:styleId="1547">
    <w:name w:val="表、图名宋旭峰"/>
    <w:basedOn w:val="1"/>
    <w:semiHidden/>
    <w:qFormat/>
    <w:uiPriority w:val="0"/>
    <w:pPr>
      <w:spacing w:beforeLines="50" w:line="360" w:lineRule="auto"/>
      <w:ind w:firstLine="420" w:firstLineChars="200"/>
    </w:pPr>
    <w:rPr>
      <w:rFonts w:ascii="黑体" w:hAnsi="Calibri" w:eastAsia="黑体"/>
      <w:color w:val="000000"/>
      <w:kern w:val="0"/>
      <w:sz w:val="24"/>
      <w:szCs w:val="21"/>
    </w:rPr>
  </w:style>
  <w:style w:type="paragraph" w:customStyle="1" w:styleId="1548">
    <w:name w:val="首页篇眉"/>
    <w:basedOn w:val="56"/>
    <w:semiHidden/>
    <w:qFormat/>
    <w:uiPriority w:val="0"/>
    <w:pPr>
      <w:keepLines/>
      <w:widowControl/>
      <w:pBdr>
        <w:bottom w:val="none" w:color="auto" w:sz="0" w:space="0"/>
      </w:pBdr>
      <w:tabs>
        <w:tab w:val="center" w:pos="7200"/>
        <w:tab w:val="clear" w:pos="4153"/>
        <w:tab w:val="clear" w:pos="8306"/>
      </w:tabs>
      <w:overflowPunct w:val="0"/>
      <w:autoSpaceDE w:val="0"/>
      <w:autoSpaceDN w:val="0"/>
      <w:adjustRightInd w:val="0"/>
      <w:snapToGrid/>
      <w:textAlignment w:val="baseline"/>
    </w:pPr>
    <w:rPr>
      <w:rFonts w:ascii="Calibri" w:hAnsi="Calibri"/>
      <w:spacing w:val="80"/>
      <w:sz w:val="20"/>
      <w:szCs w:val="20"/>
    </w:rPr>
  </w:style>
  <w:style w:type="paragraph" w:customStyle="1" w:styleId="1549">
    <w:name w:val="表1"/>
    <w:basedOn w:val="1"/>
    <w:semiHidden/>
    <w:qFormat/>
    <w:uiPriority w:val="0"/>
    <w:pPr>
      <w:spacing w:line="240" w:lineRule="exact"/>
      <w:jc w:val="left"/>
    </w:pPr>
    <w:rPr>
      <w:rFonts w:ascii="Calibri" w:hAnsi="Calibri"/>
      <w:szCs w:val="21"/>
    </w:rPr>
  </w:style>
  <w:style w:type="paragraph" w:customStyle="1" w:styleId="1550">
    <w:name w:val="首页页眉样式"/>
    <w:basedOn w:val="1"/>
    <w:semiHidden/>
    <w:qFormat/>
    <w:uiPriority w:val="0"/>
    <w:pPr>
      <w:spacing w:line="320" w:lineRule="exact"/>
      <w:jc w:val="center"/>
    </w:pPr>
    <w:rPr>
      <w:rFonts w:ascii="宋体" w:hAnsi="宋体"/>
      <w:bCs/>
      <w:color w:val="000000"/>
      <w:szCs w:val="21"/>
    </w:rPr>
  </w:style>
  <w:style w:type="paragraph" w:customStyle="1" w:styleId="1551">
    <w:name w:val="表18"/>
    <w:basedOn w:val="65"/>
    <w:semiHidden/>
    <w:qFormat/>
    <w:uiPriority w:val="0"/>
    <w:pPr>
      <w:tabs>
        <w:tab w:val="left" w:pos="525"/>
        <w:tab w:val="left" w:pos="735"/>
      </w:tabs>
      <w:adjustRightInd w:val="0"/>
      <w:spacing w:line="360" w:lineRule="exact"/>
      <w:ind w:left="0" w:firstLine="0" w:firstLineChars="0"/>
      <w:jc w:val="center"/>
      <w:textAlignment w:val="baseline"/>
    </w:pPr>
    <w:rPr>
      <w:rFonts w:ascii="宋体" w:hAnsi="Calibri" w:eastAsia="汉鼎简书宋"/>
      <w:color w:val="000000"/>
      <w:kern w:val="0"/>
      <w:szCs w:val="28"/>
    </w:rPr>
  </w:style>
  <w:style w:type="paragraph" w:customStyle="1" w:styleId="1552">
    <w:name w:val="数字编号列项（二级）"/>
    <w:semiHidden/>
    <w:qFormat/>
    <w:uiPriority w:val="0"/>
    <w:pPr>
      <w:tabs>
        <w:tab w:val="left" w:pos="360"/>
      </w:tabs>
      <w:ind w:left="360" w:hanging="360"/>
      <w:jc w:val="both"/>
    </w:pPr>
    <w:rPr>
      <w:rFonts w:ascii="宋体" w:hAnsi="Calibri" w:eastAsia="宋体" w:cs="Times New Roman"/>
      <w:kern w:val="2"/>
      <w:sz w:val="21"/>
      <w:szCs w:val="21"/>
      <w:lang w:val="en-US" w:eastAsia="zh-CN" w:bidi="ar-SA"/>
    </w:rPr>
  </w:style>
  <w:style w:type="paragraph" w:customStyle="1" w:styleId="1553">
    <w:name w:val="表3-1"/>
    <w:basedOn w:val="72"/>
    <w:semiHidden/>
    <w:qFormat/>
    <w:uiPriority w:val="0"/>
    <w:pPr>
      <w:tabs>
        <w:tab w:val="left" w:pos="360"/>
        <w:tab w:val="center" w:pos="992"/>
      </w:tabs>
      <w:spacing w:beforeLines="50" w:afterLines="50"/>
      <w:ind w:left="0" w:leftChars="0" w:firstLine="0" w:firstLineChars="0"/>
      <w:jc w:val="center"/>
    </w:pPr>
    <w:rPr>
      <w:rFonts w:ascii="宋体"/>
      <w:color w:val="000000"/>
    </w:rPr>
  </w:style>
  <w:style w:type="paragraph" w:customStyle="1" w:styleId="1554">
    <w:name w:val="表5-1"/>
    <w:basedOn w:val="72"/>
    <w:semiHidden/>
    <w:qFormat/>
    <w:uiPriority w:val="0"/>
    <w:pPr>
      <w:tabs>
        <w:tab w:val="center" w:pos="992"/>
        <w:tab w:val="left" w:pos="1440"/>
      </w:tabs>
      <w:spacing w:beforeLines="50" w:afterLines="50"/>
      <w:ind w:left="425" w:leftChars="0" w:hanging="425" w:firstLineChars="0"/>
      <w:jc w:val="center"/>
    </w:pPr>
    <w:rPr>
      <w:rFonts w:ascii="宋体"/>
      <w:color w:val="000000"/>
    </w:rPr>
  </w:style>
  <w:style w:type="paragraph" w:customStyle="1" w:styleId="1555">
    <w:name w:val="四 Char"/>
    <w:basedOn w:val="1"/>
    <w:semiHidden/>
    <w:qFormat/>
    <w:uiPriority w:val="0"/>
    <w:pPr>
      <w:spacing w:line="336" w:lineRule="auto"/>
      <w:ind w:firstLine="200" w:firstLineChars="200"/>
    </w:pPr>
    <w:rPr>
      <w:rFonts w:ascii="Calibri" w:hAnsi="Calibri"/>
      <w:color w:val="000000"/>
      <w:sz w:val="28"/>
      <w:szCs w:val="21"/>
    </w:rPr>
  </w:style>
  <w:style w:type="paragraph" w:customStyle="1" w:styleId="1556">
    <w:name w:val="表6-1"/>
    <w:basedOn w:val="72"/>
    <w:semiHidden/>
    <w:qFormat/>
    <w:uiPriority w:val="0"/>
    <w:pPr>
      <w:tabs>
        <w:tab w:val="left" w:pos="360"/>
        <w:tab w:val="center" w:pos="992"/>
      </w:tabs>
      <w:spacing w:beforeLines="50" w:afterLines="50"/>
      <w:ind w:left="0" w:leftChars="0" w:firstLine="0" w:firstLineChars="0"/>
      <w:jc w:val="center"/>
    </w:pPr>
    <w:rPr>
      <w:rFonts w:ascii="宋体"/>
      <w:color w:val="000000"/>
    </w:rPr>
  </w:style>
  <w:style w:type="paragraph" w:customStyle="1" w:styleId="1557">
    <w:name w:val="四级"/>
    <w:basedOn w:val="5"/>
    <w:semiHidden/>
    <w:qFormat/>
    <w:uiPriority w:val="0"/>
    <w:pPr>
      <w:spacing w:before="10" w:after="10" w:line="440" w:lineRule="exact"/>
      <w:jc w:val="left"/>
    </w:pPr>
    <w:rPr>
      <w:rFonts w:ascii="Times New Roman" w:hAnsi="Times New Roman"/>
      <w:szCs w:val="28"/>
    </w:rPr>
  </w:style>
  <w:style w:type="paragraph" w:customStyle="1" w:styleId="1558">
    <w:name w:val="表标"/>
    <w:basedOn w:val="1"/>
    <w:semiHidden/>
    <w:qFormat/>
    <w:uiPriority w:val="0"/>
    <w:pPr>
      <w:keepNext/>
      <w:snapToGrid w:val="0"/>
      <w:spacing w:beforeLines="50" w:line="360" w:lineRule="auto"/>
      <w:ind w:firstLine="200" w:firstLineChars="200"/>
      <w:jc w:val="left"/>
    </w:pPr>
    <w:rPr>
      <w:rFonts w:ascii="Trebuchet MS" w:hAnsi="Trebuchet MS"/>
      <w:color w:val="000000"/>
      <w:sz w:val="28"/>
      <w:szCs w:val="21"/>
    </w:rPr>
  </w:style>
  <w:style w:type="paragraph" w:customStyle="1" w:styleId="1559">
    <w:name w:val="表标题hh Char"/>
    <w:semiHidden/>
    <w:qFormat/>
    <w:uiPriority w:val="0"/>
    <w:pPr>
      <w:spacing w:before="200"/>
      <w:jc w:val="center"/>
    </w:pPr>
    <w:rPr>
      <w:rFonts w:ascii="宋体" w:hAnsi="宋体" w:eastAsia="宋体" w:cs="Times New Roman"/>
      <w:kern w:val="2"/>
      <w:sz w:val="28"/>
      <w:szCs w:val="28"/>
      <w:lang w:val="en-US" w:eastAsia="zh-CN" w:bidi="ar-SA"/>
    </w:rPr>
  </w:style>
  <w:style w:type="paragraph" w:customStyle="1" w:styleId="1560">
    <w:name w:val="四级条标题"/>
    <w:basedOn w:val="1530"/>
    <w:next w:val="1"/>
    <w:semiHidden/>
    <w:qFormat/>
    <w:uiPriority w:val="0"/>
    <w:pPr>
      <w:tabs>
        <w:tab w:val="clear" w:pos="360"/>
      </w:tabs>
      <w:outlineLvl w:val="5"/>
    </w:pPr>
  </w:style>
  <w:style w:type="paragraph" w:customStyle="1" w:styleId="1561">
    <w:name w:val="表的格式（小四）"/>
    <w:basedOn w:val="1"/>
    <w:semiHidden/>
    <w:qFormat/>
    <w:uiPriority w:val="0"/>
    <w:pPr>
      <w:adjustRightInd w:val="0"/>
      <w:spacing w:line="360" w:lineRule="atLeast"/>
      <w:ind w:firstLine="420" w:firstLineChars="200"/>
    </w:pPr>
    <w:rPr>
      <w:rFonts w:ascii="Calibri" w:hAnsi="Calibri"/>
      <w:color w:val="000000"/>
      <w:kern w:val="0"/>
      <w:sz w:val="24"/>
      <w:szCs w:val="20"/>
    </w:rPr>
  </w:style>
  <w:style w:type="paragraph" w:customStyle="1" w:styleId="1562">
    <w:name w:val="表格 + 小五"/>
    <w:basedOn w:val="1"/>
    <w:semiHidden/>
    <w:qFormat/>
    <w:uiPriority w:val="0"/>
    <w:pPr>
      <w:adjustRightInd w:val="0"/>
      <w:snapToGrid w:val="0"/>
      <w:spacing w:line="360" w:lineRule="exact"/>
      <w:jc w:val="center"/>
    </w:pPr>
    <w:rPr>
      <w:rFonts w:ascii="Calibri" w:hAnsi="Calibri"/>
      <w:sz w:val="18"/>
      <w:szCs w:val="21"/>
    </w:rPr>
  </w:style>
  <w:style w:type="paragraph" w:customStyle="1" w:styleId="1563">
    <w:name w:val="图片"/>
    <w:basedOn w:val="1"/>
    <w:next w:val="21"/>
    <w:semiHidden/>
    <w:qFormat/>
    <w:uiPriority w:val="0"/>
    <w:pPr>
      <w:keepNext/>
      <w:widowControl/>
      <w:overflowPunct w:val="0"/>
      <w:autoSpaceDE w:val="0"/>
      <w:autoSpaceDN w:val="0"/>
      <w:adjustRightInd w:val="0"/>
      <w:spacing w:before="120" w:after="240"/>
      <w:jc w:val="center"/>
      <w:textAlignment w:val="baseline"/>
    </w:pPr>
    <w:rPr>
      <w:rFonts w:ascii="Calibri" w:hAnsi="Calibri"/>
      <w:sz w:val="20"/>
      <w:szCs w:val="20"/>
    </w:rPr>
  </w:style>
  <w:style w:type="paragraph" w:customStyle="1" w:styleId="1564">
    <w:name w:val="表格，五宋"/>
    <w:semiHidden/>
    <w:qFormat/>
    <w:uiPriority w:val="0"/>
    <w:pPr>
      <w:keepNext/>
      <w:widowControl w:val="0"/>
      <w:adjustRightInd w:val="0"/>
      <w:spacing w:line="360" w:lineRule="exact"/>
      <w:jc w:val="both"/>
    </w:pPr>
    <w:rPr>
      <w:rFonts w:ascii="Calibri" w:hAnsi="Calibri" w:eastAsia="宋体" w:cs="Times New Roman"/>
      <w:kern w:val="2"/>
      <w:sz w:val="21"/>
      <w:szCs w:val="21"/>
      <w:lang w:val="en-US" w:eastAsia="zh-CN" w:bidi="ar-SA"/>
    </w:rPr>
  </w:style>
  <w:style w:type="paragraph" w:customStyle="1" w:styleId="1565">
    <w:name w:val="特殊标题３"/>
    <w:basedOn w:val="1"/>
    <w:semiHidden/>
    <w:qFormat/>
    <w:uiPriority w:val="0"/>
    <w:pPr>
      <w:overflowPunct w:val="0"/>
      <w:autoSpaceDE w:val="0"/>
      <w:autoSpaceDN w:val="0"/>
      <w:adjustRightInd w:val="0"/>
      <w:spacing w:line="360" w:lineRule="auto"/>
      <w:textAlignment w:val="baseline"/>
    </w:pPr>
    <w:rPr>
      <w:rFonts w:ascii="Calibri" w:hAnsi="Calibri" w:eastAsia="仿宋_GB2312"/>
      <w:kern w:val="0"/>
      <w:sz w:val="28"/>
      <w:szCs w:val="20"/>
    </w:rPr>
  </w:style>
  <w:style w:type="paragraph" w:customStyle="1" w:styleId="1566">
    <w:name w:val="表格001"/>
    <w:basedOn w:val="1"/>
    <w:semiHidden/>
    <w:qFormat/>
    <w:uiPriority w:val="0"/>
    <w:pPr>
      <w:jc w:val="center"/>
    </w:pPr>
    <w:rPr>
      <w:rFonts w:ascii="Calibri" w:hAnsi="Calibri"/>
      <w:sz w:val="24"/>
      <w:szCs w:val="21"/>
    </w:rPr>
  </w:style>
  <w:style w:type="paragraph" w:customStyle="1" w:styleId="1567">
    <w:name w:val="表格1111"/>
    <w:basedOn w:val="1"/>
    <w:semiHidden/>
    <w:qFormat/>
    <w:uiPriority w:val="0"/>
    <w:pPr>
      <w:spacing w:line="360" w:lineRule="exact"/>
      <w:jc w:val="center"/>
    </w:pPr>
    <w:rPr>
      <w:rFonts w:ascii="宋体" w:hAnsi="宋体"/>
      <w:szCs w:val="21"/>
    </w:rPr>
  </w:style>
  <w:style w:type="paragraph" w:customStyle="1" w:styleId="1568">
    <w:name w:val="表格13"/>
    <w:basedOn w:val="1"/>
    <w:semiHidden/>
    <w:qFormat/>
    <w:uiPriority w:val="0"/>
    <w:pPr>
      <w:adjustRightInd w:val="0"/>
      <w:spacing w:line="260" w:lineRule="atLeast"/>
      <w:jc w:val="center"/>
      <w:textAlignment w:val="baseline"/>
    </w:pPr>
    <w:rPr>
      <w:rFonts w:ascii="宋体" w:hAnsi="Calibri"/>
      <w:kern w:val="0"/>
      <w:sz w:val="18"/>
      <w:szCs w:val="18"/>
      <w:lang w:val="zh-CN"/>
    </w:rPr>
  </w:style>
  <w:style w:type="paragraph" w:customStyle="1" w:styleId="1569">
    <w:name w:val="条(四级)"/>
    <w:basedOn w:val="1570"/>
    <w:next w:val="5"/>
    <w:semiHidden/>
    <w:qFormat/>
    <w:uiPriority w:val="0"/>
  </w:style>
  <w:style w:type="paragraph" w:customStyle="1" w:styleId="1570">
    <w:name w:val="条(三级)"/>
    <w:basedOn w:val="1"/>
    <w:next w:val="1"/>
    <w:semiHidden/>
    <w:qFormat/>
    <w:uiPriority w:val="0"/>
    <w:pPr>
      <w:keepNext/>
      <w:keepLines/>
      <w:adjustRightInd w:val="0"/>
      <w:spacing w:line="460" w:lineRule="exact"/>
      <w:jc w:val="left"/>
      <w:textAlignment w:val="baseline"/>
    </w:pPr>
    <w:rPr>
      <w:rFonts w:ascii="宋体" w:hAnsi="Arial"/>
      <w:spacing w:val="3"/>
      <w:kern w:val="24"/>
      <w:sz w:val="24"/>
      <w:szCs w:val="20"/>
    </w:rPr>
  </w:style>
  <w:style w:type="paragraph" w:customStyle="1" w:styleId="1571">
    <w:name w:val="表格18"/>
    <w:basedOn w:val="1"/>
    <w:semiHidden/>
    <w:qFormat/>
    <w:uiPriority w:val="0"/>
    <w:pPr>
      <w:widowControl/>
      <w:spacing w:line="360" w:lineRule="exact"/>
      <w:jc w:val="center"/>
    </w:pPr>
    <w:rPr>
      <w:rFonts w:ascii="宋体" w:hAnsi="Calibri"/>
      <w:color w:val="000000"/>
      <w:szCs w:val="21"/>
    </w:rPr>
  </w:style>
  <w:style w:type="paragraph" w:customStyle="1" w:styleId="1572">
    <w:name w:val="表格2"/>
    <w:basedOn w:val="1"/>
    <w:semiHidden/>
    <w:qFormat/>
    <w:uiPriority w:val="0"/>
    <w:pPr>
      <w:autoSpaceDE w:val="0"/>
      <w:autoSpaceDN w:val="0"/>
      <w:adjustRightInd w:val="0"/>
      <w:snapToGrid w:val="0"/>
      <w:jc w:val="center"/>
    </w:pPr>
    <w:rPr>
      <w:rFonts w:ascii="宋体" w:hAnsi="宋体"/>
      <w:spacing w:val="-8"/>
      <w:szCs w:val="21"/>
    </w:rPr>
  </w:style>
  <w:style w:type="paragraph" w:customStyle="1" w:styleId="1573">
    <w:name w:val="表格20"/>
    <w:basedOn w:val="1"/>
    <w:semiHidden/>
    <w:qFormat/>
    <w:uiPriority w:val="0"/>
    <w:pPr>
      <w:widowControl/>
      <w:spacing w:line="400" w:lineRule="exact"/>
      <w:jc w:val="center"/>
    </w:pPr>
    <w:rPr>
      <w:rFonts w:ascii="宋体" w:hAnsi="Calibri"/>
      <w:color w:val="000000"/>
      <w:szCs w:val="21"/>
    </w:rPr>
  </w:style>
  <w:style w:type="paragraph" w:customStyle="1" w:styleId="1574">
    <w:name w:val="表格备注"/>
    <w:basedOn w:val="8"/>
    <w:next w:val="85"/>
    <w:semiHidden/>
    <w:qFormat/>
    <w:uiPriority w:val="0"/>
    <w:pPr>
      <w:keepLines w:val="0"/>
      <w:tabs>
        <w:tab w:val="left" w:pos="560"/>
      </w:tabs>
      <w:autoSpaceDE/>
      <w:autoSpaceDN/>
      <w:adjustRightInd/>
      <w:spacing w:before="0" w:after="0" w:line="336" w:lineRule="auto"/>
      <w:jc w:val="center"/>
      <w:textAlignment w:val="auto"/>
    </w:pPr>
    <w:rPr>
      <w:rFonts w:ascii="黑体" w:hAnsi="Calibri"/>
      <w:b w:val="0"/>
      <w:sz w:val="21"/>
      <w:szCs w:val="21"/>
    </w:rPr>
  </w:style>
  <w:style w:type="paragraph" w:customStyle="1" w:styleId="1575">
    <w:name w:val="通州正文"/>
    <w:next w:val="1"/>
    <w:semiHidden/>
    <w:qFormat/>
    <w:uiPriority w:val="0"/>
    <w:pPr>
      <w:spacing w:line="360" w:lineRule="auto"/>
      <w:ind w:firstLine="480"/>
    </w:pPr>
    <w:rPr>
      <w:rFonts w:ascii="宋体" w:hAnsi="宋体" w:eastAsia="宋体" w:cs="Times New Roman"/>
      <w:kern w:val="2"/>
      <w:sz w:val="24"/>
      <w:szCs w:val="24"/>
      <w:lang w:val="en-US" w:eastAsia="zh-CN" w:bidi="ar-SA"/>
    </w:rPr>
  </w:style>
  <w:style w:type="paragraph" w:customStyle="1" w:styleId="1576">
    <w:name w:val="表格编号"/>
    <w:basedOn w:val="1"/>
    <w:next w:val="1"/>
    <w:semiHidden/>
    <w:qFormat/>
    <w:uiPriority w:val="0"/>
    <w:pPr>
      <w:adjustRightInd w:val="0"/>
      <w:snapToGrid w:val="0"/>
    </w:pPr>
    <w:rPr>
      <w:rFonts w:ascii="Calibri" w:hAnsi="Calibri"/>
      <w:szCs w:val="21"/>
    </w:rPr>
  </w:style>
  <w:style w:type="paragraph" w:customStyle="1" w:styleId="1577">
    <w:name w:val="表格标题栏"/>
    <w:basedOn w:val="1"/>
    <w:semiHidden/>
    <w:qFormat/>
    <w:uiPriority w:val="0"/>
    <w:pPr>
      <w:adjustRightInd w:val="0"/>
      <w:snapToGrid w:val="0"/>
      <w:ind w:left="-17" w:leftChars="-8" w:firstLine="1"/>
      <w:jc w:val="center"/>
    </w:pPr>
    <w:rPr>
      <w:rFonts w:ascii="Calibri" w:hAnsi="Calibri" w:eastAsia="仿宋_GB2312"/>
      <w:kern w:val="0"/>
      <w:szCs w:val="21"/>
    </w:rPr>
  </w:style>
  <w:style w:type="paragraph" w:customStyle="1" w:styleId="1578">
    <w:name w:val="表格表题"/>
    <w:basedOn w:val="1"/>
    <w:semiHidden/>
    <w:qFormat/>
    <w:uiPriority w:val="0"/>
    <w:pPr>
      <w:widowControl/>
      <w:spacing w:beforeLines="50"/>
      <w:jc w:val="center"/>
    </w:pPr>
    <w:rPr>
      <w:rFonts w:ascii="宋体" w:hAnsi="宋体"/>
      <w:sz w:val="24"/>
      <w:szCs w:val="21"/>
    </w:rPr>
  </w:style>
  <w:style w:type="paragraph" w:customStyle="1" w:styleId="1579">
    <w:name w:val="表格侧编号"/>
    <w:next w:val="1"/>
    <w:semiHidden/>
    <w:qFormat/>
    <w:uiPriority w:val="0"/>
    <w:pPr>
      <w:widowControl w:val="0"/>
      <w:jc w:val="center"/>
    </w:pPr>
    <w:rPr>
      <w:rFonts w:ascii="宋体" w:hAnsi="宋体" w:eastAsia="宋体" w:cs="Times New Roman"/>
      <w:kern w:val="2"/>
      <w:sz w:val="24"/>
      <w:szCs w:val="24"/>
      <w:lang w:val="en-US" w:eastAsia="zh-CN" w:bidi="ar-SA"/>
    </w:rPr>
  </w:style>
  <w:style w:type="paragraph" w:customStyle="1" w:styleId="1580">
    <w:name w:val="表格后样式"/>
    <w:basedOn w:val="1"/>
    <w:semiHidden/>
    <w:qFormat/>
    <w:uiPriority w:val="0"/>
    <w:pPr>
      <w:spacing w:line="360" w:lineRule="auto"/>
      <w:ind w:firstLine="480" w:firstLineChars="200"/>
    </w:pPr>
    <w:rPr>
      <w:rFonts w:ascii="Calibri" w:hAnsi="Calibri"/>
      <w:color w:val="000000"/>
      <w:kern w:val="0"/>
      <w:sz w:val="24"/>
      <w:szCs w:val="21"/>
    </w:rPr>
  </w:style>
  <w:style w:type="paragraph" w:customStyle="1" w:styleId="1581">
    <w:name w:val="表格名称"/>
    <w:basedOn w:val="1"/>
    <w:semiHidden/>
    <w:qFormat/>
    <w:uiPriority w:val="0"/>
    <w:pPr>
      <w:spacing w:line="440" w:lineRule="exact"/>
      <w:ind w:firstLine="480" w:firstLineChars="200"/>
    </w:pPr>
    <w:rPr>
      <w:rFonts w:ascii="Calibri" w:hAnsi="Calibri" w:eastAsia="黑体"/>
      <w:sz w:val="24"/>
      <w:szCs w:val="21"/>
    </w:rPr>
  </w:style>
  <w:style w:type="paragraph" w:customStyle="1" w:styleId="1582">
    <w:name w:val="表格内格式"/>
    <w:basedOn w:val="1"/>
    <w:semiHidden/>
    <w:qFormat/>
    <w:uiPriority w:val="0"/>
    <w:pPr>
      <w:spacing w:line="240" w:lineRule="exact"/>
      <w:jc w:val="center"/>
    </w:pPr>
    <w:rPr>
      <w:rFonts w:ascii="宋体" w:hAnsi="Calibri"/>
      <w:szCs w:val="21"/>
    </w:rPr>
  </w:style>
  <w:style w:type="paragraph" w:customStyle="1" w:styleId="1583">
    <w:name w:val="表格内容5"/>
    <w:basedOn w:val="1"/>
    <w:next w:val="1"/>
    <w:semiHidden/>
    <w:qFormat/>
    <w:uiPriority w:val="0"/>
    <w:pPr>
      <w:spacing w:before="40" w:after="60" w:line="200" w:lineRule="atLeast"/>
      <w:jc w:val="left"/>
      <w:textAlignment w:val="baseline"/>
    </w:pPr>
    <w:rPr>
      <w:rFonts w:ascii="Arial" w:hAnsi="Arial" w:eastAsia="仿宋_GB2312"/>
      <w:kern w:val="0"/>
      <w:szCs w:val="21"/>
    </w:rPr>
  </w:style>
  <w:style w:type="paragraph" w:customStyle="1" w:styleId="1584">
    <w:name w:val="表格内容格式"/>
    <w:basedOn w:val="1"/>
    <w:semiHidden/>
    <w:qFormat/>
    <w:uiPriority w:val="0"/>
    <w:pPr>
      <w:adjustRightInd w:val="0"/>
      <w:spacing w:line="240" w:lineRule="atLeast"/>
      <w:textAlignment w:val="baseline"/>
    </w:pPr>
    <w:rPr>
      <w:rFonts w:ascii="宋体" w:hAnsi="宋体"/>
      <w:snapToGrid w:val="0"/>
      <w:color w:val="000000"/>
      <w:kern w:val="0"/>
      <w:szCs w:val="20"/>
    </w:rPr>
  </w:style>
  <w:style w:type="paragraph" w:customStyle="1" w:styleId="1585">
    <w:name w:val="表格内容居中"/>
    <w:basedOn w:val="1"/>
    <w:semiHidden/>
    <w:qFormat/>
    <w:uiPriority w:val="0"/>
    <w:pPr>
      <w:overflowPunct w:val="0"/>
      <w:adjustRightInd w:val="0"/>
      <w:snapToGrid w:val="0"/>
      <w:spacing w:line="460" w:lineRule="exact"/>
      <w:jc w:val="center"/>
      <w:textAlignment w:val="baseline"/>
    </w:pPr>
    <w:rPr>
      <w:rFonts w:ascii="仿宋_GB2312" w:hAnsi="宋体" w:eastAsia="仿宋_GB2312"/>
      <w:spacing w:val="12"/>
      <w:kern w:val="0"/>
      <w:szCs w:val="21"/>
    </w:rPr>
  </w:style>
  <w:style w:type="paragraph" w:customStyle="1" w:styleId="1586">
    <w:name w:val="表格内文字"/>
    <w:basedOn w:val="1"/>
    <w:next w:val="1"/>
    <w:semiHidden/>
    <w:qFormat/>
    <w:uiPriority w:val="0"/>
    <w:rPr>
      <w:rFonts w:ascii="Calibri" w:hAnsi="Calibri"/>
      <w:kern w:val="0"/>
      <w:sz w:val="18"/>
      <w:szCs w:val="21"/>
    </w:rPr>
  </w:style>
  <w:style w:type="paragraph" w:customStyle="1" w:styleId="1587">
    <w:name w:val="图标1"/>
    <w:semiHidden/>
    <w:qFormat/>
    <w:uiPriority w:val="0"/>
    <w:pPr>
      <w:jc w:val="center"/>
    </w:pPr>
    <w:rPr>
      <w:rFonts w:ascii="Calibri" w:hAnsi="Calibri" w:eastAsia="宋体" w:cs="Times New Roman"/>
      <w:kern w:val="2"/>
      <w:sz w:val="21"/>
      <w:szCs w:val="21"/>
      <w:lang w:val="en-US" w:eastAsia="zh-CN" w:bidi="ar-SA"/>
    </w:rPr>
  </w:style>
  <w:style w:type="paragraph" w:customStyle="1" w:styleId="1588">
    <w:name w:val="表格内正文"/>
    <w:semiHidden/>
    <w:qFormat/>
    <w:uiPriority w:val="0"/>
    <w:pPr>
      <w:widowControl w:val="0"/>
      <w:tabs>
        <w:tab w:val="right" w:pos="6521"/>
        <w:tab w:val="left" w:pos="6804"/>
      </w:tabs>
      <w:adjustRightInd w:val="0"/>
      <w:spacing w:before="1440" w:after="1440" w:line="360" w:lineRule="auto"/>
      <w:ind w:firstLine="280" w:firstLineChars="100"/>
      <w:jc w:val="center"/>
      <w:textAlignment w:val="bottom"/>
    </w:pPr>
    <w:rPr>
      <w:rFonts w:ascii="楷体_GB2312" w:hAnsi="Arial" w:eastAsia="楷体_GB2312" w:cs="Times New Roman"/>
      <w:kern w:val="2"/>
      <w:sz w:val="28"/>
      <w:szCs w:val="28"/>
      <w:lang w:val="en-US" w:eastAsia="zh-CN" w:bidi="ar-SA"/>
    </w:rPr>
  </w:style>
  <w:style w:type="paragraph" w:customStyle="1" w:styleId="1589">
    <w:name w:val="表格式"/>
    <w:basedOn w:val="65"/>
    <w:semiHidden/>
    <w:qFormat/>
    <w:uiPriority w:val="0"/>
    <w:pPr>
      <w:adjustRightInd w:val="0"/>
      <w:spacing w:beforeLines="50" w:afterLines="50" w:line="240" w:lineRule="exact"/>
      <w:ind w:left="0" w:firstLine="0" w:firstLineChars="200"/>
      <w:jc w:val="center"/>
      <w:textAlignment w:val="baseline"/>
    </w:pPr>
    <w:rPr>
      <w:rFonts w:ascii="宋体" w:hAnsi="Calibri" w:eastAsia="汉鼎简书宋"/>
      <w:kern w:val="0"/>
      <w:szCs w:val="20"/>
    </w:rPr>
  </w:style>
  <w:style w:type="paragraph" w:customStyle="1" w:styleId="1590">
    <w:name w:val="表格题目"/>
    <w:basedOn w:val="1"/>
    <w:semiHidden/>
    <w:qFormat/>
    <w:uiPriority w:val="0"/>
    <w:pPr>
      <w:snapToGrid w:val="0"/>
      <w:ind w:left="-50" w:leftChars="-50" w:right="-50" w:rightChars="-50"/>
      <w:jc w:val="center"/>
    </w:pPr>
    <w:rPr>
      <w:rFonts w:ascii="宋体" w:hAnsi="Calibri"/>
      <w:sz w:val="28"/>
      <w:szCs w:val="28"/>
    </w:rPr>
  </w:style>
  <w:style w:type="paragraph" w:customStyle="1" w:styleId="1591">
    <w:name w:val="表格填充1"/>
    <w:basedOn w:val="1"/>
    <w:semiHidden/>
    <w:qFormat/>
    <w:uiPriority w:val="0"/>
    <w:pPr>
      <w:spacing w:line="360" w:lineRule="auto"/>
      <w:ind w:firstLine="420" w:firstLineChars="200"/>
      <w:jc w:val="center"/>
    </w:pPr>
    <w:rPr>
      <w:rFonts w:ascii="Calibri" w:hAnsi="Calibri"/>
      <w:snapToGrid w:val="0"/>
      <w:sz w:val="30"/>
      <w:szCs w:val="20"/>
    </w:rPr>
  </w:style>
  <w:style w:type="paragraph" w:customStyle="1" w:styleId="1592">
    <w:name w:val="表格填充2"/>
    <w:basedOn w:val="1591"/>
    <w:semiHidden/>
    <w:qFormat/>
    <w:uiPriority w:val="0"/>
    <w:pPr>
      <w:adjustRightInd w:val="0"/>
      <w:snapToGrid w:val="0"/>
      <w:spacing w:line="260" w:lineRule="exact"/>
    </w:pPr>
    <w:rPr>
      <w:rFonts w:ascii="宋体" w:hAnsi="宋体"/>
      <w:color w:val="000000"/>
      <w:kern w:val="0"/>
      <w:sz w:val="21"/>
    </w:rPr>
  </w:style>
  <w:style w:type="paragraph" w:customStyle="1" w:styleId="1593">
    <w:name w:val="表格文字（居中）"/>
    <w:basedOn w:val="1"/>
    <w:semiHidden/>
    <w:qFormat/>
    <w:uiPriority w:val="0"/>
    <w:pPr>
      <w:spacing w:line="360" w:lineRule="auto"/>
      <w:ind w:firstLine="420" w:firstLineChars="200"/>
      <w:jc w:val="center"/>
    </w:pPr>
    <w:rPr>
      <w:rFonts w:ascii="Calibri" w:hAnsi="Calibri"/>
      <w:sz w:val="24"/>
      <w:szCs w:val="21"/>
    </w:rPr>
  </w:style>
  <w:style w:type="paragraph" w:customStyle="1" w:styleId="1594">
    <w:name w:val="图号"/>
    <w:basedOn w:val="62"/>
    <w:semiHidden/>
    <w:qFormat/>
    <w:uiPriority w:val="0"/>
    <w:pPr>
      <w:ind w:left="198"/>
    </w:pPr>
    <w:rPr>
      <w:rFonts w:ascii="Calibri" w:hAnsi="Calibri"/>
      <w:b/>
      <w:kern w:val="32"/>
      <w:szCs w:val="20"/>
    </w:rPr>
  </w:style>
  <w:style w:type="paragraph" w:customStyle="1" w:styleId="1595">
    <w:name w:val="表格文字1"/>
    <w:basedOn w:val="1"/>
    <w:semiHidden/>
    <w:qFormat/>
    <w:uiPriority w:val="0"/>
    <w:pPr>
      <w:autoSpaceDE w:val="0"/>
      <w:autoSpaceDN w:val="0"/>
      <w:adjustRightInd w:val="0"/>
      <w:spacing w:line="360" w:lineRule="auto"/>
      <w:ind w:firstLine="420" w:firstLineChars="200"/>
      <w:jc w:val="center"/>
    </w:pPr>
    <w:rPr>
      <w:rFonts w:ascii="宋体" w:hAnsi="宋体"/>
      <w:snapToGrid w:val="0"/>
      <w:kern w:val="0"/>
      <w:sz w:val="24"/>
      <w:szCs w:val="20"/>
    </w:rPr>
  </w:style>
  <w:style w:type="paragraph" w:customStyle="1" w:styleId="1596">
    <w:name w:val="图号样式100"/>
    <w:basedOn w:val="33"/>
    <w:semiHidden/>
    <w:qFormat/>
    <w:uiPriority w:val="0"/>
    <w:pPr>
      <w:widowControl/>
      <w:spacing w:after="0" w:line="360" w:lineRule="auto"/>
      <w:jc w:val="center"/>
    </w:pPr>
    <w:rPr>
      <w:rFonts w:ascii="宋体" w:hAnsi="宋体"/>
      <w:kern w:val="0"/>
      <w:sz w:val="24"/>
    </w:rPr>
  </w:style>
  <w:style w:type="paragraph" w:customStyle="1" w:styleId="1597">
    <w:name w:val="表格文字第1行"/>
    <w:next w:val="1"/>
    <w:semiHidden/>
    <w:qFormat/>
    <w:uiPriority w:val="0"/>
    <w:pPr>
      <w:spacing w:beforeLines="20" w:line="264" w:lineRule="auto"/>
      <w:jc w:val="center"/>
    </w:pPr>
    <w:rPr>
      <w:rFonts w:ascii="Calibri" w:hAnsi="Calibri" w:eastAsia="仿宋_GB2312" w:cs="Times New Roman"/>
      <w:kern w:val="2"/>
      <w:sz w:val="21"/>
      <w:szCs w:val="24"/>
      <w:lang w:val="en-US" w:eastAsia="zh-CN" w:bidi="ar-SA"/>
    </w:rPr>
  </w:style>
  <w:style w:type="paragraph" w:customStyle="1" w:styleId="1598">
    <w:name w:val="图名"/>
    <w:basedOn w:val="1"/>
    <w:semiHidden/>
    <w:qFormat/>
    <w:uiPriority w:val="0"/>
    <w:pPr>
      <w:spacing w:beforeLines="20" w:afterLines="20" w:line="300" w:lineRule="auto"/>
      <w:ind w:firstLine="480" w:firstLineChars="200"/>
      <w:jc w:val="center"/>
    </w:pPr>
    <w:rPr>
      <w:rFonts w:ascii="Arial" w:hAnsi="Arial" w:eastAsia="楷体_GB2312"/>
      <w:b/>
      <w:bCs/>
      <w:sz w:val="24"/>
      <w:szCs w:val="21"/>
    </w:rPr>
  </w:style>
  <w:style w:type="paragraph" w:customStyle="1" w:styleId="1599">
    <w:name w:val="表格文字独行"/>
    <w:next w:val="1"/>
    <w:semiHidden/>
    <w:qFormat/>
    <w:uiPriority w:val="0"/>
    <w:pPr>
      <w:spacing w:beforeLines="20" w:afterLines="20" w:line="264" w:lineRule="auto"/>
      <w:jc w:val="center"/>
    </w:pPr>
    <w:rPr>
      <w:rFonts w:ascii="Calibri" w:hAnsi="Calibri" w:eastAsia="仿宋_GB2312" w:cs="Times New Roman"/>
      <w:kern w:val="2"/>
      <w:sz w:val="21"/>
      <w:szCs w:val="24"/>
      <w:lang w:val="en-US" w:eastAsia="zh-CN" w:bidi="ar-SA"/>
    </w:rPr>
  </w:style>
  <w:style w:type="paragraph" w:customStyle="1" w:styleId="1600">
    <w:name w:val="表格文字居中"/>
    <w:basedOn w:val="85"/>
    <w:semiHidden/>
    <w:qFormat/>
    <w:uiPriority w:val="0"/>
    <w:pPr>
      <w:tabs>
        <w:tab w:val="left" w:pos="628"/>
        <w:tab w:val="left" w:pos="1727"/>
        <w:tab w:val="left" w:pos="1884"/>
      </w:tabs>
      <w:adjustRightInd w:val="0"/>
      <w:snapToGrid w:val="0"/>
      <w:spacing w:afterLines="100" w:line="480" w:lineRule="exact"/>
      <w:ind w:firstLine="0"/>
      <w:jc w:val="center"/>
    </w:pPr>
    <w:rPr>
      <w:rFonts w:ascii="宋体" w:hAnsi="宋体" w:eastAsia="汉鼎简书宋"/>
      <w:bCs/>
      <w:kern w:val="32"/>
      <w:sz w:val="18"/>
      <w:szCs w:val="18"/>
    </w:rPr>
  </w:style>
  <w:style w:type="paragraph" w:customStyle="1" w:styleId="1601">
    <w:name w:val="表格文字两端对齐"/>
    <w:basedOn w:val="1"/>
    <w:semiHidden/>
    <w:qFormat/>
    <w:uiPriority w:val="0"/>
    <w:pPr>
      <w:spacing w:line="300" w:lineRule="auto"/>
      <w:ind w:firstLine="420" w:firstLineChars="200"/>
      <w:jc w:val="center"/>
    </w:pPr>
    <w:rPr>
      <w:rFonts w:ascii="Arial Narrow" w:hAnsi="Arial Narrow" w:eastAsia="仿宋_GB2312"/>
      <w:color w:val="000000"/>
      <w:kern w:val="0"/>
      <w:sz w:val="24"/>
      <w:szCs w:val="21"/>
    </w:rPr>
  </w:style>
  <w:style w:type="paragraph" w:customStyle="1" w:styleId="1602">
    <w:name w:val="表格文字－四号"/>
    <w:basedOn w:val="1"/>
    <w:semiHidden/>
    <w:qFormat/>
    <w:uiPriority w:val="0"/>
    <w:pPr>
      <w:adjustRightInd w:val="0"/>
      <w:snapToGrid w:val="0"/>
      <w:spacing w:line="360" w:lineRule="auto"/>
    </w:pPr>
    <w:rPr>
      <w:rFonts w:ascii="Calibri" w:hAnsi="Calibri"/>
      <w:sz w:val="28"/>
      <w:szCs w:val="21"/>
    </w:rPr>
  </w:style>
  <w:style w:type="paragraph" w:customStyle="1" w:styleId="1603">
    <w:name w:val="表格文字－小四"/>
    <w:basedOn w:val="1"/>
    <w:semiHidden/>
    <w:qFormat/>
    <w:uiPriority w:val="0"/>
    <w:pPr>
      <w:tabs>
        <w:tab w:val="left" w:pos="1440"/>
      </w:tabs>
      <w:adjustRightInd w:val="0"/>
      <w:snapToGrid w:val="0"/>
      <w:spacing w:line="360" w:lineRule="auto"/>
    </w:pPr>
    <w:rPr>
      <w:rFonts w:ascii="Calibri" w:hAnsi="Calibri"/>
      <w:sz w:val="24"/>
      <w:szCs w:val="21"/>
    </w:rPr>
  </w:style>
  <w:style w:type="paragraph" w:customStyle="1" w:styleId="1604">
    <w:name w:val="表格文字中对齐"/>
    <w:basedOn w:val="1"/>
    <w:semiHidden/>
    <w:qFormat/>
    <w:uiPriority w:val="0"/>
    <w:pPr>
      <w:spacing w:line="300" w:lineRule="auto"/>
      <w:ind w:firstLine="420" w:firstLineChars="200"/>
      <w:jc w:val="center"/>
    </w:pPr>
    <w:rPr>
      <w:rFonts w:ascii="Calibri" w:hAnsi="Calibri"/>
      <w:color w:val="000000"/>
      <w:kern w:val="0"/>
      <w:sz w:val="24"/>
      <w:szCs w:val="21"/>
    </w:rPr>
  </w:style>
  <w:style w:type="paragraph" w:customStyle="1" w:styleId="1605">
    <w:name w:val="表格文字最后1行"/>
    <w:next w:val="1"/>
    <w:semiHidden/>
    <w:qFormat/>
    <w:uiPriority w:val="0"/>
    <w:pPr>
      <w:spacing w:afterLines="20" w:line="264" w:lineRule="auto"/>
      <w:jc w:val="center"/>
    </w:pPr>
    <w:rPr>
      <w:rFonts w:ascii="Calibri" w:hAnsi="Calibri" w:eastAsia="仿宋_GB2312" w:cs="Times New Roman"/>
      <w:kern w:val="2"/>
      <w:sz w:val="21"/>
      <w:szCs w:val="24"/>
      <w:lang w:val="en-US" w:eastAsia="zh-CN" w:bidi="ar-SA"/>
    </w:rPr>
  </w:style>
  <w:style w:type="paragraph" w:customStyle="1" w:styleId="1606">
    <w:name w:val="表格文字左"/>
    <w:basedOn w:val="1"/>
    <w:semiHidden/>
    <w:qFormat/>
    <w:uiPriority w:val="0"/>
    <w:pPr>
      <w:spacing w:line="240" w:lineRule="atLeast"/>
      <w:jc w:val="center"/>
    </w:pPr>
    <w:rPr>
      <w:rFonts w:ascii="宋体" w:hAnsi="宋体"/>
      <w:color w:val="000000"/>
      <w:kern w:val="0"/>
      <w:sz w:val="24"/>
      <w:szCs w:val="21"/>
    </w:rPr>
  </w:style>
  <w:style w:type="paragraph" w:customStyle="1" w:styleId="1607">
    <w:name w:val="表格五号"/>
    <w:basedOn w:val="1"/>
    <w:semiHidden/>
    <w:qFormat/>
    <w:uiPriority w:val="0"/>
    <w:pPr>
      <w:autoSpaceDE w:val="0"/>
      <w:autoSpaceDN w:val="0"/>
      <w:adjustRightInd w:val="0"/>
      <w:snapToGrid w:val="0"/>
      <w:spacing w:beforeLines="20" w:afterLines="20" w:line="360" w:lineRule="auto"/>
      <w:ind w:firstLine="200" w:firstLineChars="200"/>
    </w:pPr>
    <w:rPr>
      <w:rFonts w:ascii="Arial" w:hAnsi="Arial"/>
      <w:color w:val="000000"/>
      <w:kern w:val="0"/>
      <w:sz w:val="24"/>
      <w:szCs w:val="21"/>
      <w:lang w:val="zh-CN"/>
    </w:rPr>
  </w:style>
  <w:style w:type="paragraph" w:customStyle="1" w:styleId="1608">
    <w:name w:val="表格五号两端齐"/>
    <w:basedOn w:val="1"/>
    <w:semiHidden/>
    <w:qFormat/>
    <w:uiPriority w:val="0"/>
    <w:pPr>
      <w:widowControl/>
      <w:spacing w:beforeLines="20" w:afterLines="20" w:line="264" w:lineRule="auto"/>
      <w:ind w:firstLine="420" w:firstLineChars="200"/>
    </w:pPr>
    <w:rPr>
      <w:rFonts w:ascii="Calibri" w:hAnsi="Calibri" w:eastAsia="仿宋_GB2312"/>
      <w:color w:val="000000"/>
      <w:kern w:val="0"/>
      <w:sz w:val="24"/>
      <w:szCs w:val="21"/>
    </w:rPr>
  </w:style>
  <w:style w:type="paragraph" w:customStyle="1" w:styleId="1609">
    <w:name w:val="表格样式11"/>
    <w:basedOn w:val="1"/>
    <w:semiHidden/>
    <w:qFormat/>
    <w:uiPriority w:val="0"/>
    <w:pPr>
      <w:spacing w:line="360" w:lineRule="exact"/>
      <w:jc w:val="center"/>
    </w:pPr>
    <w:rPr>
      <w:rFonts w:ascii="宋体" w:hAnsi="宋体" w:cs="Arial"/>
      <w:szCs w:val="21"/>
    </w:rPr>
  </w:style>
  <w:style w:type="paragraph" w:customStyle="1" w:styleId="1610">
    <w:name w:val="表格样式2"/>
    <w:basedOn w:val="859"/>
    <w:semiHidden/>
    <w:qFormat/>
    <w:uiPriority w:val="0"/>
    <w:pPr>
      <w:adjustRightInd w:val="0"/>
      <w:snapToGrid w:val="0"/>
      <w:spacing w:line="240" w:lineRule="auto"/>
      <w:ind w:left="-57" w:right="-57"/>
    </w:pPr>
    <w:rPr>
      <w:color w:val="000000"/>
      <w:sz w:val="18"/>
      <w:szCs w:val="18"/>
    </w:rPr>
  </w:style>
  <w:style w:type="paragraph" w:customStyle="1" w:styleId="1611">
    <w:name w:val="表格样式3"/>
    <w:basedOn w:val="859"/>
    <w:semiHidden/>
    <w:qFormat/>
    <w:uiPriority w:val="0"/>
    <w:pPr>
      <w:spacing w:line="320" w:lineRule="exact"/>
      <w:ind w:right="105" w:rightChars="50"/>
    </w:pPr>
    <w:rPr>
      <w:szCs w:val="21"/>
    </w:rPr>
  </w:style>
  <w:style w:type="paragraph" w:customStyle="1" w:styleId="1612">
    <w:name w:val="表格样式4"/>
    <w:basedOn w:val="1"/>
    <w:semiHidden/>
    <w:qFormat/>
    <w:uiPriority w:val="0"/>
    <w:pPr>
      <w:spacing w:line="260" w:lineRule="exact"/>
      <w:ind w:left="-50" w:leftChars="-50" w:right="-50" w:rightChars="-50" w:firstLine="200" w:firstLineChars="200"/>
      <w:jc w:val="center"/>
    </w:pPr>
    <w:rPr>
      <w:rFonts w:ascii="宋体" w:hAnsi="宋体"/>
      <w:color w:val="FF0000"/>
      <w:sz w:val="18"/>
      <w:szCs w:val="21"/>
    </w:rPr>
  </w:style>
  <w:style w:type="paragraph" w:customStyle="1" w:styleId="1613">
    <w:name w:val="表格样式5"/>
    <w:basedOn w:val="1611"/>
    <w:semiHidden/>
    <w:qFormat/>
    <w:uiPriority w:val="0"/>
  </w:style>
  <w:style w:type="paragraph" w:customStyle="1" w:styleId="1614">
    <w:name w:val="表格用"/>
    <w:basedOn w:val="33"/>
    <w:qFormat/>
    <w:uiPriority w:val="0"/>
    <w:pPr>
      <w:adjustRightInd w:val="0"/>
      <w:snapToGrid w:val="0"/>
      <w:spacing w:after="0" w:line="620" w:lineRule="exact"/>
      <w:ind w:firstLine="69" w:firstLineChars="33"/>
    </w:pPr>
    <w:rPr>
      <w:rFonts w:ascii="宋体" w:hAnsi="宋体" w:cs="Arial Unicode MS"/>
      <w:snapToGrid w:val="0"/>
      <w:color w:val="000000"/>
      <w:kern w:val="0"/>
      <w:sz w:val="28"/>
      <w:szCs w:val="20"/>
    </w:rPr>
  </w:style>
  <w:style w:type="paragraph" w:customStyle="1" w:styleId="1615">
    <w:name w:val="表格中"/>
    <w:basedOn w:val="1"/>
    <w:semiHidden/>
    <w:qFormat/>
    <w:uiPriority w:val="0"/>
    <w:pPr>
      <w:spacing w:line="280" w:lineRule="exact"/>
      <w:jc w:val="center"/>
    </w:pPr>
    <w:rPr>
      <w:rFonts w:ascii="宋体" w:hAnsi="Calibri"/>
      <w:sz w:val="18"/>
      <w:szCs w:val="21"/>
    </w:rPr>
  </w:style>
  <w:style w:type="paragraph" w:customStyle="1" w:styleId="1616">
    <w:name w:val="表格字"/>
    <w:basedOn w:val="1"/>
    <w:semiHidden/>
    <w:qFormat/>
    <w:uiPriority w:val="0"/>
    <w:pPr>
      <w:spacing w:line="300" w:lineRule="atLeast"/>
      <w:jc w:val="center"/>
    </w:pPr>
    <w:rPr>
      <w:rFonts w:ascii="宋体" w:hAnsi="宋体"/>
      <w:szCs w:val="21"/>
    </w:rPr>
  </w:style>
  <w:style w:type="paragraph" w:customStyle="1" w:styleId="1617">
    <w:name w:val="表格字体"/>
    <w:basedOn w:val="1"/>
    <w:semiHidden/>
    <w:qFormat/>
    <w:uiPriority w:val="0"/>
    <w:pPr>
      <w:adjustRightInd w:val="0"/>
      <w:snapToGrid w:val="0"/>
    </w:pPr>
    <w:rPr>
      <w:rFonts w:ascii="Calibri" w:hAnsi="Calibri" w:eastAsia="仿宋_GB2312"/>
      <w:kern w:val="0"/>
      <w:szCs w:val="21"/>
    </w:rPr>
  </w:style>
  <w:style w:type="paragraph" w:customStyle="1" w:styleId="1618">
    <w:name w:val="表格左对齐"/>
    <w:basedOn w:val="1"/>
    <w:semiHidden/>
    <w:qFormat/>
    <w:uiPriority w:val="0"/>
    <w:pPr>
      <w:adjustRightInd w:val="0"/>
      <w:snapToGrid w:val="0"/>
      <w:spacing w:line="360" w:lineRule="auto"/>
      <w:jc w:val="left"/>
      <w:textAlignment w:val="baseline"/>
    </w:pPr>
    <w:rPr>
      <w:rFonts w:ascii="宋体" w:hAnsi="Arial"/>
      <w:bCs/>
      <w:kern w:val="0"/>
      <w:sz w:val="24"/>
      <w:szCs w:val="20"/>
    </w:rPr>
  </w:style>
  <w:style w:type="paragraph" w:customStyle="1" w:styleId="1619">
    <w:name w:val="表号"/>
    <w:semiHidden/>
    <w:qFormat/>
    <w:uiPriority w:val="0"/>
    <w:pPr>
      <w:adjustRightInd w:val="0"/>
      <w:snapToGrid w:val="0"/>
      <w:spacing w:line="240" w:lineRule="atLeast"/>
      <w:jc w:val="both"/>
      <w:outlineLvl w:val="4"/>
    </w:pPr>
    <w:rPr>
      <w:rFonts w:ascii="宋体" w:hAnsi="宋体" w:eastAsia="宋体" w:cs="Times New Roman"/>
      <w:kern w:val="2"/>
      <w:sz w:val="24"/>
      <w:szCs w:val="24"/>
      <w:lang w:val="en-US" w:eastAsia="zh-CN" w:bidi="ar-SA"/>
    </w:rPr>
  </w:style>
  <w:style w:type="paragraph" w:customStyle="1" w:styleId="1620">
    <w:name w:val="表号 Char Char Char"/>
    <w:semiHidden/>
    <w:qFormat/>
    <w:uiPriority w:val="0"/>
    <w:pPr>
      <w:adjustRightInd w:val="0"/>
      <w:snapToGrid w:val="0"/>
      <w:spacing w:line="240" w:lineRule="exact"/>
      <w:jc w:val="both"/>
      <w:outlineLvl w:val="4"/>
    </w:pPr>
    <w:rPr>
      <w:rFonts w:ascii="Calibri" w:hAnsi="Calibri" w:eastAsia="宋体" w:cs="宋体"/>
      <w:kern w:val="2"/>
      <w:sz w:val="24"/>
      <w:szCs w:val="24"/>
      <w:lang w:val="en-US" w:eastAsia="zh-CN" w:bidi="ar-SA"/>
    </w:rPr>
  </w:style>
  <w:style w:type="paragraph" w:customStyle="1" w:styleId="1621">
    <w:name w:val="表后空行"/>
    <w:basedOn w:val="1"/>
    <w:semiHidden/>
    <w:qFormat/>
    <w:uiPriority w:val="0"/>
    <w:pPr>
      <w:overflowPunct w:val="0"/>
      <w:adjustRightInd w:val="0"/>
      <w:spacing w:line="360" w:lineRule="auto"/>
      <w:textAlignment w:val="baseline"/>
    </w:pPr>
    <w:rPr>
      <w:rFonts w:ascii="Calibri" w:hAnsi="Calibri"/>
      <w:color w:val="000000"/>
      <w:kern w:val="28"/>
      <w:sz w:val="10"/>
      <w:szCs w:val="20"/>
    </w:rPr>
  </w:style>
  <w:style w:type="paragraph" w:customStyle="1" w:styleId="1622">
    <w:name w:val="表名称"/>
    <w:basedOn w:val="65"/>
    <w:semiHidden/>
    <w:qFormat/>
    <w:uiPriority w:val="0"/>
    <w:pPr>
      <w:widowControl/>
      <w:tabs>
        <w:tab w:val="left" w:pos="720"/>
      </w:tabs>
      <w:overflowPunct w:val="0"/>
      <w:autoSpaceDE w:val="0"/>
      <w:autoSpaceDN w:val="0"/>
      <w:adjustRightInd w:val="0"/>
      <w:spacing w:after="80" w:line="300" w:lineRule="exact"/>
      <w:ind w:left="0" w:firstLine="0" w:firstLineChars="0"/>
      <w:jc w:val="center"/>
      <w:textAlignment w:val="baseline"/>
    </w:pPr>
    <w:rPr>
      <w:rFonts w:ascii="Calibri" w:hAnsi="Calibri" w:eastAsia="汉鼎简书宋" w:cs="宋体"/>
      <w:kern w:val="0"/>
      <w:sz w:val="20"/>
      <w:szCs w:val="20"/>
    </w:rPr>
  </w:style>
  <w:style w:type="paragraph" w:customStyle="1" w:styleId="1623">
    <w:name w:val="表内"/>
    <w:basedOn w:val="1"/>
    <w:next w:val="1"/>
    <w:semiHidden/>
    <w:qFormat/>
    <w:uiPriority w:val="0"/>
    <w:pPr>
      <w:adjustRightInd w:val="0"/>
      <w:snapToGrid w:val="0"/>
      <w:spacing w:before="120" w:after="120" w:line="288" w:lineRule="auto"/>
      <w:ind w:firstLine="420" w:firstLineChars="200"/>
      <w:jc w:val="center"/>
    </w:pPr>
    <w:rPr>
      <w:rFonts w:ascii="Calibri" w:hAnsi="Calibri"/>
      <w:snapToGrid w:val="0"/>
      <w:sz w:val="24"/>
      <w:szCs w:val="20"/>
    </w:rPr>
  </w:style>
  <w:style w:type="paragraph" w:customStyle="1" w:styleId="1624">
    <w:name w:val="表内5"/>
    <w:basedOn w:val="1"/>
    <w:semiHidden/>
    <w:qFormat/>
    <w:uiPriority w:val="0"/>
    <w:pPr>
      <w:tabs>
        <w:tab w:val="left" w:pos="4305"/>
      </w:tabs>
      <w:adjustRightInd w:val="0"/>
      <w:snapToGrid w:val="0"/>
      <w:jc w:val="center"/>
    </w:pPr>
    <w:rPr>
      <w:rFonts w:ascii="宋体" w:hAnsi="宋体"/>
      <w:color w:val="000000"/>
      <w:szCs w:val="21"/>
    </w:rPr>
  </w:style>
  <w:style w:type="paragraph" w:customStyle="1" w:styleId="1625">
    <w:name w:val="表内59"/>
    <w:basedOn w:val="1"/>
    <w:semiHidden/>
    <w:qFormat/>
    <w:uiPriority w:val="0"/>
    <w:pPr>
      <w:adjustRightInd w:val="0"/>
      <w:snapToGrid w:val="0"/>
      <w:spacing w:line="300" w:lineRule="auto"/>
      <w:ind w:left="-89" w:leftChars="-37"/>
      <w:jc w:val="center"/>
    </w:pPr>
    <w:rPr>
      <w:rFonts w:ascii="宋体" w:hAnsi="Calibri"/>
      <w:snapToGrid w:val="0"/>
      <w:szCs w:val="21"/>
    </w:rPr>
  </w:style>
  <w:style w:type="paragraph" w:customStyle="1" w:styleId="1626">
    <w:name w:val="表内5中2"/>
    <w:basedOn w:val="1"/>
    <w:semiHidden/>
    <w:qFormat/>
    <w:uiPriority w:val="0"/>
    <w:pPr>
      <w:adjustRightInd w:val="0"/>
      <w:snapToGrid w:val="0"/>
      <w:jc w:val="center"/>
    </w:pPr>
    <w:rPr>
      <w:rFonts w:ascii="宋体" w:hAnsi="Calibri"/>
      <w:color w:val="000000"/>
      <w:szCs w:val="21"/>
    </w:rPr>
  </w:style>
  <w:style w:type="paragraph" w:customStyle="1" w:styleId="1627">
    <w:name w:val="表内5中4"/>
    <w:basedOn w:val="1"/>
    <w:semiHidden/>
    <w:qFormat/>
    <w:uiPriority w:val="0"/>
    <w:pPr>
      <w:adjustRightInd w:val="0"/>
      <w:snapToGrid w:val="0"/>
      <w:jc w:val="center"/>
    </w:pPr>
    <w:rPr>
      <w:rFonts w:ascii="宋体" w:hAnsi="Calibri"/>
      <w:bCs/>
      <w:szCs w:val="20"/>
    </w:rPr>
  </w:style>
  <w:style w:type="paragraph" w:customStyle="1" w:styleId="1628">
    <w:name w:val="表内格式"/>
    <w:basedOn w:val="1"/>
    <w:semiHidden/>
    <w:qFormat/>
    <w:uiPriority w:val="0"/>
    <w:pPr>
      <w:jc w:val="center"/>
    </w:pPr>
    <w:rPr>
      <w:rFonts w:ascii="Calibri" w:hAnsi="Calibri"/>
      <w:sz w:val="18"/>
      <w:szCs w:val="20"/>
    </w:rPr>
  </w:style>
  <w:style w:type="paragraph" w:customStyle="1" w:styleId="1629">
    <w:name w:val="表内容"/>
    <w:basedOn w:val="1"/>
    <w:semiHidden/>
    <w:qFormat/>
    <w:uiPriority w:val="0"/>
    <w:pPr>
      <w:adjustRightInd w:val="0"/>
      <w:snapToGrid w:val="0"/>
      <w:spacing w:line="240" w:lineRule="atLeast"/>
      <w:jc w:val="center"/>
    </w:pPr>
    <w:rPr>
      <w:rFonts w:ascii="Arial Narrow" w:hAnsi="Arial Narrow"/>
      <w:szCs w:val="21"/>
    </w:rPr>
  </w:style>
  <w:style w:type="paragraph" w:customStyle="1" w:styleId="1630">
    <w:name w:val="表内容中"/>
    <w:basedOn w:val="49"/>
    <w:semiHidden/>
    <w:qFormat/>
    <w:uiPriority w:val="0"/>
    <w:pPr>
      <w:widowControl/>
      <w:jc w:val="center"/>
    </w:pPr>
    <w:rPr>
      <w:rFonts w:ascii="楷体_GB2312" w:hAnsi="宋体" w:eastAsia="楷体_GB2312"/>
      <w:color w:val="000000"/>
      <w:sz w:val="21"/>
      <w:szCs w:val="21"/>
    </w:rPr>
  </w:style>
  <w:style w:type="paragraph" w:customStyle="1" w:styleId="1631">
    <w:name w:val="表内式样"/>
    <w:semiHidden/>
    <w:qFormat/>
    <w:uiPriority w:val="0"/>
    <w:pPr>
      <w:keepLines/>
      <w:widowControl w:val="0"/>
      <w:kinsoku w:val="0"/>
      <w:overflowPunct w:val="0"/>
      <w:adjustRightInd w:val="0"/>
      <w:spacing w:line="360" w:lineRule="atLeast"/>
      <w:jc w:val="center"/>
    </w:pPr>
    <w:rPr>
      <w:rFonts w:ascii="宋体" w:hAnsi="Calibri" w:eastAsia="宋体" w:cs="Times New Roman"/>
      <w:kern w:val="21"/>
      <w:sz w:val="21"/>
      <w:szCs w:val="21"/>
      <w:lang w:val="en-US" w:eastAsia="zh-CN" w:bidi="ar-SA"/>
    </w:rPr>
  </w:style>
  <w:style w:type="paragraph" w:customStyle="1" w:styleId="1632">
    <w:name w:val="表内宋5中"/>
    <w:basedOn w:val="1"/>
    <w:semiHidden/>
    <w:qFormat/>
    <w:uiPriority w:val="0"/>
    <w:pPr>
      <w:adjustRightInd w:val="0"/>
      <w:snapToGrid w:val="0"/>
      <w:ind w:left="-105" w:leftChars="-50" w:right="-105" w:rightChars="-50"/>
      <w:jc w:val="center"/>
      <w:textAlignment w:val="baseline"/>
    </w:pPr>
    <w:rPr>
      <w:rFonts w:ascii="宋体" w:hAnsi="宋体"/>
      <w:kern w:val="0"/>
      <w:szCs w:val="20"/>
    </w:rPr>
  </w:style>
  <w:style w:type="paragraph" w:customStyle="1" w:styleId="1633">
    <w:name w:val="表内文字2"/>
    <w:basedOn w:val="1"/>
    <w:semiHidden/>
    <w:qFormat/>
    <w:uiPriority w:val="0"/>
    <w:pPr>
      <w:autoSpaceDE w:val="0"/>
      <w:autoSpaceDN w:val="0"/>
      <w:spacing w:line="400" w:lineRule="exact"/>
      <w:ind w:firstLine="200" w:firstLineChars="200"/>
      <w:jc w:val="center"/>
    </w:pPr>
    <w:rPr>
      <w:rFonts w:ascii="Calibri" w:hAnsi="Calibri"/>
      <w:color w:val="000000"/>
      <w:kern w:val="0"/>
      <w:sz w:val="24"/>
      <w:szCs w:val="21"/>
    </w:rPr>
  </w:style>
  <w:style w:type="paragraph" w:customStyle="1" w:styleId="1634">
    <w:name w:val="表内五号两端对齐"/>
    <w:basedOn w:val="1"/>
    <w:semiHidden/>
    <w:qFormat/>
    <w:uiPriority w:val="0"/>
    <w:pPr>
      <w:adjustRightInd w:val="0"/>
      <w:snapToGrid w:val="0"/>
      <w:spacing w:line="360" w:lineRule="auto"/>
      <w:jc w:val="center"/>
    </w:pPr>
    <w:rPr>
      <w:rFonts w:ascii="Arial" w:hAnsi="Arial"/>
      <w:sz w:val="24"/>
      <w:szCs w:val="21"/>
    </w:rPr>
  </w:style>
  <w:style w:type="paragraph" w:customStyle="1" w:styleId="1635">
    <w:name w:val="表内序号"/>
    <w:basedOn w:val="1"/>
    <w:semiHidden/>
    <w:qFormat/>
    <w:uiPriority w:val="0"/>
    <w:pPr>
      <w:widowControl/>
      <w:adjustRightInd w:val="0"/>
      <w:snapToGrid w:val="0"/>
      <w:spacing w:line="360" w:lineRule="auto"/>
      <w:jc w:val="center"/>
    </w:pPr>
    <w:rPr>
      <w:rFonts w:ascii="Calibri" w:hAnsi="Calibri"/>
      <w:kern w:val="0"/>
      <w:sz w:val="24"/>
      <w:szCs w:val="20"/>
    </w:rPr>
  </w:style>
  <w:style w:type="paragraph" w:customStyle="1" w:styleId="1636">
    <w:name w:val="表内字"/>
    <w:basedOn w:val="44"/>
    <w:semiHidden/>
    <w:qFormat/>
    <w:uiPriority w:val="0"/>
    <w:pPr>
      <w:spacing w:line="300" w:lineRule="auto"/>
      <w:ind w:firstLine="0" w:firstLineChars="0"/>
      <w:jc w:val="center"/>
    </w:pPr>
    <w:rPr>
      <w:rFonts w:ascii="Arial" w:hAnsi="Arial" w:cs="Times New Roman"/>
      <w:snapToGrid w:val="0"/>
      <w:kern w:val="0"/>
      <w:sz w:val="21"/>
      <w:szCs w:val="20"/>
    </w:rPr>
  </w:style>
  <w:style w:type="paragraph" w:customStyle="1" w:styleId="1637">
    <w:name w:val="表前文字"/>
    <w:basedOn w:val="1"/>
    <w:semiHidden/>
    <w:qFormat/>
    <w:uiPriority w:val="0"/>
    <w:pPr>
      <w:spacing w:line="360" w:lineRule="auto"/>
      <w:ind w:firstLine="420" w:firstLineChars="200"/>
      <w:jc w:val="center"/>
    </w:pPr>
    <w:rPr>
      <w:rFonts w:ascii="宋体" w:hAnsi="宋体"/>
      <w:sz w:val="24"/>
      <w:szCs w:val="21"/>
    </w:rPr>
  </w:style>
  <w:style w:type="paragraph" w:customStyle="1" w:styleId="1638">
    <w:name w:val="表题"/>
    <w:basedOn w:val="20"/>
    <w:semiHidden/>
    <w:qFormat/>
    <w:uiPriority w:val="0"/>
    <w:pPr>
      <w:adjustRightInd/>
      <w:spacing w:line="100" w:lineRule="atLeast"/>
      <w:jc w:val="center"/>
      <w:textAlignment w:val="auto"/>
    </w:pPr>
    <w:rPr>
      <w:rFonts w:hAnsi="Calibri"/>
      <w:kern w:val="2"/>
      <w:szCs w:val="28"/>
    </w:rPr>
  </w:style>
  <w:style w:type="paragraph" w:customStyle="1" w:styleId="1639">
    <w:name w:val="表题9"/>
    <w:basedOn w:val="44"/>
    <w:semiHidden/>
    <w:qFormat/>
    <w:uiPriority w:val="0"/>
    <w:pPr>
      <w:tabs>
        <w:tab w:val="left" w:pos="2880"/>
      </w:tabs>
      <w:adjustRightInd w:val="0"/>
      <w:snapToGrid w:val="0"/>
      <w:spacing w:beforeLines="50" w:line="300" w:lineRule="auto"/>
      <w:ind w:firstLine="0" w:firstLineChars="0"/>
    </w:pPr>
    <w:rPr>
      <w:rFonts w:ascii="黑体" w:hAnsi="Courier New" w:eastAsia="黑体" w:cs="Times New Roman"/>
      <w:sz w:val="21"/>
    </w:rPr>
  </w:style>
  <w:style w:type="paragraph" w:customStyle="1" w:styleId="1640">
    <w:name w:val="表体宋旭峰"/>
    <w:basedOn w:val="1"/>
    <w:semiHidden/>
    <w:qFormat/>
    <w:uiPriority w:val="0"/>
    <w:pPr>
      <w:overflowPunct w:val="0"/>
      <w:spacing w:line="280" w:lineRule="atLeast"/>
      <w:ind w:firstLine="420" w:firstLineChars="200"/>
      <w:textAlignment w:val="baseline"/>
    </w:pPr>
    <w:rPr>
      <w:rFonts w:ascii="Calibri" w:hAnsi="Courier New" w:cs="Courier New"/>
      <w:snapToGrid w:val="0"/>
      <w:color w:val="000000"/>
      <w:kern w:val="24"/>
      <w:sz w:val="18"/>
      <w:szCs w:val="20"/>
    </w:rPr>
  </w:style>
  <w:style w:type="paragraph" w:customStyle="1" w:styleId="1641">
    <w:name w:val="表体正文3"/>
    <w:basedOn w:val="1"/>
    <w:next w:val="1"/>
    <w:semiHidden/>
    <w:qFormat/>
    <w:uiPriority w:val="0"/>
    <w:pPr>
      <w:jc w:val="center"/>
    </w:pPr>
    <w:rPr>
      <w:rFonts w:ascii="宋体" w:hAnsi="宋体"/>
      <w:spacing w:val="-2"/>
      <w:sz w:val="18"/>
      <w:szCs w:val="21"/>
    </w:rPr>
  </w:style>
  <w:style w:type="paragraph" w:customStyle="1" w:styleId="1642">
    <w:name w:val="表头 Char Char Char1"/>
    <w:basedOn w:val="1"/>
    <w:next w:val="1"/>
    <w:semiHidden/>
    <w:qFormat/>
    <w:uiPriority w:val="0"/>
    <w:pPr>
      <w:tabs>
        <w:tab w:val="left" w:pos="6840"/>
      </w:tabs>
      <w:topLinePunct/>
      <w:snapToGrid w:val="0"/>
      <w:ind w:firstLine="482" w:firstLineChars="200"/>
      <w:jc w:val="center"/>
    </w:pPr>
    <w:rPr>
      <w:rFonts w:ascii="黑体" w:hAnsi="宋体" w:eastAsia="黑体"/>
      <w:b/>
      <w:bCs/>
      <w:color w:val="000000"/>
      <w:kern w:val="24"/>
      <w:sz w:val="24"/>
      <w:szCs w:val="21"/>
    </w:rPr>
  </w:style>
  <w:style w:type="paragraph" w:customStyle="1" w:styleId="1643">
    <w:name w:val="表头1"/>
    <w:basedOn w:val="1"/>
    <w:semiHidden/>
    <w:qFormat/>
    <w:uiPriority w:val="0"/>
    <w:pPr>
      <w:spacing w:line="280" w:lineRule="exact"/>
      <w:jc w:val="left"/>
    </w:pPr>
    <w:rPr>
      <w:rFonts w:ascii="Calibri" w:hAnsi="Calibri"/>
      <w:sz w:val="24"/>
      <w:szCs w:val="21"/>
    </w:rPr>
  </w:style>
  <w:style w:type="paragraph" w:customStyle="1" w:styleId="1644">
    <w:name w:val="表头2"/>
    <w:basedOn w:val="1"/>
    <w:next w:val="1"/>
    <w:semiHidden/>
    <w:qFormat/>
    <w:uiPriority w:val="0"/>
    <w:pPr>
      <w:adjustRightInd w:val="0"/>
      <w:snapToGrid w:val="0"/>
      <w:spacing w:beforeLines="50" w:line="360" w:lineRule="auto"/>
      <w:ind w:firstLine="420" w:firstLineChars="200"/>
      <w:jc w:val="center"/>
    </w:pPr>
    <w:rPr>
      <w:rFonts w:ascii="楷体_GB2312" w:hAnsi="宋体" w:eastAsia="楷体_GB2312"/>
      <w:b/>
      <w:spacing w:val="10"/>
      <w:sz w:val="24"/>
      <w:szCs w:val="21"/>
    </w:rPr>
  </w:style>
  <w:style w:type="paragraph" w:customStyle="1" w:styleId="1645">
    <w:name w:val="表头名称"/>
    <w:basedOn w:val="20"/>
    <w:semiHidden/>
    <w:qFormat/>
    <w:uiPriority w:val="0"/>
    <w:pPr>
      <w:autoSpaceDE w:val="0"/>
      <w:autoSpaceDN w:val="0"/>
      <w:jc w:val="center"/>
      <w:textAlignment w:val="auto"/>
    </w:pPr>
    <w:rPr>
      <w:rFonts w:ascii="黑体" w:hAnsi="宋体" w:eastAsia="黑体"/>
    </w:rPr>
  </w:style>
  <w:style w:type="paragraph" w:customStyle="1" w:styleId="1646">
    <w:name w:val="表头图名"/>
    <w:basedOn w:val="36"/>
    <w:semiHidden/>
    <w:qFormat/>
    <w:uiPriority w:val="0"/>
    <w:pPr>
      <w:ind w:left="900" w:hanging="480"/>
    </w:pPr>
    <w:rPr>
      <w:rFonts w:ascii="黑体" w:hAnsi="Calibri" w:eastAsia="黑体"/>
      <w:sz w:val="24"/>
      <w:szCs w:val="21"/>
    </w:rPr>
  </w:style>
  <w:style w:type="paragraph" w:customStyle="1" w:styleId="1647">
    <w:name w:val="表头样式1"/>
    <w:basedOn w:val="1"/>
    <w:semiHidden/>
    <w:qFormat/>
    <w:uiPriority w:val="0"/>
    <w:pPr>
      <w:spacing w:beforeLines="50"/>
      <w:jc w:val="center"/>
    </w:pPr>
    <w:rPr>
      <w:rFonts w:ascii="Calibri" w:hAnsi="Calibri" w:eastAsia="黑体"/>
      <w:b/>
      <w:sz w:val="24"/>
      <w:szCs w:val="20"/>
    </w:rPr>
  </w:style>
  <w:style w:type="paragraph" w:customStyle="1" w:styleId="1648">
    <w:name w:val="表尾"/>
    <w:basedOn w:val="1"/>
    <w:semiHidden/>
    <w:qFormat/>
    <w:uiPriority w:val="0"/>
    <w:pPr>
      <w:tabs>
        <w:tab w:val="left" w:pos="1021"/>
      </w:tabs>
      <w:spacing w:line="200" w:lineRule="exact"/>
    </w:pPr>
    <w:rPr>
      <w:rFonts w:ascii="Calibri" w:hAnsi="Calibri"/>
      <w:sz w:val="10"/>
      <w:szCs w:val="20"/>
    </w:rPr>
  </w:style>
  <w:style w:type="paragraph" w:customStyle="1" w:styleId="1649">
    <w:name w:val="表文"/>
    <w:basedOn w:val="1"/>
    <w:qFormat/>
    <w:uiPriority w:val="0"/>
    <w:pPr>
      <w:spacing w:beforeLines="20" w:afterLines="20" w:line="280" w:lineRule="exact"/>
      <w:ind w:left="-2" w:leftChars="-1" w:right="-506" w:rightChars="-241"/>
      <w:jc w:val="center"/>
    </w:pPr>
    <w:rPr>
      <w:rFonts w:ascii="黑体" w:hAnsi="宋体"/>
      <w:szCs w:val="20"/>
    </w:rPr>
  </w:style>
  <w:style w:type="paragraph" w:customStyle="1" w:styleId="1650">
    <w:name w:val="表文1"/>
    <w:basedOn w:val="1649"/>
    <w:semiHidden/>
    <w:qFormat/>
    <w:uiPriority w:val="0"/>
    <w:pPr>
      <w:spacing w:line="500" w:lineRule="exact"/>
      <w:ind w:left="0" w:leftChars="0" w:right="0" w:rightChars="0"/>
      <w:jc w:val="both"/>
    </w:pPr>
    <w:rPr>
      <w:rFonts w:ascii="CG Times" w:hAnsi="CG Times"/>
    </w:rPr>
  </w:style>
  <w:style w:type="paragraph" w:customStyle="1" w:styleId="1651">
    <w:name w:val="表文5号"/>
    <w:basedOn w:val="1"/>
    <w:semiHidden/>
    <w:qFormat/>
    <w:uiPriority w:val="0"/>
    <w:pPr>
      <w:snapToGrid w:val="0"/>
      <w:spacing w:line="360" w:lineRule="auto"/>
      <w:ind w:firstLine="420" w:firstLineChars="200"/>
      <w:jc w:val="center"/>
    </w:pPr>
    <w:rPr>
      <w:rFonts w:ascii="Calibri" w:hAnsi="Calibri"/>
      <w:sz w:val="24"/>
      <w:szCs w:val="21"/>
    </w:rPr>
  </w:style>
  <w:style w:type="paragraph" w:customStyle="1" w:styleId="1652">
    <w:name w:val="表文字 Char Char Char Char"/>
    <w:basedOn w:val="1"/>
    <w:semiHidden/>
    <w:qFormat/>
    <w:uiPriority w:val="0"/>
    <w:pPr>
      <w:topLinePunct/>
      <w:adjustRightInd w:val="0"/>
      <w:spacing w:line="240" w:lineRule="exact"/>
      <w:textAlignment w:val="baseline"/>
    </w:pPr>
    <w:rPr>
      <w:rFonts w:ascii="Calibri" w:hAnsi="Calibri"/>
      <w:szCs w:val="21"/>
    </w:rPr>
  </w:style>
  <w:style w:type="paragraph" w:customStyle="1" w:styleId="1653">
    <w:name w:val="表文字（小行距）"/>
    <w:basedOn w:val="1"/>
    <w:semiHidden/>
    <w:qFormat/>
    <w:uiPriority w:val="0"/>
    <w:pPr>
      <w:adjustRightInd w:val="0"/>
      <w:spacing w:line="240" w:lineRule="exact"/>
      <w:textAlignment w:val="baseline"/>
    </w:pPr>
    <w:rPr>
      <w:rFonts w:ascii="Calibri" w:hAnsi="Calibri" w:eastAsia="汉鼎简书宋"/>
      <w:kern w:val="0"/>
      <w:szCs w:val="21"/>
    </w:rPr>
  </w:style>
  <w:style w:type="paragraph" w:customStyle="1" w:styleId="1654">
    <w:name w:val="表文字5"/>
    <w:basedOn w:val="1"/>
    <w:semiHidden/>
    <w:qFormat/>
    <w:uiPriority w:val="0"/>
    <w:pPr>
      <w:adjustRightInd w:val="0"/>
      <w:jc w:val="left"/>
      <w:textAlignment w:val="baseline"/>
    </w:pPr>
    <w:rPr>
      <w:rFonts w:ascii="宋体" w:hAnsi="Calibri"/>
      <w:kern w:val="0"/>
      <w:szCs w:val="20"/>
    </w:rPr>
  </w:style>
  <w:style w:type="paragraph" w:customStyle="1" w:styleId="1655">
    <w:name w:val="表文字xxxxxxxx"/>
    <w:basedOn w:val="1"/>
    <w:semiHidden/>
    <w:qFormat/>
    <w:uiPriority w:val="0"/>
    <w:pPr>
      <w:topLinePunct/>
      <w:adjustRightInd w:val="0"/>
      <w:spacing w:line="360" w:lineRule="exact"/>
      <w:jc w:val="center"/>
      <w:textAlignment w:val="baseline"/>
    </w:pPr>
    <w:rPr>
      <w:rFonts w:ascii="Calibri" w:hAnsi="Calibri"/>
      <w:szCs w:val="21"/>
    </w:rPr>
  </w:style>
  <w:style w:type="paragraph" w:customStyle="1" w:styleId="1656">
    <w:name w:val="表中正文居中"/>
    <w:semiHidden/>
    <w:qFormat/>
    <w:uiPriority w:val="0"/>
    <w:pPr>
      <w:spacing w:before="120" w:after="120" w:line="240" w:lineRule="atLeast"/>
      <w:jc w:val="center"/>
    </w:pPr>
    <w:rPr>
      <w:rFonts w:ascii="宋体" w:hAnsi="Calibri" w:eastAsia="宋体" w:cs="Times New Roman"/>
      <w:kern w:val="2"/>
      <w:sz w:val="21"/>
      <w:szCs w:val="21"/>
      <w:lang w:val="en-US" w:eastAsia="zh-CN" w:bidi="ar-SA"/>
    </w:rPr>
  </w:style>
  <w:style w:type="paragraph" w:customStyle="1" w:styleId="1657">
    <w:name w:val="表字"/>
    <w:basedOn w:val="1"/>
    <w:semiHidden/>
    <w:qFormat/>
    <w:uiPriority w:val="0"/>
    <w:pPr>
      <w:jc w:val="center"/>
    </w:pPr>
    <w:rPr>
      <w:rFonts w:ascii="宋体" w:hAnsi="Calibri"/>
      <w:szCs w:val="20"/>
    </w:rPr>
  </w:style>
  <w:style w:type="paragraph" w:customStyle="1" w:styleId="1658">
    <w:name w:val="调研内容"/>
    <w:basedOn w:val="1"/>
    <w:semiHidden/>
    <w:qFormat/>
    <w:uiPriority w:val="0"/>
    <w:pPr>
      <w:spacing w:line="360" w:lineRule="auto"/>
    </w:pPr>
    <w:rPr>
      <w:rFonts w:ascii="Calibri" w:hAnsi="Calibri"/>
      <w:szCs w:val="20"/>
    </w:rPr>
  </w:style>
  <w:style w:type="paragraph" w:customStyle="1" w:styleId="1659">
    <w:name w:val="段缩进"/>
    <w:semiHidden/>
    <w:qFormat/>
    <w:uiPriority w:val="0"/>
    <w:pPr>
      <w:spacing w:line="360" w:lineRule="auto"/>
      <w:ind w:firstLine="200" w:firstLineChars="200"/>
    </w:pPr>
    <w:rPr>
      <w:rFonts w:ascii="宋体" w:hAnsi="Calibri" w:eastAsia="宋体" w:cs="Times New Roman"/>
      <w:kern w:val="2"/>
      <w:sz w:val="21"/>
      <w:szCs w:val="21"/>
      <w:lang w:val="en-US" w:eastAsia="zh-CN" w:bidi="ar-SA"/>
    </w:rPr>
  </w:style>
  <w:style w:type="paragraph" w:customStyle="1" w:styleId="1660">
    <w:name w:val="二级条"/>
    <w:next w:val="5"/>
    <w:semiHidden/>
    <w:qFormat/>
    <w:uiPriority w:val="0"/>
    <w:pPr>
      <w:tabs>
        <w:tab w:val="left" w:pos="720"/>
      </w:tabs>
      <w:spacing w:line="440" w:lineRule="exact"/>
      <w:ind w:left="720" w:hanging="720"/>
    </w:pPr>
    <w:rPr>
      <w:rFonts w:ascii="宋体" w:hAnsi="Calibri" w:eastAsia="宋体" w:cs="Times New Roman"/>
      <w:kern w:val="2"/>
      <w:sz w:val="24"/>
      <w:szCs w:val="21"/>
      <w:lang w:val="en-US" w:eastAsia="zh-CN" w:bidi="ar-SA"/>
    </w:rPr>
  </w:style>
  <w:style w:type="paragraph" w:customStyle="1" w:styleId="1661">
    <w:name w:val="法规列表"/>
    <w:basedOn w:val="1"/>
    <w:semiHidden/>
    <w:qFormat/>
    <w:uiPriority w:val="0"/>
    <w:pPr>
      <w:tabs>
        <w:tab w:val="left" w:pos="420"/>
      </w:tabs>
      <w:spacing w:beforeLines="50" w:line="360" w:lineRule="auto"/>
      <w:ind w:left="420" w:hanging="420" w:firstLineChars="200"/>
    </w:pPr>
    <w:rPr>
      <w:rFonts w:ascii="Calibri" w:hAnsi="Calibri" w:eastAsia="仿宋_GB2312"/>
      <w:sz w:val="24"/>
      <w:szCs w:val="21"/>
    </w:rPr>
  </w:style>
  <w:style w:type="paragraph" w:customStyle="1" w:styleId="1662">
    <w:name w:val="方框"/>
    <w:basedOn w:val="1"/>
    <w:semiHidden/>
    <w:qFormat/>
    <w:uiPriority w:val="0"/>
    <w:pPr>
      <w:widowControl/>
      <w:spacing w:line="240" w:lineRule="atLeast"/>
    </w:pPr>
    <w:rPr>
      <w:rFonts w:ascii="宋体" w:hAnsi="Calibri"/>
      <w:kern w:val="0"/>
      <w:sz w:val="24"/>
      <w:szCs w:val="20"/>
    </w:rPr>
  </w:style>
  <w:style w:type="paragraph" w:customStyle="1" w:styleId="1663">
    <w:name w:val="非标题二级条"/>
    <w:basedOn w:val="5"/>
    <w:next w:val="1659"/>
    <w:semiHidden/>
    <w:qFormat/>
    <w:uiPriority w:val="0"/>
    <w:pPr>
      <w:keepNext w:val="0"/>
      <w:keepLines w:val="0"/>
      <w:widowControl/>
      <w:tabs>
        <w:tab w:val="left" w:pos="420"/>
      </w:tabs>
      <w:spacing w:line="360" w:lineRule="auto"/>
      <w:ind w:left="420" w:hanging="420"/>
    </w:pPr>
    <w:rPr>
      <w:rFonts w:ascii="宋体" w:hAnsi="Cambria"/>
      <w:b/>
      <w:bCs w:val="0"/>
      <w:kern w:val="0"/>
      <w:sz w:val="21"/>
      <w:szCs w:val="20"/>
    </w:rPr>
  </w:style>
  <w:style w:type="paragraph" w:customStyle="1" w:styleId="1664">
    <w:name w:val="分手多日，近况如何？"/>
    <w:semiHidden/>
    <w:qFormat/>
    <w:uiPriority w:val="0"/>
    <w:pPr>
      <w:widowControl w:val="0"/>
      <w:jc w:val="both"/>
    </w:pPr>
    <w:rPr>
      <w:rFonts w:ascii="Calibri" w:hAnsi="Calibri" w:eastAsia="宋体" w:cs="Times New Roman"/>
      <w:kern w:val="2"/>
      <w:sz w:val="21"/>
      <w:szCs w:val="24"/>
      <w:lang w:val="en-US" w:eastAsia="zh-CN" w:bidi="ar-SA"/>
    </w:rPr>
  </w:style>
  <w:style w:type="paragraph" w:customStyle="1" w:styleId="1665">
    <w:name w:val="封面标题"/>
    <w:basedOn w:val="1"/>
    <w:next w:val="1"/>
    <w:semiHidden/>
    <w:qFormat/>
    <w:uiPriority w:val="0"/>
    <w:pPr>
      <w:tabs>
        <w:tab w:val="center" w:pos="6804"/>
        <w:tab w:val="right" w:pos="7371"/>
      </w:tabs>
      <w:overflowPunct w:val="0"/>
      <w:adjustRightInd w:val="0"/>
      <w:spacing w:line="360" w:lineRule="auto"/>
      <w:jc w:val="center"/>
      <w:textAlignment w:val="baseline"/>
    </w:pPr>
    <w:rPr>
      <w:rFonts w:ascii="Arial" w:hAnsi="Calibri" w:eastAsia="黑体"/>
      <w:color w:val="FF0000"/>
      <w:spacing w:val="20"/>
      <w:kern w:val="52"/>
      <w:sz w:val="72"/>
      <w:szCs w:val="20"/>
    </w:rPr>
  </w:style>
  <w:style w:type="paragraph" w:customStyle="1" w:styleId="1666">
    <w:name w:val="封面落款"/>
    <w:basedOn w:val="1"/>
    <w:semiHidden/>
    <w:qFormat/>
    <w:uiPriority w:val="0"/>
    <w:pPr>
      <w:tabs>
        <w:tab w:val="left" w:pos="1134"/>
        <w:tab w:val="right" w:pos="7371"/>
      </w:tabs>
      <w:overflowPunct w:val="0"/>
      <w:adjustRightInd w:val="0"/>
      <w:spacing w:line="360" w:lineRule="auto"/>
      <w:ind w:firstLine="200" w:firstLineChars="200"/>
      <w:jc w:val="center"/>
      <w:textAlignment w:val="baseline"/>
    </w:pPr>
    <w:rPr>
      <w:rFonts w:ascii="Calibri" w:hAnsi="Calibri" w:eastAsia="黑体"/>
      <w:color w:val="0000FF"/>
      <w:spacing w:val="20"/>
      <w:kern w:val="0"/>
      <w:sz w:val="32"/>
      <w:szCs w:val="20"/>
    </w:rPr>
  </w:style>
  <w:style w:type="paragraph" w:customStyle="1" w:styleId="1667">
    <w:name w:val="封面-宋3"/>
    <w:basedOn w:val="1"/>
    <w:semiHidden/>
    <w:qFormat/>
    <w:uiPriority w:val="0"/>
    <w:pPr>
      <w:widowControl/>
      <w:autoSpaceDE w:val="0"/>
      <w:autoSpaceDN w:val="0"/>
      <w:spacing w:line="360" w:lineRule="auto"/>
      <w:jc w:val="center"/>
      <w:textAlignment w:val="bottom"/>
    </w:pPr>
    <w:rPr>
      <w:rFonts w:ascii="宋体" w:hAnsi="宋体"/>
      <w:spacing w:val="8"/>
      <w:sz w:val="32"/>
      <w:szCs w:val="32"/>
    </w:rPr>
  </w:style>
  <w:style w:type="paragraph" w:customStyle="1" w:styleId="1668">
    <w:name w:val="冯正文"/>
    <w:basedOn w:val="1"/>
    <w:semiHidden/>
    <w:qFormat/>
    <w:uiPriority w:val="0"/>
    <w:pPr>
      <w:spacing w:beforeLines="25" w:afterLines="25" w:line="400" w:lineRule="exact"/>
      <w:ind w:firstLine="200" w:firstLineChars="200"/>
    </w:pPr>
    <w:rPr>
      <w:rFonts w:ascii="Calibri" w:hAnsi="Calibri" w:cs="宋体"/>
      <w:sz w:val="24"/>
      <w:szCs w:val="20"/>
    </w:rPr>
  </w:style>
  <w:style w:type="paragraph" w:customStyle="1" w:styleId="1669">
    <w:name w:val="奉读大示，心折殊深。"/>
    <w:semiHidden/>
    <w:qFormat/>
    <w:uiPriority w:val="0"/>
    <w:pPr>
      <w:widowControl w:val="0"/>
      <w:jc w:val="both"/>
    </w:pPr>
    <w:rPr>
      <w:rFonts w:ascii="Calibri" w:hAnsi="Calibri" w:eastAsia="宋体" w:cs="Times New Roman"/>
      <w:kern w:val="2"/>
      <w:sz w:val="21"/>
      <w:szCs w:val="21"/>
      <w:lang w:val="en-US" w:eastAsia="zh-CN" w:bidi="ar-SA"/>
    </w:rPr>
  </w:style>
  <w:style w:type="paragraph" w:customStyle="1" w:styleId="1670">
    <w:name w:val="抚顺项目章节标题"/>
    <w:basedOn w:val="1"/>
    <w:semiHidden/>
    <w:qFormat/>
    <w:uiPriority w:val="0"/>
    <w:pPr>
      <w:tabs>
        <w:tab w:val="left" w:pos="567"/>
      </w:tabs>
      <w:spacing w:line="360" w:lineRule="auto"/>
    </w:pPr>
    <w:rPr>
      <w:rFonts w:ascii="黑体" w:hAnsi="Calibri" w:eastAsia="黑体"/>
      <w:sz w:val="24"/>
      <w:szCs w:val="20"/>
    </w:rPr>
  </w:style>
  <w:style w:type="paragraph" w:customStyle="1" w:styleId="1671">
    <w:name w:val="付正文"/>
    <w:basedOn w:val="1"/>
    <w:semiHidden/>
    <w:qFormat/>
    <w:uiPriority w:val="0"/>
    <w:pPr>
      <w:spacing w:line="360" w:lineRule="auto"/>
      <w:ind w:firstLine="200" w:firstLineChars="200"/>
    </w:pPr>
    <w:rPr>
      <w:rFonts w:ascii="宋体" w:hAnsi="Calibri"/>
      <w:color w:val="000000"/>
      <w:sz w:val="24"/>
      <w:szCs w:val="21"/>
    </w:rPr>
  </w:style>
  <w:style w:type="paragraph" w:customStyle="1" w:styleId="1672">
    <w:name w:val="附录标识"/>
    <w:basedOn w:val="1"/>
    <w:semiHidden/>
    <w:uiPriority w:val="0"/>
    <w:pPr>
      <w:widowControl/>
      <w:shd w:val="clear" w:color="FFFFFF" w:fill="FFFFFF"/>
      <w:tabs>
        <w:tab w:val="left" w:pos="6405"/>
      </w:tabs>
      <w:spacing w:before="640" w:after="200"/>
      <w:jc w:val="center"/>
      <w:outlineLvl w:val="0"/>
    </w:pPr>
    <w:rPr>
      <w:rFonts w:ascii="黑体" w:hAnsi="Calibri" w:eastAsia="黑体"/>
      <w:szCs w:val="21"/>
    </w:rPr>
  </w:style>
  <w:style w:type="paragraph" w:customStyle="1" w:styleId="1673">
    <w:name w:val="附录二级条标题"/>
    <w:basedOn w:val="1"/>
    <w:next w:val="5"/>
    <w:semiHidden/>
    <w:qFormat/>
    <w:uiPriority w:val="0"/>
    <w:pPr>
      <w:widowControl/>
      <w:tabs>
        <w:tab w:val="left" w:pos="360"/>
      </w:tabs>
      <w:wordWrap w:val="0"/>
      <w:overflowPunct w:val="0"/>
      <w:autoSpaceDE w:val="0"/>
      <w:autoSpaceDN w:val="0"/>
      <w:spacing w:beforeLines="50" w:afterLines="50"/>
      <w:ind w:left="828" w:hanging="360"/>
      <w:textAlignment w:val="baseline"/>
      <w:outlineLvl w:val="3"/>
    </w:pPr>
    <w:rPr>
      <w:rFonts w:ascii="黑体" w:hAnsi="Calibri" w:eastAsia="黑体"/>
      <w:kern w:val="21"/>
      <w:szCs w:val="21"/>
    </w:rPr>
  </w:style>
  <w:style w:type="paragraph" w:customStyle="1" w:styleId="1674">
    <w:name w:val="附录六级条标题"/>
    <w:next w:val="1659"/>
    <w:semiHidden/>
    <w:qFormat/>
    <w:uiPriority w:val="0"/>
    <w:pPr>
      <w:tabs>
        <w:tab w:val="left" w:pos="1418"/>
      </w:tabs>
      <w:spacing w:line="360" w:lineRule="auto"/>
      <w:ind w:left="1418" w:hanging="1418"/>
      <w:outlineLvl w:val="7"/>
    </w:pPr>
    <w:rPr>
      <w:rFonts w:ascii="黑体" w:hAnsi="Calibri" w:eastAsia="黑体" w:cs="Times New Roman"/>
      <w:kern w:val="2"/>
      <w:sz w:val="21"/>
      <w:szCs w:val="21"/>
      <w:lang w:val="en-US" w:eastAsia="zh-CN" w:bidi="ar-SA"/>
    </w:rPr>
  </w:style>
  <w:style w:type="paragraph" w:customStyle="1" w:styleId="1675">
    <w:name w:val="附录七级条标题"/>
    <w:next w:val="1659"/>
    <w:semiHidden/>
    <w:qFormat/>
    <w:uiPriority w:val="0"/>
    <w:pPr>
      <w:tabs>
        <w:tab w:val="left" w:pos="1559"/>
      </w:tabs>
      <w:spacing w:line="360" w:lineRule="auto"/>
      <w:ind w:left="1559" w:hanging="1559"/>
      <w:outlineLvl w:val="8"/>
    </w:pPr>
    <w:rPr>
      <w:rFonts w:ascii="黑体" w:hAnsi="Calibri" w:eastAsia="黑体" w:cs="Times New Roman"/>
      <w:kern w:val="2"/>
      <w:sz w:val="21"/>
      <w:szCs w:val="21"/>
      <w:lang w:val="en-US" w:eastAsia="zh-CN" w:bidi="ar-SA"/>
    </w:rPr>
  </w:style>
  <w:style w:type="paragraph" w:customStyle="1" w:styleId="1676">
    <w:name w:val="附录三级条标题"/>
    <w:basedOn w:val="1673"/>
    <w:next w:val="5"/>
    <w:semiHidden/>
    <w:qFormat/>
    <w:uiPriority w:val="0"/>
    <w:pPr>
      <w:tabs>
        <w:tab w:val="left" w:pos="1068"/>
        <w:tab w:val="clear" w:pos="360"/>
      </w:tabs>
      <w:ind w:left="1068"/>
      <w:outlineLvl w:val="4"/>
    </w:pPr>
  </w:style>
  <w:style w:type="paragraph" w:customStyle="1" w:styleId="1677">
    <w:name w:val="附录四级条标题"/>
    <w:basedOn w:val="1676"/>
    <w:next w:val="5"/>
    <w:semiHidden/>
    <w:qFormat/>
    <w:uiPriority w:val="0"/>
    <w:pPr>
      <w:tabs>
        <w:tab w:val="left" w:pos="960"/>
        <w:tab w:val="clear" w:pos="1068"/>
      </w:tabs>
      <w:ind w:left="960"/>
      <w:outlineLvl w:val="5"/>
    </w:pPr>
  </w:style>
  <w:style w:type="paragraph" w:customStyle="1" w:styleId="1678">
    <w:name w:val="附录五级条标题"/>
    <w:basedOn w:val="1677"/>
    <w:next w:val="5"/>
    <w:semiHidden/>
    <w:qFormat/>
    <w:uiPriority w:val="0"/>
    <w:pPr>
      <w:tabs>
        <w:tab w:val="left" w:pos="435"/>
        <w:tab w:val="clear" w:pos="960"/>
      </w:tabs>
      <w:ind w:left="435" w:hanging="165"/>
      <w:outlineLvl w:val="6"/>
    </w:pPr>
  </w:style>
  <w:style w:type="paragraph" w:customStyle="1" w:styleId="1679">
    <w:name w:val="附录一级条标题"/>
    <w:basedOn w:val="1"/>
    <w:next w:val="5"/>
    <w:semiHidden/>
    <w:qFormat/>
    <w:uiPriority w:val="0"/>
    <w:pPr>
      <w:widowControl/>
      <w:tabs>
        <w:tab w:val="left" w:pos="828"/>
      </w:tabs>
      <w:wordWrap w:val="0"/>
      <w:overflowPunct w:val="0"/>
      <w:autoSpaceDE w:val="0"/>
      <w:autoSpaceDN w:val="0"/>
      <w:spacing w:beforeLines="50" w:afterLines="50"/>
      <w:ind w:left="828" w:hanging="240"/>
      <w:textAlignment w:val="baseline"/>
      <w:outlineLvl w:val="2"/>
    </w:pPr>
    <w:rPr>
      <w:rFonts w:ascii="黑体" w:hAnsi="Calibri" w:eastAsia="黑体"/>
      <w:kern w:val="21"/>
      <w:szCs w:val="21"/>
    </w:rPr>
  </w:style>
  <w:style w:type="paragraph" w:customStyle="1" w:styleId="1680">
    <w:name w:val="附录章标题"/>
    <w:next w:val="5"/>
    <w:semiHidden/>
    <w:qFormat/>
    <w:uiPriority w:val="0"/>
    <w:pPr>
      <w:tabs>
        <w:tab w:val="left" w:pos="1080"/>
      </w:tabs>
      <w:wordWrap w:val="0"/>
      <w:overflowPunct w:val="0"/>
      <w:autoSpaceDE w:val="0"/>
      <w:spacing w:beforeLines="50" w:afterLines="50"/>
      <w:jc w:val="both"/>
      <w:textAlignment w:val="baseline"/>
      <w:outlineLvl w:val="1"/>
    </w:pPr>
    <w:rPr>
      <w:rFonts w:ascii="黑体" w:hAnsi="Calibri" w:eastAsia="黑体" w:cs="Times New Roman"/>
      <w:kern w:val="21"/>
      <w:sz w:val="21"/>
      <w:szCs w:val="21"/>
      <w:lang w:val="en-US" w:eastAsia="zh-CN" w:bidi="ar-SA"/>
    </w:rPr>
  </w:style>
  <w:style w:type="paragraph" w:customStyle="1" w:styleId="1681">
    <w:name w:val="副标题3"/>
    <w:basedOn w:val="1"/>
    <w:semiHidden/>
    <w:qFormat/>
    <w:uiPriority w:val="0"/>
    <w:pPr>
      <w:keepLines/>
      <w:tabs>
        <w:tab w:val="left" w:pos="672"/>
        <w:tab w:val="left" w:pos="720"/>
        <w:tab w:val="left" w:pos="2240"/>
        <w:tab w:val="left" w:pos="2400"/>
      </w:tabs>
      <w:adjustRightInd w:val="0"/>
      <w:snapToGrid w:val="0"/>
      <w:spacing w:line="400" w:lineRule="atLeast"/>
      <w:ind w:left="672" w:hanging="348"/>
      <w:outlineLvl w:val="3"/>
    </w:pPr>
    <w:rPr>
      <w:rFonts w:ascii="宋体" w:hAnsi="Calibri"/>
      <w:snapToGrid w:val="0"/>
      <w:kern w:val="0"/>
      <w:sz w:val="24"/>
      <w:szCs w:val="21"/>
    </w:rPr>
  </w:style>
  <w:style w:type="paragraph" w:customStyle="1" w:styleId="1682">
    <w:name w:val="副标题4"/>
    <w:basedOn w:val="1681"/>
    <w:semiHidden/>
    <w:qFormat/>
    <w:uiPriority w:val="0"/>
    <w:pPr>
      <w:tabs>
        <w:tab w:val="left" w:pos="1275"/>
        <w:tab w:val="left" w:pos="2100"/>
        <w:tab w:val="left" w:pos="2660"/>
        <w:tab w:val="left" w:pos="2820"/>
        <w:tab w:val="clear" w:pos="672"/>
        <w:tab w:val="clear" w:pos="720"/>
        <w:tab w:val="clear" w:pos="2240"/>
        <w:tab w:val="clear" w:pos="2400"/>
      </w:tabs>
      <w:ind w:left="1275" w:hanging="705"/>
      <w:outlineLvl w:val="4"/>
    </w:pPr>
  </w:style>
  <w:style w:type="paragraph" w:customStyle="1" w:styleId="1683">
    <w:name w:val="个人情况"/>
    <w:basedOn w:val="33"/>
    <w:semiHidden/>
    <w:qFormat/>
    <w:uiPriority w:val="0"/>
    <w:pPr>
      <w:widowControl/>
      <w:overflowPunct w:val="0"/>
      <w:autoSpaceDE w:val="0"/>
      <w:autoSpaceDN w:val="0"/>
      <w:adjustRightInd w:val="0"/>
      <w:spacing w:after="160" w:line="360" w:lineRule="auto"/>
      <w:ind w:firstLine="420" w:firstLineChars="200"/>
      <w:textAlignment w:val="baseline"/>
    </w:pPr>
    <w:rPr>
      <w:rFonts w:ascii="宋体" w:hAnsi="Calibri"/>
      <w:kern w:val="0"/>
      <w:sz w:val="20"/>
      <w:szCs w:val="20"/>
    </w:rPr>
  </w:style>
  <w:style w:type="paragraph" w:customStyle="1" w:styleId="1684">
    <w:name w:val="工业统一题目"/>
    <w:basedOn w:val="1"/>
    <w:semiHidden/>
    <w:qFormat/>
    <w:uiPriority w:val="0"/>
    <w:pPr>
      <w:adjustRightInd w:val="0"/>
      <w:snapToGrid w:val="0"/>
      <w:spacing w:line="360" w:lineRule="auto"/>
      <w:jc w:val="left"/>
    </w:pPr>
    <w:rPr>
      <w:rFonts w:ascii="宋体" w:hAnsi="Calibri"/>
      <w:b/>
      <w:sz w:val="28"/>
      <w:szCs w:val="20"/>
    </w:rPr>
  </w:style>
  <w:style w:type="paragraph" w:customStyle="1" w:styleId="1685">
    <w:name w:val="工艺1"/>
    <w:basedOn w:val="1"/>
    <w:semiHidden/>
    <w:qFormat/>
    <w:uiPriority w:val="0"/>
    <w:pPr>
      <w:adjustRightInd w:val="0"/>
      <w:snapToGrid w:val="0"/>
      <w:spacing w:line="360" w:lineRule="auto"/>
    </w:pPr>
    <w:rPr>
      <w:rFonts w:ascii="宋体" w:hAnsi="Calibri"/>
      <w:b/>
      <w:sz w:val="28"/>
      <w:szCs w:val="20"/>
    </w:rPr>
  </w:style>
  <w:style w:type="paragraph" w:customStyle="1" w:styleId="1686">
    <w:name w:val="工艺4"/>
    <w:basedOn w:val="1"/>
    <w:semiHidden/>
    <w:qFormat/>
    <w:uiPriority w:val="0"/>
    <w:pPr>
      <w:tabs>
        <w:tab w:val="left" w:pos="360"/>
        <w:tab w:val="left" w:pos="435"/>
      </w:tabs>
      <w:adjustRightInd w:val="0"/>
      <w:snapToGrid w:val="0"/>
      <w:spacing w:line="360" w:lineRule="atLeast"/>
      <w:ind w:left="435" w:hanging="435"/>
      <w:jc w:val="left"/>
      <w:textAlignment w:val="baseline"/>
    </w:pPr>
    <w:rPr>
      <w:rFonts w:ascii="@黑体" w:hAnsi="Calibri"/>
      <w:kern w:val="0"/>
      <w:sz w:val="30"/>
      <w:szCs w:val="20"/>
    </w:rPr>
  </w:style>
  <w:style w:type="paragraph" w:customStyle="1" w:styleId="1687">
    <w:name w:val="工艺题目4级"/>
    <w:basedOn w:val="1"/>
    <w:semiHidden/>
    <w:qFormat/>
    <w:uiPriority w:val="0"/>
    <w:pPr>
      <w:tabs>
        <w:tab w:val="left" w:pos="855"/>
      </w:tabs>
      <w:adjustRightInd w:val="0"/>
      <w:snapToGrid w:val="0"/>
      <w:spacing w:line="360" w:lineRule="auto"/>
      <w:ind w:left="855" w:hanging="855"/>
    </w:pPr>
    <w:rPr>
      <w:rFonts w:ascii="Calibri" w:hAnsi="Calibri"/>
      <w:sz w:val="28"/>
      <w:szCs w:val="21"/>
    </w:rPr>
  </w:style>
  <w:style w:type="paragraph" w:customStyle="1" w:styleId="1688">
    <w:name w:val="工艺统一正文"/>
    <w:basedOn w:val="1"/>
    <w:semiHidden/>
    <w:qFormat/>
    <w:uiPriority w:val="0"/>
    <w:pPr>
      <w:adjustRightInd w:val="0"/>
      <w:snapToGrid w:val="0"/>
      <w:spacing w:line="360" w:lineRule="auto"/>
      <w:ind w:firstLine="578"/>
    </w:pPr>
    <w:rPr>
      <w:rFonts w:ascii="宋体" w:hAnsi="Calibri"/>
      <w:sz w:val="28"/>
      <w:szCs w:val="20"/>
    </w:rPr>
  </w:style>
  <w:style w:type="paragraph" w:customStyle="1" w:styleId="1689">
    <w:name w:val="工艺正文"/>
    <w:basedOn w:val="1"/>
    <w:semiHidden/>
    <w:qFormat/>
    <w:uiPriority w:val="0"/>
    <w:pPr>
      <w:adjustRightInd w:val="0"/>
      <w:snapToGrid w:val="0"/>
      <w:spacing w:line="360" w:lineRule="auto"/>
      <w:ind w:firstLine="580"/>
    </w:pPr>
    <w:rPr>
      <w:rFonts w:ascii="宋体" w:hAnsi="Calibri"/>
      <w:sz w:val="28"/>
      <w:szCs w:val="20"/>
    </w:rPr>
  </w:style>
  <w:style w:type="paragraph" w:customStyle="1" w:styleId="1690">
    <w:name w:val="公式"/>
    <w:basedOn w:val="1"/>
    <w:semiHidden/>
    <w:qFormat/>
    <w:uiPriority w:val="0"/>
    <w:pPr>
      <w:keepLines/>
      <w:wordWrap w:val="0"/>
      <w:topLinePunct/>
      <w:spacing w:line="360" w:lineRule="auto"/>
      <w:ind w:right="-120" w:rightChars="-50" w:firstLine="200" w:firstLineChars="200"/>
      <w:outlineLvl w:val="2"/>
    </w:pPr>
    <w:rPr>
      <w:rFonts w:ascii="Calibri" w:hAnsi="Calibri" w:eastAsia="黑体"/>
      <w:bCs/>
      <w:color w:val="000000"/>
      <w:kern w:val="0"/>
      <w:sz w:val="24"/>
      <w:szCs w:val="32"/>
    </w:rPr>
  </w:style>
  <w:style w:type="paragraph" w:customStyle="1" w:styleId="1691">
    <w:name w:val="公司名"/>
    <w:basedOn w:val="33"/>
    <w:semiHidden/>
    <w:qFormat/>
    <w:uiPriority w:val="0"/>
    <w:pPr>
      <w:keepLines/>
      <w:widowControl/>
      <w:spacing w:after="80" w:line="240" w:lineRule="atLeast"/>
      <w:jc w:val="center"/>
    </w:pPr>
    <w:rPr>
      <w:rFonts w:ascii="Garamond" w:hAnsi="Garamond" w:eastAsia="隶书"/>
      <w:caps/>
      <w:spacing w:val="75"/>
      <w:kern w:val="0"/>
      <w:sz w:val="32"/>
      <w:szCs w:val="20"/>
    </w:rPr>
  </w:style>
  <w:style w:type="paragraph" w:customStyle="1" w:styleId="1692">
    <w:name w:val="规范_正文"/>
    <w:basedOn w:val="1"/>
    <w:semiHidden/>
    <w:qFormat/>
    <w:uiPriority w:val="0"/>
    <w:pPr>
      <w:widowControl/>
      <w:spacing w:before="100" w:beforeAutospacing="1" w:after="100" w:afterAutospacing="1"/>
      <w:jc w:val="left"/>
    </w:pPr>
    <w:rPr>
      <w:rFonts w:ascii="宋体" w:hAnsi="宋体" w:cs="宋体"/>
      <w:kern w:val="0"/>
      <w:sz w:val="24"/>
      <w:szCs w:val="21"/>
    </w:rPr>
  </w:style>
  <w:style w:type="paragraph" w:customStyle="1" w:styleId="1693">
    <w:name w:val="规划正文样式"/>
    <w:basedOn w:val="1"/>
    <w:semiHidden/>
    <w:qFormat/>
    <w:uiPriority w:val="0"/>
    <w:pPr>
      <w:spacing w:line="400" w:lineRule="exact"/>
      <w:ind w:firstLine="480" w:firstLineChars="200"/>
    </w:pPr>
    <w:rPr>
      <w:rFonts w:ascii="Calibri" w:hAnsi="Calibri"/>
      <w:sz w:val="24"/>
      <w:szCs w:val="21"/>
    </w:rPr>
  </w:style>
  <w:style w:type="paragraph" w:customStyle="1" w:styleId="1694">
    <w:name w:val="韩奇"/>
    <w:basedOn w:val="1"/>
    <w:semiHidden/>
    <w:qFormat/>
    <w:uiPriority w:val="0"/>
    <w:pPr>
      <w:adjustRightInd w:val="0"/>
      <w:spacing w:line="480" w:lineRule="atLeast"/>
      <w:ind w:firstLine="560" w:firstLineChars="200"/>
    </w:pPr>
    <w:rPr>
      <w:rFonts w:ascii="Calibri" w:hAnsi="Calibri" w:eastAsia="楷体_GB2312"/>
      <w:kern w:val="0"/>
      <w:sz w:val="28"/>
      <w:szCs w:val="20"/>
    </w:rPr>
  </w:style>
  <w:style w:type="paragraph" w:customStyle="1" w:styleId="1695">
    <w:name w:val="红"/>
    <w:basedOn w:val="1"/>
    <w:semiHidden/>
    <w:qFormat/>
    <w:uiPriority w:val="0"/>
    <w:pPr>
      <w:widowControl/>
      <w:spacing w:after="100" w:line="360" w:lineRule="auto"/>
      <w:ind w:firstLine="420" w:firstLineChars="200"/>
    </w:pPr>
    <w:rPr>
      <w:rFonts w:ascii="Calibri" w:hAnsi="Calibri"/>
      <w:b/>
      <w:kern w:val="0"/>
      <w:sz w:val="28"/>
      <w:szCs w:val="20"/>
    </w:rPr>
  </w:style>
  <w:style w:type="paragraph" w:customStyle="1" w:styleId="1696">
    <w:name w:val="宏福4"/>
    <w:basedOn w:val="1"/>
    <w:semiHidden/>
    <w:qFormat/>
    <w:uiPriority w:val="0"/>
    <w:pPr>
      <w:adjustRightInd w:val="0"/>
      <w:spacing w:line="400" w:lineRule="atLeast"/>
      <w:ind w:firstLine="567" w:firstLineChars="200"/>
      <w:textAlignment w:val="baseline"/>
    </w:pPr>
    <w:rPr>
      <w:rFonts w:ascii="Calibri" w:hAnsi="Calibri"/>
      <w:sz w:val="28"/>
      <w:szCs w:val="20"/>
    </w:rPr>
  </w:style>
  <w:style w:type="paragraph" w:customStyle="1" w:styleId="1697">
    <w:name w:val="环保表头"/>
    <w:basedOn w:val="1"/>
    <w:semiHidden/>
    <w:qFormat/>
    <w:uiPriority w:val="0"/>
    <w:pPr>
      <w:tabs>
        <w:tab w:val="left" w:pos="0"/>
        <w:tab w:val="left" w:pos="7012"/>
      </w:tabs>
      <w:autoSpaceDE w:val="0"/>
      <w:autoSpaceDN w:val="0"/>
      <w:jc w:val="center"/>
    </w:pPr>
    <w:rPr>
      <w:rFonts w:ascii="宋体" w:hAnsi="宋体" w:cs="宋体"/>
      <w:b/>
      <w:sz w:val="24"/>
      <w:szCs w:val="21"/>
    </w:rPr>
  </w:style>
  <w:style w:type="paragraph" w:customStyle="1" w:styleId="1698">
    <w:name w:val="环保节标题"/>
    <w:basedOn w:val="1"/>
    <w:semiHidden/>
    <w:qFormat/>
    <w:uiPriority w:val="0"/>
    <w:pPr>
      <w:keepNext/>
      <w:keepLines/>
      <w:adjustRightInd w:val="0"/>
      <w:spacing w:before="260" w:after="260" w:line="416" w:lineRule="atLeast"/>
      <w:ind w:firstLine="200" w:firstLineChars="200"/>
      <w:jc w:val="left"/>
      <w:textAlignment w:val="baseline"/>
      <w:outlineLvl w:val="2"/>
    </w:pPr>
    <w:rPr>
      <w:rFonts w:ascii="Calibri" w:hAnsi="Calibri" w:eastAsia="汉鼎简书宋"/>
      <w:kern w:val="0"/>
      <w:sz w:val="24"/>
      <w:szCs w:val="21"/>
    </w:rPr>
  </w:style>
  <w:style w:type="paragraph" w:customStyle="1" w:styleId="1699">
    <w:name w:val="环保章标题"/>
    <w:basedOn w:val="4"/>
    <w:semiHidden/>
    <w:qFormat/>
    <w:uiPriority w:val="0"/>
    <w:pPr>
      <w:adjustRightInd w:val="0"/>
      <w:spacing w:line="416" w:lineRule="atLeast"/>
      <w:ind w:firstLine="200" w:firstLineChars="200"/>
      <w:textAlignment w:val="baseline"/>
    </w:pPr>
    <w:rPr>
      <w:rFonts w:ascii="Calibri" w:hAnsi="Calibri"/>
      <w:kern w:val="0"/>
    </w:rPr>
  </w:style>
  <w:style w:type="paragraph" w:customStyle="1" w:styleId="1700">
    <w:name w:val="环标2"/>
    <w:basedOn w:val="3"/>
    <w:semiHidden/>
    <w:qFormat/>
    <w:uiPriority w:val="0"/>
    <w:pPr>
      <w:tabs>
        <w:tab w:val="left" w:pos="540"/>
      </w:tabs>
      <w:autoSpaceDE w:val="0"/>
      <w:autoSpaceDN w:val="0"/>
      <w:adjustRightInd w:val="0"/>
      <w:snapToGrid w:val="0"/>
      <w:spacing w:line="312" w:lineRule="atLeast"/>
      <w:ind w:left="4536" w:hanging="576"/>
      <w:textAlignment w:val="baseline"/>
    </w:pPr>
    <w:rPr>
      <w:rFonts w:ascii="黑体"/>
      <w:b w:val="0"/>
      <w:bCs w:val="0"/>
      <w:kern w:val="0"/>
      <w:sz w:val="28"/>
      <w:szCs w:val="20"/>
    </w:rPr>
  </w:style>
  <w:style w:type="paragraph" w:customStyle="1" w:styleId="1701">
    <w:name w:val="环评章标题"/>
    <w:basedOn w:val="1"/>
    <w:semiHidden/>
    <w:qFormat/>
    <w:uiPriority w:val="0"/>
    <w:pPr>
      <w:widowControl/>
      <w:tabs>
        <w:tab w:val="left" w:pos="2136"/>
      </w:tabs>
      <w:snapToGrid w:val="0"/>
      <w:spacing w:line="480" w:lineRule="auto"/>
      <w:ind w:left="2136" w:hanging="1134"/>
      <w:jc w:val="center"/>
    </w:pPr>
    <w:rPr>
      <w:rFonts w:ascii="Calibri" w:hAnsi="Calibri" w:eastAsia="黑体" w:cs="Times"/>
      <w:kern w:val="0"/>
      <w:sz w:val="30"/>
      <w:szCs w:val="21"/>
    </w:rPr>
  </w:style>
  <w:style w:type="paragraph" w:customStyle="1" w:styleId="1702">
    <w:name w:val="简历头"/>
    <w:basedOn w:val="1"/>
    <w:next w:val="1"/>
    <w:semiHidden/>
    <w:uiPriority w:val="0"/>
    <w:pPr>
      <w:widowControl/>
      <w:spacing w:before="360" w:after="720"/>
      <w:ind w:left="-1803" w:right="-1077"/>
      <w:jc w:val="center"/>
    </w:pPr>
    <w:rPr>
      <w:rFonts w:ascii="Garamond" w:hAnsi="Garamond"/>
      <w:kern w:val="0"/>
      <w:sz w:val="48"/>
      <w:szCs w:val="20"/>
    </w:rPr>
  </w:style>
  <w:style w:type="paragraph" w:customStyle="1" w:styleId="1703">
    <w:name w:val="可研-正文"/>
    <w:basedOn w:val="1"/>
    <w:semiHidden/>
    <w:qFormat/>
    <w:uiPriority w:val="0"/>
    <w:pPr>
      <w:widowControl/>
      <w:spacing w:line="520" w:lineRule="exact"/>
      <w:ind w:firstLine="200" w:firstLineChars="200"/>
    </w:pPr>
    <w:rPr>
      <w:rFonts w:ascii="宋体" w:hAnsi="Calibri"/>
      <w:sz w:val="24"/>
      <w:szCs w:val="21"/>
    </w:rPr>
  </w:style>
  <w:style w:type="paragraph" w:customStyle="1" w:styleId="1704">
    <w:name w:val="框图内容"/>
    <w:basedOn w:val="1"/>
    <w:semiHidden/>
    <w:qFormat/>
    <w:uiPriority w:val="0"/>
    <w:pPr>
      <w:spacing w:line="360" w:lineRule="auto"/>
      <w:ind w:firstLine="200" w:firstLineChars="200"/>
      <w:jc w:val="center"/>
    </w:pPr>
    <w:rPr>
      <w:rFonts w:ascii="宋体" w:hAnsi="Calibri"/>
      <w:color w:val="000000"/>
      <w:sz w:val="24"/>
      <w:szCs w:val="21"/>
      <w:lang w:val="en-GB"/>
    </w:rPr>
  </w:style>
  <w:style w:type="paragraph" w:customStyle="1" w:styleId="1705">
    <w:name w:val="连续正文文字"/>
    <w:basedOn w:val="33"/>
    <w:semiHidden/>
    <w:qFormat/>
    <w:uiPriority w:val="0"/>
    <w:pPr>
      <w:keepNext/>
      <w:widowControl/>
      <w:adjustRightInd w:val="0"/>
      <w:spacing w:after="220" w:line="180" w:lineRule="atLeast"/>
      <w:ind w:firstLine="200" w:firstLineChars="200"/>
      <w:textAlignment w:val="baseline"/>
    </w:pPr>
    <w:rPr>
      <w:rFonts w:ascii="Arial" w:hAnsi="Arial"/>
      <w:b/>
      <w:bCs/>
      <w:color w:val="000000"/>
      <w:spacing w:val="-5"/>
      <w:kern w:val="0"/>
      <w:sz w:val="28"/>
      <w:szCs w:val="20"/>
    </w:rPr>
  </w:style>
  <w:style w:type="paragraph" w:customStyle="1" w:styleId="1706">
    <w:name w:val="列表1"/>
    <w:basedOn w:val="65"/>
    <w:semiHidden/>
    <w:qFormat/>
    <w:uiPriority w:val="0"/>
    <w:pPr>
      <w:widowControl/>
      <w:pBdr>
        <w:left w:val="single" w:color="auto" w:sz="6" w:space="23"/>
      </w:pBdr>
      <w:tabs>
        <w:tab w:val="left" w:pos="720"/>
      </w:tabs>
      <w:overflowPunct w:val="0"/>
      <w:autoSpaceDE w:val="0"/>
      <w:autoSpaceDN w:val="0"/>
      <w:adjustRightInd w:val="0"/>
      <w:spacing w:after="80" w:line="360" w:lineRule="auto"/>
      <w:ind w:left="720" w:firstLine="0" w:firstLineChars="200"/>
      <w:textAlignment w:val="baseline"/>
    </w:pPr>
    <w:rPr>
      <w:rFonts w:ascii="Calibri" w:hAnsi="Calibri"/>
      <w:kern w:val="0"/>
      <w:sz w:val="20"/>
      <w:szCs w:val="20"/>
    </w:rPr>
  </w:style>
  <w:style w:type="paragraph" w:customStyle="1" w:styleId="1707">
    <w:name w:val="列表2"/>
    <w:basedOn w:val="1706"/>
    <w:semiHidden/>
    <w:uiPriority w:val="0"/>
    <w:pPr>
      <w:pBdr>
        <w:left w:val="none" w:color="auto" w:sz="0" w:space="0"/>
      </w:pBdr>
    </w:pPr>
  </w:style>
  <w:style w:type="paragraph" w:customStyle="1" w:styleId="1708">
    <w:name w:val="列表3"/>
    <w:basedOn w:val="1706"/>
    <w:semiHidden/>
    <w:qFormat/>
    <w:uiPriority w:val="0"/>
    <w:pPr>
      <w:pBdr>
        <w:left w:val="none" w:color="auto" w:sz="0" w:space="0"/>
      </w:pBdr>
      <w:ind w:left="1440"/>
    </w:pPr>
  </w:style>
  <w:style w:type="paragraph" w:customStyle="1" w:styleId="1709">
    <w:name w:val="列表4"/>
    <w:basedOn w:val="1706"/>
    <w:semiHidden/>
    <w:qFormat/>
    <w:uiPriority w:val="0"/>
    <w:pPr>
      <w:pBdr>
        <w:left w:val="none" w:color="auto" w:sz="0" w:space="0"/>
      </w:pBdr>
      <w:ind w:left="1080"/>
    </w:pPr>
  </w:style>
  <w:style w:type="paragraph" w:customStyle="1" w:styleId="1710">
    <w:name w:val="列表5"/>
    <w:basedOn w:val="1706"/>
    <w:semiHidden/>
    <w:qFormat/>
    <w:uiPriority w:val="0"/>
    <w:pPr>
      <w:pBdr>
        <w:left w:val="none" w:color="auto" w:sz="0" w:space="0"/>
      </w:pBdr>
      <w:ind w:left="1800"/>
    </w:pPr>
  </w:style>
  <w:style w:type="paragraph" w:customStyle="1" w:styleId="1711">
    <w:name w:val="列表结尾"/>
    <w:basedOn w:val="65"/>
    <w:next w:val="33"/>
    <w:semiHidden/>
    <w:qFormat/>
    <w:uiPriority w:val="0"/>
    <w:pPr>
      <w:widowControl/>
      <w:tabs>
        <w:tab w:val="left" w:pos="720"/>
      </w:tabs>
      <w:overflowPunct w:val="0"/>
      <w:autoSpaceDE w:val="0"/>
      <w:autoSpaceDN w:val="0"/>
      <w:adjustRightInd w:val="0"/>
      <w:spacing w:after="240"/>
      <w:ind w:left="720" w:hanging="360" w:firstLineChars="0"/>
      <w:jc w:val="left"/>
      <w:textAlignment w:val="baseline"/>
    </w:pPr>
    <w:rPr>
      <w:rFonts w:ascii="Calibri" w:hAnsi="Calibri"/>
      <w:kern w:val="0"/>
      <w:sz w:val="20"/>
      <w:szCs w:val="20"/>
    </w:rPr>
  </w:style>
  <w:style w:type="paragraph" w:customStyle="1" w:styleId="1712">
    <w:name w:val="列表引导"/>
    <w:basedOn w:val="65"/>
    <w:next w:val="65"/>
    <w:semiHidden/>
    <w:qFormat/>
    <w:uiPriority w:val="0"/>
    <w:pPr>
      <w:widowControl/>
      <w:tabs>
        <w:tab w:val="left" w:pos="720"/>
      </w:tabs>
      <w:overflowPunct w:val="0"/>
      <w:autoSpaceDE w:val="0"/>
      <w:autoSpaceDN w:val="0"/>
      <w:adjustRightInd w:val="0"/>
      <w:spacing w:before="80" w:after="80"/>
      <w:ind w:left="720" w:hanging="360" w:firstLineChars="0"/>
      <w:jc w:val="left"/>
      <w:textAlignment w:val="baseline"/>
    </w:pPr>
    <w:rPr>
      <w:rFonts w:ascii="Calibri" w:hAnsi="Calibri"/>
      <w:kern w:val="0"/>
      <w:sz w:val="20"/>
      <w:szCs w:val="20"/>
    </w:rPr>
  </w:style>
  <w:style w:type="paragraph" w:customStyle="1" w:styleId="1713">
    <w:name w:val="文本框；六号"/>
    <w:basedOn w:val="1714"/>
    <w:semiHidden/>
    <w:qFormat/>
    <w:uiPriority w:val="0"/>
    <w:rPr>
      <w:sz w:val="15"/>
    </w:rPr>
  </w:style>
  <w:style w:type="paragraph" w:customStyle="1" w:styleId="1714">
    <w:name w:val="文本匡小五号 Char Char"/>
    <w:semiHidden/>
    <w:qFormat/>
    <w:uiPriority w:val="0"/>
    <w:pPr>
      <w:jc w:val="center"/>
    </w:pPr>
    <w:rPr>
      <w:rFonts w:ascii="Calibri" w:hAnsi="Calibri" w:eastAsia="仿宋_GB2312" w:cs="Times New Roman"/>
      <w:kern w:val="2"/>
      <w:sz w:val="18"/>
      <w:szCs w:val="24"/>
      <w:lang w:val="en-US" w:eastAsia="zh-CN" w:bidi="ar-SA"/>
    </w:rPr>
  </w:style>
  <w:style w:type="paragraph" w:styleId="1715">
    <w:name w:val="List Paragraph"/>
    <w:basedOn w:val="1"/>
    <w:qFormat/>
    <w:uiPriority w:val="99"/>
    <w:pPr>
      <w:ind w:firstLine="420" w:firstLineChars="200"/>
    </w:pPr>
    <w:rPr>
      <w:rFonts w:ascii="Calibri" w:hAnsi="Calibri"/>
      <w:szCs w:val="21"/>
    </w:rPr>
  </w:style>
  <w:style w:type="paragraph" w:customStyle="1" w:styleId="1716">
    <w:name w:val="列出段落1"/>
    <w:basedOn w:val="1"/>
    <w:semiHidden/>
    <w:qFormat/>
    <w:uiPriority w:val="0"/>
    <w:pPr>
      <w:spacing w:line="360" w:lineRule="auto"/>
      <w:ind w:firstLine="420" w:firstLineChars="200"/>
    </w:pPr>
    <w:rPr>
      <w:rFonts w:ascii="Calibri" w:hAnsi="Calibri"/>
      <w:sz w:val="24"/>
      <w:szCs w:val="22"/>
    </w:rPr>
  </w:style>
  <w:style w:type="paragraph" w:customStyle="1" w:styleId="1717">
    <w:name w:val="列项——"/>
    <w:semiHidden/>
    <w:qFormat/>
    <w:uiPriority w:val="0"/>
    <w:pPr>
      <w:widowControl w:val="0"/>
      <w:tabs>
        <w:tab w:val="left" w:pos="360"/>
        <w:tab w:val="left" w:pos="854"/>
      </w:tabs>
      <w:ind w:left="360" w:leftChars="200" w:hanging="360" w:hangingChars="200"/>
      <w:jc w:val="both"/>
    </w:pPr>
    <w:rPr>
      <w:rFonts w:ascii="宋体" w:hAnsi="Calibri" w:eastAsia="宋体" w:cs="Times New Roman"/>
      <w:kern w:val="2"/>
      <w:sz w:val="21"/>
      <w:szCs w:val="21"/>
      <w:lang w:val="en-US" w:eastAsia="zh-CN" w:bidi="ar-SA"/>
    </w:rPr>
  </w:style>
  <w:style w:type="paragraph" w:customStyle="1" w:styleId="1718">
    <w:name w:val="列项●（二级）"/>
    <w:semiHidden/>
    <w:uiPriority w:val="0"/>
    <w:pPr>
      <w:tabs>
        <w:tab w:val="left" w:pos="825"/>
        <w:tab w:val="left" w:pos="1260"/>
      </w:tabs>
      <w:spacing w:line="360" w:lineRule="auto"/>
      <w:ind w:left="825" w:hanging="510"/>
    </w:pPr>
    <w:rPr>
      <w:rFonts w:ascii="宋体" w:hAnsi="Calibri" w:eastAsia="宋体" w:cs="Times New Roman"/>
      <w:kern w:val="2"/>
      <w:sz w:val="21"/>
      <w:szCs w:val="21"/>
      <w:lang w:val="en-US" w:eastAsia="zh-CN" w:bidi="ar-SA"/>
    </w:rPr>
  </w:style>
  <w:style w:type="paragraph" w:customStyle="1" w:styleId="1719">
    <w:name w:val="列项·"/>
    <w:semiHidden/>
    <w:qFormat/>
    <w:uiPriority w:val="0"/>
    <w:pPr>
      <w:tabs>
        <w:tab w:val="left" w:pos="840"/>
      </w:tabs>
      <w:ind w:left="200" w:leftChars="200" w:hanging="420" w:hangingChars="200"/>
      <w:jc w:val="both"/>
    </w:pPr>
    <w:rPr>
      <w:rFonts w:ascii="宋体" w:hAnsi="Calibri" w:eastAsia="宋体" w:cs="Times New Roman"/>
      <w:kern w:val="2"/>
      <w:sz w:val="21"/>
      <w:szCs w:val="21"/>
      <w:lang w:val="en-US" w:eastAsia="zh-CN" w:bidi="ar-SA"/>
    </w:rPr>
  </w:style>
  <w:style w:type="paragraph" w:customStyle="1" w:styleId="1720">
    <w:name w:val="文-7"/>
    <w:basedOn w:val="1721"/>
    <w:semiHidden/>
    <w:qFormat/>
    <w:uiPriority w:val="0"/>
    <w:pPr>
      <w:tabs>
        <w:tab w:val="right" w:leader="dot" w:pos="8789"/>
      </w:tabs>
      <w:spacing w:line="240" w:lineRule="auto"/>
      <w:ind w:left="1701"/>
    </w:pPr>
    <w:rPr>
      <w:rFonts w:ascii="Times New Roman"/>
    </w:rPr>
  </w:style>
  <w:style w:type="paragraph" w:customStyle="1" w:styleId="1721">
    <w:name w:val="文-5"/>
    <w:basedOn w:val="1"/>
    <w:semiHidden/>
    <w:qFormat/>
    <w:uiPriority w:val="0"/>
    <w:pPr>
      <w:tabs>
        <w:tab w:val="right" w:leader="dot" w:pos="8789"/>
      </w:tabs>
      <w:spacing w:before="120" w:line="360" w:lineRule="auto"/>
      <w:ind w:left="1276" w:firstLine="482"/>
    </w:pPr>
    <w:rPr>
      <w:rFonts w:ascii="宋体" w:hAnsi="Calibri"/>
      <w:sz w:val="24"/>
      <w:szCs w:val="20"/>
    </w:rPr>
  </w:style>
  <w:style w:type="paragraph" w:customStyle="1" w:styleId="1722">
    <w:name w:val="六级条标题"/>
    <w:next w:val="1659"/>
    <w:semiHidden/>
    <w:uiPriority w:val="0"/>
    <w:pPr>
      <w:spacing w:line="360" w:lineRule="auto"/>
      <w:outlineLvl w:val="7"/>
    </w:pPr>
    <w:rPr>
      <w:rFonts w:ascii="黑体" w:hAnsi="Calibri" w:eastAsia="黑体" w:cs="Times New Roman"/>
      <w:kern w:val="2"/>
      <w:sz w:val="21"/>
      <w:szCs w:val="21"/>
      <w:lang w:val="en-US" w:eastAsia="zh-CN" w:bidi="ar-SA"/>
    </w:rPr>
  </w:style>
  <w:style w:type="paragraph" w:customStyle="1" w:styleId="1723">
    <w:name w:val="模型公式-居中"/>
    <w:next w:val="1"/>
    <w:semiHidden/>
    <w:uiPriority w:val="0"/>
    <w:pPr>
      <w:spacing w:line="360" w:lineRule="auto"/>
      <w:jc w:val="center"/>
    </w:pPr>
    <w:rPr>
      <w:rFonts w:ascii="Calibri" w:hAnsi="Calibri" w:eastAsia="仿宋_GB2312" w:cs="Times New Roman"/>
      <w:bCs/>
      <w:kern w:val="2"/>
      <w:sz w:val="24"/>
      <w:szCs w:val="24"/>
      <w:lang w:val="en-US" w:eastAsia="zh-CN" w:bidi="ar-SA"/>
    </w:rPr>
  </w:style>
  <w:style w:type="paragraph" w:customStyle="1" w:styleId="1724">
    <w:name w:val="尾注文本1"/>
    <w:basedOn w:val="1"/>
    <w:semiHidden/>
    <w:uiPriority w:val="0"/>
    <w:pPr>
      <w:adjustRightInd w:val="0"/>
      <w:spacing w:line="360" w:lineRule="atLeast"/>
      <w:jc w:val="left"/>
      <w:textAlignment w:val="baseline"/>
    </w:pPr>
    <w:rPr>
      <w:rFonts w:ascii="宋体" w:hAnsi="Calibri"/>
      <w:szCs w:val="21"/>
    </w:rPr>
  </w:style>
  <w:style w:type="paragraph" w:customStyle="1" w:styleId="1725">
    <w:name w:val="默认段落字体 Para Char Char Char Char"/>
    <w:basedOn w:val="1"/>
    <w:qFormat/>
    <w:uiPriority w:val="0"/>
    <w:rPr>
      <w:rFonts w:ascii="宋体" w:hAnsi="宋体" w:cs="宋体"/>
      <w:sz w:val="24"/>
      <w:szCs w:val="21"/>
    </w:rPr>
  </w:style>
  <w:style w:type="paragraph" w:customStyle="1" w:styleId="1726">
    <w:name w:val="尾注文本11"/>
    <w:basedOn w:val="1"/>
    <w:semiHidden/>
    <w:qFormat/>
    <w:uiPriority w:val="0"/>
    <w:pPr>
      <w:adjustRightInd w:val="0"/>
      <w:spacing w:line="360" w:lineRule="atLeast"/>
      <w:jc w:val="left"/>
      <w:textAlignment w:val="baseline"/>
    </w:pPr>
    <w:rPr>
      <w:rFonts w:ascii="宋体" w:hAnsi="Calibri"/>
      <w:szCs w:val="21"/>
    </w:rPr>
  </w:style>
  <w:style w:type="paragraph" w:customStyle="1" w:styleId="1727">
    <w:name w:val="默认段落字体 Para Char Char Char Char Char Char Char"/>
    <w:basedOn w:val="1"/>
    <w:semiHidden/>
    <w:uiPriority w:val="0"/>
    <w:pPr>
      <w:spacing w:line="360" w:lineRule="auto"/>
    </w:pPr>
    <w:rPr>
      <w:rFonts w:ascii="Calibri" w:hAnsi="Calibri"/>
      <w:sz w:val="24"/>
      <w:szCs w:val="20"/>
    </w:rPr>
  </w:style>
  <w:style w:type="paragraph" w:customStyle="1" w:styleId="1728">
    <w:name w:val="文-1"/>
    <w:basedOn w:val="1"/>
    <w:semiHidden/>
    <w:qFormat/>
    <w:uiPriority w:val="0"/>
    <w:pPr>
      <w:spacing w:before="120"/>
      <w:ind w:left="851" w:firstLine="482"/>
    </w:pPr>
    <w:rPr>
      <w:rFonts w:ascii="Calibri" w:hAnsi="Calibri"/>
      <w:sz w:val="24"/>
      <w:szCs w:val="20"/>
    </w:rPr>
  </w:style>
  <w:style w:type="paragraph" w:customStyle="1" w:styleId="1729">
    <w:name w:val="默认段落字体 Para Char Char Char Char Char Char Char Char Char Char"/>
    <w:basedOn w:val="1"/>
    <w:semiHidden/>
    <w:qFormat/>
    <w:uiPriority w:val="0"/>
    <w:pPr>
      <w:adjustRightInd w:val="0"/>
      <w:spacing w:line="360" w:lineRule="auto"/>
    </w:pPr>
    <w:rPr>
      <w:rFonts w:ascii="Calibri" w:hAnsi="Calibri"/>
      <w:kern w:val="0"/>
      <w:sz w:val="24"/>
      <w:szCs w:val="20"/>
    </w:rPr>
  </w:style>
  <w:style w:type="paragraph" w:customStyle="1" w:styleId="1730">
    <w:name w:val="默认段落字体 Para Char Char Char Char Char Char Char Char Char Char Char Char Char"/>
    <w:basedOn w:val="1"/>
    <w:semiHidden/>
    <w:qFormat/>
    <w:uiPriority w:val="0"/>
    <w:rPr>
      <w:rFonts w:ascii="Calibri" w:hAnsi="Calibri"/>
      <w:szCs w:val="21"/>
    </w:rPr>
  </w:style>
  <w:style w:type="paragraph" w:customStyle="1" w:styleId="1731">
    <w:name w:val="默认段落字体 Para Char Char Char Char Char Char1 Char Char Char Char"/>
    <w:basedOn w:val="1"/>
    <w:semiHidden/>
    <w:qFormat/>
    <w:uiPriority w:val="0"/>
    <w:pPr>
      <w:snapToGrid w:val="0"/>
      <w:spacing w:line="360" w:lineRule="auto"/>
      <w:ind w:firstLine="200" w:firstLineChars="200"/>
    </w:pPr>
    <w:rPr>
      <w:rFonts w:ascii="Calibri" w:hAnsi="Calibri" w:eastAsia="仿宋_GB2312"/>
      <w:sz w:val="24"/>
      <w:szCs w:val="21"/>
    </w:rPr>
  </w:style>
  <w:style w:type="paragraph" w:customStyle="1" w:styleId="1732">
    <w:name w:val="王 正文四号 首缩1cm"/>
    <w:basedOn w:val="1"/>
    <w:semiHidden/>
    <w:qFormat/>
    <w:uiPriority w:val="0"/>
    <w:pPr>
      <w:adjustRightInd w:val="0"/>
      <w:snapToGrid w:val="0"/>
      <w:spacing w:line="540" w:lineRule="exact"/>
      <w:ind w:firstLine="567"/>
    </w:pPr>
    <w:rPr>
      <w:rFonts w:ascii="宋体" w:hAnsi="宋体"/>
      <w:kern w:val="28"/>
      <w:sz w:val="28"/>
      <w:szCs w:val="28"/>
    </w:rPr>
  </w:style>
  <w:style w:type="paragraph" w:customStyle="1" w:styleId="1733">
    <w:name w:val="默认段落字体 Para Char Char Char1 Char Char Char Char"/>
    <w:basedOn w:val="1"/>
    <w:semiHidden/>
    <w:qFormat/>
    <w:uiPriority w:val="0"/>
    <w:rPr>
      <w:rFonts w:ascii="Calibri" w:hAnsi="Calibri"/>
      <w:sz w:val="24"/>
      <w:szCs w:val="21"/>
    </w:rPr>
  </w:style>
  <w:style w:type="paragraph" w:customStyle="1" w:styleId="1734">
    <w:name w:val="图文字"/>
    <w:basedOn w:val="1"/>
    <w:next w:val="1"/>
    <w:semiHidden/>
    <w:qFormat/>
    <w:uiPriority w:val="0"/>
    <w:pPr>
      <w:snapToGrid w:val="0"/>
    </w:pPr>
    <w:rPr>
      <w:rFonts w:ascii="Arial" w:hAnsi="Arial" w:eastAsia="楷体_GB2312"/>
      <w:sz w:val="24"/>
      <w:szCs w:val="21"/>
    </w:rPr>
  </w:style>
  <w:style w:type="paragraph" w:customStyle="1" w:styleId="1735">
    <w:name w:val="目标"/>
    <w:basedOn w:val="33"/>
    <w:semiHidden/>
    <w:uiPriority w:val="0"/>
    <w:pPr>
      <w:widowControl/>
      <w:overflowPunct w:val="0"/>
      <w:autoSpaceDE w:val="0"/>
      <w:autoSpaceDN w:val="0"/>
      <w:adjustRightInd w:val="0"/>
      <w:spacing w:before="320" w:after="0" w:line="360" w:lineRule="auto"/>
      <w:ind w:firstLine="420" w:firstLineChars="200"/>
      <w:textAlignment w:val="baseline"/>
    </w:pPr>
    <w:rPr>
      <w:rFonts w:ascii="Arial" w:hAnsi="Arial"/>
      <w:i/>
      <w:kern w:val="0"/>
      <w:sz w:val="18"/>
      <w:szCs w:val="20"/>
    </w:rPr>
  </w:style>
  <w:style w:type="paragraph" w:customStyle="1" w:styleId="1736">
    <w:name w:val="图文框"/>
    <w:basedOn w:val="1"/>
    <w:semiHidden/>
    <w:qFormat/>
    <w:uiPriority w:val="0"/>
    <w:pPr>
      <w:adjustRightInd w:val="0"/>
      <w:spacing w:line="500" w:lineRule="exact"/>
      <w:jc w:val="center"/>
      <w:textAlignment w:val="baseline"/>
    </w:pPr>
    <w:rPr>
      <w:rFonts w:ascii="宋体" w:hAnsi="宋体"/>
      <w:szCs w:val="28"/>
    </w:rPr>
  </w:style>
  <w:style w:type="paragraph" w:customStyle="1" w:styleId="1737">
    <w:name w:val="目次"/>
    <w:semiHidden/>
    <w:qFormat/>
    <w:uiPriority w:val="0"/>
    <w:pPr>
      <w:spacing w:beforeLines="200" w:afterLines="100" w:line="440" w:lineRule="exact"/>
      <w:jc w:val="center"/>
    </w:pPr>
    <w:rPr>
      <w:rFonts w:ascii="黑体" w:hAnsi="Calibri" w:eastAsia="黑体" w:cs="Times New Roman"/>
      <w:kern w:val="2"/>
      <w:sz w:val="24"/>
      <w:szCs w:val="21"/>
      <w:lang w:val="en-US" w:eastAsia="zh-CN" w:bidi="ar-SA"/>
    </w:rPr>
  </w:style>
  <w:style w:type="paragraph" w:customStyle="1" w:styleId="1738">
    <w:name w:val="图题注"/>
    <w:next w:val="1"/>
    <w:semiHidden/>
    <w:uiPriority w:val="0"/>
    <w:pPr>
      <w:spacing w:line="360" w:lineRule="auto"/>
      <w:jc w:val="center"/>
    </w:pPr>
    <w:rPr>
      <w:rFonts w:ascii="Calibri" w:hAnsi="Calibri" w:eastAsia="黑体" w:cs="宋体"/>
      <w:b/>
      <w:bCs/>
      <w:kern w:val="2"/>
      <w:sz w:val="24"/>
      <w:szCs w:val="21"/>
      <w:lang w:val="en-US" w:eastAsia="zh-CN" w:bidi="ar-SA"/>
    </w:rPr>
  </w:style>
  <w:style w:type="paragraph" w:customStyle="1" w:styleId="1739">
    <w:name w:val="目次、标准名称标题"/>
    <w:basedOn w:val="1"/>
    <w:next w:val="5"/>
    <w:semiHidden/>
    <w:qFormat/>
    <w:uiPriority w:val="0"/>
    <w:pPr>
      <w:widowControl/>
      <w:shd w:val="clear" w:color="FFFFFF" w:fill="FFFFFF"/>
      <w:spacing w:before="640" w:after="560" w:line="460" w:lineRule="exact"/>
      <w:jc w:val="center"/>
      <w:outlineLvl w:val="0"/>
    </w:pPr>
    <w:rPr>
      <w:rFonts w:ascii="黑体" w:hAnsi="Calibri" w:eastAsia="黑体"/>
      <w:sz w:val="32"/>
      <w:szCs w:val="21"/>
    </w:rPr>
  </w:style>
  <w:style w:type="paragraph" w:customStyle="1" w:styleId="1740">
    <w:name w:val="目录"/>
    <w:basedOn w:val="1"/>
    <w:semiHidden/>
    <w:uiPriority w:val="0"/>
    <w:pPr>
      <w:tabs>
        <w:tab w:val="right" w:leader="dot" w:pos="8505"/>
      </w:tabs>
      <w:overflowPunct w:val="0"/>
      <w:adjustRightInd w:val="0"/>
      <w:spacing w:line="360" w:lineRule="auto"/>
      <w:ind w:left="568" w:right="851" w:hanging="284" w:firstLineChars="200"/>
      <w:textAlignment w:val="baseline"/>
    </w:pPr>
    <w:rPr>
      <w:rFonts w:ascii="Calibri" w:hAnsi="Calibri"/>
      <w:kern w:val="0"/>
      <w:sz w:val="28"/>
      <w:szCs w:val="20"/>
    </w:rPr>
  </w:style>
  <w:style w:type="paragraph" w:customStyle="1" w:styleId="1741">
    <w:name w:val="目录1"/>
    <w:basedOn w:val="1"/>
    <w:semiHidden/>
    <w:qFormat/>
    <w:uiPriority w:val="0"/>
    <w:pPr>
      <w:adjustRightInd w:val="0"/>
      <w:snapToGrid w:val="0"/>
      <w:spacing w:line="300" w:lineRule="auto"/>
      <w:jc w:val="distribute"/>
    </w:pPr>
    <w:rPr>
      <w:rFonts w:ascii="宋体" w:hAnsi="宋体"/>
      <w:szCs w:val="21"/>
    </w:rPr>
  </w:style>
  <w:style w:type="paragraph" w:customStyle="1" w:styleId="1742">
    <w:name w:val="目录2"/>
    <w:basedOn w:val="1"/>
    <w:next w:val="1"/>
    <w:semiHidden/>
    <w:qFormat/>
    <w:uiPriority w:val="0"/>
    <w:pPr>
      <w:widowControl/>
      <w:tabs>
        <w:tab w:val="left" w:leader="dot" w:pos="8503"/>
      </w:tabs>
      <w:spacing w:line="317" w:lineRule="atLeast"/>
      <w:ind w:left="419" w:firstLine="419"/>
      <w:textAlignment w:val="baseline"/>
    </w:pPr>
    <w:rPr>
      <w:rFonts w:ascii="Calibri" w:hAnsi="Calibri"/>
      <w:color w:val="000000"/>
      <w:kern w:val="0"/>
      <w:szCs w:val="20"/>
      <w:u w:color="000000"/>
    </w:rPr>
  </w:style>
  <w:style w:type="paragraph" w:customStyle="1" w:styleId="1743">
    <w:name w:val="目录3"/>
    <w:basedOn w:val="1"/>
    <w:semiHidden/>
    <w:qFormat/>
    <w:uiPriority w:val="0"/>
    <w:pPr>
      <w:widowControl/>
      <w:tabs>
        <w:tab w:val="left" w:leader="dot" w:pos="7370"/>
      </w:tabs>
      <w:spacing w:line="317" w:lineRule="atLeast"/>
      <w:ind w:firstLine="419"/>
      <w:textAlignment w:val="baseline"/>
    </w:pPr>
    <w:rPr>
      <w:rFonts w:ascii="Calibri" w:hAnsi="Calibri"/>
      <w:color w:val="000000"/>
      <w:kern w:val="0"/>
      <w:szCs w:val="20"/>
      <w:u w:color="000000"/>
    </w:rPr>
  </w:style>
  <w:style w:type="paragraph" w:customStyle="1" w:styleId="1744">
    <w:name w:val="目录4"/>
    <w:basedOn w:val="1"/>
    <w:next w:val="1"/>
    <w:semiHidden/>
    <w:qFormat/>
    <w:uiPriority w:val="0"/>
    <w:pPr>
      <w:widowControl/>
      <w:tabs>
        <w:tab w:val="left" w:leader="dot" w:pos="8503"/>
      </w:tabs>
      <w:spacing w:line="317" w:lineRule="atLeast"/>
      <w:ind w:left="419" w:firstLine="629"/>
      <w:textAlignment w:val="baseline"/>
    </w:pPr>
    <w:rPr>
      <w:rFonts w:ascii="Calibri" w:hAnsi="Calibri"/>
      <w:color w:val="000000"/>
      <w:kern w:val="0"/>
      <w:szCs w:val="20"/>
      <w:u w:color="000000"/>
    </w:rPr>
  </w:style>
  <w:style w:type="paragraph" w:customStyle="1" w:styleId="1745">
    <w:name w:val="目录标题"/>
    <w:basedOn w:val="1"/>
    <w:next w:val="1"/>
    <w:semiHidden/>
    <w:qFormat/>
    <w:uiPriority w:val="0"/>
    <w:pPr>
      <w:widowControl/>
      <w:spacing w:before="215" w:after="419" w:line="436" w:lineRule="atLeast"/>
      <w:ind w:firstLine="419"/>
      <w:jc w:val="center"/>
      <w:textAlignment w:val="baseline"/>
    </w:pPr>
    <w:rPr>
      <w:rFonts w:ascii="Arial" w:hAnsi="Calibri" w:eastAsia="黑体"/>
      <w:color w:val="000000"/>
      <w:spacing w:val="283"/>
      <w:kern w:val="0"/>
      <w:sz w:val="42"/>
      <w:szCs w:val="20"/>
      <w:u w:color="000000"/>
    </w:rPr>
  </w:style>
  <w:style w:type="paragraph" w:customStyle="1" w:styleId="1746">
    <w:name w:val="农业部一"/>
    <w:next w:val="33"/>
    <w:semiHidden/>
    <w:qFormat/>
    <w:uiPriority w:val="0"/>
    <w:pPr>
      <w:widowControl w:val="0"/>
      <w:topLinePunct/>
      <w:spacing w:line="360" w:lineRule="atLeast"/>
      <w:jc w:val="center"/>
    </w:pPr>
    <w:rPr>
      <w:rFonts w:ascii="Calibri" w:hAnsi="Calibri" w:eastAsia="宋体" w:cs="Times New Roman"/>
      <w:kern w:val="2"/>
      <w:sz w:val="24"/>
      <w:szCs w:val="24"/>
      <w:lang w:val="en-US" w:eastAsia="zh-CN" w:bidi="ar-SA"/>
    </w:rPr>
  </w:style>
  <w:style w:type="paragraph" w:customStyle="1" w:styleId="1747">
    <w:name w:val="偶数页脚"/>
    <w:basedOn w:val="54"/>
    <w:semiHidden/>
    <w:qFormat/>
    <w:uiPriority w:val="0"/>
    <w:pPr>
      <w:widowControl/>
      <w:pBdr>
        <w:top w:val="single" w:color="auto" w:sz="8" w:space="1"/>
      </w:pBdr>
      <w:tabs>
        <w:tab w:val="center" w:pos="4320"/>
        <w:tab w:val="right" w:pos="8640"/>
        <w:tab w:val="clear" w:pos="4153"/>
        <w:tab w:val="clear" w:pos="8306"/>
      </w:tabs>
      <w:adjustRightInd w:val="0"/>
      <w:spacing w:line="360" w:lineRule="auto"/>
      <w:ind w:firstLine="360" w:firstLineChars="200"/>
    </w:pPr>
    <w:rPr>
      <w:rFonts w:ascii="宋体" w:hAnsi="Calibri"/>
      <w:sz w:val="24"/>
    </w:rPr>
  </w:style>
  <w:style w:type="paragraph" w:customStyle="1" w:styleId="1748">
    <w:name w:val="批注框文本 Char Char"/>
    <w:basedOn w:val="1"/>
    <w:semiHidden/>
    <w:qFormat/>
    <w:uiPriority w:val="0"/>
    <w:pPr>
      <w:spacing w:line="360" w:lineRule="auto"/>
      <w:ind w:firstLine="420" w:firstLineChars="200"/>
    </w:pPr>
    <w:rPr>
      <w:rFonts w:ascii="Calibri" w:hAnsi="Calibri"/>
      <w:sz w:val="18"/>
      <w:szCs w:val="20"/>
    </w:rPr>
  </w:style>
  <w:style w:type="paragraph" w:customStyle="1" w:styleId="1749">
    <w:name w:val="奇页页眉样式"/>
    <w:basedOn w:val="1"/>
    <w:semiHidden/>
    <w:qFormat/>
    <w:uiPriority w:val="0"/>
    <w:pPr>
      <w:spacing w:line="240" w:lineRule="atLeast"/>
      <w:jc w:val="center"/>
    </w:pPr>
    <w:rPr>
      <w:rFonts w:ascii="Calibri" w:hAnsi="宋体"/>
      <w:szCs w:val="21"/>
    </w:rPr>
  </w:style>
  <w:style w:type="paragraph" w:customStyle="1" w:styleId="1750">
    <w:name w:val="三级无标题条"/>
    <w:basedOn w:val="1"/>
    <w:semiHidden/>
    <w:qFormat/>
    <w:uiPriority w:val="0"/>
    <w:pPr>
      <w:ind w:left="2580" w:hanging="420"/>
    </w:pPr>
    <w:rPr>
      <w:rFonts w:ascii="Calibri" w:hAnsi="Calibri"/>
      <w:szCs w:val="20"/>
    </w:rPr>
  </w:style>
  <w:style w:type="paragraph" w:customStyle="1" w:styleId="1751">
    <w:name w:val="实现"/>
    <w:basedOn w:val="1"/>
    <w:semiHidden/>
    <w:qFormat/>
    <w:uiPriority w:val="0"/>
    <w:pPr>
      <w:widowControl/>
      <w:overflowPunct w:val="0"/>
      <w:autoSpaceDE w:val="0"/>
      <w:autoSpaceDN w:val="0"/>
      <w:adjustRightInd w:val="0"/>
      <w:spacing w:after="80" w:line="360" w:lineRule="auto"/>
      <w:ind w:firstLine="420" w:firstLineChars="200"/>
      <w:textAlignment w:val="baseline"/>
    </w:pPr>
    <w:rPr>
      <w:rFonts w:ascii="Calibri" w:hAnsi="Calibri"/>
      <w:kern w:val="0"/>
      <w:sz w:val="20"/>
      <w:szCs w:val="20"/>
    </w:rPr>
  </w:style>
  <w:style w:type="paragraph" w:customStyle="1" w:styleId="1752">
    <w:name w:val="数字编号（二级）"/>
    <w:semiHidden/>
    <w:qFormat/>
    <w:uiPriority w:val="0"/>
    <w:pPr>
      <w:spacing w:line="360" w:lineRule="auto"/>
    </w:pPr>
    <w:rPr>
      <w:rFonts w:ascii="宋体" w:hAnsi="Calibri" w:eastAsia="宋体" w:cs="Times New Roman"/>
      <w:kern w:val="2"/>
      <w:sz w:val="21"/>
      <w:szCs w:val="21"/>
      <w:lang w:val="en-US" w:eastAsia="zh-CN" w:bidi="ar-SA"/>
    </w:rPr>
  </w:style>
  <w:style w:type="paragraph" w:customStyle="1" w:styleId="1753">
    <w:name w:val="四级无标题条"/>
    <w:basedOn w:val="1"/>
    <w:semiHidden/>
    <w:qFormat/>
    <w:uiPriority w:val="0"/>
    <w:pPr>
      <w:ind w:left="3000" w:hanging="420"/>
    </w:pPr>
    <w:rPr>
      <w:rFonts w:ascii="Calibri" w:hAnsi="Calibri"/>
      <w:szCs w:val="20"/>
    </w:rPr>
  </w:style>
  <w:style w:type="paragraph" w:customStyle="1" w:styleId="1754">
    <w:name w:val="宋体 13 磅 行距: 固定值 24 磅"/>
    <w:basedOn w:val="1"/>
    <w:semiHidden/>
    <w:qFormat/>
    <w:uiPriority w:val="0"/>
    <w:pPr>
      <w:spacing w:line="480" w:lineRule="exact"/>
      <w:ind w:firstLine="520" w:firstLineChars="200"/>
    </w:pPr>
    <w:rPr>
      <w:rFonts w:ascii="宋体" w:hAnsi="宋体" w:cs="宋体"/>
      <w:sz w:val="26"/>
      <w:szCs w:val="20"/>
    </w:rPr>
  </w:style>
  <w:style w:type="paragraph" w:customStyle="1" w:styleId="1755">
    <w:name w:val="宋体，小四，1.5倍行距"/>
    <w:basedOn w:val="1"/>
    <w:semiHidden/>
    <w:qFormat/>
    <w:uiPriority w:val="0"/>
    <w:pPr>
      <w:spacing w:before="100" w:after="100" w:line="360" w:lineRule="auto"/>
      <w:ind w:firstLine="560"/>
    </w:pPr>
    <w:rPr>
      <w:rFonts w:ascii="宋体" w:hAnsi="宋体"/>
      <w:sz w:val="24"/>
      <w:szCs w:val="21"/>
    </w:rPr>
  </w:style>
  <w:style w:type="paragraph" w:customStyle="1" w:styleId="1756">
    <w:name w:val="题注（图、表）"/>
    <w:basedOn w:val="1"/>
    <w:semiHidden/>
    <w:qFormat/>
    <w:uiPriority w:val="0"/>
    <w:pPr>
      <w:adjustRightInd w:val="0"/>
      <w:snapToGrid w:val="0"/>
      <w:spacing w:before="160" w:after="156" w:line="400" w:lineRule="exact"/>
      <w:ind w:firstLine="420" w:firstLineChars="200"/>
      <w:jc w:val="center"/>
    </w:pPr>
    <w:rPr>
      <w:rFonts w:ascii="Arial" w:hAnsi="Arial" w:eastAsia="黑体"/>
      <w:sz w:val="24"/>
      <w:szCs w:val="21"/>
    </w:rPr>
  </w:style>
  <w:style w:type="paragraph" w:customStyle="1" w:styleId="1757">
    <w:name w:val="条-成果 Char"/>
    <w:basedOn w:val="4"/>
    <w:semiHidden/>
    <w:qFormat/>
    <w:uiPriority w:val="0"/>
    <w:pPr>
      <w:keepNext w:val="0"/>
      <w:keepLines w:val="0"/>
      <w:tabs>
        <w:tab w:val="left" w:pos="1440"/>
      </w:tabs>
      <w:spacing w:beforeLines="50" w:afterLines="50" w:line="400" w:lineRule="exact"/>
      <w:ind w:left="1440" w:hanging="720"/>
      <w:outlineLvl w:val="9"/>
    </w:pPr>
    <w:rPr>
      <w:rFonts w:ascii="宋体" w:hAnsi="宋体"/>
      <w:b w:val="0"/>
      <w:kern w:val="0"/>
      <w:sz w:val="24"/>
      <w:szCs w:val="30"/>
    </w:rPr>
  </w:style>
  <w:style w:type="paragraph" w:customStyle="1" w:styleId="1758">
    <w:name w:val="通用"/>
    <w:basedOn w:val="1"/>
    <w:semiHidden/>
    <w:qFormat/>
    <w:uiPriority w:val="0"/>
    <w:pPr>
      <w:widowControl/>
      <w:spacing w:before="120" w:after="120" w:line="300" w:lineRule="exact"/>
      <w:ind w:right="216"/>
      <w:jc w:val="left"/>
    </w:pPr>
    <w:rPr>
      <w:rFonts w:ascii="Garamond" w:hAnsi="Garamond"/>
      <w:spacing w:val="40"/>
      <w:kern w:val="0"/>
      <w:sz w:val="24"/>
      <w:szCs w:val="20"/>
    </w:rPr>
  </w:style>
  <w:style w:type="paragraph" w:customStyle="1" w:styleId="1759">
    <w:name w:val="通用正文"/>
    <w:basedOn w:val="1"/>
    <w:semiHidden/>
    <w:qFormat/>
    <w:uiPriority w:val="0"/>
    <w:pPr>
      <w:spacing w:line="600" w:lineRule="exact"/>
      <w:ind w:firstLine="200" w:firstLineChars="200"/>
    </w:pPr>
    <w:rPr>
      <w:rFonts w:ascii="新宋体" w:hAnsi="新宋体" w:eastAsia="新宋体"/>
      <w:sz w:val="24"/>
      <w:szCs w:val="21"/>
    </w:rPr>
  </w:style>
  <w:style w:type="paragraph" w:customStyle="1" w:styleId="1760">
    <w:name w:val="投标文件二级标题"/>
    <w:basedOn w:val="3"/>
    <w:semiHidden/>
    <w:qFormat/>
    <w:uiPriority w:val="0"/>
    <w:pPr>
      <w:tabs>
        <w:tab w:val="left" w:pos="680"/>
      </w:tabs>
      <w:spacing w:before="480" w:line="400" w:lineRule="exact"/>
      <w:ind w:left="992" w:right="33" w:hanging="567"/>
    </w:pPr>
    <w:rPr>
      <w:b w:val="0"/>
      <w:bCs w:val="0"/>
      <w:color w:val="000000"/>
      <w:sz w:val="28"/>
      <w:szCs w:val="20"/>
    </w:rPr>
  </w:style>
  <w:style w:type="paragraph" w:customStyle="1" w:styleId="1761">
    <w:name w:val="投标文件三级标题"/>
    <w:basedOn w:val="4"/>
    <w:semiHidden/>
    <w:qFormat/>
    <w:uiPriority w:val="0"/>
    <w:pPr>
      <w:tabs>
        <w:tab w:val="left" w:pos="851"/>
      </w:tabs>
      <w:spacing w:before="240" w:after="60" w:line="400" w:lineRule="exact"/>
      <w:ind w:left="1418" w:right="33" w:hanging="567"/>
    </w:pPr>
    <w:rPr>
      <w:rFonts w:ascii="宋体" w:hAnsi="Calibri" w:eastAsia="黑体"/>
      <w:b w:val="0"/>
      <w:bCs w:val="0"/>
      <w:color w:val="000000"/>
      <w:sz w:val="26"/>
      <w:szCs w:val="20"/>
    </w:rPr>
  </w:style>
  <w:style w:type="paragraph" w:customStyle="1" w:styleId="1762">
    <w:name w:val="投标文件四级标题"/>
    <w:basedOn w:val="5"/>
    <w:semiHidden/>
    <w:qFormat/>
    <w:uiPriority w:val="0"/>
    <w:pPr>
      <w:tabs>
        <w:tab w:val="left" w:pos="964"/>
      </w:tabs>
      <w:spacing w:before="240" w:after="120" w:line="400" w:lineRule="exact"/>
      <w:ind w:left="1984" w:right="33" w:hanging="708"/>
      <w:jc w:val="left"/>
    </w:pPr>
    <w:rPr>
      <w:rFonts w:ascii="Cambria" w:hAnsi="Cambria"/>
      <w:bCs w:val="0"/>
      <w:color w:val="000000"/>
      <w:szCs w:val="20"/>
    </w:rPr>
  </w:style>
  <w:style w:type="paragraph" w:customStyle="1" w:styleId="1763">
    <w:name w:val="投标文件五级标题"/>
    <w:basedOn w:val="1762"/>
    <w:semiHidden/>
    <w:qFormat/>
    <w:uiPriority w:val="0"/>
    <w:pPr>
      <w:tabs>
        <w:tab w:val="left" w:pos="1440"/>
        <w:tab w:val="clear" w:pos="964"/>
      </w:tabs>
      <w:adjustRightInd w:val="0"/>
      <w:spacing w:before="0" w:after="0"/>
      <w:ind w:right="34"/>
      <w:textAlignment w:val="baseline"/>
      <w:outlineLvl w:val="4"/>
    </w:pPr>
    <w:rPr>
      <w:rFonts w:hAnsi="宋体"/>
    </w:rPr>
  </w:style>
  <w:style w:type="paragraph" w:customStyle="1" w:styleId="1764">
    <w:name w:val="投标文件一级标题"/>
    <w:basedOn w:val="2"/>
    <w:semiHidden/>
    <w:qFormat/>
    <w:uiPriority w:val="0"/>
    <w:pPr>
      <w:pageBreakBefore/>
      <w:tabs>
        <w:tab w:val="left" w:pos="680"/>
      </w:tabs>
      <w:spacing w:before="480" w:after="360" w:line="400" w:lineRule="exact"/>
      <w:ind w:left="425" w:right="33" w:hanging="425"/>
      <w:jc w:val="center"/>
    </w:pPr>
    <w:rPr>
      <w:rFonts w:ascii="Arial" w:hAnsi="Arial" w:eastAsia="黑体"/>
      <w:bCs w:val="0"/>
      <w:color w:val="000000"/>
      <w:szCs w:val="20"/>
    </w:rPr>
  </w:style>
  <w:style w:type="paragraph" w:customStyle="1" w:styleId="1765">
    <w:name w:val="投标文件正文"/>
    <w:basedOn w:val="1"/>
    <w:semiHidden/>
    <w:qFormat/>
    <w:uiPriority w:val="0"/>
    <w:pPr>
      <w:spacing w:line="400" w:lineRule="exact"/>
      <w:ind w:right="33" w:firstLine="480" w:firstLineChars="200"/>
      <w:jc w:val="left"/>
    </w:pPr>
    <w:rPr>
      <w:rFonts w:ascii="Arial" w:hAnsi="Arial"/>
      <w:color w:val="000000"/>
      <w:sz w:val="24"/>
      <w:szCs w:val="20"/>
    </w:rPr>
  </w:style>
  <w:style w:type="paragraph" w:customStyle="1" w:styleId="1766">
    <w:name w:val="图"/>
    <w:basedOn w:val="20"/>
    <w:next w:val="1"/>
    <w:semiHidden/>
    <w:qFormat/>
    <w:uiPriority w:val="0"/>
    <w:pPr>
      <w:adjustRightInd/>
      <w:jc w:val="center"/>
      <w:textAlignment w:val="auto"/>
    </w:pPr>
    <w:rPr>
      <w:rFonts w:hAnsi="Calibri"/>
      <w:spacing w:val="-1"/>
      <w:sz w:val="21"/>
    </w:rPr>
  </w:style>
  <w:style w:type="paragraph" w:customStyle="1" w:styleId="1767">
    <w:name w:val="图、表头文字"/>
    <w:basedOn w:val="1"/>
    <w:semiHidden/>
    <w:qFormat/>
    <w:uiPriority w:val="0"/>
    <w:pPr>
      <w:autoSpaceDE w:val="0"/>
      <w:autoSpaceDN w:val="0"/>
      <w:adjustRightInd w:val="0"/>
      <w:spacing w:before="80" w:after="80"/>
      <w:jc w:val="center"/>
      <w:textAlignment w:val="baseline"/>
    </w:pPr>
    <w:rPr>
      <w:rFonts w:ascii="黑体" w:hAnsi="Calibri" w:eastAsia="黑体"/>
      <w:kern w:val="0"/>
      <w:szCs w:val="20"/>
    </w:rPr>
  </w:style>
  <w:style w:type="paragraph" w:customStyle="1" w:styleId="1768">
    <w:name w:val="图4.1"/>
    <w:basedOn w:val="1"/>
    <w:semiHidden/>
    <w:qFormat/>
    <w:uiPriority w:val="0"/>
    <w:pPr>
      <w:widowControl/>
      <w:tabs>
        <w:tab w:val="left" w:pos="1614"/>
      </w:tabs>
      <w:snapToGrid w:val="0"/>
      <w:spacing w:line="360" w:lineRule="auto"/>
      <w:ind w:left="1614" w:hanging="1134"/>
      <w:jc w:val="left"/>
    </w:pPr>
    <w:rPr>
      <w:rFonts w:ascii="Calibri" w:hAnsi="Calibri" w:eastAsia="黑体" w:cs="Times"/>
      <w:kern w:val="0"/>
      <w:sz w:val="24"/>
      <w:szCs w:val="21"/>
    </w:rPr>
  </w:style>
  <w:style w:type="paragraph" w:customStyle="1" w:styleId="1769">
    <w:name w:val="图标题"/>
    <w:basedOn w:val="1"/>
    <w:next w:val="1"/>
    <w:semiHidden/>
    <w:qFormat/>
    <w:uiPriority w:val="0"/>
    <w:pPr>
      <w:adjustRightInd w:val="0"/>
      <w:spacing w:before="60" w:after="120" w:line="312" w:lineRule="auto"/>
      <w:ind w:firstLine="601"/>
      <w:jc w:val="center"/>
      <w:textAlignment w:val="baseline"/>
    </w:pPr>
    <w:rPr>
      <w:rFonts w:ascii="Calibri" w:hAnsi="Calibri"/>
      <w:b/>
      <w:kern w:val="0"/>
      <w:sz w:val="24"/>
      <w:szCs w:val="20"/>
    </w:rPr>
  </w:style>
  <w:style w:type="paragraph" w:customStyle="1" w:styleId="1770">
    <w:name w:val="图表标注"/>
    <w:basedOn w:val="1"/>
    <w:semiHidden/>
    <w:qFormat/>
    <w:uiPriority w:val="0"/>
    <w:pPr>
      <w:adjustRightInd w:val="0"/>
      <w:snapToGrid w:val="0"/>
      <w:spacing w:line="360" w:lineRule="auto"/>
      <w:ind w:right="1124" w:firstLine="241" w:firstLineChars="100"/>
      <w:jc w:val="center"/>
    </w:pPr>
    <w:rPr>
      <w:rFonts w:ascii="Calibri" w:hAnsi="Calibri" w:eastAsia="仿宋_GB2312"/>
      <w:b/>
      <w:sz w:val="24"/>
      <w:szCs w:val="21"/>
    </w:rPr>
  </w:style>
  <w:style w:type="paragraph" w:customStyle="1" w:styleId="1771">
    <w:name w:val="图表名"/>
    <w:basedOn w:val="1"/>
    <w:semiHidden/>
    <w:qFormat/>
    <w:uiPriority w:val="0"/>
    <w:pPr>
      <w:spacing w:beforeLines="30" w:afterLines="20" w:line="440" w:lineRule="exact"/>
      <w:ind w:firstLine="480" w:firstLineChars="200"/>
      <w:jc w:val="center"/>
    </w:pPr>
    <w:rPr>
      <w:rFonts w:ascii="Calibri" w:hAnsi="Calibri" w:eastAsia="黑体"/>
      <w:sz w:val="24"/>
      <w:szCs w:val="21"/>
    </w:rPr>
  </w:style>
  <w:style w:type="paragraph" w:customStyle="1" w:styleId="1772">
    <w:name w:val="图表目录1"/>
    <w:basedOn w:val="1"/>
    <w:next w:val="1"/>
    <w:semiHidden/>
    <w:qFormat/>
    <w:uiPriority w:val="0"/>
    <w:pPr>
      <w:tabs>
        <w:tab w:val="right" w:leader="dot" w:pos="8051"/>
      </w:tabs>
      <w:adjustRightInd w:val="0"/>
      <w:spacing w:line="360" w:lineRule="atLeast"/>
      <w:ind w:left="840" w:hanging="840"/>
      <w:jc w:val="left"/>
      <w:textAlignment w:val="baseline"/>
    </w:pPr>
    <w:rPr>
      <w:rFonts w:ascii="宋体" w:hAnsi="Calibri"/>
      <w:sz w:val="24"/>
      <w:szCs w:val="21"/>
    </w:rPr>
  </w:style>
  <w:style w:type="paragraph" w:customStyle="1" w:styleId="1773">
    <w:name w:val="图表目录11"/>
    <w:basedOn w:val="1"/>
    <w:next w:val="1"/>
    <w:semiHidden/>
    <w:qFormat/>
    <w:uiPriority w:val="0"/>
    <w:pPr>
      <w:tabs>
        <w:tab w:val="right" w:leader="dot" w:pos="8051"/>
      </w:tabs>
      <w:adjustRightInd w:val="0"/>
      <w:spacing w:line="360" w:lineRule="atLeast"/>
      <w:ind w:left="840" w:hanging="840"/>
      <w:jc w:val="left"/>
      <w:textAlignment w:val="baseline"/>
    </w:pPr>
    <w:rPr>
      <w:rFonts w:ascii="宋体" w:hAnsi="Calibri"/>
      <w:sz w:val="24"/>
      <w:szCs w:val="21"/>
    </w:rPr>
  </w:style>
  <w:style w:type="paragraph" w:customStyle="1" w:styleId="1774">
    <w:name w:val="图表正文"/>
    <w:basedOn w:val="1"/>
    <w:semiHidden/>
    <w:qFormat/>
    <w:uiPriority w:val="0"/>
    <w:pPr>
      <w:widowControl/>
      <w:spacing w:line="360" w:lineRule="atLeast"/>
      <w:ind w:firstLine="420" w:firstLineChars="200"/>
      <w:jc w:val="center"/>
    </w:pPr>
    <w:rPr>
      <w:rFonts w:ascii="宋体" w:hAnsi="宋体"/>
      <w:snapToGrid w:val="0"/>
      <w:kern w:val="0"/>
      <w:szCs w:val="21"/>
    </w:rPr>
  </w:style>
  <w:style w:type="paragraph" w:customStyle="1" w:styleId="1775">
    <w:name w:val="图号样式"/>
    <w:basedOn w:val="1"/>
    <w:semiHidden/>
    <w:qFormat/>
    <w:uiPriority w:val="0"/>
    <w:pPr>
      <w:spacing w:line="360" w:lineRule="auto"/>
      <w:jc w:val="center"/>
    </w:pPr>
    <w:rPr>
      <w:rFonts w:ascii="Calibri" w:hAnsi="Calibri"/>
      <w:sz w:val="24"/>
      <w:szCs w:val="21"/>
    </w:rPr>
  </w:style>
  <w:style w:type="paragraph" w:customStyle="1" w:styleId="1776">
    <w:name w:val="图片样式"/>
    <w:basedOn w:val="1"/>
    <w:semiHidden/>
    <w:qFormat/>
    <w:uiPriority w:val="0"/>
    <w:pPr>
      <w:spacing w:line="360" w:lineRule="auto"/>
      <w:ind w:firstLine="420" w:firstLineChars="200"/>
      <w:jc w:val="center"/>
    </w:pPr>
    <w:rPr>
      <w:rFonts w:ascii="Calibri" w:hAnsi="Calibri"/>
      <w:sz w:val="24"/>
      <w:szCs w:val="20"/>
    </w:rPr>
  </w:style>
  <w:style w:type="paragraph" w:customStyle="1" w:styleId="1777">
    <w:name w:val="图题"/>
    <w:basedOn w:val="1"/>
    <w:semiHidden/>
    <w:qFormat/>
    <w:uiPriority w:val="0"/>
    <w:pPr>
      <w:adjustRightInd w:val="0"/>
      <w:snapToGrid w:val="0"/>
      <w:ind w:firstLine="533" w:firstLineChars="222"/>
      <w:jc w:val="center"/>
    </w:pPr>
    <w:rPr>
      <w:rFonts w:ascii="黑体" w:hAnsi="宋体" w:eastAsia="黑体"/>
      <w:snapToGrid w:val="0"/>
      <w:kern w:val="0"/>
      <w:sz w:val="24"/>
      <w:szCs w:val="21"/>
    </w:rPr>
  </w:style>
  <w:style w:type="paragraph" w:customStyle="1" w:styleId="1778">
    <w:name w:val="图题7"/>
    <w:basedOn w:val="1"/>
    <w:semiHidden/>
    <w:qFormat/>
    <w:uiPriority w:val="0"/>
    <w:pPr>
      <w:adjustRightInd w:val="0"/>
      <w:snapToGrid w:val="0"/>
      <w:ind w:firstLine="533" w:firstLineChars="222"/>
      <w:jc w:val="center"/>
    </w:pPr>
    <w:rPr>
      <w:rFonts w:ascii="黑体" w:hAnsi="宋体" w:eastAsia="黑体"/>
      <w:snapToGrid w:val="0"/>
      <w:kern w:val="0"/>
      <w:sz w:val="24"/>
      <w:szCs w:val="21"/>
    </w:rPr>
  </w:style>
  <w:style w:type="paragraph" w:customStyle="1" w:styleId="1779">
    <w:name w:val="图样式"/>
    <w:basedOn w:val="1"/>
    <w:next w:val="1"/>
    <w:semiHidden/>
    <w:qFormat/>
    <w:uiPriority w:val="0"/>
    <w:pPr>
      <w:jc w:val="center"/>
    </w:pPr>
    <w:rPr>
      <w:rFonts w:ascii="Calibri" w:hAnsi="Calibri" w:eastAsia="仿宋_GB2312"/>
      <w:sz w:val="28"/>
      <w:szCs w:val="28"/>
    </w:rPr>
  </w:style>
  <w:style w:type="paragraph" w:customStyle="1" w:styleId="1780">
    <w:name w:val="尾消息标题"/>
    <w:basedOn w:val="78"/>
    <w:next w:val="33"/>
    <w:semiHidden/>
    <w:qFormat/>
    <w:uiPriority w:val="0"/>
    <w:pPr>
      <w:keepLines/>
      <w:widowControl/>
      <w:pBdr>
        <w:top w:val="double" w:color="auto" w:sz="6" w:space="18"/>
        <w:left w:val="none" w:color="auto" w:sz="0" w:space="0"/>
        <w:bottom w:val="double" w:color="auto" w:sz="6" w:space="18"/>
        <w:right w:val="none" w:color="auto" w:sz="0" w:space="0"/>
        <w:between w:val="single" w:color="auto" w:sz="6" w:space="18"/>
      </w:pBdr>
      <w:shd w:val="clear" w:color="auto" w:fill="auto"/>
      <w:tabs>
        <w:tab w:val="left" w:pos="1279"/>
        <w:tab w:val="left" w:pos="2940"/>
        <w:tab w:val="left" w:pos="5100"/>
        <w:tab w:val="right" w:pos="8640"/>
      </w:tabs>
      <w:spacing w:before="13" w:afterLines="100" w:line="140" w:lineRule="atLeast"/>
      <w:ind w:left="0" w:firstLine="0"/>
      <w:jc w:val="left"/>
    </w:pPr>
    <w:rPr>
      <w:rFonts w:ascii="Garamond" w:hAnsi="Garamond"/>
      <w:spacing w:val="-5"/>
      <w:kern w:val="0"/>
      <w:sz w:val="21"/>
      <w:szCs w:val="20"/>
    </w:rPr>
  </w:style>
  <w:style w:type="paragraph" w:customStyle="1" w:styleId="1781">
    <w:name w:val="文本"/>
    <w:basedOn w:val="1"/>
    <w:semiHidden/>
    <w:qFormat/>
    <w:uiPriority w:val="0"/>
    <w:pPr>
      <w:adjustRightInd w:val="0"/>
      <w:snapToGrid w:val="0"/>
      <w:spacing w:line="500" w:lineRule="exact"/>
      <w:ind w:firstLine="560" w:firstLineChars="200"/>
      <w:jc w:val="left"/>
    </w:pPr>
    <w:rPr>
      <w:rFonts w:ascii="宋体" w:hAnsi="宋体" w:eastAsia="汉鼎简书宋" w:cs="宋体"/>
      <w:sz w:val="28"/>
      <w:szCs w:val="28"/>
    </w:rPr>
  </w:style>
  <w:style w:type="paragraph" w:customStyle="1" w:styleId="1782">
    <w:name w:val="文本框"/>
    <w:semiHidden/>
    <w:qFormat/>
    <w:uiPriority w:val="0"/>
    <w:pPr>
      <w:spacing w:line="312" w:lineRule="exact"/>
      <w:jc w:val="center"/>
    </w:pPr>
    <w:rPr>
      <w:rFonts w:ascii="Calibri" w:hAnsi="Calibri" w:eastAsia="宋体" w:cs="Times New Roman"/>
      <w:kern w:val="2"/>
      <w:sz w:val="24"/>
      <w:szCs w:val="21"/>
      <w:lang w:val="en-US" w:eastAsia="zh-CN" w:bidi="ar-SA"/>
    </w:rPr>
  </w:style>
  <w:style w:type="paragraph" w:customStyle="1" w:styleId="1783">
    <w:name w:val="文本框图"/>
    <w:basedOn w:val="1782"/>
    <w:semiHidden/>
    <w:qFormat/>
    <w:uiPriority w:val="0"/>
    <w:pPr>
      <w:widowControl w:val="0"/>
      <w:autoSpaceDE w:val="0"/>
      <w:autoSpaceDN w:val="0"/>
      <w:adjustRightInd w:val="0"/>
      <w:spacing w:line="360" w:lineRule="auto"/>
      <w:ind w:firstLine="420" w:firstLineChars="200"/>
      <w:jc w:val="both"/>
    </w:pPr>
    <w:rPr>
      <w:rFonts w:ascii="宋体" w:hAnsi="宋体" w:cs="宋体"/>
      <w:color w:val="000000"/>
      <w:szCs w:val="24"/>
      <w:lang w:val="zh-CN"/>
    </w:rPr>
  </w:style>
  <w:style w:type="paragraph" w:customStyle="1" w:styleId="1784">
    <w:name w:val="文本框图片"/>
    <w:basedOn w:val="1"/>
    <w:semiHidden/>
    <w:qFormat/>
    <w:uiPriority w:val="0"/>
    <w:pPr>
      <w:autoSpaceDE w:val="0"/>
      <w:autoSpaceDN w:val="0"/>
      <w:adjustRightInd w:val="0"/>
      <w:spacing w:line="360" w:lineRule="auto"/>
      <w:ind w:firstLine="420" w:firstLineChars="200"/>
    </w:pPr>
    <w:rPr>
      <w:rFonts w:ascii="宋体" w:hAnsi="宋体" w:cs="宋体"/>
      <w:bCs/>
      <w:color w:val="000000"/>
      <w:kern w:val="0"/>
      <w:sz w:val="24"/>
      <w:szCs w:val="21"/>
      <w:lang w:val="zh-CN"/>
    </w:rPr>
  </w:style>
  <w:style w:type="paragraph" w:customStyle="1" w:styleId="1785">
    <w:name w:val="样式 样式 正文首行缩进正文首行缩进 Char + 首行缩进:  2 字符 + 首行缩进:  2 字符"/>
    <w:basedOn w:val="1"/>
    <w:semiHidden/>
    <w:qFormat/>
    <w:uiPriority w:val="0"/>
    <w:pPr>
      <w:adjustRightInd w:val="0"/>
      <w:snapToGrid w:val="0"/>
      <w:spacing w:line="360" w:lineRule="auto"/>
      <w:ind w:firstLine="480" w:firstLineChars="200"/>
      <w:textAlignment w:val="baseline"/>
    </w:pPr>
    <w:rPr>
      <w:rFonts w:ascii="宋体" w:hAnsi="Calibri" w:cs="宋体"/>
      <w:sz w:val="24"/>
      <w:szCs w:val="20"/>
      <w:lang w:val="zh-CN"/>
    </w:rPr>
  </w:style>
  <w:style w:type="paragraph" w:customStyle="1" w:styleId="1786">
    <w:name w:val="文本框五号加粗 Char"/>
    <w:next w:val="1"/>
    <w:semiHidden/>
    <w:qFormat/>
    <w:uiPriority w:val="0"/>
    <w:pPr>
      <w:spacing w:line="300" w:lineRule="auto"/>
      <w:jc w:val="center"/>
    </w:pPr>
    <w:rPr>
      <w:rFonts w:ascii="Calibri" w:hAnsi="Calibri" w:eastAsia="仿宋_GB2312" w:cs="Times New Roman"/>
      <w:b/>
      <w:kern w:val="2"/>
      <w:sz w:val="21"/>
      <w:szCs w:val="24"/>
      <w:lang w:val="en-US" w:eastAsia="zh-CN" w:bidi="ar-SA"/>
    </w:rPr>
  </w:style>
  <w:style w:type="paragraph" w:customStyle="1" w:styleId="1787">
    <w:name w:val="样式 样式 正文缩进正文（首行缩进两字）111 Char Char111 Char Char Char + 黑色 + 左侧:  ..."/>
    <w:basedOn w:val="1"/>
    <w:next w:val="1"/>
    <w:semiHidden/>
    <w:qFormat/>
    <w:uiPriority w:val="0"/>
    <w:pPr>
      <w:tabs>
        <w:tab w:val="left" w:pos="1117"/>
      </w:tabs>
      <w:ind w:left="1117" w:hanging="340"/>
    </w:pPr>
    <w:rPr>
      <w:rFonts w:ascii="Calibri" w:hAnsi="Calibri"/>
      <w:szCs w:val="20"/>
    </w:rPr>
  </w:style>
  <w:style w:type="paragraph" w:customStyle="1" w:styleId="1788">
    <w:name w:val="文档标签"/>
    <w:next w:val="1541"/>
    <w:semiHidden/>
    <w:qFormat/>
    <w:uiPriority w:val="0"/>
    <w:pPr>
      <w:spacing w:after="40" w:line="240" w:lineRule="atLeast"/>
      <w:jc w:val="center"/>
    </w:pPr>
    <w:rPr>
      <w:rFonts w:ascii="Garamond" w:hAnsi="Garamond" w:eastAsia="黑体" w:cs="Times New Roman"/>
      <w:b/>
      <w:caps/>
      <w:spacing w:val="20"/>
      <w:kern w:val="2"/>
      <w:sz w:val="24"/>
      <w:szCs w:val="21"/>
      <w:lang w:val="en-US" w:eastAsia="zh-CN" w:bidi="ar-SA"/>
    </w:rPr>
  </w:style>
  <w:style w:type="paragraph" w:customStyle="1" w:styleId="1789">
    <w:name w:val="样式 样式 左侧:  1.5 厘米 首行缩进:  0 厘米 + 左侧:  0 厘米"/>
    <w:basedOn w:val="1"/>
    <w:semiHidden/>
    <w:qFormat/>
    <w:uiPriority w:val="0"/>
    <w:pPr>
      <w:spacing w:after="120" w:line="440" w:lineRule="exact"/>
      <w:ind w:firstLine="200" w:firstLineChars="200"/>
    </w:pPr>
    <w:rPr>
      <w:rFonts w:ascii="Arial" w:hAnsi="Arial"/>
      <w:kern w:val="0"/>
      <w:sz w:val="24"/>
      <w:szCs w:val="20"/>
    </w:rPr>
  </w:style>
  <w:style w:type="paragraph" w:customStyle="1" w:styleId="1790">
    <w:name w:val="文档卷标"/>
    <w:basedOn w:val="856"/>
    <w:semiHidden/>
    <w:qFormat/>
    <w:uiPriority w:val="0"/>
    <w:pPr>
      <w:spacing w:after="360"/>
    </w:pPr>
    <w:rPr>
      <w:rFonts w:ascii="Times New Roman" w:hAnsi="Times New Roman"/>
    </w:rPr>
  </w:style>
  <w:style w:type="paragraph" w:customStyle="1" w:styleId="1791">
    <w:name w:val="文件"/>
    <w:basedOn w:val="1"/>
    <w:semiHidden/>
    <w:qFormat/>
    <w:uiPriority w:val="0"/>
    <w:pPr>
      <w:widowControl/>
      <w:tabs>
        <w:tab w:val="left" w:pos="300"/>
      </w:tabs>
      <w:spacing w:line="360" w:lineRule="auto"/>
      <w:ind w:left="900"/>
    </w:pPr>
    <w:rPr>
      <w:rFonts w:ascii="楷体_GB2312" w:hAnsi="宋体" w:eastAsia="楷体_GB2312"/>
      <w:kern w:val="0"/>
      <w:sz w:val="30"/>
      <w:szCs w:val="20"/>
    </w:rPr>
  </w:style>
  <w:style w:type="paragraph" w:customStyle="1" w:styleId="1792">
    <w:name w:val="文件2"/>
    <w:basedOn w:val="20"/>
    <w:semiHidden/>
    <w:qFormat/>
    <w:uiPriority w:val="0"/>
    <w:pPr>
      <w:adjustRightInd/>
      <w:ind w:left="500" w:leftChars="500"/>
      <w:jc w:val="both"/>
      <w:textAlignment w:val="auto"/>
    </w:pPr>
    <w:rPr>
      <w:rFonts w:ascii="楷体_GB2312" w:hAnsi="Calibri" w:eastAsia="楷体_GB2312"/>
      <w:kern w:val="2"/>
      <w:sz w:val="30"/>
    </w:rPr>
  </w:style>
  <w:style w:type="paragraph" w:customStyle="1" w:styleId="1793">
    <w:name w:val="文件正文"/>
    <w:basedOn w:val="1"/>
    <w:semiHidden/>
    <w:qFormat/>
    <w:uiPriority w:val="0"/>
    <w:pPr>
      <w:spacing w:line="480" w:lineRule="atLeast"/>
      <w:ind w:firstLine="560"/>
    </w:pPr>
    <w:rPr>
      <w:rFonts w:ascii="Calibri" w:hAnsi="Calibri" w:eastAsia="仿宋_GB2312"/>
      <w:sz w:val="28"/>
      <w:szCs w:val="20"/>
    </w:rPr>
  </w:style>
  <w:style w:type="paragraph" w:customStyle="1" w:styleId="1794">
    <w:name w:val="文章标题4"/>
    <w:basedOn w:val="1"/>
    <w:semiHidden/>
    <w:qFormat/>
    <w:uiPriority w:val="0"/>
    <w:pPr>
      <w:spacing w:line="440" w:lineRule="exact"/>
    </w:pPr>
    <w:rPr>
      <w:rFonts w:ascii="Calibri" w:hAnsi="Calibri"/>
      <w:b/>
      <w:sz w:val="24"/>
      <w:szCs w:val="21"/>
    </w:rPr>
  </w:style>
  <w:style w:type="paragraph" w:customStyle="1" w:styleId="1795">
    <w:name w:val="样式 样式1 + 五号 黑色 段前: 4 磅 段后: 4 磅 行距: 单倍行距"/>
    <w:basedOn w:val="1"/>
    <w:semiHidden/>
    <w:qFormat/>
    <w:uiPriority w:val="0"/>
    <w:pPr>
      <w:spacing w:before="80" w:after="80"/>
    </w:pPr>
    <w:rPr>
      <w:rFonts w:ascii="Calibri" w:hAnsi="Calibri"/>
      <w:szCs w:val="21"/>
    </w:rPr>
  </w:style>
  <w:style w:type="paragraph" w:customStyle="1" w:styleId="1796">
    <w:name w:val="文章附标题"/>
    <w:basedOn w:val="1"/>
    <w:next w:val="1"/>
    <w:semiHidden/>
    <w:qFormat/>
    <w:uiPriority w:val="0"/>
    <w:pPr>
      <w:widowControl/>
      <w:spacing w:before="187" w:after="175" w:line="374" w:lineRule="atLeast"/>
      <w:jc w:val="center"/>
      <w:textAlignment w:val="baseline"/>
    </w:pPr>
    <w:rPr>
      <w:rFonts w:ascii="Calibri" w:hAnsi="Calibri"/>
      <w:color w:val="000000"/>
      <w:kern w:val="0"/>
      <w:sz w:val="36"/>
      <w:szCs w:val="20"/>
      <w:u w:color="000000"/>
    </w:rPr>
  </w:style>
  <w:style w:type="paragraph" w:customStyle="1" w:styleId="1797">
    <w:name w:val="文章总标题"/>
    <w:basedOn w:val="1"/>
    <w:semiHidden/>
    <w:qFormat/>
    <w:uiPriority w:val="0"/>
    <w:pPr>
      <w:widowControl/>
      <w:spacing w:line="351" w:lineRule="atLeast"/>
      <w:jc w:val="center"/>
      <w:textAlignment w:val="baseline"/>
    </w:pPr>
    <w:rPr>
      <w:rFonts w:ascii="Arial Black" w:hAnsi="Calibri"/>
      <w:color w:val="000000"/>
      <w:kern w:val="0"/>
      <w:sz w:val="36"/>
      <w:szCs w:val="20"/>
      <w:u w:color="000000"/>
    </w:rPr>
  </w:style>
  <w:style w:type="paragraph" w:customStyle="1" w:styleId="1798">
    <w:name w:val="样式 样式3 + 段前: 0.5 行"/>
    <w:basedOn w:val="1"/>
    <w:semiHidden/>
    <w:qFormat/>
    <w:uiPriority w:val="0"/>
    <w:pPr>
      <w:tabs>
        <w:tab w:val="center" w:pos="4649"/>
        <w:tab w:val="right" w:pos="9072"/>
      </w:tabs>
      <w:adjustRightInd w:val="0"/>
      <w:snapToGrid w:val="0"/>
      <w:spacing w:beforeLines="50" w:line="360" w:lineRule="auto"/>
      <w:jc w:val="left"/>
      <w:textAlignment w:val="baseline"/>
      <w:outlineLvl w:val="2"/>
    </w:pPr>
    <w:rPr>
      <w:rFonts w:ascii="宋体" w:hAnsi="宋体" w:cs="宋体"/>
      <w:b/>
      <w:bCs/>
      <w:kern w:val="0"/>
      <w:sz w:val="24"/>
      <w:szCs w:val="22"/>
    </w:rPr>
  </w:style>
  <w:style w:type="paragraph" w:customStyle="1" w:styleId="1799">
    <w:name w:val="文字"/>
    <w:basedOn w:val="1"/>
    <w:semiHidden/>
    <w:uiPriority w:val="0"/>
    <w:pPr>
      <w:widowControl/>
      <w:spacing w:line="360" w:lineRule="auto"/>
      <w:ind w:firstLine="482" w:firstLineChars="200"/>
    </w:pPr>
    <w:rPr>
      <w:rFonts w:ascii="Arial" w:hAnsi="Arial"/>
      <w:snapToGrid w:val="0"/>
      <w:color w:val="000000"/>
      <w:kern w:val="28"/>
      <w:sz w:val="24"/>
      <w:szCs w:val="20"/>
    </w:rPr>
  </w:style>
  <w:style w:type="paragraph" w:customStyle="1" w:styleId="1800">
    <w:name w:val="文字1"/>
    <w:basedOn w:val="1799"/>
    <w:semiHidden/>
    <w:qFormat/>
    <w:uiPriority w:val="0"/>
    <w:pPr>
      <w:widowControl w:val="0"/>
      <w:tabs>
        <w:tab w:val="left" w:pos="720"/>
      </w:tabs>
      <w:spacing w:line="360" w:lineRule="atLeast"/>
      <w:ind w:left="181" w:leftChars="86" w:firstLine="480"/>
    </w:pPr>
    <w:rPr>
      <w:rFonts w:ascii="宋体" w:hAnsi="宋体"/>
      <w:snapToGrid/>
      <w:color w:val="auto"/>
      <w:kern w:val="2"/>
      <w:sz w:val="21"/>
      <w:szCs w:val="28"/>
    </w:rPr>
  </w:style>
  <w:style w:type="paragraph" w:customStyle="1" w:styleId="1801">
    <w:name w:val="文字2"/>
    <w:basedOn w:val="1"/>
    <w:semiHidden/>
    <w:uiPriority w:val="0"/>
    <w:pPr>
      <w:spacing w:line="300" w:lineRule="auto"/>
    </w:pPr>
    <w:rPr>
      <w:rFonts w:ascii="Calibri" w:hAnsi="Calibri"/>
      <w:szCs w:val="20"/>
    </w:rPr>
  </w:style>
  <w:style w:type="paragraph" w:customStyle="1" w:styleId="1802">
    <w:name w:val="我的正文"/>
    <w:basedOn w:val="1"/>
    <w:semiHidden/>
    <w:qFormat/>
    <w:uiPriority w:val="0"/>
    <w:pPr>
      <w:spacing w:line="312" w:lineRule="auto"/>
      <w:ind w:firstLine="200" w:firstLineChars="200"/>
    </w:pPr>
    <w:rPr>
      <w:rFonts w:ascii="Arial" w:hAnsi="Arial" w:eastAsia="楷体_GB2312"/>
      <w:sz w:val="24"/>
      <w:szCs w:val="20"/>
    </w:rPr>
  </w:style>
  <w:style w:type="paragraph" w:customStyle="1" w:styleId="1803">
    <w:name w:val="五级条标题"/>
    <w:basedOn w:val="1560"/>
    <w:next w:val="1"/>
    <w:semiHidden/>
    <w:qFormat/>
    <w:uiPriority w:val="0"/>
    <w:pPr>
      <w:outlineLvl w:val="6"/>
    </w:pPr>
  </w:style>
  <w:style w:type="paragraph" w:customStyle="1" w:styleId="1804">
    <w:name w:val="五级无标题条"/>
    <w:basedOn w:val="1"/>
    <w:semiHidden/>
    <w:qFormat/>
    <w:uiPriority w:val="0"/>
    <w:pPr>
      <w:ind w:left="3420" w:hanging="420"/>
    </w:pPr>
    <w:rPr>
      <w:rFonts w:ascii="Calibri" w:hAnsi="Calibri"/>
      <w:szCs w:val="20"/>
    </w:rPr>
  </w:style>
  <w:style w:type="paragraph" w:customStyle="1" w:styleId="1805">
    <w:name w:val="小节标题"/>
    <w:basedOn w:val="1"/>
    <w:next w:val="1"/>
    <w:semiHidden/>
    <w:qFormat/>
    <w:uiPriority w:val="0"/>
    <w:pPr>
      <w:widowControl/>
      <w:spacing w:before="175" w:after="102" w:line="351" w:lineRule="atLeast"/>
      <w:textAlignment w:val="baseline"/>
    </w:pPr>
    <w:rPr>
      <w:rFonts w:ascii="Calibri" w:hAnsi="Calibri" w:eastAsia="黑体"/>
      <w:color w:val="000000"/>
      <w:kern w:val="0"/>
      <w:szCs w:val="20"/>
      <w:u w:color="000000"/>
    </w:rPr>
  </w:style>
  <w:style w:type="paragraph" w:customStyle="1" w:styleId="1806">
    <w:name w:val="小四表文左齐"/>
    <w:basedOn w:val="1"/>
    <w:semiHidden/>
    <w:qFormat/>
    <w:uiPriority w:val="0"/>
    <w:pPr>
      <w:jc w:val="center"/>
    </w:pPr>
    <w:rPr>
      <w:rFonts w:ascii="宋体" w:hAnsi="宋体"/>
      <w:szCs w:val="21"/>
    </w:rPr>
  </w:style>
  <w:style w:type="paragraph" w:customStyle="1" w:styleId="1807">
    <w:name w:val="小五"/>
    <w:basedOn w:val="1"/>
    <w:semiHidden/>
    <w:qFormat/>
    <w:uiPriority w:val="0"/>
    <w:pPr>
      <w:autoSpaceDE w:val="0"/>
      <w:autoSpaceDN w:val="0"/>
      <w:adjustRightInd w:val="0"/>
      <w:snapToGrid w:val="0"/>
      <w:spacing w:line="360" w:lineRule="auto"/>
      <w:ind w:firstLine="420" w:firstLineChars="200"/>
      <w:jc w:val="center"/>
    </w:pPr>
    <w:rPr>
      <w:rFonts w:ascii="宋体" w:hAnsi="宋体"/>
      <w:kern w:val="0"/>
      <w:sz w:val="18"/>
      <w:szCs w:val="18"/>
    </w:rPr>
  </w:style>
  <w:style w:type="paragraph" w:customStyle="1" w:styleId="1808">
    <w:name w:val="小五居左"/>
    <w:semiHidden/>
    <w:qFormat/>
    <w:uiPriority w:val="0"/>
    <w:pPr>
      <w:adjustRightInd w:val="0"/>
      <w:snapToGrid w:val="0"/>
      <w:jc w:val="both"/>
    </w:pPr>
    <w:rPr>
      <w:rFonts w:ascii="Calibri" w:hAnsi="Calibri" w:eastAsia="宋体" w:cs="Times New Roman"/>
      <w:kern w:val="2"/>
      <w:sz w:val="21"/>
      <w:szCs w:val="21"/>
      <w:lang w:val="en-US" w:eastAsia="zh-CN" w:bidi="ar-SA"/>
    </w:rPr>
  </w:style>
  <w:style w:type="paragraph" w:customStyle="1" w:styleId="1809">
    <w:name w:val="晓丹"/>
    <w:basedOn w:val="85"/>
    <w:semiHidden/>
    <w:qFormat/>
    <w:uiPriority w:val="0"/>
    <w:pPr>
      <w:adjustRightInd w:val="0"/>
      <w:snapToGrid w:val="0"/>
      <w:spacing w:afterLines="100"/>
      <w:textAlignment w:val="baseline"/>
    </w:pPr>
    <w:rPr>
      <w:rFonts w:ascii="宋体" w:hAnsi="宋体" w:eastAsia="汉鼎简书宋"/>
      <w:color w:val="000000"/>
      <w:spacing w:val="6"/>
      <w:kern w:val="0"/>
    </w:rPr>
  </w:style>
  <w:style w:type="paragraph" w:customStyle="1" w:styleId="1810">
    <w:name w:val="新标题1"/>
    <w:basedOn w:val="2"/>
    <w:semiHidden/>
    <w:qFormat/>
    <w:uiPriority w:val="0"/>
    <w:pPr>
      <w:spacing w:before="240" w:line="578" w:lineRule="auto"/>
    </w:pPr>
    <w:rPr>
      <w:rFonts w:ascii="黑体" w:hAnsi="Cambria" w:eastAsia="黑体"/>
      <w:b w:val="0"/>
      <w:sz w:val="30"/>
    </w:rPr>
  </w:style>
  <w:style w:type="paragraph" w:customStyle="1" w:styleId="1811">
    <w:name w:val="新标题2"/>
    <w:basedOn w:val="1"/>
    <w:semiHidden/>
    <w:qFormat/>
    <w:uiPriority w:val="0"/>
    <w:pPr>
      <w:keepNext/>
      <w:autoSpaceDE w:val="0"/>
      <w:autoSpaceDN w:val="0"/>
      <w:adjustRightInd w:val="0"/>
      <w:spacing w:before="120" w:after="120" w:line="460" w:lineRule="exact"/>
      <w:outlineLvl w:val="1"/>
    </w:pPr>
    <w:rPr>
      <w:rFonts w:ascii="黑体" w:hAnsi="Cambria" w:eastAsia="黑体"/>
      <w:b/>
      <w:bCs/>
      <w:color w:val="000000"/>
      <w:sz w:val="24"/>
      <w:szCs w:val="21"/>
      <w:lang w:val="zh-CN"/>
    </w:rPr>
  </w:style>
  <w:style w:type="paragraph" w:customStyle="1" w:styleId="1812">
    <w:name w:val="新正文付"/>
    <w:basedOn w:val="382"/>
    <w:semiHidden/>
    <w:qFormat/>
    <w:uiPriority w:val="0"/>
    <w:rPr>
      <w:rFonts w:hAnsi="Calibri"/>
      <w:color w:val="000000"/>
      <w:kern w:val="0"/>
      <w:szCs w:val="21"/>
    </w:rPr>
  </w:style>
  <w:style w:type="paragraph" w:customStyle="1" w:styleId="1813">
    <w:name w:val="新正文样式"/>
    <w:basedOn w:val="1"/>
    <w:semiHidden/>
    <w:uiPriority w:val="0"/>
    <w:pPr>
      <w:tabs>
        <w:tab w:val="left" w:pos="567"/>
      </w:tabs>
      <w:spacing w:line="360" w:lineRule="auto"/>
      <w:ind w:firstLine="560" w:firstLineChars="200"/>
    </w:pPr>
    <w:rPr>
      <w:rFonts w:ascii="Calibri" w:hAnsi="Calibri" w:eastAsia="华文中宋"/>
      <w:spacing w:val="20"/>
      <w:sz w:val="24"/>
      <w:szCs w:val="20"/>
    </w:rPr>
  </w:style>
  <w:style w:type="paragraph" w:customStyle="1" w:styleId="1814">
    <w:name w:val="姓名"/>
    <w:basedOn w:val="33"/>
    <w:semiHidden/>
    <w:qFormat/>
    <w:uiPriority w:val="0"/>
    <w:pPr>
      <w:keepNext/>
      <w:widowControl/>
      <w:overflowPunct w:val="0"/>
      <w:autoSpaceDE w:val="0"/>
      <w:autoSpaceDN w:val="0"/>
      <w:adjustRightInd w:val="0"/>
      <w:spacing w:after="160" w:line="360" w:lineRule="auto"/>
      <w:ind w:firstLine="420" w:firstLineChars="200"/>
      <w:textAlignment w:val="baseline"/>
    </w:pPr>
    <w:rPr>
      <w:rFonts w:ascii="Arial" w:hAnsi="Arial"/>
      <w:b/>
      <w:kern w:val="0"/>
      <w:sz w:val="24"/>
      <w:szCs w:val="20"/>
    </w:rPr>
  </w:style>
  <w:style w:type="paragraph" w:customStyle="1" w:styleId="1815">
    <w:name w:val="悬挂式正文"/>
    <w:basedOn w:val="1"/>
    <w:semiHidden/>
    <w:qFormat/>
    <w:uiPriority w:val="0"/>
    <w:pPr>
      <w:tabs>
        <w:tab w:val="center" w:pos="6804"/>
        <w:tab w:val="right" w:pos="7371"/>
      </w:tabs>
      <w:overflowPunct w:val="0"/>
      <w:adjustRightInd w:val="0"/>
      <w:spacing w:line="360" w:lineRule="auto"/>
      <w:ind w:left="1701" w:hanging="1134"/>
      <w:textAlignment w:val="baseline"/>
    </w:pPr>
    <w:rPr>
      <w:rFonts w:ascii="Calibri" w:hAnsi="Calibri"/>
      <w:kern w:val="0"/>
      <w:sz w:val="28"/>
      <w:szCs w:val="20"/>
    </w:rPr>
  </w:style>
  <w:style w:type="paragraph" w:customStyle="1" w:styleId="1816">
    <w:name w:val="亚行正文"/>
    <w:basedOn w:val="1"/>
    <w:semiHidden/>
    <w:qFormat/>
    <w:uiPriority w:val="0"/>
    <w:pPr>
      <w:spacing w:line="480" w:lineRule="exact"/>
      <w:ind w:firstLine="480" w:firstLineChars="200"/>
    </w:pPr>
    <w:rPr>
      <w:rFonts w:ascii="Calibri" w:hAnsi="Calibri" w:eastAsia="Times"/>
      <w:color w:val="000000"/>
      <w:kern w:val="0"/>
      <w:sz w:val="24"/>
      <w:szCs w:val="21"/>
    </w:rPr>
  </w:style>
  <w:style w:type="paragraph" w:customStyle="1" w:styleId="1817">
    <w:name w:val="研究单位"/>
    <w:basedOn w:val="33"/>
    <w:semiHidden/>
    <w:qFormat/>
    <w:uiPriority w:val="0"/>
    <w:pPr>
      <w:keepNext/>
      <w:widowControl/>
      <w:overflowPunct w:val="0"/>
      <w:autoSpaceDE w:val="0"/>
      <w:autoSpaceDN w:val="0"/>
      <w:adjustRightInd w:val="0"/>
      <w:spacing w:before="160" w:after="0" w:line="360" w:lineRule="auto"/>
      <w:ind w:firstLine="420" w:firstLineChars="200"/>
      <w:textAlignment w:val="baseline"/>
    </w:pPr>
    <w:rPr>
      <w:rFonts w:ascii="Arial" w:hAnsi="Arial"/>
      <w:b/>
      <w:kern w:val="0"/>
      <w:sz w:val="20"/>
      <w:szCs w:val="20"/>
    </w:rPr>
  </w:style>
  <w:style w:type="paragraph" w:customStyle="1" w:styleId="1818">
    <w:name w:val="燕山正文"/>
    <w:basedOn w:val="1"/>
    <w:semiHidden/>
    <w:uiPriority w:val="0"/>
    <w:pPr>
      <w:tabs>
        <w:tab w:val="left" w:pos="4680"/>
      </w:tabs>
      <w:adjustRightInd w:val="0"/>
      <w:snapToGrid w:val="0"/>
      <w:spacing w:line="360" w:lineRule="auto"/>
      <w:ind w:firstLine="482" w:firstLineChars="200"/>
      <w:jc w:val="left"/>
    </w:pPr>
    <w:rPr>
      <w:rFonts w:ascii="宋体" w:hAnsi="宋体"/>
      <w:b/>
      <w:color w:val="000000"/>
      <w:sz w:val="24"/>
      <w:szCs w:val="21"/>
    </w:rPr>
  </w:style>
  <w:style w:type="paragraph" w:customStyle="1" w:styleId="1819">
    <w:name w:val="燕山正文 Char Char"/>
    <w:basedOn w:val="1"/>
    <w:semiHidden/>
    <w:qFormat/>
    <w:uiPriority w:val="0"/>
    <w:pPr>
      <w:adjustRightInd w:val="0"/>
      <w:snapToGrid w:val="0"/>
      <w:spacing w:line="360" w:lineRule="auto"/>
      <w:ind w:firstLine="567"/>
      <w:textAlignment w:val="baseline"/>
    </w:pPr>
    <w:rPr>
      <w:rFonts w:ascii="宋体" w:hAnsi="宋体"/>
      <w:kern w:val="0"/>
      <w:sz w:val="24"/>
      <w:szCs w:val="21"/>
    </w:rPr>
  </w:style>
  <w:style w:type="paragraph" w:customStyle="1" w:styleId="1820">
    <w:name w:val="杨1"/>
    <w:basedOn w:val="1"/>
    <w:next w:val="1"/>
    <w:semiHidden/>
    <w:qFormat/>
    <w:uiPriority w:val="0"/>
    <w:pPr>
      <w:keepNext/>
      <w:keepLines/>
      <w:spacing w:before="120" w:afterLines="100" w:line="460" w:lineRule="exact"/>
    </w:pPr>
    <w:rPr>
      <w:rFonts w:ascii="黑体" w:hAnsi="Arial" w:eastAsia="黑体"/>
      <w:b/>
      <w:bCs/>
      <w:sz w:val="28"/>
      <w:szCs w:val="28"/>
    </w:rPr>
  </w:style>
  <w:style w:type="paragraph" w:customStyle="1" w:styleId="1821">
    <w:name w:val="样式 (符号) 宋体 首行缩进:  0.93 厘米 段前: 6 磅 段后: 6 磅 行距: 固定值 18 磅1"/>
    <w:basedOn w:val="1"/>
    <w:semiHidden/>
    <w:qFormat/>
    <w:uiPriority w:val="0"/>
    <w:pPr>
      <w:spacing w:before="160" w:after="160" w:line="320" w:lineRule="exact"/>
      <w:ind w:firstLine="527"/>
    </w:pPr>
    <w:rPr>
      <w:rFonts w:ascii="Calibri" w:hAnsi="宋体"/>
      <w:sz w:val="24"/>
      <w:szCs w:val="20"/>
    </w:rPr>
  </w:style>
  <w:style w:type="paragraph" w:customStyle="1" w:styleId="1822">
    <w:name w:val="样式 (符号) 宋体 小四 居中 行距: 1.5 倍行距"/>
    <w:basedOn w:val="1"/>
    <w:semiHidden/>
    <w:qFormat/>
    <w:uiPriority w:val="0"/>
    <w:pPr>
      <w:spacing w:line="360" w:lineRule="auto"/>
      <w:ind w:firstLine="420" w:firstLineChars="200"/>
      <w:jc w:val="center"/>
    </w:pPr>
    <w:rPr>
      <w:rFonts w:ascii="Calibri" w:hAnsi="宋体" w:cs="宋体"/>
      <w:sz w:val="24"/>
      <w:szCs w:val="20"/>
    </w:rPr>
  </w:style>
  <w:style w:type="paragraph" w:customStyle="1" w:styleId="1823">
    <w:name w:val="样式 (符号) 宋体 行距: 最小值 12 磅"/>
    <w:basedOn w:val="1"/>
    <w:semiHidden/>
    <w:qFormat/>
    <w:uiPriority w:val="0"/>
    <w:pPr>
      <w:spacing w:line="360" w:lineRule="auto"/>
      <w:ind w:firstLine="420" w:firstLineChars="200"/>
    </w:pPr>
    <w:rPr>
      <w:rFonts w:ascii="Calibri" w:hAnsi="宋体" w:cs="宋体"/>
      <w:sz w:val="24"/>
      <w:szCs w:val="20"/>
    </w:rPr>
  </w:style>
  <w:style w:type="paragraph" w:customStyle="1" w:styleId="1824">
    <w:name w:val="样式 (西文) 宋体 首行缩进:  2 字符 加宽量  0.1 磅 行距: 固定值 25 磅"/>
    <w:basedOn w:val="1"/>
    <w:semiHidden/>
    <w:qFormat/>
    <w:uiPriority w:val="0"/>
    <w:pPr>
      <w:topLinePunct/>
      <w:spacing w:line="500" w:lineRule="exact"/>
      <w:ind w:firstLine="488" w:firstLineChars="200"/>
    </w:pPr>
    <w:rPr>
      <w:rFonts w:ascii="宋体" w:hAnsi="宋体" w:eastAsia="汉鼎简书宋" w:cs="宋体"/>
      <w:spacing w:val="2"/>
      <w:sz w:val="24"/>
      <w:szCs w:val="20"/>
    </w:rPr>
  </w:style>
  <w:style w:type="paragraph" w:customStyle="1" w:styleId="1825">
    <w:name w:val="样式 1"/>
    <w:basedOn w:val="1"/>
    <w:semiHidden/>
    <w:qFormat/>
    <w:uiPriority w:val="0"/>
    <w:pPr>
      <w:tabs>
        <w:tab w:val="right" w:leader="dot" w:pos="8449"/>
      </w:tabs>
      <w:adjustRightInd w:val="0"/>
      <w:snapToGrid w:val="0"/>
      <w:spacing w:line="500" w:lineRule="exact"/>
      <w:jc w:val="center"/>
    </w:pPr>
    <w:rPr>
      <w:rFonts w:ascii="宋体" w:hAnsi="宋体"/>
      <w:b/>
      <w:szCs w:val="18"/>
    </w:rPr>
  </w:style>
  <w:style w:type="paragraph" w:customStyle="1" w:styleId="1826">
    <w:name w:val="样式 5 + 首行缩进:  2 字符"/>
    <w:basedOn w:val="1"/>
    <w:semiHidden/>
    <w:qFormat/>
    <w:uiPriority w:val="0"/>
    <w:pPr>
      <w:ind w:firstLine="592" w:firstLineChars="200"/>
    </w:pPr>
    <w:rPr>
      <w:rFonts w:ascii="楷体_GB2312" w:hAnsi="宋体" w:eastAsia="楷体_GB2312"/>
      <w:color w:val="000000"/>
      <w:spacing w:val="-2"/>
      <w:sz w:val="28"/>
      <w:szCs w:val="28"/>
    </w:rPr>
  </w:style>
  <w:style w:type="paragraph" w:customStyle="1" w:styleId="1827">
    <w:name w:val="样式 EIA正文 + Times New Roman"/>
    <w:basedOn w:val="1"/>
    <w:semiHidden/>
    <w:qFormat/>
    <w:uiPriority w:val="0"/>
    <w:pPr>
      <w:spacing w:line="580" w:lineRule="atLeast"/>
      <w:ind w:firstLine="560"/>
    </w:pPr>
    <w:rPr>
      <w:rFonts w:ascii="Calibri" w:hAnsi="仿宋" w:eastAsia="仿宋_GB2312"/>
      <w:b/>
      <w:spacing w:val="-20"/>
      <w:kern w:val="0"/>
      <w:sz w:val="28"/>
      <w:szCs w:val="20"/>
      <w:lang w:val="zh-CN"/>
    </w:rPr>
  </w:style>
  <w:style w:type="paragraph" w:customStyle="1" w:styleId="1828">
    <w:name w:val="样式 hb11"/>
    <w:basedOn w:val="1"/>
    <w:semiHidden/>
    <w:qFormat/>
    <w:uiPriority w:val="0"/>
    <w:pPr>
      <w:keepNext/>
      <w:topLinePunct/>
      <w:adjustRightInd w:val="0"/>
      <w:spacing w:line="360" w:lineRule="auto"/>
      <w:ind w:firstLine="480" w:firstLineChars="200"/>
      <w:textAlignment w:val="baseline"/>
    </w:pPr>
    <w:rPr>
      <w:rFonts w:ascii="Calibri" w:hAnsi="Calibri"/>
      <w:bCs/>
      <w:kern w:val="4"/>
      <w:sz w:val="24"/>
      <w:szCs w:val="21"/>
    </w:rPr>
  </w:style>
  <w:style w:type="paragraph" w:customStyle="1" w:styleId="1829">
    <w:name w:val="样式 hb22 + 宋体"/>
    <w:basedOn w:val="347"/>
    <w:semiHidden/>
    <w:qFormat/>
    <w:uiPriority w:val="0"/>
    <w:pPr>
      <w:adjustRightInd w:val="0"/>
      <w:spacing w:before="260" w:after="260" w:line="360" w:lineRule="auto"/>
      <w:jc w:val="both"/>
    </w:pPr>
    <w:rPr>
      <w:rFonts w:ascii="宋体" w:hAnsi="宋体"/>
      <w:kern w:val="2"/>
    </w:rPr>
  </w:style>
  <w:style w:type="paragraph" w:customStyle="1" w:styleId="1830">
    <w:name w:val="样式 hb3 + 四号"/>
    <w:basedOn w:val="1074"/>
    <w:semiHidden/>
    <w:qFormat/>
    <w:uiPriority w:val="0"/>
    <w:pPr>
      <w:spacing w:before="240" w:after="240"/>
      <w:jc w:val="left"/>
    </w:pPr>
    <w:rPr>
      <w:rFonts w:ascii="Times New Roman" w:hAnsi="Times New Roman"/>
      <w:bCs/>
      <w:sz w:val="28"/>
    </w:rPr>
  </w:style>
  <w:style w:type="paragraph" w:customStyle="1" w:styleId="1831">
    <w:name w:val="样式 hb33 + 字距调整小二"/>
    <w:basedOn w:val="366"/>
    <w:semiHidden/>
    <w:qFormat/>
    <w:uiPriority w:val="0"/>
    <w:pPr>
      <w:spacing w:after="0"/>
      <w:jc w:val="center"/>
    </w:pPr>
    <w:rPr>
      <w:rFonts w:ascii="Calibri" w:hAnsi="Calibri" w:cs="Times New Roman"/>
      <w:color w:val="0000FF"/>
    </w:rPr>
  </w:style>
  <w:style w:type="paragraph" w:customStyle="1" w:styleId="1832">
    <w:name w:val="样式 hb4 + 段前: 0.5 行 段后: 0.5 行"/>
    <w:basedOn w:val="1082"/>
    <w:next w:val="1082"/>
    <w:semiHidden/>
    <w:qFormat/>
    <w:uiPriority w:val="0"/>
    <w:pPr>
      <w:tabs>
        <w:tab w:val="right" w:pos="9000"/>
      </w:tabs>
    </w:pPr>
    <w:rPr>
      <w:rFonts w:ascii="Times New Roman"/>
      <w:kern w:val="24"/>
      <w:szCs w:val="20"/>
    </w:rPr>
  </w:style>
  <w:style w:type="paragraph" w:customStyle="1" w:styleId="1833">
    <w:name w:val="样式 hb4 + 段前: 0.5 行 段后: 0.5 行 行距: 固定值 26 磅"/>
    <w:basedOn w:val="1082"/>
    <w:semiHidden/>
    <w:qFormat/>
    <w:uiPriority w:val="0"/>
    <w:pPr>
      <w:tabs>
        <w:tab w:val="right" w:pos="9000"/>
      </w:tabs>
      <w:spacing w:beforeLines="0" w:afterLines="0" w:line="520" w:lineRule="exact"/>
    </w:pPr>
    <w:rPr>
      <w:rFonts w:ascii="Times New Roman"/>
      <w:kern w:val="24"/>
      <w:szCs w:val="20"/>
    </w:rPr>
  </w:style>
  <w:style w:type="paragraph" w:customStyle="1" w:styleId="1834">
    <w:name w:val="样式 hb4 + 段前: 0.5 行 段后: 0.5 行1"/>
    <w:basedOn w:val="1082"/>
    <w:next w:val="1082"/>
    <w:semiHidden/>
    <w:qFormat/>
    <w:uiPriority w:val="0"/>
    <w:pPr>
      <w:tabs>
        <w:tab w:val="right" w:pos="9000"/>
      </w:tabs>
    </w:pPr>
    <w:rPr>
      <w:rFonts w:ascii="Times New Roman"/>
      <w:kern w:val="24"/>
      <w:szCs w:val="20"/>
    </w:rPr>
  </w:style>
  <w:style w:type="paragraph" w:customStyle="1" w:styleId="1835">
    <w:name w:val="样式 hb4 + 段前: 0.5 行 段后: 0.5 行2"/>
    <w:basedOn w:val="1082"/>
    <w:semiHidden/>
    <w:qFormat/>
    <w:uiPriority w:val="0"/>
    <w:pPr>
      <w:tabs>
        <w:tab w:val="right" w:pos="9000"/>
      </w:tabs>
      <w:spacing w:beforeLines="0" w:afterLines="0"/>
    </w:pPr>
    <w:rPr>
      <w:rFonts w:ascii="Times New Roman"/>
      <w:kern w:val="24"/>
      <w:szCs w:val="20"/>
    </w:rPr>
  </w:style>
  <w:style w:type="paragraph" w:customStyle="1" w:styleId="1836">
    <w:name w:val="样式 hb4 + 段前: 0.5 行 段后: 0.5 行3"/>
    <w:basedOn w:val="1082"/>
    <w:semiHidden/>
    <w:qFormat/>
    <w:uiPriority w:val="0"/>
    <w:pPr>
      <w:spacing w:beforeLines="0" w:afterLines="0"/>
    </w:pPr>
    <w:rPr>
      <w:szCs w:val="20"/>
    </w:rPr>
  </w:style>
  <w:style w:type="paragraph" w:customStyle="1" w:styleId="1837">
    <w:name w:val="样式 hb4 + 首行缩进:  0 厘米"/>
    <w:basedOn w:val="1082"/>
    <w:semiHidden/>
    <w:qFormat/>
    <w:uiPriority w:val="0"/>
    <w:pPr>
      <w:tabs>
        <w:tab w:val="right" w:pos="9000"/>
      </w:tabs>
    </w:pPr>
    <w:rPr>
      <w:rFonts w:ascii="Times New Roman" w:hAnsi="Times New Roman"/>
      <w:kern w:val="24"/>
    </w:rPr>
  </w:style>
  <w:style w:type="paragraph" w:customStyle="1" w:styleId="1838">
    <w:name w:val="样式 hb4 + 行距: 1.5 倍行距"/>
    <w:basedOn w:val="1082"/>
    <w:semiHidden/>
    <w:qFormat/>
    <w:uiPriority w:val="0"/>
    <w:pPr>
      <w:spacing w:line="360" w:lineRule="auto"/>
    </w:pPr>
    <w:rPr>
      <w:rFonts w:ascii="Times New Roman" w:hAnsi="Times New Roman"/>
      <w:bCs/>
      <w:szCs w:val="20"/>
    </w:rPr>
  </w:style>
  <w:style w:type="paragraph" w:customStyle="1" w:styleId="1839">
    <w:name w:val="样式 kk5 + 段前: 0.4 行 段后: 0.4 行"/>
    <w:basedOn w:val="1"/>
    <w:qFormat/>
    <w:uiPriority w:val="0"/>
    <w:pPr>
      <w:keepNext/>
      <w:keepLines/>
      <w:spacing w:line="500" w:lineRule="exact"/>
      <w:ind w:firstLine="200" w:firstLineChars="200"/>
      <w:outlineLvl w:val="4"/>
    </w:pPr>
    <w:rPr>
      <w:rFonts w:ascii="宋体" w:hAnsi="宋体" w:cs="宋体"/>
      <w:sz w:val="24"/>
      <w:szCs w:val="20"/>
    </w:rPr>
  </w:style>
  <w:style w:type="paragraph" w:customStyle="1" w:styleId="1840">
    <w:name w:val="样式 Times New Roman 首行缩进:  0.85 厘米1"/>
    <w:basedOn w:val="1"/>
    <w:semiHidden/>
    <w:qFormat/>
    <w:uiPriority w:val="0"/>
    <w:pPr>
      <w:spacing w:line="360" w:lineRule="auto"/>
      <w:ind w:firstLine="480"/>
    </w:pPr>
    <w:rPr>
      <w:rFonts w:ascii="宋体" w:hAnsi="Calibri" w:cs="宋体"/>
      <w:sz w:val="24"/>
      <w:szCs w:val="21"/>
    </w:rPr>
  </w:style>
  <w:style w:type="paragraph" w:customStyle="1" w:styleId="1841">
    <w:name w:val="样式 Times New Roman 首行缩进:  2 字符 行距: 固定值 26 磅"/>
    <w:basedOn w:val="1"/>
    <w:semiHidden/>
    <w:uiPriority w:val="0"/>
    <w:pPr>
      <w:spacing w:line="324" w:lineRule="auto"/>
      <w:ind w:firstLine="560" w:firstLineChars="200"/>
      <w:textAlignment w:val="baseline"/>
    </w:pPr>
    <w:rPr>
      <w:rFonts w:ascii="仿宋_GB2312" w:hAnsi="Calibri" w:eastAsia="仿宋_GB2312"/>
      <w:sz w:val="28"/>
      <w:szCs w:val="20"/>
      <w:lang w:val="en-GB"/>
    </w:rPr>
  </w:style>
  <w:style w:type="paragraph" w:customStyle="1" w:styleId="1842">
    <w:name w:val="样式 标题 1 + (符号) 宋体"/>
    <w:basedOn w:val="2"/>
    <w:semiHidden/>
    <w:qFormat/>
    <w:uiPriority w:val="0"/>
    <w:pPr>
      <w:keepNext w:val="0"/>
      <w:keepLines w:val="0"/>
      <w:pageBreakBefore/>
      <w:tabs>
        <w:tab w:val="left" w:pos="360"/>
      </w:tabs>
      <w:autoSpaceDE w:val="0"/>
      <w:autoSpaceDN w:val="0"/>
      <w:adjustRightInd w:val="0"/>
      <w:spacing w:before="0" w:afterLines="50" w:line="700" w:lineRule="exact"/>
      <w:ind w:left="578" w:hanging="578"/>
      <w:jc w:val="center"/>
    </w:pPr>
    <w:rPr>
      <w:rFonts w:ascii="Calibri" w:hAnsi="Calibri" w:eastAsia="黑体" w:cs="Arial"/>
      <w:b w:val="0"/>
      <w:color w:val="000000"/>
      <w:kern w:val="0"/>
      <w:sz w:val="28"/>
      <w:szCs w:val="32"/>
    </w:rPr>
  </w:style>
  <w:style w:type="paragraph" w:customStyle="1" w:styleId="1843">
    <w:name w:val="样式 标题 1 + (中文) 黑体 居中"/>
    <w:basedOn w:val="2"/>
    <w:semiHidden/>
    <w:qFormat/>
    <w:uiPriority w:val="0"/>
    <w:pPr>
      <w:tabs>
        <w:tab w:val="left" w:pos="360"/>
      </w:tabs>
      <w:spacing w:line="578" w:lineRule="auto"/>
      <w:ind w:left="360" w:hanging="360"/>
    </w:pPr>
    <w:rPr>
      <w:rFonts w:ascii="Calibri" w:hAnsi="Calibri" w:cs="宋体"/>
      <w:b w:val="0"/>
      <w:bCs w:val="0"/>
      <w:sz w:val="44"/>
    </w:rPr>
  </w:style>
  <w:style w:type="paragraph" w:customStyle="1" w:styleId="1844">
    <w:name w:val="样式 标题 1 + 段前: 1 行 段后: 1 行"/>
    <w:basedOn w:val="2"/>
    <w:semiHidden/>
    <w:qFormat/>
    <w:uiPriority w:val="0"/>
    <w:pPr>
      <w:tabs>
        <w:tab w:val="left" w:pos="360"/>
      </w:tabs>
      <w:spacing w:beforeLines="200" w:afterLines="150" w:line="700" w:lineRule="exact"/>
      <w:ind w:left="-4" w:leftChars="-2"/>
    </w:pPr>
    <w:rPr>
      <w:rFonts w:ascii="方正粗圆简体" w:hAnsi="Calibri" w:eastAsia="方正粗圆简体"/>
      <w:bCs w:val="0"/>
      <w:color w:val="000000"/>
      <w:sz w:val="36"/>
      <w:szCs w:val="20"/>
    </w:rPr>
  </w:style>
  <w:style w:type="paragraph" w:customStyle="1" w:styleId="1845">
    <w:name w:val="样式 标题 1 + 段前: 2 行 段后: 2 行"/>
    <w:basedOn w:val="2"/>
    <w:semiHidden/>
    <w:qFormat/>
    <w:uiPriority w:val="0"/>
    <w:pPr>
      <w:spacing w:beforeLines="100" w:afterLines="100" w:line="578" w:lineRule="auto"/>
      <w:ind w:hanging="425"/>
    </w:pPr>
    <w:rPr>
      <w:rFonts w:ascii="Calibri" w:hAnsi="Calibri" w:eastAsia="方正粗圆简体"/>
      <w:sz w:val="36"/>
      <w:szCs w:val="20"/>
    </w:rPr>
  </w:style>
  <w:style w:type="paragraph" w:customStyle="1" w:styleId="1846">
    <w:name w:val="样式 标题 1 + 二号 加粗 行距: 1.5 倍行距"/>
    <w:basedOn w:val="2"/>
    <w:semiHidden/>
    <w:qFormat/>
    <w:uiPriority w:val="0"/>
    <w:pPr>
      <w:keepLines w:val="0"/>
      <w:tabs>
        <w:tab w:val="left" w:pos="360"/>
      </w:tabs>
      <w:autoSpaceDE w:val="0"/>
      <w:autoSpaceDN w:val="0"/>
      <w:spacing w:beforeLines="100" w:afterLines="100" w:line="578" w:lineRule="auto"/>
      <w:ind w:left="360" w:hanging="360"/>
    </w:pPr>
    <w:rPr>
      <w:rFonts w:ascii="Calibri" w:hAnsi="Calibri" w:cs="宋体"/>
      <w:bCs w:val="0"/>
      <w:kern w:val="0"/>
      <w:sz w:val="44"/>
      <w:szCs w:val="20"/>
    </w:rPr>
  </w:style>
  <w:style w:type="paragraph" w:customStyle="1" w:styleId="1847">
    <w:name w:val="样式 标题 1 + 非加粗"/>
    <w:basedOn w:val="2"/>
    <w:semiHidden/>
    <w:qFormat/>
    <w:uiPriority w:val="0"/>
    <w:pPr>
      <w:spacing w:beforeLines="50" w:afterLines="50" w:line="360" w:lineRule="exact"/>
      <w:jc w:val="center"/>
    </w:pPr>
    <w:rPr>
      <w:rFonts w:ascii="Calibri" w:hAnsi="Calibri"/>
      <w:bCs w:val="0"/>
      <w:szCs w:val="20"/>
    </w:rPr>
  </w:style>
  <w:style w:type="paragraph" w:customStyle="1" w:styleId="1848">
    <w:name w:val="样式 标题 1 + 黑色 居中"/>
    <w:basedOn w:val="2"/>
    <w:semiHidden/>
    <w:qFormat/>
    <w:uiPriority w:val="0"/>
    <w:pPr>
      <w:tabs>
        <w:tab w:val="left" w:pos="360"/>
      </w:tabs>
      <w:spacing w:line="578" w:lineRule="auto"/>
      <w:ind w:left="360" w:hanging="360"/>
    </w:pPr>
    <w:rPr>
      <w:rFonts w:ascii="Calibri" w:hAnsi="Calibri" w:cs="宋体"/>
      <w:bCs w:val="0"/>
      <w:color w:val="000000"/>
      <w:sz w:val="44"/>
      <w:szCs w:val="20"/>
    </w:rPr>
  </w:style>
  <w:style w:type="paragraph" w:customStyle="1" w:styleId="1849">
    <w:name w:val="样式 标题 1 + 加粗"/>
    <w:basedOn w:val="2"/>
    <w:semiHidden/>
    <w:qFormat/>
    <w:uiPriority w:val="0"/>
    <w:pPr>
      <w:tabs>
        <w:tab w:val="left" w:pos="360"/>
      </w:tabs>
      <w:spacing w:line="700" w:lineRule="exact"/>
      <w:ind w:left="360" w:hanging="360"/>
    </w:pPr>
    <w:rPr>
      <w:rFonts w:ascii="Calibri" w:hAnsi="Calibri"/>
      <w:bCs w:val="0"/>
      <w:sz w:val="44"/>
    </w:rPr>
  </w:style>
  <w:style w:type="paragraph" w:customStyle="1" w:styleId="1850">
    <w:name w:val="样式 标题 1 + 首行缩进:  0.45 字符"/>
    <w:basedOn w:val="2"/>
    <w:next w:val="1"/>
    <w:semiHidden/>
    <w:qFormat/>
    <w:uiPriority w:val="0"/>
    <w:pPr>
      <w:pageBreakBefore/>
      <w:tabs>
        <w:tab w:val="left" w:pos="720"/>
      </w:tabs>
      <w:adjustRightInd w:val="0"/>
      <w:snapToGrid w:val="0"/>
      <w:spacing w:before="240" w:line="578" w:lineRule="auto"/>
      <w:ind w:left="720" w:hanging="720"/>
      <w:jc w:val="center"/>
    </w:pPr>
    <w:rPr>
      <w:rFonts w:ascii="Calibri" w:hAnsi="Calibri" w:cs="宋体"/>
      <w:sz w:val="44"/>
      <w:szCs w:val="20"/>
    </w:rPr>
  </w:style>
  <w:style w:type="paragraph" w:customStyle="1" w:styleId="1851">
    <w:name w:val="样式 标题 1 + 首行缩进:  1.56 厘米"/>
    <w:basedOn w:val="2"/>
    <w:semiHidden/>
    <w:qFormat/>
    <w:uiPriority w:val="0"/>
    <w:pPr>
      <w:spacing w:line="578" w:lineRule="auto"/>
    </w:pPr>
    <w:rPr>
      <w:rFonts w:ascii="Calibri" w:hAnsi="Calibri" w:cs="宋体"/>
      <w:sz w:val="44"/>
      <w:szCs w:val="20"/>
    </w:rPr>
  </w:style>
  <w:style w:type="paragraph" w:customStyle="1" w:styleId="1852">
    <w:name w:val="样式 标题 1 + 首行缩进:  2 字符"/>
    <w:basedOn w:val="2"/>
    <w:semiHidden/>
    <w:qFormat/>
    <w:uiPriority w:val="0"/>
    <w:pPr>
      <w:pageBreakBefore/>
      <w:adjustRightInd w:val="0"/>
      <w:snapToGrid w:val="0"/>
      <w:spacing w:before="0" w:after="0" w:line="540" w:lineRule="exact"/>
      <w:ind w:firstLine="200" w:firstLineChars="200"/>
    </w:pPr>
    <w:rPr>
      <w:rFonts w:ascii="Calibri" w:hAnsi="Calibri" w:eastAsia="黑体" w:cs="宋体"/>
      <w:szCs w:val="20"/>
    </w:rPr>
  </w:style>
  <w:style w:type="paragraph" w:customStyle="1" w:styleId="1853">
    <w:name w:val="样式 标题 1 + 宋体"/>
    <w:basedOn w:val="2"/>
    <w:semiHidden/>
    <w:qFormat/>
    <w:uiPriority w:val="0"/>
    <w:pPr>
      <w:spacing w:beforeLines="50" w:after="240" w:line="240" w:lineRule="auto"/>
    </w:pPr>
    <w:rPr>
      <w:rFonts w:ascii="宋体" w:hAnsi="宋体"/>
      <w:sz w:val="44"/>
      <w:lang w:val="zh-CN"/>
    </w:rPr>
  </w:style>
  <w:style w:type="paragraph" w:customStyle="1" w:styleId="1854">
    <w:name w:val="样式 标题 1 + 宋体 黑色"/>
    <w:basedOn w:val="2"/>
    <w:semiHidden/>
    <w:qFormat/>
    <w:uiPriority w:val="0"/>
    <w:pPr>
      <w:keepNext w:val="0"/>
      <w:keepLines w:val="0"/>
      <w:pageBreakBefore/>
      <w:topLinePunct/>
      <w:adjustRightInd w:val="0"/>
      <w:snapToGrid w:val="0"/>
      <w:spacing w:before="0" w:after="240" w:line="240" w:lineRule="auto"/>
      <w:jc w:val="center"/>
    </w:pPr>
    <w:rPr>
      <w:rFonts w:ascii="宋体" w:hAnsi="宋体"/>
      <w:caps/>
      <w:snapToGrid w:val="0"/>
      <w:color w:val="000000"/>
      <w:spacing w:val="20"/>
      <w:kern w:val="16"/>
      <w:sz w:val="36"/>
      <w:szCs w:val="20"/>
    </w:rPr>
  </w:style>
  <w:style w:type="paragraph" w:customStyle="1" w:styleId="1855">
    <w:name w:val="样式 标题 1 + 自动设置"/>
    <w:basedOn w:val="2"/>
    <w:semiHidden/>
    <w:qFormat/>
    <w:uiPriority w:val="0"/>
    <w:pPr>
      <w:tabs>
        <w:tab w:val="left" w:pos="360"/>
        <w:tab w:val="left" w:pos="700"/>
      </w:tabs>
      <w:autoSpaceDE w:val="0"/>
      <w:autoSpaceDN w:val="0"/>
      <w:adjustRightInd w:val="0"/>
      <w:spacing w:before="0" w:after="0" w:line="578" w:lineRule="auto"/>
      <w:ind w:left="431" w:hanging="431"/>
      <w:jc w:val="center"/>
    </w:pPr>
    <w:rPr>
      <w:rFonts w:ascii="Calibri" w:hAnsi="Calibri"/>
      <w:sz w:val="28"/>
      <w:szCs w:val="20"/>
    </w:rPr>
  </w:style>
  <w:style w:type="paragraph" w:customStyle="1" w:styleId="1856">
    <w:name w:val="样式 标题 11.标题 1h11headingHeader 1st Pageh1 chapter heading章..."/>
    <w:basedOn w:val="2"/>
    <w:semiHidden/>
    <w:qFormat/>
    <w:uiPriority w:val="0"/>
    <w:pPr>
      <w:adjustRightInd w:val="0"/>
      <w:spacing w:beforeLines="50" w:afterLines="50" w:line="440" w:lineRule="atLeast"/>
      <w:ind w:firstLine="200" w:firstLineChars="200"/>
      <w:textAlignment w:val="baseline"/>
    </w:pPr>
    <w:rPr>
      <w:rFonts w:ascii="黑体" w:hAnsi="Calibri" w:eastAsia="黑体" w:cs="宋体"/>
      <w:b w:val="0"/>
      <w:color w:val="000000"/>
      <w:szCs w:val="20"/>
    </w:rPr>
  </w:style>
  <w:style w:type="paragraph" w:customStyle="1" w:styleId="1857">
    <w:name w:val="样式 标题 11.标题 1h11headingHeader 1st Pageh1 chapter heading章...1"/>
    <w:basedOn w:val="2"/>
    <w:semiHidden/>
    <w:qFormat/>
    <w:uiPriority w:val="0"/>
    <w:pPr>
      <w:adjustRightInd w:val="0"/>
      <w:spacing w:beforeLines="50" w:afterLines="50" w:line="440" w:lineRule="atLeast"/>
      <w:ind w:firstLine="200" w:firstLineChars="200"/>
      <w:textAlignment w:val="baseline"/>
    </w:pPr>
    <w:rPr>
      <w:rFonts w:ascii="黑体" w:hAnsi="Calibri" w:eastAsia="黑体" w:cs="宋体"/>
      <w:b w:val="0"/>
      <w:color w:val="000000"/>
      <w:szCs w:val="20"/>
    </w:rPr>
  </w:style>
  <w:style w:type="paragraph" w:customStyle="1" w:styleId="1858">
    <w:name w:val="样式 标题 11.标题 1h11headingHeader 1st Pageh1 chapter heading章...2"/>
    <w:basedOn w:val="2"/>
    <w:semiHidden/>
    <w:qFormat/>
    <w:uiPriority w:val="0"/>
    <w:pPr>
      <w:adjustRightInd w:val="0"/>
      <w:spacing w:beforeLines="50" w:afterLines="50" w:line="500" w:lineRule="exact"/>
      <w:ind w:firstLine="200" w:firstLineChars="200"/>
      <w:textAlignment w:val="baseline"/>
    </w:pPr>
    <w:rPr>
      <w:rFonts w:ascii="黑体" w:hAnsi="Calibri" w:eastAsia="黑体" w:cs="宋体"/>
      <w:b w:val="0"/>
      <w:color w:val="000000"/>
      <w:szCs w:val="20"/>
    </w:rPr>
  </w:style>
  <w:style w:type="paragraph" w:customStyle="1" w:styleId="1859">
    <w:name w:val="样式 标题 1Heading 1pHeading 1p1Heading 1p2Heading 1p11Heading ..."/>
    <w:basedOn w:val="2"/>
    <w:semiHidden/>
    <w:qFormat/>
    <w:uiPriority w:val="0"/>
    <w:pPr>
      <w:widowControl/>
      <w:spacing w:line="700" w:lineRule="exact"/>
      <w:ind w:left="432" w:hanging="432"/>
    </w:pPr>
    <w:rPr>
      <w:rFonts w:ascii="宋体" w:hAnsi="宋体" w:cs="Arial"/>
      <w:color w:val="000000"/>
      <w:sz w:val="24"/>
      <w:szCs w:val="20"/>
    </w:rPr>
  </w:style>
  <w:style w:type="paragraph" w:customStyle="1" w:styleId="1860">
    <w:name w:val="样式 标题 1标题 1 Char章节标题 + 黑体"/>
    <w:basedOn w:val="2"/>
    <w:semiHidden/>
    <w:qFormat/>
    <w:uiPriority w:val="0"/>
    <w:pPr>
      <w:spacing w:after="240" w:line="578" w:lineRule="auto"/>
    </w:pPr>
    <w:rPr>
      <w:rFonts w:ascii="Calibri" w:hAnsi="黑体" w:eastAsia="黑体"/>
      <w:kern w:val="2"/>
      <w:sz w:val="36"/>
      <w:szCs w:val="52"/>
    </w:rPr>
  </w:style>
  <w:style w:type="paragraph" w:customStyle="1" w:styleId="1861">
    <w:name w:val="样式 标题 1第一标题 + 段前: 0.3 行 段后: 0.3 行"/>
    <w:basedOn w:val="2"/>
    <w:semiHidden/>
    <w:qFormat/>
    <w:uiPriority w:val="0"/>
    <w:pPr>
      <w:keepNext w:val="0"/>
      <w:keepLines w:val="0"/>
      <w:autoSpaceDE w:val="0"/>
      <w:autoSpaceDN w:val="0"/>
      <w:adjustRightInd w:val="0"/>
      <w:spacing w:beforeLines="50" w:afterLines="30" w:line="240" w:lineRule="auto"/>
    </w:pPr>
    <w:rPr>
      <w:rFonts w:ascii="Calibri" w:hAnsi="Calibri" w:eastAsia="黑体" w:cs="宋体"/>
      <w:b w:val="0"/>
      <w:bCs w:val="0"/>
      <w:kern w:val="0"/>
      <w:szCs w:val="20"/>
      <w:lang w:val="zh-CN"/>
    </w:rPr>
  </w:style>
  <w:style w:type="paragraph" w:customStyle="1" w:styleId="1862">
    <w:name w:val="样式 标题 1新标题1 + 段前: 0.5 行 段后: 0.5 行"/>
    <w:basedOn w:val="2"/>
    <w:semiHidden/>
    <w:qFormat/>
    <w:uiPriority w:val="0"/>
    <w:pPr>
      <w:keepNext w:val="0"/>
      <w:keepLines w:val="0"/>
      <w:pageBreakBefore/>
      <w:spacing w:beforeLines="50" w:afterLines="50" w:line="460" w:lineRule="exact"/>
    </w:pPr>
    <w:rPr>
      <w:rFonts w:ascii="黑体" w:hAnsi="Calibri" w:eastAsia="黑体"/>
      <w:b w:val="0"/>
      <w:bCs w:val="0"/>
      <w:sz w:val="28"/>
      <w:szCs w:val="20"/>
    </w:rPr>
  </w:style>
  <w:style w:type="paragraph" w:customStyle="1" w:styleId="1863">
    <w:name w:val="样式 标题 1一级标题一级标题(章)标题1章节H1一、章 + 段前: 0.5 行 段后: 0.5 行"/>
    <w:basedOn w:val="2"/>
    <w:semiHidden/>
    <w:qFormat/>
    <w:uiPriority w:val="0"/>
    <w:pPr>
      <w:keepNext w:val="0"/>
      <w:pageBreakBefore/>
      <w:spacing w:beforeLines="50" w:afterLines="50" w:line="578" w:lineRule="auto"/>
    </w:pPr>
    <w:rPr>
      <w:rFonts w:ascii="Calibri" w:hAnsi="Calibri" w:eastAsia="黑体" w:cs="宋体"/>
      <w:b w:val="0"/>
      <w:bCs w:val="0"/>
      <w:sz w:val="30"/>
      <w:szCs w:val="20"/>
    </w:rPr>
  </w:style>
  <w:style w:type="paragraph" w:customStyle="1" w:styleId="1864">
    <w:name w:val="样式 标题 1章Heading 1pHeading 1p1Heading 1p2Heading 1p11Headin..."/>
    <w:basedOn w:val="2"/>
    <w:semiHidden/>
    <w:qFormat/>
    <w:uiPriority w:val="0"/>
    <w:pPr>
      <w:pageBreakBefore/>
      <w:tabs>
        <w:tab w:val="left" w:pos="240"/>
      </w:tabs>
      <w:adjustRightInd w:val="0"/>
      <w:spacing w:after="0" w:line="700" w:lineRule="exact"/>
      <w:ind w:left="240" w:hanging="240"/>
    </w:pPr>
    <w:rPr>
      <w:rFonts w:ascii="Arial" w:hAnsi="Arial" w:cs="Arial"/>
      <w:color w:val="000000"/>
      <w:sz w:val="28"/>
      <w:szCs w:val="28"/>
    </w:rPr>
  </w:style>
  <w:style w:type="paragraph" w:customStyle="1" w:styleId="1865">
    <w:name w:val="样式 标题 2 + Times New Roman 黑色 段前: 13 磅 段后: 13 磅 行距: 多倍行距 1.73..."/>
    <w:basedOn w:val="3"/>
    <w:semiHidden/>
    <w:qFormat/>
    <w:uiPriority w:val="0"/>
    <w:pPr>
      <w:tabs>
        <w:tab w:val="left" w:pos="57"/>
      </w:tabs>
      <w:spacing w:beforeLines="100" w:after="50"/>
    </w:pPr>
    <w:rPr>
      <w:rFonts w:ascii="Cambria" w:hAnsi="Cambria"/>
      <w:kern w:val="0"/>
      <w:sz w:val="28"/>
      <w:szCs w:val="20"/>
      <w:lang w:val="zh-CN"/>
    </w:rPr>
  </w:style>
  <w:style w:type="paragraph" w:customStyle="1" w:styleId="1866">
    <w:name w:val="样式 标题 2 + 黑体 小三"/>
    <w:basedOn w:val="3"/>
    <w:semiHidden/>
    <w:qFormat/>
    <w:uiPriority w:val="0"/>
    <w:pPr>
      <w:adjustRightInd w:val="0"/>
      <w:snapToGrid w:val="0"/>
      <w:spacing w:before="0" w:after="0"/>
      <w:ind w:firstLine="562" w:firstLineChars="200"/>
    </w:pPr>
    <w:rPr>
      <w:rFonts w:ascii="黑体" w:hAnsi="黑体"/>
      <w:sz w:val="28"/>
    </w:rPr>
  </w:style>
  <w:style w:type="paragraph" w:customStyle="1" w:styleId="1867">
    <w:name w:val="样式 标题 2 + 首行缩进:  2 字符"/>
    <w:basedOn w:val="3"/>
    <w:next w:val="1"/>
    <w:semiHidden/>
    <w:qFormat/>
    <w:uiPriority w:val="0"/>
    <w:pPr>
      <w:keepNext w:val="0"/>
      <w:keepLines w:val="0"/>
      <w:tabs>
        <w:tab w:val="left" w:pos="840"/>
        <w:tab w:val="left" w:pos="1899"/>
      </w:tabs>
      <w:adjustRightInd w:val="0"/>
      <w:snapToGrid w:val="0"/>
      <w:spacing w:after="140" w:line="300" w:lineRule="auto"/>
      <w:ind w:left="840" w:hanging="420"/>
    </w:pPr>
    <w:rPr>
      <w:rFonts w:hAnsi="宋体" w:eastAsia="宋体" w:cs="宋体"/>
      <w:szCs w:val="30"/>
    </w:rPr>
  </w:style>
  <w:style w:type="paragraph" w:customStyle="1" w:styleId="1868">
    <w:name w:val="样式 标题 2 + 首行缩进:  2 字符1"/>
    <w:basedOn w:val="3"/>
    <w:semiHidden/>
    <w:qFormat/>
    <w:uiPriority w:val="0"/>
    <w:pPr>
      <w:keepNext w:val="0"/>
      <w:keepLines w:val="0"/>
      <w:tabs>
        <w:tab w:val="left" w:pos="1899"/>
      </w:tabs>
      <w:adjustRightInd w:val="0"/>
      <w:snapToGrid w:val="0"/>
      <w:spacing w:before="0" w:after="0" w:line="540" w:lineRule="exact"/>
    </w:pPr>
    <w:rPr>
      <w:rFonts w:ascii="黑体" w:hAnsi="宋体" w:cs="宋体"/>
      <w:sz w:val="30"/>
      <w:szCs w:val="20"/>
    </w:rPr>
  </w:style>
  <w:style w:type="paragraph" w:customStyle="1" w:styleId="1869">
    <w:name w:val="样式 标题 22H2节一级条_Heading 2Majorsect1.1标题 21.1标题 2 Char二..."/>
    <w:basedOn w:val="3"/>
    <w:semiHidden/>
    <w:qFormat/>
    <w:uiPriority w:val="0"/>
    <w:pPr>
      <w:tabs>
        <w:tab w:val="left" w:pos="720"/>
      </w:tabs>
      <w:adjustRightInd w:val="0"/>
      <w:spacing w:before="0" w:after="0"/>
      <w:ind w:left="578" w:hanging="578"/>
    </w:pPr>
    <w:rPr>
      <w:rFonts w:hAnsi="Cambria" w:eastAsia="宋体" w:cs="Arial"/>
      <w:b w:val="0"/>
      <w:bCs w:val="0"/>
      <w:color w:val="000000"/>
      <w:kern w:val="0"/>
      <w:sz w:val="28"/>
      <w:szCs w:val="20"/>
    </w:rPr>
  </w:style>
  <w:style w:type="paragraph" w:customStyle="1" w:styleId="1870">
    <w:name w:val="样式 标题 2h2l22nd levelTitre22Header 2节标题 1.1 + 宋体 四号 左 段..."/>
    <w:basedOn w:val="3"/>
    <w:semiHidden/>
    <w:qFormat/>
    <w:uiPriority w:val="0"/>
    <w:pPr>
      <w:keepNext w:val="0"/>
      <w:tabs>
        <w:tab w:val="left" w:pos="840"/>
      </w:tabs>
      <w:adjustRightInd w:val="0"/>
      <w:snapToGrid w:val="0"/>
      <w:spacing w:before="0" w:after="0" w:line="300" w:lineRule="exact"/>
      <w:ind w:firstLine="17" w:firstLineChars="200"/>
    </w:pPr>
    <w:rPr>
      <w:rFonts w:ascii="黑体" w:hAnsi="宋体" w:eastAsia="宋体"/>
      <w:color w:val="000000"/>
      <w:kern w:val="44"/>
      <w:sz w:val="28"/>
      <w:szCs w:val="20"/>
    </w:rPr>
  </w:style>
  <w:style w:type="paragraph" w:customStyle="1" w:styleId="1871">
    <w:name w:val="样式 标题 2wang2 + 段前: 0.5 行 段后: 0.5 行"/>
    <w:basedOn w:val="3"/>
    <w:semiHidden/>
    <w:qFormat/>
    <w:uiPriority w:val="0"/>
    <w:pPr>
      <w:spacing w:beforeLines="50" w:afterLines="50" w:line="440" w:lineRule="exact"/>
    </w:pPr>
    <w:rPr>
      <w:rFonts w:ascii="Cambria" w:hAnsi="Cambria" w:cs="宋体"/>
      <w:b w:val="0"/>
      <w:bCs w:val="0"/>
      <w:sz w:val="30"/>
      <w:szCs w:val="20"/>
    </w:rPr>
  </w:style>
  <w:style w:type="paragraph" w:customStyle="1" w:styleId="1872">
    <w:name w:val="样式 标题 2标题 2 Char Char Char标题 2 Char Char Char Char Char标题 2 C..."/>
    <w:basedOn w:val="3"/>
    <w:semiHidden/>
    <w:qFormat/>
    <w:uiPriority w:val="0"/>
    <w:pPr>
      <w:spacing w:before="0" w:after="0"/>
    </w:pPr>
    <w:rPr>
      <w:rFonts w:ascii="Cambria" w:hAnsi="Cambria" w:eastAsia="宋体" w:cs="宋体"/>
      <w:szCs w:val="20"/>
    </w:rPr>
  </w:style>
  <w:style w:type="paragraph" w:customStyle="1" w:styleId="1873">
    <w:name w:val="样式 标题 2节标题 1.11.1标题 21.1标题2标题 2 Char1节_Heading 2b21.1标..."/>
    <w:basedOn w:val="3"/>
    <w:semiHidden/>
    <w:qFormat/>
    <w:uiPriority w:val="0"/>
    <w:pPr>
      <w:tabs>
        <w:tab w:val="left" w:pos="576"/>
      </w:tabs>
      <w:spacing w:before="0" w:after="0"/>
      <w:ind w:left="576" w:hanging="576"/>
    </w:pPr>
    <w:rPr>
      <w:rFonts w:ascii="Cambria" w:hAnsi="宋体" w:cs="宋体"/>
      <w:b w:val="0"/>
      <w:bCs w:val="0"/>
      <w:sz w:val="28"/>
      <w:szCs w:val="20"/>
    </w:rPr>
  </w:style>
  <w:style w:type="paragraph" w:customStyle="1" w:styleId="1874">
    <w:name w:val="样式 标题 2节标题 1.11.1标题2Majorb2标题 2 Char Char Char标题 2 Char Ch..."/>
    <w:basedOn w:val="3"/>
    <w:semiHidden/>
    <w:qFormat/>
    <w:uiPriority w:val="0"/>
    <w:pPr>
      <w:spacing w:before="240"/>
    </w:pPr>
    <w:rPr>
      <w:rFonts w:hAnsi="Cambria" w:cs="宋体"/>
      <w:color w:val="FF0000"/>
    </w:rPr>
  </w:style>
  <w:style w:type="paragraph" w:customStyle="1" w:styleId="1875">
    <w:name w:val="样式 标题 2节标题 1.1h2l22nd levelTitre22Header 2节节标题一级节名标题2..."/>
    <w:basedOn w:val="3"/>
    <w:semiHidden/>
    <w:qFormat/>
    <w:uiPriority w:val="0"/>
    <w:pPr>
      <w:widowControl/>
      <w:adjustRightInd w:val="0"/>
      <w:spacing w:before="156" w:after="156"/>
    </w:pPr>
    <w:rPr>
      <w:rFonts w:ascii="仿宋_GB2312" w:hAnsi="宋体" w:eastAsia="仿宋_GB2312" w:cs="宋体"/>
      <w:bCs w:val="0"/>
      <w:kern w:val="0"/>
      <w:sz w:val="28"/>
      <w:szCs w:val="28"/>
    </w:rPr>
  </w:style>
  <w:style w:type="paragraph" w:customStyle="1" w:styleId="1876">
    <w:name w:val="样式 标题 2节标题 1.1h2l22nd levelTitre2Header 2节标题 2 Char Char..."/>
    <w:basedOn w:val="3"/>
    <w:semiHidden/>
    <w:qFormat/>
    <w:uiPriority w:val="0"/>
    <w:pPr>
      <w:spacing w:line="240" w:lineRule="auto"/>
    </w:pPr>
    <w:rPr>
      <w:rFonts w:ascii="Cambria" w:hAnsi="Cambria" w:cs="宋体"/>
      <w:szCs w:val="20"/>
    </w:rPr>
  </w:style>
  <w:style w:type="paragraph" w:customStyle="1" w:styleId="1877">
    <w:name w:val="样式 标题 2节标题 1.1标题 2 Char Char Char标题 2 Char1.1标题2Majorb2 + ...1"/>
    <w:basedOn w:val="3"/>
    <w:semiHidden/>
    <w:qFormat/>
    <w:uiPriority w:val="0"/>
    <w:pPr>
      <w:adjustRightInd w:val="0"/>
      <w:spacing w:line="560" w:lineRule="exact"/>
    </w:pPr>
    <w:rPr>
      <w:rFonts w:ascii="Calibri" w:hAnsi="Calibri"/>
      <w:b w:val="0"/>
      <w:bCs w:val="0"/>
      <w:color w:val="FF99CC"/>
    </w:rPr>
  </w:style>
  <w:style w:type="paragraph" w:customStyle="1" w:styleId="1878">
    <w:name w:val="样式 标题 2节标题 1.1节h2l22nd levelTitre22Header 21.1标题2H2Ma..."/>
    <w:basedOn w:val="3"/>
    <w:semiHidden/>
    <w:qFormat/>
    <w:uiPriority w:val="0"/>
    <w:pPr>
      <w:spacing w:beforeLines="50" w:afterLines="50"/>
    </w:pPr>
    <w:rPr>
      <w:rFonts w:ascii="黑体"/>
      <w:sz w:val="24"/>
      <w:szCs w:val="24"/>
    </w:rPr>
  </w:style>
  <w:style w:type="paragraph" w:customStyle="1" w:styleId="1879">
    <w:name w:val="样式 标题 2样式 2 + 段后: 7.8 磅"/>
    <w:basedOn w:val="3"/>
    <w:semiHidden/>
    <w:qFormat/>
    <w:uiPriority w:val="0"/>
    <w:pPr>
      <w:tabs>
        <w:tab w:val="left" w:pos="540"/>
      </w:tabs>
      <w:autoSpaceDE w:val="0"/>
      <w:autoSpaceDN w:val="0"/>
      <w:adjustRightInd w:val="0"/>
      <w:snapToGrid w:val="0"/>
      <w:spacing w:before="156" w:after="240"/>
      <w:ind w:left="4680"/>
    </w:pPr>
    <w:rPr>
      <w:rFonts w:ascii="Cambria" w:hAnsi="Cambria"/>
      <w:b w:val="0"/>
      <w:bCs w:val="0"/>
      <w:spacing w:val="4"/>
      <w:sz w:val="30"/>
      <w:szCs w:val="30"/>
    </w:rPr>
  </w:style>
  <w:style w:type="paragraph" w:customStyle="1" w:styleId="1880">
    <w:name w:val="样式 标题 2样式 2 + 首行缩进:  2 字符"/>
    <w:basedOn w:val="3"/>
    <w:next w:val="3"/>
    <w:semiHidden/>
    <w:qFormat/>
    <w:uiPriority w:val="0"/>
    <w:pPr>
      <w:tabs>
        <w:tab w:val="left" w:pos="540"/>
      </w:tabs>
      <w:autoSpaceDE w:val="0"/>
      <w:autoSpaceDN w:val="0"/>
      <w:adjustRightInd w:val="0"/>
      <w:snapToGrid w:val="0"/>
      <w:spacing w:before="156" w:after="240"/>
      <w:ind w:left="4536" w:hanging="576"/>
      <w:textAlignment w:val="baseline"/>
    </w:pPr>
    <w:rPr>
      <w:rFonts w:ascii="Cambria" w:hAnsi="Cambria"/>
      <w:b w:val="0"/>
      <w:bCs w:val="0"/>
      <w:spacing w:val="4"/>
      <w:sz w:val="30"/>
    </w:rPr>
  </w:style>
  <w:style w:type="paragraph" w:customStyle="1" w:styleId="1881">
    <w:name w:val="样式 标题 3 + Times New Roman 黑色 段前: 13 磅 段后: 13 磅 行距: 多倍行距 1.73..."/>
    <w:basedOn w:val="4"/>
    <w:semiHidden/>
    <w:qFormat/>
    <w:uiPriority w:val="0"/>
    <w:pPr>
      <w:keepNext w:val="0"/>
      <w:keepLines w:val="0"/>
      <w:widowControl/>
      <w:tabs>
        <w:tab w:val="left" w:pos="0"/>
        <w:tab w:val="left" w:pos="57"/>
      </w:tabs>
      <w:overflowPunct w:val="0"/>
      <w:snapToGrid w:val="0"/>
      <w:spacing w:before="0" w:after="0"/>
      <w:ind w:left="510" w:firstLine="555"/>
      <w:jc w:val="center"/>
      <w:textAlignment w:val="baseline"/>
    </w:pPr>
    <w:rPr>
      <w:rFonts w:ascii="黑体" w:hAnsi="Calibri" w:eastAsia="黑体"/>
      <w:bCs w:val="0"/>
      <w:kern w:val="0"/>
      <w:sz w:val="24"/>
      <w:szCs w:val="24"/>
    </w:rPr>
  </w:style>
  <w:style w:type="paragraph" w:customStyle="1" w:styleId="1882">
    <w:name w:val="样式 标题 3 + 段前: 1 行"/>
    <w:basedOn w:val="4"/>
    <w:semiHidden/>
    <w:qFormat/>
    <w:uiPriority w:val="0"/>
    <w:pPr>
      <w:adjustRightInd w:val="0"/>
      <w:snapToGrid w:val="0"/>
      <w:spacing w:beforeLines="50" w:after="0"/>
    </w:pPr>
    <w:rPr>
      <w:rFonts w:ascii="方正大标宋简体" w:hAnsi="Calibri" w:eastAsia="方正大标宋简体" w:cs="宋体"/>
      <w:b w:val="0"/>
      <w:bCs w:val="0"/>
      <w:kern w:val="0"/>
      <w:szCs w:val="20"/>
    </w:rPr>
  </w:style>
  <w:style w:type="paragraph" w:customStyle="1" w:styleId="1883">
    <w:name w:val="样式 标题 31.1.1条标题 3 Char Char标题 3 CharBSH-3条标题1.1.1H3b3 + ..."/>
    <w:basedOn w:val="4"/>
    <w:semiHidden/>
    <w:qFormat/>
    <w:uiPriority w:val="0"/>
    <w:pPr>
      <w:tabs>
        <w:tab w:val="left" w:pos="720"/>
      </w:tabs>
      <w:spacing w:before="0" w:after="0"/>
      <w:ind w:left="720" w:hanging="720"/>
    </w:pPr>
    <w:rPr>
      <w:rFonts w:ascii="Calibri" w:hAnsi="宋体" w:eastAsia="黑体" w:cs="宋体"/>
      <w:b w:val="0"/>
      <w:bCs w:val="0"/>
      <w:kern w:val="0"/>
      <w:sz w:val="24"/>
      <w:szCs w:val="20"/>
    </w:rPr>
  </w:style>
  <w:style w:type="paragraph" w:customStyle="1" w:styleId="1884">
    <w:name w:val="样式 标题 3Char Charh33rd levelH3l3CTReHead 3 WSAB Head....."/>
    <w:basedOn w:val="4"/>
    <w:semiHidden/>
    <w:qFormat/>
    <w:uiPriority w:val="0"/>
    <w:pPr>
      <w:spacing w:after="60"/>
      <w:ind w:right="-64" w:rightChars="-64"/>
      <w:outlineLvl w:val="3"/>
    </w:pPr>
    <w:rPr>
      <w:rFonts w:ascii="黑体" w:hAnsi="黑体" w:cs="宋体"/>
      <w:b w:val="0"/>
      <w:bCs w:val="0"/>
      <w:color w:val="000000"/>
      <w:kern w:val="0"/>
      <w:szCs w:val="20"/>
    </w:rPr>
  </w:style>
  <w:style w:type="paragraph" w:customStyle="1" w:styleId="1885">
    <w:name w:val="样式 标题 3H3H31H32H33u3条标题1.1.1Heading 3 - oldBold Headbh..."/>
    <w:basedOn w:val="6"/>
    <w:semiHidden/>
    <w:qFormat/>
    <w:uiPriority w:val="0"/>
    <w:pPr>
      <w:tabs>
        <w:tab w:val="clear" w:pos="1008"/>
      </w:tabs>
      <w:spacing w:afterLines="100"/>
      <w:ind w:left="0" w:firstLine="0"/>
    </w:pPr>
    <w:rPr>
      <w:rFonts w:ascii="Calibri" w:hAnsi="Calibri" w:cs="宋体"/>
      <w:b/>
      <w:sz w:val="24"/>
      <w:szCs w:val="20"/>
    </w:rPr>
  </w:style>
  <w:style w:type="paragraph" w:customStyle="1" w:styleId="1886">
    <w:name w:val="样式 标题 3条H3h3 sub headingh3zhenwen1.1.1标题 3 Char Char标题 3..."/>
    <w:basedOn w:val="4"/>
    <w:semiHidden/>
    <w:qFormat/>
    <w:uiPriority w:val="0"/>
    <w:pPr>
      <w:tabs>
        <w:tab w:val="left" w:pos="360"/>
        <w:tab w:val="left" w:pos="2380"/>
      </w:tabs>
      <w:adjustRightInd w:val="0"/>
      <w:spacing w:before="0" w:after="0"/>
      <w:ind w:left="360" w:hanging="360"/>
    </w:pPr>
    <w:rPr>
      <w:rFonts w:ascii="Arial" w:hAnsi="Arial"/>
      <w:b w:val="0"/>
      <w:bCs w:val="0"/>
      <w:color w:val="000000"/>
      <w:kern w:val="0"/>
    </w:rPr>
  </w:style>
  <w:style w:type="paragraph" w:customStyle="1" w:styleId="1887">
    <w:name w:val="样式 标题 3条标题1.1.13h33rd levelH3l3CT + (中文) 仿宋_GB2312 非加粗"/>
    <w:basedOn w:val="4"/>
    <w:semiHidden/>
    <w:qFormat/>
    <w:uiPriority w:val="0"/>
    <w:pPr>
      <w:widowControl/>
      <w:adjustRightInd w:val="0"/>
      <w:spacing w:line="240" w:lineRule="auto"/>
      <w:ind w:left="540"/>
    </w:pPr>
    <w:rPr>
      <w:rFonts w:ascii="仿宋_GB2312" w:hAnsi="Calibri" w:eastAsia="仿宋_GB2312"/>
      <w:bCs w:val="0"/>
      <w:kern w:val="0"/>
      <w:szCs w:val="20"/>
      <w:lang w:val="zh-CN"/>
    </w:rPr>
  </w:style>
  <w:style w:type="paragraph" w:customStyle="1" w:styleId="1888">
    <w:name w:val="样式 标题 3条标题1.1.1BSH-3 + 字距调整小四"/>
    <w:basedOn w:val="4"/>
    <w:semiHidden/>
    <w:qFormat/>
    <w:uiPriority w:val="0"/>
    <w:pPr>
      <w:adjustRightInd w:val="0"/>
      <w:snapToGrid w:val="0"/>
      <w:spacing w:before="0" w:after="0" w:line="560" w:lineRule="exact"/>
    </w:pPr>
    <w:rPr>
      <w:rFonts w:ascii="Calibri" w:hAnsi="Calibri" w:eastAsia="黑体"/>
      <w:color w:val="0000FF"/>
      <w:kern w:val="24"/>
      <w:sz w:val="30"/>
      <w:szCs w:val="30"/>
    </w:rPr>
  </w:style>
  <w:style w:type="paragraph" w:customStyle="1" w:styleId="1889">
    <w:name w:val="样式 标题 3样式　标题 3　自动设置标题 3 Char章 + Times New 表题3"/>
    <w:basedOn w:val="4"/>
    <w:semiHidden/>
    <w:qFormat/>
    <w:uiPriority w:val="0"/>
    <w:pPr>
      <w:tabs>
        <w:tab w:val="left" w:pos="360"/>
        <w:tab w:val="left" w:pos="3800"/>
        <w:tab w:val="left" w:pos="5200"/>
      </w:tabs>
      <w:autoSpaceDE w:val="0"/>
      <w:autoSpaceDN w:val="0"/>
      <w:adjustRightInd w:val="0"/>
      <w:spacing w:line="240" w:lineRule="auto"/>
    </w:pPr>
    <w:rPr>
      <w:rFonts w:ascii="Calibri" w:hAnsi="Calibri" w:cs="宋体"/>
      <w:kern w:val="0"/>
    </w:rPr>
  </w:style>
  <w:style w:type="paragraph" w:customStyle="1" w:styleId="1890">
    <w:name w:val="样式 标题 4 + 段前: 0.5 行 段后: 0.5 行"/>
    <w:basedOn w:val="5"/>
    <w:semiHidden/>
    <w:qFormat/>
    <w:uiPriority w:val="0"/>
    <w:pPr>
      <w:adjustRightInd w:val="0"/>
      <w:snapToGrid w:val="0"/>
      <w:spacing w:before="50" w:after="50" w:line="400" w:lineRule="atLeast"/>
      <w:jc w:val="left"/>
    </w:pPr>
    <w:rPr>
      <w:rFonts w:ascii="Times New Roman" w:hAnsi="Times New Roman"/>
      <w:bCs w:val="0"/>
      <w:kern w:val="0"/>
      <w:sz w:val="28"/>
      <w:szCs w:val="28"/>
    </w:rPr>
  </w:style>
  <w:style w:type="paragraph" w:customStyle="1" w:styleId="1891">
    <w:name w:val="样式 标题 4 + 段前: 0.5 行 段后: 0.5 行1"/>
    <w:basedOn w:val="5"/>
    <w:semiHidden/>
    <w:qFormat/>
    <w:uiPriority w:val="0"/>
    <w:pPr>
      <w:adjustRightInd w:val="0"/>
      <w:snapToGrid w:val="0"/>
      <w:spacing w:before="50" w:after="50" w:line="320" w:lineRule="atLeast"/>
      <w:jc w:val="left"/>
    </w:pPr>
    <w:rPr>
      <w:rFonts w:ascii="Times New Roman" w:hAnsi="Times New Roman"/>
      <w:bCs w:val="0"/>
      <w:kern w:val="0"/>
      <w:sz w:val="28"/>
      <w:szCs w:val="28"/>
    </w:rPr>
  </w:style>
  <w:style w:type="paragraph" w:customStyle="1" w:styleId="1892">
    <w:name w:val="样式 标题 4 + 黑色 左侧:  -0.01 厘米 首行缩进:  0.01 厘米"/>
    <w:basedOn w:val="5"/>
    <w:semiHidden/>
    <w:qFormat/>
    <w:uiPriority w:val="0"/>
    <w:pPr>
      <w:keepNext w:val="0"/>
      <w:keepLines w:val="0"/>
      <w:tabs>
        <w:tab w:val="left" w:pos="1080"/>
      </w:tabs>
      <w:adjustRightInd w:val="0"/>
      <w:snapToGrid w:val="0"/>
      <w:spacing w:before="156" w:line="312" w:lineRule="auto"/>
      <w:ind w:left="864" w:hanging="864"/>
      <w:jc w:val="left"/>
    </w:pPr>
    <w:rPr>
      <w:rFonts w:ascii="仿宋_GB2312" w:hAnsi="Cambria" w:eastAsia="仿宋_GB2312"/>
      <w:bCs w:val="0"/>
      <w:color w:val="000000"/>
      <w:sz w:val="28"/>
      <w:szCs w:val="20"/>
    </w:rPr>
  </w:style>
  <w:style w:type="paragraph" w:customStyle="1" w:styleId="1893">
    <w:name w:val="样式 标题 4 + 首行缩进:  0 字符"/>
    <w:basedOn w:val="5"/>
    <w:semiHidden/>
    <w:qFormat/>
    <w:uiPriority w:val="0"/>
    <w:pPr>
      <w:adjustRightInd w:val="0"/>
      <w:snapToGrid w:val="0"/>
      <w:spacing w:line="320" w:lineRule="atLeast"/>
      <w:ind w:left="4680"/>
      <w:jc w:val="left"/>
    </w:pPr>
    <w:rPr>
      <w:rFonts w:ascii="Times New Roman" w:hAnsi="Times New Roman"/>
      <w:bCs w:val="0"/>
      <w:spacing w:val="4"/>
      <w:kern w:val="0"/>
      <w:sz w:val="28"/>
      <w:szCs w:val="20"/>
    </w:rPr>
  </w:style>
  <w:style w:type="paragraph" w:customStyle="1" w:styleId="1894">
    <w:name w:val="样式 表格内容 + 宋体"/>
    <w:basedOn w:val="44"/>
    <w:semiHidden/>
    <w:qFormat/>
    <w:uiPriority w:val="0"/>
    <w:pPr>
      <w:tabs>
        <w:tab w:val="left" w:pos="942"/>
      </w:tabs>
      <w:overflowPunct w:val="0"/>
      <w:adjustRightInd w:val="0"/>
      <w:snapToGrid w:val="0"/>
      <w:spacing w:after="120" w:line="440" w:lineRule="exact"/>
      <w:ind w:firstLine="0" w:firstLineChars="0"/>
      <w:jc w:val="left"/>
      <w:textAlignment w:val="baseline"/>
    </w:pPr>
    <w:rPr>
      <w:rFonts w:ascii="Arial" w:hAnsi="Arial" w:cs="Times New Roman"/>
      <w:kern w:val="0"/>
      <w:sz w:val="21"/>
    </w:rPr>
  </w:style>
  <w:style w:type="paragraph" w:customStyle="1" w:styleId="1895">
    <w:name w:val="样式 表格文字 + 首行缩进:  2 字符"/>
    <w:basedOn w:val="684"/>
    <w:semiHidden/>
    <w:qFormat/>
    <w:uiPriority w:val="0"/>
    <w:pPr>
      <w:tabs>
        <w:tab w:val="left" w:pos="3060"/>
      </w:tabs>
      <w:adjustRightInd w:val="0"/>
      <w:snapToGrid w:val="0"/>
      <w:ind w:firstLine="420" w:firstLineChars="200"/>
    </w:pPr>
    <w:rPr>
      <w:rFonts w:hAnsi="MS Shell Dlg" w:cs="宋体"/>
      <w:snapToGrid w:val="0"/>
      <w:kern w:val="0"/>
    </w:rPr>
  </w:style>
  <w:style w:type="paragraph" w:customStyle="1" w:styleId="1896">
    <w:name w:val="样式 表内小5 + 黑体 加粗 倾斜 下划线"/>
    <w:basedOn w:val="771"/>
    <w:semiHidden/>
    <w:qFormat/>
    <w:uiPriority w:val="0"/>
    <w:pPr>
      <w:ind w:left="0"/>
    </w:pPr>
    <w:rPr>
      <w:rFonts w:ascii="黑体" w:hAnsi="黑体" w:eastAsia="黑体"/>
      <w:b/>
      <w:bCs/>
      <w:i/>
      <w:iCs/>
      <w:u w:val="single"/>
    </w:rPr>
  </w:style>
  <w:style w:type="paragraph" w:customStyle="1" w:styleId="1897">
    <w:name w:val="样式 表头 + Times New Roman 黑色"/>
    <w:basedOn w:val="768"/>
    <w:semiHidden/>
    <w:qFormat/>
    <w:uiPriority w:val="0"/>
    <w:pPr>
      <w:snapToGrid/>
      <w:spacing w:beforeLines="30" w:after="0"/>
      <w:ind w:firstLine="480" w:firstLineChars="200"/>
      <w:jc w:val="both"/>
    </w:pPr>
    <w:rPr>
      <w:rFonts w:ascii="Times New Roman" w:hAnsi="Times New Roman"/>
      <w:color w:val="000000"/>
      <w:kern w:val="2"/>
      <w:szCs w:val="21"/>
    </w:rPr>
  </w:style>
  <w:style w:type="paragraph" w:customStyle="1" w:styleId="1898">
    <w:name w:val="样式 表头6 + 居中"/>
    <w:basedOn w:val="1"/>
    <w:semiHidden/>
    <w:qFormat/>
    <w:uiPriority w:val="0"/>
    <w:pPr>
      <w:tabs>
        <w:tab w:val="left" w:pos="1800"/>
      </w:tabs>
      <w:spacing w:before="40" w:after="40" w:line="360" w:lineRule="auto"/>
      <w:ind w:left="1800" w:hanging="720"/>
      <w:jc w:val="center"/>
    </w:pPr>
    <w:rPr>
      <w:rFonts w:ascii="Calibri" w:hAnsi="Calibri" w:eastAsia="黑体" w:cs="宋体"/>
      <w:bCs/>
      <w:color w:val="000000"/>
      <w:sz w:val="24"/>
      <w:szCs w:val="20"/>
    </w:rPr>
  </w:style>
  <w:style w:type="paragraph" w:customStyle="1" w:styleId="1899">
    <w:name w:val="样式 表文字 + 五号"/>
    <w:basedOn w:val="401"/>
    <w:semiHidden/>
    <w:qFormat/>
    <w:uiPriority w:val="0"/>
    <w:pPr>
      <w:widowControl w:val="0"/>
      <w:adjustRightInd/>
      <w:spacing w:line="240" w:lineRule="exact"/>
    </w:pPr>
    <w:rPr>
      <w:rFonts w:ascii="Calibri" w:hAnsi="Calibri"/>
      <w:w w:val="95"/>
      <w:sz w:val="24"/>
    </w:rPr>
  </w:style>
  <w:style w:type="paragraph" w:customStyle="1" w:styleId="1900">
    <w:name w:val="样式 表文字 + 左 行距: 最小值 12 磅"/>
    <w:basedOn w:val="401"/>
    <w:semiHidden/>
    <w:qFormat/>
    <w:uiPriority w:val="0"/>
    <w:pPr>
      <w:spacing w:line="240" w:lineRule="atLeast"/>
      <w:jc w:val="left"/>
    </w:pPr>
    <w:rPr>
      <w:rFonts w:ascii="Calibri" w:hAnsi="Calibri" w:cs="宋体"/>
      <w:kern w:val="2"/>
      <w:szCs w:val="20"/>
    </w:rPr>
  </w:style>
  <w:style w:type="paragraph" w:customStyle="1" w:styleId="1901">
    <w:name w:val="样式 表文字 +1"/>
    <w:basedOn w:val="401"/>
    <w:semiHidden/>
    <w:qFormat/>
    <w:uiPriority w:val="0"/>
    <w:pPr>
      <w:keepNext/>
      <w:widowControl w:val="0"/>
      <w:spacing w:line="360" w:lineRule="auto"/>
      <w:textAlignment w:val="baseline"/>
    </w:pPr>
    <w:rPr>
      <w:rFonts w:ascii="Calibri" w:hAnsi="Calibri"/>
      <w:b/>
      <w:bCs/>
      <w:snapToGrid/>
      <w:kern w:val="2"/>
      <w:sz w:val="24"/>
      <w:szCs w:val="24"/>
    </w:rPr>
  </w:style>
  <w:style w:type="paragraph" w:customStyle="1" w:styleId="1902">
    <w:name w:val="样式 表样式 + 黑色"/>
    <w:basedOn w:val="358"/>
    <w:semiHidden/>
    <w:qFormat/>
    <w:uiPriority w:val="0"/>
    <w:pPr>
      <w:keepNext/>
      <w:spacing w:line="200" w:lineRule="atLeast"/>
    </w:pPr>
    <w:rPr>
      <w:rFonts w:ascii="Calibri" w:hAnsi="Calibri" w:eastAsia="宋体"/>
      <w:color w:val="000000"/>
      <w:szCs w:val="21"/>
    </w:rPr>
  </w:style>
  <w:style w:type="paragraph" w:customStyle="1" w:styleId="1903">
    <w:name w:val="样式 纯文本 + Times New Roman 四号"/>
    <w:basedOn w:val="44"/>
    <w:semiHidden/>
    <w:qFormat/>
    <w:uiPriority w:val="0"/>
    <w:pPr>
      <w:spacing w:line="240" w:lineRule="auto"/>
      <w:ind w:firstLine="640"/>
    </w:pPr>
    <w:rPr>
      <w:rFonts w:ascii="Calibri" w:hAnsi="Calibri" w:cs="Times New Roman"/>
      <w:sz w:val="28"/>
      <w:lang w:val="en-GB"/>
    </w:rPr>
  </w:style>
  <w:style w:type="paragraph" w:customStyle="1" w:styleId="1904">
    <w:name w:val="样式 段落1 + 红色"/>
    <w:basedOn w:val="725"/>
    <w:semiHidden/>
    <w:qFormat/>
    <w:uiPriority w:val="0"/>
    <w:pPr>
      <w:widowControl/>
      <w:tabs>
        <w:tab w:val="left" w:pos="180"/>
        <w:tab w:val="left" w:pos="3420"/>
        <w:tab w:val="left" w:pos="4140"/>
        <w:tab w:val="left" w:pos="5580"/>
      </w:tabs>
      <w:adjustRightInd/>
      <w:spacing w:line="360" w:lineRule="auto"/>
      <w:ind w:firstLine="480"/>
      <w:textAlignment w:val="auto"/>
    </w:pPr>
    <w:rPr>
      <w:rFonts w:hAnsi="Times New Roman"/>
      <w:iCs w:val="0"/>
      <w:spacing w:val="0"/>
    </w:rPr>
  </w:style>
  <w:style w:type="paragraph" w:customStyle="1" w:styleId="1905">
    <w:name w:val="样式 段落2 + 10 磅"/>
    <w:basedOn w:val="714"/>
    <w:semiHidden/>
    <w:qFormat/>
    <w:uiPriority w:val="0"/>
    <w:pPr>
      <w:spacing w:before="120" w:after="120" w:line="480" w:lineRule="exact"/>
      <w:jc w:val="left"/>
      <w:textAlignment w:val="baseline"/>
    </w:pPr>
    <w:rPr>
      <w:kern w:val="0"/>
      <w:sz w:val="20"/>
    </w:rPr>
  </w:style>
  <w:style w:type="paragraph" w:customStyle="1" w:styleId="1906">
    <w:name w:val="样式 段落黑 + 首行缩进:  1 字符"/>
    <w:basedOn w:val="703"/>
    <w:semiHidden/>
    <w:qFormat/>
    <w:uiPriority w:val="0"/>
    <w:pPr>
      <w:spacing w:after="0" w:line="480" w:lineRule="exact"/>
      <w:ind w:firstLine="100"/>
    </w:pPr>
    <w:rPr>
      <w:szCs w:val="20"/>
    </w:rPr>
  </w:style>
  <w:style w:type="paragraph" w:customStyle="1" w:styleId="1907">
    <w:name w:val="样式 段落样式 Char + 字符缩放: 100% 加宽量  1 磅"/>
    <w:basedOn w:val="1"/>
    <w:semiHidden/>
    <w:qFormat/>
    <w:uiPriority w:val="0"/>
    <w:pPr>
      <w:keepNext/>
      <w:suppressLineNumbers/>
      <w:suppressAutoHyphens/>
      <w:topLinePunct/>
      <w:adjustRightInd w:val="0"/>
      <w:snapToGrid w:val="0"/>
      <w:spacing w:line="480" w:lineRule="atLeast"/>
      <w:ind w:firstLine="482"/>
      <w:textAlignment w:val="baseline"/>
    </w:pPr>
    <w:rPr>
      <w:rFonts w:ascii="宋体" w:hAnsi="Calibri"/>
      <w:snapToGrid w:val="0"/>
      <w:kern w:val="0"/>
      <w:sz w:val="28"/>
      <w:szCs w:val="28"/>
    </w:rPr>
  </w:style>
  <w:style w:type="paragraph" w:customStyle="1" w:styleId="1908">
    <w:name w:val="样式 黑色 行距: 1.5 倍行距 首行缩进:  2 字符"/>
    <w:basedOn w:val="1"/>
    <w:semiHidden/>
    <w:qFormat/>
    <w:uiPriority w:val="0"/>
    <w:pPr>
      <w:spacing w:line="360" w:lineRule="auto"/>
      <w:ind w:firstLine="480" w:firstLineChars="200"/>
    </w:pPr>
    <w:rPr>
      <w:rFonts w:ascii="Calibri" w:hAnsi="Calibri" w:eastAsia="楷体_GB2312" w:cs="宋体"/>
      <w:color w:val="000000"/>
      <w:sz w:val="24"/>
      <w:szCs w:val="20"/>
    </w:rPr>
  </w:style>
  <w:style w:type="paragraph" w:customStyle="1" w:styleId="1909">
    <w:name w:val="样式 黑色1"/>
    <w:basedOn w:val="1"/>
    <w:semiHidden/>
    <w:qFormat/>
    <w:uiPriority w:val="0"/>
    <w:pPr>
      <w:spacing w:line="360" w:lineRule="auto"/>
      <w:ind w:firstLine="480" w:firstLineChars="200"/>
    </w:pPr>
    <w:rPr>
      <w:rFonts w:ascii="Calibri" w:hAnsi="宋体"/>
      <w:color w:val="000000"/>
      <w:sz w:val="24"/>
      <w:szCs w:val="21"/>
    </w:rPr>
  </w:style>
  <w:style w:type="paragraph" w:customStyle="1" w:styleId="1910">
    <w:name w:val="样式 黑体 黑色 居中 段前: 7.8 磅 段后: 7.8 磅 行距: 固定值 26 磅"/>
    <w:basedOn w:val="1"/>
    <w:semiHidden/>
    <w:qFormat/>
    <w:uiPriority w:val="0"/>
    <w:pPr>
      <w:adjustRightInd w:val="0"/>
      <w:snapToGrid w:val="0"/>
      <w:spacing w:before="156" w:after="156" w:line="520" w:lineRule="exact"/>
      <w:jc w:val="center"/>
    </w:pPr>
    <w:rPr>
      <w:rFonts w:ascii="黑体" w:hAnsi="黑体" w:eastAsia="黑体" w:cs="宋体"/>
      <w:color w:val="000000"/>
      <w:sz w:val="28"/>
      <w:szCs w:val="20"/>
    </w:rPr>
  </w:style>
  <w:style w:type="paragraph" w:customStyle="1" w:styleId="1911">
    <w:name w:val="样式 黑体 一号 加粗 居中 行距: 固定值 40 磅"/>
    <w:basedOn w:val="1"/>
    <w:semiHidden/>
    <w:qFormat/>
    <w:uiPriority w:val="0"/>
    <w:pPr>
      <w:spacing w:line="800" w:lineRule="exact"/>
      <w:jc w:val="center"/>
    </w:pPr>
    <w:rPr>
      <w:rFonts w:ascii="黑体" w:hAnsi="Calibri" w:eastAsia="黑体" w:cs="宋体"/>
      <w:b/>
      <w:bCs/>
      <w:spacing w:val="40"/>
      <w:sz w:val="72"/>
      <w:szCs w:val="20"/>
    </w:rPr>
  </w:style>
  <w:style w:type="paragraph" w:customStyle="1" w:styleId="1912">
    <w:name w:val="样式 加粗 居中"/>
    <w:basedOn w:val="1"/>
    <w:semiHidden/>
    <w:qFormat/>
    <w:uiPriority w:val="0"/>
    <w:pPr>
      <w:jc w:val="center"/>
    </w:pPr>
    <w:rPr>
      <w:rFonts w:ascii="Calibri" w:hAnsi="Calibri" w:cs="宋体"/>
      <w:b/>
      <w:bCs/>
      <w:sz w:val="24"/>
      <w:szCs w:val="20"/>
    </w:rPr>
  </w:style>
  <w:style w:type="paragraph" w:customStyle="1" w:styleId="1913">
    <w:name w:val="样式 节 + 段前: 0.5 行 段后: 0.5 行"/>
    <w:basedOn w:val="3"/>
    <w:semiHidden/>
    <w:qFormat/>
    <w:uiPriority w:val="0"/>
    <w:pPr>
      <w:tabs>
        <w:tab w:val="left" w:pos="360"/>
      </w:tabs>
      <w:spacing w:beforeLines="150" w:afterLines="50" w:line="240" w:lineRule="auto"/>
      <w:ind w:left="839" w:hanging="839" w:hangingChars="200"/>
      <w:outlineLvl w:val="2"/>
    </w:pPr>
    <w:rPr>
      <w:rFonts w:ascii="宋体" w:hAnsi="宋体" w:eastAsia="宋体"/>
      <w:b w:val="0"/>
      <w:bCs w:val="0"/>
      <w:sz w:val="28"/>
      <w:szCs w:val="20"/>
    </w:rPr>
  </w:style>
  <w:style w:type="paragraph" w:customStyle="1" w:styleId="1914">
    <w:name w:val="样式 目录 1 + 段前: 0.5 行 段后: 0.5 行"/>
    <w:basedOn w:val="58"/>
    <w:semiHidden/>
    <w:qFormat/>
    <w:uiPriority w:val="0"/>
    <w:pPr>
      <w:tabs>
        <w:tab w:val="right" w:leader="dot" w:pos="8302"/>
        <w:tab w:val="right" w:leader="dot" w:pos="9174"/>
        <w:tab w:val="clear" w:pos="8296"/>
      </w:tabs>
      <w:spacing w:before="120" w:after="120" w:line="400" w:lineRule="exact"/>
      <w:ind w:firstLine="200" w:firstLineChars="200"/>
      <w:textAlignment w:val="baseline"/>
    </w:pPr>
    <w:rPr>
      <w:rFonts w:ascii="Calibri" w:hAnsi="Calibri" w:eastAsia="黑体"/>
      <w:caps/>
      <w:spacing w:val="6"/>
      <w:kern w:val="0"/>
      <w:sz w:val="24"/>
    </w:rPr>
  </w:style>
  <w:style w:type="paragraph" w:customStyle="1" w:styleId="1915">
    <w:name w:val="样式 目录 1 + 首行缩进:  1.96 字符"/>
    <w:basedOn w:val="58"/>
    <w:semiHidden/>
    <w:qFormat/>
    <w:uiPriority w:val="0"/>
    <w:pPr>
      <w:tabs>
        <w:tab w:val="left" w:pos="480"/>
        <w:tab w:val="left" w:pos="900"/>
        <w:tab w:val="right" w:leader="dot" w:pos="6375"/>
        <w:tab w:val="clear" w:pos="8296"/>
      </w:tabs>
      <w:spacing w:before="120" w:after="120" w:line="276" w:lineRule="auto"/>
      <w:ind w:left="100" w:leftChars="100" w:right="100" w:rightChars="100" w:firstLine="551" w:firstLineChars="196"/>
      <w:jc w:val="left"/>
    </w:pPr>
    <w:rPr>
      <w:rFonts w:ascii="宋体" w:hAnsi="宋体" w:cs="宋体"/>
      <w:b w:val="0"/>
      <w:bCs w:val="0"/>
      <w:i/>
      <w:iCs/>
      <w:caps/>
      <w:kern w:val="2"/>
      <w:szCs w:val="21"/>
    </w:rPr>
  </w:style>
  <w:style w:type="paragraph" w:customStyle="1" w:styleId="1916">
    <w:name w:val="样式 目录 1 + 首行缩进:  2 字符"/>
    <w:basedOn w:val="58"/>
    <w:semiHidden/>
    <w:qFormat/>
    <w:uiPriority w:val="0"/>
    <w:pPr>
      <w:tabs>
        <w:tab w:val="right" w:leader="dot" w:pos="8302"/>
        <w:tab w:val="right" w:leader="dot" w:pos="9174"/>
        <w:tab w:val="clear" w:pos="8296"/>
      </w:tabs>
      <w:spacing w:beforeLines="50" w:afterLines="50" w:line="400" w:lineRule="exact"/>
      <w:ind w:firstLine="420" w:firstLineChars="200"/>
      <w:textAlignment w:val="baseline"/>
    </w:pPr>
    <w:rPr>
      <w:rFonts w:ascii="Calibri" w:hAnsi="Calibri" w:eastAsia="黑体"/>
      <w:caps/>
      <w:kern w:val="0"/>
      <w:sz w:val="28"/>
      <w:szCs w:val="44"/>
    </w:rPr>
  </w:style>
  <w:style w:type="paragraph" w:customStyle="1" w:styleId="1917">
    <w:name w:val="正文文本缩进 211"/>
    <w:basedOn w:val="1"/>
    <w:semiHidden/>
    <w:qFormat/>
    <w:uiPriority w:val="0"/>
    <w:pPr>
      <w:adjustRightInd w:val="0"/>
      <w:spacing w:line="360" w:lineRule="auto"/>
      <w:ind w:firstLine="510"/>
      <w:textAlignment w:val="baseline"/>
    </w:pPr>
    <w:rPr>
      <w:rFonts w:ascii="宋体" w:hAnsi="宋体"/>
      <w:sz w:val="28"/>
      <w:szCs w:val="20"/>
    </w:rPr>
  </w:style>
  <w:style w:type="paragraph" w:customStyle="1" w:styleId="1918">
    <w:name w:val="样式 目录2 + 分散对齐 左侧:  -2 字符"/>
    <w:basedOn w:val="1"/>
    <w:semiHidden/>
    <w:qFormat/>
    <w:uiPriority w:val="0"/>
    <w:pPr>
      <w:adjustRightInd w:val="0"/>
      <w:snapToGrid w:val="0"/>
      <w:spacing w:line="360" w:lineRule="auto"/>
      <w:ind w:left="420" w:leftChars="200"/>
      <w:jc w:val="distribute"/>
    </w:pPr>
    <w:rPr>
      <w:rFonts w:ascii="宋体" w:hAnsi="宋体" w:cs="宋体"/>
      <w:szCs w:val="20"/>
    </w:rPr>
  </w:style>
  <w:style w:type="paragraph" w:customStyle="1" w:styleId="1919">
    <w:name w:val="样式 日期 + 黑体"/>
    <w:basedOn w:val="49"/>
    <w:semiHidden/>
    <w:qFormat/>
    <w:uiPriority w:val="0"/>
    <w:pPr>
      <w:spacing w:line="500" w:lineRule="exact"/>
    </w:pPr>
    <w:rPr>
      <w:rFonts w:ascii="黑体" w:hAnsi="黑体" w:eastAsia="黑体"/>
      <w:b/>
      <w:spacing w:val="40"/>
      <w:sz w:val="30"/>
      <w:szCs w:val="30"/>
    </w:rPr>
  </w:style>
  <w:style w:type="paragraph" w:customStyle="1" w:styleId="1920">
    <w:name w:val="正文文本 32"/>
    <w:basedOn w:val="1"/>
    <w:semiHidden/>
    <w:qFormat/>
    <w:uiPriority w:val="0"/>
    <w:pPr>
      <w:adjustRightInd w:val="0"/>
      <w:spacing w:line="360" w:lineRule="atLeast"/>
      <w:ind w:firstLine="420" w:firstLineChars="200"/>
      <w:jc w:val="center"/>
      <w:textAlignment w:val="baseline"/>
    </w:pPr>
    <w:rPr>
      <w:rFonts w:ascii="仿宋体" w:hAnsi="宋体" w:eastAsia="仿宋体"/>
      <w:kern w:val="0"/>
      <w:sz w:val="24"/>
      <w:szCs w:val="20"/>
    </w:rPr>
  </w:style>
  <w:style w:type="paragraph" w:customStyle="1" w:styleId="1921">
    <w:name w:val="样式 首行缩进:  0.75 厘米"/>
    <w:basedOn w:val="1"/>
    <w:semiHidden/>
    <w:qFormat/>
    <w:uiPriority w:val="0"/>
    <w:pPr>
      <w:spacing w:line="440" w:lineRule="exact"/>
      <w:ind w:firstLine="425"/>
    </w:pPr>
    <w:rPr>
      <w:rFonts w:ascii="Calibri" w:hAnsi="Calibri"/>
      <w:sz w:val="24"/>
      <w:szCs w:val="20"/>
    </w:rPr>
  </w:style>
  <w:style w:type="paragraph" w:customStyle="1" w:styleId="1922">
    <w:name w:val="样式 首行缩进:  0.77 厘米 行距: 固定值 20 磅"/>
    <w:basedOn w:val="1"/>
    <w:semiHidden/>
    <w:qFormat/>
    <w:uiPriority w:val="0"/>
    <w:pPr>
      <w:spacing w:line="360" w:lineRule="auto"/>
      <w:ind w:firstLine="435" w:firstLineChars="200"/>
    </w:pPr>
    <w:rPr>
      <w:rFonts w:ascii="Calibri" w:hAnsi="Calibri"/>
      <w:sz w:val="24"/>
      <w:szCs w:val="20"/>
    </w:rPr>
  </w:style>
  <w:style w:type="paragraph" w:customStyle="1" w:styleId="1923">
    <w:name w:val="样式 首行缩进:  0.77 厘米 行距: 固定值 20 磅4"/>
    <w:basedOn w:val="1"/>
    <w:semiHidden/>
    <w:qFormat/>
    <w:uiPriority w:val="0"/>
    <w:pPr>
      <w:spacing w:line="440" w:lineRule="exact"/>
      <w:ind w:firstLine="480" w:firstLineChars="200"/>
    </w:pPr>
    <w:rPr>
      <w:rFonts w:ascii="Arial" w:hAnsi="Arial" w:cs="Arial"/>
      <w:color w:val="000000"/>
      <w:kern w:val="0"/>
      <w:sz w:val="24"/>
      <w:szCs w:val="21"/>
    </w:rPr>
  </w:style>
  <w:style w:type="paragraph" w:customStyle="1" w:styleId="1924">
    <w:name w:val="正文文本缩进4"/>
    <w:basedOn w:val="1"/>
    <w:semiHidden/>
    <w:qFormat/>
    <w:uiPriority w:val="0"/>
    <w:pPr>
      <w:ind w:left="629"/>
    </w:pPr>
    <w:rPr>
      <w:rFonts w:ascii="Calibri" w:hAnsi="Calibri"/>
      <w:sz w:val="32"/>
      <w:szCs w:val="20"/>
    </w:rPr>
  </w:style>
  <w:style w:type="paragraph" w:customStyle="1" w:styleId="1925">
    <w:name w:val="样式 首行缩进:  0.85 厘米"/>
    <w:basedOn w:val="1"/>
    <w:semiHidden/>
    <w:qFormat/>
    <w:uiPriority w:val="0"/>
    <w:pPr>
      <w:snapToGrid w:val="0"/>
      <w:ind w:firstLine="200" w:firstLineChars="200"/>
    </w:pPr>
    <w:rPr>
      <w:rFonts w:ascii="Calibri" w:hAnsi="Calibri"/>
      <w:sz w:val="24"/>
      <w:szCs w:val="20"/>
    </w:rPr>
  </w:style>
  <w:style w:type="paragraph" w:customStyle="1" w:styleId="1926">
    <w:name w:val="正文样式 Char Char"/>
    <w:basedOn w:val="1"/>
    <w:semiHidden/>
    <w:uiPriority w:val="0"/>
    <w:pPr>
      <w:spacing w:line="460" w:lineRule="exact"/>
      <w:ind w:firstLine="200" w:firstLineChars="200"/>
    </w:pPr>
    <w:rPr>
      <w:rFonts w:ascii="宋体" w:hAnsi="宋体"/>
      <w:sz w:val="24"/>
    </w:rPr>
  </w:style>
  <w:style w:type="paragraph" w:customStyle="1" w:styleId="1927">
    <w:name w:val="样式 首行缩进:  1.71 字符"/>
    <w:basedOn w:val="1"/>
    <w:semiHidden/>
    <w:qFormat/>
    <w:uiPriority w:val="0"/>
    <w:pPr>
      <w:spacing w:line="360" w:lineRule="auto"/>
      <w:ind w:right="26" w:firstLine="410" w:firstLineChars="171"/>
    </w:pPr>
    <w:rPr>
      <w:rFonts w:ascii="Calibri" w:hAnsi="宋体"/>
      <w:color w:val="000000"/>
      <w:sz w:val="24"/>
      <w:szCs w:val="20"/>
    </w:rPr>
  </w:style>
  <w:style w:type="paragraph" w:customStyle="1" w:styleId="1928">
    <w:name w:val="样式 首行缩进:  1.71 字符3"/>
    <w:basedOn w:val="1"/>
    <w:semiHidden/>
    <w:qFormat/>
    <w:uiPriority w:val="0"/>
    <w:pPr>
      <w:spacing w:line="360" w:lineRule="auto"/>
      <w:ind w:firstLine="359" w:firstLineChars="171"/>
    </w:pPr>
    <w:rPr>
      <w:rFonts w:ascii="Calibri" w:hAnsi="Calibri" w:cs="宋体"/>
      <w:sz w:val="24"/>
      <w:szCs w:val="20"/>
    </w:rPr>
  </w:style>
  <w:style w:type="paragraph" w:customStyle="1" w:styleId="1929">
    <w:name w:val="样式 首行缩进:  1.71 字符4"/>
    <w:basedOn w:val="33"/>
    <w:semiHidden/>
    <w:qFormat/>
    <w:uiPriority w:val="0"/>
    <w:pPr>
      <w:adjustRightInd w:val="0"/>
      <w:spacing w:after="0" w:line="360" w:lineRule="auto"/>
      <w:ind w:firstLine="410" w:firstLineChars="171"/>
      <w:jc w:val="left"/>
    </w:pPr>
    <w:rPr>
      <w:rFonts w:ascii="宋体" w:hAnsi="宋体"/>
      <w:kern w:val="0"/>
      <w:sz w:val="24"/>
      <w:szCs w:val="20"/>
    </w:rPr>
  </w:style>
  <w:style w:type="paragraph" w:customStyle="1" w:styleId="1930">
    <w:name w:val="正文样式3"/>
    <w:basedOn w:val="1"/>
    <w:semiHidden/>
    <w:qFormat/>
    <w:uiPriority w:val="0"/>
    <w:pPr>
      <w:adjustRightInd w:val="0"/>
      <w:spacing w:line="20" w:lineRule="atLeast"/>
      <w:jc w:val="center"/>
      <w:textAlignment w:val="baseline"/>
    </w:pPr>
    <w:rPr>
      <w:rFonts w:ascii="Calibri" w:hAnsi="Calibri"/>
      <w:kern w:val="0"/>
      <w:sz w:val="24"/>
      <w:szCs w:val="20"/>
    </w:rPr>
  </w:style>
  <w:style w:type="paragraph" w:customStyle="1" w:styleId="1931">
    <w:name w:val="样式 首行缩进:  2 字符 行距: 固定值 15 磅"/>
    <w:basedOn w:val="1"/>
    <w:semiHidden/>
    <w:uiPriority w:val="0"/>
    <w:pPr>
      <w:spacing w:line="400" w:lineRule="exact"/>
      <w:ind w:firstLine="560" w:firstLineChars="200"/>
    </w:pPr>
    <w:rPr>
      <w:rFonts w:ascii="Calibri" w:hAnsi="Calibri" w:eastAsia="汉鼎简书宋"/>
      <w:sz w:val="28"/>
      <w:szCs w:val="28"/>
    </w:rPr>
  </w:style>
  <w:style w:type="paragraph" w:customStyle="1" w:styleId="1932">
    <w:name w:val="正文样式2"/>
    <w:basedOn w:val="271"/>
    <w:semiHidden/>
    <w:qFormat/>
    <w:uiPriority w:val="0"/>
    <w:pPr>
      <w:widowControl/>
      <w:spacing w:line="240" w:lineRule="auto"/>
      <w:ind w:firstLine="420"/>
      <w:jc w:val="left"/>
    </w:pPr>
    <w:rPr>
      <w:rFonts w:hAnsi="Courier New" w:cs="Courier New"/>
      <w:kern w:val="0"/>
      <w:sz w:val="21"/>
      <w:szCs w:val="21"/>
    </w:rPr>
  </w:style>
  <w:style w:type="paragraph" w:customStyle="1" w:styleId="1933">
    <w:name w:val="样式 首行缩进:  2 字符1"/>
    <w:basedOn w:val="1"/>
    <w:qFormat/>
    <w:uiPriority w:val="99"/>
    <w:pPr>
      <w:topLinePunct/>
      <w:spacing w:line="529" w:lineRule="exact"/>
      <w:ind w:firstLine="480" w:firstLineChars="200"/>
    </w:pPr>
    <w:rPr>
      <w:rFonts w:ascii="Calibri" w:hAnsi="Calibri" w:cs="宋体"/>
      <w:sz w:val="24"/>
      <w:szCs w:val="21"/>
    </w:rPr>
  </w:style>
  <w:style w:type="paragraph" w:customStyle="1" w:styleId="1934">
    <w:name w:val="样式 四号 加粗 黑色"/>
    <w:basedOn w:val="1"/>
    <w:link w:val="2182"/>
    <w:qFormat/>
    <w:uiPriority w:val="0"/>
    <w:pPr>
      <w:keepNext/>
      <w:keepLines/>
      <w:spacing w:line="360" w:lineRule="auto"/>
      <w:jc w:val="left"/>
      <w:outlineLvl w:val="2"/>
    </w:pPr>
    <w:rPr>
      <w:rFonts w:ascii="Calibri" w:hAnsi="Calibri"/>
      <w:b/>
      <w:color w:val="000000"/>
      <w:sz w:val="28"/>
      <w:szCs w:val="28"/>
    </w:rPr>
  </w:style>
  <w:style w:type="paragraph" w:customStyle="1" w:styleId="1935">
    <w:name w:val="样式 四号 首行缩进:  2 字符"/>
    <w:basedOn w:val="1"/>
    <w:semiHidden/>
    <w:uiPriority w:val="0"/>
    <w:pPr>
      <w:spacing w:line="480" w:lineRule="atLeast"/>
      <w:ind w:firstLine="200" w:firstLineChars="200"/>
    </w:pPr>
    <w:rPr>
      <w:rFonts w:ascii="Calibri" w:hAnsi="Calibri"/>
      <w:sz w:val="24"/>
      <w:szCs w:val="21"/>
    </w:rPr>
  </w:style>
  <w:style w:type="paragraph" w:customStyle="1" w:styleId="1936">
    <w:name w:val="正文正文正文正文"/>
    <w:basedOn w:val="1"/>
    <w:next w:val="1"/>
    <w:semiHidden/>
    <w:qFormat/>
    <w:uiPriority w:val="0"/>
    <w:pPr>
      <w:keepNext/>
      <w:keepLines/>
      <w:widowControl/>
      <w:adjustRightInd w:val="0"/>
      <w:spacing w:before="40" w:after="40" w:line="360" w:lineRule="auto"/>
      <w:ind w:firstLine="200" w:firstLineChars="200"/>
      <w:jc w:val="left"/>
      <w:textAlignment w:val="baseline"/>
    </w:pPr>
    <w:rPr>
      <w:rFonts w:ascii="宋体" w:hAnsi="Calibri" w:cs="宋体"/>
      <w:bCs/>
      <w:color w:val="000000"/>
      <w:kern w:val="0"/>
      <w:sz w:val="24"/>
      <w:szCs w:val="28"/>
    </w:rPr>
  </w:style>
  <w:style w:type="paragraph" w:customStyle="1" w:styleId="1937">
    <w:name w:val="样式 四号 首行缩进:  2 字符 + 首行缩进:  2 字符"/>
    <w:basedOn w:val="1"/>
    <w:semiHidden/>
    <w:qFormat/>
    <w:uiPriority w:val="0"/>
    <w:pPr>
      <w:spacing w:line="440" w:lineRule="exact"/>
      <w:ind w:firstLine="504" w:firstLineChars="200"/>
    </w:pPr>
    <w:rPr>
      <w:rFonts w:ascii="宋体" w:hAnsi="宋体"/>
      <w:spacing w:val="6"/>
      <w:sz w:val="24"/>
      <w:szCs w:val="28"/>
    </w:rPr>
  </w:style>
  <w:style w:type="paragraph" w:customStyle="1" w:styleId="1938">
    <w:name w:val="正文应首缩0.98"/>
    <w:basedOn w:val="1"/>
    <w:semiHidden/>
    <w:uiPriority w:val="0"/>
    <w:pPr>
      <w:adjustRightInd w:val="0"/>
      <w:snapToGrid w:val="0"/>
      <w:spacing w:line="300" w:lineRule="auto"/>
      <w:ind w:firstLine="556"/>
      <w:textAlignment w:val="baseline"/>
    </w:pPr>
    <w:rPr>
      <w:rFonts w:ascii="Calibri" w:hAnsi="Calibri"/>
      <w:kern w:val="0"/>
      <w:sz w:val="28"/>
      <w:szCs w:val="20"/>
    </w:rPr>
  </w:style>
  <w:style w:type="paragraph" w:customStyle="1" w:styleId="1939">
    <w:name w:val="样式 四号 行距: 1.5 倍行距"/>
    <w:basedOn w:val="1"/>
    <w:semiHidden/>
    <w:qFormat/>
    <w:uiPriority w:val="0"/>
    <w:pPr>
      <w:spacing w:line="360" w:lineRule="auto"/>
      <w:ind w:firstLine="560" w:firstLineChars="200"/>
    </w:pPr>
    <w:rPr>
      <w:rFonts w:ascii="Calibri" w:hAnsi="Calibri" w:cs="宋体"/>
      <w:sz w:val="28"/>
      <w:szCs w:val="20"/>
    </w:rPr>
  </w:style>
  <w:style w:type="paragraph" w:customStyle="1" w:styleId="1940">
    <w:name w:val="样式 四号 行距: 固定值 35 磅"/>
    <w:basedOn w:val="1"/>
    <w:semiHidden/>
    <w:qFormat/>
    <w:uiPriority w:val="0"/>
    <w:pPr>
      <w:spacing w:line="700" w:lineRule="exact"/>
    </w:pPr>
    <w:rPr>
      <w:rFonts w:ascii="Calibri" w:hAnsi="Calibri" w:cs="宋体"/>
      <w:sz w:val="28"/>
      <w:szCs w:val="20"/>
    </w:rPr>
  </w:style>
  <w:style w:type="paragraph" w:customStyle="1" w:styleId="1941">
    <w:name w:val="样式 宋体 四号 居中 首行缩进:  1.13 厘米 行距: 固定值 30 磅"/>
    <w:basedOn w:val="1"/>
    <w:semiHidden/>
    <w:qFormat/>
    <w:uiPriority w:val="0"/>
    <w:pPr>
      <w:spacing w:line="600" w:lineRule="exact"/>
      <w:jc w:val="center"/>
    </w:pPr>
    <w:rPr>
      <w:rFonts w:ascii="宋体" w:hAnsi="宋体" w:cs="宋体"/>
      <w:spacing w:val="20"/>
      <w:sz w:val="28"/>
      <w:szCs w:val="20"/>
    </w:rPr>
  </w:style>
  <w:style w:type="paragraph" w:customStyle="1" w:styleId="1942">
    <w:name w:val="周闯2"/>
    <w:basedOn w:val="3"/>
    <w:semiHidden/>
    <w:qFormat/>
    <w:uiPriority w:val="0"/>
    <w:pPr>
      <w:adjustRightInd w:val="0"/>
      <w:spacing w:beforeLines="50" w:afterLines="50" w:line="500" w:lineRule="exact"/>
      <w:ind w:firstLine="200" w:firstLineChars="200"/>
      <w:textAlignment w:val="baseline"/>
    </w:pPr>
    <w:rPr>
      <w:rFonts w:ascii="黑体"/>
      <w:color w:val="000000"/>
      <w:kern w:val="44"/>
      <w:sz w:val="28"/>
      <w:szCs w:val="20"/>
    </w:rPr>
  </w:style>
  <w:style w:type="paragraph" w:customStyle="1" w:styleId="1943">
    <w:name w:val="样式 宋体 小四 黑色 行距: 固定值 22 磅"/>
    <w:basedOn w:val="1"/>
    <w:semiHidden/>
    <w:qFormat/>
    <w:uiPriority w:val="0"/>
    <w:pPr>
      <w:spacing w:line="440" w:lineRule="exact"/>
    </w:pPr>
    <w:rPr>
      <w:rFonts w:ascii="Arial" w:hAnsi="Arial"/>
      <w:color w:val="000000"/>
      <w:sz w:val="24"/>
      <w:szCs w:val="21"/>
    </w:rPr>
  </w:style>
  <w:style w:type="paragraph" w:customStyle="1" w:styleId="1944">
    <w:name w:val="样式 宋体 小四 首行缩进:  0.74 厘米 行距: 1.5 倍行距"/>
    <w:basedOn w:val="1"/>
    <w:semiHidden/>
    <w:qFormat/>
    <w:uiPriority w:val="0"/>
    <w:pPr>
      <w:tabs>
        <w:tab w:val="left" w:pos="885"/>
      </w:tabs>
      <w:spacing w:line="360" w:lineRule="auto"/>
      <w:ind w:left="885" w:hanging="405"/>
    </w:pPr>
    <w:rPr>
      <w:rFonts w:ascii="Arial" w:hAnsi="Arial"/>
      <w:sz w:val="24"/>
      <w:szCs w:val="21"/>
    </w:rPr>
  </w:style>
  <w:style w:type="paragraph" w:customStyle="1" w:styleId="1945">
    <w:name w:val="样式 宋体 小四 行距: 1.5 倍行距"/>
    <w:basedOn w:val="1"/>
    <w:semiHidden/>
    <w:qFormat/>
    <w:uiPriority w:val="0"/>
    <w:pPr>
      <w:keepNext/>
      <w:spacing w:line="360" w:lineRule="auto"/>
      <w:ind w:firstLine="200" w:firstLineChars="200"/>
    </w:pPr>
    <w:rPr>
      <w:rFonts w:ascii="Calibri" w:hAnsi="Calibri"/>
      <w:sz w:val="24"/>
      <w:szCs w:val="20"/>
    </w:rPr>
  </w:style>
  <w:style w:type="paragraph" w:customStyle="1" w:styleId="1946">
    <w:name w:val="样式 宋体 左侧:  0.74 厘米 行距: 1.5 倍行距"/>
    <w:basedOn w:val="1"/>
    <w:semiHidden/>
    <w:qFormat/>
    <w:uiPriority w:val="0"/>
    <w:pPr>
      <w:spacing w:after="120" w:line="440" w:lineRule="exact"/>
      <w:ind w:left="851"/>
    </w:pPr>
    <w:rPr>
      <w:rFonts w:ascii="Calibri" w:hAnsi="Calibri"/>
      <w:sz w:val="24"/>
      <w:szCs w:val="21"/>
    </w:rPr>
  </w:style>
  <w:style w:type="paragraph" w:customStyle="1" w:styleId="1947">
    <w:name w:val="主题线"/>
    <w:basedOn w:val="1"/>
    <w:next w:val="33"/>
    <w:semiHidden/>
    <w:qFormat/>
    <w:uiPriority w:val="0"/>
    <w:pPr>
      <w:widowControl/>
      <w:overflowPunct w:val="0"/>
      <w:autoSpaceDE w:val="0"/>
      <w:autoSpaceDN w:val="0"/>
      <w:adjustRightInd w:val="0"/>
      <w:jc w:val="left"/>
      <w:textAlignment w:val="baseline"/>
    </w:pPr>
    <w:rPr>
      <w:rFonts w:ascii="Calibri" w:hAnsi="Calibri"/>
      <w:i/>
      <w:kern w:val="0"/>
      <w:sz w:val="20"/>
      <w:szCs w:val="20"/>
      <w:u w:val="single"/>
    </w:rPr>
  </w:style>
  <w:style w:type="paragraph" w:customStyle="1" w:styleId="1948">
    <w:name w:val="样式 宋体 左侧:  0.8 厘米 行距: 1.5 倍行距"/>
    <w:basedOn w:val="1"/>
    <w:semiHidden/>
    <w:uiPriority w:val="0"/>
    <w:pPr>
      <w:adjustRightInd w:val="0"/>
      <w:snapToGrid w:val="0"/>
      <w:spacing w:before="120" w:after="120" w:line="240" w:lineRule="atLeast"/>
      <w:ind w:left="454"/>
    </w:pPr>
    <w:rPr>
      <w:rFonts w:ascii="宋体" w:hAnsi="宋体"/>
      <w:sz w:val="24"/>
      <w:szCs w:val="20"/>
    </w:rPr>
  </w:style>
  <w:style w:type="paragraph" w:customStyle="1" w:styleId="1949">
    <w:name w:val="周一"/>
    <w:basedOn w:val="1"/>
    <w:semiHidden/>
    <w:qFormat/>
    <w:uiPriority w:val="0"/>
    <w:pPr>
      <w:spacing w:beforeLines="100" w:afterLines="100" w:line="360" w:lineRule="auto"/>
      <w:ind w:firstLine="200" w:firstLineChars="200"/>
      <w:outlineLvl w:val="0"/>
    </w:pPr>
    <w:rPr>
      <w:rFonts w:ascii="Calibri" w:hAnsi="Calibri" w:eastAsia="黑体"/>
      <w:b/>
      <w:color w:val="000000"/>
      <w:sz w:val="30"/>
      <w:szCs w:val="30"/>
    </w:rPr>
  </w:style>
  <w:style w:type="paragraph" w:customStyle="1" w:styleId="1950">
    <w:name w:val="样式 题注 + (西文) Times New Roman (中文) 宋体 小四 加粗 黑色 Char"/>
    <w:basedOn w:val="21"/>
    <w:semiHidden/>
    <w:uiPriority w:val="0"/>
    <w:pPr>
      <w:adjustRightInd w:val="0"/>
      <w:spacing w:beforeLines="100" w:after="0"/>
      <w:jc w:val="center"/>
      <w:textAlignment w:val="baseline"/>
    </w:pPr>
    <w:rPr>
      <w:rFonts w:eastAsia="宋体"/>
      <w:b/>
      <w:bCs/>
      <w:color w:val="000000"/>
      <w:spacing w:val="0"/>
      <w:sz w:val="24"/>
      <w:szCs w:val="24"/>
    </w:rPr>
  </w:style>
  <w:style w:type="paragraph" w:customStyle="1" w:styleId="1951">
    <w:name w:val="样式 题注 + (西文) Times New Roman (中文) 宋体 小四 加粗 黑色 居中 段前: 3 磅 ..."/>
    <w:basedOn w:val="21"/>
    <w:semiHidden/>
    <w:qFormat/>
    <w:uiPriority w:val="0"/>
    <w:pPr>
      <w:adjustRightInd w:val="0"/>
      <w:spacing w:before="0" w:afterLines="100"/>
      <w:jc w:val="center"/>
      <w:textAlignment w:val="baseline"/>
    </w:pPr>
    <w:rPr>
      <w:rFonts w:ascii="Times New Roman" w:hAnsi="Times New Roman" w:eastAsia="宋体" w:cs="宋体"/>
      <w:b/>
      <w:bCs/>
      <w:color w:val="000000"/>
      <w:spacing w:val="0"/>
      <w:kern w:val="0"/>
      <w:sz w:val="24"/>
    </w:rPr>
  </w:style>
  <w:style w:type="paragraph" w:customStyle="1" w:styleId="1952">
    <w:name w:val="注×："/>
    <w:semiHidden/>
    <w:qFormat/>
    <w:uiPriority w:val="0"/>
    <w:pPr>
      <w:widowControl w:val="0"/>
      <w:tabs>
        <w:tab w:val="left" w:pos="630"/>
      </w:tabs>
      <w:autoSpaceDE w:val="0"/>
      <w:autoSpaceDN w:val="0"/>
      <w:jc w:val="both"/>
    </w:pPr>
    <w:rPr>
      <w:rFonts w:ascii="宋体" w:hAnsi="Calibri" w:eastAsia="宋体" w:cs="Times New Roman"/>
      <w:kern w:val="2"/>
      <w:sz w:val="18"/>
      <w:szCs w:val="21"/>
      <w:lang w:val="en-US" w:eastAsia="zh-CN" w:bidi="ar-SA"/>
    </w:rPr>
  </w:style>
  <w:style w:type="paragraph" w:customStyle="1" w:styleId="1953">
    <w:name w:val="样式 图表名称 + 段前: 0.5 行 段后: 0.2 行"/>
    <w:basedOn w:val="325"/>
    <w:semiHidden/>
    <w:qFormat/>
    <w:uiPriority w:val="0"/>
    <w:pPr>
      <w:widowControl w:val="0"/>
      <w:spacing w:beforeLines="50" w:afterLines="20" w:line="400" w:lineRule="exact"/>
      <w:ind w:firstLine="471" w:firstLineChars="200"/>
    </w:pPr>
    <w:rPr>
      <w:rFonts w:ascii="Calibri" w:hAnsi="Calibri"/>
      <w:b w:val="0"/>
      <w:bCs w:val="0"/>
      <w:szCs w:val="24"/>
    </w:rPr>
  </w:style>
  <w:style w:type="paragraph" w:customStyle="1" w:styleId="1954">
    <w:name w:val="样式 图号 + 宋体"/>
    <w:basedOn w:val="1594"/>
    <w:semiHidden/>
    <w:qFormat/>
    <w:uiPriority w:val="0"/>
    <w:pPr>
      <w:ind w:firstLine="200" w:firstLineChars="200"/>
    </w:pPr>
    <w:rPr>
      <w:rFonts w:ascii="宋体" w:hAnsi="宋体"/>
    </w:rPr>
  </w:style>
  <w:style w:type="paragraph" w:customStyle="1" w:styleId="1955">
    <w:name w:val="字母2"/>
    <w:basedOn w:val="1"/>
    <w:semiHidden/>
    <w:qFormat/>
    <w:uiPriority w:val="0"/>
    <w:pPr>
      <w:spacing w:before="60" w:after="60" w:line="440" w:lineRule="exact"/>
      <w:ind w:firstLine="420" w:firstLineChars="200"/>
      <w:textAlignment w:val="baseline"/>
    </w:pPr>
    <w:rPr>
      <w:rFonts w:ascii="Calibri" w:hAnsi="Calibri"/>
      <w:spacing w:val="6"/>
      <w:kern w:val="0"/>
      <w:sz w:val="24"/>
      <w:szCs w:val="21"/>
    </w:rPr>
  </w:style>
  <w:style w:type="paragraph" w:customStyle="1" w:styleId="1956">
    <w:name w:val="样式 五号 黑色 居中 段前: 4 磅 段后: 4 磅"/>
    <w:basedOn w:val="1"/>
    <w:semiHidden/>
    <w:qFormat/>
    <w:uiPriority w:val="0"/>
    <w:pPr>
      <w:adjustRightInd w:val="0"/>
      <w:snapToGrid w:val="0"/>
      <w:spacing w:before="80" w:after="80"/>
      <w:jc w:val="center"/>
    </w:pPr>
    <w:rPr>
      <w:rFonts w:ascii="Calibri" w:hAnsi="Calibri"/>
      <w:kern w:val="0"/>
      <w:szCs w:val="20"/>
    </w:rPr>
  </w:style>
  <w:style w:type="paragraph" w:customStyle="1" w:styleId="1957">
    <w:name w:val="样式 五号 黑色 行距: 多倍行距 1.4 字行"/>
    <w:basedOn w:val="1"/>
    <w:semiHidden/>
    <w:qFormat/>
    <w:uiPriority w:val="0"/>
    <w:pPr>
      <w:spacing w:line="336" w:lineRule="auto"/>
    </w:pPr>
    <w:rPr>
      <w:rFonts w:ascii="Calibri" w:hAnsi="Calibri"/>
      <w:szCs w:val="21"/>
    </w:rPr>
  </w:style>
  <w:style w:type="paragraph" w:customStyle="1" w:styleId="1958">
    <w:name w:val="注："/>
    <w:next w:val="5"/>
    <w:semiHidden/>
    <w:qFormat/>
    <w:uiPriority w:val="0"/>
    <w:pPr>
      <w:widowControl w:val="0"/>
      <w:autoSpaceDE w:val="0"/>
      <w:autoSpaceDN w:val="0"/>
      <w:ind w:left="840" w:hanging="360"/>
      <w:jc w:val="both"/>
    </w:pPr>
    <w:rPr>
      <w:rFonts w:ascii="宋体" w:hAnsi="Calibri" w:eastAsia="宋体" w:cs="Times New Roman"/>
      <w:kern w:val="2"/>
      <w:sz w:val="18"/>
      <w:szCs w:val="21"/>
      <w:lang w:val="en-US" w:eastAsia="zh-CN" w:bidi="ar-SA"/>
    </w:rPr>
  </w:style>
  <w:style w:type="paragraph" w:customStyle="1" w:styleId="1959">
    <w:name w:val="样式 五号 蓝色 居中 行距: 单倍行距"/>
    <w:basedOn w:val="1"/>
    <w:semiHidden/>
    <w:uiPriority w:val="0"/>
    <w:pPr>
      <w:adjustRightInd w:val="0"/>
      <w:jc w:val="center"/>
      <w:textAlignment w:val="baseline"/>
    </w:pPr>
    <w:rPr>
      <w:rFonts w:ascii="Calibri" w:hAnsi="Calibri"/>
      <w:szCs w:val="21"/>
    </w:rPr>
  </w:style>
  <w:style w:type="paragraph" w:customStyle="1" w:styleId="1960">
    <w:name w:val="自定义正文 Char Char"/>
    <w:semiHidden/>
    <w:qFormat/>
    <w:uiPriority w:val="0"/>
    <w:pPr>
      <w:widowControl w:val="0"/>
      <w:adjustRightInd w:val="0"/>
      <w:snapToGrid w:val="0"/>
      <w:spacing w:line="360" w:lineRule="auto"/>
      <w:ind w:firstLine="510"/>
      <w:jc w:val="both"/>
    </w:pPr>
    <w:rPr>
      <w:rFonts w:ascii="Calibri" w:hAnsi="Calibri" w:eastAsia="宋体" w:cs="Times New Roman"/>
      <w:spacing w:val="-2"/>
      <w:kern w:val="2"/>
      <w:sz w:val="28"/>
      <w:szCs w:val="24"/>
      <w:lang w:val="en-US" w:eastAsia="zh-CN" w:bidi="ar-SA"/>
    </w:rPr>
  </w:style>
  <w:style w:type="paragraph" w:customStyle="1" w:styleId="1961">
    <w:name w:val="样式 小三 居中"/>
    <w:basedOn w:val="1"/>
    <w:semiHidden/>
    <w:qFormat/>
    <w:uiPriority w:val="0"/>
    <w:pPr>
      <w:jc w:val="center"/>
    </w:pPr>
    <w:rPr>
      <w:rFonts w:ascii="宋体" w:hAnsi="宋体" w:eastAsia="楷体_GB2312"/>
      <w:b/>
      <w:snapToGrid w:val="0"/>
      <w:kern w:val="0"/>
      <w:sz w:val="30"/>
      <w:szCs w:val="20"/>
    </w:rPr>
  </w:style>
  <w:style w:type="paragraph" w:customStyle="1" w:styleId="1962">
    <w:name w:val="样式 小四"/>
    <w:basedOn w:val="1"/>
    <w:semiHidden/>
    <w:qFormat/>
    <w:uiPriority w:val="0"/>
    <w:pPr>
      <w:keepNext/>
      <w:spacing w:line="360" w:lineRule="auto"/>
      <w:ind w:firstLine="200" w:firstLineChars="200"/>
    </w:pPr>
    <w:rPr>
      <w:rFonts w:ascii="Calibri" w:hAnsi="Calibri"/>
      <w:sz w:val="24"/>
      <w:szCs w:val="20"/>
    </w:rPr>
  </w:style>
  <w:style w:type="paragraph" w:customStyle="1" w:styleId="1963">
    <w:name w:val="样式 小四 居中 首行缩进:  2 字符"/>
    <w:basedOn w:val="1"/>
    <w:semiHidden/>
    <w:qFormat/>
    <w:uiPriority w:val="0"/>
    <w:pPr>
      <w:spacing w:line="360" w:lineRule="auto"/>
      <w:jc w:val="center"/>
    </w:pPr>
    <w:rPr>
      <w:rFonts w:ascii="Calibri" w:hAnsi="Calibri"/>
      <w:snapToGrid w:val="0"/>
      <w:kern w:val="0"/>
      <w:sz w:val="24"/>
      <w:szCs w:val="20"/>
    </w:rPr>
  </w:style>
  <w:style w:type="paragraph" w:customStyle="1" w:styleId="1964">
    <w:name w:val="z图名"/>
    <w:basedOn w:val="1"/>
    <w:qFormat/>
    <w:uiPriority w:val="0"/>
    <w:pPr>
      <w:adjustRightInd w:val="0"/>
      <w:snapToGrid w:val="0"/>
      <w:jc w:val="left"/>
    </w:pPr>
    <w:rPr>
      <w:rFonts w:ascii="Calibri" w:hAnsi="Calibri" w:eastAsia="黑体"/>
      <w:color w:val="000000"/>
      <w:kern w:val="0"/>
      <w:szCs w:val="20"/>
    </w:rPr>
  </w:style>
  <w:style w:type="paragraph" w:customStyle="1" w:styleId="1965">
    <w:name w:val="样式 小四 居中 首行缩进:  2 字符 行距: 固定值 26 磅"/>
    <w:basedOn w:val="1"/>
    <w:semiHidden/>
    <w:qFormat/>
    <w:uiPriority w:val="0"/>
    <w:pPr>
      <w:spacing w:line="520" w:lineRule="exact"/>
      <w:jc w:val="center"/>
    </w:pPr>
    <w:rPr>
      <w:rFonts w:ascii="宋体" w:hAnsi="宋体"/>
      <w:snapToGrid w:val="0"/>
      <w:kern w:val="0"/>
      <w:sz w:val="24"/>
      <w:szCs w:val="20"/>
    </w:rPr>
  </w:style>
  <w:style w:type="paragraph" w:customStyle="1" w:styleId="1966">
    <w:name w:val="样式 小四 首行缩进:  2 字符"/>
    <w:basedOn w:val="1"/>
    <w:semiHidden/>
    <w:qFormat/>
    <w:uiPriority w:val="0"/>
    <w:pPr>
      <w:spacing w:line="300" w:lineRule="auto"/>
      <w:ind w:firstLine="480" w:firstLineChars="200"/>
    </w:pPr>
    <w:rPr>
      <w:rFonts w:ascii="Calibri" w:hAnsi="Calibri"/>
      <w:color w:val="000000"/>
      <w:sz w:val="24"/>
      <w:szCs w:val="20"/>
    </w:rPr>
  </w:style>
  <w:style w:type="paragraph" w:customStyle="1" w:styleId="1967">
    <w:name w:val="样式 行距: 固定值 12 磅"/>
    <w:basedOn w:val="1"/>
    <w:semiHidden/>
    <w:qFormat/>
    <w:uiPriority w:val="0"/>
    <w:pPr>
      <w:spacing w:line="240" w:lineRule="exact"/>
    </w:pPr>
    <w:rPr>
      <w:rFonts w:ascii="Calibri" w:hAnsi="Calibri" w:cs="宋体"/>
      <w:szCs w:val="20"/>
    </w:rPr>
  </w:style>
  <w:style w:type="paragraph" w:customStyle="1" w:styleId="1968">
    <w:name w:val="列出段落2"/>
    <w:basedOn w:val="1"/>
    <w:qFormat/>
    <w:uiPriority w:val="0"/>
    <w:pPr>
      <w:ind w:firstLine="420" w:firstLineChars="200"/>
    </w:pPr>
    <w:rPr>
      <w:rFonts w:ascii="Calibri" w:hAnsi="Calibri"/>
      <w:szCs w:val="22"/>
    </w:rPr>
  </w:style>
  <w:style w:type="paragraph" w:customStyle="1" w:styleId="1969">
    <w:name w:val="样式 行距: 固定值 18 磅"/>
    <w:basedOn w:val="1"/>
    <w:semiHidden/>
    <w:qFormat/>
    <w:uiPriority w:val="0"/>
    <w:pPr>
      <w:spacing w:line="360" w:lineRule="auto"/>
      <w:ind w:firstLine="480" w:firstLineChars="200"/>
    </w:pPr>
    <w:rPr>
      <w:rFonts w:ascii="Calibri" w:hAnsi="宋体" w:eastAsia="仿宋_GB2312" w:cs="宋体"/>
      <w:color w:val="000000"/>
      <w:sz w:val="24"/>
      <w:szCs w:val="20"/>
    </w:rPr>
  </w:style>
  <w:style w:type="paragraph" w:customStyle="1" w:styleId="1970">
    <w:name w:val="样式 行距: 固定值 23 磅"/>
    <w:basedOn w:val="6"/>
    <w:semiHidden/>
    <w:qFormat/>
    <w:uiPriority w:val="0"/>
    <w:pPr>
      <w:tabs>
        <w:tab w:val="clear" w:pos="1008"/>
      </w:tabs>
      <w:spacing w:afterLines="100" w:line="460" w:lineRule="exact"/>
      <w:ind w:left="0" w:firstLine="0"/>
    </w:pPr>
    <w:rPr>
      <w:rFonts w:ascii="Calibri" w:hAnsi="Calibri" w:cs="宋体"/>
      <w:b/>
      <w:sz w:val="24"/>
      <w:szCs w:val="20"/>
    </w:rPr>
  </w:style>
  <w:style w:type="paragraph" w:customStyle="1" w:styleId="1971">
    <w:name w:val="样式 行距: 最小值 20 磅"/>
    <w:basedOn w:val="1"/>
    <w:next w:val="33"/>
    <w:semiHidden/>
    <w:qFormat/>
    <w:uiPriority w:val="0"/>
    <w:pPr>
      <w:adjustRightInd w:val="0"/>
      <w:spacing w:line="400" w:lineRule="atLeast"/>
      <w:ind w:firstLine="200" w:firstLineChars="200"/>
      <w:jc w:val="left"/>
      <w:textAlignment w:val="baseline"/>
    </w:pPr>
    <w:rPr>
      <w:rFonts w:ascii="Calibri" w:hAnsi="Calibri" w:eastAsia="汉鼎简书宋"/>
      <w:kern w:val="0"/>
      <w:sz w:val="24"/>
      <w:szCs w:val="21"/>
    </w:rPr>
  </w:style>
  <w:style w:type="paragraph" w:customStyle="1" w:styleId="1972">
    <w:name w:val="样式 燕山正文 + 首行缩进:  3.5 字符"/>
    <w:basedOn w:val="1818"/>
    <w:semiHidden/>
    <w:qFormat/>
    <w:uiPriority w:val="0"/>
    <w:pPr>
      <w:tabs>
        <w:tab w:val="clear" w:pos="4680"/>
      </w:tabs>
      <w:ind w:firstLine="520"/>
      <w:jc w:val="both"/>
    </w:pPr>
    <w:rPr>
      <w:rFonts w:ascii="Times New Roman" w:hAnsi="Times New Roman"/>
      <w:b w:val="0"/>
      <w:color w:val="auto"/>
      <w:spacing w:val="10"/>
    </w:rPr>
  </w:style>
  <w:style w:type="paragraph" w:customStyle="1" w:styleId="1973">
    <w:name w:val="样式 燕山正文 + 首行缩进:  3.5 字符1"/>
    <w:basedOn w:val="1818"/>
    <w:semiHidden/>
    <w:qFormat/>
    <w:uiPriority w:val="0"/>
    <w:pPr>
      <w:ind w:firstLine="200"/>
      <w:jc w:val="both"/>
    </w:pPr>
    <w:rPr>
      <w:rFonts w:cs="宋体"/>
      <w:sz w:val="28"/>
      <w:szCs w:val="20"/>
    </w:rPr>
  </w:style>
  <w:style w:type="paragraph" w:customStyle="1" w:styleId="1974">
    <w:name w:val="样式 燕山正文 + 首行缩进:  3.5 字符2"/>
    <w:basedOn w:val="1818"/>
    <w:semiHidden/>
    <w:qFormat/>
    <w:uiPriority w:val="0"/>
    <w:pPr>
      <w:ind w:firstLine="200"/>
      <w:jc w:val="both"/>
    </w:pPr>
    <w:rPr>
      <w:rFonts w:cs="宋体"/>
      <w:sz w:val="28"/>
      <w:szCs w:val="20"/>
    </w:rPr>
  </w:style>
  <w:style w:type="paragraph" w:customStyle="1" w:styleId="1975">
    <w:name w:val="ZW Char"/>
    <w:basedOn w:val="1"/>
    <w:qFormat/>
    <w:uiPriority w:val="0"/>
    <w:pPr>
      <w:spacing w:beforeLines="20"/>
      <w:ind w:firstLine="200" w:firstLineChars="200"/>
    </w:pPr>
    <w:rPr>
      <w:sz w:val="24"/>
    </w:rPr>
  </w:style>
  <w:style w:type="paragraph" w:customStyle="1" w:styleId="1976">
    <w:name w:val="样式 样式 ＠正文 + 首行缩进:  2 字符 + 首行缩进:  2 字符"/>
    <w:basedOn w:val="1"/>
    <w:semiHidden/>
    <w:qFormat/>
    <w:uiPriority w:val="0"/>
    <w:pPr>
      <w:spacing w:line="360" w:lineRule="auto"/>
      <w:ind w:firstLine="560" w:firstLineChars="200"/>
    </w:pPr>
    <w:rPr>
      <w:rFonts w:ascii="仿宋_GB2312" w:hAnsi="宋体" w:eastAsia="仿宋_GB2312" w:cs="宋体"/>
      <w:color w:val="000000"/>
      <w:kern w:val="0"/>
      <w:sz w:val="28"/>
      <w:szCs w:val="28"/>
    </w:rPr>
  </w:style>
  <w:style w:type="paragraph" w:customStyle="1" w:styleId="1977">
    <w:name w:val="样式 样式 5 + 首行缩进:  2 字符 + 首行缩进:  2 字符"/>
    <w:basedOn w:val="1"/>
    <w:semiHidden/>
    <w:qFormat/>
    <w:uiPriority w:val="0"/>
    <w:pPr>
      <w:ind w:firstLine="352" w:firstLineChars="200"/>
    </w:pPr>
    <w:rPr>
      <w:rFonts w:ascii="楷体_GB2312" w:hAnsi="宋体" w:eastAsia="楷体_GB2312" w:cs="宋体"/>
      <w:spacing w:val="-2"/>
      <w:sz w:val="18"/>
      <w:szCs w:val="20"/>
    </w:rPr>
  </w:style>
  <w:style w:type="paragraph" w:customStyle="1" w:styleId="1978">
    <w:name w:val="样式 样式 标题 1 + 首行缩进:  2 字符 + 首行缩进:  2 字符"/>
    <w:basedOn w:val="1852"/>
    <w:semiHidden/>
    <w:qFormat/>
    <w:uiPriority w:val="0"/>
    <w:pPr>
      <w:ind w:firstLine="0" w:firstLineChars="0"/>
    </w:pPr>
  </w:style>
  <w:style w:type="paragraph" w:customStyle="1" w:styleId="1979">
    <w:name w:val="默认段落字体 Para Char Char Char Char Char Char Char Char Char Char Char Char1 Char Char"/>
    <w:basedOn w:val="1"/>
    <w:qFormat/>
    <w:uiPriority w:val="0"/>
    <w:pPr>
      <w:snapToGrid w:val="0"/>
      <w:spacing w:line="360" w:lineRule="auto"/>
      <w:ind w:firstLine="200" w:firstLineChars="200"/>
    </w:pPr>
    <w:rPr>
      <w:rFonts w:eastAsia="仿宋_GB2312"/>
      <w:sz w:val="24"/>
    </w:rPr>
  </w:style>
  <w:style w:type="paragraph" w:customStyle="1" w:styleId="1980">
    <w:name w:val="样式 样式 标题 3Char条标题1.1.1BSH-3h33rd levelH3l3CT二级节名heading 3... +"/>
    <w:basedOn w:val="1"/>
    <w:semiHidden/>
    <w:qFormat/>
    <w:uiPriority w:val="0"/>
    <w:pPr>
      <w:keepNext/>
      <w:keepLines/>
      <w:spacing w:before="260" w:after="260" w:line="360" w:lineRule="auto"/>
      <w:outlineLvl w:val="2"/>
    </w:pPr>
    <w:rPr>
      <w:rFonts w:ascii="Calibri" w:hAnsi="Calibri"/>
      <w:b/>
      <w:bCs/>
      <w:color w:val="000000"/>
      <w:kern w:val="0"/>
      <w:sz w:val="28"/>
      <w:szCs w:val="32"/>
    </w:rPr>
  </w:style>
  <w:style w:type="paragraph" w:customStyle="1" w:styleId="1981">
    <w:name w:val="样式 样式 表头 + 两端对齐 段后: 0 磅 行距: 1.5 倍行距 + Arial"/>
    <w:basedOn w:val="767"/>
    <w:semiHidden/>
    <w:qFormat/>
    <w:uiPriority w:val="0"/>
    <w:rPr>
      <w:rFonts w:ascii="Arial" w:hAnsi="Arial" w:cs="宋体"/>
      <w:szCs w:val="28"/>
    </w:rPr>
  </w:style>
  <w:style w:type="paragraph" w:customStyle="1" w:styleId="1982">
    <w:name w:val="样式 样式 方正宋三简体 14 磅 行距: 1.5 倍行距1 + 首行缩进:  2 字符"/>
    <w:basedOn w:val="1"/>
    <w:semiHidden/>
    <w:uiPriority w:val="0"/>
    <w:pPr>
      <w:ind w:firstLine="200" w:firstLineChars="200"/>
    </w:pPr>
    <w:rPr>
      <w:rFonts w:ascii="宋体" w:hAnsi="方正宋三简体" w:cs="宋体"/>
      <w:sz w:val="27"/>
      <w:szCs w:val="27"/>
    </w:rPr>
  </w:style>
  <w:style w:type="paragraph" w:customStyle="1" w:styleId="1983">
    <w:name w:val="样式 样式 首行缩进:  0.75 厘米 + 首行缩进:  2 字符"/>
    <w:basedOn w:val="1921"/>
    <w:semiHidden/>
    <w:qFormat/>
    <w:uiPriority w:val="0"/>
    <w:pPr>
      <w:ind w:left="851" w:firstLine="200" w:firstLineChars="200"/>
    </w:pPr>
    <w:rPr>
      <w:rFonts w:ascii="Arial" w:hAnsi="Arial"/>
    </w:rPr>
  </w:style>
  <w:style w:type="paragraph" w:customStyle="1" w:styleId="1984">
    <w:name w:val="样式 样式 首行缩进:  2 字符 + (符号) 宋体"/>
    <w:basedOn w:val="1"/>
    <w:semiHidden/>
    <w:qFormat/>
    <w:uiPriority w:val="0"/>
    <w:pPr>
      <w:keepNext/>
      <w:keepLines/>
      <w:topLinePunct/>
      <w:spacing w:line="360" w:lineRule="auto"/>
      <w:ind w:firstLine="480" w:firstLineChars="200"/>
      <w:outlineLvl w:val="1"/>
    </w:pPr>
    <w:rPr>
      <w:rFonts w:ascii="Arial" w:hAnsi="Arial" w:cs="宋体"/>
      <w:sz w:val="24"/>
      <w:szCs w:val="21"/>
    </w:rPr>
  </w:style>
  <w:style w:type="paragraph" w:customStyle="1" w:styleId="1985">
    <w:name w:val="样式 样式 宋体 小四 黑色 行距: 1.5 倍行距 + Times New Roman"/>
    <w:basedOn w:val="1"/>
    <w:semiHidden/>
    <w:qFormat/>
    <w:uiPriority w:val="0"/>
    <w:pPr>
      <w:keepNext/>
      <w:spacing w:line="360" w:lineRule="auto"/>
      <w:ind w:firstLine="200" w:firstLineChars="200"/>
    </w:pPr>
    <w:rPr>
      <w:rFonts w:ascii="Calibri" w:hAnsi="Calibri"/>
      <w:szCs w:val="21"/>
    </w:rPr>
  </w:style>
  <w:style w:type="paragraph" w:customStyle="1" w:styleId="1986">
    <w:name w:val="样式 样式 宋体 小四 黑色 行距: 固定值 24 磅 + 首行缩进:  2 字符"/>
    <w:basedOn w:val="1"/>
    <w:semiHidden/>
    <w:qFormat/>
    <w:uiPriority w:val="0"/>
    <w:pPr>
      <w:keepNext/>
      <w:spacing w:line="480" w:lineRule="exact"/>
      <w:ind w:firstLine="480" w:firstLineChars="200"/>
    </w:pPr>
    <w:rPr>
      <w:rFonts w:ascii="Calibri" w:hAnsi="Calibri" w:cs="宋体"/>
      <w:color w:val="000000"/>
      <w:sz w:val="24"/>
      <w:szCs w:val="20"/>
    </w:rPr>
  </w:style>
  <w:style w:type="paragraph" w:customStyle="1" w:styleId="1987">
    <w:name w:val="样式 样式 宋体 小四 行距: 多倍行距 1.4 字行 + 首行缩进:  2 字符"/>
    <w:basedOn w:val="1"/>
    <w:semiHidden/>
    <w:qFormat/>
    <w:uiPriority w:val="0"/>
    <w:pPr>
      <w:spacing w:line="360" w:lineRule="auto"/>
      <w:ind w:firstLine="200" w:firstLineChars="200"/>
    </w:pPr>
    <w:rPr>
      <w:rFonts w:ascii="宋体" w:hAnsi="宋体"/>
      <w:kern w:val="28"/>
      <w:sz w:val="28"/>
      <w:szCs w:val="20"/>
    </w:rPr>
  </w:style>
  <w:style w:type="paragraph" w:customStyle="1" w:styleId="1988">
    <w:name w:val="样式 样式 突出 + 首行缩进:  2 字符 段前: 0.5 行 + 首行缩进:  2 字符"/>
    <w:basedOn w:val="1"/>
    <w:semiHidden/>
    <w:qFormat/>
    <w:uiPriority w:val="0"/>
    <w:pPr>
      <w:spacing w:beforeLines="50" w:line="360" w:lineRule="auto"/>
      <w:ind w:firstLine="200" w:firstLineChars="200"/>
    </w:pPr>
    <w:rPr>
      <w:rFonts w:ascii="宋体" w:hAnsi="宋体" w:cs="宋体"/>
      <w:b/>
      <w:bCs/>
      <w:sz w:val="28"/>
      <w:szCs w:val="20"/>
    </w:rPr>
  </w:style>
  <w:style w:type="paragraph" w:customStyle="1" w:styleId="1989">
    <w:name w:val="样式 样式 小四 + 首行缩进:  2 字符"/>
    <w:basedOn w:val="1"/>
    <w:semiHidden/>
    <w:uiPriority w:val="0"/>
    <w:pPr>
      <w:keepNext/>
      <w:spacing w:line="360" w:lineRule="auto"/>
      <w:ind w:firstLine="480" w:firstLineChars="200"/>
    </w:pPr>
    <w:rPr>
      <w:rFonts w:ascii="Calibri" w:hAnsi="Calibri"/>
      <w:sz w:val="24"/>
      <w:szCs w:val="20"/>
    </w:rPr>
  </w:style>
  <w:style w:type="paragraph" w:customStyle="1" w:styleId="1990">
    <w:name w:val="样式 样式 样式 目录2 + 左侧:  -2 字符 + 左侧:  2 字符 + 左侧:  2 字符"/>
    <w:basedOn w:val="1"/>
    <w:semiHidden/>
    <w:qFormat/>
    <w:uiPriority w:val="0"/>
    <w:pPr>
      <w:adjustRightInd w:val="0"/>
      <w:snapToGrid w:val="0"/>
      <w:spacing w:line="300" w:lineRule="auto"/>
      <w:ind w:left="200" w:leftChars="200"/>
      <w:jc w:val="distribute"/>
    </w:pPr>
    <w:rPr>
      <w:rFonts w:ascii="宋体" w:hAnsi="宋体" w:cs="宋体"/>
      <w:szCs w:val="20"/>
    </w:rPr>
  </w:style>
  <w:style w:type="paragraph" w:customStyle="1" w:styleId="1991">
    <w:name w:val="样式 样式 样式 首行缩进:  0.85 厘米 + 段前: 0.5 行 段后: 0.5 行 + 首行缩进:  2 字符"/>
    <w:basedOn w:val="1"/>
    <w:semiHidden/>
    <w:qFormat/>
    <w:uiPriority w:val="0"/>
    <w:pPr>
      <w:spacing w:beforeLines="50" w:afterLines="50" w:line="360" w:lineRule="auto"/>
      <w:ind w:firstLine="200" w:firstLineChars="200"/>
      <w:jc w:val="left"/>
    </w:pPr>
    <w:rPr>
      <w:rFonts w:ascii="Calibri" w:hAnsi="Calibri" w:cs="宋体"/>
      <w:kern w:val="0"/>
      <w:sz w:val="24"/>
      <w:szCs w:val="20"/>
    </w:rPr>
  </w:style>
  <w:style w:type="paragraph" w:customStyle="1" w:styleId="1992">
    <w:name w:val="样式 样式 样式 首行缩进:  2 字符 + 首行缩进:  2 字符 + 首行缩进:  2 字符"/>
    <w:basedOn w:val="350"/>
    <w:semiHidden/>
    <w:qFormat/>
    <w:uiPriority w:val="0"/>
    <w:pPr>
      <w:keepNext w:val="0"/>
      <w:spacing w:line="240" w:lineRule="auto"/>
      <w:ind w:firstLine="567"/>
    </w:pPr>
    <w:rPr>
      <w:rFonts w:ascii="宋体" w:hAnsi="Calibri" w:cs="Times New Roman"/>
      <w:sz w:val="27"/>
    </w:rPr>
  </w:style>
  <w:style w:type="paragraph" w:customStyle="1" w:styleId="1993">
    <w:name w:val="样式 样式 样式 小四 行距: 1.5 倍行距 + 首行缩进:  2 字符 + 黑色1"/>
    <w:basedOn w:val="1"/>
    <w:semiHidden/>
    <w:qFormat/>
    <w:uiPriority w:val="0"/>
    <w:pPr>
      <w:keepNext/>
      <w:spacing w:line="500" w:lineRule="exact"/>
      <w:ind w:firstLine="200" w:firstLineChars="200"/>
    </w:pPr>
    <w:rPr>
      <w:rFonts w:ascii="Calibri" w:hAnsi="Calibri"/>
      <w:color w:val="000000"/>
      <w:sz w:val="24"/>
      <w:szCs w:val="20"/>
    </w:rPr>
  </w:style>
  <w:style w:type="paragraph" w:customStyle="1" w:styleId="1994">
    <w:name w:val="样式 样式 样式 样式 纯文本 + Times New Roman + 首行缩进:  2 字符 + 首行缩进:  2 字符 + ..."/>
    <w:basedOn w:val="1"/>
    <w:semiHidden/>
    <w:qFormat/>
    <w:uiPriority w:val="0"/>
    <w:pPr>
      <w:adjustRightInd w:val="0"/>
      <w:spacing w:line="360" w:lineRule="auto"/>
      <w:ind w:firstLine="482" w:firstLineChars="200"/>
    </w:pPr>
    <w:rPr>
      <w:rFonts w:ascii="Arial" w:hAnsi="Arial"/>
      <w:bCs/>
      <w:sz w:val="24"/>
      <w:szCs w:val="20"/>
    </w:rPr>
  </w:style>
  <w:style w:type="paragraph" w:customStyle="1" w:styleId="1995">
    <w:name w:val="样式 样式 样式 样式 正文(首行缩进) + 首行缩进:  2 字符 + 首行缩进:  2 字符 + (符号) 宋体 首行缩进:..."/>
    <w:basedOn w:val="1"/>
    <w:semiHidden/>
    <w:uiPriority w:val="0"/>
    <w:pPr>
      <w:keepNext/>
      <w:tabs>
        <w:tab w:val="left" w:pos="42"/>
        <w:tab w:val="left" w:pos="4584"/>
      </w:tabs>
      <w:adjustRightInd w:val="0"/>
      <w:snapToGrid w:val="0"/>
      <w:spacing w:line="360" w:lineRule="auto"/>
      <w:ind w:firstLine="200" w:firstLineChars="200"/>
      <w:jc w:val="left"/>
    </w:pPr>
    <w:rPr>
      <w:rFonts w:ascii="Calibri" w:hAnsi="宋体"/>
      <w:kern w:val="0"/>
      <w:sz w:val="24"/>
      <w:szCs w:val="20"/>
    </w:rPr>
  </w:style>
  <w:style w:type="paragraph" w:customStyle="1" w:styleId="1996">
    <w:name w:val="样式 样式 正文首行缩进 + 首行缩进:  2 字符 + 首行缩进:  2 字符"/>
    <w:basedOn w:val="1"/>
    <w:semiHidden/>
    <w:qFormat/>
    <w:uiPriority w:val="0"/>
    <w:pPr>
      <w:topLinePunct/>
      <w:adjustRightInd w:val="0"/>
      <w:snapToGrid w:val="0"/>
      <w:spacing w:line="360" w:lineRule="auto"/>
      <w:ind w:firstLine="480"/>
      <w:textAlignment w:val="baseline"/>
    </w:pPr>
    <w:rPr>
      <w:rFonts w:ascii="Calibri" w:hAnsi="宋体" w:eastAsia="Times New Roman"/>
      <w:kern w:val="0"/>
      <w:sz w:val="24"/>
      <w:szCs w:val="20"/>
    </w:rPr>
  </w:style>
  <w:style w:type="paragraph" w:customStyle="1" w:styleId="1997">
    <w:name w:val="样式 样式 左侧:  1.5 厘米1 + 首行缩进:  2 字符"/>
    <w:basedOn w:val="1"/>
    <w:semiHidden/>
    <w:qFormat/>
    <w:uiPriority w:val="0"/>
    <w:pPr>
      <w:tabs>
        <w:tab w:val="left" w:pos="1280"/>
      </w:tabs>
      <w:spacing w:after="120" w:line="440" w:lineRule="exact"/>
      <w:ind w:left="1280"/>
    </w:pPr>
    <w:rPr>
      <w:rFonts w:ascii="Arial" w:hAnsi="Arial"/>
      <w:kern w:val="0"/>
      <w:sz w:val="24"/>
      <w:szCs w:val="20"/>
    </w:rPr>
  </w:style>
  <w:style w:type="paragraph" w:customStyle="1" w:styleId="1998">
    <w:name w:val="样式 样式1 + 黑色"/>
    <w:basedOn w:val="1"/>
    <w:semiHidden/>
    <w:qFormat/>
    <w:uiPriority w:val="0"/>
    <w:pPr>
      <w:tabs>
        <w:tab w:val="left" w:pos="840"/>
      </w:tabs>
      <w:spacing w:beforeLines="220" w:afterLines="100" w:line="480" w:lineRule="exact"/>
      <w:ind w:firstLine="480" w:firstLineChars="200"/>
    </w:pPr>
    <w:rPr>
      <w:rFonts w:ascii="Calibri" w:hAnsi="Calibri"/>
      <w:color w:val="000000"/>
      <w:sz w:val="24"/>
      <w:szCs w:val="21"/>
    </w:rPr>
  </w:style>
  <w:style w:type="paragraph" w:customStyle="1" w:styleId="1999">
    <w:name w:val="样式 样式2 + 段前: 6 磅 行距: 单倍行距2"/>
    <w:basedOn w:val="1"/>
    <w:semiHidden/>
    <w:qFormat/>
    <w:uiPriority w:val="0"/>
    <w:pPr>
      <w:autoSpaceDE w:val="0"/>
      <w:autoSpaceDN w:val="0"/>
      <w:adjustRightInd w:val="0"/>
      <w:snapToGrid w:val="0"/>
      <w:spacing w:before="120"/>
      <w:jc w:val="center"/>
      <w:textAlignment w:val="baseline"/>
    </w:pPr>
    <w:rPr>
      <w:rFonts w:ascii="Calibri" w:hAnsi="Calibri" w:eastAsia="黑体"/>
      <w:spacing w:val="-16"/>
      <w:kern w:val="0"/>
      <w:szCs w:val="21"/>
    </w:rPr>
  </w:style>
  <w:style w:type="paragraph" w:customStyle="1" w:styleId="2000">
    <w:name w:val="样式 样式3 + (符号) 宋体 首行缩进:  2 字符"/>
    <w:basedOn w:val="1"/>
    <w:semiHidden/>
    <w:qFormat/>
    <w:uiPriority w:val="0"/>
    <w:pPr>
      <w:adjustRightInd w:val="0"/>
      <w:snapToGrid w:val="0"/>
      <w:spacing w:line="700" w:lineRule="exact"/>
      <w:ind w:firstLine="480" w:firstLineChars="200"/>
      <w:jc w:val="left"/>
    </w:pPr>
    <w:rPr>
      <w:rFonts w:ascii="Calibri" w:hAnsi="宋体" w:cs="宋体"/>
      <w:sz w:val="28"/>
      <w:szCs w:val="22"/>
    </w:rPr>
  </w:style>
  <w:style w:type="paragraph" w:customStyle="1" w:styleId="2001">
    <w:name w:val="样式 样式3 + (中文) 宋体"/>
    <w:basedOn w:val="1"/>
    <w:semiHidden/>
    <w:qFormat/>
    <w:uiPriority w:val="0"/>
    <w:pPr>
      <w:spacing w:line="360" w:lineRule="auto"/>
      <w:outlineLvl w:val="2"/>
    </w:pPr>
    <w:rPr>
      <w:rFonts w:ascii="黑体" w:hAnsi="Calibri"/>
      <w:color w:val="000000"/>
      <w:szCs w:val="21"/>
    </w:rPr>
  </w:style>
  <w:style w:type="paragraph" w:customStyle="1" w:styleId="2002">
    <w:name w:val="样式 样式3 + 首行缩进:  2 字符1"/>
    <w:basedOn w:val="1"/>
    <w:semiHidden/>
    <w:qFormat/>
    <w:uiPriority w:val="0"/>
    <w:pPr>
      <w:spacing w:line="620" w:lineRule="exact"/>
      <w:ind w:firstLine="200" w:firstLineChars="200"/>
    </w:pPr>
    <w:rPr>
      <w:rFonts w:ascii="Calibri" w:hAnsi="Calibri" w:cs="宋体"/>
      <w:sz w:val="28"/>
      <w:szCs w:val="20"/>
    </w:rPr>
  </w:style>
  <w:style w:type="paragraph" w:customStyle="1" w:styleId="2003">
    <w:name w:val="样式 样式3（代正文） + 首行缩进:  2 字符 行距: 1.5 倍行距"/>
    <w:basedOn w:val="1"/>
    <w:semiHidden/>
    <w:qFormat/>
    <w:uiPriority w:val="0"/>
    <w:pPr>
      <w:adjustRightInd w:val="0"/>
      <w:snapToGrid w:val="0"/>
      <w:spacing w:line="360" w:lineRule="auto"/>
      <w:ind w:firstLine="480" w:firstLineChars="200"/>
      <w:jc w:val="left"/>
    </w:pPr>
    <w:rPr>
      <w:rFonts w:ascii="Calibri" w:hAnsi="Calibri"/>
      <w:color w:val="FF0000"/>
      <w:sz w:val="24"/>
      <w:szCs w:val="21"/>
    </w:rPr>
  </w:style>
  <w:style w:type="paragraph" w:customStyle="1" w:styleId="2004">
    <w:name w:val="样式 样式4 + 段前: 0.5 行 段后: 0.5 行"/>
    <w:basedOn w:val="1"/>
    <w:semiHidden/>
    <w:qFormat/>
    <w:uiPriority w:val="0"/>
    <w:pPr>
      <w:tabs>
        <w:tab w:val="left" w:pos="987"/>
        <w:tab w:val="left" w:pos="1086"/>
      </w:tabs>
      <w:adjustRightInd w:val="0"/>
      <w:snapToGrid w:val="0"/>
      <w:spacing w:beforeLines="20" w:afterLines="20" w:line="360" w:lineRule="auto"/>
      <w:ind w:left="1088" w:hanging="578"/>
      <w:jc w:val="left"/>
      <w:outlineLvl w:val="1"/>
    </w:pPr>
    <w:rPr>
      <w:rFonts w:ascii="Calibri" w:hAnsi="Calibri" w:eastAsia="黑体" w:cs="宋体"/>
      <w:b/>
      <w:bCs/>
      <w:sz w:val="24"/>
      <w:szCs w:val="20"/>
    </w:rPr>
  </w:style>
  <w:style w:type="paragraph" w:customStyle="1" w:styleId="2005">
    <w:name w:val="样式 样式7 + 图案: 20%"/>
    <w:basedOn w:val="1"/>
    <w:semiHidden/>
    <w:qFormat/>
    <w:uiPriority w:val="0"/>
    <w:pPr>
      <w:jc w:val="center"/>
    </w:pPr>
    <w:rPr>
      <w:rFonts w:ascii="Arial" w:hAnsi="Arial" w:eastAsia="仿宋_GB2312" w:cs="宋体"/>
      <w:sz w:val="28"/>
      <w:szCs w:val="20"/>
    </w:rPr>
  </w:style>
  <w:style w:type="paragraph" w:customStyle="1" w:styleId="2006">
    <w:name w:val="样式 样式表 + 首行缩进:  0.9 厘米"/>
    <w:basedOn w:val="1"/>
    <w:semiHidden/>
    <w:qFormat/>
    <w:uiPriority w:val="0"/>
    <w:pPr>
      <w:widowControl/>
      <w:spacing w:beforeLines="50" w:afterLines="50"/>
      <w:jc w:val="center"/>
    </w:pPr>
    <w:rPr>
      <w:rFonts w:ascii="Calibri" w:hAnsi="Calibri" w:eastAsia="黑体"/>
      <w:color w:val="000000"/>
      <w:kern w:val="0"/>
      <w:sz w:val="24"/>
      <w:szCs w:val="20"/>
    </w:rPr>
  </w:style>
  <w:style w:type="paragraph" w:customStyle="1" w:styleId="2007">
    <w:name w:val="样式 样式表格"/>
    <w:basedOn w:val="1"/>
    <w:semiHidden/>
    <w:qFormat/>
    <w:uiPriority w:val="0"/>
    <w:pPr>
      <w:widowControl/>
      <w:spacing w:line="360" w:lineRule="auto"/>
      <w:ind w:firstLine="420" w:firstLineChars="200"/>
      <w:jc w:val="center"/>
    </w:pPr>
    <w:rPr>
      <w:rFonts w:ascii="Calibri" w:hAnsi="Calibri" w:cs="宋体"/>
      <w:color w:val="000000"/>
      <w:kern w:val="0"/>
      <w:sz w:val="24"/>
      <w:szCs w:val="20"/>
    </w:rPr>
  </w:style>
  <w:style w:type="paragraph" w:customStyle="1" w:styleId="2008">
    <w:name w:val="样式 样式表格 +"/>
    <w:basedOn w:val="1"/>
    <w:semiHidden/>
    <w:qFormat/>
    <w:uiPriority w:val="0"/>
    <w:pPr>
      <w:widowControl/>
      <w:spacing w:line="360" w:lineRule="auto"/>
      <w:ind w:firstLine="420" w:firstLineChars="200"/>
      <w:jc w:val="left"/>
    </w:pPr>
    <w:rPr>
      <w:rFonts w:ascii="Calibri" w:hAnsi="Calibri" w:cs="宋体"/>
      <w:color w:val="000000"/>
      <w:kern w:val="0"/>
      <w:sz w:val="24"/>
      <w:szCs w:val="20"/>
    </w:rPr>
  </w:style>
  <w:style w:type="paragraph" w:customStyle="1" w:styleId="2009">
    <w:name w:val="样式 样式表格 + 居中"/>
    <w:basedOn w:val="1"/>
    <w:semiHidden/>
    <w:qFormat/>
    <w:uiPriority w:val="0"/>
    <w:pPr>
      <w:widowControl/>
      <w:spacing w:line="360" w:lineRule="auto"/>
      <w:ind w:firstLine="420" w:firstLineChars="200"/>
      <w:jc w:val="center"/>
    </w:pPr>
    <w:rPr>
      <w:rFonts w:ascii="Calibri" w:hAnsi="Calibri" w:cs="宋体"/>
      <w:color w:val="000000"/>
      <w:kern w:val="0"/>
      <w:sz w:val="24"/>
      <w:szCs w:val="20"/>
    </w:rPr>
  </w:style>
  <w:style w:type="paragraph" w:customStyle="1" w:styleId="2010">
    <w:name w:val="样式 样式表格 + 首行缩进:  0.85 厘米"/>
    <w:basedOn w:val="1"/>
    <w:semiHidden/>
    <w:uiPriority w:val="0"/>
    <w:pPr>
      <w:widowControl/>
      <w:spacing w:line="360" w:lineRule="auto"/>
      <w:ind w:firstLine="420" w:firstLineChars="200"/>
    </w:pPr>
    <w:rPr>
      <w:rFonts w:ascii="Calibri" w:hAnsi="Calibri" w:cs="宋体"/>
      <w:color w:val="000000"/>
      <w:kern w:val="0"/>
      <w:sz w:val="24"/>
      <w:szCs w:val="20"/>
    </w:rPr>
  </w:style>
  <w:style w:type="paragraph" w:customStyle="1" w:styleId="2011">
    <w:name w:val="样式 样式表格 + 首行缩进:  2 字符"/>
    <w:basedOn w:val="1"/>
    <w:semiHidden/>
    <w:qFormat/>
    <w:uiPriority w:val="0"/>
    <w:pPr>
      <w:widowControl/>
      <w:spacing w:line="360" w:lineRule="auto"/>
      <w:ind w:firstLine="420" w:firstLineChars="200"/>
    </w:pPr>
    <w:rPr>
      <w:rFonts w:ascii="Calibri" w:hAnsi="Calibri" w:cs="宋体"/>
      <w:color w:val="000000"/>
      <w:sz w:val="24"/>
      <w:szCs w:val="20"/>
    </w:rPr>
  </w:style>
  <w:style w:type="paragraph" w:customStyle="1" w:styleId="2012">
    <w:name w:val="样式 样式表格 + 宋体"/>
    <w:basedOn w:val="1"/>
    <w:semiHidden/>
    <w:qFormat/>
    <w:uiPriority w:val="0"/>
    <w:pPr>
      <w:widowControl/>
      <w:spacing w:line="360" w:lineRule="auto"/>
      <w:ind w:firstLine="420" w:firstLineChars="200"/>
    </w:pPr>
    <w:rPr>
      <w:rFonts w:ascii="宋体" w:hAnsi="宋体" w:cs="宋体"/>
      <w:color w:val="000000"/>
      <w:kern w:val="0"/>
      <w:sz w:val="24"/>
      <w:szCs w:val="20"/>
    </w:rPr>
  </w:style>
  <w:style w:type="paragraph" w:customStyle="1" w:styleId="2013">
    <w:name w:val="样式 一号 加粗 居中 行距: 固定值 36 磅"/>
    <w:basedOn w:val="1"/>
    <w:semiHidden/>
    <w:qFormat/>
    <w:uiPriority w:val="0"/>
    <w:pPr>
      <w:spacing w:line="720" w:lineRule="exact"/>
      <w:jc w:val="center"/>
    </w:pPr>
    <w:rPr>
      <w:rFonts w:ascii="Calibri" w:hAnsi="Calibri" w:eastAsia="汉鼎简书宋" w:cs="宋体"/>
      <w:b/>
      <w:bCs/>
      <w:kern w:val="0"/>
      <w:sz w:val="48"/>
      <w:szCs w:val="48"/>
    </w:rPr>
  </w:style>
  <w:style w:type="paragraph" w:customStyle="1" w:styleId="2014">
    <w:name w:val="样式 正文 + 首行缩进:  2 字符 + 宋体 四号 首行缩进:  2 字符"/>
    <w:basedOn w:val="1"/>
    <w:semiHidden/>
    <w:uiPriority w:val="0"/>
    <w:pPr>
      <w:spacing w:line="480" w:lineRule="exact"/>
      <w:ind w:firstLine="200" w:firstLineChars="200"/>
    </w:pPr>
    <w:rPr>
      <w:rFonts w:ascii="宋体" w:hAnsi="宋体"/>
      <w:sz w:val="28"/>
      <w:szCs w:val="20"/>
    </w:rPr>
  </w:style>
  <w:style w:type="paragraph" w:customStyle="1" w:styleId="2015">
    <w:name w:val="样式 正文 + 左侧:  0 厘米 悬挂缩进: 2 字符"/>
    <w:basedOn w:val="1"/>
    <w:semiHidden/>
    <w:qFormat/>
    <w:uiPriority w:val="0"/>
    <w:pPr>
      <w:widowControl/>
      <w:spacing w:after="120" w:line="440" w:lineRule="exact"/>
      <w:ind w:left="851" w:firstLine="200" w:firstLineChars="200"/>
      <w:jc w:val="left"/>
    </w:pPr>
    <w:rPr>
      <w:rFonts w:ascii="Arial" w:hAnsi="Arial"/>
      <w:kern w:val="0"/>
      <w:sz w:val="24"/>
      <w:szCs w:val="21"/>
    </w:rPr>
  </w:style>
  <w:style w:type="paragraph" w:customStyle="1" w:styleId="2016">
    <w:name w:val="样式 正文（首行缩进两字） + Times New Roman 首行缩进:  2 字符"/>
    <w:basedOn w:val="20"/>
    <w:semiHidden/>
    <w:qFormat/>
    <w:uiPriority w:val="0"/>
    <w:pPr>
      <w:adjustRightInd/>
      <w:ind w:firstLine="480" w:firstLineChars="200"/>
      <w:jc w:val="both"/>
      <w:textAlignment w:val="auto"/>
    </w:pPr>
    <w:rPr>
      <w:rFonts w:hAnsi="Calibri"/>
      <w:kern w:val="2"/>
      <w:sz w:val="21"/>
      <w:szCs w:val="21"/>
    </w:rPr>
  </w:style>
  <w:style w:type="paragraph" w:customStyle="1" w:styleId="2017">
    <w:name w:val="样式 正文1 + 段前: 0.1 行"/>
    <w:basedOn w:val="1"/>
    <w:semiHidden/>
    <w:qFormat/>
    <w:uiPriority w:val="0"/>
    <w:pPr>
      <w:snapToGrid w:val="0"/>
      <w:spacing w:beforeLines="10" w:line="440" w:lineRule="atLeast"/>
      <w:ind w:firstLine="567"/>
    </w:pPr>
    <w:rPr>
      <w:rFonts w:ascii="Calibri" w:hAnsi="Calibri"/>
      <w:sz w:val="24"/>
      <w:szCs w:val="20"/>
    </w:rPr>
  </w:style>
  <w:style w:type="paragraph" w:customStyle="1" w:styleId="2018">
    <w:name w:val="样式 正文首行缩进 + 首行缩进:  0 字符"/>
    <w:basedOn w:val="85"/>
    <w:semiHidden/>
    <w:qFormat/>
    <w:uiPriority w:val="0"/>
    <w:pPr>
      <w:adjustRightInd w:val="0"/>
      <w:snapToGrid w:val="0"/>
      <w:spacing w:afterLines="100"/>
      <w:ind w:firstLine="567" w:firstLineChars="0"/>
    </w:pPr>
    <w:rPr>
      <w:rFonts w:ascii="黑体" w:hAnsi="宋体" w:eastAsia="黑体"/>
      <w:kern w:val="32"/>
    </w:rPr>
  </w:style>
  <w:style w:type="paragraph" w:customStyle="1" w:styleId="2019">
    <w:name w:val="样式 正文缩进d + 首行缩进:  2 字符 段前: 0.35 行"/>
    <w:basedOn w:val="20"/>
    <w:semiHidden/>
    <w:qFormat/>
    <w:uiPriority w:val="0"/>
    <w:pPr>
      <w:snapToGrid w:val="0"/>
      <w:spacing w:beforeLines="35" w:line="460" w:lineRule="exact"/>
      <w:ind w:firstLine="560" w:firstLineChars="200"/>
      <w:jc w:val="both"/>
    </w:pPr>
    <w:rPr>
      <w:rFonts w:ascii="Calibri" w:hAnsi="Calibri" w:eastAsia="楷体_GB2312" w:cs="宋体"/>
      <w:snapToGrid w:val="0"/>
      <w:sz w:val="28"/>
    </w:rPr>
  </w:style>
  <w:style w:type="paragraph" w:customStyle="1" w:styleId="2020">
    <w:name w:val="样式 正文缩进标题2±êÌâ2正文缩进1文本条款正文（首行缩进两字） Char表正文正文非缩进段1四号缩进..."/>
    <w:basedOn w:val="20"/>
    <w:semiHidden/>
    <w:qFormat/>
    <w:uiPriority w:val="0"/>
    <w:pPr>
      <w:spacing w:line="300" w:lineRule="auto"/>
      <w:ind w:firstLine="567"/>
      <w:jc w:val="both"/>
      <w:textAlignment w:val="auto"/>
    </w:pPr>
    <w:rPr>
      <w:rFonts w:ascii="Arial" w:hAnsi="Arial"/>
      <w:color w:val="FF0000"/>
      <w:sz w:val="28"/>
    </w:rPr>
  </w:style>
  <w:style w:type="paragraph" w:customStyle="1" w:styleId="2021">
    <w:name w:val="样式 正文文本 + 小三"/>
    <w:basedOn w:val="33"/>
    <w:semiHidden/>
    <w:qFormat/>
    <w:uiPriority w:val="0"/>
    <w:pPr>
      <w:spacing w:after="0" w:line="360" w:lineRule="auto"/>
      <w:ind w:firstLine="200" w:firstLineChars="200"/>
    </w:pPr>
    <w:rPr>
      <w:rFonts w:ascii="宋体" w:hAnsi="宋体"/>
      <w:snapToGrid w:val="0"/>
      <w:kern w:val="0"/>
      <w:sz w:val="30"/>
    </w:rPr>
  </w:style>
  <w:style w:type="paragraph" w:customStyle="1" w:styleId="2022">
    <w:name w:val="样式 正文文本 + 小四 首行缩进:  0.85 厘米 段前: 12 磅 行距: 1.5 倍行距"/>
    <w:basedOn w:val="33"/>
    <w:semiHidden/>
    <w:qFormat/>
    <w:uiPriority w:val="0"/>
    <w:pPr>
      <w:spacing w:before="240" w:after="0" w:line="360" w:lineRule="auto"/>
      <w:ind w:firstLine="482"/>
    </w:pPr>
    <w:rPr>
      <w:rFonts w:ascii="Calibri" w:hAnsi="Calibri" w:cs="宋体"/>
      <w:sz w:val="24"/>
      <w:szCs w:val="20"/>
    </w:rPr>
  </w:style>
  <w:style w:type="paragraph" w:customStyle="1" w:styleId="2023">
    <w:name w:val="样式 正文文本缩进 2 + 二号 加粗 黑色 左侧:  0 厘米"/>
    <w:basedOn w:val="50"/>
    <w:semiHidden/>
    <w:qFormat/>
    <w:uiPriority w:val="0"/>
    <w:pPr>
      <w:keepNext/>
      <w:adjustRightInd w:val="0"/>
      <w:snapToGrid w:val="0"/>
      <w:spacing w:after="0" w:line="520" w:lineRule="exact"/>
      <w:ind w:left="0" w:leftChars="0" w:firstLine="200" w:firstLineChars="200"/>
      <w:jc w:val="left"/>
    </w:pPr>
    <w:rPr>
      <w:rFonts w:ascii="Calibri" w:hAnsi="Calibri" w:cs="宋体"/>
      <w:bCs/>
      <w:color w:val="000000"/>
    </w:rPr>
  </w:style>
  <w:style w:type="paragraph" w:customStyle="1" w:styleId="2024">
    <w:name w:val="样式 左侧:  0.85 厘米 首行缩进:  0 字符"/>
    <w:basedOn w:val="1"/>
    <w:semiHidden/>
    <w:qFormat/>
    <w:uiPriority w:val="0"/>
    <w:pPr>
      <w:topLinePunct/>
      <w:spacing w:line="529" w:lineRule="exact"/>
      <w:ind w:left="480"/>
    </w:pPr>
    <w:rPr>
      <w:rFonts w:ascii="Calibri" w:hAnsi="Calibri" w:eastAsia="汉鼎简书宋" w:cs="宋体"/>
      <w:sz w:val="24"/>
      <w:szCs w:val="20"/>
    </w:rPr>
  </w:style>
  <w:style w:type="paragraph" w:customStyle="1" w:styleId="2025">
    <w:name w:val="样式 左侧:  1.5 厘米"/>
    <w:basedOn w:val="1"/>
    <w:semiHidden/>
    <w:qFormat/>
    <w:uiPriority w:val="0"/>
    <w:pPr>
      <w:spacing w:after="120" w:line="440" w:lineRule="exact"/>
      <w:ind w:left="851"/>
    </w:pPr>
    <w:rPr>
      <w:rFonts w:ascii="Arial" w:hAnsi="Arial"/>
      <w:kern w:val="0"/>
      <w:sz w:val="24"/>
      <w:szCs w:val="20"/>
    </w:rPr>
  </w:style>
  <w:style w:type="paragraph" w:customStyle="1" w:styleId="2026">
    <w:name w:val="样式 左侧:  1.5 厘米 首行缩进:  0 厘米"/>
    <w:basedOn w:val="1"/>
    <w:semiHidden/>
    <w:qFormat/>
    <w:uiPriority w:val="0"/>
    <w:pPr>
      <w:spacing w:after="120" w:line="440" w:lineRule="exact"/>
      <w:ind w:left="851"/>
    </w:pPr>
    <w:rPr>
      <w:rFonts w:ascii="Arial" w:hAnsi="Arial"/>
      <w:kern w:val="0"/>
      <w:sz w:val="24"/>
      <w:szCs w:val="20"/>
    </w:rPr>
  </w:style>
  <w:style w:type="paragraph" w:customStyle="1" w:styleId="2027">
    <w:name w:val="样式1（代章）"/>
    <w:basedOn w:val="1"/>
    <w:semiHidden/>
    <w:qFormat/>
    <w:uiPriority w:val="0"/>
    <w:pPr>
      <w:spacing w:beforeLines="50" w:afterLines="50" w:line="360" w:lineRule="auto"/>
      <w:ind w:firstLine="480" w:firstLineChars="200"/>
      <w:jc w:val="left"/>
    </w:pPr>
    <w:rPr>
      <w:rFonts w:ascii="宋体" w:hAnsi="宋体"/>
      <w:sz w:val="24"/>
      <w:szCs w:val="21"/>
    </w:rPr>
  </w:style>
  <w:style w:type="paragraph" w:customStyle="1" w:styleId="2028">
    <w:name w:val="样式10"/>
    <w:basedOn w:val="44"/>
    <w:semiHidden/>
    <w:qFormat/>
    <w:uiPriority w:val="0"/>
    <w:pPr>
      <w:topLinePunct/>
      <w:spacing w:line="500" w:lineRule="exact"/>
    </w:pPr>
    <w:rPr>
      <w:rFonts w:ascii="宋体" w:hAnsi="Courier New" w:eastAsia="汉鼎简书宋" w:cs="Times New Roman"/>
      <w:b/>
      <w:sz w:val="28"/>
      <w:szCs w:val="20"/>
    </w:rPr>
  </w:style>
  <w:style w:type="paragraph" w:customStyle="1" w:styleId="2029">
    <w:name w:val="样式11"/>
    <w:basedOn w:val="44"/>
    <w:semiHidden/>
    <w:qFormat/>
    <w:uiPriority w:val="0"/>
    <w:pPr>
      <w:adjustRightInd w:val="0"/>
      <w:snapToGrid w:val="0"/>
      <w:spacing w:line="500" w:lineRule="exact"/>
      <w:jc w:val="center"/>
    </w:pPr>
    <w:rPr>
      <w:rFonts w:ascii="黑体" w:hAnsi="Courier New" w:eastAsia="黑体" w:cs="黑体"/>
      <w:b/>
      <w:bCs/>
      <w:sz w:val="32"/>
      <w:szCs w:val="32"/>
    </w:rPr>
  </w:style>
  <w:style w:type="paragraph" w:customStyle="1" w:styleId="2030">
    <w:name w:val="样式12"/>
    <w:basedOn w:val="1"/>
    <w:semiHidden/>
    <w:qFormat/>
    <w:uiPriority w:val="0"/>
    <w:pPr>
      <w:adjustRightInd w:val="0"/>
      <w:snapToGrid w:val="0"/>
      <w:spacing w:line="320" w:lineRule="exact"/>
      <w:jc w:val="center"/>
    </w:pPr>
    <w:rPr>
      <w:rFonts w:ascii="宋体" w:hAnsi="宋体"/>
      <w:szCs w:val="21"/>
    </w:rPr>
  </w:style>
  <w:style w:type="paragraph" w:customStyle="1" w:styleId="2031">
    <w:name w:val="样式13"/>
    <w:basedOn w:val="1"/>
    <w:semiHidden/>
    <w:qFormat/>
    <w:uiPriority w:val="0"/>
    <w:pPr>
      <w:spacing w:line="360" w:lineRule="auto"/>
    </w:pPr>
    <w:rPr>
      <w:rFonts w:ascii="宋体" w:hAnsi="宋体" w:eastAsia="Times New Roman"/>
      <w:b/>
      <w:bCs/>
      <w:sz w:val="24"/>
      <w:szCs w:val="21"/>
    </w:rPr>
  </w:style>
  <w:style w:type="paragraph" w:customStyle="1" w:styleId="2032">
    <w:name w:val="样式14"/>
    <w:basedOn w:val="3"/>
    <w:semiHidden/>
    <w:qFormat/>
    <w:uiPriority w:val="0"/>
    <w:rPr>
      <w:rFonts w:ascii="Calibri" w:hAnsi="Calibri" w:eastAsia="宋体"/>
      <w:sz w:val="30"/>
    </w:rPr>
  </w:style>
  <w:style w:type="paragraph" w:customStyle="1" w:styleId="2033">
    <w:name w:val="样式16"/>
    <w:basedOn w:val="364"/>
    <w:semiHidden/>
    <w:qFormat/>
    <w:uiPriority w:val="0"/>
    <w:rPr>
      <w:rFonts w:ascii="Calibri" w:hAnsi="Calibri"/>
      <w:spacing w:val="-4"/>
    </w:rPr>
  </w:style>
  <w:style w:type="paragraph" w:customStyle="1" w:styleId="2034">
    <w:name w:val="样式18"/>
    <w:basedOn w:val="4"/>
    <w:semiHidden/>
    <w:qFormat/>
    <w:uiPriority w:val="0"/>
    <w:rPr>
      <w:rFonts w:ascii="Calibri" w:hAnsi="Calibri"/>
      <w:sz w:val="28"/>
      <w:szCs w:val="28"/>
    </w:rPr>
  </w:style>
  <w:style w:type="paragraph" w:customStyle="1" w:styleId="2035">
    <w:name w:val="样式19"/>
    <w:basedOn w:val="1"/>
    <w:semiHidden/>
    <w:qFormat/>
    <w:uiPriority w:val="0"/>
    <w:pPr>
      <w:spacing w:beforeLines="50" w:line="560" w:lineRule="atLeast"/>
      <w:ind w:firstLine="480" w:firstLineChars="200"/>
    </w:pPr>
    <w:rPr>
      <w:rFonts w:ascii="Calibri" w:hAnsi="Calibri"/>
      <w:sz w:val="24"/>
      <w:szCs w:val="21"/>
    </w:rPr>
  </w:style>
  <w:style w:type="paragraph" w:customStyle="1" w:styleId="2036">
    <w:name w:val="样式1－表头"/>
    <w:basedOn w:val="1"/>
    <w:semiHidden/>
    <w:qFormat/>
    <w:uiPriority w:val="0"/>
    <w:pPr>
      <w:adjustRightInd w:val="0"/>
      <w:snapToGrid w:val="0"/>
      <w:spacing w:beforeLines="50" w:afterLines="50" w:line="336" w:lineRule="auto"/>
      <w:jc w:val="center"/>
    </w:pPr>
    <w:rPr>
      <w:rFonts w:ascii="Calibri" w:hAnsi="Calibri" w:eastAsia="黑体"/>
      <w:spacing w:val="6"/>
      <w:sz w:val="24"/>
      <w:szCs w:val="20"/>
    </w:rPr>
  </w:style>
  <w:style w:type="paragraph" w:customStyle="1" w:styleId="2037">
    <w:name w:val="样式1－王鹏"/>
    <w:basedOn w:val="1"/>
    <w:semiHidden/>
    <w:qFormat/>
    <w:uiPriority w:val="0"/>
    <w:pPr>
      <w:adjustRightInd w:val="0"/>
      <w:snapToGrid w:val="0"/>
      <w:spacing w:beforeLines="50" w:afterLines="50" w:line="360" w:lineRule="auto"/>
      <w:ind w:firstLine="627" w:firstLineChars="249"/>
    </w:pPr>
    <w:rPr>
      <w:rFonts w:ascii="宋体" w:hAnsi="宋体" w:cs="Arial"/>
      <w:bCs/>
      <w:spacing w:val="6"/>
      <w:sz w:val="24"/>
      <w:szCs w:val="20"/>
    </w:rPr>
  </w:style>
  <w:style w:type="paragraph" w:customStyle="1" w:styleId="2038">
    <w:name w:val="样式2(代节)"/>
    <w:semiHidden/>
    <w:qFormat/>
    <w:uiPriority w:val="0"/>
    <w:pPr>
      <w:widowControl w:val="0"/>
      <w:spacing w:beforeLines="120" w:afterLines="100"/>
      <w:jc w:val="center"/>
      <w:outlineLvl w:val="1"/>
    </w:pPr>
    <w:rPr>
      <w:rFonts w:ascii="黑体" w:hAnsi="宋体" w:eastAsia="黑体" w:cs="Times New Roman"/>
      <w:kern w:val="2"/>
      <w:sz w:val="30"/>
      <w:szCs w:val="36"/>
      <w:lang w:val="en-US" w:eastAsia="zh-CN" w:bidi="ar-SA"/>
    </w:rPr>
  </w:style>
  <w:style w:type="paragraph" w:customStyle="1" w:styleId="2039">
    <w:name w:val="样式20"/>
    <w:basedOn w:val="1"/>
    <w:semiHidden/>
    <w:qFormat/>
    <w:uiPriority w:val="0"/>
    <w:rPr>
      <w:rFonts w:ascii="黑体" w:hAnsi="黑体" w:eastAsia="黑体"/>
      <w:sz w:val="28"/>
      <w:szCs w:val="21"/>
    </w:rPr>
  </w:style>
  <w:style w:type="paragraph" w:customStyle="1" w:styleId="2040">
    <w:name w:val="样式21"/>
    <w:basedOn w:val="1"/>
    <w:semiHidden/>
    <w:qFormat/>
    <w:uiPriority w:val="0"/>
    <w:pPr>
      <w:outlineLvl w:val="0"/>
    </w:pPr>
    <w:rPr>
      <w:rFonts w:ascii="黑体" w:hAnsi="黑体" w:eastAsia="黑体"/>
      <w:sz w:val="28"/>
      <w:szCs w:val="21"/>
    </w:rPr>
  </w:style>
  <w:style w:type="paragraph" w:customStyle="1" w:styleId="2041">
    <w:name w:val="样式22"/>
    <w:basedOn w:val="1"/>
    <w:semiHidden/>
    <w:qFormat/>
    <w:uiPriority w:val="0"/>
    <w:pPr>
      <w:outlineLvl w:val="0"/>
    </w:pPr>
    <w:rPr>
      <w:rFonts w:ascii="黑体" w:hAnsi="黑体" w:eastAsia="黑体"/>
      <w:color w:val="000000"/>
      <w:sz w:val="30"/>
      <w:szCs w:val="30"/>
    </w:rPr>
  </w:style>
  <w:style w:type="paragraph" w:customStyle="1" w:styleId="2042">
    <w:name w:val="样式23"/>
    <w:basedOn w:val="1"/>
    <w:semiHidden/>
    <w:qFormat/>
    <w:uiPriority w:val="0"/>
    <w:pPr>
      <w:spacing w:line="500" w:lineRule="exact"/>
      <w:ind w:firstLine="480" w:firstLineChars="200"/>
    </w:pPr>
    <w:rPr>
      <w:rFonts w:ascii="Calibri" w:hAnsi="Calibri"/>
      <w:sz w:val="24"/>
      <w:szCs w:val="21"/>
    </w:rPr>
  </w:style>
  <w:style w:type="paragraph" w:customStyle="1" w:styleId="2043">
    <w:name w:val="样式25"/>
    <w:basedOn w:val="1"/>
    <w:semiHidden/>
    <w:qFormat/>
    <w:uiPriority w:val="0"/>
    <w:pPr>
      <w:outlineLvl w:val="0"/>
    </w:pPr>
    <w:rPr>
      <w:rFonts w:ascii="黑体" w:hAnsi="黑体" w:eastAsia="黑体"/>
      <w:color w:val="000000"/>
      <w:spacing w:val="-2"/>
      <w:sz w:val="30"/>
      <w:szCs w:val="30"/>
    </w:rPr>
  </w:style>
  <w:style w:type="paragraph" w:customStyle="1" w:styleId="2044">
    <w:name w:val="样式26"/>
    <w:basedOn w:val="1"/>
    <w:semiHidden/>
    <w:qFormat/>
    <w:uiPriority w:val="0"/>
    <w:pPr>
      <w:outlineLvl w:val="0"/>
    </w:pPr>
    <w:rPr>
      <w:rFonts w:ascii="黑体" w:hAnsi="黑体" w:eastAsia="黑体"/>
      <w:sz w:val="28"/>
      <w:szCs w:val="21"/>
    </w:rPr>
  </w:style>
  <w:style w:type="paragraph" w:customStyle="1" w:styleId="2045">
    <w:name w:val="样式27"/>
    <w:basedOn w:val="1"/>
    <w:semiHidden/>
    <w:qFormat/>
    <w:uiPriority w:val="0"/>
    <w:pPr>
      <w:outlineLvl w:val="0"/>
    </w:pPr>
    <w:rPr>
      <w:rFonts w:ascii="黑体" w:hAnsi="黑体" w:eastAsia="黑体"/>
      <w:sz w:val="28"/>
      <w:szCs w:val="21"/>
    </w:rPr>
  </w:style>
  <w:style w:type="paragraph" w:customStyle="1" w:styleId="2046">
    <w:name w:val="样式28"/>
    <w:basedOn w:val="1"/>
    <w:semiHidden/>
    <w:uiPriority w:val="0"/>
    <w:pPr>
      <w:outlineLvl w:val="0"/>
    </w:pPr>
    <w:rPr>
      <w:rFonts w:ascii="黑体" w:hAnsi="黑体" w:eastAsia="黑体"/>
      <w:color w:val="000000"/>
      <w:sz w:val="30"/>
      <w:szCs w:val="30"/>
    </w:rPr>
  </w:style>
  <w:style w:type="paragraph" w:customStyle="1" w:styleId="2047">
    <w:name w:val="样式29"/>
    <w:basedOn w:val="1"/>
    <w:semiHidden/>
    <w:qFormat/>
    <w:uiPriority w:val="0"/>
    <w:rPr>
      <w:rFonts w:ascii="黑体" w:hAnsi="黑体" w:eastAsia="黑体"/>
      <w:sz w:val="28"/>
      <w:szCs w:val="21"/>
    </w:rPr>
  </w:style>
  <w:style w:type="paragraph" w:customStyle="1" w:styleId="2048">
    <w:name w:val="样式2－王鹏"/>
    <w:basedOn w:val="1"/>
    <w:semiHidden/>
    <w:qFormat/>
    <w:uiPriority w:val="0"/>
    <w:pPr>
      <w:autoSpaceDE w:val="0"/>
      <w:autoSpaceDN w:val="0"/>
      <w:adjustRightInd w:val="0"/>
      <w:snapToGrid w:val="0"/>
      <w:spacing w:line="300" w:lineRule="auto"/>
      <w:jc w:val="center"/>
      <w:textAlignment w:val="baseline"/>
    </w:pPr>
    <w:rPr>
      <w:rFonts w:ascii="宋体" w:hAnsi="宋体"/>
      <w:snapToGrid w:val="0"/>
      <w:kern w:val="0"/>
      <w:szCs w:val="21"/>
    </w:rPr>
  </w:style>
  <w:style w:type="paragraph" w:customStyle="1" w:styleId="2049">
    <w:name w:val="样式3(代文)"/>
    <w:basedOn w:val="1"/>
    <w:semiHidden/>
    <w:qFormat/>
    <w:uiPriority w:val="0"/>
    <w:pPr>
      <w:spacing w:line="360" w:lineRule="auto"/>
    </w:pPr>
    <w:rPr>
      <w:rFonts w:ascii="Calibri" w:hAnsi="Calibri"/>
      <w:b/>
      <w:sz w:val="24"/>
      <w:szCs w:val="21"/>
    </w:rPr>
  </w:style>
  <w:style w:type="paragraph" w:customStyle="1" w:styleId="2050">
    <w:name w:val="样式3(代正文)"/>
    <w:basedOn w:val="1"/>
    <w:semiHidden/>
    <w:qFormat/>
    <w:uiPriority w:val="0"/>
    <w:pPr>
      <w:spacing w:line="360" w:lineRule="auto"/>
      <w:ind w:firstLine="538" w:firstLineChars="224"/>
    </w:pPr>
    <w:rPr>
      <w:rFonts w:ascii="宋体" w:hAnsi="宋体"/>
      <w:bCs/>
      <w:sz w:val="24"/>
      <w:szCs w:val="21"/>
    </w:rPr>
  </w:style>
  <w:style w:type="paragraph" w:customStyle="1" w:styleId="2051">
    <w:name w:val="样式30"/>
    <w:basedOn w:val="1"/>
    <w:semiHidden/>
    <w:qFormat/>
    <w:uiPriority w:val="0"/>
    <w:rPr>
      <w:rFonts w:ascii="黑体" w:hAnsi="黑体" w:eastAsia="黑体"/>
      <w:sz w:val="28"/>
      <w:szCs w:val="28"/>
    </w:rPr>
  </w:style>
  <w:style w:type="paragraph" w:customStyle="1" w:styleId="2052">
    <w:name w:val="样式31"/>
    <w:basedOn w:val="1"/>
    <w:semiHidden/>
    <w:qFormat/>
    <w:uiPriority w:val="0"/>
    <w:rPr>
      <w:rFonts w:ascii="黑体" w:hAnsi="黑体" w:eastAsia="黑体"/>
      <w:sz w:val="30"/>
      <w:szCs w:val="30"/>
    </w:rPr>
  </w:style>
  <w:style w:type="paragraph" w:customStyle="1" w:styleId="2053">
    <w:name w:val="样式32"/>
    <w:basedOn w:val="1"/>
    <w:semiHidden/>
    <w:qFormat/>
    <w:uiPriority w:val="0"/>
    <w:pPr>
      <w:outlineLvl w:val="0"/>
    </w:pPr>
    <w:rPr>
      <w:rFonts w:ascii="黑体" w:hAnsi="黑体" w:eastAsia="黑体"/>
      <w:color w:val="000000"/>
      <w:sz w:val="30"/>
      <w:szCs w:val="30"/>
    </w:rPr>
  </w:style>
  <w:style w:type="paragraph" w:customStyle="1" w:styleId="2054">
    <w:name w:val="样式33"/>
    <w:basedOn w:val="1"/>
    <w:semiHidden/>
    <w:qFormat/>
    <w:uiPriority w:val="0"/>
    <w:rPr>
      <w:rFonts w:ascii="黑体" w:hAnsi="黑体" w:eastAsia="黑体"/>
      <w:sz w:val="28"/>
      <w:szCs w:val="21"/>
    </w:rPr>
  </w:style>
  <w:style w:type="paragraph" w:customStyle="1" w:styleId="2055">
    <w:name w:val="样式34"/>
    <w:basedOn w:val="1"/>
    <w:semiHidden/>
    <w:qFormat/>
    <w:uiPriority w:val="0"/>
    <w:pPr>
      <w:outlineLvl w:val="0"/>
    </w:pPr>
    <w:rPr>
      <w:rFonts w:ascii="黑体" w:hAnsi="黑体" w:eastAsia="黑体"/>
      <w:sz w:val="28"/>
      <w:szCs w:val="21"/>
    </w:rPr>
  </w:style>
  <w:style w:type="paragraph" w:customStyle="1" w:styleId="2056">
    <w:name w:val="样式35"/>
    <w:basedOn w:val="1"/>
    <w:semiHidden/>
    <w:qFormat/>
    <w:uiPriority w:val="0"/>
    <w:pPr>
      <w:outlineLvl w:val="0"/>
    </w:pPr>
    <w:rPr>
      <w:rFonts w:ascii="黑体" w:hAnsi="黑体" w:eastAsia="黑体"/>
      <w:sz w:val="28"/>
      <w:szCs w:val="21"/>
    </w:rPr>
  </w:style>
  <w:style w:type="paragraph" w:customStyle="1" w:styleId="2057">
    <w:name w:val="样式36"/>
    <w:basedOn w:val="1"/>
    <w:semiHidden/>
    <w:qFormat/>
    <w:uiPriority w:val="0"/>
    <w:pPr>
      <w:outlineLvl w:val="0"/>
    </w:pPr>
    <w:rPr>
      <w:rFonts w:ascii="黑体" w:hAnsi="黑体" w:eastAsia="黑体"/>
      <w:sz w:val="28"/>
      <w:szCs w:val="21"/>
    </w:rPr>
  </w:style>
  <w:style w:type="paragraph" w:customStyle="1" w:styleId="2058">
    <w:name w:val="样式37"/>
    <w:basedOn w:val="1"/>
    <w:semiHidden/>
    <w:qFormat/>
    <w:uiPriority w:val="0"/>
    <w:pPr>
      <w:outlineLvl w:val="0"/>
    </w:pPr>
    <w:rPr>
      <w:rFonts w:ascii="黑体" w:hAnsi="黑体" w:eastAsia="黑体"/>
      <w:sz w:val="30"/>
      <w:szCs w:val="30"/>
    </w:rPr>
  </w:style>
  <w:style w:type="paragraph" w:customStyle="1" w:styleId="2059">
    <w:name w:val="样式38"/>
    <w:basedOn w:val="1"/>
    <w:semiHidden/>
    <w:qFormat/>
    <w:uiPriority w:val="0"/>
    <w:rPr>
      <w:rFonts w:ascii="黑体" w:hAnsi="黑体" w:eastAsia="黑体"/>
      <w:sz w:val="28"/>
      <w:szCs w:val="21"/>
    </w:rPr>
  </w:style>
  <w:style w:type="paragraph" w:customStyle="1" w:styleId="2060">
    <w:name w:val="样式39"/>
    <w:basedOn w:val="1"/>
    <w:semiHidden/>
    <w:qFormat/>
    <w:uiPriority w:val="0"/>
    <w:pPr>
      <w:outlineLvl w:val="0"/>
    </w:pPr>
    <w:rPr>
      <w:rFonts w:ascii="黑体" w:hAnsi="黑体" w:eastAsia="黑体"/>
      <w:sz w:val="28"/>
      <w:szCs w:val="21"/>
    </w:rPr>
  </w:style>
  <w:style w:type="paragraph" w:customStyle="1" w:styleId="2061">
    <w:name w:val="样式3wf"/>
    <w:basedOn w:val="863"/>
    <w:semiHidden/>
    <w:qFormat/>
    <w:uiPriority w:val="0"/>
    <w:pPr>
      <w:keepNext w:val="0"/>
      <w:keepLines w:val="0"/>
      <w:autoSpaceDE w:val="0"/>
      <w:autoSpaceDN w:val="0"/>
      <w:adjustRightInd w:val="0"/>
      <w:snapToGrid w:val="0"/>
      <w:spacing w:before="120" w:line="240" w:lineRule="auto"/>
      <w:jc w:val="center"/>
      <w:textAlignment w:val="baseline"/>
      <w:outlineLvl w:val="9"/>
    </w:pPr>
    <w:rPr>
      <w:bCs w:val="0"/>
      <w:spacing w:val="8"/>
      <w:kern w:val="0"/>
      <w:sz w:val="21"/>
      <w:szCs w:val="21"/>
    </w:rPr>
  </w:style>
  <w:style w:type="paragraph" w:customStyle="1" w:styleId="2062">
    <w:name w:val="样式4"/>
    <w:basedOn w:val="2"/>
    <w:link w:val="2183"/>
    <w:uiPriority w:val="0"/>
    <w:pPr>
      <w:tabs>
        <w:tab w:val="left" w:pos="360"/>
      </w:tabs>
      <w:spacing w:before="0" w:after="0" w:line="700" w:lineRule="exact"/>
      <w:ind w:left="360" w:hanging="360"/>
    </w:pPr>
    <w:rPr>
      <w:rFonts w:ascii="Calibri" w:hAnsi="宋体"/>
      <w:b w:val="0"/>
      <w:kern w:val="0"/>
      <w:sz w:val="44"/>
      <w:lang w:val="zh-CN"/>
    </w:rPr>
  </w:style>
  <w:style w:type="paragraph" w:customStyle="1" w:styleId="2063">
    <w:name w:val="样式4 + 段前: 0.5 行 段后: 0.5 行1"/>
    <w:basedOn w:val="2062"/>
    <w:semiHidden/>
    <w:qFormat/>
    <w:uiPriority w:val="0"/>
    <w:pPr>
      <w:keepNext w:val="0"/>
      <w:keepLines w:val="0"/>
      <w:tabs>
        <w:tab w:val="left" w:pos="1086"/>
        <w:tab w:val="clear" w:pos="360"/>
      </w:tabs>
      <w:adjustRightInd w:val="0"/>
      <w:snapToGrid w:val="0"/>
      <w:spacing w:line="360" w:lineRule="auto"/>
      <w:ind w:left="1086" w:hanging="576"/>
      <w:jc w:val="left"/>
      <w:outlineLvl w:val="1"/>
    </w:pPr>
    <w:rPr>
      <w:rFonts w:eastAsia="黑体" w:cs="宋体"/>
      <w:b/>
      <w:color w:val="000000"/>
      <w:kern w:val="2"/>
      <w:sz w:val="28"/>
      <w:szCs w:val="20"/>
    </w:rPr>
  </w:style>
  <w:style w:type="paragraph" w:customStyle="1" w:styleId="2064">
    <w:name w:val="样式4 Char Char Char Char Char"/>
    <w:basedOn w:val="1"/>
    <w:semiHidden/>
    <w:qFormat/>
    <w:uiPriority w:val="0"/>
    <w:pPr>
      <w:spacing w:line="360" w:lineRule="auto"/>
      <w:ind w:firstLine="480" w:firstLineChars="200"/>
    </w:pPr>
    <w:rPr>
      <w:rFonts w:ascii="宋体" w:hAnsi="宋体"/>
      <w:color w:val="000000"/>
      <w:sz w:val="24"/>
      <w:szCs w:val="20"/>
    </w:rPr>
  </w:style>
  <w:style w:type="paragraph" w:customStyle="1" w:styleId="2065">
    <w:name w:val="样式40"/>
    <w:basedOn w:val="1"/>
    <w:semiHidden/>
    <w:qFormat/>
    <w:uiPriority w:val="0"/>
    <w:pPr>
      <w:outlineLvl w:val="0"/>
    </w:pPr>
    <w:rPr>
      <w:rFonts w:ascii="黑体" w:hAnsi="黑体" w:eastAsia="黑体"/>
      <w:sz w:val="28"/>
      <w:szCs w:val="21"/>
    </w:rPr>
  </w:style>
  <w:style w:type="paragraph" w:customStyle="1" w:styleId="2066">
    <w:name w:val="样式41"/>
    <w:basedOn w:val="1"/>
    <w:semiHidden/>
    <w:qFormat/>
    <w:uiPriority w:val="0"/>
    <w:rPr>
      <w:rFonts w:ascii="黑体" w:hAnsi="黑体" w:eastAsia="黑体"/>
      <w:sz w:val="28"/>
      <w:szCs w:val="21"/>
    </w:rPr>
  </w:style>
  <w:style w:type="paragraph" w:customStyle="1" w:styleId="2067">
    <w:name w:val="样式42"/>
    <w:basedOn w:val="1"/>
    <w:semiHidden/>
    <w:uiPriority w:val="0"/>
    <w:pPr>
      <w:outlineLvl w:val="0"/>
    </w:pPr>
    <w:rPr>
      <w:rFonts w:ascii="黑体" w:hAnsi="黑体" w:eastAsia="黑体"/>
      <w:sz w:val="28"/>
      <w:szCs w:val="21"/>
    </w:rPr>
  </w:style>
  <w:style w:type="paragraph" w:customStyle="1" w:styleId="2068">
    <w:name w:val="样式43"/>
    <w:basedOn w:val="1"/>
    <w:semiHidden/>
    <w:uiPriority w:val="0"/>
    <w:pPr>
      <w:outlineLvl w:val="0"/>
    </w:pPr>
    <w:rPr>
      <w:rFonts w:ascii="黑体" w:hAnsi="黑体" w:eastAsia="黑体"/>
      <w:sz w:val="28"/>
      <w:szCs w:val="21"/>
    </w:rPr>
  </w:style>
  <w:style w:type="paragraph" w:customStyle="1" w:styleId="2069">
    <w:name w:val="样式5 样式8"/>
    <w:basedOn w:val="1"/>
    <w:semiHidden/>
    <w:qFormat/>
    <w:uiPriority w:val="0"/>
    <w:pPr>
      <w:widowControl/>
      <w:spacing w:before="100" w:beforeAutospacing="1" w:after="100" w:afterAutospacing="1"/>
      <w:jc w:val="left"/>
    </w:pPr>
    <w:rPr>
      <w:rFonts w:ascii="宋体" w:hAnsi="宋体" w:cs="宋体"/>
      <w:kern w:val="0"/>
      <w:sz w:val="24"/>
      <w:szCs w:val="21"/>
    </w:rPr>
  </w:style>
  <w:style w:type="paragraph" w:customStyle="1" w:styleId="2070">
    <w:name w:val="样式6"/>
    <w:basedOn w:val="1846"/>
    <w:link w:val="2190"/>
    <w:qFormat/>
    <w:uiPriority w:val="0"/>
    <w:pPr>
      <w:pBdr>
        <w:bottom w:val="single" w:color="auto" w:sz="12" w:space="1"/>
      </w:pBdr>
      <w:shd w:val="clear" w:color="auto" w:fill="CCCCCC"/>
      <w:tabs>
        <w:tab w:val="center" w:pos="4153"/>
        <w:tab w:val="right" w:pos="8306"/>
        <w:tab w:val="clear" w:pos="360"/>
      </w:tabs>
      <w:autoSpaceDE/>
      <w:autoSpaceDN/>
      <w:spacing w:line="240" w:lineRule="auto"/>
      <w:ind w:left="0" w:firstLine="98" w:firstLineChars="49"/>
      <w:outlineLvl w:val="9"/>
    </w:pPr>
    <w:rPr>
      <w:rFonts w:ascii="楷体" w:hAnsi="楷体" w:eastAsia="楷体" w:cs="Times New Roman"/>
      <w:color w:val="000000"/>
      <w:sz w:val="20"/>
      <w:shd w:val="clear" w:color="auto" w:fill="CCCCCC"/>
    </w:rPr>
  </w:style>
  <w:style w:type="paragraph" w:customStyle="1" w:styleId="2071">
    <w:name w:val="样式6 + 段前: 0.5 行 段后: 0.5 行"/>
    <w:basedOn w:val="2070"/>
    <w:semiHidden/>
    <w:qFormat/>
    <w:uiPriority w:val="0"/>
    <w:pPr>
      <w:keepNext w:val="0"/>
      <w:tabs>
        <w:tab w:val="left" w:pos="1230"/>
        <w:tab w:val="clear" w:pos="4153"/>
        <w:tab w:val="clear" w:pos="8306"/>
      </w:tabs>
      <w:adjustRightInd w:val="0"/>
      <w:snapToGrid w:val="0"/>
      <w:spacing w:beforeLines="50" w:afterLines="50"/>
      <w:ind w:left="1230" w:hanging="720"/>
      <w:jc w:val="left"/>
      <w:outlineLvl w:val="2"/>
    </w:pPr>
    <w:rPr>
      <w:rFonts w:eastAsia="宋体"/>
      <w:kern w:val="2"/>
      <w:sz w:val="24"/>
    </w:rPr>
  </w:style>
  <w:style w:type="paragraph" w:customStyle="1" w:styleId="2072">
    <w:name w:val="样式7"/>
    <w:basedOn w:val="1"/>
    <w:semiHidden/>
    <w:uiPriority w:val="0"/>
    <w:pPr>
      <w:keepNext/>
      <w:keepLines/>
      <w:pageBreakBefore/>
      <w:adjustRightInd w:val="0"/>
      <w:spacing w:before="340" w:after="330" w:line="578" w:lineRule="atLeast"/>
      <w:ind w:firstLine="482"/>
      <w:jc w:val="center"/>
      <w:textAlignment w:val="baseline"/>
      <w:outlineLvl w:val="0"/>
    </w:pPr>
    <w:rPr>
      <w:rFonts w:ascii="黑体" w:hAnsi="宋体"/>
      <w:b/>
      <w:bCs/>
      <w:kern w:val="44"/>
      <w:sz w:val="32"/>
      <w:szCs w:val="28"/>
    </w:rPr>
  </w:style>
  <w:style w:type="paragraph" w:customStyle="1" w:styleId="2073">
    <w:name w:val="样式8"/>
    <w:basedOn w:val="54"/>
    <w:semiHidden/>
    <w:qFormat/>
    <w:uiPriority w:val="0"/>
    <w:pPr>
      <w:keepNext/>
      <w:pBdr>
        <w:top w:val="single" w:color="auto" w:sz="12" w:space="1"/>
      </w:pBdr>
    </w:pPr>
    <w:rPr>
      <w:rFonts w:ascii="楷体_GB2312" w:hAnsi="Calibri" w:eastAsia="楷体_GB2312"/>
      <w:kern w:val="0"/>
      <w:sz w:val="21"/>
      <w:szCs w:val="21"/>
    </w:rPr>
  </w:style>
  <w:style w:type="paragraph" w:customStyle="1" w:styleId="2074">
    <w:name w:val="样式表"/>
    <w:basedOn w:val="21"/>
    <w:semiHidden/>
    <w:qFormat/>
    <w:uiPriority w:val="0"/>
    <w:pPr>
      <w:widowControl/>
      <w:spacing w:beforeLines="50" w:afterLines="50"/>
      <w:jc w:val="center"/>
    </w:pPr>
    <w:rPr>
      <w:rFonts w:ascii="Calibri" w:hAnsi="Calibri" w:cs="Times New Roman"/>
      <w:color w:val="000000"/>
      <w:spacing w:val="0"/>
      <w:kern w:val="0"/>
      <w:sz w:val="24"/>
      <w:szCs w:val="24"/>
    </w:rPr>
  </w:style>
  <w:style w:type="paragraph" w:customStyle="1" w:styleId="2075">
    <w:name w:val="样式表格"/>
    <w:basedOn w:val="1"/>
    <w:semiHidden/>
    <w:qFormat/>
    <w:uiPriority w:val="0"/>
    <w:pPr>
      <w:widowControl/>
      <w:spacing w:line="360" w:lineRule="auto"/>
      <w:ind w:firstLine="420" w:firstLineChars="200"/>
    </w:pPr>
    <w:rPr>
      <w:rFonts w:ascii="Calibri" w:hAnsi="Calibri"/>
      <w:color w:val="000000"/>
      <w:kern w:val="0"/>
      <w:sz w:val="24"/>
      <w:szCs w:val="21"/>
    </w:rPr>
  </w:style>
  <w:style w:type="paragraph" w:customStyle="1" w:styleId="2076">
    <w:name w:val="样式五"/>
    <w:basedOn w:val="1"/>
    <w:semiHidden/>
    <w:qFormat/>
    <w:uiPriority w:val="0"/>
    <w:pPr>
      <w:spacing w:line="360" w:lineRule="auto"/>
      <w:ind w:firstLine="200" w:firstLineChars="200"/>
    </w:pPr>
    <w:rPr>
      <w:rFonts w:ascii="楷体_GB2312" w:hAnsi="Calibri" w:eastAsia="楷体_GB2312"/>
      <w:sz w:val="28"/>
      <w:szCs w:val="28"/>
    </w:rPr>
  </w:style>
  <w:style w:type="paragraph" w:customStyle="1" w:styleId="2077">
    <w:name w:val="样式正文"/>
    <w:basedOn w:val="1"/>
    <w:semiHidden/>
    <w:qFormat/>
    <w:uiPriority w:val="0"/>
    <w:pPr>
      <w:spacing w:line="460" w:lineRule="exact"/>
      <w:ind w:firstLine="480" w:firstLineChars="200"/>
    </w:pPr>
    <w:rPr>
      <w:rFonts w:ascii="Calibri" w:hAnsi="宋体"/>
      <w:color w:val="0000FF"/>
      <w:sz w:val="24"/>
      <w:szCs w:val="20"/>
    </w:rPr>
  </w:style>
  <w:style w:type="paragraph" w:customStyle="1" w:styleId="2078">
    <w:name w:val="页号"/>
    <w:basedOn w:val="54"/>
    <w:semiHidden/>
    <w:qFormat/>
    <w:uiPriority w:val="0"/>
    <w:pPr>
      <w:pBdr>
        <w:top w:val="single" w:color="auto" w:sz="8" w:space="1"/>
      </w:pBdr>
      <w:tabs>
        <w:tab w:val="center" w:pos="4320"/>
        <w:tab w:val="right" w:pos="8640"/>
        <w:tab w:val="clear" w:pos="4153"/>
        <w:tab w:val="clear" w:pos="8306"/>
      </w:tabs>
      <w:adjustRightInd w:val="0"/>
      <w:snapToGrid/>
      <w:jc w:val="center"/>
      <w:textAlignment w:val="baseline"/>
    </w:pPr>
    <w:rPr>
      <w:rFonts w:ascii="宋体" w:hAnsi="Arial"/>
      <w:spacing w:val="3"/>
      <w:kern w:val="24"/>
      <w:sz w:val="24"/>
      <w:szCs w:val="20"/>
    </w:rPr>
  </w:style>
  <w:style w:type="paragraph" w:customStyle="1" w:styleId="2079">
    <w:name w:val="页脚2"/>
    <w:basedOn w:val="1"/>
    <w:semiHidden/>
    <w:qFormat/>
    <w:uiPriority w:val="0"/>
    <w:pPr>
      <w:tabs>
        <w:tab w:val="center" w:pos="4153"/>
        <w:tab w:val="right" w:pos="8306"/>
      </w:tabs>
      <w:adjustRightInd w:val="0"/>
      <w:spacing w:line="240" w:lineRule="atLeast"/>
      <w:jc w:val="left"/>
      <w:textAlignment w:val="baseline"/>
    </w:pPr>
    <w:rPr>
      <w:rFonts w:ascii="宋体" w:hAnsi="Calibri"/>
      <w:sz w:val="18"/>
      <w:szCs w:val="21"/>
    </w:rPr>
  </w:style>
  <w:style w:type="paragraph" w:customStyle="1" w:styleId="2080">
    <w:name w:val="一级"/>
    <w:basedOn w:val="1"/>
    <w:semiHidden/>
    <w:uiPriority w:val="0"/>
    <w:pPr>
      <w:keepNext/>
      <w:keepLines/>
      <w:spacing w:beforeLines="50" w:afterLines="50" w:line="360" w:lineRule="auto"/>
      <w:jc w:val="left"/>
      <w:outlineLvl w:val="0"/>
    </w:pPr>
    <w:rPr>
      <w:rFonts w:ascii="Calibri" w:hAnsi="Calibri" w:eastAsia="黑体" w:cs="宋体"/>
      <w:b/>
      <w:color w:val="000000"/>
      <w:kern w:val="44"/>
      <w:sz w:val="32"/>
      <w:szCs w:val="20"/>
    </w:rPr>
  </w:style>
  <w:style w:type="paragraph" w:customStyle="1" w:styleId="2081">
    <w:name w:val="一级条标题"/>
    <w:basedOn w:val="1"/>
    <w:next w:val="1"/>
    <w:semiHidden/>
    <w:qFormat/>
    <w:uiPriority w:val="0"/>
    <w:pPr>
      <w:widowControl/>
      <w:tabs>
        <w:tab w:val="left" w:pos="1740"/>
      </w:tabs>
      <w:ind w:left="1740" w:hanging="420"/>
      <w:outlineLvl w:val="2"/>
    </w:pPr>
    <w:rPr>
      <w:rFonts w:ascii="黑体" w:hAnsi="Calibri" w:eastAsia="黑体"/>
      <w:kern w:val="0"/>
      <w:szCs w:val="20"/>
    </w:rPr>
  </w:style>
  <w:style w:type="paragraph" w:customStyle="1" w:styleId="2082">
    <w:name w:val="一级无标题条"/>
    <w:basedOn w:val="1"/>
    <w:semiHidden/>
    <w:qFormat/>
    <w:uiPriority w:val="0"/>
    <w:pPr>
      <w:ind w:left="1740" w:hanging="420"/>
    </w:pPr>
    <w:rPr>
      <w:rFonts w:ascii="Calibri" w:hAnsi="Calibri"/>
      <w:szCs w:val="20"/>
    </w:rPr>
  </w:style>
  <w:style w:type="paragraph" w:customStyle="1" w:styleId="2083">
    <w:name w:val="10"/>
    <w:next w:val="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084">
    <w:name w:val="右侧"/>
    <w:semiHidden/>
    <w:uiPriority w:val="0"/>
    <w:pPr>
      <w:spacing w:line="280" w:lineRule="exact"/>
      <w:jc w:val="right"/>
    </w:pPr>
    <w:rPr>
      <w:rFonts w:ascii="Batang" w:hAnsi="Batang" w:eastAsia="宋体" w:cs="Times New Roman"/>
      <w:color w:val="000000"/>
      <w:kern w:val="2"/>
      <w:sz w:val="18"/>
      <w:szCs w:val="21"/>
      <w:lang w:val="en-US" w:eastAsia="zh-CN" w:bidi="ar-SA"/>
    </w:rPr>
  </w:style>
  <w:style w:type="paragraph" w:customStyle="1" w:styleId="2085">
    <w:name w:val="於正文"/>
    <w:basedOn w:val="1"/>
    <w:semiHidden/>
    <w:qFormat/>
    <w:uiPriority w:val="0"/>
    <w:pPr>
      <w:spacing w:line="360" w:lineRule="auto"/>
      <w:ind w:firstLine="200" w:firstLineChars="200"/>
    </w:pPr>
    <w:rPr>
      <w:rFonts w:ascii="仿宋_GB2312" w:hAnsi="仿宋_GB2312" w:eastAsia="仿宋_GB2312"/>
      <w:color w:val="0000FF"/>
      <w:sz w:val="30"/>
      <w:szCs w:val="21"/>
    </w:rPr>
  </w:style>
  <w:style w:type="paragraph" w:customStyle="1" w:styleId="2086">
    <w:name w:val="院名标"/>
    <w:basedOn w:val="44"/>
    <w:semiHidden/>
    <w:uiPriority w:val="0"/>
    <w:pPr>
      <w:ind w:firstLine="560"/>
    </w:pPr>
    <w:rPr>
      <w:rFonts w:ascii="华文仿宋" w:hAnsi="Courier New" w:eastAsia="华文仿宋" w:cs="Times New Roman"/>
      <w:sz w:val="36"/>
      <w:szCs w:val="36"/>
    </w:rPr>
  </w:style>
  <w:style w:type="paragraph" w:customStyle="1" w:styleId="2087">
    <w:name w:val="章标题"/>
    <w:next w:val="5"/>
    <w:semiHidden/>
    <w:qFormat/>
    <w:uiPriority w:val="0"/>
    <w:pPr>
      <w:tabs>
        <w:tab w:val="left" w:pos="903"/>
      </w:tabs>
      <w:spacing w:before="50" w:after="50"/>
      <w:ind w:left="903" w:hanging="315"/>
      <w:jc w:val="both"/>
      <w:outlineLvl w:val="1"/>
    </w:pPr>
    <w:rPr>
      <w:rFonts w:ascii="黑体" w:hAnsi="Calibri" w:eastAsia="黑体" w:cs="Times New Roman"/>
      <w:kern w:val="2"/>
      <w:sz w:val="21"/>
      <w:szCs w:val="21"/>
      <w:lang w:val="en-US" w:eastAsia="zh-CN" w:bidi="ar-SA"/>
    </w:rPr>
  </w:style>
  <w:style w:type="paragraph" w:customStyle="1" w:styleId="2088">
    <w:name w:val="章标题(不加入目录内)"/>
    <w:basedOn w:val="1"/>
    <w:semiHidden/>
    <w:uiPriority w:val="0"/>
    <w:pPr>
      <w:keepLines/>
      <w:pageBreakBefore/>
      <w:spacing w:afterLines="100"/>
    </w:pPr>
    <w:rPr>
      <w:rFonts w:ascii="Calibri" w:hAnsi="Calibri" w:eastAsia="黑体"/>
      <w:bCs/>
      <w:sz w:val="36"/>
      <w:szCs w:val="20"/>
    </w:rPr>
  </w:style>
  <w:style w:type="paragraph" w:customStyle="1" w:styleId="2089">
    <w:name w:val="真正的正文"/>
    <w:basedOn w:val="1"/>
    <w:semiHidden/>
    <w:qFormat/>
    <w:uiPriority w:val="0"/>
    <w:pPr>
      <w:spacing w:line="360" w:lineRule="auto"/>
      <w:ind w:firstLine="560" w:firstLineChars="200"/>
    </w:pPr>
    <w:rPr>
      <w:rFonts w:ascii="Calibri" w:hAnsi="Calibri" w:eastAsia="仿宋_GB2312"/>
      <w:sz w:val="28"/>
      <w:szCs w:val="20"/>
    </w:rPr>
  </w:style>
  <w:style w:type="paragraph" w:customStyle="1" w:styleId="2090">
    <w:name w:val="正"/>
    <w:basedOn w:val="1"/>
    <w:semiHidden/>
    <w:qFormat/>
    <w:uiPriority w:val="0"/>
    <w:pPr>
      <w:spacing w:beforeLines="25" w:afterLines="25" w:line="440" w:lineRule="exact"/>
      <w:ind w:firstLine="200" w:firstLineChars="200"/>
    </w:pPr>
    <w:rPr>
      <w:rFonts w:ascii="Calibri" w:hAnsi="Calibri"/>
      <w:sz w:val="24"/>
      <w:szCs w:val="20"/>
    </w:rPr>
  </w:style>
  <w:style w:type="paragraph" w:customStyle="1" w:styleId="2091">
    <w:name w:val="正5"/>
    <w:basedOn w:val="1"/>
    <w:semiHidden/>
    <w:qFormat/>
    <w:uiPriority w:val="0"/>
    <w:pPr>
      <w:spacing w:line="460" w:lineRule="exact"/>
      <w:ind w:firstLine="200" w:firstLineChars="200"/>
    </w:pPr>
    <w:rPr>
      <w:rFonts w:ascii="宋体" w:hAnsi="Calibri"/>
      <w:color w:val="000000"/>
      <w:sz w:val="24"/>
      <w:szCs w:val="21"/>
    </w:rPr>
  </w:style>
  <w:style w:type="paragraph" w:customStyle="1" w:styleId="2092">
    <w:name w:val="正式"/>
    <w:basedOn w:val="1"/>
    <w:semiHidden/>
    <w:qFormat/>
    <w:uiPriority w:val="0"/>
    <w:pPr>
      <w:spacing w:beforeLines="50" w:afterLines="50" w:line="480" w:lineRule="auto"/>
      <w:ind w:firstLine="200" w:firstLineChars="200"/>
    </w:pPr>
    <w:rPr>
      <w:rFonts w:ascii="Calibri" w:hAnsi="Calibri"/>
      <w:sz w:val="24"/>
      <w:szCs w:val="21"/>
    </w:rPr>
  </w:style>
  <w:style w:type="paragraph" w:customStyle="1" w:styleId="2093">
    <w:name w:val="正式文本"/>
    <w:basedOn w:val="1"/>
    <w:link w:val="2192"/>
    <w:qFormat/>
    <w:uiPriority w:val="0"/>
    <w:pPr>
      <w:spacing w:line="540" w:lineRule="exact"/>
      <w:ind w:firstLine="200" w:firstLineChars="200"/>
    </w:pPr>
    <w:rPr>
      <w:rFonts w:ascii="宋体" w:hAnsi="Arial Narrow"/>
      <w:sz w:val="28"/>
      <w:szCs w:val="21"/>
    </w:rPr>
  </w:style>
  <w:style w:type="paragraph" w:customStyle="1" w:styleId="2094">
    <w:name w:val="正缩1"/>
    <w:basedOn w:val="1"/>
    <w:semiHidden/>
    <w:qFormat/>
    <w:uiPriority w:val="0"/>
    <w:pPr>
      <w:snapToGrid w:val="0"/>
      <w:spacing w:line="500" w:lineRule="exact"/>
      <w:ind w:firstLine="567"/>
    </w:pPr>
    <w:rPr>
      <w:rFonts w:ascii="Calibri" w:hAnsi="Calibri" w:eastAsia="仿宋_GB2312"/>
      <w:snapToGrid w:val="0"/>
      <w:color w:val="000000"/>
      <w:kern w:val="0"/>
      <w:sz w:val="28"/>
      <w:szCs w:val="20"/>
    </w:rPr>
  </w:style>
  <w:style w:type="paragraph" w:customStyle="1" w:styleId="2095">
    <w:name w:val="正文 + (西文) 华文细黑"/>
    <w:basedOn w:val="1"/>
    <w:semiHidden/>
    <w:qFormat/>
    <w:uiPriority w:val="0"/>
    <w:pPr>
      <w:overflowPunct w:val="0"/>
      <w:adjustRightInd w:val="0"/>
      <w:spacing w:line="360" w:lineRule="auto"/>
      <w:jc w:val="center"/>
      <w:textAlignment w:val="baseline"/>
    </w:pPr>
    <w:rPr>
      <w:rFonts w:ascii="华文细黑" w:hAnsi="华文细黑"/>
      <w:b/>
      <w:kern w:val="0"/>
      <w:sz w:val="24"/>
      <w:szCs w:val="21"/>
    </w:rPr>
  </w:style>
  <w:style w:type="paragraph" w:customStyle="1" w:styleId="2096">
    <w:name w:val="正文 + 采用"/>
    <w:basedOn w:val="1"/>
    <w:semiHidden/>
    <w:qFormat/>
    <w:uiPriority w:val="0"/>
    <w:pPr>
      <w:adjustRightInd w:val="0"/>
      <w:snapToGrid w:val="0"/>
      <w:spacing w:line="360" w:lineRule="auto"/>
      <w:ind w:firstLine="480" w:firstLineChars="200"/>
    </w:pPr>
    <w:rPr>
      <w:rFonts w:ascii="Calibri" w:hAnsi="Calibri"/>
      <w:sz w:val="24"/>
      <w:szCs w:val="21"/>
    </w:rPr>
  </w:style>
  <w:style w:type="paragraph" w:customStyle="1" w:styleId="2097">
    <w:name w:val="正文 + 三号"/>
    <w:basedOn w:val="1"/>
    <w:semiHidden/>
    <w:qFormat/>
    <w:uiPriority w:val="0"/>
    <w:pPr>
      <w:ind w:firstLine="630"/>
    </w:pPr>
    <w:rPr>
      <w:rFonts w:ascii="Calibri" w:hAnsi="Calibri"/>
      <w:sz w:val="32"/>
      <w:szCs w:val="20"/>
    </w:rPr>
  </w:style>
  <w:style w:type="paragraph" w:customStyle="1" w:styleId="2098">
    <w:name w:val="正文 + 首行缩进:  2 字符"/>
    <w:basedOn w:val="1"/>
    <w:semiHidden/>
    <w:qFormat/>
    <w:uiPriority w:val="0"/>
    <w:pPr>
      <w:spacing w:line="460" w:lineRule="atLeast"/>
      <w:ind w:firstLine="528" w:firstLineChars="200"/>
    </w:pPr>
    <w:rPr>
      <w:rFonts w:ascii="Calibri" w:hAnsi="Calibri"/>
      <w:spacing w:val="12"/>
      <w:sz w:val="24"/>
      <w:szCs w:val="20"/>
    </w:rPr>
  </w:style>
  <w:style w:type="paragraph" w:customStyle="1" w:styleId="2099">
    <w:name w:val="正文 + 宋体"/>
    <w:basedOn w:val="1"/>
    <w:semiHidden/>
    <w:qFormat/>
    <w:uiPriority w:val="0"/>
    <w:pPr>
      <w:adjustRightInd w:val="0"/>
      <w:spacing w:line="520" w:lineRule="exact"/>
      <w:ind w:firstLine="200" w:firstLineChars="200"/>
      <w:jc w:val="left"/>
      <w:textAlignment w:val="baseline"/>
    </w:pPr>
    <w:rPr>
      <w:rFonts w:ascii="宋体" w:hAnsi="宋体"/>
      <w:kern w:val="0"/>
      <w:sz w:val="24"/>
      <w:szCs w:val="21"/>
    </w:rPr>
  </w:style>
  <w:style w:type="paragraph" w:customStyle="1" w:styleId="2100">
    <w:name w:val="正文 1"/>
    <w:basedOn w:val="1"/>
    <w:semiHidden/>
    <w:qFormat/>
    <w:uiPriority w:val="0"/>
    <w:pPr>
      <w:spacing w:line="480" w:lineRule="exact"/>
      <w:ind w:firstLine="567" w:firstLineChars="200"/>
    </w:pPr>
    <w:rPr>
      <w:rFonts w:ascii="Calibri" w:hAnsi="Calibri"/>
      <w:sz w:val="28"/>
      <w:szCs w:val="21"/>
    </w:rPr>
  </w:style>
  <w:style w:type="paragraph" w:customStyle="1" w:styleId="2101">
    <w:name w:val="正文 New New New New New New New"/>
    <w:semiHidden/>
    <w:qFormat/>
    <w:uiPriority w:val="0"/>
    <w:pPr>
      <w:widowControl w:val="0"/>
      <w:jc w:val="both"/>
    </w:pPr>
    <w:rPr>
      <w:rFonts w:ascii="Calibri" w:hAnsi="Calibri" w:eastAsia="宋体" w:cs="Times New Roman"/>
      <w:kern w:val="2"/>
      <w:sz w:val="21"/>
      <w:szCs w:val="24"/>
      <w:lang w:val="en-US" w:eastAsia="zh-CN" w:bidi="ar-SA"/>
    </w:rPr>
  </w:style>
  <w:style w:type="paragraph" w:customStyle="1" w:styleId="2102">
    <w:name w:val="正文 小丹"/>
    <w:basedOn w:val="85"/>
    <w:semiHidden/>
    <w:qFormat/>
    <w:uiPriority w:val="0"/>
    <w:pPr>
      <w:adjustRightInd w:val="0"/>
      <w:snapToGrid w:val="0"/>
      <w:spacing w:afterLines="100"/>
      <w:textAlignment w:val="baseline"/>
    </w:pPr>
    <w:rPr>
      <w:rFonts w:ascii="宋体" w:hAnsi="宋体" w:eastAsia="汉鼎简书宋"/>
      <w:color w:val="000000"/>
      <w:spacing w:val="6"/>
      <w:kern w:val="0"/>
    </w:rPr>
  </w:style>
  <w:style w:type="paragraph" w:customStyle="1" w:styleId="2103">
    <w:name w:val="正文（首行式样2）"/>
    <w:basedOn w:val="20"/>
    <w:semiHidden/>
    <w:qFormat/>
    <w:uiPriority w:val="0"/>
    <w:pPr>
      <w:adjustRightInd/>
      <w:spacing w:line="540" w:lineRule="exact"/>
      <w:ind w:firstLine="560" w:firstLineChars="200"/>
      <w:jc w:val="both"/>
      <w:textAlignment w:val="auto"/>
    </w:pPr>
    <w:rPr>
      <w:rFonts w:ascii="Calibri" w:hAnsi="Calibri"/>
      <w:kern w:val="2"/>
      <w:sz w:val="28"/>
    </w:rPr>
  </w:style>
  <w:style w:type="paragraph" w:customStyle="1" w:styleId="2104">
    <w:name w:val="正文（首行缩进）"/>
    <w:basedOn w:val="1"/>
    <w:link w:val="2186"/>
    <w:uiPriority w:val="0"/>
    <w:pPr>
      <w:widowControl/>
      <w:adjustRightInd w:val="0"/>
      <w:snapToGrid w:val="0"/>
      <w:spacing w:line="360" w:lineRule="auto"/>
      <w:ind w:firstLine="480" w:firstLineChars="200"/>
      <w:jc w:val="left"/>
    </w:pPr>
    <w:rPr>
      <w:rFonts w:ascii="Calibri" w:hAnsi="Calibri"/>
      <w:color w:val="000000"/>
      <w:sz w:val="24"/>
      <w:szCs w:val="21"/>
    </w:rPr>
  </w:style>
  <w:style w:type="paragraph" w:customStyle="1" w:styleId="2105">
    <w:name w:val="正文(首行缩进)宋旭峰"/>
    <w:basedOn w:val="20"/>
    <w:semiHidden/>
    <w:qFormat/>
    <w:uiPriority w:val="0"/>
    <w:pPr>
      <w:adjustRightInd/>
      <w:spacing w:line="460" w:lineRule="exact"/>
      <w:contextualSpacing/>
      <w:jc w:val="both"/>
      <w:textAlignment w:val="auto"/>
    </w:pPr>
    <w:rPr>
      <w:rFonts w:ascii="Calibri" w:hAnsi="Calibri" w:eastAsia="黑体"/>
      <w:snapToGrid w:val="0"/>
      <w:color w:val="000000"/>
      <w:spacing w:val="16"/>
      <w:szCs w:val="21"/>
    </w:rPr>
  </w:style>
  <w:style w:type="paragraph" w:customStyle="1" w:styleId="2106">
    <w:name w:val="正文（小四）"/>
    <w:basedOn w:val="1"/>
    <w:semiHidden/>
    <w:uiPriority w:val="0"/>
    <w:pPr>
      <w:tabs>
        <w:tab w:val="left" w:pos="720"/>
      </w:tabs>
      <w:spacing w:line="360" w:lineRule="exact"/>
      <w:ind w:firstLine="480"/>
    </w:pPr>
    <w:rPr>
      <w:rFonts w:ascii="宋体" w:hAnsi="宋体"/>
      <w:color w:val="000000"/>
      <w:szCs w:val="28"/>
    </w:rPr>
  </w:style>
  <w:style w:type="paragraph" w:customStyle="1" w:styleId="2107">
    <w:name w:val="正文、"/>
    <w:basedOn w:val="1"/>
    <w:semiHidden/>
    <w:qFormat/>
    <w:uiPriority w:val="0"/>
    <w:pPr>
      <w:spacing w:line="360" w:lineRule="auto"/>
      <w:ind w:firstLine="480" w:firstLineChars="200"/>
    </w:pPr>
    <w:rPr>
      <w:rFonts w:ascii="Calibri" w:hAnsi="Calibri"/>
      <w:sz w:val="24"/>
      <w:szCs w:val="21"/>
    </w:rPr>
  </w:style>
  <w:style w:type="paragraph" w:customStyle="1" w:styleId="2108">
    <w:name w:val="正文++++++++++"/>
    <w:basedOn w:val="1"/>
    <w:semiHidden/>
    <w:qFormat/>
    <w:uiPriority w:val="0"/>
    <w:pPr>
      <w:ind w:firstLine="534" w:firstLineChars="200"/>
    </w:pPr>
    <w:rPr>
      <w:rFonts w:ascii="Calibri" w:hAnsi="Calibri"/>
      <w:sz w:val="24"/>
      <w:szCs w:val="20"/>
    </w:rPr>
  </w:style>
  <w:style w:type="paragraph" w:customStyle="1" w:styleId="2109">
    <w:name w:val="正文0001"/>
    <w:basedOn w:val="1"/>
    <w:semiHidden/>
    <w:uiPriority w:val="0"/>
    <w:pPr>
      <w:spacing w:line="360" w:lineRule="auto"/>
      <w:ind w:firstLine="560" w:firstLineChars="200"/>
    </w:pPr>
    <w:rPr>
      <w:rFonts w:ascii="宋体" w:hAnsi="宋体"/>
      <w:color w:val="000000"/>
      <w:sz w:val="28"/>
      <w:szCs w:val="28"/>
    </w:rPr>
  </w:style>
  <w:style w:type="paragraph" w:customStyle="1" w:styleId="2110">
    <w:name w:val="正文001"/>
    <w:basedOn w:val="1"/>
    <w:semiHidden/>
    <w:qFormat/>
    <w:uiPriority w:val="0"/>
    <w:pPr>
      <w:spacing w:before="60" w:line="360" w:lineRule="auto"/>
      <w:ind w:firstLine="200" w:firstLineChars="200"/>
    </w:pPr>
    <w:rPr>
      <w:rFonts w:ascii="Arial" w:hAnsi="Arial"/>
      <w:sz w:val="24"/>
      <w:szCs w:val="20"/>
    </w:rPr>
  </w:style>
  <w:style w:type="paragraph" w:customStyle="1" w:styleId="2111">
    <w:name w:val="正文21"/>
    <w:basedOn w:val="1"/>
    <w:semiHidden/>
    <w:uiPriority w:val="0"/>
    <w:pPr>
      <w:spacing w:line="360" w:lineRule="auto"/>
      <w:ind w:firstLine="200" w:firstLineChars="200"/>
    </w:pPr>
    <w:rPr>
      <w:rFonts w:ascii="宋体" w:hAnsi="宋体" w:eastAsia="楷体_GB2312"/>
      <w:kern w:val="0"/>
      <w:sz w:val="30"/>
      <w:szCs w:val="21"/>
    </w:rPr>
  </w:style>
  <w:style w:type="paragraph" w:customStyle="1" w:styleId="2112">
    <w:name w:val="正文41"/>
    <w:semiHidden/>
    <w:qFormat/>
    <w:uiPriority w:val="0"/>
    <w:pPr>
      <w:widowControl w:val="0"/>
      <w:adjustRightInd w:val="0"/>
      <w:spacing w:line="360" w:lineRule="atLeast"/>
      <w:textAlignment w:val="baseline"/>
    </w:pPr>
    <w:rPr>
      <w:rFonts w:ascii="宋体" w:hAnsi="Calibri" w:eastAsia="宋体" w:cs="Times New Roman"/>
      <w:kern w:val="2"/>
      <w:sz w:val="24"/>
      <w:szCs w:val="21"/>
      <w:lang w:val="en-US" w:eastAsia="zh-CN" w:bidi="ar-SA"/>
    </w:rPr>
  </w:style>
  <w:style w:type="paragraph" w:customStyle="1" w:styleId="2113">
    <w:name w:val="正文5"/>
    <w:basedOn w:val="1"/>
    <w:semiHidden/>
    <w:uiPriority w:val="0"/>
    <w:pPr>
      <w:spacing w:line="360" w:lineRule="auto"/>
      <w:ind w:left="-1" w:leftChars="-1" w:right="-107" w:rightChars="-51" w:hanging="2" w:hangingChars="1"/>
      <w:jc w:val="center"/>
    </w:pPr>
    <w:rPr>
      <w:rFonts w:ascii="宋体" w:hAnsi="宋体" w:eastAsia="仿宋_GB2312"/>
      <w:szCs w:val="28"/>
    </w:rPr>
  </w:style>
  <w:style w:type="paragraph" w:customStyle="1" w:styleId="2114">
    <w:name w:val="正文7"/>
    <w:semiHidden/>
    <w:uiPriority w:val="0"/>
    <w:pPr>
      <w:widowControl w:val="0"/>
      <w:adjustRightInd w:val="0"/>
      <w:spacing w:line="360" w:lineRule="atLeast"/>
      <w:textAlignment w:val="baseline"/>
    </w:pPr>
    <w:rPr>
      <w:rFonts w:ascii="宋体" w:hAnsi="Calibri" w:eastAsia="宋体" w:cs="Times New Roman"/>
      <w:kern w:val="2"/>
      <w:sz w:val="24"/>
      <w:szCs w:val="21"/>
      <w:lang w:val="en-US" w:eastAsia="zh-CN" w:bidi="ar-SA"/>
    </w:rPr>
  </w:style>
  <w:style w:type="paragraph" w:customStyle="1" w:styleId="2115">
    <w:name w:val="正文dh"/>
    <w:basedOn w:val="1"/>
    <w:semiHidden/>
    <w:uiPriority w:val="0"/>
    <w:pPr>
      <w:spacing w:line="520" w:lineRule="exact"/>
      <w:ind w:firstLine="482"/>
    </w:pPr>
    <w:rPr>
      <w:rFonts w:ascii="宋体" w:hAnsi="Calibri"/>
      <w:sz w:val="24"/>
      <w:szCs w:val="20"/>
    </w:rPr>
  </w:style>
  <w:style w:type="paragraph" w:customStyle="1" w:styleId="2116">
    <w:name w:val="正文E"/>
    <w:basedOn w:val="1"/>
    <w:semiHidden/>
    <w:uiPriority w:val="0"/>
    <w:pPr>
      <w:adjustRightInd w:val="0"/>
      <w:snapToGrid w:val="0"/>
      <w:spacing w:line="560" w:lineRule="exact"/>
      <w:textAlignment w:val="baseline"/>
    </w:pPr>
    <w:rPr>
      <w:rFonts w:ascii="Calibri" w:hAnsi="Calibri"/>
      <w:kern w:val="0"/>
      <w:sz w:val="28"/>
      <w:szCs w:val="20"/>
    </w:rPr>
  </w:style>
  <w:style w:type="paragraph" w:customStyle="1" w:styleId="2117">
    <w:name w:val="正文wang"/>
    <w:basedOn w:val="1"/>
    <w:semiHidden/>
    <w:uiPriority w:val="0"/>
    <w:pPr>
      <w:spacing w:line="360" w:lineRule="auto"/>
      <w:ind w:firstLine="464" w:firstLineChars="200"/>
    </w:pPr>
    <w:rPr>
      <w:rFonts w:ascii="宋体" w:hAnsi="宋体"/>
      <w:color w:val="000000"/>
      <w:spacing w:val="-4"/>
      <w:kern w:val="0"/>
      <w:sz w:val="24"/>
      <w:szCs w:val="21"/>
    </w:rPr>
  </w:style>
  <w:style w:type="paragraph" w:customStyle="1" w:styleId="2118">
    <w:name w:val="正文版本"/>
    <w:basedOn w:val="1"/>
    <w:semiHidden/>
    <w:qFormat/>
    <w:uiPriority w:val="0"/>
    <w:pPr>
      <w:autoSpaceDE w:val="0"/>
      <w:autoSpaceDN w:val="0"/>
      <w:adjustRightInd w:val="0"/>
      <w:spacing w:beforeLines="50" w:after="120"/>
      <w:jc w:val="center"/>
    </w:pPr>
    <w:rPr>
      <w:rFonts w:ascii="Arial" w:hAnsi="Arial" w:eastAsia="楷体_GB2312"/>
      <w:sz w:val="24"/>
      <w:szCs w:val="20"/>
      <w:lang w:val="zh-CN"/>
    </w:rPr>
  </w:style>
  <w:style w:type="paragraph" w:customStyle="1" w:styleId="2119">
    <w:name w:val="正文标题3"/>
    <w:basedOn w:val="4"/>
    <w:semiHidden/>
    <w:qFormat/>
    <w:uiPriority w:val="0"/>
    <w:pPr>
      <w:spacing w:before="0" w:after="0" w:line="240" w:lineRule="auto"/>
    </w:pPr>
    <w:rPr>
      <w:rFonts w:ascii="Calibri" w:hAnsi="Calibri" w:eastAsia="黑体"/>
      <w:b w:val="0"/>
      <w:kern w:val="0"/>
    </w:rPr>
  </w:style>
  <w:style w:type="paragraph" w:customStyle="1" w:styleId="2120">
    <w:name w:val="正文表"/>
    <w:basedOn w:val="1"/>
    <w:semiHidden/>
    <w:qFormat/>
    <w:uiPriority w:val="0"/>
    <w:pPr>
      <w:tabs>
        <w:tab w:val="left" w:pos="2451"/>
        <w:tab w:val="left" w:pos="4614"/>
        <w:tab w:val="left" w:pos="6777"/>
        <w:tab w:val="left" w:pos="8940"/>
      </w:tabs>
      <w:autoSpaceDE w:val="0"/>
      <w:autoSpaceDN w:val="0"/>
      <w:adjustRightInd w:val="0"/>
      <w:jc w:val="center"/>
      <w:textAlignment w:val="bottom"/>
    </w:pPr>
    <w:rPr>
      <w:rFonts w:ascii="Calibri" w:hAnsi="Calibri"/>
      <w:color w:val="000000"/>
      <w:kern w:val="0"/>
      <w:sz w:val="28"/>
      <w:szCs w:val="20"/>
    </w:rPr>
  </w:style>
  <w:style w:type="paragraph" w:customStyle="1" w:styleId="2121">
    <w:name w:val="正文表标题"/>
    <w:next w:val="5"/>
    <w:semiHidden/>
    <w:qFormat/>
    <w:uiPriority w:val="0"/>
    <w:pPr>
      <w:tabs>
        <w:tab w:val="left" w:pos="942"/>
      </w:tabs>
      <w:ind w:left="942" w:hanging="432"/>
      <w:jc w:val="center"/>
    </w:pPr>
    <w:rPr>
      <w:rFonts w:ascii="黑体" w:hAnsi="Calibri" w:eastAsia="黑体" w:cs="Times New Roman"/>
      <w:kern w:val="2"/>
      <w:sz w:val="21"/>
      <w:szCs w:val="21"/>
      <w:lang w:val="en-US" w:eastAsia="zh-CN" w:bidi="ar-SA"/>
    </w:rPr>
  </w:style>
  <w:style w:type="paragraph" w:customStyle="1" w:styleId="2122">
    <w:name w:val="正文表格"/>
    <w:basedOn w:val="1"/>
    <w:link w:val="2203"/>
    <w:qFormat/>
    <w:uiPriority w:val="0"/>
    <w:pPr>
      <w:spacing w:line="240" w:lineRule="exact"/>
      <w:jc w:val="center"/>
    </w:pPr>
    <w:rPr>
      <w:rFonts w:ascii="Calibri" w:hAnsi="Calibri"/>
      <w:sz w:val="18"/>
      <w:szCs w:val="21"/>
    </w:rPr>
  </w:style>
  <w:style w:type="paragraph" w:customStyle="1" w:styleId="2123">
    <w:name w:val="正文表头"/>
    <w:basedOn w:val="1"/>
    <w:next w:val="2122"/>
    <w:semiHidden/>
    <w:qFormat/>
    <w:uiPriority w:val="0"/>
    <w:pPr>
      <w:keepNext/>
      <w:tabs>
        <w:tab w:val="center" w:pos="4253"/>
        <w:tab w:val="right" w:pos="8505"/>
      </w:tabs>
      <w:overflowPunct w:val="0"/>
      <w:adjustRightInd w:val="0"/>
      <w:spacing w:before="120" w:line="360" w:lineRule="auto"/>
      <w:jc w:val="center"/>
      <w:textAlignment w:val="baseline"/>
    </w:pPr>
    <w:rPr>
      <w:rFonts w:ascii="Calibri" w:hAnsi="Calibri" w:eastAsia="黑体"/>
      <w:kern w:val="0"/>
      <w:sz w:val="28"/>
      <w:szCs w:val="20"/>
    </w:rPr>
  </w:style>
  <w:style w:type="paragraph" w:customStyle="1" w:styleId="2124">
    <w:name w:val="正文并立"/>
    <w:basedOn w:val="1"/>
    <w:semiHidden/>
    <w:uiPriority w:val="0"/>
    <w:pPr>
      <w:adjustRightInd w:val="0"/>
      <w:spacing w:line="408" w:lineRule="atLeast"/>
      <w:ind w:firstLine="601"/>
      <w:textAlignment w:val="baseline"/>
    </w:pPr>
    <w:rPr>
      <w:rFonts w:ascii="Calibri" w:hAnsi="Calibri"/>
      <w:kern w:val="0"/>
      <w:sz w:val="28"/>
      <w:szCs w:val="20"/>
    </w:rPr>
  </w:style>
  <w:style w:type="paragraph" w:customStyle="1" w:styleId="2125">
    <w:name w:val="正文纯文本"/>
    <w:basedOn w:val="1"/>
    <w:semiHidden/>
    <w:uiPriority w:val="0"/>
    <w:pPr>
      <w:spacing w:line="360" w:lineRule="auto"/>
    </w:pPr>
    <w:rPr>
      <w:rFonts w:ascii="Calibri" w:hAnsi="Calibri" w:eastAsia="仿宋_GB2312"/>
      <w:sz w:val="28"/>
      <w:szCs w:val="28"/>
    </w:rPr>
  </w:style>
  <w:style w:type="paragraph" w:customStyle="1" w:styleId="2126">
    <w:name w:val="正文段落"/>
    <w:basedOn w:val="1"/>
    <w:semiHidden/>
    <w:qFormat/>
    <w:uiPriority w:val="0"/>
    <w:pPr>
      <w:topLinePunct/>
      <w:autoSpaceDN w:val="0"/>
      <w:adjustRightInd w:val="0"/>
      <w:spacing w:line="360" w:lineRule="auto"/>
      <w:ind w:right="210" w:rightChars="100" w:firstLine="540" w:firstLineChars="225"/>
      <w:textAlignment w:val="baseline"/>
    </w:pPr>
    <w:rPr>
      <w:rFonts w:ascii="宋体" w:hAnsi="宋体"/>
      <w:kern w:val="0"/>
      <w:sz w:val="24"/>
      <w:szCs w:val="21"/>
    </w:rPr>
  </w:style>
  <w:style w:type="paragraph" w:customStyle="1" w:styleId="2127">
    <w:name w:val="正文仿宋小四"/>
    <w:basedOn w:val="1"/>
    <w:semiHidden/>
    <w:qFormat/>
    <w:uiPriority w:val="0"/>
    <w:pPr>
      <w:adjustRightInd w:val="0"/>
      <w:snapToGrid w:val="0"/>
      <w:spacing w:line="360" w:lineRule="auto"/>
      <w:ind w:firstLine="480" w:firstLineChars="200"/>
    </w:pPr>
    <w:rPr>
      <w:rFonts w:ascii="Calibri" w:hAnsi="Calibri" w:eastAsia="仿宋_GB2312"/>
      <w:sz w:val="24"/>
      <w:szCs w:val="21"/>
    </w:rPr>
  </w:style>
  <w:style w:type="paragraph" w:customStyle="1" w:styleId="2128">
    <w:name w:val="正文付"/>
    <w:basedOn w:val="1"/>
    <w:semiHidden/>
    <w:qFormat/>
    <w:uiPriority w:val="0"/>
    <w:pPr>
      <w:tabs>
        <w:tab w:val="left" w:pos="4860"/>
      </w:tabs>
      <w:spacing w:line="360" w:lineRule="auto"/>
      <w:ind w:firstLine="480" w:firstLineChars="200"/>
      <w:jc w:val="left"/>
    </w:pPr>
    <w:rPr>
      <w:rFonts w:ascii="宋体" w:hAnsi="宋体"/>
      <w:bCs/>
      <w:sz w:val="24"/>
    </w:rPr>
  </w:style>
  <w:style w:type="paragraph" w:customStyle="1" w:styleId="2129">
    <w:name w:val="正文格式"/>
    <w:basedOn w:val="2093"/>
    <w:semiHidden/>
    <w:qFormat/>
    <w:uiPriority w:val="0"/>
    <w:pPr>
      <w:spacing w:line="360" w:lineRule="auto"/>
      <w:ind w:firstLine="480"/>
    </w:pPr>
    <w:rPr>
      <w:rFonts w:ascii="Calibri" w:hAnsi="Calibri" w:cs="宋体"/>
      <w:color w:val="000000"/>
      <w:sz w:val="24"/>
      <w:szCs w:val="24"/>
    </w:rPr>
  </w:style>
  <w:style w:type="paragraph" w:customStyle="1" w:styleId="2130">
    <w:name w:val="正文格式 Char Char Char"/>
    <w:basedOn w:val="1"/>
    <w:semiHidden/>
    <w:qFormat/>
    <w:uiPriority w:val="0"/>
    <w:pPr>
      <w:spacing w:line="360" w:lineRule="auto"/>
      <w:ind w:firstLine="544" w:firstLineChars="200"/>
    </w:pPr>
    <w:rPr>
      <w:rFonts w:ascii="Calibri" w:hAnsi="Calibri"/>
      <w:spacing w:val="4"/>
      <w:sz w:val="24"/>
    </w:rPr>
  </w:style>
  <w:style w:type="paragraph" w:customStyle="1" w:styleId="2131">
    <w:name w:val="正文内容"/>
    <w:basedOn w:val="1"/>
    <w:semiHidden/>
    <w:qFormat/>
    <w:uiPriority w:val="0"/>
    <w:pPr>
      <w:adjustRightInd w:val="0"/>
      <w:snapToGrid w:val="0"/>
      <w:spacing w:line="360" w:lineRule="auto"/>
      <w:ind w:firstLine="496" w:firstLineChars="200"/>
    </w:pPr>
    <w:rPr>
      <w:rFonts w:ascii="宋体" w:hAnsi="宋体"/>
      <w:snapToGrid w:val="0"/>
      <w:spacing w:val="4"/>
      <w:kern w:val="0"/>
      <w:sz w:val="24"/>
      <w:szCs w:val="20"/>
    </w:rPr>
  </w:style>
  <w:style w:type="paragraph" w:customStyle="1" w:styleId="2132">
    <w:name w:val="正文首行缩进＋湿地"/>
    <w:basedOn w:val="1"/>
    <w:semiHidden/>
    <w:qFormat/>
    <w:uiPriority w:val="0"/>
    <w:pPr>
      <w:spacing w:line="440" w:lineRule="exact"/>
      <w:ind w:firstLine="540" w:firstLineChars="225"/>
    </w:pPr>
    <w:rPr>
      <w:rFonts w:ascii="仿宋_GB2312" w:hAnsi="宋体" w:eastAsia="仿宋_GB2312"/>
      <w:kern w:val="0"/>
      <w:sz w:val="28"/>
      <w:szCs w:val="20"/>
    </w:rPr>
  </w:style>
  <w:style w:type="paragraph" w:customStyle="1" w:styleId="2133">
    <w:name w:val="正文缩"/>
    <w:basedOn w:val="1"/>
    <w:next w:val="1"/>
    <w:semiHidden/>
    <w:uiPriority w:val="0"/>
    <w:pPr>
      <w:adjustRightInd w:val="0"/>
      <w:spacing w:line="480" w:lineRule="atLeast"/>
      <w:ind w:firstLine="567"/>
      <w:jc w:val="left"/>
      <w:textAlignment w:val="baseline"/>
    </w:pPr>
    <w:rPr>
      <w:rFonts w:ascii="宋体" w:hAnsi="Calibri"/>
      <w:spacing w:val="6"/>
      <w:kern w:val="0"/>
      <w:sz w:val="28"/>
      <w:szCs w:val="20"/>
    </w:rPr>
  </w:style>
  <w:style w:type="paragraph" w:customStyle="1" w:styleId="2134">
    <w:name w:val="正文图"/>
    <w:basedOn w:val="1"/>
    <w:semiHidden/>
    <w:uiPriority w:val="0"/>
    <w:pPr>
      <w:autoSpaceDE w:val="0"/>
      <w:autoSpaceDN w:val="0"/>
      <w:adjustRightInd w:val="0"/>
      <w:jc w:val="center"/>
    </w:pPr>
    <w:rPr>
      <w:rFonts w:ascii="Calibri" w:hAnsi="Calibri"/>
      <w:color w:val="000000"/>
      <w:kern w:val="0"/>
      <w:sz w:val="24"/>
      <w:szCs w:val="20"/>
    </w:rPr>
  </w:style>
  <w:style w:type="paragraph" w:customStyle="1" w:styleId="2135">
    <w:name w:val="正文图标题"/>
    <w:next w:val="5"/>
    <w:semiHidden/>
    <w:uiPriority w:val="0"/>
    <w:pPr>
      <w:tabs>
        <w:tab w:val="left" w:pos="425"/>
      </w:tabs>
      <w:ind w:left="425" w:hanging="425"/>
      <w:jc w:val="center"/>
    </w:pPr>
    <w:rPr>
      <w:rFonts w:ascii="黑体" w:hAnsi="Calibri" w:eastAsia="黑体" w:cs="Times New Roman"/>
      <w:kern w:val="2"/>
      <w:sz w:val="21"/>
      <w:szCs w:val="21"/>
      <w:lang w:val="en-US" w:eastAsia="zh-CN" w:bidi="ar-SA"/>
    </w:rPr>
  </w:style>
  <w:style w:type="paragraph" w:customStyle="1" w:styleId="2136">
    <w:name w:val="正文王"/>
    <w:basedOn w:val="44"/>
    <w:semiHidden/>
    <w:qFormat/>
    <w:uiPriority w:val="0"/>
    <w:pPr>
      <w:spacing w:line="440" w:lineRule="exact"/>
      <w:ind w:firstLine="0" w:firstLineChars="0"/>
    </w:pPr>
    <w:rPr>
      <w:rFonts w:ascii="Arial" w:hAnsi="Arial" w:cs="Times New Roman"/>
      <w:szCs w:val="20"/>
    </w:rPr>
  </w:style>
  <w:style w:type="paragraph" w:customStyle="1" w:styleId="2137">
    <w:name w:val="正文文"/>
    <w:basedOn w:val="1"/>
    <w:next w:val="1"/>
    <w:semiHidden/>
    <w:uiPriority w:val="0"/>
    <w:pPr>
      <w:spacing w:beforeLines="25" w:afterLines="25" w:line="440" w:lineRule="exact"/>
      <w:ind w:firstLine="200" w:firstLineChars="200"/>
    </w:pPr>
    <w:rPr>
      <w:rFonts w:ascii="Calibri" w:hAnsi="Calibri" w:cs="宋体"/>
      <w:sz w:val="24"/>
      <w:szCs w:val="20"/>
    </w:rPr>
  </w:style>
  <w:style w:type="paragraph" w:customStyle="1" w:styleId="2138">
    <w:name w:val="正文文本 (103)"/>
    <w:basedOn w:val="1"/>
    <w:semiHidden/>
    <w:uiPriority w:val="0"/>
    <w:pPr>
      <w:widowControl/>
      <w:shd w:val="clear" w:color="auto" w:fill="FFFFFF"/>
      <w:spacing w:line="240" w:lineRule="atLeast"/>
      <w:jc w:val="left"/>
    </w:pPr>
    <w:rPr>
      <w:rFonts w:ascii="黑体" w:hAnsi="Calibri" w:eastAsia="黑体"/>
      <w:b/>
      <w:bCs/>
      <w:kern w:val="0"/>
      <w:sz w:val="22"/>
      <w:szCs w:val="22"/>
      <w:shd w:val="clear" w:color="auto" w:fill="FFFFFF"/>
    </w:rPr>
  </w:style>
  <w:style w:type="paragraph" w:customStyle="1" w:styleId="2139">
    <w:name w:val="正文文本 (104)"/>
    <w:basedOn w:val="1"/>
    <w:semiHidden/>
    <w:qFormat/>
    <w:uiPriority w:val="0"/>
    <w:pPr>
      <w:widowControl/>
      <w:shd w:val="clear" w:color="auto" w:fill="FFFFFF"/>
      <w:spacing w:before="480" w:line="542" w:lineRule="exact"/>
      <w:ind w:hanging="800"/>
      <w:jc w:val="left"/>
    </w:pPr>
    <w:rPr>
      <w:rFonts w:ascii="黑体" w:hAnsi="Calibri" w:eastAsia="黑体"/>
      <w:kern w:val="0"/>
      <w:sz w:val="28"/>
      <w:szCs w:val="28"/>
      <w:shd w:val="clear" w:color="auto" w:fill="FFFFFF"/>
    </w:rPr>
  </w:style>
  <w:style w:type="paragraph" w:customStyle="1" w:styleId="2140">
    <w:name w:val="正文文本 (111)1"/>
    <w:basedOn w:val="1"/>
    <w:semiHidden/>
    <w:qFormat/>
    <w:uiPriority w:val="0"/>
    <w:pPr>
      <w:widowControl/>
      <w:shd w:val="clear" w:color="auto" w:fill="FFFFFF"/>
      <w:spacing w:line="274" w:lineRule="exact"/>
      <w:ind w:hanging="700"/>
      <w:jc w:val="distribute"/>
    </w:pPr>
    <w:rPr>
      <w:rFonts w:ascii="黑体" w:hAnsi="Calibri" w:eastAsia="黑体"/>
      <w:kern w:val="0"/>
      <w:sz w:val="20"/>
      <w:szCs w:val="20"/>
      <w:shd w:val="clear" w:color="auto" w:fill="FFFFFF"/>
    </w:rPr>
  </w:style>
  <w:style w:type="paragraph" w:customStyle="1" w:styleId="2141">
    <w:name w:val="正文文本 (112)"/>
    <w:basedOn w:val="1"/>
    <w:semiHidden/>
    <w:uiPriority w:val="0"/>
    <w:pPr>
      <w:widowControl/>
      <w:shd w:val="clear" w:color="auto" w:fill="FFFFFF"/>
      <w:spacing w:after="60" w:line="240" w:lineRule="atLeast"/>
      <w:jc w:val="distribute"/>
    </w:pPr>
    <w:rPr>
      <w:rFonts w:ascii="黑体" w:hAnsi="Calibri" w:eastAsia="黑体"/>
      <w:w w:val="150"/>
      <w:kern w:val="0"/>
      <w:sz w:val="11"/>
      <w:szCs w:val="11"/>
      <w:shd w:val="clear" w:color="auto" w:fill="FFFFFF"/>
    </w:rPr>
  </w:style>
  <w:style w:type="paragraph" w:customStyle="1" w:styleId="2142">
    <w:name w:val="正文文本 (121)"/>
    <w:basedOn w:val="1"/>
    <w:semiHidden/>
    <w:qFormat/>
    <w:uiPriority w:val="0"/>
    <w:pPr>
      <w:widowControl/>
      <w:shd w:val="clear" w:color="auto" w:fill="FFFFFF"/>
      <w:spacing w:after="180" w:line="240" w:lineRule="atLeast"/>
      <w:jc w:val="distribute"/>
    </w:pPr>
    <w:rPr>
      <w:rFonts w:ascii="Arial" w:hAnsi="Arial"/>
      <w:b/>
      <w:bCs/>
      <w:kern w:val="0"/>
      <w:sz w:val="8"/>
      <w:szCs w:val="8"/>
      <w:shd w:val="clear" w:color="auto" w:fill="FFFFFF"/>
    </w:rPr>
  </w:style>
  <w:style w:type="paragraph" w:customStyle="1" w:styleId="2143">
    <w:name w:val="正文文本 (124)"/>
    <w:basedOn w:val="1"/>
    <w:semiHidden/>
    <w:qFormat/>
    <w:uiPriority w:val="0"/>
    <w:pPr>
      <w:widowControl/>
      <w:shd w:val="clear" w:color="auto" w:fill="FFFFFF"/>
      <w:spacing w:line="240" w:lineRule="atLeast"/>
      <w:jc w:val="left"/>
    </w:pPr>
    <w:rPr>
      <w:rFonts w:ascii="MingLiU" w:hAnsi="Calibri" w:eastAsia="MingLiU"/>
      <w:i/>
      <w:iCs/>
      <w:kern w:val="0"/>
      <w:sz w:val="18"/>
      <w:szCs w:val="18"/>
      <w:shd w:val="clear" w:color="auto" w:fill="FFFFFF"/>
    </w:rPr>
  </w:style>
  <w:style w:type="paragraph" w:customStyle="1" w:styleId="2144">
    <w:name w:val="正文文本 (125)"/>
    <w:basedOn w:val="1"/>
    <w:semiHidden/>
    <w:qFormat/>
    <w:uiPriority w:val="0"/>
    <w:pPr>
      <w:widowControl/>
      <w:shd w:val="clear" w:color="auto" w:fill="FFFFFF"/>
      <w:spacing w:line="240" w:lineRule="atLeast"/>
      <w:jc w:val="left"/>
    </w:pPr>
    <w:rPr>
      <w:rFonts w:ascii="Arial Unicode MS" w:hAnsi="Calibri" w:eastAsia="Arial Unicode MS"/>
      <w:kern w:val="0"/>
      <w:sz w:val="8"/>
      <w:szCs w:val="8"/>
      <w:shd w:val="clear" w:color="auto" w:fill="FFFFFF"/>
    </w:rPr>
  </w:style>
  <w:style w:type="paragraph" w:customStyle="1" w:styleId="2145">
    <w:name w:val="正文文本 (127)"/>
    <w:basedOn w:val="1"/>
    <w:semiHidden/>
    <w:qFormat/>
    <w:uiPriority w:val="0"/>
    <w:pPr>
      <w:widowControl/>
      <w:shd w:val="clear" w:color="auto" w:fill="FFFFFF"/>
      <w:spacing w:line="240" w:lineRule="atLeast"/>
      <w:jc w:val="left"/>
    </w:pPr>
    <w:rPr>
      <w:rFonts w:ascii="Courier New" w:hAnsi="Courier New"/>
      <w:kern w:val="0"/>
      <w:sz w:val="8"/>
      <w:szCs w:val="8"/>
      <w:shd w:val="clear" w:color="auto" w:fill="FFFFFF"/>
    </w:rPr>
  </w:style>
  <w:style w:type="paragraph" w:customStyle="1" w:styleId="2146">
    <w:name w:val="正文文本 (128)"/>
    <w:basedOn w:val="1"/>
    <w:semiHidden/>
    <w:qFormat/>
    <w:uiPriority w:val="0"/>
    <w:pPr>
      <w:widowControl/>
      <w:shd w:val="clear" w:color="auto" w:fill="FFFFFF"/>
      <w:spacing w:line="240" w:lineRule="atLeast"/>
      <w:jc w:val="left"/>
    </w:pPr>
    <w:rPr>
      <w:rFonts w:ascii="Arial Unicode MS" w:hAnsi="Calibri" w:eastAsia="Arial Unicode MS"/>
      <w:kern w:val="0"/>
      <w:sz w:val="8"/>
      <w:szCs w:val="8"/>
      <w:shd w:val="clear" w:color="auto" w:fill="FFFFFF"/>
    </w:rPr>
  </w:style>
  <w:style w:type="paragraph" w:customStyle="1" w:styleId="2147">
    <w:name w:val="正文文本 (129)"/>
    <w:basedOn w:val="1"/>
    <w:semiHidden/>
    <w:qFormat/>
    <w:uiPriority w:val="0"/>
    <w:pPr>
      <w:widowControl/>
      <w:shd w:val="clear" w:color="auto" w:fill="FFFFFF"/>
      <w:spacing w:line="240" w:lineRule="atLeast"/>
      <w:jc w:val="left"/>
    </w:pPr>
    <w:rPr>
      <w:rFonts w:ascii="黑体" w:hAnsi="黑体"/>
      <w:w w:val="200"/>
      <w:kern w:val="0"/>
      <w:sz w:val="9"/>
      <w:szCs w:val="9"/>
      <w:shd w:val="clear" w:color="auto" w:fill="FFFFFF"/>
    </w:rPr>
  </w:style>
  <w:style w:type="paragraph" w:customStyle="1" w:styleId="2148">
    <w:name w:val="正文文本 (139)"/>
    <w:basedOn w:val="1"/>
    <w:semiHidden/>
    <w:qFormat/>
    <w:uiPriority w:val="0"/>
    <w:pPr>
      <w:widowControl/>
      <w:shd w:val="clear" w:color="auto" w:fill="FFFFFF"/>
      <w:spacing w:line="240" w:lineRule="atLeast"/>
      <w:jc w:val="distribute"/>
    </w:pPr>
    <w:rPr>
      <w:rFonts w:ascii="Arial Unicode MS" w:hAnsi="Calibri" w:eastAsia="Arial Unicode MS"/>
      <w:b/>
      <w:bCs/>
      <w:kern w:val="0"/>
      <w:sz w:val="22"/>
      <w:szCs w:val="22"/>
      <w:shd w:val="clear" w:color="auto" w:fill="FFFFFF"/>
    </w:rPr>
  </w:style>
  <w:style w:type="paragraph" w:customStyle="1" w:styleId="2149">
    <w:name w:val="正文文本 (16)"/>
    <w:basedOn w:val="1"/>
    <w:semiHidden/>
    <w:qFormat/>
    <w:uiPriority w:val="0"/>
    <w:pPr>
      <w:widowControl/>
      <w:shd w:val="clear" w:color="auto" w:fill="FFFFFF"/>
      <w:spacing w:line="240" w:lineRule="exact"/>
      <w:jc w:val="distribute"/>
    </w:pPr>
    <w:rPr>
      <w:rFonts w:ascii="黑体" w:hAnsi="黑体" w:eastAsia="黑体"/>
      <w:b/>
      <w:kern w:val="0"/>
      <w:sz w:val="22"/>
      <w:szCs w:val="20"/>
      <w:shd w:val="clear" w:color="auto" w:fill="FFFFFF"/>
    </w:rPr>
  </w:style>
  <w:style w:type="paragraph" w:customStyle="1" w:styleId="2150">
    <w:name w:val="正文文本 (2)"/>
    <w:basedOn w:val="1"/>
    <w:semiHidden/>
    <w:qFormat/>
    <w:uiPriority w:val="0"/>
    <w:pPr>
      <w:widowControl/>
      <w:shd w:val="clear" w:color="auto" w:fill="FFFFFF"/>
      <w:spacing w:line="240" w:lineRule="atLeast"/>
      <w:ind w:hanging="1100"/>
      <w:jc w:val="left"/>
    </w:pPr>
    <w:rPr>
      <w:rFonts w:ascii="黑体" w:hAnsi="黑体" w:eastAsia="黑体"/>
      <w:kern w:val="0"/>
      <w:szCs w:val="20"/>
      <w:shd w:val="clear" w:color="auto" w:fill="FFFFFF"/>
    </w:rPr>
  </w:style>
  <w:style w:type="paragraph" w:customStyle="1" w:styleId="2151">
    <w:name w:val="正文文本 (2)1"/>
    <w:basedOn w:val="1"/>
    <w:semiHidden/>
    <w:qFormat/>
    <w:uiPriority w:val="0"/>
    <w:pPr>
      <w:widowControl/>
      <w:shd w:val="clear" w:color="auto" w:fill="FFFFFF"/>
      <w:spacing w:line="240" w:lineRule="atLeast"/>
      <w:ind w:hanging="1100"/>
      <w:jc w:val="left"/>
    </w:pPr>
    <w:rPr>
      <w:rFonts w:ascii="黑体" w:hAnsi="Microsoft JhengHei" w:eastAsia="黑体" w:cs="黑体"/>
      <w:kern w:val="0"/>
      <w:szCs w:val="21"/>
    </w:rPr>
  </w:style>
  <w:style w:type="paragraph" w:customStyle="1" w:styleId="2152">
    <w:name w:val="正文文本 (25)"/>
    <w:basedOn w:val="1"/>
    <w:semiHidden/>
    <w:qFormat/>
    <w:uiPriority w:val="0"/>
    <w:pPr>
      <w:widowControl/>
      <w:shd w:val="clear" w:color="auto" w:fill="FFFFFF"/>
      <w:spacing w:line="240" w:lineRule="atLeast"/>
      <w:jc w:val="left"/>
    </w:pPr>
    <w:rPr>
      <w:rFonts w:ascii="黑体" w:hAnsi="黑体" w:eastAsia="黑体"/>
      <w:kern w:val="0"/>
      <w:szCs w:val="20"/>
      <w:shd w:val="clear" w:color="auto" w:fill="FFFFFF"/>
    </w:rPr>
  </w:style>
  <w:style w:type="paragraph" w:customStyle="1" w:styleId="2153">
    <w:name w:val="正文文本 (28)"/>
    <w:basedOn w:val="1"/>
    <w:semiHidden/>
    <w:uiPriority w:val="0"/>
    <w:pPr>
      <w:widowControl/>
      <w:shd w:val="clear" w:color="auto" w:fill="FFFFFF"/>
      <w:spacing w:line="240" w:lineRule="atLeast"/>
      <w:jc w:val="distribute"/>
    </w:pPr>
    <w:rPr>
      <w:rFonts w:ascii="黑体" w:hAnsi="黑体" w:eastAsia="黑体"/>
      <w:kern w:val="0"/>
      <w:sz w:val="15"/>
      <w:szCs w:val="20"/>
      <w:shd w:val="clear" w:color="auto" w:fill="FFFFFF"/>
    </w:rPr>
  </w:style>
  <w:style w:type="paragraph" w:customStyle="1" w:styleId="2154">
    <w:name w:val="正文文本 (29)"/>
    <w:basedOn w:val="1"/>
    <w:semiHidden/>
    <w:qFormat/>
    <w:uiPriority w:val="0"/>
    <w:pPr>
      <w:widowControl/>
      <w:shd w:val="clear" w:color="auto" w:fill="FFFFFF"/>
      <w:spacing w:line="240" w:lineRule="atLeast"/>
      <w:jc w:val="left"/>
    </w:pPr>
    <w:rPr>
      <w:rFonts w:ascii="黑体" w:hAnsi="黑体" w:eastAsia="黑体"/>
      <w:kern w:val="0"/>
      <w:sz w:val="18"/>
      <w:szCs w:val="20"/>
      <w:shd w:val="clear" w:color="auto" w:fill="FFFFFF"/>
    </w:rPr>
  </w:style>
  <w:style w:type="paragraph" w:customStyle="1" w:styleId="2155">
    <w:name w:val="正文文本 (3)"/>
    <w:basedOn w:val="1"/>
    <w:semiHidden/>
    <w:qFormat/>
    <w:uiPriority w:val="0"/>
    <w:pPr>
      <w:widowControl/>
      <w:shd w:val="clear" w:color="auto" w:fill="FFFFFF"/>
      <w:spacing w:line="542" w:lineRule="exact"/>
      <w:jc w:val="distribute"/>
    </w:pPr>
    <w:rPr>
      <w:rFonts w:ascii="黑体" w:hAnsi="黑体" w:eastAsia="黑体"/>
      <w:i/>
      <w:kern w:val="0"/>
      <w:sz w:val="37"/>
      <w:szCs w:val="20"/>
      <w:shd w:val="clear" w:color="auto" w:fill="FFFFFF"/>
    </w:rPr>
  </w:style>
  <w:style w:type="paragraph" w:customStyle="1" w:styleId="2156">
    <w:name w:val="正文文本 (30)"/>
    <w:basedOn w:val="1"/>
    <w:semiHidden/>
    <w:qFormat/>
    <w:uiPriority w:val="0"/>
    <w:pPr>
      <w:widowControl/>
      <w:shd w:val="clear" w:color="auto" w:fill="FFFFFF"/>
      <w:spacing w:line="240" w:lineRule="atLeast"/>
      <w:jc w:val="left"/>
    </w:pPr>
    <w:rPr>
      <w:rFonts w:ascii="黑体" w:hAnsi="黑体" w:eastAsia="黑体"/>
      <w:b/>
      <w:kern w:val="0"/>
      <w:szCs w:val="20"/>
      <w:shd w:val="clear" w:color="auto" w:fill="FFFFFF"/>
    </w:rPr>
  </w:style>
  <w:style w:type="paragraph" w:customStyle="1" w:styleId="2157">
    <w:name w:val="正文文本 (31)"/>
    <w:basedOn w:val="1"/>
    <w:semiHidden/>
    <w:qFormat/>
    <w:uiPriority w:val="0"/>
    <w:pPr>
      <w:widowControl/>
      <w:shd w:val="clear" w:color="auto" w:fill="FFFFFF"/>
      <w:spacing w:line="240" w:lineRule="atLeast"/>
      <w:jc w:val="left"/>
    </w:pPr>
    <w:rPr>
      <w:rFonts w:ascii="Arial Unicode MS" w:hAnsi="Arial Unicode MS" w:eastAsia="Arial Unicode MS"/>
      <w:spacing w:val="30"/>
      <w:kern w:val="0"/>
      <w:sz w:val="8"/>
      <w:szCs w:val="20"/>
      <w:shd w:val="clear" w:color="auto" w:fill="FFFFFF"/>
    </w:rPr>
  </w:style>
  <w:style w:type="paragraph" w:customStyle="1" w:styleId="2158">
    <w:name w:val="正文文本 (45)"/>
    <w:basedOn w:val="1"/>
    <w:semiHidden/>
    <w:uiPriority w:val="0"/>
    <w:pPr>
      <w:widowControl/>
      <w:shd w:val="clear" w:color="auto" w:fill="FFFFFF"/>
      <w:spacing w:line="240" w:lineRule="atLeast"/>
      <w:jc w:val="right"/>
    </w:pPr>
    <w:rPr>
      <w:rFonts w:ascii="Arial Unicode MS" w:hAnsi="Calibri" w:eastAsia="Arial Unicode MS"/>
      <w:kern w:val="0"/>
      <w:sz w:val="8"/>
      <w:szCs w:val="8"/>
      <w:shd w:val="clear" w:color="auto" w:fill="FFFFFF"/>
    </w:rPr>
  </w:style>
  <w:style w:type="paragraph" w:customStyle="1" w:styleId="2159">
    <w:name w:val="正文文本 (57)"/>
    <w:basedOn w:val="1"/>
    <w:semiHidden/>
    <w:qFormat/>
    <w:uiPriority w:val="0"/>
    <w:pPr>
      <w:widowControl/>
      <w:shd w:val="clear" w:color="auto" w:fill="FFFFFF"/>
      <w:spacing w:line="240" w:lineRule="atLeast"/>
      <w:jc w:val="left"/>
    </w:pPr>
    <w:rPr>
      <w:rFonts w:ascii="Arial Unicode MS" w:hAnsi="Arial Unicode MS" w:eastAsia="Arial Unicode MS"/>
      <w:kern w:val="0"/>
      <w:sz w:val="8"/>
      <w:szCs w:val="20"/>
      <w:shd w:val="clear" w:color="auto" w:fill="FFFFFF"/>
    </w:rPr>
  </w:style>
  <w:style w:type="paragraph" w:customStyle="1" w:styleId="2160">
    <w:name w:val="正文样式10"/>
    <w:basedOn w:val="1"/>
    <w:semiHidden/>
    <w:qFormat/>
    <w:uiPriority w:val="0"/>
    <w:pPr>
      <w:ind w:firstLine="480" w:firstLineChars="200"/>
      <w:jc w:val="center"/>
    </w:pPr>
    <w:rPr>
      <w:rFonts w:ascii="宋体" w:hAnsi="宋体"/>
      <w:bCs/>
      <w:color w:val="000000"/>
      <w:sz w:val="24"/>
      <w:szCs w:val="20"/>
      <w:lang w:val="zh-CN"/>
    </w:rPr>
  </w:style>
  <w:style w:type="paragraph" w:customStyle="1" w:styleId="2161">
    <w:name w:val="正文样式1111"/>
    <w:basedOn w:val="1"/>
    <w:semiHidden/>
    <w:qFormat/>
    <w:uiPriority w:val="0"/>
    <w:pPr>
      <w:spacing w:line="360" w:lineRule="auto"/>
      <w:ind w:firstLine="200" w:firstLineChars="200"/>
    </w:pPr>
    <w:rPr>
      <w:rFonts w:ascii="宋体" w:hAnsi="宋体"/>
      <w:color w:val="000000"/>
      <w:sz w:val="24"/>
      <w:szCs w:val="21"/>
    </w:rPr>
  </w:style>
  <w:style w:type="paragraph" w:customStyle="1" w:styleId="2162">
    <w:name w:val="正文样式克"/>
    <w:basedOn w:val="1"/>
    <w:semiHidden/>
    <w:qFormat/>
    <w:uiPriority w:val="0"/>
    <w:pPr>
      <w:widowControl/>
      <w:spacing w:line="360" w:lineRule="auto"/>
      <w:ind w:firstLine="480" w:firstLineChars="200"/>
    </w:pPr>
    <w:rPr>
      <w:rFonts w:ascii="宋体" w:hAnsi="宋体"/>
      <w:color w:val="FF0000"/>
      <w:sz w:val="24"/>
      <w:lang w:val="zh-CN"/>
    </w:rPr>
  </w:style>
  <w:style w:type="paragraph" w:customStyle="1" w:styleId="2163">
    <w:name w:val="正文样式一"/>
    <w:basedOn w:val="1"/>
    <w:semiHidden/>
    <w:qFormat/>
    <w:uiPriority w:val="0"/>
    <w:pPr>
      <w:adjustRightInd w:val="0"/>
      <w:spacing w:line="400" w:lineRule="atLeast"/>
      <w:ind w:firstLine="510"/>
      <w:textAlignment w:val="baseline"/>
    </w:pPr>
    <w:rPr>
      <w:rFonts w:ascii="Calibri" w:hAnsi="Calibri"/>
      <w:kern w:val="0"/>
      <w:sz w:val="24"/>
      <w:szCs w:val="20"/>
    </w:rPr>
  </w:style>
  <w:style w:type="paragraph" w:customStyle="1" w:styleId="2164">
    <w:name w:val="正文-叶"/>
    <w:basedOn w:val="1"/>
    <w:semiHidden/>
    <w:uiPriority w:val="0"/>
    <w:pPr>
      <w:topLinePunct/>
      <w:spacing w:line="312" w:lineRule="auto"/>
      <w:ind w:firstLine="465" w:firstLineChars="200"/>
    </w:pPr>
    <w:rPr>
      <w:rFonts w:ascii="Calibri" w:hAnsi="Calibri"/>
      <w:sz w:val="24"/>
      <w:szCs w:val="20"/>
    </w:rPr>
  </w:style>
  <w:style w:type="paragraph" w:customStyle="1" w:styleId="2165">
    <w:name w:val="中等深浅网格 1 - 强调文字颜色 21"/>
    <w:basedOn w:val="1"/>
    <w:semiHidden/>
    <w:qFormat/>
    <w:uiPriority w:val="0"/>
    <w:pPr>
      <w:spacing w:line="360" w:lineRule="auto"/>
      <w:ind w:firstLine="420" w:firstLineChars="200"/>
    </w:pPr>
    <w:rPr>
      <w:rFonts w:ascii="Calibri" w:hAnsi="Calibri"/>
      <w:szCs w:val="22"/>
    </w:rPr>
  </w:style>
  <w:style w:type="paragraph" w:customStyle="1" w:styleId="2166">
    <w:name w:val="中文报告书样式"/>
    <w:basedOn w:val="1"/>
    <w:semiHidden/>
    <w:qFormat/>
    <w:uiPriority w:val="0"/>
    <w:pPr>
      <w:adjustRightInd w:val="0"/>
      <w:spacing w:line="360" w:lineRule="auto"/>
      <w:ind w:firstLine="482"/>
      <w:textAlignment w:val="baseline"/>
    </w:pPr>
    <w:rPr>
      <w:rFonts w:ascii="Calibri" w:hAnsi="Calibri"/>
      <w:kern w:val="24"/>
      <w:sz w:val="24"/>
      <w:szCs w:val="20"/>
    </w:rPr>
  </w:style>
  <w:style w:type="paragraph" w:customStyle="1" w:styleId="2167">
    <w:name w:val="中文表标题"/>
    <w:basedOn w:val="1"/>
    <w:next w:val="1"/>
    <w:semiHidden/>
    <w:qFormat/>
    <w:uiPriority w:val="0"/>
    <w:pPr>
      <w:keepNext/>
      <w:widowControl/>
      <w:overflowPunct w:val="0"/>
      <w:adjustRightInd w:val="0"/>
      <w:snapToGrid w:val="0"/>
      <w:spacing w:before="480" w:after="360" w:line="500" w:lineRule="exact"/>
      <w:jc w:val="center"/>
      <w:textAlignment w:val="baseline"/>
    </w:pPr>
    <w:rPr>
      <w:rFonts w:ascii="Calibri" w:hAnsi="Calibri"/>
      <w:kern w:val="0"/>
      <w:sz w:val="28"/>
      <w:szCs w:val="20"/>
    </w:rPr>
  </w:style>
  <w:style w:type="paragraph" w:customStyle="1" w:styleId="2168">
    <w:name w:val="周闯1"/>
    <w:basedOn w:val="2"/>
    <w:semiHidden/>
    <w:qFormat/>
    <w:uiPriority w:val="0"/>
    <w:pPr>
      <w:adjustRightInd w:val="0"/>
      <w:spacing w:beforeLines="50" w:afterLines="50" w:line="500" w:lineRule="exact"/>
      <w:ind w:firstLine="200" w:firstLineChars="200"/>
      <w:textAlignment w:val="baseline"/>
    </w:pPr>
    <w:rPr>
      <w:rFonts w:ascii="黑体" w:hAnsi="Calibri" w:eastAsia="黑体"/>
      <w:b w:val="0"/>
      <w:color w:val="000000"/>
      <w:kern w:val="2"/>
      <w:szCs w:val="20"/>
    </w:rPr>
  </w:style>
  <w:style w:type="paragraph" w:customStyle="1" w:styleId="2169">
    <w:name w:val="周闯3"/>
    <w:basedOn w:val="4"/>
    <w:semiHidden/>
    <w:qFormat/>
    <w:uiPriority w:val="0"/>
    <w:pPr>
      <w:adjustRightInd w:val="0"/>
      <w:snapToGrid w:val="0"/>
      <w:spacing w:beforeLines="50" w:afterLines="50" w:line="500" w:lineRule="exact"/>
      <w:ind w:firstLine="200" w:firstLineChars="200"/>
      <w:textAlignment w:val="baseline"/>
    </w:pPr>
    <w:rPr>
      <w:rFonts w:ascii="Calibri" w:hAnsi="Calibri" w:eastAsia="黑体"/>
      <w:color w:val="000000"/>
      <w:kern w:val="44"/>
      <w:szCs w:val="20"/>
    </w:rPr>
  </w:style>
  <w:style w:type="paragraph" w:customStyle="1" w:styleId="2170">
    <w:name w:val="字母1"/>
    <w:basedOn w:val="1"/>
    <w:semiHidden/>
    <w:qFormat/>
    <w:uiPriority w:val="0"/>
    <w:pPr>
      <w:spacing w:before="60" w:after="60" w:line="480" w:lineRule="exact"/>
      <w:ind w:firstLine="420" w:firstLineChars="200"/>
      <w:textAlignment w:val="baseline"/>
    </w:pPr>
    <w:rPr>
      <w:rFonts w:ascii="Calibri" w:hAnsi="Calibri"/>
      <w:spacing w:val="6"/>
      <w:kern w:val="0"/>
      <w:sz w:val="24"/>
      <w:szCs w:val="21"/>
    </w:rPr>
  </w:style>
  <w:style w:type="paragraph" w:customStyle="1" w:styleId="2171">
    <w:name w:val="字元 字元"/>
    <w:basedOn w:val="1"/>
    <w:semiHidden/>
    <w:qFormat/>
    <w:uiPriority w:val="0"/>
    <w:pPr>
      <w:widowControl/>
      <w:jc w:val="left"/>
    </w:pPr>
    <w:rPr>
      <w:rFonts w:ascii="宋体" w:hAnsi="宋体" w:cs="宋体"/>
      <w:kern w:val="0"/>
      <w:sz w:val="24"/>
      <w:szCs w:val="21"/>
    </w:rPr>
  </w:style>
  <w:style w:type="paragraph" w:customStyle="1" w:styleId="2172">
    <w:name w:val="自定义表格"/>
    <w:basedOn w:val="1"/>
    <w:semiHidden/>
    <w:qFormat/>
    <w:uiPriority w:val="0"/>
    <w:pPr>
      <w:spacing w:line="360" w:lineRule="auto"/>
      <w:ind w:firstLine="200" w:firstLineChars="200"/>
      <w:jc w:val="center"/>
    </w:pPr>
    <w:rPr>
      <w:rFonts w:ascii="Calibri" w:hAnsi="宋体"/>
      <w:color w:val="000000"/>
      <w:sz w:val="24"/>
      <w:szCs w:val="21"/>
    </w:rPr>
  </w:style>
  <w:style w:type="paragraph" w:customStyle="1" w:styleId="2173">
    <w:name w:val="左侧"/>
    <w:semiHidden/>
    <w:qFormat/>
    <w:uiPriority w:val="0"/>
    <w:pPr>
      <w:spacing w:line="280" w:lineRule="exact"/>
    </w:pPr>
    <w:rPr>
      <w:rFonts w:ascii="Batang" w:hAnsi="Batang" w:eastAsia="宋体" w:cs="Times New Roman"/>
      <w:color w:val="000000"/>
      <w:kern w:val="2"/>
      <w:sz w:val="18"/>
      <w:szCs w:val="21"/>
      <w:lang w:val="en-US" w:eastAsia="zh-CN" w:bidi="ar-SA"/>
    </w:rPr>
  </w:style>
  <w:style w:type="paragraph" w:customStyle="1" w:styleId="2174">
    <w:name w:val="纯文本2"/>
    <w:basedOn w:val="1"/>
    <w:qFormat/>
    <w:uiPriority w:val="0"/>
    <w:pPr>
      <w:adjustRightInd w:val="0"/>
      <w:spacing w:line="360" w:lineRule="auto"/>
      <w:ind w:firstLine="200" w:firstLineChars="200"/>
      <w:textAlignment w:val="baseline"/>
    </w:pPr>
    <w:rPr>
      <w:rFonts w:ascii="宋体" w:hAnsi="宋体" w:cs="Courier New"/>
      <w:sz w:val="24"/>
      <w:szCs w:val="21"/>
    </w:rPr>
  </w:style>
  <w:style w:type="paragraph" w:customStyle="1" w:styleId="2175">
    <w:name w:val="报告书正文"/>
    <w:basedOn w:val="1"/>
    <w:qFormat/>
    <w:uiPriority w:val="0"/>
    <w:pPr>
      <w:spacing w:line="360" w:lineRule="auto"/>
      <w:ind w:firstLine="480" w:firstLineChars="200"/>
    </w:pPr>
    <w:rPr>
      <w:sz w:val="24"/>
    </w:rPr>
  </w:style>
  <w:style w:type="paragraph" w:customStyle="1" w:styleId="2176">
    <w:name w:val="第十二章表头"/>
    <w:basedOn w:val="1"/>
    <w:qFormat/>
    <w:uiPriority w:val="0"/>
    <w:pPr>
      <w:tabs>
        <w:tab w:val="left" w:pos="360"/>
      </w:tabs>
      <w:spacing w:line="360" w:lineRule="auto"/>
      <w:ind w:left="360"/>
      <w:jc w:val="center"/>
    </w:pPr>
    <w:rPr>
      <w:b/>
      <w:color w:val="0000FF"/>
      <w:sz w:val="24"/>
    </w:rPr>
  </w:style>
  <w:style w:type="paragraph" w:customStyle="1" w:styleId="2177">
    <w:name w:val="报告标题"/>
    <w:basedOn w:val="21"/>
    <w:qFormat/>
    <w:uiPriority w:val="0"/>
    <w:pPr>
      <w:tabs>
        <w:tab w:val="left" w:pos="-140"/>
      </w:tabs>
      <w:topLinePunct/>
      <w:adjustRightInd w:val="0"/>
      <w:spacing w:line="560" w:lineRule="exact"/>
      <w:jc w:val="center"/>
    </w:pPr>
    <w:rPr>
      <w:rFonts w:eastAsia="宋体" w:cs="Times New Roman"/>
      <w:b/>
      <w:color w:val="000000"/>
      <w:spacing w:val="-10"/>
      <w:sz w:val="52"/>
    </w:rPr>
  </w:style>
  <w:style w:type="table" w:customStyle="1" w:styleId="2178">
    <w:name w:val="qq"/>
    <w:basedOn w:val="87"/>
    <w:qFormat/>
    <w:uiPriority w:val="0"/>
    <w:pPr>
      <w:spacing w:line="240" w:lineRule="exact"/>
      <w:jc w:val="center"/>
    </w:pPr>
    <w:tblPr>
      <w:tblBorders>
        <w:top w:val="single" w:color="000000" w:sz="12" w:space="0"/>
        <w:bottom w:val="single" w:color="000000" w:sz="12" w:space="0"/>
        <w:insideH w:val="dotted" w:color="auto" w:sz="4" w:space="0"/>
        <w:insideV w:val="dotted" w:color="auto" w:sz="4" w:space="0"/>
      </w:tblBorders>
      <w:tblCellMar>
        <w:left w:w="0" w:type="dxa"/>
        <w:right w:w="0" w:type="dxa"/>
      </w:tblCellMar>
    </w:tblPr>
    <w:tcPr>
      <w:vAlign w:val="center"/>
    </w:tcPr>
    <w:tblStylePr w:type="firstRow">
      <w:tcPr>
        <w:tcBorders>
          <w:top w:val="single" w:color="000000" w:sz="12" w:space="0"/>
          <w:left w:val="nil"/>
          <w:bottom w:val="single" w:color="000000" w:sz="12" w:space="0"/>
          <w:right w:val="nil"/>
          <w:insideH w:val="nil"/>
          <w:insideV w:val="dotted" w:sz="4" w:space="0"/>
          <w:tl2br w:val="nil"/>
          <w:tr2bl w:val="nil"/>
        </w:tcBorders>
      </w:tcPr>
    </w:tblStylePr>
  </w:style>
  <w:style w:type="table" w:customStyle="1" w:styleId="2179">
    <w:name w:val="灰度表格1"/>
    <w:basedOn w:val="8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180">
    <w:name w:val="正文文字1"/>
    <w:basedOn w:val="1"/>
    <w:qFormat/>
    <w:uiPriority w:val="0"/>
    <w:pPr>
      <w:snapToGrid w:val="0"/>
      <w:spacing w:line="360" w:lineRule="auto"/>
      <w:ind w:firstLine="480" w:firstLineChars="200"/>
    </w:pPr>
    <w:rPr>
      <w:sz w:val="24"/>
    </w:rPr>
  </w:style>
  <w:style w:type="paragraph" w:customStyle="1" w:styleId="2181">
    <w:name w:val="表头文字"/>
    <w:basedOn w:val="1"/>
    <w:uiPriority w:val="0"/>
    <w:pPr>
      <w:adjustRightInd w:val="0"/>
      <w:snapToGrid w:val="0"/>
      <w:spacing w:before="120" w:line="300" w:lineRule="auto"/>
      <w:jc w:val="center"/>
    </w:pPr>
    <w:rPr>
      <w:rFonts w:eastAsia="黑体"/>
      <w:sz w:val="24"/>
    </w:rPr>
  </w:style>
  <w:style w:type="character" w:customStyle="1" w:styleId="2182">
    <w:name w:val="样式 四号 加粗 黑色 Char Char"/>
    <w:link w:val="1934"/>
    <w:qFormat/>
    <w:uiPriority w:val="0"/>
    <w:rPr>
      <w:rFonts w:ascii="Calibri" w:hAnsi="Calibri"/>
      <w:b/>
      <w:color w:val="000000"/>
      <w:kern w:val="2"/>
      <w:sz w:val="28"/>
      <w:szCs w:val="28"/>
    </w:rPr>
  </w:style>
  <w:style w:type="character" w:customStyle="1" w:styleId="2183">
    <w:name w:val="样式4 Char5"/>
    <w:link w:val="2062"/>
    <w:qFormat/>
    <w:uiPriority w:val="0"/>
    <w:rPr>
      <w:rFonts w:ascii="Calibri" w:hAnsi="宋体"/>
      <w:bCs/>
      <w:sz w:val="44"/>
      <w:szCs w:val="44"/>
      <w:lang w:val="zh-CN"/>
    </w:rPr>
  </w:style>
  <w:style w:type="character" w:customStyle="1" w:styleId="2184">
    <w:name w:val="x正文 Char1"/>
    <w:link w:val="1298"/>
    <w:qFormat/>
    <w:uiPriority w:val="0"/>
    <w:rPr>
      <w:rFonts w:ascii="宋体" w:hAnsi="宋体"/>
      <w:kern w:val="2"/>
      <w:sz w:val="24"/>
      <w:szCs w:val="21"/>
    </w:rPr>
  </w:style>
  <w:style w:type="character" w:customStyle="1" w:styleId="2185">
    <w:name w:val="样式4 Char"/>
    <w:qFormat/>
    <w:uiPriority w:val="0"/>
    <w:rPr>
      <w:rFonts w:eastAsia="宋体"/>
      <w:b/>
      <w:bCs/>
      <w:sz w:val="28"/>
      <w:szCs w:val="28"/>
      <w:lang w:val="en-US" w:eastAsia="zh-CN" w:bidi="ar-SA"/>
    </w:rPr>
  </w:style>
  <w:style w:type="character" w:customStyle="1" w:styleId="2186">
    <w:name w:val="正文（首行缩进） Char1"/>
    <w:link w:val="2104"/>
    <w:uiPriority w:val="0"/>
    <w:rPr>
      <w:rFonts w:ascii="Calibri" w:hAnsi="Calibri"/>
      <w:color w:val="000000"/>
      <w:kern w:val="2"/>
      <w:sz w:val="24"/>
      <w:szCs w:val="21"/>
    </w:rPr>
  </w:style>
  <w:style w:type="paragraph" w:customStyle="1" w:styleId="2187">
    <w:name w:val="四级标题"/>
    <w:basedOn w:val="2180"/>
    <w:next w:val="2180"/>
    <w:qFormat/>
    <w:uiPriority w:val="0"/>
    <w:pPr>
      <w:spacing w:beforeLines="50" w:afterLines="50" w:line="440" w:lineRule="exact"/>
      <w:outlineLvl w:val="3"/>
    </w:pPr>
    <w:rPr>
      <w:rFonts w:ascii="宋体" w:hAnsi="宋体"/>
    </w:rPr>
  </w:style>
  <w:style w:type="character" w:customStyle="1" w:styleId="2188">
    <w:name w:val="表格 Char"/>
    <w:qFormat/>
    <w:uiPriority w:val="0"/>
    <w:rPr>
      <w:rFonts w:eastAsia="仿宋_GB2312"/>
      <w:kern w:val="2"/>
      <w:sz w:val="24"/>
      <w:szCs w:val="24"/>
      <w:lang w:val="en-US" w:eastAsia="zh-CN" w:bidi="ar-SA"/>
    </w:rPr>
  </w:style>
  <w:style w:type="paragraph" w:customStyle="1" w:styleId="2189">
    <w:name w:val="表号文字"/>
    <w:basedOn w:val="1"/>
    <w:qFormat/>
    <w:uiPriority w:val="0"/>
    <w:pPr>
      <w:adjustRightInd w:val="0"/>
      <w:snapToGrid w:val="0"/>
      <w:spacing w:line="280" w:lineRule="exact"/>
      <w:ind w:firstLine="482" w:firstLineChars="200"/>
      <w:jc w:val="center"/>
    </w:pPr>
    <w:rPr>
      <w:b/>
      <w:sz w:val="24"/>
    </w:rPr>
  </w:style>
  <w:style w:type="character" w:customStyle="1" w:styleId="2190">
    <w:name w:val="样式6 Char"/>
    <w:link w:val="2070"/>
    <w:qFormat/>
    <w:uiPriority w:val="0"/>
    <w:rPr>
      <w:rFonts w:ascii="楷体" w:hAnsi="楷体" w:eastAsia="楷体"/>
      <w:b/>
      <w:color w:val="000000"/>
      <w:shd w:val="clear" w:color="auto" w:fill="CCCCCC"/>
    </w:rPr>
  </w:style>
  <w:style w:type="paragraph" w:customStyle="1" w:styleId="2191">
    <w:name w:val="表格文字（对中）"/>
    <w:basedOn w:val="20"/>
    <w:qFormat/>
    <w:uiPriority w:val="0"/>
    <w:pPr>
      <w:adjustRightInd/>
      <w:snapToGrid w:val="0"/>
      <w:spacing w:line="240" w:lineRule="auto"/>
      <w:jc w:val="center"/>
      <w:textAlignment w:val="auto"/>
    </w:pPr>
    <w:rPr>
      <w:rFonts w:ascii="黑体" w:hAnsi="宋体" w:eastAsia="黑体"/>
      <w:bCs/>
      <w:kern w:val="2"/>
      <w:sz w:val="21"/>
      <w:szCs w:val="21"/>
    </w:rPr>
  </w:style>
  <w:style w:type="character" w:customStyle="1" w:styleId="2192">
    <w:name w:val="正式文本 Char Char"/>
    <w:link w:val="2093"/>
    <w:qFormat/>
    <w:uiPriority w:val="0"/>
    <w:rPr>
      <w:rFonts w:ascii="宋体" w:hAnsi="Arial Narrow"/>
      <w:kern w:val="2"/>
      <w:sz w:val="28"/>
      <w:szCs w:val="21"/>
    </w:rPr>
  </w:style>
  <w:style w:type="character" w:customStyle="1" w:styleId="2193">
    <w:name w:val="表格文字 Char1"/>
    <w:qFormat/>
    <w:uiPriority w:val="0"/>
    <w:rPr>
      <w:spacing w:val="7"/>
      <w:kern w:val="2"/>
      <w:sz w:val="24"/>
      <w:szCs w:val="24"/>
    </w:rPr>
  </w:style>
  <w:style w:type="character" w:customStyle="1" w:styleId="2194">
    <w:name w:val="公式 Char"/>
    <w:qFormat/>
    <w:uiPriority w:val="0"/>
    <w:rPr>
      <w:rFonts w:ascii="宋体" w:eastAsia="宋体"/>
      <w:color w:val="000000"/>
      <w:kern w:val="2"/>
      <w:sz w:val="28"/>
      <w:lang w:val="en-US" w:eastAsia="zh-CN"/>
    </w:rPr>
  </w:style>
  <w:style w:type="paragraph" w:customStyle="1" w:styleId="2195">
    <w:name w:val="表文居中"/>
    <w:basedOn w:val="1"/>
    <w:qFormat/>
    <w:uiPriority w:val="0"/>
    <w:pPr>
      <w:adjustRightInd w:val="0"/>
      <w:spacing w:line="260" w:lineRule="exact"/>
      <w:jc w:val="center"/>
    </w:pPr>
    <w:rPr>
      <w:sz w:val="18"/>
      <w:szCs w:val="18"/>
    </w:rPr>
  </w:style>
  <w:style w:type="character" w:customStyle="1" w:styleId="2196">
    <w:name w:val="样式3 Char"/>
    <w:link w:val="753"/>
    <w:qFormat/>
    <w:uiPriority w:val="0"/>
    <w:rPr>
      <w:rFonts w:ascii="黑体" w:hAnsi="宋体" w:eastAsia="黑体"/>
      <w:sz w:val="24"/>
      <w:szCs w:val="24"/>
    </w:rPr>
  </w:style>
  <w:style w:type="paragraph" w:customStyle="1" w:styleId="2197">
    <w:name w:val="样式 样式a + 宋体 黑色"/>
    <w:basedOn w:val="1"/>
    <w:qFormat/>
    <w:uiPriority w:val="0"/>
    <w:pPr>
      <w:widowControl/>
      <w:spacing w:line="360" w:lineRule="auto"/>
      <w:ind w:firstLine="200" w:firstLineChars="200"/>
    </w:pPr>
    <w:rPr>
      <w:rFonts w:ascii="宋体" w:hAnsi="宋体" w:cs="宋体"/>
      <w:color w:val="000000"/>
      <w:kern w:val="28"/>
      <w:sz w:val="24"/>
      <w:szCs w:val="20"/>
    </w:rPr>
  </w:style>
  <w:style w:type="character" w:customStyle="1" w:styleId="2198">
    <w:name w:val="龙0正文 Char"/>
    <w:link w:val="2199"/>
    <w:qFormat/>
    <w:uiPriority w:val="0"/>
    <w:rPr>
      <w:rFonts w:ascii="宋体" w:hAnsi="宋体" w:cs="宋体"/>
      <w:kern w:val="2"/>
      <w:sz w:val="24"/>
      <w:szCs w:val="24"/>
    </w:rPr>
  </w:style>
  <w:style w:type="paragraph" w:customStyle="1" w:styleId="2199">
    <w:name w:val="龙0正文"/>
    <w:basedOn w:val="1471"/>
    <w:link w:val="2198"/>
    <w:qFormat/>
    <w:uiPriority w:val="0"/>
    <w:pPr>
      <w:adjustRightInd/>
      <w:spacing w:before="0" w:after="0"/>
      <w:ind w:right="0" w:rightChars="0" w:firstLine="200"/>
    </w:pPr>
    <w:rPr>
      <w:rFonts w:ascii="宋体" w:hAnsi="宋体" w:cs="Times New Roman"/>
      <w:szCs w:val="24"/>
    </w:rPr>
  </w:style>
  <w:style w:type="character" w:customStyle="1" w:styleId="2200">
    <w:name w:val="龙表头 Char"/>
    <w:link w:val="2201"/>
    <w:qFormat/>
    <w:uiPriority w:val="0"/>
    <w:rPr>
      <w:rFonts w:ascii="宋体" w:hAnsi="宋体" w:cs="宋体"/>
      <w:b/>
      <w:kern w:val="2"/>
      <w:sz w:val="24"/>
      <w:szCs w:val="24"/>
    </w:rPr>
  </w:style>
  <w:style w:type="paragraph" w:customStyle="1" w:styleId="2201">
    <w:name w:val="龙表头"/>
    <w:basedOn w:val="2199"/>
    <w:link w:val="2200"/>
    <w:qFormat/>
    <w:uiPriority w:val="0"/>
    <w:pPr>
      <w:tabs>
        <w:tab w:val="clear" w:pos="0"/>
        <w:tab w:val="clear" w:pos="7012"/>
      </w:tabs>
      <w:spacing w:line="240" w:lineRule="auto"/>
      <w:ind w:firstLine="0" w:firstLineChars="0"/>
      <w:jc w:val="center"/>
    </w:pPr>
    <w:rPr>
      <w:b/>
    </w:rPr>
  </w:style>
  <w:style w:type="character" w:customStyle="1" w:styleId="2202">
    <w:name w:val="正文缩进 Char2"/>
    <w:qFormat/>
    <w:uiPriority w:val="0"/>
    <w:rPr>
      <w:rFonts w:ascii="宋体" w:hAnsi="宋体" w:eastAsia="宋体" w:cs="宋体"/>
      <w:kern w:val="2"/>
      <w:sz w:val="21"/>
      <w:szCs w:val="24"/>
      <w:lang w:val="en-US" w:eastAsia="zh-CN" w:bidi="ar-SA"/>
    </w:rPr>
  </w:style>
  <w:style w:type="character" w:customStyle="1" w:styleId="2203">
    <w:name w:val="正文表格 Char"/>
    <w:link w:val="2122"/>
    <w:qFormat/>
    <w:uiPriority w:val="0"/>
    <w:rPr>
      <w:rFonts w:ascii="Calibri" w:hAnsi="Calibri"/>
      <w:kern w:val="2"/>
      <w:sz w:val="18"/>
      <w:szCs w:val="21"/>
    </w:rPr>
  </w:style>
  <w:style w:type="character" w:customStyle="1" w:styleId="2204">
    <w:name w:val="表头 Char"/>
    <w:link w:val="768"/>
    <w:qFormat/>
    <w:uiPriority w:val="0"/>
    <w:rPr>
      <w:rFonts w:ascii="宋体" w:hAnsi="宋体"/>
      <w:b/>
      <w:bCs/>
      <w:kern w:val="32"/>
      <w:sz w:val="24"/>
      <w:szCs w:val="24"/>
    </w:rPr>
  </w:style>
  <w:style w:type="paragraph" w:customStyle="1" w:styleId="2205">
    <w:name w:val="表格文字nana"/>
    <w:basedOn w:val="1"/>
    <w:qFormat/>
    <w:uiPriority w:val="0"/>
    <w:pPr>
      <w:widowControl/>
      <w:spacing w:line="300" w:lineRule="auto"/>
      <w:jc w:val="center"/>
    </w:pPr>
    <w:rPr>
      <w:rFonts w:ascii="Calibri" w:hAnsi="Calibri" w:eastAsia="仿宋_GB2312"/>
      <w:snapToGrid w:val="0"/>
      <w:color w:val="000000"/>
      <w:szCs w:val="21"/>
      <w:lang w:bidi="en-US"/>
    </w:rPr>
  </w:style>
  <w:style w:type="paragraph" w:customStyle="1" w:styleId="2206">
    <w:name w:val="0-表格"/>
    <w:basedOn w:val="1"/>
    <w:qFormat/>
    <w:uiPriority w:val="0"/>
    <w:pPr>
      <w:autoSpaceDE w:val="0"/>
      <w:autoSpaceDN w:val="0"/>
      <w:adjustRightInd w:val="0"/>
      <w:jc w:val="center"/>
    </w:pPr>
    <w:rPr>
      <w:kern w:val="0"/>
      <w:sz w:val="24"/>
      <w:szCs w:val="21"/>
      <w:lang w:val="de-DE" w:eastAsia="de-DE"/>
    </w:rPr>
  </w:style>
  <w:style w:type="paragraph" w:customStyle="1" w:styleId="2207">
    <w:name w:val="cucd-0"/>
    <w:qFormat/>
    <w:uiPriority w:val="0"/>
    <w:pPr>
      <w:spacing w:line="360" w:lineRule="auto"/>
      <w:ind w:firstLine="200" w:firstLineChars="200"/>
    </w:pPr>
    <w:rPr>
      <w:rFonts w:ascii="Times New Roman" w:hAnsi="Times New Roman" w:eastAsia="宋体" w:cs="Times New Roman"/>
      <w:kern w:val="2"/>
      <w:sz w:val="24"/>
      <w:szCs w:val="24"/>
      <w:lang w:val="en-US" w:eastAsia="zh-CN" w:bidi="ar-SA"/>
    </w:rPr>
  </w:style>
  <w:style w:type="character" w:customStyle="1" w:styleId="2208">
    <w:name w:val="1 Char Char"/>
    <w:link w:val="2209"/>
    <w:qFormat/>
    <w:locked/>
    <w:uiPriority w:val="0"/>
    <w:rPr>
      <w:rFonts w:ascii="宋体"/>
      <w:sz w:val="28"/>
    </w:rPr>
  </w:style>
  <w:style w:type="paragraph" w:customStyle="1" w:styleId="2209">
    <w:name w:val="1"/>
    <w:basedOn w:val="1"/>
    <w:link w:val="2208"/>
    <w:uiPriority w:val="0"/>
    <w:pPr>
      <w:adjustRightInd w:val="0"/>
      <w:spacing w:line="360" w:lineRule="auto"/>
      <w:ind w:firstLine="570"/>
      <w:jc w:val="left"/>
      <w:textAlignment w:val="baseline"/>
    </w:pPr>
    <w:rPr>
      <w:rFonts w:ascii="宋体"/>
      <w:kern w:val="0"/>
      <w:sz w:val="28"/>
      <w:szCs w:val="20"/>
    </w:rPr>
  </w:style>
  <w:style w:type="character" w:customStyle="1" w:styleId="2210">
    <w:name w:val="WW8Num700z0"/>
    <w:qFormat/>
    <w:uiPriority w:val="0"/>
    <w:rPr>
      <w:rFonts w:ascii="宋体"/>
    </w:rPr>
  </w:style>
  <w:style w:type="paragraph" w:customStyle="1" w:styleId="2211">
    <w:name w:val="陈表格中内容"/>
    <w:basedOn w:val="1"/>
    <w:next w:val="1"/>
    <w:qFormat/>
    <w:uiPriority w:val="0"/>
    <w:pPr>
      <w:spacing w:line="360" w:lineRule="auto"/>
    </w:pPr>
    <w:rPr>
      <w:rFonts w:ascii="宋体" w:hAnsi="宋体" w:eastAsia="Times New Roman"/>
      <w:color w:val="FF00FF"/>
      <w:kern w:val="0"/>
      <w:sz w:val="28"/>
      <w:szCs w:val="28"/>
    </w:rPr>
  </w:style>
  <w:style w:type="paragraph" w:customStyle="1" w:styleId="2212">
    <w:name w:val="报告表正文-海洋"/>
    <w:qFormat/>
    <w:uiPriority w:val="0"/>
    <w:pPr>
      <w:spacing w:line="360" w:lineRule="auto"/>
      <w:ind w:firstLine="200" w:firstLineChars="200"/>
      <w:jc w:val="both"/>
    </w:pPr>
    <w:rPr>
      <w:rFonts w:ascii="Calibri" w:hAnsi="Calibri" w:eastAsia="宋体" w:cs="Times New Roman"/>
      <w:kern w:val="2"/>
      <w:sz w:val="28"/>
      <w:szCs w:val="28"/>
      <w:lang w:val="en-US" w:eastAsia="zh-CN" w:bidi="ar-SA"/>
    </w:rPr>
  </w:style>
  <w:style w:type="paragraph" w:customStyle="1" w:styleId="2213">
    <w:name w:val="海洋正文表格"/>
    <w:qFormat/>
    <w:uiPriority w:val="0"/>
    <w:pPr>
      <w:jc w:val="center"/>
    </w:pPr>
    <w:rPr>
      <w:rFonts w:ascii="Times New Roman" w:hAnsi="Times New Roman" w:eastAsia="宋体" w:cs="Times New Roman"/>
      <w:kern w:val="2"/>
      <w:sz w:val="24"/>
      <w:szCs w:val="24"/>
      <w:lang w:val="en-US" w:eastAsia="zh-CN" w:bidi="ar-SA"/>
    </w:rPr>
  </w:style>
  <w:style w:type="paragraph" w:customStyle="1" w:styleId="2214">
    <w:name w:val="标题4"/>
    <w:basedOn w:val="1"/>
    <w:qFormat/>
    <w:uiPriority w:val="0"/>
    <w:pPr>
      <w:spacing w:line="360" w:lineRule="auto"/>
      <w:jc w:val="left"/>
    </w:pPr>
    <w:rPr>
      <w:rFonts w:eastAsia="黑体"/>
      <w:bCs/>
      <w:sz w:val="28"/>
      <w:szCs w:val="20"/>
    </w:rPr>
  </w:style>
  <w:style w:type="paragraph" w:customStyle="1" w:styleId="2215">
    <w:name w:val="zhang正文"/>
    <w:basedOn w:val="1"/>
    <w:next w:val="53"/>
    <w:qFormat/>
    <w:uiPriority w:val="0"/>
    <w:pPr>
      <w:autoSpaceDE w:val="0"/>
      <w:autoSpaceDN w:val="0"/>
      <w:adjustRightInd w:val="0"/>
      <w:snapToGrid w:val="0"/>
      <w:spacing w:line="360" w:lineRule="auto"/>
      <w:ind w:firstLine="200" w:firstLineChars="200"/>
      <w:textAlignment w:val="baseline"/>
    </w:pPr>
    <w:rPr>
      <w:rFonts w:ascii="Arial" w:hAnsi="Arial" w:eastAsia="Times New Roman"/>
      <w:kern w:val="0"/>
      <w:sz w:val="24"/>
      <w:szCs w:val="20"/>
    </w:rPr>
  </w:style>
  <w:style w:type="character" w:customStyle="1" w:styleId="2216">
    <w:name w:val="正文 Char"/>
    <w:qFormat/>
    <w:uiPriority w:val="0"/>
    <w:rPr>
      <w:rFonts w:ascii="宋体" w:hAnsi="宋体" w:eastAsia="仿宋_GB2312" w:cs="宋体"/>
      <w:color w:val="000000"/>
      <w:sz w:val="24"/>
      <w:szCs w:val="24"/>
      <w:lang w:val="en-US" w:eastAsia="zh-CN" w:bidi="ar-SA"/>
    </w:rPr>
  </w:style>
  <w:style w:type="paragraph" w:customStyle="1" w:styleId="2217">
    <w:name w:val="Char Char Char Char Char Char Char Char Char Char2"/>
    <w:basedOn w:val="1"/>
    <w:qFormat/>
    <w:uiPriority w:val="0"/>
  </w:style>
  <w:style w:type="paragraph" w:customStyle="1" w:styleId="2218">
    <w:name w:val="a表内"/>
    <w:qFormat/>
    <w:uiPriority w:val="0"/>
    <w:pPr>
      <w:jc w:val="center"/>
    </w:pPr>
    <w:rPr>
      <w:rFonts w:ascii="Times New Roman" w:hAnsi="Times New Roman" w:eastAsia="宋体" w:cs="Times New Roman"/>
      <w:sz w:val="21"/>
      <w:szCs w:val="24"/>
      <w:lang w:val="en-US" w:eastAsia="zh-CN" w:bidi="ar-SA"/>
    </w:rPr>
  </w:style>
  <w:style w:type="character" w:customStyle="1" w:styleId="2219">
    <w:name w:val="font91"/>
    <w:qFormat/>
    <w:uiPriority w:val="0"/>
    <w:rPr>
      <w:rFonts w:ascii="Times New Roman" w:hAnsi="Times New Roman" w:cs="Times New Roman"/>
      <w:color w:val="000000"/>
      <w:sz w:val="24"/>
      <w:szCs w:val="24"/>
      <w:u w:val="none"/>
    </w:rPr>
  </w:style>
  <w:style w:type="character" w:customStyle="1" w:styleId="2220">
    <w:name w:val="font101"/>
    <w:qFormat/>
    <w:uiPriority w:val="0"/>
    <w:rPr>
      <w:rFonts w:ascii="宋体" w:hAnsi="宋体" w:eastAsia="宋体" w:cs="宋体"/>
      <w:color w:val="000000"/>
      <w:sz w:val="24"/>
      <w:szCs w:val="24"/>
      <w:u w:val="none"/>
    </w:rPr>
  </w:style>
  <w:style w:type="character" w:customStyle="1" w:styleId="2221">
    <w:name w:val="font171"/>
    <w:qFormat/>
    <w:uiPriority w:val="0"/>
    <w:rPr>
      <w:rFonts w:ascii="宋体" w:hAnsi="宋体" w:eastAsia="宋体" w:cs="宋体"/>
      <w:color w:val="000000"/>
      <w:sz w:val="21"/>
      <w:szCs w:val="21"/>
      <w:u w:val="none"/>
    </w:rPr>
  </w:style>
  <w:style w:type="character" w:customStyle="1" w:styleId="2222">
    <w:name w:val="font121"/>
    <w:qFormat/>
    <w:uiPriority w:val="0"/>
    <w:rPr>
      <w:rFonts w:ascii="Calibri" w:hAnsi="Calibri" w:cs="Calibri"/>
      <w:color w:val="000000"/>
      <w:sz w:val="21"/>
      <w:szCs w:val="21"/>
      <w:u w:val="none"/>
      <w:vertAlign w:val="superscript"/>
    </w:rPr>
  </w:style>
  <w:style w:type="character" w:customStyle="1" w:styleId="2223">
    <w:name w:val="font131"/>
    <w:qFormat/>
    <w:uiPriority w:val="0"/>
    <w:rPr>
      <w:rFonts w:ascii="宋体" w:hAnsi="宋体" w:eastAsia="宋体" w:cs="宋体"/>
      <w:color w:val="000000"/>
      <w:sz w:val="22"/>
      <w:szCs w:val="22"/>
      <w:u w:val="none"/>
    </w:rPr>
  </w:style>
  <w:style w:type="character" w:customStyle="1" w:styleId="2224">
    <w:name w:val="font51"/>
    <w:qFormat/>
    <w:uiPriority w:val="0"/>
    <w:rPr>
      <w:rFonts w:ascii="Calibri" w:hAnsi="Calibri" w:cs="Calibri"/>
      <w:color w:val="000000"/>
      <w:sz w:val="21"/>
      <w:szCs w:val="21"/>
      <w:u w:val="none"/>
    </w:rPr>
  </w:style>
  <w:style w:type="character" w:customStyle="1" w:styleId="2225">
    <w:name w:val="font01"/>
    <w:uiPriority w:val="0"/>
    <w:rPr>
      <w:rFonts w:ascii="宋体" w:hAnsi="宋体" w:eastAsia="宋体" w:cs="宋体"/>
      <w:color w:val="000000"/>
      <w:sz w:val="21"/>
      <w:szCs w:val="21"/>
      <w:u w:val="none"/>
      <w:vertAlign w:val="superscript"/>
    </w:rPr>
  </w:style>
  <w:style w:type="character" w:customStyle="1" w:styleId="2226">
    <w:name w:val="font21"/>
    <w:qFormat/>
    <w:uiPriority w:val="0"/>
    <w:rPr>
      <w:rFonts w:ascii="Calibri" w:hAnsi="Calibri" w:cs="Calibri"/>
      <w:color w:val="000000"/>
      <w:sz w:val="21"/>
      <w:szCs w:val="21"/>
      <w:u w:val="none"/>
    </w:rPr>
  </w:style>
  <w:style w:type="character" w:customStyle="1" w:styleId="2227">
    <w:name w:val="font111"/>
    <w:uiPriority w:val="0"/>
    <w:rPr>
      <w:rFonts w:ascii="Calibri" w:hAnsi="Calibri" w:cs="Calibri"/>
      <w:color w:val="000000"/>
      <w:sz w:val="21"/>
      <w:szCs w:val="21"/>
      <w:u w:val="none"/>
      <w:vertAlign w:val="superscript"/>
    </w:rPr>
  </w:style>
  <w:style w:type="character" w:customStyle="1" w:styleId="2228">
    <w:name w:val="正文(首行缩进) Char Char"/>
    <w:qFormat/>
    <w:uiPriority w:val="0"/>
    <w:rPr>
      <w:rFonts w:ascii="Times New Roman" w:hAnsi="Times New Roman"/>
      <w:snapToGrid w:val="0"/>
      <w:sz w:val="24"/>
    </w:rPr>
  </w:style>
  <w:style w:type="character" w:customStyle="1" w:styleId="2229">
    <w:name w:val="1正文 Char"/>
    <w:link w:val="939"/>
    <w:qFormat/>
    <w:locked/>
    <w:uiPriority w:val="0"/>
    <w:rPr>
      <w:kern w:val="2"/>
      <w:sz w:val="24"/>
      <w:szCs w:val="24"/>
    </w:rPr>
  </w:style>
  <w:style w:type="paragraph" w:customStyle="1" w:styleId="2230">
    <w:name w:val="TOC 标题2"/>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Cs w:val="32"/>
    </w:rPr>
  </w:style>
  <w:style w:type="table" w:customStyle="1" w:styleId="2231">
    <w:name w:val="网格型1"/>
    <w:basedOn w:val="87"/>
    <w:unhideWhenUsed/>
    <w:qFormat/>
    <w:uiPriority w:val="0"/>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32">
    <w:name w:val="高-表格"/>
    <w:basedOn w:val="1"/>
    <w:qFormat/>
    <w:uiPriority w:val="0"/>
    <w:pPr>
      <w:spacing w:line="360" w:lineRule="exact"/>
      <w:jc w:val="center"/>
    </w:pPr>
    <w:rPr>
      <w:szCs w:val="21"/>
    </w:rPr>
  </w:style>
  <w:style w:type="character" w:customStyle="1" w:styleId="2233">
    <w:name w:val="题注 字符"/>
    <w:link w:val="21"/>
    <w:qFormat/>
    <w:uiPriority w:val="99"/>
    <w:rPr>
      <w:rFonts w:ascii="Arial" w:hAnsi="Arial" w:eastAsia="黑体" w:cs="Arial"/>
      <w:spacing w:val="-2"/>
      <w:kern w:val="2"/>
    </w:rPr>
  </w:style>
  <w:style w:type="table" w:customStyle="1" w:styleId="2234">
    <w:name w:val="网格型7"/>
    <w:basedOn w:val="87"/>
    <w:qFormat/>
    <w:uiPriority w:val="0"/>
    <w:pPr>
      <w:widowControl w:val="0"/>
      <w:jc w:val="both"/>
    </w:pPr>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35">
    <w:name w:val="[1]正文"/>
    <w:basedOn w:val="1"/>
    <w:link w:val="2236"/>
    <w:qFormat/>
    <w:uiPriority w:val="0"/>
    <w:pPr>
      <w:widowControl/>
      <w:kinsoku w:val="0"/>
      <w:overflowPunct w:val="0"/>
      <w:autoSpaceDE w:val="0"/>
      <w:autoSpaceDN w:val="0"/>
      <w:adjustRightInd w:val="0"/>
      <w:snapToGrid w:val="0"/>
      <w:spacing w:line="360" w:lineRule="auto"/>
      <w:ind w:firstLine="200" w:firstLineChars="200"/>
      <w:jc w:val="left"/>
    </w:pPr>
    <w:rPr>
      <w:rFonts w:ascii="Calibri" w:hAnsi="Calibri"/>
      <w:kern w:val="0"/>
      <w:sz w:val="24"/>
      <w:szCs w:val="28"/>
    </w:rPr>
  </w:style>
  <w:style w:type="character" w:customStyle="1" w:styleId="2236">
    <w:name w:val="[1]正文 Char"/>
    <w:link w:val="2235"/>
    <w:qFormat/>
    <w:uiPriority w:val="0"/>
    <w:rPr>
      <w:rFonts w:ascii="Calibri" w:hAnsi="Calibri"/>
      <w:sz w:val="24"/>
      <w:szCs w:val="28"/>
    </w:rPr>
  </w:style>
  <w:style w:type="paragraph" w:customStyle="1" w:styleId="2237">
    <w:name w:val="列出段落3"/>
    <w:basedOn w:val="1"/>
    <w:qFormat/>
    <w:uiPriority w:val="0"/>
    <w:pPr>
      <w:autoSpaceDE w:val="0"/>
      <w:autoSpaceDN w:val="0"/>
      <w:ind w:left="280"/>
      <w:jc w:val="left"/>
    </w:pPr>
    <w:rPr>
      <w:rFonts w:ascii="宋体" w:hAnsi="宋体" w:cs="宋体"/>
      <w:kern w:val="0"/>
      <w:sz w:val="22"/>
      <w:szCs w:val="22"/>
    </w:rPr>
  </w:style>
  <w:style w:type="paragraph" w:customStyle="1" w:styleId="2238">
    <w:name w:val="Table Paragraph"/>
    <w:basedOn w:val="1"/>
    <w:uiPriority w:val="0"/>
    <w:pPr>
      <w:autoSpaceDE w:val="0"/>
      <w:autoSpaceDN w:val="0"/>
      <w:jc w:val="left"/>
    </w:pPr>
    <w:rPr>
      <w:rFonts w:ascii="宋体" w:hAnsi="宋体" w:cs="宋体"/>
      <w:kern w:val="0"/>
      <w:sz w:val="22"/>
      <w:szCs w:val="22"/>
    </w:rPr>
  </w:style>
  <w:style w:type="table" w:customStyle="1" w:styleId="2239">
    <w:name w:val="网格型2"/>
    <w:basedOn w:val="87"/>
    <w:unhideWhenUsed/>
    <w:qFormat/>
    <w:uiPriority w:val="0"/>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240">
    <w:name w:val="网格型3"/>
    <w:basedOn w:val="87"/>
    <w:unhideWhenUsed/>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241">
    <w:name w:val="网格型4"/>
    <w:basedOn w:val="87"/>
    <w:unhideWhenUsed/>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2242">
    <w:name w:val="正文6"/>
    <w:qFormat/>
    <w:uiPriority w:val="0"/>
    <w:pPr>
      <w:jc w:val="both"/>
    </w:pPr>
    <w:rPr>
      <w:rFonts w:ascii="Calibri" w:hAnsi="Calibri" w:eastAsia="宋体" w:cs="Calibri"/>
      <w:kern w:val="2"/>
      <w:sz w:val="21"/>
      <w:szCs w:val="21"/>
      <w:lang w:val="en-US" w:eastAsia="zh-CN" w:bidi="ar-SA"/>
    </w:rPr>
  </w:style>
  <w:style w:type="character" w:customStyle="1" w:styleId="2243">
    <w:name w:val="2级标题 Char"/>
    <w:link w:val="1136"/>
    <w:qFormat/>
    <w:uiPriority w:val="0"/>
    <w:rPr>
      <w:rFonts w:ascii="Arial" w:hAnsi="Arial" w:cs="Arial"/>
      <w:b/>
      <w:kern w:val="2"/>
      <w:sz w:val="28"/>
    </w:rPr>
  </w:style>
  <w:style w:type="table" w:customStyle="1" w:styleId="2244">
    <w:name w:val="Table Normal"/>
    <w:basedOn w:val="87"/>
    <w:qFormat/>
    <w:uiPriority w:val="0"/>
    <w:pPr>
      <w:widowControl w:val="0"/>
    </w:pPr>
    <w:rPr>
      <w:rFonts w:ascii="Calibri" w:hAnsi="Calibri"/>
      <w:sz w:val="22"/>
      <w:szCs w:val="22"/>
      <w:lang w:eastAsia="en-US"/>
    </w:rPr>
    <w:tblPr>
      <w:tblCellMar>
        <w:left w:w="0" w:type="dxa"/>
        <w:right w:w="0" w:type="dxa"/>
      </w:tblCellMar>
    </w:tblPr>
  </w:style>
  <w:style w:type="table" w:customStyle="1" w:styleId="2245">
    <w:name w:val="网格型11"/>
    <w:basedOn w:val="87"/>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46">
    <w:name w:val="列出段落4"/>
    <w:basedOn w:val="1"/>
    <w:semiHidden/>
    <w:qFormat/>
    <w:uiPriority w:val="0"/>
    <w:pPr>
      <w:widowControl/>
      <w:ind w:firstLine="420" w:firstLineChars="200"/>
      <w:jc w:val="left"/>
    </w:pPr>
    <w:rPr>
      <w:szCs w:val="21"/>
    </w:rPr>
  </w:style>
  <w:style w:type="table" w:customStyle="1" w:styleId="2247">
    <w:name w:val="网格型5"/>
    <w:basedOn w:val="87"/>
    <w:unhideWhenUsed/>
    <w:qFormat/>
    <w:uiPriority w:val="99"/>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48">
    <w:name w:val="正文8"/>
    <w:qFormat/>
    <w:uiPriority w:val="0"/>
    <w:pPr>
      <w:jc w:val="both"/>
    </w:pPr>
    <w:rPr>
      <w:rFonts w:ascii="Times New Roman" w:hAnsi="Times New Roman" w:eastAsia="宋体" w:cs="Times New Roman"/>
      <w:kern w:val="2"/>
      <w:sz w:val="21"/>
      <w:szCs w:val="21"/>
      <w:lang w:val="en-US" w:eastAsia="zh-CN" w:bidi="ar-SA"/>
    </w:rPr>
  </w:style>
  <w:style w:type="table" w:customStyle="1" w:styleId="2249">
    <w:name w:val="网格型6"/>
    <w:basedOn w:val="87"/>
    <w:unhideWhenUsed/>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78.jpeg"/><Relationship Id="rId98" Type="http://schemas.openxmlformats.org/officeDocument/2006/relationships/image" Target="media/image77.jpeg"/><Relationship Id="rId97" Type="http://schemas.openxmlformats.org/officeDocument/2006/relationships/image" Target="media/image76.jpeg"/><Relationship Id="rId96" Type="http://schemas.openxmlformats.org/officeDocument/2006/relationships/image" Target="media/image75.png"/><Relationship Id="rId95" Type="http://schemas.openxmlformats.org/officeDocument/2006/relationships/image" Target="media/image74.png"/><Relationship Id="rId94" Type="http://schemas.openxmlformats.org/officeDocument/2006/relationships/image" Target="media/image73.png"/><Relationship Id="rId93" Type="http://schemas.openxmlformats.org/officeDocument/2006/relationships/image" Target="media/image72.jpeg"/><Relationship Id="rId92" Type="http://schemas.openxmlformats.org/officeDocument/2006/relationships/image" Target="media/image71.jpeg"/><Relationship Id="rId91" Type="http://schemas.openxmlformats.org/officeDocument/2006/relationships/image" Target="media/image70.jpeg"/><Relationship Id="rId90" Type="http://schemas.openxmlformats.org/officeDocument/2006/relationships/image" Target="media/image69.jpeg"/><Relationship Id="rId9" Type="http://schemas.openxmlformats.org/officeDocument/2006/relationships/header" Target="header5.xml"/><Relationship Id="rId89" Type="http://schemas.openxmlformats.org/officeDocument/2006/relationships/image" Target="media/image68.jpeg"/><Relationship Id="rId88" Type="http://schemas.openxmlformats.org/officeDocument/2006/relationships/image" Target="media/image67.jpeg"/><Relationship Id="rId87" Type="http://schemas.openxmlformats.org/officeDocument/2006/relationships/image" Target="media/image66.jpeg"/><Relationship Id="rId86" Type="http://schemas.openxmlformats.org/officeDocument/2006/relationships/image" Target="media/image65.jpeg"/><Relationship Id="rId85" Type="http://schemas.openxmlformats.org/officeDocument/2006/relationships/image" Target="media/image64.jpeg"/><Relationship Id="rId84" Type="http://schemas.openxmlformats.org/officeDocument/2006/relationships/image" Target="media/image63.jpeg"/><Relationship Id="rId83" Type="http://schemas.openxmlformats.org/officeDocument/2006/relationships/image" Target="media/image62.png"/><Relationship Id="rId82" Type="http://schemas.openxmlformats.org/officeDocument/2006/relationships/image" Target="media/image61.png"/><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header" Target="header4.xml"/><Relationship Id="rId79" Type="http://schemas.openxmlformats.org/officeDocument/2006/relationships/image" Target="media/image58.jpeg"/><Relationship Id="rId78" Type="http://schemas.openxmlformats.org/officeDocument/2006/relationships/image" Target="media/image57.jpeg"/><Relationship Id="rId77" Type="http://schemas.openxmlformats.org/officeDocument/2006/relationships/image" Target="media/image56.png"/><Relationship Id="rId76" Type="http://schemas.openxmlformats.org/officeDocument/2006/relationships/image" Target="media/image55.jpeg"/><Relationship Id="rId75" Type="http://schemas.openxmlformats.org/officeDocument/2006/relationships/image" Target="media/image54.jpe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jpeg"/><Relationship Id="rId71" Type="http://schemas.openxmlformats.org/officeDocument/2006/relationships/image" Target="media/image50.jpeg"/><Relationship Id="rId70" Type="http://schemas.openxmlformats.org/officeDocument/2006/relationships/image" Target="media/image49.png"/><Relationship Id="rId7" Type="http://schemas.openxmlformats.org/officeDocument/2006/relationships/footer" Target="footer2.xml"/><Relationship Id="rId69" Type="http://schemas.openxmlformats.org/officeDocument/2006/relationships/image" Target="media/image48.png"/><Relationship Id="rId68" Type="http://schemas.openxmlformats.org/officeDocument/2006/relationships/image" Target="media/image47.jpe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jpeg"/><Relationship Id="rId63" Type="http://schemas.openxmlformats.org/officeDocument/2006/relationships/image" Target="media/image42.jpeg"/><Relationship Id="rId62" Type="http://schemas.openxmlformats.org/officeDocument/2006/relationships/image" Target="media/image41.jpeg"/><Relationship Id="rId61" Type="http://schemas.openxmlformats.org/officeDocument/2006/relationships/image" Target="media/image40.jpeg"/><Relationship Id="rId60" Type="http://schemas.openxmlformats.org/officeDocument/2006/relationships/image" Target="media/image39.png"/><Relationship Id="rId6" Type="http://schemas.openxmlformats.org/officeDocument/2006/relationships/footer" Target="footer1.xml"/><Relationship Id="rId59" Type="http://schemas.openxmlformats.org/officeDocument/2006/relationships/image" Target="media/image38.png"/><Relationship Id="rId58" Type="http://schemas.openxmlformats.org/officeDocument/2006/relationships/image" Target="media/image37.jpeg"/><Relationship Id="rId57" Type="http://schemas.openxmlformats.org/officeDocument/2006/relationships/image" Target="media/image36.jpeg"/><Relationship Id="rId56" Type="http://schemas.openxmlformats.org/officeDocument/2006/relationships/image" Target="media/image35.jpeg"/><Relationship Id="rId55" Type="http://schemas.openxmlformats.org/officeDocument/2006/relationships/image" Target="media/image34.jpe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header" Target="header3.xml"/><Relationship Id="rId49" Type="http://schemas.openxmlformats.org/officeDocument/2006/relationships/image" Target="media/image28.png"/><Relationship Id="rId48" Type="http://schemas.openxmlformats.org/officeDocument/2006/relationships/image" Target="media/image27.jpeg"/><Relationship Id="rId47" Type="http://schemas.openxmlformats.org/officeDocument/2006/relationships/image" Target="media/image26.jpeg"/><Relationship Id="rId46" Type="http://schemas.openxmlformats.org/officeDocument/2006/relationships/image" Target="media/image25.jpeg"/><Relationship Id="rId45" Type="http://schemas.openxmlformats.org/officeDocument/2006/relationships/image" Target="media/image24.jpeg"/><Relationship Id="rId44" Type="http://schemas.openxmlformats.org/officeDocument/2006/relationships/image" Target="media/image23.jpeg"/><Relationship Id="rId43" Type="http://schemas.openxmlformats.org/officeDocument/2006/relationships/image" Target="media/image22.wmf"/><Relationship Id="rId42" Type="http://schemas.openxmlformats.org/officeDocument/2006/relationships/oleObject" Target="embeddings/oleObject3.bin"/><Relationship Id="rId41" Type="http://schemas.openxmlformats.org/officeDocument/2006/relationships/image" Target="media/image21.emf"/><Relationship Id="rId40" Type="http://schemas.openxmlformats.org/officeDocument/2006/relationships/oleObject" Target="embeddings/oleObject2.bin"/><Relationship Id="rId4" Type="http://schemas.openxmlformats.org/officeDocument/2006/relationships/header" Target="header2.xml"/><Relationship Id="rId39" Type="http://schemas.openxmlformats.org/officeDocument/2006/relationships/image" Target="media/image20.emf"/><Relationship Id="rId38" Type="http://schemas.openxmlformats.org/officeDocument/2006/relationships/oleObject" Target="embeddings/oleObject1.bin"/><Relationship Id="rId37" Type="http://schemas.openxmlformats.org/officeDocument/2006/relationships/image" Target="media/image19.emf"/><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header" Target="header1.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jpe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emf"/><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5.xml"/><Relationship Id="rId16" Type="http://schemas.openxmlformats.org/officeDocument/2006/relationships/header" Target="header10.xml"/><Relationship Id="rId15" Type="http://schemas.openxmlformats.org/officeDocument/2006/relationships/header" Target="header9.xml"/><Relationship Id="rId14" Type="http://schemas.openxmlformats.org/officeDocument/2006/relationships/header" Target="header8.xml"/><Relationship Id="rId13" Type="http://schemas.openxmlformats.org/officeDocument/2006/relationships/header" Target="header7.xml"/><Relationship Id="rId12" Type="http://schemas.openxmlformats.org/officeDocument/2006/relationships/footer" Target="footer4.xml"/><Relationship Id="rId115" Type="http://schemas.openxmlformats.org/officeDocument/2006/relationships/fontTable" Target="fontTable.xml"/><Relationship Id="rId114" Type="http://schemas.openxmlformats.org/officeDocument/2006/relationships/customXml" Target="../customXml/item2.xml"/><Relationship Id="rId113" Type="http://schemas.openxmlformats.org/officeDocument/2006/relationships/numbering" Target="numbering.xml"/><Relationship Id="rId112" Type="http://schemas.openxmlformats.org/officeDocument/2006/relationships/customXml" Target="../customXml/item1.xml"/><Relationship Id="rId111" Type="http://schemas.openxmlformats.org/officeDocument/2006/relationships/image" Target="media/image90.emf"/><Relationship Id="rId110" Type="http://schemas.openxmlformats.org/officeDocument/2006/relationships/image" Target="media/image89.emf"/><Relationship Id="rId11" Type="http://schemas.openxmlformats.org/officeDocument/2006/relationships/footer" Target="footer3.xml"/><Relationship Id="rId109" Type="http://schemas.openxmlformats.org/officeDocument/2006/relationships/image" Target="media/image88.jpeg"/><Relationship Id="rId108" Type="http://schemas.openxmlformats.org/officeDocument/2006/relationships/image" Target="media/image87.emf"/><Relationship Id="rId107" Type="http://schemas.openxmlformats.org/officeDocument/2006/relationships/image" Target="media/image86.emf"/><Relationship Id="rId106" Type="http://schemas.openxmlformats.org/officeDocument/2006/relationships/image" Target="media/image85.jpeg"/><Relationship Id="rId105" Type="http://schemas.openxmlformats.org/officeDocument/2006/relationships/image" Target="media/image84.jpeg"/><Relationship Id="rId104" Type="http://schemas.openxmlformats.org/officeDocument/2006/relationships/image" Target="media/image83.jpeg"/><Relationship Id="rId103" Type="http://schemas.openxmlformats.org/officeDocument/2006/relationships/image" Target="media/image82.jpeg"/><Relationship Id="rId102" Type="http://schemas.openxmlformats.org/officeDocument/2006/relationships/image" Target="media/image81.emf"/><Relationship Id="rId101" Type="http://schemas.openxmlformats.org/officeDocument/2006/relationships/image" Target="media/image80.jpeg"/><Relationship Id="rId100" Type="http://schemas.openxmlformats.org/officeDocument/2006/relationships/image" Target="media/image79.jpeg"/><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883CCE7-1053-420F-AB9C-DBD1C60FAEE6}">
  <ds:schemaRefs/>
</ds:datastoreItem>
</file>

<file path=docProps/app.xml><?xml version="1.0" encoding="utf-8"?>
<Properties xmlns="http://schemas.openxmlformats.org/officeDocument/2006/extended-properties" xmlns:vt="http://schemas.openxmlformats.org/officeDocument/2006/docPropsVTypes">
  <Template>Normal</Template>
  <Company>艾默生网络能源有限公司</Company>
  <Pages>205</Pages>
  <Words>20232</Words>
  <Characters>115323</Characters>
  <Lines>961</Lines>
  <Paragraphs>270</Paragraphs>
  <TotalTime>5279</TotalTime>
  <ScaleCrop>false</ScaleCrop>
  <LinksUpToDate>false</LinksUpToDate>
  <CharactersWithSpaces>135285</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2023-07-11T02:23:00Z</dcterms:created>
  <dc:creator>USER</dc:creator>
  <cp:lastModifiedBy>Administrator</cp:lastModifiedBy>
  <cp:lastPrinted>2016-07-27T01:44:00Z</cp:lastPrinted>
  <dcterms:modified xsi:type="dcterms:W3CDTF">2023-09-28T02:51:43Z</dcterms:modified>
  <dc:title>1前言</dc:title>
  <cp:revision>1185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DD9889E8235041BD98264B3676C5629A_13</vt:lpwstr>
  </property>
</Properties>
</file>